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63CCB" w14:textId="69373A0E" w:rsidR="0009751C" w:rsidRPr="002756B1" w:rsidRDefault="00CC3027" w:rsidP="0009751C">
      <w:pPr>
        <w:spacing w:line="480" w:lineRule="auto"/>
        <w:rPr>
          <w:rFonts w:cstheme="minorHAnsi"/>
          <w:b/>
          <w:bCs/>
        </w:rPr>
      </w:pPr>
      <w:r>
        <w:rPr>
          <w:rFonts w:cstheme="minorHAnsi"/>
          <w:b/>
          <w:bCs/>
        </w:rPr>
        <w:t>B</w:t>
      </w:r>
      <w:r w:rsidR="00D9431F">
        <w:rPr>
          <w:rFonts w:cstheme="minorHAnsi"/>
          <w:b/>
          <w:bCs/>
        </w:rPr>
        <w:t xml:space="preserve">ioelectrical spectroscopy </w:t>
      </w:r>
      <w:r w:rsidR="00F4570D">
        <w:rPr>
          <w:rFonts w:cstheme="minorHAnsi"/>
          <w:b/>
          <w:bCs/>
        </w:rPr>
        <w:t xml:space="preserve">impedance </w:t>
      </w:r>
      <w:r>
        <w:rPr>
          <w:rFonts w:cstheme="minorHAnsi"/>
          <w:b/>
          <w:bCs/>
        </w:rPr>
        <w:t xml:space="preserve">phase angle </w:t>
      </w:r>
      <w:r w:rsidR="00E522EB">
        <w:rPr>
          <w:rFonts w:cstheme="minorHAnsi"/>
          <w:b/>
          <w:bCs/>
        </w:rPr>
        <w:t>is</w:t>
      </w:r>
      <w:r>
        <w:rPr>
          <w:rFonts w:cstheme="minorHAnsi"/>
          <w:b/>
          <w:bCs/>
        </w:rPr>
        <w:t xml:space="preserve"> </w:t>
      </w:r>
      <w:r w:rsidR="00E522EB">
        <w:rPr>
          <w:rFonts w:cstheme="minorHAnsi"/>
          <w:b/>
          <w:bCs/>
        </w:rPr>
        <w:t xml:space="preserve">not associated with nutritional status </w:t>
      </w:r>
      <w:r>
        <w:rPr>
          <w:rFonts w:cstheme="minorHAnsi"/>
          <w:b/>
          <w:bCs/>
        </w:rPr>
        <w:t xml:space="preserve">in a stable </w:t>
      </w:r>
      <w:r w:rsidR="00E522EB">
        <w:rPr>
          <w:rFonts w:cstheme="minorHAnsi"/>
          <w:b/>
          <w:bCs/>
        </w:rPr>
        <w:t xml:space="preserve">cohort of </w:t>
      </w:r>
      <w:r w:rsidR="0009751C" w:rsidRPr="002756B1">
        <w:rPr>
          <w:rFonts w:cstheme="minorHAnsi"/>
          <w:b/>
          <w:bCs/>
        </w:rPr>
        <w:t xml:space="preserve">paediatric inflammatory bowel disease </w:t>
      </w:r>
      <w:r w:rsidR="00E522EB">
        <w:rPr>
          <w:rFonts w:cstheme="minorHAnsi"/>
          <w:b/>
          <w:bCs/>
        </w:rPr>
        <w:t>patients</w:t>
      </w:r>
    </w:p>
    <w:p w14:paraId="23670406" w14:textId="75651C4B" w:rsidR="0009751C" w:rsidRPr="002756B1" w:rsidRDefault="0009751C" w:rsidP="002C4DEF">
      <w:pPr>
        <w:spacing w:line="480" w:lineRule="auto"/>
        <w:rPr>
          <w:rFonts w:cstheme="minorHAnsi"/>
          <w:vertAlign w:val="superscript"/>
        </w:rPr>
      </w:pPr>
      <w:r w:rsidRPr="002756B1">
        <w:rPr>
          <w:rFonts w:cstheme="minorHAnsi"/>
        </w:rPr>
        <w:t>James J Ashton</w:t>
      </w:r>
      <w:r w:rsidRPr="002756B1">
        <w:rPr>
          <w:rFonts w:cstheme="minorHAnsi"/>
          <w:vertAlign w:val="superscript"/>
        </w:rPr>
        <w:t>1,2</w:t>
      </w:r>
      <w:r w:rsidRPr="002756B1">
        <w:rPr>
          <w:rFonts w:cstheme="minorHAnsi"/>
        </w:rPr>
        <w:t xml:space="preserve">, Luise </w:t>
      </w:r>
      <w:r w:rsidR="00C53B96">
        <w:rPr>
          <w:rFonts w:cstheme="minorHAnsi"/>
        </w:rPr>
        <w:t xml:space="preserve">V. </w:t>
      </w:r>
      <w:r w:rsidRPr="002756B1">
        <w:rPr>
          <w:rFonts w:cstheme="minorHAnsi"/>
        </w:rPr>
        <w:t>Marino</w:t>
      </w:r>
      <w:r w:rsidRPr="002756B1">
        <w:rPr>
          <w:rFonts w:cstheme="minorHAnsi"/>
          <w:vertAlign w:val="superscript"/>
        </w:rPr>
        <w:t>3</w:t>
      </w:r>
      <w:r w:rsidRPr="002756B1">
        <w:rPr>
          <w:rFonts w:cstheme="minorHAnsi"/>
        </w:rPr>
        <w:t xml:space="preserve">, </w:t>
      </w:r>
      <w:r w:rsidR="00D20A98">
        <w:rPr>
          <w:rFonts w:cstheme="minorHAnsi"/>
        </w:rPr>
        <w:t>Mark J Johnson</w:t>
      </w:r>
      <w:r w:rsidR="00D20A98" w:rsidRPr="002756B1">
        <w:rPr>
          <w:rFonts w:cstheme="minorHAnsi"/>
          <w:vertAlign w:val="superscript"/>
        </w:rPr>
        <w:t>4</w:t>
      </w:r>
      <w:r w:rsidR="00D20A98">
        <w:rPr>
          <w:rFonts w:cstheme="minorHAnsi"/>
          <w:vertAlign w:val="superscript"/>
        </w:rPr>
        <w:t>,5</w:t>
      </w:r>
      <w:r w:rsidR="00D20A98">
        <w:rPr>
          <w:rFonts w:cstheme="minorHAnsi"/>
        </w:rPr>
        <w:t xml:space="preserve">, </w:t>
      </w:r>
      <w:r w:rsidRPr="002756B1">
        <w:rPr>
          <w:rFonts w:cstheme="minorHAnsi"/>
        </w:rPr>
        <w:t>Colin Newell</w:t>
      </w:r>
      <w:r w:rsidRPr="002756B1">
        <w:rPr>
          <w:rFonts w:cstheme="minorHAnsi"/>
          <w:vertAlign w:val="superscript"/>
        </w:rPr>
        <w:t>4</w:t>
      </w:r>
      <w:r w:rsidRPr="002756B1">
        <w:rPr>
          <w:rFonts w:cstheme="minorHAnsi"/>
        </w:rPr>
        <w:t>, Gabrielle Price</w:t>
      </w:r>
      <w:r w:rsidRPr="002756B1">
        <w:rPr>
          <w:rFonts w:cstheme="minorHAnsi"/>
          <w:vertAlign w:val="superscript"/>
        </w:rPr>
        <w:t>4</w:t>
      </w:r>
      <w:r w:rsidRPr="002756B1">
        <w:rPr>
          <w:rFonts w:cstheme="minorHAnsi"/>
        </w:rPr>
        <w:t>, Helen Dewar</w:t>
      </w:r>
      <w:r w:rsidRPr="002756B1">
        <w:rPr>
          <w:rFonts w:cstheme="minorHAnsi"/>
          <w:vertAlign w:val="superscript"/>
        </w:rPr>
        <w:t>4</w:t>
      </w:r>
      <w:r w:rsidRPr="002756B1">
        <w:rPr>
          <w:rFonts w:cstheme="minorHAnsi"/>
        </w:rPr>
        <w:t>, Rachel Brampton</w:t>
      </w:r>
      <w:r w:rsidRPr="002756B1">
        <w:rPr>
          <w:rFonts w:cstheme="minorHAnsi"/>
          <w:vertAlign w:val="superscript"/>
        </w:rPr>
        <w:t>4</w:t>
      </w:r>
      <w:r w:rsidRPr="002756B1">
        <w:rPr>
          <w:rFonts w:cstheme="minorHAnsi"/>
        </w:rPr>
        <w:t xml:space="preserve">, </w:t>
      </w:r>
      <w:r w:rsidR="00D20A98">
        <w:rPr>
          <w:rFonts w:cstheme="minorHAnsi"/>
        </w:rPr>
        <w:t>Sarah Ennis</w:t>
      </w:r>
      <w:r w:rsidR="00D20A98" w:rsidRPr="002756B1">
        <w:rPr>
          <w:rFonts w:cstheme="minorHAnsi"/>
          <w:vertAlign w:val="superscript"/>
        </w:rPr>
        <w:t>2</w:t>
      </w:r>
      <w:r w:rsidR="00D20A98">
        <w:rPr>
          <w:rFonts w:cstheme="minorHAnsi"/>
        </w:rPr>
        <w:t xml:space="preserve">, </w:t>
      </w:r>
      <w:r w:rsidRPr="002756B1">
        <w:rPr>
          <w:rFonts w:cstheme="minorHAnsi"/>
        </w:rPr>
        <w:t>Mark Griffiths</w:t>
      </w:r>
      <w:r w:rsidR="00D20A98">
        <w:rPr>
          <w:rFonts w:cstheme="minorHAnsi"/>
          <w:vertAlign w:val="superscript"/>
        </w:rPr>
        <w:t>6</w:t>
      </w:r>
      <w:r w:rsidRPr="002756B1">
        <w:rPr>
          <w:rFonts w:cstheme="minorHAnsi"/>
        </w:rPr>
        <w:t>, Tracy Coelho</w:t>
      </w:r>
      <w:r w:rsidRPr="002756B1">
        <w:rPr>
          <w:rFonts w:cstheme="minorHAnsi"/>
          <w:vertAlign w:val="superscript"/>
        </w:rPr>
        <w:t>1</w:t>
      </w:r>
      <w:r w:rsidRPr="002756B1">
        <w:rPr>
          <w:rFonts w:cstheme="minorHAnsi"/>
        </w:rPr>
        <w:t>, Akshay Batra</w:t>
      </w:r>
      <w:r w:rsidRPr="002756B1">
        <w:rPr>
          <w:rFonts w:cstheme="minorHAnsi"/>
          <w:vertAlign w:val="superscript"/>
        </w:rPr>
        <w:t>1</w:t>
      </w:r>
      <w:r w:rsidRPr="002756B1">
        <w:rPr>
          <w:rFonts w:cstheme="minorHAnsi"/>
        </w:rPr>
        <w:t>, Nadeem Afzal</w:t>
      </w:r>
      <w:r w:rsidRPr="002756B1">
        <w:rPr>
          <w:rFonts w:cstheme="minorHAnsi"/>
          <w:vertAlign w:val="superscript"/>
        </w:rPr>
        <w:t>1</w:t>
      </w:r>
      <w:r w:rsidRPr="002756B1">
        <w:rPr>
          <w:rFonts w:cstheme="minorHAnsi"/>
        </w:rPr>
        <w:t>, and</w:t>
      </w:r>
      <w:r w:rsidR="00C94FB6">
        <w:rPr>
          <w:rFonts w:cstheme="minorHAnsi"/>
        </w:rPr>
        <w:t xml:space="preserve"> R</w:t>
      </w:r>
      <w:r w:rsidRPr="002756B1">
        <w:rPr>
          <w:rFonts w:cstheme="minorHAnsi"/>
        </w:rPr>
        <w:t xml:space="preserve"> Mark Beattie</w:t>
      </w:r>
      <w:r w:rsidRPr="002756B1">
        <w:rPr>
          <w:rFonts w:cstheme="minorHAnsi"/>
          <w:vertAlign w:val="superscript"/>
        </w:rPr>
        <w:t>1</w:t>
      </w:r>
    </w:p>
    <w:p w14:paraId="42123092" w14:textId="77777777" w:rsidR="0009751C" w:rsidRPr="002756B1" w:rsidRDefault="0009751C" w:rsidP="0009751C">
      <w:pPr>
        <w:pStyle w:val="ListParagraph"/>
        <w:numPr>
          <w:ilvl w:val="0"/>
          <w:numId w:val="1"/>
        </w:numPr>
        <w:spacing w:line="480" w:lineRule="auto"/>
        <w:rPr>
          <w:rFonts w:cstheme="minorHAnsi"/>
        </w:rPr>
      </w:pPr>
      <w:r w:rsidRPr="002756B1">
        <w:rPr>
          <w:rFonts w:cstheme="minorHAnsi"/>
        </w:rPr>
        <w:t>Department of Paediatric Gastroenterology, Southampton Children’s Hospital, Southampton, UK</w:t>
      </w:r>
    </w:p>
    <w:p w14:paraId="4EDE3B70" w14:textId="77777777" w:rsidR="0009751C" w:rsidRPr="002756B1" w:rsidRDefault="0009751C" w:rsidP="0009751C">
      <w:pPr>
        <w:pStyle w:val="ListParagraph"/>
        <w:numPr>
          <w:ilvl w:val="0"/>
          <w:numId w:val="1"/>
        </w:numPr>
        <w:spacing w:line="480" w:lineRule="auto"/>
        <w:rPr>
          <w:rFonts w:cstheme="minorHAnsi"/>
        </w:rPr>
      </w:pPr>
      <w:r w:rsidRPr="002756B1">
        <w:rPr>
          <w:rFonts w:cstheme="minorHAnsi"/>
        </w:rPr>
        <w:t>Human Genetics and Genomic Medicine, University of Southampton, Southampton, UK</w:t>
      </w:r>
    </w:p>
    <w:p w14:paraId="19EC8F79" w14:textId="34DE8697" w:rsidR="0009751C" w:rsidRPr="002756B1" w:rsidRDefault="0009751C" w:rsidP="0009751C">
      <w:pPr>
        <w:pStyle w:val="ListParagraph"/>
        <w:numPr>
          <w:ilvl w:val="0"/>
          <w:numId w:val="1"/>
        </w:numPr>
        <w:spacing w:line="480" w:lineRule="auto"/>
        <w:rPr>
          <w:rFonts w:cstheme="minorHAnsi"/>
        </w:rPr>
      </w:pPr>
      <w:r w:rsidRPr="002756B1">
        <w:rPr>
          <w:rFonts w:cstheme="minorHAnsi"/>
        </w:rPr>
        <w:t>Department of Dietetics/SLT, University Hospital Southampton Foundation NHS Trust, Southampton, UK</w:t>
      </w:r>
    </w:p>
    <w:p w14:paraId="7C51FFF1" w14:textId="77777777" w:rsidR="00D20A98" w:rsidRDefault="00D20A98" w:rsidP="00D20A98">
      <w:pPr>
        <w:pStyle w:val="ListParagraph"/>
        <w:numPr>
          <w:ilvl w:val="0"/>
          <w:numId w:val="1"/>
        </w:numPr>
        <w:spacing w:line="480" w:lineRule="auto"/>
        <w:rPr>
          <w:rFonts w:cstheme="minorHAnsi"/>
        </w:rPr>
      </w:pPr>
      <w:r w:rsidRPr="00D20A98">
        <w:rPr>
          <w:rFonts w:cstheme="minorHAnsi"/>
        </w:rPr>
        <w:t>National Institute for Health Research, Southampton Biomedical Research Centre, University Hospital Southampton NHS Foundation Trust and University of Southampton, Southampton, UK</w:t>
      </w:r>
    </w:p>
    <w:p w14:paraId="2A917694" w14:textId="77777777" w:rsidR="00D20A98" w:rsidRPr="00D20A98" w:rsidRDefault="00D20A98" w:rsidP="00D20A98">
      <w:pPr>
        <w:pStyle w:val="ListParagraph"/>
        <w:numPr>
          <w:ilvl w:val="0"/>
          <w:numId w:val="1"/>
        </w:numPr>
        <w:spacing w:line="480" w:lineRule="auto"/>
        <w:rPr>
          <w:rFonts w:cstheme="minorHAnsi"/>
        </w:rPr>
      </w:pPr>
      <w:r w:rsidRPr="00D20A98">
        <w:rPr>
          <w:rFonts w:cstheme="minorHAnsi"/>
        </w:rPr>
        <w:t>Department of Neonatal Medicine, Princess Anne Hospital, University Hospital Southampton NHS Foundation Trust, Southampton, UK</w:t>
      </w:r>
    </w:p>
    <w:p w14:paraId="3E9B0ED4" w14:textId="7C6208F4" w:rsidR="0009751C" w:rsidRPr="002756B1" w:rsidRDefault="0009751C" w:rsidP="00D20A98">
      <w:pPr>
        <w:pStyle w:val="ListParagraph"/>
        <w:numPr>
          <w:ilvl w:val="0"/>
          <w:numId w:val="1"/>
        </w:numPr>
        <w:spacing w:line="480" w:lineRule="auto"/>
        <w:rPr>
          <w:rFonts w:cstheme="minorHAnsi"/>
        </w:rPr>
      </w:pPr>
      <w:r w:rsidRPr="002756B1">
        <w:rPr>
          <w:rFonts w:cstheme="minorHAnsi"/>
        </w:rPr>
        <w:t xml:space="preserve">Department of Paediatric Radiology, Southampton Children’s Hospital, Southampton, UK </w:t>
      </w:r>
    </w:p>
    <w:p w14:paraId="5FD47425" w14:textId="77777777" w:rsidR="002E5A1A" w:rsidRPr="002756B1" w:rsidRDefault="002E5A1A" w:rsidP="002E5A1A">
      <w:pPr>
        <w:rPr>
          <w:rFonts w:cstheme="minorHAnsi"/>
        </w:rPr>
      </w:pPr>
      <w:r w:rsidRPr="002756B1">
        <w:rPr>
          <w:rFonts w:cstheme="minorHAnsi"/>
        </w:rPr>
        <w:t>Correspondence to-</w:t>
      </w:r>
    </w:p>
    <w:p w14:paraId="7478914B" w14:textId="77777777" w:rsidR="002E5A1A" w:rsidRPr="002756B1" w:rsidRDefault="002E5A1A" w:rsidP="002E5A1A">
      <w:pPr>
        <w:rPr>
          <w:rFonts w:cstheme="minorHAnsi"/>
        </w:rPr>
      </w:pPr>
      <w:r w:rsidRPr="002756B1">
        <w:rPr>
          <w:rFonts w:cstheme="minorHAnsi"/>
        </w:rPr>
        <w:t xml:space="preserve">Professor R Mark Beattie </w:t>
      </w:r>
    </w:p>
    <w:p w14:paraId="506AF2FD" w14:textId="77777777" w:rsidR="002E5A1A" w:rsidRPr="002756B1" w:rsidRDefault="002E5A1A" w:rsidP="002E5A1A">
      <w:pPr>
        <w:rPr>
          <w:rFonts w:cstheme="minorHAnsi"/>
        </w:rPr>
      </w:pPr>
      <w:r w:rsidRPr="002756B1">
        <w:rPr>
          <w:rFonts w:cstheme="minorHAnsi"/>
        </w:rPr>
        <w:t xml:space="preserve">Department of Paediatric Gastroenterology, </w:t>
      </w:r>
    </w:p>
    <w:p w14:paraId="31F8C0C8" w14:textId="77777777" w:rsidR="002E5A1A" w:rsidRPr="002756B1" w:rsidRDefault="002E5A1A" w:rsidP="002E5A1A">
      <w:pPr>
        <w:rPr>
          <w:rFonts w:cstheme="minorHAnsi"/>
        </w:rPr>
      </w:pPr>
      <w:r w:rsidRPr="002756B1">
        <w:rPr>
          <w:rFonts w:cstheme="minorHAnsi"/>
        </w:rPr>
        <w:t xml:space="preserve">Southampton Children’s Hospital, </w:t>
      </w:r>
    </w:p>
    <w:p w14:paraId="2F088F93" w14:textId="77777777" w:rsidR="002E5A1A" w:rsidRPr="002756B1" w:rsidRDefault="002E5A1A" w:rsidP="002E5A1A">
      <w:pPr>
        <w:rPr>
          <w:rFonts w:cstheme="minorHAnsi"/>
        </w:rPr>
      </w:pPr>
      <w:r w:rsidRPr="002756B1">
        <w:rPr>
          <w:rFonts w:cstheme="minorHAnsi"/>
        </w:rPr>
        <w:t>University Hospitals Southampton</w:t>
      </w:r>
    </w:p>
    <w:p w14:paraId="7678C8D9" w14:textId="77777777" w:rsidR="002E5A1A" w:rsidRPr="002756B1" w:rsidRDefault="002E5A1A" w:rsidP="002E5A1A">
      <w:pPr>
        <w:rPr>
          <w:rFonts w:cstheme="minorHAnsi"/>
        </w:rPr>
      </w:pPr>
      <w:r w:rsidRPr="002756B1">
        <w:rPr>
          <w:rFonts w:cstheme="minorHAnsi"/>
        </w:rPr>
        <w:t>Tremona Road</w:t>
      </w:r>
    </w:p>
    <w:p w14:paraId="12BE33DB" w14:textId="77777777" w:rsidR="002E5A1A" w:rsidRPr="002756B1" w:rsidRDefault="002E5A1A" w:rsidP="002E5A1A">
      <w:pPr>
        <w:rPr>
          <w:rFonts w:cstheme="minorHAnsi"/>
        </w:rPr>
      </w:pPr>
      <w:r w:rsidRPr="002756B1">
        <w:rPr>
          <w:rFonts w:cstheme="minorHAnsi"/>
        </w:rPr>
        <w:t>Southampton</w:t>
      </w:r>
    </w:p>
    <w:p w14:paraId="25D81853" w14:textId="77777777" w:rsidR="002E5A1A" w:rsidRPr="002756B1" w:rsidRDefault="002E5A1A" w:rsidP="002E5A1A">
      <w:pPr>
        <w:rPr>
          <w:rFonts w:cstheme="minorHAnsi"/>
        </w:rPr>
      </w:pPr>
      <w:r w:rsidRPr="002756B1">
        <w:rPr>
          <w:rFonts w:cstheme="minorHAnsi"/>
        </w:rPr>
        <w:t>SO16 6YD</w:t>
      </w:r>
    </w:p>
    <w:p w14:paraId="6E29F1BB" w14:textId="77777777" w:rsidR="002E5A1A" w:rsidRPr="002756B1" w:rsidRDefault="002E5A1A" w:rsidP="002E5A1A">
      <w:pPr>
        <w:rPr>
          <w:rFonts w:cstheme="minorHAnsi"/>
        </w:rPr>
      </w:pPr>
      <w:r w:rsidRPr="002756B1">
        <w:rPr>
          <w:rFonts w:cstheme="minorHAnsi"/>
        </w:rPr>
        <w:t>UK</w:t>
      </w:r>
    </w:p>
    <w:p w14:paraId="07888FB8" w14:textId="6245A726" w:rsidR="000B6E90" w:rsidRPr="002756B1" w:rsidRDefault="00C6772A" w:rsidP="002E5A1A">
      <w:pPr>
        <w:rPr>
          <w:rFonts w:cstheme="minorHAnsi"/>
        </w:rPr>
      </w:pPr>
      <w:hyperlink r:id="rId6" w:history="1">
        <w:r w:rsidR="002E5A1A" w:rsidRPr="002756B1">
          <w:rPr>
            <w:rStyle w:val="Hyperlink"/>
            <w:rFonts w:cstheme="minorHAnsi"/>
          </w:rPr>
          <w:t>Mark.beattie@uhs.nhs.uk</w:t>
        </w:r>
      </w:hyperlink>
      <w:r w:rsidR="002E5A1A" w:rsidRPr="002756B1">
        <w:rPr>
          <w:rFonts w:cstheme="minorHAnsi"/>
        </w:rPr>
        <w:t xml:space="preserve">     </w:t>
      </w:r>
    </w:p>
    <w:p w14:paraId="11B661FE" w14:textId="1CD9F6DC" w:rsidR="00156914" w:rsidRPr="002756B1" w:rsidRDefault="00156914">
      <w:pPr>
        <w:rPr>
          <w:rFonts w:cstheme="minorHAnsi"/>
        </w:rPr>
      </w:pPr>
    </w:p>
    <w:p w14:paraId="6ABEADB9" w14:textId="5759C4FA" w:rsidR="00156914" w:rsidRPr="002756B1" w:rsidRDefault="00156914" w:rsidP="002E5A1A">
      <w:pPr>
        <w:tabs>
          <w:tab w:val="left" w:pos="1870"/>
        </w:tabs>
        <w:spacing w:line="480" w:lineRule="auto"/>
        <w:rPr>
          <w:rFonts w:cstheme="minorHAnsi"/>
          <w:b/>
          <w:bCs/>
          <w:u w:val="single"/>
        </w:rPr>
      </w:pPr>
      <w:r w:rsidRPr="002756B1">
        <w:rPr>
          <w:rFonts w:cstheme="minorHAnsi"/>
          <w:b/>
          <w:bCs/>
          <w:u w:val="single"/>
        </w:rPr>
        <w:lastRenderedPageBreak/>
        <w:t>Abstract</w:t>
      </w:r>
    </w:p>
    <w:p w14:paraId="29E698F7" w14:textId="5CCAFE47" w:rsidR="002E5A1A" w:rsidRPr="00FC5A5E" w:rsidRDefault="002E5A1A" w:rsidP="002E5A1A">
      <w:pPr>
        <w:tabs>
          <w:tab w:val="left" w:pos="1870"/>
        </w:tabs>
        <w:spacing w:line="480" w:lineRule="auto"/>
        <w:rPr>
          <w:rFonts w:cstheme="minorHAnsi"/>
        </w:rPr>
      </w:pPr>
      <w:r w:rsidRPr="002756B1">
        <w:rPr>
          <w:rFonts w:cstheme="minorHAnsi"/>
          <w:b/>
          <w:bCs/>
        </w:rPr>
        <w:t>Background</w:t>
      </w:r>
      <w:r w:rsidR="00C7430C" w:rsidRPr="002756B1">
        <w:rPr>
          <w:rFonts w:cstheme="minorHAnsi"/>
          <w:b/>
          <w:bCs/>
        </w:rPr>
        <w:t>-</w:t>
      </w:r>
      <w:r w:rsidR="00FC5A5E">
        <w:rPr>
          <w:rFonts w:cstheme="minorHAnsi"/>
          <w:b/>
          <w:bCs/>
        </w:rPr>
        <w:t xml:space="preserve"> </w:t>
      </w:r>
      <w:r w:rsidR="00FC5A5E">
        <w:rPr>
          <w:rFonts w:cstheme="minorHAnsi"/>
        </w:rPr>
        <w:t xml:space="preserve">Nutritional assessment in paediatric inflammatory bowel disease (IBD) is key to </w:t>
      </w:r>
      <w:r w:rsidR="00E7254C">
        <w:rPr>
          <w:rFonts w:cstheme="minorHAnsi"/>
        </w:rPr>
        <w:t>supporting</w:t>
      </w:r>
      <w:r w:rsidR="00FC5A5E">
        <w:rPr>
          <w:rFonts w:cstheme="minorHAnsi"/>
        </w:rPr>
        <w:t xml:space="preserve"> growth whilst minimising adiposity.</w:t>
      </w:r>
      <w:r w:rsidR="001D1EB6">
        <w:rPr>
          <w:rFonts w:cstheme="minorHAnsi"/>
        </w:rPr>
        <w:t xml:space="preserve"> Bedside assessment using bioelectrical impedance spectroscopy (BIS) has previous identified patients with </w:t>
      </w:r>
      <w:r w:rsidR="00E7254C">
        <w:rPr>
          <w:rFonts w:cstheme="minorHAnsi"/>
        </w:rPr>
        <w:t xml:space="preserve">declining </w:t>
      </w:r>
      <w:r w:rsidR="001D1EB6">
        <w:rPr>
          <w:rFonts w:cstheme="minorHAnsi"/>
        </w:rPr>
        <w:t>cellular and nutritional health.</w:t>
      </w:r>
      <w:r w:rsidR="00522EBE">
        <w:rPr>
          <w:rFonts w:cstheme="minorHAnsi"/>
        </w:rPr>
        <w:t xml:space="preserve"> We aimed to assess BIS measures in stable paediatric IBD patient. </w:t>
      </w:r>
    </w:p>
    <w:p w14:paraId="6EE412CF" w14:textId="34967391" w:rsidR="002E5A1A" w:rsidRPr="001D1EB6" w:rsidRDefault="002E5A1A" w:rsidP="002E5A1A">
      <w:pPr>
        <w:tabs>
          <w:tab w:val="left" w:pos="1870"/>
        </w:tabs>
        <w:spacing w:line="480" w:lineRule="auto"/>
        <w:rPr>
          <w:rFonts w:cstheme="minorHAnsi"/>
        </w:rPr>
      </w:pPr>
      <w:r w:rsidRPr="002756B1">
        <w:rPr>
          <w:rFonts w:cstheme="minorHAnsi"/>
          <w:b/>
          <w:bCs/>
        </w:rPr>
        <w:t>Methods</w:t>
      </w:r>
      <w:bookmarkStart w:id="0" w:name="_Hlk73097922"/>
      <w:r w:rsidR="00C7430C" w:rsidRPr="002756B1">
        <w:rPr>
          <w:rFonts w:cstheme="minorHAnsi"/>
          <w:b/>
          <w:bCs/>
        </w:rPr>
        <w:t>-</w:t>
      </w:r>
      <w:r w:rsidR="001D1EB6">
        <w:rPr>
          <w:rFonts w:cstheme="minorHAnsi"/>
          <w:b/>
          <w:bCs/>
        </w:rPr>
        <w:t xml:space="preserve"> </w:t>
      </w:r>
      <w:r w:rsidR="002222D5">
        <w:rPr>
          <w:rFonts w:cstheme="minorHAnsi"/>
        </w:rPr>
        <w:t>Stable</w:t>
      </w:r>
      <w:r w:rsidR="001D1EB6">
        <w:rPr>
          <w:rFonts w:cstheme="minorHAnsi"/>
        </w:rPr>
        <w:t xml:space="preserve"> IBD patients were recruited at routine hospital visits. All patients underwent BIS, anthropometry and disease activity assessment</w:t>
      </w:r>
      <w:bookmarkEnd w:id="0"/>
      <w:r w:rsidR="001D1EB6">
        <w:rPr>
          <w:rFonts w:cstheme="minorHAnsi"/>
        </w:rPr>
        <w:t xml:space="preserve">. Multivariable regression and receiver operator curve </w:t>
      </w:r>
      <w:r w:rsidR="00CE5546">
        <w:rPr>
          <w:rFonts w:cstheme="minorHAnsi"/>
        </w:rPr>
        <w:t xml:space="preserve">(ROC) </w:t>
      </w:r>
      <w:r w:rsidR="001D1EB6">
        <w:rPr>
          <w:rFonts w:cstheme="minorHAnsi"/>
        </w:rPr>
        <w:t>analys</w:t>
      </w:r>
      <w:r w:rsidR="00014F75">
        <w:rPr>
          <w:rFonts w:cstheme="minorHAnsi"/>
        </w:rPr>
        <w:t>es</w:t>
      </w:r>
      <w:r w:rsidR="001D1EB6">
        <w:rPr>
          <w:rFonts w:cstheme="minorHAnsi"/>
        </w:rPr>
        <w:t xml:space="preserve"> </w:t>
      </w:r>
      <w:r w:rsidR="00014F75">
        <w:rPr>
          <w:rFonts w:cstheme="minorHAnsi"/>
        </w:rPr>
        <w:t>were</w:t>
      </w:r>
      <w:r w:rsidR="001D1EB6">
        <w:rPr>
          <w:rFonts w:cstheme="minorHAnsi"/>
        </w:rPr>
        <w:t xml:space="preserve"> undertaken to assess the utility of BIS</w:t>
      </w:r>
      <w:r w:rsidR="00CE5546">
        <w:rPr>
          <w:rFonts w:cstheme="minorHAnsi"/>
        </w:rPr>
        <w:t xml:space="preserve"> phase angle 50KHz (PA-50) and 200/5KHz impedance ratio (IR)</w:t>
      </w:r>
      <w:r w:rsidR="001D1EB6">
        <w:rPr>
          <w:rFonts w:cstheme="minorHAnsi"/>
        </w:rPr>
        <w:t xml:space="preserve"> in nutritional assessment. </w:t>
      </w:r>
    </w:p>
    <w:p w14:paraId="1B3793B9" w14:textId="100B691E" w:rsidR="002E5A1A" w:rsidRDefault="002E5A1A" w:rsidP="002E5A1A">
      <w:pPr>
        <w:tabs>
          <w:tab w:val="left" w:pos="1870"/>
        </w:tabs>
        <w:spacing w:line="480" w:lineRule="auto"/>
        <w:rPr>
          <w:rFonts w:cstheme="minorHAnsi"/>
        </w:rPr>
      </w:pPr>
      <w:r w:rsidRPr="002756B1">
        <w:rPr>
          <w:rFonts w:cstheme="minorHAnsi"/>
          <w:b/>
          <w:bCs/>
        </w:rPr>
        <w:t>Results</w:t>
      </w:r>
      <w:r w:rsidR="00C7430C" w:rsidRPr="002756B1">
        <w:rPr>
          <w:rFonts w:cstheme="minorHAnsi"/>
          <w:b/>
          <w:bCs/>
        </w:rPr>
        <w:t>-</w:t>
      </w:r>
      <w:r w:rsidRPr="002756B1">
        <w:rPr>
          <w:rFonts w:cstheme="minorHAnsi"/>
          <w:b/>
          <w:bCs/>
        </w:rPr>
        <w:t xml:space="preserve"> </w:t>
      </w:r>
      <w:r w:rsidR="001D1EB6">
        <w:rPr>
          <w:rFonts w:cstheme="minorHAnsi"/>
        </w:rPr>
        <w:t>There were 140 study visits from 97 patients, mean age 14.49 years, 62.9% Crohn’s disease.</w:t>
      </w:r>
      <w:r w:rsidR="00014F75">
        <w:rPr>
          <w:rFonts w:cstheme="minorHAnsi"/>
        </w:rPr>
        <w:t xml:space="preserve"> M</w:t>
      </w:r>
      <w:r w:rsidR="001D1EB6">
        <w:rPr>
          <w:rFonts w:cstheme="minorHAnsi"/>
        </w:rPr>
        <w:t xml:space="preserve">ean </w:t>
      </w:r>
      <w:r w:rsidR="002222D5">
        <w:rPr>
          <w:rFonts w:cstheme="minorHAnsi"/>
        </w:rPr>
        <w:t xml:space="preserve">BMI Z-score (BMIZ) </w:t>
      </w:r>
      <w:r w:rsidR="001D1EB6">
        <w:rPr>
          <w:rFonts w:cstheme="minorHAnsi"/>
        </w:rPr>
        <w:t>was 0.31 (range -2.97 to 3.99), 3</w:t>
      </w:r>
      <w:r w:rsidR="001F5287">
        <w:rPr>
          <w:rFonts w:cstheme="minorHAnsi"/>
        </w:rPr>
        <w:t>3</w:t>
      </w:r>
      <w:r w:rsidR="001D1EB6">
        <w:rPr>
          <w:rFonts w:cstheme="minorHAnsi"/>
        </w:rPr>
        <w:t>% of patients were overweight (</w:t>
      </w:r>
      <w:r w:rsidR="002222D5">
        <w:rPr>
          <w:rFonts w:cstheme="minorHAnsi"/>
        </w:rPr>
        <w:t>BMI</w:t>
      </w:r>
      <w:r w:rsidR="001F5287">
        <w:rPr>
          <w:rFonts w:cstheme="minorHAnsi"/>
        </w:rPr>
        <w:t>Z</w:t>
      </w:r>
      <w:r w:rsidR="001D1EB6">
        <w:rPr>
          <w:rFonts w:cstheme="minorHAnsi"/>
        </w:rPr>
        <w:t>&gt;1)</w:t>
      </w:r>
      <w:r w:rsidR="00CE5546">
        <w:rPr>
          <w:rFonts w:cstheme="minorHAnsi"/>
        </w:rPr>
        <w:t xml:space="preserve"> and 13.</w:t>
      </w:r>
      <w:r w:rsidR="001F5287">
        <w:rPr>
          <w:rFonts w:cstheme="minorHAnsi"/>
        </w:rPr>
        <w:t>8</w:t>
      </w:r>
      <w:r w:rsidR="00CE5546">
        <w:rPr>
          <w:rFonts w:cstheme="minorHAnsi"/>
        </w:rPr>
        <w:t>% of patients were underweight (</w:t>
      </w:r>
      <w:r w:rsidR="002222D5">
        <w:rPr>
          <w:rFonts w:cstheme="minorHAnsi"/>
        </w:rPr>
        <w:t>BMIZ</w:t>
      </w:r>
      <w:r w:rsidR="00CE5546">
        <w:rPr>
          <w:rFonts w:cstheme="minorHAnsi"/>
        </w:rPr>
        <w:t>&lt;-1). Crohn’s disease patients had a lower mean BMIZ score 0.14, compared to ulcerative colitis</w:t>
      </w:r>
      <w:r w:rsidR="00E7254C">
        <w:rPr>
          <w:rFonts w:cstheme="minorHAnsi"/>
        </w:rPr>
        <w:t xml:space="preserve">, </w:t>
      </w:r>
      <w:r w:rsidR="00CE5546">
        <w:rPr>
          <w:rFonts w:cstheme="minorHAnsi"/>
        </w:rPr>
        <w:t>0.68, p=0</w:t>
      </w:r>
      <w:r w:rsidR="00CE5546" w:rsidRPr="005C085D">
        <w:rPr>
          <w:rFonts w:cstheme="minorHAnsi"/>
        </w:rPr>
        <w:t>.007</w:t>
      </w:r>
      <w:r w:rsidR="00CE5546">
        <w:rPr>
          <w:rFonts w:cstheme="minorHAnsi"/>
        </w:rPr>
        <w:t xml:space="preserve">. </w:t>
      </w:r>
    </w:p>
    <w:p w14:paraId="00639A6E" w14:textId="68E47214" w:rsidR="00CE5546" w:rsidRPr="001D1EB6" w:rsidRDefault="00CE5546" w:rsidP="002E5A1A">
      <w:pPr>
        <w:tabs>
          <w:tab w:val="left" w:pos="1870"/>
        </w:tabs>
        <w:spacing w:line="480" w:lineRule="auto"/>
        <w:rPr>
          <w:rFonts w:cstheme="minorHAnsi"/>
        </w:rPr>
      </w:pPr>
      <w:r>
        <w:rPr>
          <w:rFonts w:cstheme="minorHAnsi"/>
        </w:rPr>
        <w:t xml:space="preserve">There was no relationship between PA-50 and BMIZ or disease activity. IR was not related to disease activity but was negatively related to BMIZ in a multivariable regression, accounting for age, sex and disease subtype (beta -0.331, p=0.001). ROC did not identify a clinically useful cut off for either PA-50 or IR to identify patients with active disease, biologic use or BMIZ&gt;1 or &lt;-1. </w:t>
      </w:r>
    </w:p>
    <w:p w14:paraId="5C51C02A" w14:textId="7289CB1F" w:rsidR="002E5A1A" w:rsidRPr="00CE5546" w:rsidRDefault="002E5A1A" w:rsidP="002E5A1A">
      <w:pPr>
        <w:tabs>
          <w:tab w:val="left" w:pos="1870"/>
        </w:tabs>
        <w:spacing w:line="480" w:lineRule="auto"/>
        <w:rPr>
          <w:rFonts w:cstheme="minorHAnsi"/>
        </w:rPr>
      </w:pPr>
      <w:r w:rsidRPr="002756B1">
        <w:rPr>
          <w:rFonts w:cstheme="minorHAnsi"/>
          <w:b/>
          <w:bCs/>
        </w:rPr>
        <w:t>Conclusion</w:t>
      </w:r>
      <w:r w:rsidR="00C7430C" w:rsidRPr="002756B1">
        <w:rPr>
          <w:rFonts w:cstheme="minorHAnsi"/>
          <w:b/>
          <w:bCs/>
        </w:rPr>
        <w:t>-</w:t>
      </w:r>
      <w:r w:rsidR="00CE5546">
        <w:rPr>
          <w:rFonts w:cstheme="minorHAnsi"/>
          <w:b/>
          <w:bCs/>
        </w:rPr>
        <w:t xml:space="preserve"> </w:t>
      </w:r>
      <w:r w:rsidR="00CE5546">
        <w:rPr>
          <w:rFonts w:cstheme="minorHAnsi"/>
        </w:rPr>
        <w:t xml:space="preserve">BIS appears to have limited added value in nutritional assessment of </w:t>
      </w:r>
      <w:r w:rsidR="002222D5">
        <w:rPr>
          <w:rFonts w:cstheme="minorHAnsi"/>
        </w:rPr>
        <w:t>stable</w:t>
      </w:r>
      <w:r w:rsidR="00CE5546">
        <w:rPr>
          <w:rFonts w:cstheme="minorHAnsi"/>
        </w:rPr>
        <w:t xml:space="preserve"> paediatric IBD patients. Nearly 1/3 patients were overweight and personalised approach to supplementation is vital </w:t>
      </w:r>
      <w:r w:rsidR="00CE5546" w:rsidRPr="002222D5">
        <w:rPr>
          <w:rFonts w:cstheme="minorHAnsi"/>
        </w:rPr>
        <w:t>to avoid overnutrition</w:t>
      </w:r>
      <w:r w:rsidR="002222D5">
        <w:rPr>
          <w:rFonts w:cstheme="minorHAnsi"/>
        </w:rPr>
        <w:t>.</w:t>
      </w:r>
    </w:p>
    <w:p w14:paraId="6625FBF2" w14:textId="77777777" w:rsidR="002E5A1A" w:rsidRPr="002756B1" w:rsidRDefault="002E5A1A" w:rsidP="002E5A1A">
      <w:pPr>
        <w:spacing w:line="480" w:lineRule="auto"/>
        <w:rPr>
          <w:rFonts w:eastAsia="Calibri" w:cstheme="minorHAnsi"/>
          <w:color w:val="FF0000"/>
        </w:rPr>
      </w:pPr>
      <w:r w:rsidRPr="002756B1">
        <w:rPr>
          <w:rFonts w:eastAsia="Calibri" w:cstheme="minorHAnsi"/>
          <w:b/>
          <w:bCs/>
        </w:rPr>
        <w:t>Keywords:</w:t>
      </w:r>
      <w:r w:rsidRPr="002756B1">
        <w:rPr>
          <w:rFonts w:eastAsia="Calibri" w:cstheme="minorHAnsi"/>
        </w:rPr>
        <w:t xml:space="preserve">  phase angle, children, bioelectrical impedance, nutrition, inflammatory bowel disease</w:t>
      </w:r>
    </w:p>
    <w:p w14:paraId="301B8E11" w14:textId="6176A9A4" w:rsidR="00156914" w:rsidRDefault="00156914" w:rsidP="002C4DEF">
      <w:pPr>
        <w:spacing w:line="480" w:lineRule="auto"/>
        <w:rPr>
          <w:rFonts w:cstheme="minorHAnsi"/>
        </w:rPr>
      </w:pPr>
    </w:p>
    <w:p w14:paraId="2056F0EA" w14:textId="77777777" w:rsidR="00E7254C" w:rsidRPr="002756B1" w:rsidRDefault="00E7254C" w:rsidP="002C4DEF">
      <w:pPr>
        <w:spacing w:line="480" w:lineRule="auto"/>
        <w:rPr>
          <w:rFonts w:cstheme="minorHAnsi"/>
        </w:rPr>
      </w:pPr>
    </w:p>
    <w:p w14:paraId="4C615431" w14:textId="37524106" w:rsidR="00372C81" w:rsidRPr="002756B1" w:rsidRDefault="00156914" w:rsidP="002C4DEF">
      <w:pPr>
        <w:spacing w:line="480" w:lineRule="auto"/>
        <w:rPr>
          <w:rFonts w:cstheme="minorHAnsi"/>
          <w:b/>
          <w:bCs/>
          <w:u w:val="single"/>
        </w:rPr>
      </w:pPr>
      <w:r w:rsidRPr="002756B1">
        <w:rPr>
          <w:rFonts w:cstheme="minorHAnsi"/>
          <w:b/>
          <w:bCs/>
          <w:u w:val="single"/>
        </w:rPr>
        <w:lastRenderedPageBreak/>
        <w:t>Introduction</w:t>
      </w:r>
    </w:p>
    <w:p w14:paraId="204F8F50" w14:textId="5C59CB66" w:rsidR="002E5A1A" w:rsidRPr="002756B1" w:rsidRDefault="002E5A1A" w:rsidP="002E5A1A">
      <w:pPr>
        <w:spacing w:line="480" w:lineRule="auto"/>
        <w:rPr>
          <w:rFonts w:cstheme="minorHAnsi"/>
          <w:noProof/>
        </w:rPr>
      </w:pPr>
      <w:r w:rsidRPr="002756B1">
        <w:rPr>
          <w:rFonts w:cstheme="minorHAnsi"/>
          <w:noProof/>
        </w:rPr>
        <w:t xml:space="preserve">Inflammatory bowel disease (IBD) </w:t>
      </w:r>
      <w:r w:rsidR="00C7430C" w:rsidRPr="002756B1">
        <w:rPr>
          <w:rFonts w:cstheme="minorHAnsi"/>
          <w:noProof/>
        </w:rPr>
        <w:t>is a relapsing and remitting inflammatory condition, comprising Crohn’s disease (CD), ulcerative colitis (UC) and IBD unclassified (IBDU)</w:t>
      </w:r>
      <w:r w:rsidRPr="002756B1">
        <w:rPr>
          <w:rFonts w:cstheme="minorHAnsi"/>
          <w:noProof/>
        </w:rPr>
        <w:t xml:space="preserve">. </w:t>
      </w:r>
      <w:r w:rsidR="00C7430C" w:rsidRPr="002756B1">
        <w:rPr>
          <w:rFonts w:cstheme="minorHAnsi"/>
          <w:noProof/>
        </w:rPr>
        <w:t>The incidence and compound prevalence</w:t>
      </w:r>
      <w:r w:rsidRPr="002756B1">
        <w:rPr>
          <w:rFonts w:cstheme="minorHAnsi"/>
          <w:noProof/>
        </w:rPr>
        <w:t xml:space="preserve"> of </w:t>
      </w:r>
      <w:r w:rsidR="00C7430C" w:rsidRPr="002756B1">
        <w:rPr>
          <w:rFonts w:cstheme="minorHAnsi"/>
          <w:noProof/>
        </w:rPr>
        <w:t xml:space="preserve">paediatric and adult-onset </w:t>
      </w:r>
      <w:r w:rsidRPr="002756B1">
        <w:rPr>
          <w:rFonts w:cstheme="minorHAnsi"/>
          <w:noProof/>
        </w:rPr>
        <w:t>IBD is increasing</w:t>
      </w:r>
      <w:r w:rsidR="00C7430C" w:rsidRPr="002756B1">
        <w:rPr>
          <w:rFonts w:cstheme="minorHAnsi"/>
          <w:noProof/>
        </w:rPr>
        <w:t xml:space="preserve"> worldwide</w:t>
      </w:r>
      <w:r w:rsidR="00C7430C" w:rsidRPr="002756B1">
        <w:rPr>
          <w:rFonts w:cstheme="minorHAnsi"/>
          <w:noProof/>
        </w:rPr>
        <w:fldChar w:fldCharType="begin" w:fldLock="1"/>
      </w:r>
      <w:r w:rsidR="00C7430C" w:rsidRPr="002756B1">
        <w:rPr>
          <w:rFonts w:cstheme="minorHAnsi"/>
          <w:noProof/>
        </w:rPr>
        <w:instrText>ADDIN CSL_CITATION {"citationItems":[{"id":"ITEM-1","itemData":{"DOI":"10.1136/archdischild-2018-315038","ISSN":"14682044","PMID":"29519945","abstract":"There has been an increase in the incidence of paediatric inflammatory bowel disease (PIBD) over the last 20 years.1 2 We have previously published data from Wessex, England, reporting an incidence of 9.37/100 000/year (2008–2012), which significantly increased from 5.2/100 000/year in 1998–1999, 6.39/100 000/year in 2002–2006, and 7.82/100 000/year in 2003–2008.1 2 We now report the most recent disease incidence figures for Wessex, England (1 January 2013 to 31 December 2017) and analyse them with previously published Wessex data (1 January 2002 to 21 December 2012) demonstrating the most contemporary incidence and the trend over 16 years. The ‘Wessex’ population was estimated from the Office for National Statistics using defined postcodes, based on the contemporary referral area.1 3 Statistical analyses of the data were conducted …","author":[{"dropping-particle":"","family":"Ashton","given":"J.J.","non-dropping-particle":"","parse-names":false,"suffix":""},{"dropping-particle":"","family":"Cullen","given":"M.","non-dropping-particle":"","parse-names":false,"suffix":""},{"dropping-particle":"","family":"Afzal","given":"N.A.","non-dropping-particle":"","parse-names":false,"suffix":""},{"dropping-particle":"","family":"Coelho","given":"T.","non-dropping-particle":"","parse-names":false,"suffix":""},{"dropping-particle":"","family":"Batra","given":"A.","non-dropping-particle":"","parse-names":false,"suffix":""},{"dropping-particle":"","family":"Beattie","given":"R.M.","non-dropping-particle":"","parse-names":false,"suffix":""}],"container-title":"Archives of Disease in Childhood","id":"ITEM-1","issued":{"date-parts":[["2018"]]},"title":"Is the incidence of paediatric inflammatory bowel disease still increasing?","type":"article-journal"},"uris":["http://www.mendeley.com/documents/?uuid=df683485-833a-3aa2-bf8d-d915fc837f4f"]},{"id":"ITEM-2","itemData":{"DOI":"10.1016/S2468-1253(19)30333-4","ISSN":"24681253","PMID":"31648971","abstract":"Background: The burden of inflammatory bowel disease (IBD) is rising globally, with substantial variation in levels and trends of disease in different countries and regions. Understanding these geographical differences is crucial for formulating effective strategies for preventing and treating IBD. We report the prevalence, mortality, and overall burden of IBD in 195 countries and territories between 1990 and 2017, based on data from the Global Burden of Diseases, Injuries, and Risk Factors Study (GBD) 2017. Methods: We modelled mortality due to IBD using a standard Cause of Death Ensemble model including data mainly from vital registrations. To estimate the non-fatal burden, we used data presented in primary studies, hospital discharges, and claims data, and used DisMod-MR 2.1, a Bayesian meta-regression tool, to ensure consistency between measures. Mortality, prevalence, years of life lost (YLLs) due to premature death, years lived with disability (YLDs), and disability-adjusted life-years (DALYs) were estimated. All of the estimates were reported as numbers and rates per 100 000 population, with 95% uncertainty intervals (UI). Findings: In 2017, there were 6·8 million (95% UI 6·4–7·3) cases of IBD globally. The age-standardised prevalence rate increased from 79·5 (75·9–83·5) per 100 000 population in 1990 to 84·3 (79·2–89·9) per 100 000 population in 2017. The age-standardised death rate decreased from 0·61 (0·55–0·69) per 100 000 population in 1990 to 0·51 (0·42–0·54) per 100 000 population in 2017. At the GBD regional level, the highest age-standardised prevalence rate in 2017 occurred in high-income North America (422·0 [398·7–446·1] per 100 000) and the lowest age-standardised prevalence rates were observed in the Caribbean (6·7 [6·3–7·2] per 100 000 population). High Socio-demographic Index (SDI) locations had the highest age-standardised prevalence rate, while low SDI regions had the lowest age-standardised prevalence rate. At the national level, the USA had the highest age-standardised prevalence rate (464·5 [438·6–490·9] per 100 000 population), followed by the UK (449·6 [420·6–481·6] per 100 000). Vanuatu had the highest age-standardised death rate in 2017 (1·8 [0·8–3·2] per 100 000 population) and Singapore had the lowest (0·08 [0·06–0·14] per 100 000 population). The total YLDs attributed to IBD almost doubled over the study period, from 0·56 million (0·39–0·77) in 1990 to 1·02 million (0·71–1·38) in 2017. The age-standardised rate of DALY…","author":[{"dropping-particle":"","family":"Alatab","given":"Sudabeh","non-dropping-particle":"","parse-names":false,"suffix":""},{"dropping-particle":"","family":"Sepanlou","given":"Sadaf G.","non-dropping-particle":"","parse-names":false,"suffix":""},{"dropping-particle":"","family":"Ikuta","given":"Kevin","non-dropping-particle":"","parse-names":false,"suffix":""},{"dropping-particle":"","family":"Vahedi","given":"Homayoon","non-dropping-particle":"","parse-names":false,"suffix":""},{"dropping-particle":"","family":"Bisignano","given":"Catherine","non-dropping-particle":"","parse-names":false,"suffix":""},{"dropping-particle":"","family":"Safiri","given":"Saeid","non-dropping-particle":"","parse-names":false,"suffix":""},{"dropping-particle":"","family":"Sadeghi","given":"Anahita","non-dropping-particle":"","parse-names":false,"suffix":""},{"dropping-particle":"","family":"Nixon","given":"Molly R.","non-dropping-particle":"","parse-names":false,"suffix":""},{"dropping-particle":"","family":"Abdoli","given":"Amir","non-dropping-particle":"","parse-names":false,"suffix":""},{"dropping-particle":"","family":"Abolhassani","given":"Hassan","non-dropping-particle":"","parse-names":false,"suffix":""},{"dropping-particle":"","family":"Alipour","given":"Vahid","non-dropping-particle":"","parse-names":false,"suffix":""},{"dropping-particle":"","family":"Almadi","given":"Majid A.H.","non-dropping-particle":"","parse-names":false,"suffix":""},{"dropping-particle":"","family":"Almasi-Hashiani","given":"Amir","non-dropping-particle":"","parse-names":false,"suffix":""},{"dropping-particle":"","family":"Anushiravani","given":"Amir","non-dropping-particle":"","parse-names":false,"suffix":""},{"dropping-particle":"","family":"Arabloo","given":"Jalal","non-dropping-particle":"","parse-names":false,"suffix":""},{"dropping-particle":"","family":"Atique","given":"Suleman","non-dropping-particle":"","parse-names":false,"suffix":""},{"dropping-particle":"","family":"Awasthi","given":"Ashish","non-dropping-particle":"","parse-names":false,"suffix":""},{"dropping-particle":"","family":"Badawi","given":"Alaa","non-dropping-particle":"","parse-names":false,"suffix":""},{"dropping-particle":"","family":"Baig","given":"Atif A.A.","non-dropping-particle":"","parse-names":false,"suffix":""},{"dropping-particle":"","family":"Bhala","given":"Neeraj","non-dropping-particle":"","parse-names":false,"suffix":""},{"dropping-particle":"","family":"Bijani","given":"Ali","non-dropping-particle":"","parse-names":false,"suffix":""},{"dropping-particle":"","family":"Biondi","given":"Antonio","non-dropping-particle":"","parse-names":false,"suffix":""},{"dropping-particle":"","family":"Borzì","given":"Antonio M.","non-dropping-particle":"","parse-names":false,"suffix":""},{"dropping-particle":"","family":"Burke","given":"Kristin E.","non-dropping-particle":"","parse-names":false,"suffix":""},{"dropping-particle":"","family":"Carvalho","given":"Félix","non-dropping-particle":"","parse-names":false,"suffix":""},{"dropping-particle":"","family":"Daryani","given":"Ahmad","non-dropping-particle":"","parse-names":false,"suffix":""},{"dropping-particle":"","family":"Dubey","given":"Manisha","non-dropping-particle":"","parse-names":false,"suffix":""},{"dropping-particle":"","family":"Eftekhari","given":"Aziz","non-dropping-particle":"","parse-names":false,"suffix":""},{"dropping-particle":"","family":"Fernandes","given":"Eduarda","non-dropping-particle":"","parse-names":false,"suffix":""},{"dropping-particle":"","family":"Fernandes","given":"João C.","non-dropping-particle":"","parse-names":false,"suffix":""},{"dropping-particle":"","family":"Fischer","given":"Florian","non-dropping-particle":"","parse-names":false,"suffix":""},{"dropping-particle":"","family":"Haj-Mirzaian","given":"Arvin","non-dropping-particle":"","parse-names":false,"suffix":""},{"dropping-particle":"","family":"Haj-Mirzaian","given":"Arya","non-dropping-particle":"","parse-names":false,"suffix":""},{"dropping-particle":"","family":"Hasanzadeh","given":"Amir","non-dropping-particle":"","parse-names":false,"suffix":""},{"dropping-particle":"","family":"Hashemian","given":"Maryam","non-dropping-particle":"","parse-names":false,"suffix":""},{"dropping-particle":"","family":"Hay","given":"Simon I.","non-dropping-particle":"","parse-names":false,"suffix":""},{"dropping-particle":"","family":"Hoang","given":"Chi L.","non-dropping-particle":"","parse-names":false,"suffix":""},{"dropping-particle":"","family":"Househ","given":"Mowafa","non-dropping-particle":"","parse-names":false,"suffix":""},{"dropping-particle":"","family":"Ilesanmi","given":"Olayinka S.","non-dropping-particle":"","parse-names":false,"suffix":""},{"dropping-particle":"","family":"Balalami","given":"Nader Jafari","non-dropping-particle":"","parse-names":false,"suffix":""},{"dropping-particle":"","family":"James","given":"Spencer L.","non-dropping-particle":"","parse-names":false,"suffix":""},{"dropping-particle":"","family":"Kengne","given":"Andre P.","non-dropping-particle":"","parse-names":false,"suffix":""},{"dropping-particle":"","family":"Malekzadeh","given":"Masoud M.","non-dropping-particle":"","parse-names":false,"suffix":""},{"dropping-particle":"","family":"Merat","given":"Shahin","non-dropping-particle":"","parse-names":false,"suffix":""},{"dropping-particle":"","family":"Meretoja","given":"Tuomo J.","non-dropping-particle":"","parse-names":false,"suffix":""},{"dropping-particle":"","family":"Mestrovic","given":"Tomislav","non-dropping-particle":"","parse-names":false,"suffix":""},{"dropping-particle":"","family":"Mirrakhimov","given":"Erkin M.","non-dropping-particle":"","parse-names":false,"suffix":""},{"dropping-particle":"","family":"Mirzaei","given":"Hamed","non-dropping-particle":"","parse-names":false,"suffix":""},{"dropping-particle":"","family":"Mohammad","given":"Karzan A.","non-dropping-particle":"","parse-names":false,"suffix":""},{"dropping-particle":"","family":"Mokdad","given":"Ali H.","non-dropping-particle":"","parse-names":false,"suffix":""},{"dropping-particle":"","family":"Monasta","given":"Lorenzo","non-dropping-particle":"","parse-names":false,"suffix":""},{"dropping-particle":"","family":"Negoi","given":"Ionut","non-dropping-particle":"","parse-names":false,"suffix":""},{"dropping-particle":"","family":"Nguyen","given":"Trang H.","non-dropping-particle":"","parse-names":false,"suffix":""},{"dropping-particle":"","family":"Nguyen","given":"Cuong T.","non-dropping-particle":"","parse-names":false,"suffix":""},{"dropping-particle":"","family":"Pourshams","given":"Akram","non-dropping-particle":"","parse-names":false,"suffix":""},{"dropping-particle":"","family":"Poustchi","given":"Hossein","non-dropping-particle":"","parse-names":false,"suffix":""},{"dropping-particle":"","family":"Rabiee","given":"Mohammad","non-dropping-particle":"","parse-names":false,"suffix":""},{"dropping-particle":"","family":"Rabiee","given":"Navid","non-dropping-particle":"","parse-names":false,"suffix":""},{"dropping-particle":"","family":"Ramezanzadeh","given":"Kiana","non-dropping-particle":"","parse-names":false,"suffix":""},{"dropping-particle":"","family":"Rawaf","given":"David L.","non-dropping-particle":"","parse-names":false,"suffix":""},{"dropping-particle":"","family":"Rawaf","given":"Salman","non-dropping-particle":"","parse-names":false,"suffix":""},{"dropping-particle":"","family":"Rezaei","given":"Nima","non-dropping-particle":"","parse-names":false,"suffix":""},{"dropping-particle":"","family":"Robinson","given":"Stephen R.","non-dropping-particle":"","parse-names":false,"suffix":""},{"dropping-particle":"","family":"Ronfani","given":"Luca","non-dropping-particle":"","parse-names":false,"suffix":""},{"dropping-particle":"","family":"Saxena","given":"Sonia","non-dropping-particle":"","parse-names":false,"suffix":""},{"dropping-particle":"","family":"Sepehrimanesh","given":"Masood","non-dropping-particle":"","parse-names":false,"suffix":""},{"dropping-particle":"","family":"Shaikh","given":"Masood A.","non-dropping-particle":"","parse-names":false,"suffix":""},{"dropping-particle":"","family":"Sharafi","given":"Zeinab","non-dropping-particle":"","parse-names":false,"suffix":""},{"dropping-particle":"","family":"Sharif","given":"Mehdi","non-dropping-particle":"","parse-names":false,"suffix":""},{"dropping-particle":"","family":"Siabani","given":"Soraya","non-dropping-particle":"","parse-names":false,"suffix":""},{"dropping-particle":"","family":"Sima","given":"Ali Reza","non-dropping-particle":"","parse-names":false,"suffix":""},{"dropping-particle":"","family":"Singh","given":"Jasvinder A.","non-dropping-particle":"","parse-names":false,"suffix":""},{"dropping-particle":"","family":"Soheili","given":"Amin","non-dropping-particle":"","parse-names":false,"suffix":""},{"dropping-particle":"","family":"Sotoudehmanesh","given":"Rasoul","non-dropping-particle":"","parse-names":false,"suffix":""},{"dropping-particle":"","family":"Suleria","given":"Hafiz Ansar Rasul","non-dropping-particle":"","parse-names":false,"suffix":""},{"dropping-particle":"","family":"Tesfay","given":"Berhe E.","non-dropping-particle":"","parse-names":false,"suffix":""},{"dropping-particle":"","family":"Tran","given":"Bach","non-dropping-particle":"","parse-names":false,"suffix":""},{"dropping-particle":"","family":"Tsoi","given":"Derrick","non-dropping-particle":"","parse-names":false,"suffix":""},{"dropping-particle":"","family":"Vacante","given":"Marco","non-dropping-particle":"","parse-names":false,"suffix":""},{"dropping-particle":"","family":"Wondmieneh","given":"Adam B.","non-dropping-particle":"","parse-names":false,"suffix":""},{"dropping-particle":"","family":"Zarghi","given":"Afshin","non-dropping-particle":"","parse-names":false,"suffix":""},{"dropping-particle":"","family":"Zhang","given":"Zhi Jiang","non-dropping-particle":"","parse-names":false,"suffix":""},{"dropping-particle":"","family":"Dirac","given":"Mae","non-dropping-particle":"","parse-names":false,"suffix":""},{"dropping-particle":"","family":"Malekzadeh","given":"Reza","non-dropping-particle":"","parse-names":false,"suffix":""},{"dropping-particle":"","family":"Naghavi","given":"Mohsen","non-dropping-particle":"","parse-names":false,"suffix":""}],"container-title":"The Lancet Gastroenterology and Hepatology","id":"ITEM-2","issue":"1","issued":{"date-parts":[["2020","1","1"]]},"page":"17-30","publisher":"Elsevier Ltd","title":"The global, regional, and national burden of inflammatory bowel disease in 195 countries and territories, 1990–2017: a systematic analysis for the Global Burden of Disease Study 2017","type":"article-journal","volume":"5"},"uris":["http://www.mendeley.com/documents/?uuid=d5fb8bb9-e0b8-3231-8df5-37bcb6a61427"]}],"mendeley":{"formattedCitation":"&lt;sup&gt;1,2&lt;/sup&gt;","plainTextFormattedCitation":"1,2","previouslyFormattedCitation":"&lt;sup&gt;1,2&lt;/sup&gt;"},"properties":{"noteIndex":0},"schema":"https://github.com/citation-style-language/schema/raw/master/csl-citation.json"}</w:instrText>
      </w:r>
      <w:r w:rsidR="00C7430C" w:rsidRPr="002756B1">
        <w:rPr>
          <w:rFonts w:cstheme="minorHAnsi"/>
          <w:noProof/>
        </w:rPr>
        <w:fldChar w:fldCharType="separate"/>
      </w:r>
      <w:r w:rsidR="00C7430C" w:rsidRPr="002756B1">
        <w:rPr>
          <w:rFonts w:cstheme="minorHAnsi"/>
          <w:noProof/>
          <w:vertAlign w:val="superscript"/>
        </w:rPr>
        <w:t>1,2</w:t>
      </w:r>
      <w:r w:rsidR="00C7430C" w:rsidRPr="002756B1">
        <w:rPr>
          <w:rFonts w:cstheme="minorHAnsi"/>
          <w:noProof/>
        </w:rPr>
        <w:fldChar w:fldCharType="end"/>
      </w:r>
      <w:r w:rsidRPr="002756B1">
        <w:rPr>
          <w:rFonts w:cstheme="minorHAnsi"/>
          <w:noProof/>
        </w:rPr>
        <w:t>. Historically</w:t>
      </w:r>
      <w:r w:rsidR="00C7430C" w:rsidRPr="002756B1">
        <w:rPr>
          <w:rFonts w:cstheme="minorHAnsi"/>
          <w:noProof/>
        </w:rPr>
        <w:t>,</w:t>
      </w:r>
      <w:r w:rsidRPr="002756B1">
        <w:rPr>
          <w:rFonts w:cstheme="minorHAnsi"/>
          <w:noProof/>
        </w:rPr>
        <w:t xml:space="preserve"> children presenting with CD were often malnourished</w:t>
      </w:r>
      <w:r w:rsidR="00C7430C" w:rsidRPr="002756B1">
        <w:rPr>
          <w:rFonts w:cstheme="minorHAnsi"/>
          <w:noProof/>
        </w:rPr>
        <w:t xml:space="preserve"> resulting in linear growth delay and poor</w:t>
      </w:r>
      <w:r w:rsidRPr="002756B1">
        <w:rPr>
          <w:rFonts w:cstheme="minorHAnsi"/>
          <w:noProof/>
        </w:rPr>
        <w:t xml:space="preserve"> weight gain</w:t>
      </w:r>
      <w:r w:rsidR="00C7430C" w:rsidRPr="002756B1">
        <w:rPr>
          <w:rFonts w:cstheme="minorHAnsi"/>
          <w:noProof/>
        </w:rPr>
        <w:fldChar w:fldCharType="begin" w:fldLock="1"/>
      </w:r>
      <w:r w:rsidR="00C7430C" w:rsidRPr="002756B1">
        <w:rPr>
          <w:rFonts w:cstheme="minorHAnsi"/>
          <w:noProof/>
        </w:rPr>
        <w:instrText>ADDIN CSL_CITATION {"citationItems":[{"id":"ITEM-1","itemData":{"DOI":"10.1136/gut.51.1.26","ISSN":"0017-5749","PMID":"12077087","abstract":"BACKGROUND Growth impairment during childhood and adolescence is a common problem faced by patients with an early onset of Crohn's disease. AIMS To establish how the final adult height is affected in patients with early onset of symptoms of Crohn's disease. METHODS Information on height, parental height, and disease history was obtained from 135 patients with Crohn's disease who reached their adult height (men 22-40 years, women 18-40 years) using a questionnaire and by outpatient measurement of height where possible. Subsequently, adult heights were expressed as standard deviation scores, with and without correction for the expected target height. RESULTS Patients with onset of disease before puberty were shorter compared with patients with onset in adulthood (p&lt;0.01). This difference was not statistically significant when adult heights were corrected for parental height. Also, height standard deviation scores for those patients with onset of disease before puberty were significantly lower than those with onset of disease during puberty (p&lt;0.05) but after correction for parental height the difference was not significant. The site of disease had no influence on adult height. Patients who had used corticosteroids during puberty were significantly shorter than patients who had not (p=0.005). This was also true when corrected for target height (p=0.007). CONCLUSIONS Although there was a trend indicating a deficit in adult height in patients with an early onset of Crohn's disease, once adjustment was made for parental height, this difference was not significant. Use of corticosteroids in puberty resulted in lower adult height.","author":[{"dropping-particle":"","family":"Alemzadeh","given":"N","non-dropping-particle":"","parse-names":false,"suffix":""},{"dropping-particle":"","family":"Rekers-Mombarg","given":"L T M","non-dropping-particle":"","parse-names":false,"suffix":""},{"dropping-particle":"","family":"Mearin","given":"M L","non-dropping-particle":"","parse-names":false,"suffix":""},{"dropping-particle":"","family":"Wit","given":"J M","non-dropping-particle":"","parse-names":false,"suffix":""},{"dropping-particle":"","family":"Lamers","given":"C B H W","non-dropping-particle":"","parse-names":false,"suffix":""},{"dropping-particle":"","family":"Hogezand","given":"R A","non-dropping-particle":"van","parse-names":false,"suffix":""}],"container-title":"Gut","id":"ITEM-1","issue":"1","issued":{"date-parts":[["2002","7"]]},"page":"26-9","publisher":"BMJ Publishing Group","title":"Adult height in patients with early onset of Crohn's disease.","type":"article-journal","volume":"51"},"uris":["http://www.mendeley.com/documents/?uuid=1a7dd6de-66b8-3777-b302-3d444a392e82"]},{"id":"ITEM-2","itemData":{"DOI":"10.1016/j.bpg.2004.01.002","ISSN":"15216918","abstract":"In parallel with overall population trends, the incidence of paediatric ulcerative colitis (UC) has remained stable, whereas that of paediatric Crohn's disease (CD) has increased in recent decades. Still rare among preschool children, the incidence of both UC and CD rises steadily from middle childhood through adolescence. There is an unexplained preponderance of males with early-onset CD, and an equal gender distribution in paediatric UC. Observations on the familiality of paediatric inflammatory bowel disease (IBD) suggest that genetic susceptibility is particularly important to disease pathogenesis in young patients. In comparison to adult-onset disease, childhood UC is usually extensive but the anatomic localization of paediatric CD varies, as in adults. UC manifests uniformly as bloody diarrhea whereas the symptomatology of paediatric CD is much more diverse. Linear growth impairment frequently complicates chronic intestinal inflammation in paediatric CD. Key contributing factors have been defined; better immunomodulatory therapy and emerging biologic agents will potentially reduce its prevalence. © 2004 Elsevier Ltd. All rights reserved.","author":[{"dropping-particle":"","family":"Griffiths","given":"Anne M.","non-dropping-particle":"","parse-names":false,"suffix":""}],"container-title":"Best Practice and Research: Clinical Gastroenterology","id":"ITEM-2","issued":{"date-parts":[["2004"]]},"title":"Specificities of inflammatory bowel disease in childhood","type":"article"},"uris":["http://www.mendeley.com/documents/?uuid=0d34a780-1ae3-4412-806b-7fd4780475f2"]}],"mendeley":{"formattedCitation":"&lt;sup&gt;3,4&lt;/sup&gt;","plainTextFormattedCitation":"3,4","previouslyFormattedCitation":"&lt;sup&gt;3,4&lt;/sup&gt;"},"properties":{"noteIndex":0},"schema":"https://github.com/citation-style-language/schema/raw/master/csl-citation.json"}</w:instrText>
      </w:r>
      <w:r w:rsidR="00C7430C" w:rsidRPr="002756B1">
        <w:rPr>
          <w:rFonts w:cstheme="minorHAnsi"/>
          <w:noProof/>
        </w:rPr>
        <w:fldChar w:fldCharType="separate"/>
      </w:r>
      <w:r w:rsidR="00C7430C" w:rsidRPr="002756B1">
        <w:rPr>
          <w:rFonts w:cstheme="minorHAnsi"/>
          <w:noProof/>
          <w:vertAlign w:val="superscript"/>
        </w:rPr>
        <w:t>3,4</w:t>
      </w:r>
      <w:r w:rsidR="00C7430C" w:rsidRPr="002756B1">
        <w:rPr>
          <w:rFonts w:cstheme="minorHAnsi"/>
          <w:noProof/>
        </w:rPr>
        <w:fldChar w:fldCharType="end"/>
      </w:r>
      <w:r w:rsidRPr="002756B1">
        <w:rPr>
          <w:rFonts w:cstheme="minorHAnsi"/>
          <w:noProof/>
        </w:rPr>
        <w:t xml:space="preserve">. Improvement in medical therapy, including </w:t>
      </w:r>
      <w:r w:rsidR="00C7430C" w:rsidRPr="002756B1">
        <w:rPr>
          <w:rFonts w:cstheme="minorHAnsi"/>
          <w:noProof/>
        </w:rPr>
        <w:t xml:space="preserve">better nutritional management, timely </w:t>
      </w:r>
      <w:r w:rsidRPr="002756B1">
        <w:rPr>
          <w:rFonts w:cstheme="minorHAnsi"/>
          <w:noProof/>
        </w:rPr>
        <w:t xml:space="preserve">immunosuppression and </w:t>
      </w:r>
      <w:r w:rsidR="00C7430C" w:rsidRPr="002756B1">
        <w:rPr>
          <w:rFonts w:cstheme="minorHAnsi"/>
          <w:noProof/>
        </w:rPr>
        <w:t xml:space="preserve">widespread use of </w:t>
      </w:r>
      <w:r w:rsidRPr="002756B1">
        <w:rPr>
          <w:rFonts w:cstheme="minorHAnsi"/>
          <w:noProof/>
        </w:rPr>
        <w:t xml:space="preserve">anti-TNF </w:t>
      </w:r>
      <w:r w:rsidR="00C7430C" w:rsidRPr="002756B1">
        <w:rPr>
          <w:rFonts w:cstheme="minorHAnsi"/>
          <w:noProof/>
        </w:rPr>
        <w:t>agents has resulted in improved</w:t>
      </w:r>
      <w:r w:rsidRPr="002756B1">
        <w:rPr>
          <w:rFonts w:cstheme="minorHAnsi"/>
          <w:noProof/>
        </w:rPr>
        <w:t xml:space="preserve"> disease contol </w:t>
      </w:r>
      <w:r w:rsidR="00C7430C" w:rsidRPr="002756B1">
        <w:rPr>
          <w:rFonts w:cstheme="minorHAnsi"/>
          <w:noProof/>
        </w:rPr>
        <w:t>and early indications of restored growth</w:t>
      </w:r>
      <w:r w:rsidR="00C7430C" w:rsidRPr="002756B1">
        <w:rPr>
          <w:rFonts w:cstheme="minorHAnsi"/>
          <w:noProof/>
        </w:rPr>
        <w:fldChar w:fldCharType="begin" w:fldLock="1"/>
      </w:r>
      <w:r w:rsidR="002756B1">
        <w:rPr>
          <w:rFonts w:cstheme="minorHAnsi"/>
          <w:noProof/>
        </w:rPr>
        <w:instrText>ADDIN CSL_CITATION {"citationItems":[{"id":"ITEM-1","itemData":{"DOI":"10.1002/ibd.20069","ISSN":"1078-0998","PMID":"17206672","abstract":"BACKGROUND The efficacy of infliximab as maintenance therapy in patients with otherwise chronically active Crohn's disease (CD) is well established. Data concerning the linear growth response are sparse and can only be accrued in children. METHODS From September 2000 to February 2004, 32 children and adolescents (63% males; mean age 13.4 years, range 4.7-17.3) with chronically active CD despite immunomodulatory and prior corticosteroid therapy commenced infliximab therapy. Growth parameters standardized for age, gender, and pubertal development prior to and following infliximab therapy were compared. RESULTS In all, 28 of 32 patients tolerated and responded to the induction regimen and 27 responders continued to receive infliximab via regularly scheduled infusions (n = 22) or episodically (n = 5) for a median of 26 months. Mean standard deviation score (SDS) for height at time of initiation of infliximab therapy was -1.15 +/- 1.2 and had declined despite the use of other therapies from -0.44 +/- 1.1 at initial diagnosis. Increases in height velocity and stature during infliximab therapy were limited by pubertal stage: Tanner I-III: DeltaSDS for height velocity +3.94, for height +0.50, P &lt; 0.001; Tanner IV, V: DeltaSDS for height velocity +0.22, for height 0.02, P = NS. CONCLUSIONS Height velocity improves and height centile increases during infliximab therapy provided patients are treated prior to or in early puberty. These data support the use of infliximab in young patients with otherwise refractory disease, and suggest that ultimate height in this subset of children with severe CD may be less compromised than with previous therapies.","author":[{"dropping-particle":"","family":"Walters","given":"Thomas D.","non-dropping-particle":"","parse-names":false,"suffix":""},{"dropping-particle":"","family":"Gilman","given":"Ashley R.","non-dropping-particle":"","parse-names":false,"suffix":""},{"dropping-particle":"","family":"Griffiths","given":"Anne M.","non-dropping-particle":"","parse-names":false,"suffix":""}],"container-title":"Inflammatory Bowel Diseases","id":"ITEM-1","issue":"4","issued":{"date-parts":[["2007","4"]]},"page":"424-430","title":"Linear Growth Improves during Infliximab Therapy in Children with Chronically Active Severe Crohnʼs Disease","type":"article-journal","volume":"13"},"uris":["http://www.mendeley.com/documents/?uuid=6750aaca-1f31-4a54-bb14-0ade8224a5b2"]},{"id":"ITEM-2","itemData":{"DOI":"10.1016/j.clnu.2018.01.020","ISBN":"02615614","ISSN":"15321983","PMID":"29398336","abstract":"© 2018 Elsevier Ltd and European Society for Clinical Nutrition and Metabolism. Exclusive enteral nutrition (EEN) is the first line therapy for paediatric Crohn's disease, providing a complete nutritional feed whilst simultaneously inducing remission in up to 80% of cases. The effect of EEN on systemic/local intestinal immune function and subsequent inflammation (including barrier permeability, direct anti-inflammatory effects and cytokine signalling pathways), alongside changes in the microbiome (specific species and broad taxonomic shifts, functional changes) are becoming clearer, however the exact mechanism for induction of remission in Crohn's disease remains uncertain. The evidence of efficacy in paediatric Crohn's disease is strong, with selected adult populations also benefiting from EEN. However despite recommendations from all major societies (ECCO, ESPGHAN, NASPGHAN and ESPEN) first-line use of EEN is varied and Europe/Australasia/Canada show significantly more routine use than other parts of North America. Growth and nutritional status are significantly improved with EEN compared to corticosteroids but long-term outcomes are sparse. This review discusses the evidence underlying the use of EEN, highlighting the mechanisms thought to underlie how EEN induces remission in Crohn's disease, when and how to use EEN, including practical issues in both paediatric and adult practice (formulation, compliance, volumes and administration), and summarises the ongoing research priorities.","author":[{"dropping-particle":"","family":"Ashton","given":"J.J.","non-dropping-particle":"","parse-names":false,"suffix":""},{"dropping-particle":"","family":"Gavin","given":"J.","non-dropping-particle":"","parse-names":false,"suffix":""},{"dropping-particle":"","family":"Beattie","given":"R.M.","non-dropping-particle":"","parse-names":false,"suffix":""}],"container-title":"Clinical Nutrition","id":"ITEM-2","issue":"1","issued":{"date-parts":[["2018"]]},"page":"80-89","title":"Exclusive enteral nutrition in Crohn's disease: Evidence and practicalities","type":"article-journal","volume":"38"},"uris":["http://www.mendeley.com/documents/?uuid=242cb036-b3aa-3c2a-adbd-0bbd30424a08"]}],"mendeley":{"formattedCitation":"&lt;sup&gt;5,6&lt;/sup&gt;","plainTextFormattedCitation":"5,6","previouslyFormattedCitation":"&lt;sup&gt;5,6&lt;/sup&gt;"},"properties":{"noteIndex":0},"schema":"https://github.com/citation-style-language/schema/raw/master/csl-citation.json"}</w:instrText>
      </w:r>
      <w:r w:rsidR="00C7430C" w:rsidRPr="002756B1">
        <w:rPr>
          <w:rFonts w:cstheme="minorHAnsi"/>
          <w:noProof/>
        </w:rPr>
        <w:fldChar w:fldCharType="separate"/>
      </w:r>
      <w:r w:rsidR="00C7430C" w:rsidRPr="002756B1">
        <w:rPr>
          <w:rFonts w:cstheme="minorHAnsi"/>
          <w:noProof/>
          <w:vertAlign w:val="superscript"/>
        </w:rPr>
        <w:t>5,6</w:t>
      </w:r>
      <w:r w:rsidR="00C7430C" w:rsidRPr="002756B1">
        <w:rPr>
          <w:rFonts w:cstheme="minorHAnsi"/>
          <w:noProof/>
        </w:rPr>
        <w:fldChar w:fldCharType="end"/>
      </w:r>
      <w:r w:rsidRPr="002756B1">
        <w:rPr>
          <w:rFonts w:cstheme="minorHAnsi"/>
          <w:noProof/>
        </w:rPr>
        <w:t xml:space="preserve">. </w:t>
      </w:r>
      <w:r w:rsidR="0075528C" w:rsidRPr="002756B1">
        <w:rPr>
          <w:rFonts w:cstheme="minorHAnsi"/>
          <w:noProof/>
        </w:rPr>
        <w:t>Additionally, contemporary data indicates that at the time of diagnosis</w:t>
      </w:r>
      <w:r w:rsidR="00C43441">
        <w:rPr>
          <w:rFonts w:cstheme="minorHAnsi"/>
          <w:noProof/>
        </w:rPr>
        <w:t>,</w:t>
      </w:r>
      <w:r w:rsidR="0075528C" w:rsidRPr="002756B1">
        <w:rPr>
          <w:rFonts w:cstheme="minorHAnsi"/>
          <w:noProof/>
        </w:rPr>
        <w:t xml:space="preserve"> patients with IBD appear to have less severe growth deficits than previously reported, and these recover over the course of treatment</w:t>
      </w:r>
      <w:r w:rsidR="0075528C" w:rsidRPr="002756B1">
        <w:rPr>
          <w:rFonts w:cstheme="minorHAnsi"/>
          <w:noProof/>
        </w:rPr>
        <w:fldChar w:fldCharType="begin" w:fldLock="1"/>
      </w:r>
      <w:r w:rsidR="0075528C" w:rsidRPr="002756B1">
        <w:rPr>
          <w:rFonts w:cstheme="minorHAnsi"/>
          <w:noProof/>
        </w:rPr>
        <w:instrText>ADDIN CSL_CITATION {"citationItems":[{"id":"ITEM-1","itemData":{"DOI":"10.1111/apa.15383","ISSN":"0803-5253","abstract":"AIM: We assessed growth in a paediatric inflammatory bowel disease (PIBD) cohort.  METHODS: PIBD patients were eligible if they were diagnosed at Southampton Children's Hospital from 2011-2018. Weight and height standard-deviation-scores (SDS) were retrieved. Mean SDS-values, SDS-change and anti-TNF status were analysed at diagnosis and during follow-up. RESULTS: 490 patients were included, 313 with Crohn's disease (CD). CD patients presented with mean height-SDS -0.13, -0.1 at 1-year, -0.11 at 2-years and -0.03 at 5-years, reflecting preserved linear growth. There was no significant height-SDS change from diagnosis to 5-year follow-up, +0.12, 95%-CI 0.48 to -0.24. Mean weight-SDS at diagnosis was -0.39, driven by CD patients (-0.65). Mean weight-SDS approached 0 after 1-year and remained at the 50(th) -centile throughout follow-up. Growth in ulcerative colitis was maintained. In multivariable regression males had worse height growth from diagnosis to transition (p=0.036). Anti-TNF treatment (p=0.013) and surgical resection (p=0.005) were also associated with poorer linear growth. Patients treated with anti-TNF therapy had lower height-SDS compared to those never treated with anti-TNF at 1-year (-0.2 vs -0.01, p=0.22), 2-years (-0.27 vs -0.01, p=0.07) and 5-years (-0.21 vs 0.25, p=0.051). CONCLUSION: Height was generally maintained in Crohn's disease and impaired linear growth was rare in this cohort.","author":[{"dropping-particle":"","family":"Ashton","given":"James J","non-dropping-particle":"","parse-names":false,"suffix":""},{"dropping-particle":"","family":"Green","given":"Zachary","non-dropping-particle":"","parse-names":false,"suffix":""},{"dropping-particle":"","family":"Young","given":"Aneurin","non-dropping-particle":"","parse-names":false,"suffix":""},{"dropping-particle":"","family":"Borca","given":"Florina","non-dropping-particle":"","parse-names":false,"suffix":""},{"dropping-particle":"","family":"Coelho","given":"Tracy","non-dropping-particle":"","parse-names":false,"suffix":""},{"dropping-particle":"","family":"Batra","given":"Akshay","non-dropping-particle":"","parse-names":false,"suffix":""},{"dropping-particle":"","family":"Afzal","given":"Nadeem A.","non-dropping-particle":"","parse-names":false,"suffix":""},{"dropping-particle":"","family":"Ennis","given":"Sarah","non-dropping-particle":"","parse-names":false,"suffix":""},{"dropping-particle":"","family":"Johnson","given":"Mark J","non-dropping-particle":"","parse-names":false,"suffix":""},{"dropping-particle":"","family":"Beattie","given":"R Mark","non-dropping-particle":"","parse-names":false,"suffix":""}],"container-title":"Acta Paediatrica","id":"ITEM-1","issued":{"date-parts":[["2020","6","2"]]},"page":"apa.15383","publisher":"Wiley","title":"Growth failure is rare in a contemporary cohort of paediatric inflammatory bowel disease patients","type":"article-journal"},"uris":["http://www.mendeley.com/documents/?uuid=d6ab0886-3f3f-3fda-9319-f2a35761d7c7"]}],"mendeley":{"formattedCitation":"&lt;sup&gt;7&lt;/sup&gt;","plainTextFormattedCitation":"7","previouslyFormattedCitation":"&lt;sup&gt;7&lt;/sup&gt;"},"properties":{"noteIndex":0},"schema":"https://github.com/citation-style-language/schema/raw/master/csl-citation.json"}</w:instrText>
      </w:r>
      <w:r w:rsidR="0075528C" w:rsidRPr="002756B1">
        <w:rPr>
          <w:rFonts w:cstheme="minorHAnsi"/>
          <w:noProof/>
        </w:rPr>
        <w:fldChar w:fldCharType="separate"/>
      </w:r>
      <w:r w:rsidR="0075528C" w:rsidRPr="002756B1">
        <w:rPr>
          <w:rFonts w:cstheme="minorHAnsi"/>
          <w:noProof/>
          <w:vertAlign w:val="superscript"/>
        </w:rPr>
        <w:t>7</w:t>
      </w:r>
      <w:r w:rsidR="0075528C" w:rsidRPr="002756B1">
        <w:rPr>
          <w:rFonts w:cstheme="minorHAnsi"/>
          <w:noProof/>
        </w:rPr>
        <w:fldChar w:fldCharType="end"/>
      </w:r>
      <w:r w:rsidR="0075528C" w:rsidRPr="002756B1">
        <w:rPr>
          <w:rFonts w:cstheme="minorHAnsi"/>
          <w:noProof/>
        </w:rPr>
        <w:t>. D</w:t>
      </w:r>
      <w:r w:rsidRPr="002756B1">
        <w:rPr>
          <w:rFonts w:cstheme="minorHAnsi"/>
          <w:noProof/>
        </w:rPr>
        <w:t>espite improvements in medical therapy, nutrition</w:t>
      </w:r>
      <w:r w:rsidR="002756B1">
        <w:rPr>
          <w:rFonts w:cstheme="minorHAnsi"/>
          <w:noProof/>
        </w:rPr>
        <w:t>al</w:t>
      </w:r>
      <w:r w:rsidRPr="002756B1">
        <w:rPr>
          <w:rFonts w:cstheme="minorHAnsi"/>
          <w:noProof/>
        </w:rPr>
        <w:t xml:space="preserve"> support remains based on the premise of a malnourished CD phenotype</w:t>
      </w:r>
      <w:r w:rsidR="00E7254C">
        <w:rPr>
          <w:rFonts w:cstheme="minorHAnsi"/>
          <w:noProof/>
        </w:rPr>
        <w:t xml:space="preserve">, resulting in </w:t>
      </w:r>
      <w:r w:rsidRPr="002756B1">
        <w:rPr>
          <w:rFonts w:cstheme="minorHAnsi"/>
          <w:noProof/>
        </w:rPr>
        <w:t>continue</w:t>
      </w:r>
      <w:r w:rsidR="00C53B96">
        <w:rPr>
          <w:rFonts w:cstheme="minorHAnsi"/>
          <w:noProof/>
        </w:rPr>
        <w:t>d</w:t>
      </w:r>
      <w:r w:rsidRPr="002756B1">
        <w:rPr>
          <w:rFonts w:cstheme="minorHAnsi"/>
          <w:noProof/>
        </w:rPr>
        <w:t xml:space="preserve"> widespread use of oral nutritional supplements (ONS)</w:t>
      </w:r>
      <w:r w:rsidR="0075528C" w:rsidRPr="002756B1">
        <w:rPr>
          <w:rFonts w:cstheme="minorHAnsi"/>
          <w:noProof/>
        </w:rPr>
        <w:fldChar w:fldCharType="begin" w:fldLock="1"/>
      </w:r>
      <w:r w:rsidR="0075528C" w:rsidRPr="002756B1">
        <w:rPr>
          <w:rFonts w:cstheme="minorHAnsi"/>
          <w:noProof/>
        </w:rPr>
        <w:instrText>ADDIN CSL_CITATION {"citationItems":[{"id":"ITEM-1","itemData":{"DOI":"10.1111/apa.14075","ISSN":"1651-2227","author":[{"dropping-particle":"","family":"Gavin","given":"J","non-dropping-particle":"","parse-names":false,"suffix":""},{"dropping-particle":"","family":"Ashton","given":"J J","non-dropping-particle":"","parse-names":false,"suffix":""},{"dropping-particle":"","family":"Heather","given":"N","non-dropping-particle":"","parse-names":false,"suffix":""},{"dropping-particle":"V","family":"Marino","given":"L","non-dropping-particle":"","parse-names":false,"suffix":""},{"dropping-particle":"","family":"Beattie","given":"R M","non-dropping-particle":"","parse-names":false,"suffix":""}],"container-title":"Acta Paediatr","id":"ITEM-1","issued":{"date-parts":[["2017"]]},"title":"Nutritional support in paediatric Crohn's disease; Outcome at 12 months","type":"article-journal"},"uris":["http://www.mendeley.com/documents/?uuid=d6ac91f9-79cc-424b-938f-8fd70eed3793"]}],"mendeley":{"formattedCitation":"&lt;sup&gt;8&lt;/sup&gt;","plainTextFormattedCitation":"8","previouslyFormattedCitation":"&lt;sup&gt;8&lt;/sup&gt;"},"properties":{"noteIndex":0},"schema":"https://github.com/citation-style-language/schema/raw/master/csl-citation.json"}</w:instrText>
      </w:r>
      <w:r w:rsidR="0075528C" w:rsidRPr="002756B1">
        <w:rPr>
          <w:rFonts w:cstheme="minorHAnsi"/>
          <w:noProof/>
        </w:rPr>
        <w:fldChar w:fldCharType="separate"/>
      </w:r>
      <w:r w:rsidR="0075528C" w:rsidRPr="002756B1">
        <w:rPr>
          <w:rFonts w:cstheme="minorHAnsi"/>
          <w:noProof/>
          <w:vertAlign w:val="superscript"/>
        </w:rPr>
        <w:t>8</w:t>
      </w:r>
      <w:r w:rsidR="0075528C" w:rsidRPr="002756B1">
        <w:rPr>
          <w:rFonts w:cstheme="minorHAnsi"/>
          <w:noProof/>
        </w:rPr>
        <w:fldChar w:fldCharType="end"/>
      </w:r>
      <w:r w:rsidRPr="002756B1">
        <w:rPr>
          <w:rFonts w:cstheme="minorHAnsi"/>
          <w:noProof/>
        </w:rPr>
        <w:t xml:space="preserve">. With improved control of underlying inflammation, including </w:t>
      </w:r>
      <w:r w:rsidR="0075528C" w:rsidRPr="002756B1">
        <w:rPr>
          <w:rFonts w:cstheme="minorHAnsi"/>
          <w:noProof/>
        </w:rPr>
        <w:t xml:space="preserve">transmural and </w:t>
      </w:r>
      <w:r w:rsidRPr="002756B1">
        <w:rPr>
          <w:rFonts w:cstheme="minorHAnsi"/>
          <w:noProof/>
        </w:rPr>
        <w:t xml:space="preserve">mucosal healing of the small bowel the need for </w:t>
      </w:r>
      <w:r w:rsidR="002756B1">
        <w:rPr>
          <w:rFonts w:cstheme="minorHAnsi"/>
          <w:noProof/>
        </w:rPr>
        <w:t xml:space="preserve">ubiquitous </w:t>
      </w:r>
      <w:r w:rsidRPr="002756B1">
        <w:rPr>
          <w:rFonts w:cstheme="minorHAnsi"/>
          <w:noProof/>
        </w:rPr>
        <w:t>nutritional supplementation may be diminishing</w:t>
      </w:r>
      <w:r w:rsidR="002756B1">
        <w:rPr>
          <w:rFonts w:cstheme="minorHAnsi"/>
          <w:noProof/>
        </w:rPr>
        <w:t xml:space="preserve">, with targetted </w:t>
      </w:r>
      <w:r w:rsidR="00E7254C">
        <w:rPr>
          <w:rFonts w:cstheme="minorHAnsi"/>
          <w:noProof/>
        </w:rPr>
        <w:t>nutritional support</w:t>
      </w:r>
      <w:r w:rsidR="002756B1">
        <w:rPr>
          <w:rFonts w:cstheme="minorHAnsi"/>
          <w:noProof/>
        </w:rPr>
        <w:t xml:space="preserve"> being more important</w:t>
      </w:r>
      <w:r w:rsidR="0075528C" w:rsidRPr="002756B1">
        <w:rPr>
          <w:rFonts w:cstheme="minorHAnsi"/>
          <w:noProof/>
        </w:rPr>
        <w:t xml:space="preserve">. </w:t>
      </w:r>
      <w:r w:rsidR="002756B1">
        <w:rPr>
          <w:rFonts w:cstheme="minorHAnsi"/>
          <w:noProof/>
        </w:rPr>
        <w:t>T</w:t>
      </w:r>
      <w:r w:rsidR="0075528C" w:rsidRPr="002756B1">
        <w:rPr>
          <w:rFonts w:cstheme="minorHAnsi"/>
          <w:noProof/>
        </w:rPr>
        <w:t>here is an emerging body of evidence pointing</w:t>
      </w:r>
      <w:r w:rsidRPr="002756B1">
        <w:rPr>
          <w:rFonts w:cstheme="minorHAnsi"/>
          <w:noProof/>
        </w:rPr>
        <w:t xml:space="preserve"> towards </w:t>
      </w:r>
      <w:r w:rsidR="00AF2F15" w:rsidRPr="002756B1">
        <w:rPr>
          <w:rFonts w:cstheme="minorHAnsi"/>
          <w:noProof/>
        </w:rPr>
        <w:t xml:space="preserve">increased </w:t>
      </w:r>
      <w:r w:rsidRPr="002756B1">
        <w:rPr>
          <w:rFonts w:cstheme="minorHAnsi"/>
          <w:noProof/>
        </w:rPr>
        <w:t xml:space="preserve">prevalence of overnourishment </w:t>
      </w:r>
      <w:r w:rsidR="0075528C" w:rsidRPr="002756B1">
        <w:rPr>
          <w:rFonts w:cstheme="minorHAnsi"/>
          <w:noProof/>
        </w:rPr>
        <w:t>in IBD</w:t>
      </w:r>
      <w:r w:rsidR="00AF2F15" w:rsidRPr="002756B1">
        <w:rPr>
          <w:rFonts w:cstheme="minorHAnsi"/>
          <w:noProof/>
        </w:rPr>
        <w:t>, associated with adverse outcomes</w:t>
      </w:r>
      <w:r w:rsidR="0075528C" w:rsidRPr="002756B1">
        <w:rPr>
          <w:rFonts w:cstheme="minorHAnsi"/>
          <w:noProof/>
        </w:rPr>
        <w:fldChar w:fldCharType="begin" w:fldLock="1"/>
      </w:r>
      <w:r w:rsidR="00AF2F15" w:rsidRPr="002756B1">
        <w:rPr>
          <w:rFonts w:cstheme="minorHAnsi"/>
          <w:noProof/>
        </w:rPr>
        <w:instrText>ADDIN CSL_CITATION {"citationItems":[{"id":"ITEM-1","itemData":{"DOI":"10.1038/nrgastro.2016.181","ISSN":"1759-5053","PMID":"27899815","abstract":"Incidence of IBD is rising in parallel with overweight and obesity. Contrary to conventional belief, about 15-40% of patients with IBD are obese, which might contribute to the development of IBD. Findings from cross-sectional and retrospective cohort studies are conflicting on the effect of obesity on natural history and course of IBD. Most studies are limited by small sample size, low event rates, non-validated assessment of disease activity and lack robust longitudinal follow-up and have incomplete adjustment for confounding factors. The effect of obesity on the efficacy of IBD-related therapy remains to be studied, though data from other autoimmune diseases suggests that obesity results in suboptimal response to therapy, potentially by promoting rapid clearance of biologic agents leading to low trough concentrations. These data provide a rationale for using weight loss interventions as adjunctive therapy in patients with IBD who are obese. Obesity also makes colorectal surgery technically challenging and might increase the risk of perioperative complications. In this Review, we highlight the existing literature on the epidemiology of obesity in IBD, discuss its plausible role in disease pathogenesis and effect on disease course and treatment response, and identify high-priority areas of future research.","author":[{"dropping-particle":"","family":"Singh","given":"Siddharth","non-dropping-particle":"","parse-names":false,"suffix":""},{"dropping-particle":"","family":"Dulai","given":"Parambir S","non-dropping-particle":"","parse-names":false,"suffix":""},{"dropping-particle":"","family":"Zarrinpar","given":"Amir","non-dropping-particle":"","parse-names":false,"suffix":""},{"dropping-particle":"","family":"Ramamoorthy","given":"Sonia","non-dropping-particle":"","parse-names":false,"suffix":""},{"dropping-particle":"","family":"Sandborn","given":"William J","non-dropping-particle":"","parse-names":false,"suffix":""}],"container-title":"Nature reviews. Gastroenterology &amp; hepatology","id":"ITEM-1","issue":"2","issued":{"date-parts":[["2017"]]},"page":"110-121","publisher":"NIH Public Access","title":"Obesity in IBD: epidemiology, pathogenesis, disease course and treatment outcomes.","type":"article-journal","volume":"14"},"uris":["http://www.mendeley.com/documents/?uuid=ea79ce1f-f7c1-37ef-963c-e5c1c85916c9"]}],"mendeley":{"formattedCitation":"&lt;sup&gt;9&lt;/sup&gt;","plainTextFormattedCitation":"9","previouslyFormattedCitation":"&lt;sup&gt;9&lt;/sup&gt;"},"properties":{"noteIndex":0},"schema":"https://github.com/citation-style-language/schema/raw/master/csl-citation.json"}</w:instrText>
      </w:r>
      <w:r w:rsidR="0075528C" w:rsidRPr="002756B1">
        <w:rPr>
          <w:rFonts w:cstheme="minorHAnsi"/>
          <w:noProof/>
        </w:rPr>
        <w:fldChar w:fldCharType="separate"/>
      </w:r>
      <w:r w:rsidR="0075528C" w:rsidRPr="002756B1">
        <w:rPr>
          <w:rFonts w:cstheme="minorHAnsi"/>
          <w:noProof/>
          <w:vertAlign w:val="superscript"/>
        </w:rPr>
        <w:t>9</w:t>
      </w:r>
      <w:r w:rsidR="0075528C" w:rsidRPr="002756B1">
        <w:rPr>
          <w:rFonts w:cstheme="minorHAnsi"/>
          <w:noProof/>
        </w:rPr>
        <w:fldChar w:fldCharType="end"/>
      </w:r>
      <w:r w:rsidR="0075528C" w:rsidRPr="002756B1">
        <w:rPr>
          <w:rFonts w:cstheme="minorHAnsi"/>
          <w:noProof/>
        </w:rPr>
        <w:t xml:space="preserve">. </w:t>
      </w:r>
      <w:r w:rsidR="00522EBE">
        <w:rPr>
          <w:rFonts w:cstheme="minorHAnsi"/>
          <w:noProof/>
        </w:rPr>
        <w:t>S</w:t>
      </w:r>
      <w:r w:rsidR="00AF2F15" w:rsidRPr="002756B1">
        <w:rPr>
          <w:rFonts w:cstheme="minorHAnsi"/>
          <w:noProof/>
        </w:rPr>
        <w:t>imple bedside anthropometry</w:t>
      </w:r>
      <w:r w:rsidR="002756B1">
        <w:rPr>
          <w:rFonts w:cstheme="minorHAnsi"/>
          <w:noProof/>
        </w:rPr>
        <w:t xml:space="preserve"> and </w:t>
      </w:r>
      <w:r w:rsidR="00522EBE">
        <w:rPr>
          <w:rFonts w:cstheme="minorHAnsi"/>
          <w:noProof/>
        </w:rPr>
        <w:t xml:space="preserve">accurate </w:t>
      </w:r>
      <w:r w:rsidR="00AF2F15" w:rsidRPr="002756B1">
        <w:rPr>
          <w:rFonts w:cstheme="minorHAnsi"/>
          <w:noProof/>
        </w:rPr>
        <w:t xml:space="preserve">body composition assessment </w:t>
      </w:r>
      <w:r w:rsidR="00522EBE">
        <w:rPr>
          <w:rFonts w:cstheme="minorHAnsi"/>
          <w:noProof/>
        </w:rPr>
        <w:t xml:space="preserve">is likely to improve our ability to personalise nutiritonal and improve outcomes in paediatric </w:t>
      </w:r>
      <w:r w:rsidR="00AF2F15" w:rsidRPr="002756B1">
        <w:rPr>
          <w:rFonts w:cstheme="minorHAnsi"/>
          <w:noProof/>
        </w:rPr>
        <w:t>disease</w:t>
      </w:r>
      <w:r w:rsidR="00AF2F15" w:rsidRPr="002756B1">
        <w:rPr>
          <w:rFonts w:cstheme="minorHAnsi"/>
          <w:noProof/>
        </w:rPr>
        <w:fldChar w:fldCharType="begin" w:fldLock="1"/>
      </w:r>
      <w:r w:rsidR="002756B1">
        <w:rPr>
          <w:rFonts w:cstheme="minorHAnsi"/>
          <w:noProof/>
        </w:rPr>
        <w:instrText>ADDIN CSL_CITATION {"citationItems":[{"id":"ITEM-1","itemData":{"DOI":"10.1016/j.clnu.2020.03.034","ISSN":"15321983","PMID":"32331855","author":[{"dropping-particle":"","family":"Ashton","given":"James J.","non-dropping-particle":"","parse-names":false,"suffix":""},{"dropping-particle":"","family":"Green","given":"Zachary","non-dropping-particle":"","parse-names":false,"suffix":""},{"dropping-particle":"","family":"Beattie","given":"R. Mark","non-dropping-particle":"","parse-names":false,"suffix":""}],"container-title":"Clinical Nutrition","id":"ITEM-1","issue":"6","issued":{"date-parts":[["2020"]]},"publisher":"Churchill Livingstone","title":"Beyond bedside measures of malnutrition in paediatric Crohn's disease – Should we be thinking of sarcopenia","type":"article","volume":"39"},"uris":["http://www.mendeley.com/documents/?uuid=963140c6-3781-38d6-b6d5-dde06d183455"]},{"id":"ITEM-2","itemData":{"DOI":"10.1097/MPG.0000000000002683","ISSN":"15364801","PMID":"32141991","abstract":"OBJECTIVE: The aim of the study was to assess the body composition of children with inflammatory bowel disease (IBD) and to study the accuracy of clinically available tools in predicting excess body fatness. We aimed at also exploring the influence of adiposity on pharmacokinetics during early Infliximab exposure. METHODS: Prospective cohort study in 5- to 17-year-old children with IBD initiating Infliximab therapy. Patient demographic, phenotypic, and laboratory data at the time of Infliximab initiation were recorded. Body composition was assessed using air displacement plethysmography (ADP). fat mass index (FMI = fat mass [kg]/(height [m])) was calculated to determine excess adiposity (defined as FMI ≥75th centile). Anthropometrics (weight, height, mid upper arm circumference [MUAC] and triceps skin fold thickness [TSF]) were obtained and MUAC and TSF measurements were used to calculate arm fat area (AFA) and arm muscle area z-scores. Statistical analysis was applied as appropriate. RESULTS: Fifty-three (68% male; 55% Crohn disease [CD], 45% ulcerative colitis [UC], median [IQR] age 15 [13-16] years) children with IBD were included. Twenty-four percentage of children with IBD (21% CD, 29% UC) had excess adiposity. Four children (31%) with FMI ≥75th centile were not identified by body mass index (BMI) alone (kappa of 0.60), and 2 children (15%) were not identified by AFA z-score alone. The intra- and interobserver reliability of MUAC and TSFT measurements was excellent. There was no difference in Infliximab trough levels at the end of induction between those with FMI less than or ≥75th centile. CONCLUSIONS: Excess adiposity affects approximately 1 in 4 young patients with IBD and can be missed by routine obesity screening. Our exploratory study did not raise concerns of underexposure to infliximab in those children with excess adiposity during early drug exposure.","author":[{"dropping-particle":"","family":"Dhaliwal","given":"Jasbir","non-dropping-particle":"","parse-names":false,"suffix":""},{"dropping-particle":"","family":"Martincevic","given":"Inez","non-dropping-particle":"","parse-names":false,"suffix":""},{"dropping-particle":"","family":"Williams","given":"Brock","non-dropping-particle":"","parse-names":false,"suffix":""},{"dropping-particle":"","family":"Frost","given":"Karen","non-dropping-particle":"","parse-names":false,"suffix":""},{"dropping-particle":"","family":"Uusoue","given":"Krista","non-dropping-particle":"","parse-names":false,"suffix":""},{"dropping-particle":"","family":"Arpino","given":"Valerie","non-dropping-particle":"","parse-names":false,"suffix":""},{"dropping-particle":"","family":"Church","given":"Peter","non-dropping-particle":"","parse-names":false,"suffix":""},{"dropping-particle":"","family":"Walters","given":"Thomas D.","non-dropping-particle":"","parse-names":false,"suffix":""},{"dropping-particle":"","family":"Griffiths","given":"Anne M.","non-dropping-particle":"","parse-names":false,"suffix":""},{"dropping-particle":"","family":"Mouzaki","given":"Marialena","non-dropping-particle":"","parse-names":false,"suffix":""}],"container-title":"Journal of pediatric gastroenterology and nutrition","id":"ITEM-2","issue":"1","issued":{"date-parts":[["2020","7","1"]]},"page":"52-58","publisher":"NLM (Medline)","title":"Body Composition Using Air Displacement Plethysmography in Children With Inflammatory Bowel Disease","type":"article-journal","volume":"71"},"uris":["http://www.mendeley.com/documents/?uuid=8cd3351e-8c2b-34b9-b598-233b7547a8e0"]}],"mendeley":{"formattedCitation":"&lt;sup&gt;10,11&lt;/sup&gt;","plainTextFormattedCitation":"10,11","previouslyFormattedCitation":"&lt;sup&gt;10,11&lt;/sup&gt;"},"properties":{"noteIndex":0},"schema":"https://github.com/citation-style-language/schema/raw/master/csl-citation.json"}</w:instrText>
      </w:r>
      <w:r w:rsidR="00AF2F15" w:rsidRPr="002756B1">
        <w:rPr>
          <w:rFonts w:cstheme="minorHAnsi"/>
          <w:noProof/>
        </w:rPr>
        <w:fldChar w:fldCharType="separate"/>
      </w:r>
      <w:r w:rsidR="00AF2F15" w:rsidRPr="002756B1">
        <w:rPr>
          <w:rFonts w:cstheme="minorHAnsi"/>
          <w:noProof/>
          <w:vertAlign w:val="superscript"/>
        </w:rPr>
        <w:t>10,11</w:t>
      </w:r>
      <w:r w:rsidR="00AF2F15" w:rsidRPr="002756B1">
        <w:rPr>
          <w:rFonts w:cstheme="minorHAnsi"/>
          <w:noProof/>
        </w:rPr>
        <w:fldChar w:fldCharType="end"/>
      </w:r>
      <w:r w:rsidR="00AF2F15" w:rsidRPr="002756B1">
        <w:rPr>
          <w:rFonts w:cstheme="minorHAnsi"/>
          <w:noProof/>
        </w:rPr>
        <w:t>.</w:t>
      </w:r>
    </w:p>
    <w:p w14:paraId="057D614A" w14:textId="06BB27EC" w:rsidR="00CC3027" w:rsidRDefault="002E5A1A" w:rsidP="00CC3027">
      <w:pPr>
        <w:spacing w:line="480" w:lineRule="auto"/>
        <w:rPr>
          <w:rFonts w:cstheme="minorHAnsi"/>
        </w:rPr>
      </w:pPr>
      <w:r w:rsidRPr="002756B1">
        <w:rPr>
          <w:rFonts w:cstheme="minorHAnsi"/>
          <w:noProof/>
        </w:rPr>
        <w:t xml:space="preserve">Body mass index (BMI) is routinely used as a </w:t>
      </w:r>
      <w:r w:rsidR="002756B1">
        <w:rPr>
          <w:rFonts w:cstheme="minorHAnsi"/>
          <w:noProof/>
        </w:rPr>
        <w:t xml:space="preserve">marker of </w:t>
      </w:r>
      <w:r w:rsidRPr="002756B1">
        <w:rPr>
          <w:rFonts w:cstheme="minorHAnsi"/>
          <w:noProof/>
        </w:rPr>
        <w:t>nutritional status. However, it is a crude measure of body habitus</w:t>
      </w:r>
      <w:r w:rsidR="00CC3027">
        <w:rPr>
          <w:rFonts w:cstheme="minorHAnsi"/>
          <w:noProof/>
        </w:rPr>
        <w:t>, does not represent body compsition</w:t>
      </w:r>
      <w:r w:rsidR="00522EBE">
        <w:rPr>
          <w:rFonts w:cstheme="minorHAnsi"/>
          <w:noProof/>
        </w:rPr>
        <w:t>,</w:t>
      </w:r>
      <w:r w:rsidRPr="002756B1">
        <w:rPr>
          <w:rFonts w:cstheme="minorHAnsi"/>
          <w:noProof/>
        </w:rPr>
        <w:t xml:space="preserve"> and </w:t>
      </w:r>
      <w:r w:rsidR="002756B1">
        <w:rPr>
          <w:rFonts w:cstheme="minorHAnsi"/>
          <w:noProof/>
        </w:rPr>
        <w:t>is</w:t>
      </w:r>
      <w:r w:rsidRPr="002756B1">
        <w:rPr>
          <w:rFonts w:cstheme="minorHAnsi"/>
          <w:noProof/>
        </w:rPr>
        <w:t xml:space="preserve"> recognised as being insufficient to identify </w:t>
      </w:r>
      <w:r w:rsidR="002756B1">
        <w:rPr>
          <w:rFonts w:cstheme="minorHAnsi"/>
          <w:noProof/>
        </w:rPr>
        <w:t>all</w:t>
      </w:r>
      <w:r w:rsidRPr="002756B1">
        <w:rPr>
          <w:rFonts w:cstheme="minorHAnsi"/>
          <w:noProof/>
        </w:rPr>
        <w:t xml:space="preserve"> children with </w:t>
      </w:r>
      <w:r w:rsidR="002756B1">
        <w:rPr>
          <w:rFonts w:cstheme="minorHAnsi"/>
          <w:noProof/>
        </w:rPr>
        <w:t>malnutrition presenting to acute services</w:t>
      </w:r>
      <w:r w:rsidR="002756B1">
        <w:rPr>
          <w:rFonts w:cstheme="minorHAnsi"/>
          <w:noProof/>
        </w:rPr>
        <w:fldChar w:fldCharType="begin" w:fldLock="1"/>
      </w:r>
      <w:r w:rsidR="00197BF9">
        <w:rPr>
          <w:rFonts w:cstheme="minorHAnsi"/>
          <w:noProof/>
        </w:rPr>
        <w:instrText>ADDIN CSL_CITATION {"citationItems":[{"id":"ITEM-1","itemData":{"DOI":"10.1136/ARCHDISCHILD-2016-310484","ISSN":"0003-9888","PMID":"27609019","abstract":"Introduction Multiple nutritional risk assessment tools are available, but there are limited data on their application in the acute setting. We explored the validity of two tools in a tertiary Children's Hospital's acute unit and the cohort's nutritional status using WHO definitions.\n\nMethods Prospective study n=300 (median 38 months; 44.6% female; 25.7% ≤12 months). Participants had standard anthropometry measured, all were screened using the Screening Tool for the Assessment of Malnutrition in Paediatrics (STAMP), the Paediatric Malnutrition Screening Tool (PMST) (modified STAMP) and 125 were additionally screened using the Paediatric Yorkhill Malnutrition Screening (PYMS) tool.\n\nResults The percentages with medium/high nutritional risk were as follows: STAMP 73.1%, PMST 79.3% and PYMS 30%. Height/weight were normally distributed with: 3.4% stunted (height-for-age z-score &lt;−2); aged ≤ 5 years, 6.8% wasted (weight-for-height z-score (WHZ) &lt;−2), 17.9% overweight (WHZ 1–2) and 6.2% obese (WHZ &gt;2); aged &gt;5 years, 5.8% thin (body mass index (BMI)-z-score (BAZ) &lt;−2), 17.3% overweight (BAZ 1–2) and 5.8% obese (BAZ &gt;2). The tools showed poor specificity and variable sensitivities when compared with WHO malnutrition criteria, with positive predictive values of &lt;50%. κ-Analysis also showed poor agreement between the tools and the WHO cut-offs.\n\nConclusion These results suggest that nutritional screening tools have poor sensitivity and are difficult to interpret in the acute setting. It may be more effective to include the assessment of weight and height and nutritional intake in the context of the acute presentation as part of routine clinical assessment rather than relying on screening tools to identify those at risk.","author":[{"dropping-particle":"","family":"Thomas","given":"P C","non-dropping-particle":"","parse-names":false,"suffix":""},{"dropping-particle":"V","family":"Marino","given":"L","non-dropping-particle":"","parse-names":false,"suffix":""},{"dropping-particle":"","family":"Williams","given":"S A","non-dropping-particle":"","parse-names":false,"suffix":""},{"dropping-particle":"","family":"Beattie","given":"R M","non-dropping-particle":"","parse-names":false,"suffix":""}],"container-title":"Archives of Disease in Childhood","id":"ITEM-1","issue":"12","issued":{"date-parts":[["2016","12"]]},"page":"1119-1124","publisher":"BMJ Publishing Group Ltd","title":"Outcome of nutritional screening in the acute paediatric setting","type":"article-journal","volume":"101"},"uris":["http://www.mendeley.com/documents/?uuid=2c457668-8af9-4649-a67b-8d7f0eaba884"]}],"mendeley":{"formattedCitation":"&lt;sup&gt;12&lt;/sup&gt;","plainTextFormattedCitation":"12","previouslyFormattedCitation":"&lt;sup&gt;12&lt;/sup&gt;"},"properties":{"noteIndex":0},"schema":"https://github.com/citation-style-language/schema/raw/master/csl-citation.json"}</w:instrText>
      </w:r>
      <w:r w:rsidR="002756B1">
        <w:rPr>
          <w:rFonts w:cstheme="minorHAnsi"/>
          <w:noProof/>
        </w:rPr>
        <w:fldChar w:fldCharType="separate"/>
      </w:r>
      <w:r w:rsidR="002756B1" w:rsidRPr="002756B1">
        <w:rPr>
          <w:rFonts w:cstheme="minorHAnsi"/>
          <w:noProof/>
          <w:vertAlign w:val="superscript"/>
        </w:rPr>
        <w:t>12</w:t>
      </w:r>
      <w:r w:rsidR="002756B1">
        <w:rPr>
          <w:rFonts w:cstheme="minorHAnsi"/>
          <w:noProof/>
        </w:rPr>
        <w:fldChar w:fldCharType="end"/>
      </w:r>
      <w:r w:rsidR="002756B1">
        <w:rPr>
          <w:rFonts w:cstheme="minorHAnsi"/>
          <w:noProof/>
        </w:rPr>
        <w:t>.</w:t>
      </w:r>
      <w:r w:rsidRPr="002756B1">
        <w:rPr>
          <w:rFonts w:cstheme="minorHAnsi"/>
          <w:noProof/>
        </w:rPr>
        <w:t xml:space="preserve"> </w:t>
      </w:r>
      <w:r w:rsidR="002756B1">
        <w:rPr>
          <w:rFonts w:cstheme="minorHAnsi"/>
          <w:noProof/>
        </w:rPr>
        <w:t>Simple assessment of</w:t>
      </w:r>
      <w:r w:rsidRPr="002756B1">
        <w:rPr>
          <w:rStyle w:val="cit"/>
          <w:rFonts w:cstheme="minorHAnsi"/>
        </w:rPr>
        <w:t xml:space="preserve"> </w:t>
      </w:r>
      <w:r w:rsidR="00CC3027">
        <w:rPr>
          <w:rStyle w:val="cit"/>
          <w:rFonts w:cstheme="minorHAnsi"/>
        </w:rPr>
        <w:t xml:space="preserve">nutritional status and </w:t>
      </w:r>
      <w:r w:rsidR="002756B1">
        <w:rPr>
          <w:rStyle w:val="cit"/>
          <w:rFonts w:cstheme="minorHAnsi"/>
        </w:rPr>
        <w:t>body composition in patients is desirable.</w:t>
      </w:r>
      <w:r w:rsidR="00197BF9">
        <w:rPr>
          <w:rStyle w:val="cit"/>
          <w:rFonts w:cstheme="minorHAnsi"/>
        </w:rPr>
        <w:t xml:space="preserve"> Using techniques such as computerised tomography (CT), d</w:t>
      </w:r>
      <w:r w:rsidR="00197BF9" w:rsidRPr="00197BF9">
        <w:rPr>
          <w:rStyle w:val="cit"/>
          <w:rFonts w:cstheme="minorHAnsi"/>
        </w:rPr>
        <w:t>ual energy X-ray absorptiometry</w:t>
      </w:r>
      <w:r w:rsidR="00197BF9">
        <w:rPr>
          <w:rStyle w:val="cit"/>
          <w:rFonts w:cstheme="minorHAnsi"/>
        </w:rPr>
        <w:t xml:space="preserve"> (</w:t>
      </w:r>
      <w:r w:rsidRPr="002756B1">
        <w:rPr>
          <w:rStyle w:val="cit"/>
          <w:rFonts w:cstheme="minorHAnsi"/>
        </w:rPr>
        <w:t>DXA</w:t>
      </w:r>
      <w:r w:rsidR="00197BF9">
        <w:rPr>
          <w:rStyle w:val="cit"/>
          <w:rFonts w:cstheme="minorHAnsi"/>
        </w:rPr>
        <w:t xml:space="preserve">) or </w:t>
      </w:r>
      <w:r w:rsidR="00197BF9" w:rsidRPr="00197BF9">
        <w:rPr>
          <w:rStyle w:val="cit"/>
          <w:rFonts w:cstheme="minorHAnsi"/>
        </w:rPr>
        <w:t>air</w:t>
      </w:r>
      <w:r w:rsidR="00197BF9">
        <w:rPr>
          <w:rStyle w:val="cit"/>
          <w:rFonts w:cstheme="minorHAnsi"/>
        </w:rPr>
        <w:t>-</w:t>
      </w:r>
      <w:r w:rsidR="00197BF9" w:rsidRPr="00197BF9">
        <w:rPr>
          <w:rStyle w:val="cit"/>
          <w:rFonts w:cstheme="minorHAnsi"/>
        </w:rPr>
        <w:t>displacement plethysmography</w:t>
      </w:r>
      <w:r w:rsidR="00197BF9">
        <w:rPr>
          <w:rStyle w:val="cit"/>
          <w:rFonts w:cstheme="minorHAnsi"/>
        </w:rPr>
        <w:t xml:space="preserve"> (ADP)</w:t>
      </w:r>
      <w:r w:rsidR="00197BF9" w:rsidRPr="00197BF9">
        <w:rPr>
          <w:rStyle w:val="cit"/>
          <w:rFonts w:cstheme="minorHAnsi"/>
        </w:rPr>
        <w:t xml:space="preserve"> </w:t>
      </w:r>
      <w:r w:rsidRPr="002756B1">
        <w:rPr>
          <w:rStyle w:val="cit"/>
          <w:rFonts w:cstheme="minorHAnsi"/>
        </w:rPr>
        <w:t xml:space="preserve">to assess body composition </w:t>
      </w:r>
      <w:r w:rsidR="00197BF9">
        <w:rPr>
          <w:rStyle w:val="cit"/>
          <w:rFonts w:cstheme="minorHAnsi"/>
        </w:rPr>
        <w:t>are not easily accessible in a clinical setting, with the additional exposure to radiation associated with CT and DXA</w:t>
      </w:r>
      <w:r w:rsidR="00197BF9">
        <w:rPr>
          <w:rStyle w:val="cit"/>
          <w:rFonts w:cstheme="minorHAnsi"/>
        </w:rPr>
        <w:fldChar w:fldCharType="begin" w:fldLock="1"/>
      </w:r>
      <w:r w:rsidR="00197BF9">
        <w:rPr>
          <w:rStyle w:val="cit"/>
          <w:rFonts w:cstheme="minorHAnsi"/>
        </w:rPr>
        <w:instrText>ADDIN CSL_CITATION {"citationItems":[{"id":"ITEM-1","itemData":{"DOI":"10.1136/flgastro-2019-101348","ISSN":"20414145","abstract":"Sarcopenia is a progressive and generalised disorder of skeletal muscle strength, function and mass, that is most commonly associated with the normal ageing process. It is increasingly recognised that sarcopenia can also develop as a consequence of malabsorptive and inflammatory conditions, such as those seen by gastroenterologists and hepatologists. It affects 1%-30% of the general population, but is seen in approximately 40% of patients with gastrointestinal conditions including inflammatory bowel disease and cirrhosis. Within this group of patients, it is associated with increased complications and mortality. The pathogenesis of sarcopenia is multifactorial with several risk factors implicated in its development including undernutrition, physical inactivity and coexistent multimorbidity. The SARC-F questionnaire has been developed to screen for patients at risk of sarcopenia, however, this focuses on the functional consequences and will therefore not identify those patients who are early in the progression of sarcopenia. There are several different non-invasive techniques available to assess muscle quantity and quality including; grip strength, dual energy X-ray absorptiometry, CT which can be used together to diagnose sarcopenia. Assessment and correction of malnutrition, particularly protein intake, in those at risk of sarcopenia is important in preventing the development and progression of sarcopenia. There are no specific drugs that are available for the treatment of sarcopenia, however, resistance exercise programmes combined with nutritional interventions show promise. It is important that this common condition is screened for and recognised, with any contributing factors addressed to reduce the risk of its progression.","author":[{"dropping-particle":"","family":"Hollingworth","given":"Thomas William","non-dropping-particle":"","parse-names":false,"suffix":""},{"dropping-particle":"","family":"Oke","given":"Siddhartha M.","non-dropping-particle":"","parse-names":false,"suffix":""},{"dropping-particle":"","family":"Patel","given":"Harnish","non-dropping-particle":"","parse-names":false,"suffix":""},{"dropping-particle":"","family":"Smith","given":"Trevor R.","non-dropping-particle":"","parse-names":false,"suffix":""}],"container-title":"Frontline Gastroenterology","id":"ITEM-1","issue":"1","issued":{"date-parts":[["2020","1","1"]]},"page":"53-61","publisher":"BMJ Publishing Group","title":"Getting to grips with sarcopenia: Recent advances and practical management for the gastroenterologist","type":"article","volume":"12"},"uris":["http://www.mendeley.com/documents/?uuid=61adb8e6-659c-33e8-a1ce-5da5bd37f627"]}],"mendeley":{"formattedCitation":"&lt;sup&gt;13&lt;/sup&gt;","plainTextFormattedCitation":"13","previouslyFormattedCitation":"&lt;sup&gt;13&lt;/sup&gt;"},"properties":{"noteIndex":0},"schema":"https://github.com/citation-style-language/schema/raw/master/csl-citation.json"}</w:instrText>
      </w:r>
      <w:r w:rsidR="00197BF9">
        <w:rPr>
          <w:rStyle w:val="cit"/>
          <w:rFonts w:cstheme="minorHAnsi"/>
        </w:rPr>
        <w:fldChar w:fldCharType="separate"/>
      </w:r>
      <w:r w:rsidR="00197BF9" w:rsidRPr="00197BF9">
        <w:rPr>
          <w:rStyle w:val="cit"/>
          <w:rFonts w:cstheme="minorHAnsi"/>
          <w:noProof/>
          <w:vertAlign w:val="superscript"/>
        </w:rPr>
        <w:t>13</w:t>
      </w:r>
      <w:r w:rsidR="00197BF9">
        <w:rPr>
          <w:rStyle w:val="cit"/>
          <w:rFonts w:cstheme="minorHAnsi"/>
        </w:rPr>
        <w:fldChar w:fldCharType="end"/>
      </w:r>
      <w:r w:rsidRPr="002756B1">
        <w:rPr>
          <w:rStyle w:val="cit"/>
          <w:rFonts w:cstheme="minorHAnsi"/>
        </w:rPr>
        <w:t>.</w:t>
      </w:r>
      <w:r w:rsidR="00197BF9">
        <w:rPr>
          <w:rStyle w:val="cit"/>
          <w:rFonts w:cstheme="minorHAnsi"/>
        </w:rPr>
        <w:t xml:space="preserve"> </w:t>
      </w:r>
      <w:r w:rsidRPr="002756B1">
        <w:rPr>
          <w:rStyle w:val="cit"/>
          <w:rFonts w:cstheme="minorHAnsi"/>
        </w:rPr>
        <w:t xml:space="preserve"> </w:t>
      </w:r>
      <w:r w:rsidR="00CC3027">
        <w:rPr>
          <w:rStyle w:val="cit"/>
          <w:rFonts w:cstheme="minorHAnsi"/>
        </w:rPr>
        <w:t>B</w:t>
      </w:r>
      <w:r w:rsidR="00CC3027" w:rsidRPr="002756B1">
        <w:rPr>
          <w:rFonts w:cstheme="minorHAnsi"/>
        </w:rPr>
        <w:t xml:space="preserve">ioelectrical impedance </w:t>
      </w:r>
      <w:r w:rsidR="00CC3027" w:rsidRPr="002756B1">
        <w:rPr>
          <w:rFonts w:cstheme="minorHAnsi"/>
        </w:rPr>
        <w:lastRenderedPageBreak/>
        <w:t>spectroscopy (BIS)</w:t>
      </w:r>
      <w:r w:rsidR="00CC3027">
        <w:rPr>
          <w:rFonts w:cstheme="minorHAnsi"/>
        </w:rPr>
        <w:t>, a simple bedside test that measures the resistance and reactance of a subject to a weak alternating electrical current, can be used to provide a derived measure of body composition and, through assessment of the phase angle measure, cellular health</w:t>
      </w:r>
      <w:r w:rsidR="00CC3027">
        <w:rPr>
          <w:rFonts w:cstheme="minorHAnsi"/>
        </w:rPr>
        <w:fldChar w:fldCharType="begin" w:fldLock="1"/>
      </w:r>
      <w:r w:rsidR="00CC3027">
        <w:rPr>
          <w:rFonts w:cstheme="minorHAnsi"/>
        </w:rPr>
        <w:instrText>ADDIN CSL_CITATION {"citationItems":[{"id":"ITEM-1","itemData":{"DOI":"10.1016/j.clnu.2017.06.020","ISSN":"15321983","PMID":"28684015","abstract":"Objective: Children with congenital heart disease (CHD) are often growth restricted (low weight- and/or height-for-age) which may increase risk of poor post operative resilience. Bioelectrical impedance spectroscopy (BIS) has been used to determine body composition in different clinical settings and has been shown to mark differences in nutritional state and clinical outcome. In disease conditions were fluid is not normally distributed it is proposed that raw impedance values and BIS derived phase-angle may serve as prognostic indicators of clinical outcome. We sought to describe the relationship between nutritional status, phase-angle and post-operative outcomes in children with congenital heart disease. Design: Single centre prospective cohort study. Setting: Paediatric Intensive Care Unit (PICU), Southampton Children's Hospital. Patients: 122 children with CHD following cardiac surgery (March 2015–April 2016). Outcome variables included growth, mechanical-ventilation, PICU length of stay (PICU-LOS) and phase-angle at 50 Hz. Measurements and main results: BIS measurements were taken before and on the day of surgery (day 0), day 2 post-operatively and on discharge from hospital. Pre-operative moderate malnutrition defined as height-for-age-z-score (HAZ) ≤−2 was observed in 28.5% of infants and 20.6% of children. Regression analysis was used to investigate the relationship between phase-angle, HAZ and clinical outcomes. Moderate-malnutrition (HAZ ≤−2) was associated with an increased PICU-LOS (odds ratios (OR) with 95% confidence interval: 1.8; 1.1–2.7, p = 0.008) whilst a low phase-angle (≤2.7° on day 2 was associated with longer PICU-LOS (OR 7.8; 2.7–22.45, p &lt; 0.001)); When the model was adjusted for age, known risk factors and length of surgery, HAZ ≤−2 and phase-angle ≤2.7° on day 2 were associated with longer PICU-LOS (p = 0.001 and p = 0.04 respectively) and together explained 81.7% of the variability in PICU-LOS. Conclusions: Moderate malnutrition (HAZ ≤−2) in infants and children undergoing cardiac surgery is associated with longer PICU-LOS. Post-operative measures of BIS phase angle may further improve our ability to identifying hose children with an increased risk of prolonged PICU-LOS compared to using pre-operative anthropometry alone.","author":[{"dropping-particle":"V.","family":"Marino","given":"L.","non-dropping-particle":"","parse-names":false,"suffix":""},{"dropping-particle":"","family":"Meyer","given":"R.","non-dropping-particle":"","parse-names":false,"suffix":""},{"dropping-particle":"","family":"Johnson","given":"M.","non-dropping-particle":"","parse-names":false,"suffix":""},{"dropping-particle":"","family":"Newell","given":"C.","non-dropping-particle":"","parse-names":false,"suffix":""},{"dropping-particle":"","family":"Johnstone","given":"C.","non-dropping-particle":"","parse-names":false,"suffix":""},{"dropping-particle":"","family":"Magee","given":"A.","non-dropping-particle":"","parse-names":false,"suffix":""},{"dropping-particle":"","family":"Sykes","given":"K.","non-dropping-particle":"","parse-names":false,"suffix":""},{"dropping-particle":"","family":"Wootton","given":"S. A.","non-dropping-particle":"","parse-names":false,"suffix":""},{"dropping-particle":"V.","family":"Pappachan","given":"J.","non-dropping-particle":"","parse-names":false,"suffix":""}],"container-title":"Clinical Nutrition","id":"ITEM-1","issue":"4","issued":{"date-parts":[["2018","8","1"]]},"page":"1430-1436","publisher":"Churchill Livingstone","title":"Bioimpedance spectroscopy measurements of phase angle and height for age are predictive of outcome in children following surgery for congenital heart disease","type":"article-journal","volume":"37"},"uris":["http://www.mendeley.com/documents/?uuid=1cefa5f3-d2ca-3568-9361-bc5a414dc8ad"]}],"mendeley":{"formattedCitation":"&lt;sup&gt;14&lt;/sup&gt;","plainTextFormattedCitation":"14","previouslyFormattedCitation":"&lt;sup&gt;14&lt;/sup&gt;"},"properties":{"noteIndex":0},"schema":"https://github.com/citation-style-language/schema/raw/master/csl-citation.json"}</w:instrText>
      </w:r>
      <w:r w:rsidR="00CC3027">
        <w:rPr>
          <w:rFonts w:cstheme="minorHAnsi"/>
        </w:rPr>
        <w:fldChar w:fldCharType="separate"/>
      </w:r>
      <w:r w:rsidR="00CC3027" w:rsidRPr="00197BF9">
        <w:rPr>
          <w:rFonts w:cstheme="minorHAnsi"/>
          <w:noProof/>
          <w:vertAlign w:val="superscript"/>
        </w:rPr>
        <w:t>14</w:t>
      </w:r>
      <w:r w:rsidR="00CC3027">
        <w:rPr>
          <w:rFonts w:cstheme="minorHAnsi"/>
        </w:rPr>
        <w:fldChar w:fldCharType="end"/>
      </w:r>
      <w:r w:rsidR="00C43441">
        <w:rPr>
          <w:rFonts w:cstheme="minorHAnsi"/>
        </w:rPr>
        <w:t>. This then allows the potential for identification of</w:t>
      </w:r>
      <w:r w:rsidR="00CC3027" w:rsidRPr="002756B1">
        <w:rPr>
          <w:rStyle w:val="cit"/>
          <w:rFonts w:cstheme="minorHAnsi"/>
        </w:rPr>
        <w:t xml:space="preserve"> those children at risk of declining </w:t>
      </w:r>
      <w:r w:rsidR="00CC3027" w:rsidRPr="002756B1">
        <w:rPr>
          <w:rFonts w:cstheme="minorHAnsi"/>
        </w:rPr>
        <w:t xml:space="preserve">physiological and functional reserve. </w:t>
      </w:r>
      <w:r w:rsidR="00CC3027">
        <w:rPr>
          <w:rFonts w:cstheme="minorHAnsi"/>
        </w:rPr>
        <w:t xml:space="preserve">Whilst BIS measures of resistance and reactance </w:t>
      </w:r>
      <w:r w:rsidR="00294823">
        <w:rPr>
          <w:rFonts w:cstheme="minorHAnsi"/>
        </w:rPr>
        <w:t xml:space="preserve">as raw values </w:t>
      </w:r>
      <w:r w:rsidR="00CC3027">
        <w:rPr>
          <w:rFonts w:cstheme="minorHAnsi"/>
        </w:rPr>
        <w:t>are accurate, estimates of fat mass (FM) and fat-free mass (FFM) derived from</w:t>
      </w:r>
      <w:r w:rsidR="00294823">
        <w:rPr>
          <w:rFonts w:cstheme="minorHAnsi"/>
        </w:rPr>
        <w:t xml:space="preserve"> proprietary equations are device and population specific, </w:t>
      </w:r>
      <w:r w:rsidR="00C43441">
        <w:rPr>
          <w:rFonts w:cstheme="minorHAnsi"/>
        </w:rPr>
        <w:t>and</w:t>
      </w:r>
      <w:r w:rsidR="00CC3027">
        <w:rPr>
          <w:rFonts w:cstheme="minorHAnsi"/>
        </w:rPr>
        <w:t xml:space="preserve"> predicted </w:t>
      </w:r>
      <w:r w:rsidR="00294823">
        <w:rPr>
          <w:rFonts w:cstheme="minorHAnsi"/>
        </w:rPr>
        <w:t>measures of body composition using BIS have shown poor agreement with reference methods of determining body composition</w:t>
      </w:r>
      <w:r w:rsidR="007819D2">
        <w:rPr>
          <w:rFonts w:cstheme="minorHAnsi"/>
        </w:rPr>
        <w:t>, especially in children</w:t>
      </w:r>
      <w:r w:rsidR="00CC3027">
        <w:rPr>
          <w:rFonts w:cstheme="minorHAnsi"/>
        </w:rPr>
        <w:fldChar w:fldCharType="begin" w:fldLock="1"/>
      </w:r>
      <w:r w:rsidR="00CC3027">
        <w:rPr>
          <w:rFonts w:cstheme="minorHAnsi"/>
        </w:rPr>
        <w:instrText>ADDIN CSL_CITATION {"citationItems":[{"id":"ITEM-1","itemData":{"DOI":"10.1177/193229680800200623","ISSN":"19322968","PMID":"19885303","abstract":"The incidence of obesity in the United States and other developed countries is epidemic. Because the prevalence of comorbidities to obesity such as type 2 diabetes, has also increased, it is clear there is a great need to monitor and treat obesity and its comorbidities. Body composition assessments vary in precision and in the target tissue of interest. The most common assessments are anthropometric and include weight, stature, abdominal circumference, and skinfold measurements. More complex methods include bioelectrical impedance, dual-energy X-ray absorptiometry, body density, and total body water estimates. There is no single universally recommended method for body composition assessment in the obese, but each modality has benefits and drawbacks. We present here the most common methods and provide guidelines by way of examples to assist the clinician/researcher in choosing methods appropriate to their situation. © Diabetes Technology Society.","author":[{"dropping-particle":"","family":"Duren","given":"Dana L.","non-dropping-particle":"","parse-names":false,"suffix":""},{"dropping-particle":"","family":"Sherwood","given":"Richard J.","non-dropping-particle":"","parse-names":false,"suffix":""},{"dropping-particle":"","family":"Czerwinski","given":"Stefan A.","non-dropping-particle":"","parse-names":false,"suffix":""},{"dropping-particle":"","family":"Lee","given":"Miryoung","non-dropping-particle":"","parse-names":false,"suffix":""},{"dropping-particle":"","family":"Choh","given":"Audrey C.","non-dropping-particle":"","parse-names":false,"suffix":""},{"dropping-particle":"","family":"Siervogel","given":"Roger M.","non-dropping-particle":"","parse-names":false,"suffix":""},{"dropping-particle":"","family":"Chumlea","given":"WM Cameron","non-dropping-particle":"","parse-names":false,"suffix":""}],"container-title":"Journal of Diabetes Science and Technology","id":"ITEM-1","issue":"6","issued":{"date-parts":[["2008"]]},"page":"1139-1146","publisher":"SAGE Publications Inc.","title":"Body composition methods: Comparisons and interpretation","type":"article-journal","volume":"2"},"uris":["http://www.mendeley.com/documents/?uuid=14c7f3f8-8075-3fcc-ae15-6aeef4984a2a"]}],"mendeley":{"formattedCitation":"&lt;sup&gt;15&lt;/sup&gt;","plainTextFormattedCitation":"15","previouslyFormattedCitation":"&lt;sup&gt;15&lt;/sup&gt;"},"properties":{"noteIndex":0},"schema":"https://github.com/citation-style-language/schema/raw/master/csl-citation.json"}</w:instrText>
      </w:r>
      <w:r w:rsidR="00CC3027">
        <w:rPr>
          <w:rFonts w:cstheme="minorHAnsi"/>
        </w:rPr>
        <w:fldChar w:fldCharType="separate"/>
      </w:r>
      <w:r w:rsidR="00CC3027" w:rsidRPr="00CB462E">
        <w:rPr>
          <w:rFonts w:cstheme="minorHAnsi"/>
          <w:noProof/>
          <w:vertAlign w:val="superscript"/>
        </w:rPr>
        <w:t>15</w:t>
      </w:r>
      <w:r w:rsidR="00CC3027">
        <w:rPr>
          <w:rFonts w:cstheme="minorHAnsi"/>
        </w:rPr>
        <w:fldChar w:fldCharType="end"/>
      </w:r>
      <w:r w:rsidR="00CC3027">
        <w:rPr>
          <w:rFonts w:cstheme="minorHAnsi"/>
        </w:rPr>
        <w:t>.</w:t>
      </w:r>
      <w:r w:rsidR="007819D2">
        <w:rPr>
          <w:rFonts w:cstheme="minorHAnsi"/>
        </w:rPr>
        <w:t xml:space="preserve"> P</w:t>
      </w:r>
      <w:r w:rsidR="00CC3027">
        <w:rPr>
          <w:rFonts w:cstheme="minorHAnsi"/>
        </w:rPr>
        <w:t>hase angle (PA), a</w:t>
      </w:r>
      <w:r w:rsidR="00CC3027" w:rsidRPr="00703586">
        <w:rPr>
          <w:rFonts w:cstheme="minorHAnsi"/>
        </w:rPr>
        <w:t xml:space="preserve"> measur</w:t>
      </w:r>
      <w:r w:rsidR="00CC3027">
        <w:rPr>
          <w:rFonts w:cstheme="minorHAnsi"/>
        </w:rPr>
        <w:t xml:space="preserve">e of the relationship between </w:t>
      </w:r>
      <w:r w:rsidR="00CC3027" w:rsidRPr="00703586">
        <w:rPr>
          <w:rFonts w:cstheme="minorHAnsi"/>
        </w:rPr>
        <w:t>resistance and reactance</w:t>
      </w:r>
      <w:r w:rsidR="00CC3027">
        <w:rPr>
          <w:rFonts w:cstheme="minorHAnsi"/>
        </w:rPr>
        <w:t>, have previously been shown to predict health status, with</w:t>
      </w:r>
      <w:r w:rsidR="00CC3027" w:rsidRPr="002756B1">
        <w:rPr>
          <w:rFonts w:cstheme="minorHAnsi"/>
        </w:rPr>
        <w:t xml:space="preserve"> </w:t>
      </w:r>
      <w:r w:rsidR="00CC3027">
        <w:rPr>
          <w:rFonts w:cstheme="minorHAnsi"/>
          <w:color w:val="000000"/>
        </w:rPr>
        <w:t>higher</w:t>
      </w:r>
      <w:r w:rsidR="00CC3027" w:rsidRPr="002756B1">
        <w:rPr>
          <w:rFonts w:cstheme="minorHAnsi"/>
          <w:color w:val="000000"/>
        </w:rPr>
        <w:t xml:space="preserve"> </w:t>
      </w:r>
      <w:r w:rsidR="00CC3027">
        <w:rPr>
          <w:rFonts w:cstheme="minorHAnsi"/>
          <w:color w:val="000000"/>
        </w:rPr>
        <w:t xml:space="preserve">PA </w:t>
      </w:r>
      <w:r w:rsidR="00CC3027" w:rsidRPr="002756B1">
        <w:rPr>
          <w:rFonts w:cstheme="minorHAnsi"/>
          <w:color w:val="000000"/>
        </w:rPr>
        <w:t xml:space="preserve">values </w:t>
      </w:r>
      <w:r w:rsidR="00CC3027" w:rsidRPr="002756B1">
        <w:rPr>
          <w:rFonts w:cstheme="minorHAnsi"/>
        </w:rPr>
        <w:t>predictive of</w:t>
      </w:r>
      <w:r w:rsidR="00CC3027">
        <w:rPr>
          <w:rFonts w:cstheme="minorHAnsi"/>
        </w:rPr>
        <w:t xml:space="preserve"> increased</w:t>
      </w:r>
      <w:r w:rsidR="00CC3027" w:rsidRPr="002756B1">
        <w:rPr>
          <w:rFonts w:cstheme="minorHAnsi"/>
        </w:rPr>
        <w:t xml:space="preserve"> functional reserves</w:t>
      </w:r>
      <w:r w:rsidR="00CC3027" w:rsidRPr="002756B1">
        <w:rPr>
          <w:rFonts w:cstheme="minorHAnsi"/>
          <w:color w:val="000000"/>
        </w:rPr>
        <w:t xml:space="preserve"> </w:t>
      </w:r>
      <w:r w:rsidR="00CC3027" w:rsidRPr="002756B1">
        <w:rPr>
          <w:rFonts w:cstheme="minorHAnsi"/>
        </w:rPr>
        <w:t xml:space="preserve">and resilience as well as being associated with </w:t>
      </w:r>
      <w:r w:rsidR="00CC3027">
        <w:rPr>
          <w:rFonts w:cstheme="minorHAnsi"/>
        </w:rPr>
        <w:t xml:space="preserve">improved </w:t>
      </w:r>
      <w:r w:rsidR="00CC3027" w:rsidRPr="002756B1">
        <w:rPr>
          <w:rFonts w:cstheme="minorHAnsi"/>
        </w:rPr>
        <w:t>nutritional status in</w:t>
      </w:r>
      <w:r w:rsidR="00CC3027">
        <w:rPr>
          <w:rFonts w:cstheme="minorHAnsi"/>
        </w:rPr>
        <w:t xml:space="preserve"> infants and older</w:t>
      </w:r>
      <w:r w:rsidR="00CC3027" w:rsidRPr="002756B1">
        <w:rPr>
          <w:rFonts w:cstheme="minorHAnsi"/>
        </w:rPr>
        <w:t xml:space="preserve"> children</w:t>
      </w:r>
      <w:r w:rsidR="00CC3027">
        <w:rPr>
          <w:rFonts w:cstheme="minorHAnsi"/>
        </w:rPr>
        <w:fldChar w:fldCharType="begin" w:fldLock="1"/>
      </w:r>
      <w:r w:rsidR="00CC3027">
        <w:rPr>
          <w:rFonts w:cstheme="minorHAnsi"/>
        </w:rPr>
        <w:instrText>ADDIN CSL_CITATION {"citationItems":[{"id":"ITEM-1","itemData":{"DOI":"10.1016/j.clnu.2017.06.020","ISSN":"15321983","PMID":"28684015","abstract":"Objective: Children with congenital heart disease (CHD) are often growth restricted (low weight- and/or height-for-age) which may increase risk of poor post operative resilience. Bioelectrical impedance spectroscopy (BIS) has been used to determine body composition in different clinical settings and has been shown to mark differences in nutritional state and clinical outcome. In disease conditions were fluid is not normally distributed it is proposed that raw impedance values and BIS derived phase-angle may serve as prognostic indicators of clinical outcome. We sought to describe the relationship between nutritional status, phase-angle and post-operative outcomes in children with congenital heart disease. Design: Single centre prospective cohort study. Setting: Paediatric Intensive Care Unit (PICU), Southampton Children's Hospital. Patients: 122 children with CHD following cardiac surgery (March 2015–April 2016). Outcome variables included growth, mechanical-ventilation, PICU length of stay (PICU-LOS) and phase-angle at 50 Hz. Measurements and main results: BIS measurements were taken before and on the day of surgery (day 0), day 2 post-operatively and on discharge from hospital. Pre-operative moderate malnutrition defined as height-for-age-z-score (HAZ) ≤−2 was observed in 28.5% of infants and 20.6% of children. Regression analysis was used to investigate the relationship between phase-angle, HAZ and clinical outcomes. Moderate-malnutrition (HAZ ≤−2) was associated with an increased PICU-LOS (odds ratios (OR) with 95% confidence interval: 1.8; 1.1–2.7, p = 0.008) whilst a low phase-angle (≤2.7° on day 2 was associated with longer PICU-LOS (OR 7.8; 2.7–22.45, p &lt; 0.001)); When the model was adjusted for age, known risk factors and length of surgery, HAZ ≤−2 and phase-angle ≤2.7° on day 2 were associated with longer PICU-LOS (p = 0.001 and p = 0.04 respectively) and together explained 81.7% of the variability in PICU-LOS. Conclusions: Moderate malnutrition (HAZ ≤−2) in infants and children undergoing cardiac surgery is associated with longer PICU-LOS. Post-operative measures of BIS phase angle may further improve our ability to identifying hose children with an increased risk of prolonged PICU-LOS compared to using pre-operative anthropometry alone.","author":[{"dropping-particle":"V.","family":"Marino","given":"L.","non-dropping-particle":"","parse-names":false,"suffix":""},{"dropping-particle":"","family":"Meyer","given":"R.","non-dropping-particle":"","parse-names":false,"suffix":""},{"dropping-particle":"","family":"Johnson","given":"M.","non-dropping-particle":"","parse-names":false,"suffix":""},{"dropping-particle":"","family":"Newell","given":"C.","non-dropping-particle":"","parse-names":false,"suffix":""},{"dropping-particle":"","family":"Johnstone","given":"C.","non-dropping-particle":"","parse-names":false,"suffix":""},{"dropping-particle":"","family":"Magee","given":"A.","non-dropping-particle":"","parse-names":false,"suffix":""},{"dropping-particle":"","family":"Sykes","given":"K.","non-dropping-particle":"","parse-names":false,"suffix":""},{"dropping-particle":"","family":"Wootton","given":"S. A.","non-dropping-particle":"","parse-names":false,"suffix":""},{"dropping-particle":"V.","family":"Pappachan","given":"J.","non-dropping-particle":"","parse-names":false,"suffix":""}],"container-title":"Clinical Nutrition","id":"ITEM-1","issue":"4","issued":{"date-parts":[["2018","8","1"]]},"page":"1430-1436","publisher":"Churchill Livingstone","title":"Bioimpedance spectroscopy measurements of phase angle and height for age are predictive of outcome in children following surgery for congenital heart disease","type":"article-journal","volume":"37"},"uris":["http://www.mendeley.com/documents/?uuid=1cefa5f3-d2ca-3568-9361-bc5a414dc8ad"]},{"id":"ITEM-2","itemData":{"DOI":"10.1016/j.clnu.2018.12.033","ISSN":"15321983","PMID":"30737045","abstract":"Preterm birth and body composition have demonstrable effects on growth and later health outcomes. Preterm infants reach term equivalent age with a lower proportion of lean mass and higher body fat percentage than their term equivalent counterparts. Weight and length do not give an accurate assessment of body composition. Tracking body composition rather than just weight is a fundamental part of improving nutritional outcomes. This is important given the ongoing controversies regarding the nutritional needs of preterm infants, as well as establishing suitable targets for their growth. In this review we describe current methodologies used in the measurement of body composition of the preterm infant and the review the recent published evidence for their accuracy and utility. Current measurement techniques employed include air displacement plethysmography, bioelectrical impedance analysis, isotope dilution techniques, MRI and a combination of manual measurements including skinfold thickness, body mass index and mid upper arm/mid-thigh circumference. These measures allow for the estimation of fat mass, fat-free mass and regional assessment of adiposity. Some methods, such as dual-energy X-ray absorptiometry and air displacement plethysmography do allow for comparison of change in body composition over time in cohorts of preterm infants that may be studied over a longer period of time and into adult life. However, none of the currently described methods give an accurate and practically achievable method of obtaining body composition measures in preterm infants in day to day routine clinical practise, although this remains a key priority when decisions are being made about how best to feed.","author":[{"dropping-particle":"","family":"Andrews","given":"Edward T.","non-dropping-particle":"","parse-names":false,"suffix":""},{"dropping-particle":"","family":"Beattie","given":"R. Mark","non-dropping-particle":"","parse-names":false,"suffix":""},{"dropping-particle":"","family":"Johnson","given":"Mark J.","non-dropping-particle":"","parse-names":false,"suffix":""}],"container-title":"Clinical Nutrition","id":"ITEM-2","issue":"6","issued":{"date-parts":[["2019","12","1"]]},"page":"2521-2530","publisher":"Churchill Livingstone","title":"Measuring body composition in the preterm infant: Evidence base and practicalities","type":"article","volume":"38"},"uris":["http://www.mendeley.com/documents/?uuid=dd5d7937-f7b3-3a2b-a20b-c4ffdf706ef5"]}],"mendeley":{"formattedCitation":"&lt;sup&gt;14,16&lt;/sup&gt;","plainTextFormattedCitation":"14,16","previouslyFormattedCitation":"&lt;sup&gt;14,16&lt;/sup&gt;"},"properties":{"noteIndex":0},"schema":"https://github.com/citation-style-language/schema/raw/master/csl-citation.json"}</w:instrText>
      </w:r>
      <w:r w:rsidR="00CC3027">
        <w:rPr>
          <w:rFonts w:cstheme="minorHAnsi"/>
        </w:rPr>
        <w:fldChar w:fldCharType="separate"/>
      </w:r>
      <w:r w:rsidR="00CC3027" w:rsidRPr="00CB462E">
        <w:rPr>
          <w:rFonts w:cstheme="minorHAnsi"/>
          <w:noProof/>
          <w:vertAlign w:val="superscript"/>
        </w:rPr>
        <w:t>14,16</w:t>
      </w:r>
      <w:r w:rsidR="00CC3027">
        <w:rPr>
          <w:rFonts w:cstheme="minorHAnsi"/>
        </w:rPr>
        <w:fldChar w:fldCharType="end"/>
      </w:r>
      <w:r w:rsidR="00CC3027">
        <w:rPr>
          <w:rFonts w:cstheme="minorHAnsi"/>
        </w:rPr>
        <w:t>.</w:t>
      </w:r>
      <w:r w:rsidR="00CC3027" w:rsidRPr="002756B1">
        <w:rPr>
          <w:rFonts w:cstheme="minorHAnsi"/>
        </w:rPr>
        <w:t xml:space="preserve">  </w:t>
      </w:r>
      <w:r w:rsidR="00CC3027">
        <w:rPr>
          <w:rFonts w:cstheme="minorHAnsi"/>
        </w:rPr>
        <w:t>Low measures of PA at a frequency of 50</w:t>
      </w:r>
      <w:r w:rsidR="00DA68D4">
        <w:rPr>
          <w:rFonts w:cstheme="minorHAnsi"/>
        </w:rPr>
        <w:t>K</w:t>
      </w:r>
      <w:r w:rsidR="00CC3027">
        <w:rPr>
          <w:rFonts w:cstheme="minorHAnsi"/>
        </w:rPr>
        <w:t>hz have been reported to occur earlier in children than changes in anthropometry, suggesting the use of BIS in a clinical setting may identify children with nutrition risk earlier, providing the opportunity for timely intervention</w:t>
      </w:r>
      <w:r w:rsidR="00CC3027">
        <w:rPr>
          <w:rFonts w:cstheme="minorHAnsi"/>
        </w:rPr>
        <w:fldChar w:fldCharType="begin" w:fldLock="1"/>
      </w:r>
      <w:r w:rsidR="00CC3027">
        <w:rPr>
          <w:rFonts w:cstheme="minorHAnsi"/>
        </w:rPr>
        <w:instrText>ADDIN CSL_CITATION {"citationItems":[{"id":"ITEM-1","itemData":{"DOI":"10.1016/j.clnu.2017.06.020","ISSN":"15321983","PMID":"28684015","abstract":"Objective: Children with congenital heart disease (CHD) are often growth restricted (low weight- and/or height-for-age) which may increase risk of poor post operative resilience. Bioelectrical impedance spectroscopy (BIS) has been used to determine body composition in different clinical settings and has been shown to mark differences in nutritional state and clinical outcome. In disease conditions were fluid is not normally distributed it is proposed that raw impedance values and BIS derived phase-angle may serve as prognostic indicators of clinical outcome. We sought to describe the relationship between nutritional status, phase-angle and post-operative outcomes in children with congenital heart disease. Design: Single centre prospective cohort study. Setting: Paediatric Intensive Care Unit (PICU), Southampton Children's Hospital. Patients: 122 children with CHD following cardiac surgery (March 2015–April 2016). Outcome variables included growth, mechanical-ventilation, PICU length of stay (PICU-LOS) and phase-angle at 50 Hz. Measurements and main results: BIS measurements were taken before and on the day of surgery (day 0), day 2 post-operatively and on discharge from hospital. Pre-operative moderate malnutrition defined as height-for-age-z-score (HAZ) ≤−2 was observed in 28.5% of infants and 20.6% of children. Regression analysis was used to investigate the relationship between phase-angle, HAZ and clinical outcomes. Moderate-malnutrition (HAZ ≤−2) was associated with an increased PICU-LOS (odds ratios (OR) with 95% confidence interval: 1.8; 1.1–2.7, p = 0.008) whilst a low phase-angle (≤2.7° on day 2 was associated with longer PICU-LOS (OR 7.8; 2.7–22.45, p &lt; 0.001)); When the model was adjusted for age, known risk factors and length of surgery, HAZ ≤−2 and phase-angle ≤2.7° on day 2 were associated with longer PICU-LOS (p = 0.001 and p = 0.04 respectively) and together explained 81.7% of the variability in PICU-LOS. Conclusions: Moderate malnutrition (HAZ ≤−2) in infants and children undergoing cardiac surgery is associated with longer PICU-LOS. Post-operative measures of BIS phase angle may further improve our ability to identifying hose children with an increased risk of prolonged PICU-LOS compared to using pre-operative anthropometry alone.","author":[{"dropping-particle":"V.","family":"Marino","given":"L.","non-dropping-particle":"","parse-names":false,"suffix":""},{"dropping-particle":"","family":"Meyer","given":"R.","non-dropping-particle":"","parse-names":false,"suffix":""},{"dropping-particle":"","family":"Johnson","given":"M.","non-dropping-particle":"","parse-names":false,"suffix":""},{"dropping-particle":"","family":"Newell","given":"C.","non-dropping-particle":"","parse-names":false,"suffix":""},{"dropping-particle":"","family":"Johnstone","given":"C.","non-dropping-particle":"","parse-names":false,"suffix":""},{"dropping-particle":"","family":"Magee","given":"A.","non-dropping-particle":"","parse-names":false,"suffix":""},{"dropping-particle":"","family":"Sykes","given":"K.","non-dropping-particle":"","parse-names":false,"suffix":""},{"dropping-particle":"","family":"Wootton","given":"S. A.","non-dropping-particle":"","parse-names":false,"suffix":""},{"dropping-particle":"V.","family":"Pappachan","given":"J.","non-dropping-particle":"","parse-names":false,"suffix":""}],"container-title":"Clinical Nutrition","id":"ITEM-1","issue":"4","issued":{"date-parts":[["2018","8","1"]]},"page":"1430-1436","publisher":"Churchill Livingstone","title":"Bioimpedance spectroscopy measurements of phase angle and height for age are predictive of outcome in children following surgery for congenital heart disease","type":"article-journal","volume":"37"},"uris":["http://www.mendeley.com/documents/?uuid=1cefa5f3-d2ca-3568-9361-bc5a414dc8ad"]}],"mendeley":{"formattedCitation":"&lt;sup&gt;14&lt;/sup&gt;","plainTextFormattedCitation":"14","previouslyFormattedCitation":"&lt;sup&gt;14&lt;/sup&gt;"},"properties":{"noteIndex":0},"schema":"https://github.com/citation-style-language/schema/raw/master/csl-citation.json"}</w:instrText>
      </w:r>
      <w:r w:rsidR="00CC3027">
        <w:rPr>
          <w:rFonts w:cstheme="minorHAnsi"/>
        </w:rPr>
        <w:fldChar w:fldCharType="separate"/>
      </w:r>
      <w:r w:rsidR="00CC3027" w:rsidRPr="00E7254C">
        <w:rPr>
          <w:rFonts w:cstheme="minorHAnsi"/>
          <w:noProof/>
          <w:vertAlign w:val="superscript"/>
        </w:rPr>
        <w:t>14</w:t>
      </w:r>
      <w:r w:rsidR="00CC3027">
        <w:rPr>
          <w:rFonts w:cstheme="minorHAnsi"/>
        </w:rPr>
        <w:fldChar w:fldCharType="end"/>
      </w:r>
      <w:r w:rsidR="00CC3027">
        <w:rPr>
          <w:rFonts w:cstheme="minorHAnsi"/>
        </w:rPr>
        <w:t>.</w:t>
      </w:r>
      <w:r w:rsidR="00581037">
        <w:rPr>
          <w:rFonts w:cstheme="minorHAnsi"/>
        </w:rPr>
        <w:t xml:space="preserve"> </w:t>
      </w:r>
      <w:r w:rsidR="00F8321A">
        <w:rPr>
          <w:rFonts w:cstheme="minorHAnsi"/>
        </w:rPr>
        <w:t>An alternative approach is to use a composite measure of PA</w:t>
      </w:r>
      <w:r w:rsidR="00D546E6">
        <w:rPr>
          <w:rFonts w:cstheme="minorHAnsi"/>
        </w:rPr>
        <w:t xml:space="preserve"> such as</w:t>
      </w:r>
      <w:r w:rsidR="00F8321A">
        <w:rPr>
          <w:rFonts w:cstheme="minorHAnsi"/>
        </w:rPr>
        <w:t xml:space="preserve"> PA 200</w:t>
      </w:r>
      <w:r w:rsidR="00C43441">
        <w:rPr>
          <w:rFonts w:cstheme="minorHAnsi"/>
        </w:rPr>
        <w:t>K</w:t>
      </w:r>
      <w:r w:rsidR="00F8321A">
        <w:rPr>
          <w:rFonts w:cstheme="minorHAnsi"/>
        </w:rPr>
        <w:t>Hz/5KHz</w:t>
      </w:r>
      <w:r w:rsidR="00C43441">
        <w:rPr>
          <w:rFonts w:cstheme="minorHAnsi"/>
        </w:rPr>
        <w:t xml:space="preserve">- </w:t>
      </w:r>
      <w:r w:rsidR="00D546E6">
        <w:rPr>
          <w:rFonts w:cstheme="minorHAnsi"/>
        </w:rPr>
        <w:t>the</w:t>
      </w:r>
      <w:r w:rsidR="00F8321A">
        <w:rPr>
          <w:rFonts w:cstheme="minorHAnsi"/>
        </w:rPr>
        <w:t xml:space="preserve"> impedance ratio (IR)</w:t>
      </w:r>
      <w:r w:rsidR="0050224D">
        <w:rPr>
          <w:rFonts w:cstheme="minorHAnsi"/>
        </w:rPr>
        <w:t>. In children with renal disease who had a normal BMI, an</w:t>
      </w:r>
      <w:r w:rsidR="00F8321A">
        <w:rPr>
          <w:rFonts w:cstheme="minorHAnsi"/>
        </w:rPr>
        <w:t xml:space="preserve"> IR ratio of &lt;1 in children </w:t>
      </w:r>
      <w:r w:rsidR="0050224D">
        <w:rPr>
          <w:rFonts w:cstheme="minorHAnsi"/>
        </w:rPr>
        <w:t>was</w:t>
      </w:r>
      <w:r w:rsidR="00F8321A">
        <w:rPr>
          <w:rFonts w:cstheme="minorHAnsi"/>
        </w:rPr>
        <w:t xml:space="preserve"> </w:t>
      </w:r>
      <w:r w:rsidR="00F8321A" w:rsidRPr="002756B1">
        <w:rPr>
          <w:rFonts w:cstheme="minorHAnsi"/>
        </w:rPr>
        <w:t xml:space="preserve">associated with changes to cellular permeability and tissue hydration, </w:t>
      </w:r>
      <w:r w:rsidR="00F8321A">
        <w:rPr>
          <w:rFonts w:cstheme="minorHAnsi"/>
        </w:rPr>
        <w:t>including</w:t>
      </w:r>
      <w:r w:rsidR="00F8321A" w:rsidRPr="002756B1">
        <w:rPr>
          <w:rFonts w:cstheme="minorHAnsi"/>
        </w:rPr>
        <w:t xml:space="preserve"> an increased extracellular fluid component </w:t>
      </w:r>
      <w:r w:rsidR="00F8321A">
        <w:rPr>
          <w:rFonts w:cstheme="minorHAnsi"/>
        </w:rPr>
        <w:t>and</w:t>
      </w:r>
      <w:r w:rsidR="00F8321A" w:rsidRPr="002756B1">
        <w:rPr>
          <w:rFonts w:cstheme="minorHAnsi"/>
        </w:rPr>
        <w:t xml:space="preserve"> lower muscle mass</w:t>
      </w:r>
      <w:r w:rsidR="00F8321A">
        <w:rPr>
          <w:rFonts w:cstheme="minorHAnsi"/>
        </w:rPr>
        <w:t xml:space="preserve"> </w:t>
      </w:r>
      <w:r w:rsidR="00F8321A" w:rsidRPr="002756B1">
        <w:rPr>
          <w:rFonts w:cstheme="minorHAnsi"/>
        </w:rPr>
        <w:t>as found in poor nutritional status</w:t>
      </w:r>
      <w:r w:rsidR="00F8321A">
        <w:rPr>
          <w:rFonts w:cstheme="minorHAnsi"/>
        </w:rPr>
        <w:fldChar w:fldCharType="begin" w:fldLock="1"/>
      </w:r>
      <w:r w:rsidR="00D546E6">
        <w:rPr>
          <w:rFonts w:cstheme="minorHAnsi"/>
        </w:rPr>
        <w:instrText>ADDIN CSL_CITATION {"citationItems":[{"id":"ITEM-1","itemData":{"DOI":"10.1016/j.clnu.2018.08.003","ISSN":"15321983","PMID":"30170780","abstract":"Background: Nutritional status can be difficult to assess. Bioelectrical impedance analysis (BIA)-derived phase angle (PA), and the plasma markers citrulline and transthyretin (pre-albumin) have the potential to assist, but the protocol of fasting and resting for BIA renders the investigation impractical for routine use, especially so in populations at high risk of malnutrition. Aims: 1 To clarify whether starving and resting are necessary for reliable measurement of PA. 2 To identify whether PA, citrulline and transthyretin correlate with nutritional status. Methods: Eighty consenting adult in-patients were recruited. Nutritional status was determined by subjective global assessment (SGA) used as gold standard. The Malnutrition Universal Screening Tool (MUST) was used and anthropometric measurements were performed. Serum was analysed for citrulline and transthyretin. PA was measured using Bodystat 4000. The PA was considered to define malnutrition when lower than reference ranges for sex and age, and severe malnutrition if more than 2 integers below the lower limit. Anthropometric measurements were categorised according to WHO reference centiles. Ordinal logistic regression estimated the strength of association of PA, citrulline and transthyretin with SGA. PA values in the different metabolic states were compared using paired t tests. Results: All 80 subjects completed the BIA and the nutritional assessments in the 3 different states; 14 declined to provide blood samples for the biochemical assays. Malnutrition was identified in 32 cases, severe malnutrition in 14 cases, the remaining 34 cases were deemed not to be malnourished. PA was strongly inversely associated with SGA (Odds Ratio [OR] per unit increase = 0.21, CI 0.12–0.37, p &lt; 0.001). PA was not influenced by exercise (p = 0.134) or food intake (p = 0.184). Transthyretin was inversely associated with malnourished/severely malnourished states (OR = 0.98, 95% CI 0.97–0.99, p = 0.001), but had poorer predictive values than PA. There was no significant association between citrulline concentration and SGA (OR = 1.01, 95% CI 0.99–1.04, p = 0.348). Conclusions: The BIA-derived PA reliably identifies malnutrition. It is strongly associated with SGA but requires less skill and experience, and out-performs circulating transthyretin, rendering it a promising and less operator-dependent tool for assessing nutritional status in hospital patients. Our novel demonstration that fasting and bed-rest are unnecess…","author":[{"dropping-particle":"","family":"Player","given":"E. L.","non-dropping-particle":"","parse-names":false,"suffix":""},{"dropping-particle":"","family":"Morris","given":"P.","non-dropping-particle":"","parse-names":false,"suffix":""},{"dropping-particle":"","family":"Thomas","given":"T.","non-dropping-particle":"","parse-names":false,"suffix":""},{"dropping-particle":"","family":"Chan","given":"W. Y.","non-dropping-particle":"","parse-names":false,"suffix":""},{"dropping-particle":"","family":"Vyas","given":"R.","non-dropping-particle":"","parse-names":false,"suffix":""},{"dropping-particle":"","family":"Dutton","given":"J.","non-dropping-particle":"","parse-names":false,"suffix":""},{"dropping-particle":"","family":"Tang","given":"J.","non-dropping-particle":"","parse-names":false,"suffix":""},{"dropping-particle":"","family":"Alexandre","given":"L.","non-dropping-particle":"","parse-names":false,"suffix":""},{"dropping-particle":"","family":"Forbes","given":"A.","non-dropping-particle":"","parse-names":false,"suffix":""}],"container-title":"Clinical Nutrition","id":"ITEM-1","issue":"4","issued":{"date-parts":[["2019","8","1"]]},"page":"1700-1706","publisher":"Churchill Livingstone","title":"Bioelectrical impedance analysis (BIA)-derived phase angle (PA) is a practical aid to nutritional assessment in hospital in-patients","type":"article-journal","volume":"38"},"uris":["http://www.mendeley.com/documents/?uuid=5035b3d1-426a-39d3-b1fe-f6aa6047c5a0"]},{"id":"ITEM-2","itemData":{"DOI":"10.1186/s12882-019-1511-y","ISSN":"14712369","PMID":"31438871","abstract":"Background: Oedema, characterized by accumulation of extracellular water (ECW), is one of the major clinical manifestations in children suffering from nephrotic syndrome (NS). The lack of a simple, inexpensive and harmless method for assessing ECW may be solved by the use of the bioelectrical impedance analysis (BIA) technique. The aims of this study were to examine whether phase angle (PA), bioelectrical impedance vector analysis (BIVA) and the impedance ratio (IR) reflect change in disease status in children with NS. Methods: Eight children (age range: 2-10 years) with active NS (ANS group) were enrolled. In five of these (ANS*subgroup), impedance was also measured at remission (NSR group). Thirty-eight healthy children (age range: 2-10 years) were included as healthy controls (HC group). Whole-body impedance was measured with a bioimpedance spectroscopy device (Xitron 4200) with surface electrodes placed on the wrist and ankle. Results: Values of PA, BIVA and IR were found to be significantly lower (p-value range &lt; 0.001 to &lt; 0.01) in the ANS patients compared to the HC and NSR groups. No significant differences were observed between the NSR and HC groups. Conclusion: The studied parameters can be used to assess change in disease status in NS patients. Data were consistent with NS being associated with expansion of ECW.","author":[{"dropping-particle":"","family":"Brantlov","given":"Steven","non-dropping-particle":"","parse-names":false,"suffix":""},{"dropping-particle":"","family":"Jødal","given":"Lars","non-dropping-particle":"","parse-names":false,"suffix":""},{"dropping-particle":"","family":"Andersen","given":"René Frydensbjerg","non-dropping-particle":"","parse-names":false,"suffix":""},{"dropping-particle":"","family":"Lange","given":"Aksel","non-dropping-particle":"","parse-names":false,"suffix":""},{"dropping-particle":"","family":"Rittig","given":"Søren","non-dropping-particle":"","parse-names":false,"suffix":""},{"dropping-particle":"","family":"Ward","given":"Leigh C.","non-dropping-particle":"","parse-names":false,"suffix":""}],"container-title":"BMC Nephrology","id":"ITEM-2","issue":"1","issued":{"date-parts":[["2019","12","22"]]},"page":"331","publisher":"BioMed Central Ltd.","title":"An evaluation of phase angle, bioelectrical impedance vector analysis and impedance ratio for the assessment of disease status in children with nephrotic syndrome","type":"article-journal","volume":"20"},"uris":["http://www.mendeley.com/documents/?uuid=bb2532c4-a273-3528-91be-b72025b527a6"]}],"mendeley":{"formattedCitation":"&lt;sup&gt;17,18&lt;/sup&gt;","plainTextFormattedCitation":"17,18","previouslyFormattedCitation":"&lt;sup&gt;17,18&lt;/sup&gt;"},"properties":{"noteIndex":0},"schema":"https://github.com/citation-style-language/schema/raw/master/csl-citation.json"}</w:instrText>
      </w:r>
      <w:r w:rsidR="00F8321A">
        <w:rPr>
          <w:rFonts w:cstheme="minorHAnsi"/>
        </w:rPr>
        <w:fldChar w:fldCharType="separate"/>
      </w:r>
      <w:r w:rsidR="00F8321A" w:rsidRPr="00E35922">
        <w:rPr>
          <w:rFonts w:cstheme="minorHAnsi"/>
          <w:noProof/>
          <w:vertAlign w:val="superscript"/>
        </w:rPr>
        <w:t>17,18</w:t>
      </w:r>
      <w:r w:rsidR="00F8321A">
        <w:rPr>
          <w:rFonts w:cstheme="minorHAnsi"/>
        </w:rPr>
        <w:fldChar w:fldCharType="end"/>
      </w:r>
      <w:r w:rsidR="00F8321A" w:rsidRPr="002756B1">
        <w:rPr>
          <w:rFonts w:cstheme="minorHAnsi"/>
        </w:rPr>
        <w:t>.</w:t>
      </w:r>
      <w:r w:rsidR="00F8321A">
        <w:rPr>
          <w:rFonts w:cstheme="minorHAnsi"/>
        </w:rPr>
        <w:t xml:space="preserve"> </w:t>
      </w:r>
      <w:r w:rsidR="00581037">
        <w:rPr>
          <w:rFonts w:cstheme="minorHAnsi"/>
        </w:rPr>
        <w:t xml:space="preserve">Similarly, higher IR values </w:t>
      </w:r>
      <w:r w:rsidR="00DA68D4">
        <w:rPr>
          <w:rFonts w:cstheme="minorHAnsi"/>
        </w:rPr>
        <w:t xml:space="preserve">at 200KHz/5KHz, </w:t>
      </w:r>
      <w:r w:rsidR="00581037">
        <w:rPr>
          <w:rFonts w:cstheme="minorHAnsi"/>
        </w:rPr>
        <w:t>have been associated with abnormal body composition and poorer overall health, including increased oedema in breast cancer patients, and increased mortality chronic obstructive pulmonary disease</w:t>
      </w:r>
      <w:r w:rsidR="00581037">
        <w:rPr>
          <w:rFonts w:cstheme="minorHAnsi"/>
        </w:rPr>
        <w:fldChar w:fldCharType="begin" w:fldLock="1"/>
      </w:r>
      <w:r w:rsidR="00D546E6">
        <w:rPr>
          <w:rFonts w:cstheme="minorHAnsi"/>
        </w:rPr>
        <w:instrText>ADDIN CSL_CITATION {"citationItems":[{"id":"ITEM-1","itemData":{"DOI":"10.1089/lrb.2010.0014","ISSN":"15396851","PMID":"21417767","abstract":"Background: Breast cancer-related lymphedema in the arm is commonly detected by bioelectrical impedance spectroscopy as an increased inter-arm impedance ratio due to the presence of excess lymph in the at-risk arm relative to that of the unaffected arm. The presence of lymphedema is determined by a value of this ratio greater than the mean ratio, plus three standard deviations observed in a comparable healthy population. This threshold value has not been established using the measurement protocols in current practice. The aim of the present study was to determine the reference range of the inter-arm impedance ratio to allow a cut-off value to be established as a criterion for the detection of breast cancer-related lymphedema. Methods: The mean and variation (3 SD) of the inter-arm impedance ratio for the arms of 172 healthy female control participants were determined from an accumulated database of impedance data obtained using present generation impedance instrumentation and methodology. This reference range and threshold value was compared to the original threshold ratio determined a decade ago but still in current use. Results: The presence of lymphedema is indicated when the impedance ratio exceeded 1.106 when the nondominant limb is at risk, and 1.134 when the dominant limb is at risk compared with the currently used values of 1.066 and 1.139, respectively. Although the difference in these values was statistically significant, this difference was determined to be of minor importance to clinical practice. Conclusions: The impedance ratio thresholds for early detection of lymphedema remain suitable for clinical use with present day bioimpedance spectroscopy analyzers and measurement protocols. © Copyright 2011, Mary Ann Liebert, Inc.","author":[{"dropping-particle":"","family":"Ward","given":"L. C.","non-dropping-particle":"","parse-names":false,"suffix":""},{"dropping-particle":"","family":"Dylke","given":"E.","non-dropping-particle":"","parse-names":false,"suffix":""},{"dropping-particle":"","family":"Czerniec","given":"S.","non-dropping-particle":"","parse-names":false,"suffix":""},{"dropping-particle":"","family":"Isenring","given":"E.","non-dropping-particle":"","parse-names":false,"suffix":""},{"dropping-particle":"","family":"Kilbreath","given":"S. L.","non-dropping-particle":"","parse-names":false,"suffix":""}],"container-title":"Lymphatic Research and Biology","id":"ITEM-1","issue":"1","issued":{"date-parts":[["2011","3","1"]]},"page":"47-51","publisher":" Mary Ann Liebert, Inc.  140 Huguenot Street, 3rd Floor New Rochelle, NY 10801 USA  ","title":"Confirmation of the reference impedance ratios used for assessment of breast cancer-related lymphedema by bioelectrical impedance spectroscopy","type":"article-journal","volume":"9"},"uris":["http://www.mendeley.com/documents/?uuid=3a44f88c-66fb-31c9-93ac-904b567ca6e6"]},{"id":"ITEM-2","itemData":{"DOI":"10.1016/j.chest.2019.01.001","ISSN":"19313543","PMID":"30659818","abstract":"Background: Bioelectrical impedance analysis (BIA) is a valuable method for estimating fat-free mass and fat mass in patients with COPD by using specific predictive equations. In addition, raw BIA variables such as high- to low-frequency impedance ratios (IRs) and phase angle, most likely as a result of providing information on muscle quality, have been related to disease severity and mortality in patients with several diseases but never in COPD. The aim of this study was to investigate the predictive role of raw BIA variables on 2-year survival in COPD. Methods: Impedance (Z) at 5-10-50-100-250 kHz and phase angle at 50 kHz were determined in 210 patients with COPD. Three IRs were calculated: Z at 50 kHz/Z at 5 kHz (50/5 IR), Z at 100 kHz/Z at 5 kHz (100/5 IR), and Z at 250 kHz/Z at 5 kHz (250/5 IR). Demographic, respiratory, and body composition data at baseline were recorded. All-cause mortality was assessed during 2 years of follow-up. Results: After the follow-up period, all-cause mortality was 13.8%. Statistically significant differences between nonsurvivors and survivors emerged in terms of age, weight, BMI, FEV1, inspiratory capacity, and modified Medical Research Council dyspnea score. With respect to nutritional variables, nonsurvivors had lower fat-free mass (P = .031), lower fat mass (P = .015), higher IRs (P &lt; .001 for all the ratios), and lower phase angle (P &lt; .001) compared with survivors. After adjustment for confounding factors, each unit increase of IRs and each unit decrease of phase angle were associated with a higher risk of death. Conclusions: IRs and phase angle, as raw BIA variables, are independent and powerful predictors of all-cause mortality in COPD and should be considered, together with inspiratory capacity and 6-min walk distance, as significant prognostic factors in the short- to middle-term.","author":[{"dropping-particle":"","family":"Blasio","given":"Francesca","non-dropping-particle":"de","parse-names":false,"suffix":""},{"dropping-particle":"","family":"Scalfi","given":"Luca","non-dropping-particle":"","parse-names":false,"suffix":""},{"dropping-particle":"","family":"Gregorio","given":"Ada","non-dropping-particle":"Di","parse-names":false,"suffix":""},{"dropping-particle":"","family":"Alicante","given":"Paola","non-dropping-particle":"","parse-names":false,"suffix":""},{"dropping-particle":"","family":"Bianco","given":"Andrea","non-dropping-particle":"","parse-names":false,"suffix":""},{"dropping-particle":"","family":"Tantucci","given":"Claudio","non-dropping-particle":"","parse-names":false,"suffix":""},{"dropping-particle":"","family":"Bellofiore","given":"Barbara","non-dropping-particle":"","parse-names":false,"suffix":""},{"dropping-particle":"","family":"Blasio","given":"Francesco","non-dropping-particle":"de","parse-names":false,"suffix":""}],"container-title":"Chest","id":"ITEM-2","issue":"6","issued":{"date-parts":[["2019","6","1"]]},"page":"1148-1157","publisher":"Elsevier Inc","title":"Raw Bioelectrical Impedance Analysis Variables Are Independent Predictors of Early All-Cause Mortality in Patients With COPD","type":"article-journal","volume":"155"},"uris":["http://www.mendeley.com/documents/?uuid=8a9d53e2-d74a-3376-9166-80f1eff1fca7"]}],"mendeley":{"formattedCitation":"&lt;sup&gt;19,20&lt;/sup&gt;","plainTextFormattedCitation":"19,20","previouslyFormattedCitation":"&lt;sup&gt;23,24&lt;/sup&gt;"},"properties":{"noteIndex":0},"schema":"https://github.com/citation-style-language/schema/raw/master/csl-citation.json"}</w:instrText>
      </w:r>
      <w:r w:rsidR="00581037">
        <w:rPr>
          <w:rFonts w:cstheme="minorHAnsi"/>
        </w:rPr>
        <w:fldChar w:fldCharType="separate"/>
      </w:r>
      <w:r w:rsidR="00D546E6" w:rsidRPr="00D546E6">
        <w:rPr>
          <w:rFonts w:cstheme="minorHAnsi"/>
          <w:noProof/>
          <w:vertAlign w:val="superscript"/>
        </w:rPr>
        <w:t>19,20</w:t>
      </w:r>
      <w:r w:rsidR="00581037">
        <w:rPr>
          <w:rFonts w:cstheme="minorHAnsi"/>
        </w:rPr>
        <w:fldChar w:fldCharType="end"/>
      </w:r>
      <w:r w:rsidR="00581037">
        <w:rPr>
          <w:rFonts w:cstheme="minorHAnsi"/>
        </w:rPr>
        <w:t>.</w:t>
      </w:r>
    </w:p>
    <w:p w14:paraId="360A0F3A" w14:textId="727F0477" w:rsidR="00CC3027" w:rsidRPr="002756B1" w:rsidRDefault="00CC3027" w:rsidP="00CC3027">
      <w:pPr>
        <w:spacing w:line="480" w:lineRule="auto"/>
        <w:rPr>
          <w:rFonts w:cstheme="minorHAnsi"/>
        </w:rPr>
      </w:pPr>
      <w:r>
        <w:rPr>
          <w:rFonts w:cstheme="minorHAnsi"/>
        </w:rPr>
        <w:t>We hypothesised that patients with poorer nutritional status, as measured by a BMI Z-score (BMIZ) &lt;-1 (undernutrition) or &gt;1 (overweight), or higher disease activity, would have lower phase angle at 50KHz</w:t>
      </w:r>
      <w:r w:rsidR="00DA68D4">
        <w:rPr>
          <w:rFonts w:cstheme="minorHAnsi"/>
        </w:rPr>
        <w:t xml:space="preserve"> or </w:t>
      </w:r>
      <w:r w:rsidR="0050224D">
        <w:rPr>
          <w:rFonts w:cstheme="minorHAnsi"/>
        </w:rPr>
        <w:t xml:space="preserve">abnormal </w:t>
      </w:r>
      <w:r w:rsidR="00DA68D4">
        <w:rPr>
          <w:rFonts w:cstheme="minorHAnsi"/>
        </w:rPr>
        <w:t>IR values</w:t>
      </w:r>
      <w:r>
        <w:rPr>
          <w:rFonts w:cstheme="minorHAnsi"/>
        </w:rPr>
        <w:t xml:space="preserve">. </w:t>
      </w:r>
      <w:r w:rsidRPr="002756B1">
        <w:rPr>
          <w:rFonts w:cstheme="minorHAnsi"/>
        </w:rPr>
        <w:t xml:space="preserve">The </w:t>
      </w:r>
      <w:r>
        <w:rPr>
          <w:rFonts w:cstheme="minorHAnsi"/>
        </w:rPr>
        <w:t xml:space="preserve">primary </w:t>
      </w:r>
      <w:r w:rsidRPr="002756B1">
        <w:rPr>
          <w:rFonts w:cstheme="minorHAnsi"/>
        </w:rPr>
        <w:t xml:space="preserve">aim of this study was to </w:t>
      </w:r>
      <w:r>
        <w:rPr>
          <w:rFonts w:cstheme="minorHAnsi"/>
        </w:rPr>
        <w:t>assess</w:t>
      </w:r>
      <w:r w:rsidRPr="002756B1">
        <w:rPr>
          <w:rFonts w:cstheme="minorHAnsi"/>
        </w:rPr>
        <w:t xml:space="preserve"> the relationship between </w:t>
      </w:r>
      <w:r>
        <w:rPr>
          <w:rFonts w:cstheme="minorHAnsi"/>
        </w:rPr>
        <w:t xml:space="preserve">BIS-PA, anthropometry and </w:t>
      </w:r>
      <w:r w:rsidRPr="002756B1">
        <w:rPr>
          <w:rFonts w:cstheme="minorHAnsi"/>
        </w:rPr>
        <w:t xml:space="preserve">disease </w:t>
      </w:r>
      <w:r>
        <w:rPr>
          <w:rFonts w:cstheme="minorHAnsi"/>
        </w:rPr>
        <w:t>activity in a cohort of prospectively recruited stable paediatric IBD patients</w:t>
      </w:r>
      <w:r w:rsidRPr="002756B1">
        <w:rPr>
          <w:rFonts w:cstheme="minorHAnsi"/>
        </w:rPr>
        <w:t xml:space="preserve">. </w:t>
      </w:r>
      <w:r>
        <w:rPr>
          <w:rFonts w:cstheme="minorHAnsi"/>
        </w:rPr>
        <w:t xml:space="preserve">Secondary aims were to characterise the growth and body habitus of this cohort. </w:t>
      </w:r>
    </w:p>
    <w:p w14:paraId="2C25DF52" w14:textId="23612F8B" w:rsidR="00156914" w:rsidRPr="002756B1" w:rsidRDefault="00CC3027" w:rsidP="00D546E6">
      <w:pPr>
        <w:rPr>
          <w:rFonts w:cstheme="minorHAnsi"/>
          <w:b/>
          <w:bCs/>
          <w:u w:val="single"/>
        </w:rPr>
      </w:pPr>
      <w:r w:rsidRPr="002756B1">
        <w:rPr>
          <w:rFonts w:cstheme="minorHAnsi"/>
          <w:b/>
        </w:rPr>
        <w:br w:type="page"/>
      </w:r>
      <w:r w:rsidR="00D546E6" w:rsidRPr="00D546E6">
        <w:rPr>
          <w:rFonts w:cstheme="minorHAnsi"/>
          <w:b/>
          <w:u w:val="single"/>
        </w:rPr>
        <w:lastRenderedPageBreak/>
        <w:t>M</w:t>
      </w:r>
      <w:r w:rsidR="00372C81" w:rsidRPr="002756B1">
        <w:rPr>
          <w:rFonts w:cstheme="minorHAnsi"/>
          <w:b/>
          <w:bCs/>
          <w:u w:val="single"/>
        </w:rPr>
        <w:t>ethods</w:t>
      </w:r>
      <w:r w:rsidR="00156914" w:rsidRPr="002756B1">
        <w:rPr>
          <w:rFonts w:cstheme="minorHAnsi"/>
          <w:b/>
          <w:bCs/>
          <w:u w:val="single"/>
        </w:rPr>
        <w:t xml:space="preserve"> </w:t>
      </w:r>
    </w:p>
    <w:p w14:paraId="00EADCF6" w14:textId="77777777" w:rsidR="002E5A1A" w:rsidRPr="002756B1" w:rsidRDefault="002E5A1A" w:rsidP="002E5A1A">
      <w:pPr>
        <w:autoSpaceDE w:val="0"/>
        <w:autoSpaceDN w:val="0"/>
        <w:adjustRightInd w:val="0"/>
        <w:spacing w:line="480" w:lineRule="auto"/>
        <w:rPr>
          <w:rFonts w:cstheme="minorHAnsi"/>
          <w:bCs/>
          <w:u w:val="single"/>
        </w:rPr>
      </w:pPr>
      <w:r w:rsidRPr="002756B1">
        <w:rPr>
          <w:rFonts w:cstheme="minorHAnsi"/>
          <w:bCs/>
          <w:u w:val="single"/>
        </w:rPr>
        <w:t>Study Design and patient population</w:t>
      </w:r>
    </w:p>
    <w:p w14:paraId="0B882585" w14:textId="76C2C957" w:rsidR="00720F21" w:rsidRPr="002756B1" w:rsidRDefault="00720F21" w:rsidP="002C4DEF">
      <w:pPr>
        <w:spacing w:line="480" w:lineRule="auto"/>
        <w:rPr>
          <w:rFonts w:cstheme="minorHAnsi"/>
        </w:rPr>
      </w:pPr>
      <w:r w:rsidRPr="002756B1">
        <w:rPr>
          <w:rFonts w:cstheme="minorHAnsi"/>
        </w:rPr>
        <w:t xml:space="preserve">Patients were recruited from the paediatric gastroenterology service at Southampton Children’s Hospital. </w:t>
      </w:r>
      <w:r w:rsidR="002F26CE">
        <w:rPr>
          <w:rFonts w:cstheme="minorHAnsi"/>
        </w:rPr>
        <w:t>To be eligible p</w:t>
      </w:r>
      <w:r w:rsidRPr="002756B1">
        <w:rPr>
          <w:rFonts w:cstheme="minorHAnsi"/>
        </w:rPr>
        <w:t xml:space="preserve">atients </w:t>
      </w:r>
      <w:r w:rsidR="002F26CE">
        <w:rPr>
          <w:rFonts w:cstheme="minorHAnsi"/>
        </w:rPr>
        <w:t>must have had a diagnosis of IBD in line with</w:t>
      </w:r>
      <w:r w:rsidRPr="002756B1">
        <w:rPr>
          <w:rFonts w:cstheme="minorHAnsi"/>
        </w:rPr>
        <w:t xml:space="preserve"> the modified Porto criteria</w:t>
      </w:r>
      <w:r w:rsidRPr="002756B1">
        <w:rPr>
          <w:rFonts w:cstheme="minorHAnsi"/>
        </w:rPr>
        <w:fldChar w:fldCharType="begin" w:fldLock="1"/>
      </w:r>
      <w:r w:rsidR="00D546E6">
        <w:rPr>
          <w:rFonts w:cstheme="minorHAnsi"/>
        </w:rPr>
        <w:instrText>ADDIN CSL_CITATION {"citationItems":[{"id":"ITEM-1","itemData":{"DOI":"10.1097/MPG.0000000000000239","ISBN":"0000000000000","ISSN":"1536-4801","PMID":"24231644","abstract":"BACKGROUND: The diagnosis of pediatric-onset inflammatory bowel disease (PIBD) can be challenging in choosing the most informative diagnostic tests and correctly classifying PIBD into its different subtypes. Recent advances in our understanding of the natural history and phenotype of PIBD, increasing availability of serological and fecal biomarkers, and the emergence of novel endoscopic and imaging technologies taken together have made the previous Porto criteria for the diagnosis of PIBD obsolete.\\n\\nMETHODS: We aimed to revise the original Porto criteria using an evidence-based approach and consensus process to yield specific practice recommendations for the diagnosis of PIBD. These revised criteria are based on the Paris classification of PIBD and the original Porto criteria while incorporating novel data, such as for serum and fecal biomarkers. A consensus of at least 80% of participants was achieved for all recommendations and the summary algorithm.\\n\\nRESULTS: The revised criteria depart from existing criteria by defining 2 categories of ulcerative colitis (UC, typical and atypical); atypical phenotypes of UC should be treated as UC. A novel approach based on multiple criteria for diagnosing IBD-unclassified (IBD-U) is proposed. Specifically, these revised criteria recommend upper gastrointestinal endoscopy and ileocolonscopy for all suspected patients with PIBD, with small bowel imaging (unless typical UC after endoscopy and histology) by magnetic resonance enterography or wireless capsule endoscopy.\\n\\nCONCLUSIONS: These revised Porto criteria for the diagnosis of PIBD have been developed to meet present challenges and developments in PIBD and provide up-to-date guidelines for the definition and diagnosis of the IBD spectrum.","author":[{"dropping-particle":"","family":"Levine","given":"Arie","non-dropping-particle":"","parse-names":false,"suffix":""},{"dropping-particle":"","family":"Koletzko","given":"Sibylle","non-dropping-particle":"","parse-names":false,"suffix":""},{"dropping-particle":"","family":"Turner","given":"Dan","non-dropping-particle":"","parse-names":false,"suffix":""},{"dropping-particle":"","family":"Escher","given":"Johanna C","non-dropping-particle":"","parse-names":false,"suffix":""},{"dropping-particle":"","family":"Cucchiara","given":"Salvatore","non-dropping-particle":"","parse-names":false,"suffix":""},{"dropping-particle":"","family":"Ridder","given":"Lissy","non-dropping-particle":"de","parse-names":false,"suffix":""},{"dropping-particle":"","family":"Kolho","given":"Kaija-Leena","non-dropping-particle":"","parse-names":false,"suffix":""},{"dropping-particle":"","family":"Veres","given":"Gabor","non-dropping-particle":"","parse-names":false,"suffix":""},{"dropping-particle":"","family":"Russell","given":"Richard K","non-dropping-particle":"","parse-names":false,"suffix":""},{"dropping-particle":"","family":"Paerregaard","given":"Anders","non-dropping-particle":"","parse-names":false,"suffix":""},{"dropping-particle":"","family":"Buderus","given":"Stephan","non-dropping-particle":"","parse-names":false,"suffix":""},{"dropping-particle":"","family":"Greer","given":"Mary-Louise C","non-dropping-particle":"","parse-names":false,"suffix":""},{"dropping-particle":"","family":"Dias","given":"Jorge a","non-dropping-particle":"","parse-names":false,"suffix":""},{"dropping-particle":"","family":"Veereman-Wauters","given":"Gigi","non-dropping-particle":"","parse-names":false,"suffix":""},{"dropping-particle":"","family":"Lionetti","given":"Paolo","non-dropping-particle":"","parse-names":false,"suffix":""},{"dropping-particle":"","family":"Sladek","given":"Malgorzata","non-dropping-particle":"","parse-names":false,"suffix":""},{"dropping-particle":"","family":"Martin de Carpi","given":"Javier","non-dropping-particle":"","parse-names":false,"suffix":""},{"dropping-particle":"","family":"Staiano","given":"Annamaria","non-dropping-particle":"","parse-names":false,"suffix":""},{"dropping-particle":"","family":"Ruemmele","given":"Frank M","non-dropping-particle":"","parse-names":false,"suffix":""},{"dropping-particle":"","family":"Wilson","given":"David C","non-dropping-particle":"","parse-names":false,"suffix":""}],"container-title":"Journal of pediatric gastroenterology and nutrition","id":"ITEM-1","issue":"6","issued":{"date-parts":[["2014"]]},"page":"795-806","title":"ESPGHAN revised porto criteria for the diagnosis of inflammatory bowel disease in children and adolescents.","type":"article-journal","volume":"58"},"uris":["http://www.mendeley.com/documents/?uuid=0dbf1d52-7d9a-3316-8b45-b430dd316e12"]}],"mendeley":{"formattedCitation":"&lt;sup&gt;21&lt;/sup&gt;","plainTextFormattedCitation":"21","previouslyFormattedCitation":"&lt;sup&gt;19&lt;/sup&gt;"},"properties":{"noteIndex":0},"schema":"https://github.com/citation-style-language/schema/raw/master/csl-citation.json"}</w:instrText>
      </w:r>
      <w:r w:rsidRPr="002756B1">
        <w:rPr>
          <w:rFonts w:cstheme="minorHAnsi"/>
        </w:rPr>
        <w:fldChar w:fldCharType="separate"/>
      </w:r>
      <w:r w:rsidR="00D546E6" w:rsidRPr="00D546E6">
        <w:rPr>
          <w:rFonts w:cstheme="minorHAnsi"/>
          <w:noProof/>
          <w:vertAlign w:val="superscript"/>
        </w:rPr>
        <w:t>21</w:t>
      </w:r>
      <w:r w:rsidRPr="002756B1">
        <w:rPr>
          <w:rFonts w:cstheme="minorHAnsi"/>
        </w:rPr>
        <w:fldChar w:fldCharType="end"/>
      </w:r>
      <w:r w:rsidRPr="002756B1">
        <w:rPr>
          <w:rFonts w:cstheme="minorHAnsi"/>
        </w:rPr>
        <w:t xml:space="preserve">, </w:t>
      </w:r>
      <w:r w:rsidR="002F26CE">
        <w:rPr>
          <w:rFonts w:cstheme="minorHAnsi"/>
        </w:rPr>
        <w:t xml:space="preserve">have been </w:t>
      </w:r>
      <w:r w:rsidRPr="002756B1">
        <w:rPr>
          <w:rFonts w:cstheme="minorHAnsi"/>
        </w:rPr>
        <w:t>aged under 18 years of age and attending routine appointments at Southampton Children’s Hospital</w:t>
      </w:r>
      <w:r w:rsidR="002F26CE">
        <w:rPr>
          <w:rFonts w:cstheme="minorHAnsi"/>
        </w:rPr>
        <w:t>.</w:t>
      </w:r>
      <w:r w:rsidR="002E5A1A" w:rsidRPr="002756B1">
        <w:rPr>
          <w:rFonts w:cstheme="minorHAnsi"/>
        </w:rPr>
        <w:t xml:space="preserve"> </w:t>
      </w:r>
      <w:r w:rsidR="002F26CE">
        <w:rPr>
          <w:rFonts w:cstheme="minorHAnsi"/>
        </w:rPr>
        <w:t xml:space="preserve">Patients </w:t>
      </w:r>
      <w:r w:rsidR="002E5A1A" w:rsidRPr="002756B1">
        <w:rPr>
          <w:rFonts w:cstheme="minorHAnsi"/>
        </w:rPr>
        <w:t xml:space="preserve">were prospectively enrolled </w:t>
      </w:r>
      <w:r w:rsidR="002F26CE">
        <w:rPr>
          <w:rFonts w:cstheme="minorHAnsi"/>
        </w:rPr>
        <w:t xml:space="preserve">from </w:t>
      </w:r>
      <w:r w:rsidR="002E5A1A" w:rsidRPr="002756B1">
        <w:rPr>
          <w:rFonts w:cstheme="minorHAnsi"/>
        </w:rPr>
        <w:t>September 2018</w:t>
      </w:r>
      <w:r w:rsidR="002F26CE">
        <w:rPr>
          <w:rFonts w:cstheme="minorHAnsi"/>
        </w:rPr>
        <w:t xml:space="preserve"> to </w:t>
      </w:r>
      <w:r w:rsidR="00E919AC">
        <w:rPr>
          <w:rFonts w:cstheme="minorHAnsi"/>
        </w:rPr>
        <w:t>February</w:t>
      </w:r>
      <w:r w:rsidR="002E5A1A" w:rsidRPr="002756B1">
        <w:rPr>
          <w:rFonts w:cstheme="minorHAnsi"/>
        </w:rPr>
        <w:t xml:space="preserve"> 2020. BIS measurements were collected at baseline and then at subsequent visits (follow up 1 and 2)</w:t>
      </w:r>
      <w:r w:rsidRPr="002756B1">
        <w:rPr>
          <w:rFonts w:cstheme="minorHAnsi"/>
        </w:rPr>
        <w:t xml:space="preserve">. </w:t>
      </w:r>
    </w:p>
    <w:p w14:paraId="011417D1" w14:textId="774B99E8" w:rsidR="00720F21" w:rsidRPr="002756B1" w:rsidRDefault="00720F21" w:rsidP="002C4DEF">
      <w:pPr>
        <w:spacing w:line="480" w:lineRule="auto"/>
        <w:rPr>
          <w:rFonts w:cstheme="minorHAnsi"/>
          <w:u w:val="single"/>
        </w:rPr>
      </w:pPr>
      <w:r w:rsidRPr="002756B1">
        <w:rPr>
          <w:rFonts w:cstheme="minorHAnsi"/>
          <w:u w:val="single"/>
        </w:rPr>
        <w:t xml:space="preserve">Bioelectrical impedance measurements </w:t>
      </w:r>
    </w:p>
    <w:p w14:paraId="1DC9CE64" w14:textId="250CF008" w:rsidR="00C42465" w:rsidRPr="002756B1" w:rsidRDefault="00710119" w:rsidP="002C4DEF">
      <w:pPr>
        <w:spacing w:line="480" w:lineRule="auto"/>
        <w:rPr>
          <w:rFonts w:cstheme="minorHAnsi"/>
        </w:rPr>
      </w:pPr>
      <w:r w:rsidRPr="002756B1">
        <w:rPr>
          <w:rFonts w:cstheme="minorHAnsi"/>
        </w:rPr>
        <w:t xml:space="preserve">Patient measurements occurred at routine hospital appointments. </w:t>
      </w:r>
      <w:r w:rsidR="00C42465" w:rsidRPr="002756B1">
        <w:rPr>
          <w:rFonts w:cstheme="minorHAnsi"/>
        </w:rPr>
        <w:t>BI</w:t>
      </w:r>
      <w:r w:rsidR="00C53B96">
        <w:rPr>
          <w:rFonts w:cstheme="minorHAnsi"/>
        </w:rPr>
        <w:t>S</w:t>
      </w:r>
      <w:r w:rsidR="00C42465" w:rsidRPr="002756B1">
        <w:rPr>
          <w:rFonts w:cstheme="minorHAnsi"/>
        </w:rPr>
        <w:t xml:space="preserve"> measurements were conducted with the ImpediMedSFB7 (Pinkenba, QLD 4008 Australia)</w:t>
      </w:r>
      <w:r w:rsidR="00195C91" w:rsidRPr="002756B1">
        <w:rPr>
          <w:rFonts w:cstheme="minorHAnsi"/>
        </w:rPr>
        <w:t xml:space="preserve"> device as previously described</w:t>
      </w:r>
      <w:r w:rsidR="00195C91" w:rsidRPr="002756B1">
        <w:rPr>
          <w:rFonts w:cstheme="minorHAnsi"/>
        </w:rPr>
        <w:fldChar w:fldCharType="begin" w:fldLock="1"/>
      </w:r>
      <w:r w:rsidR="00197BF9">
        <w:rPr>
          <w:rFonts w:cstheme="minorHAnsi"/>
        </w:rPr>
        <w:instrText>ADDIN CSL_CITATION {"citationItems":[{"id":"ITEM-1","itemData":{"DOI":"10.1016/j.clnu.2017.06.020","ISSN":"15321983","PMID":"28684015","abstract":"Objective: Children with congenital heart disease (CHD) are often growth restricted (low weight- and/or height-for-age) which may increase risk of poor post operative resilience. Bioelectrical impedance spectroscopy (BIS) has been used to determine body composition in different clinical settings and has been shown to mark differences in nutritional state and clinical outcome. In disease conditions were fluid is not normally distributed it is proposed that raw impedance values and BIS derived phase-angle may serve as prognostic indicators of clinical outcome. We sought to describe the relationship between nutritional status, phase-angle and post-operative outcomes in children with congenital heart disease. Design: Single centre prospective cohort study. Setting: Paediatric Intensive Care Unit (PICU), Southampton Children's Hospital. Patients: 122 children with CHD following cardiac surgery (March 2015–April 2016). Outcome variables included growth, mechanical-ventilation, PICU length of stay (PICU-LOS) and phase-angle at 50 Hz. Measurements and main results: BIS measurements were taken before and on the day of surgery (day 0), day 2 post-operatively and on discharge from hospital. Pre-operative moderate malnutrition defined as height-for-age-z-score (HAZ) ≤−2 was observed in 28.5% of infants and 20.6% of children. Regression analysis was used to investigate the relationship between phase-angle, HAZ and clinical outcomes. Moderate-malnutrition (HAZ ≤−2) was associated with an increased PICU-LOS (odds ratios (OR) with 95% confidence interval: 1.8; 1.1–2.7, p = 0.008) whilst a low phase-angle (≤2.7° on day 2 was associated with longer PICU-LOS (OR 7.8; 2.7–22.45, p &lt; 0.001)); When the model was adjusted for age, known risk factors and length of surgery, HAZ ≤−2 and phase-angle ≤2.7° on day 2 were associated with longer PICU-LOS (p = 0.001 and p = 0.04 respectively) and together explained 81.7% of the variability in PICU-LOS. Conclusions: Moderate malnutrition (HAZ ≤−2) in infants and children undergoing cardiac surgery is associated with longer PICU-LOS. Post-operative measures of BIS phase angle may further improve our ability to identifying hose children with an increased risk of prolonged PICU-LOS compared to using pre-operative anthropometry alone.","author":[{"dropping-particle":"V.","family":"Marino","given":"L.","non-dropping-particle":"","parse-names":false,"suffix":""},{"dropping-particle":"","family":"Meyer","given":"R.","non-dropping-particle":"","parse-names":false,"suffix":""},{"dropping-particle":"","family":"Johnson","given":"M.","non-dropping-particle":"","parse-names":false,"suffix":""},{"dropping-particle":"","family":"Newell","given":"C.","non-dropping-particle":"","parse-names":false,"suffix":""},{"dropping-particle":"","family":"Johnstone","given":"C.","non-dropping-particle":"","parse-names":false,"suffix":""},{"dropping-particle":"","family":"Magee","given":"A.","non-dropping-particle":"","parse-names":false,"suffix":""},{"dropping-particle":"","family":"Sykes","given":"K.","non-dropping-particle":"","parse-names":false,"suffix":""},{"dropping-particle":"","family":"Wootton","given":"S. A.","non-dropping-particle":"","parse-names":false,"suffix":""},{"dropping-particle":"V.","family":"Pappachan","given":"J.","non-dropping-particle":"","parse-names":false,"suffix":""}],"container-title":"Clinical Nutrition","id":"ITEM-1","issue":"4","issued":{"date-parts":[["2018","8","1"]]},"page":"1430-1436","publisher":"Churchill Livingstone","title":"Bioimpedance spectroscopy measurements of phase angle and height for age are predictive of outcome in children following surgery for congenital heart disease","type":"article-journal","volume":"37"},"uris":["http://www.mendeley.com/documents/?uuid=1cefa5f3-d2ca-3568-9361-bc5a414dc8ad"]}],"mendeley":{"formattedCitation":"&lt;sup&gt;14&lt;/sup&gt;","plainTextFormattedCitation":"14","previouslyFormattedCitation":"&lt;sup&gt;14&lt;/sup&gt;"},"properties":{"noteIndex":0},"schema":"https://github.com/citation-style-language/schema/raw/master/csl-citation.json"}</w:instrText>
      </w:r>
      <w:r w:rsidR="00195C91" w:rsidRPr="002756B1">
        <w:rPr>
          <w:rFonts w:cstheme="minorHAnsi"/>
        </w:rPr>
        <w:fldChar w:fldCharType="separate"/>
      </w:r>
      <w:r w:rsidR="00197BF9" w:rsidRPr="00197BF9">
        <w:rPr>
          <w:rFonts w:cstheme="minorHAnsi"/>
          <w:noProof/>
          <w:vertAlign w:val="superscript"/>
        </w:rPr>
        <w:t>14</w:t>
      </w:r>
      <w:r w:rsidR="00195C91" w:rsidRPr="002756B1">
        <w:rPr>
          <w:rFonts w:cstheme="minorHAnsi"/>
        </w:rPr>
        <w:fldChar w:fldCharType="end"/>
      </w:r>
      <w:r w:rsidR="00195C91" w:rsidRPr="002756B1">
        <w:rPr>
          <w:rFonts w:cstheme="minorHAnsi"/>
        </w:rPr>
        <w:t xml:space="preserve">. </w:t>
      </w:r>
      <w:bookmarkStart w:id="1" w:name="_Hlk73098070"/>
      <w:r w:rsidR="00195C91" w:rsidRPr="002756B1">
        <w:rPr>
          <w:rFonts w:cstheme="minorHAnsi"/>
        </w:rPr>
        <w:t xml:space="preserve">Briefly, this is a </w:t>
      </w:r>
      <w:r w:rsidR="00C42465" w:rsidRPr="002756B1">
        <w:rPr>
          <w:rFonts w:cstheme="minorHAnsi"/>
        </w:rPr>
        <w:t xml:space="preserve">single-channel tetra-polar device </w:t>
      </w:r>
      <w:r w:rsidR="00195C91" w:rsidRPr="002756B1">
        <w:rPr>
          <w:rFonts w:cstheme="minorHAnsi"/>
        </w:rPr>
        <w:t>measuring</w:t>
      </w:r>
      <w:r w:rsidR="00C42465" w:rsidRPr="002756B1">
        <w:rPr>
          <w:rFonts w:cstheme="minorHAnsi"/>
        </w:rPr>
        <w:t xml:space="preserve"> resistance</w:t>
      </w:r>
      <w:r w:rsidR="00CC3027">
        <w:rPr>
          <w:rFonts w:cstheme="minorHAnsi"/>
        </w:rPr>
        <w:t xml:space="preserve">, </w:t>
      </w:r>
      <w:r w:rsidR="00C42465" w:rsidRPr="002756B1">
        <w:rPr>
          <w:rFonts w:cstheme="minorHAnsi"/>
        </w:rPr>
        <w:t>reactance</w:t>
      </w:r>
      <w:r w:rsidR="00CC3027">
        <w:rPr>
          <w:rFonts w:cstheme="minorHAnsi"/>
        </w:rPr>
        <w:t xml:space="preserve"> and phase angle</w:t>
      </w:r>
      <w:r w:rsidR="00C42465" w:rsidRPr="002756B1">
        <w:rPr>
          <w:rFonts w:cstheme="minorHAnsi"/>
        </w:rPr>
        <w:t xml:space="preserve"> across </w:t>
      </w:r>
      <w:r w:rsidR="00195C91" w:rsidRPr="002756B1">
        <w:rPr>
          <w:rFonts w:cstheme="minorHAnsi"/>
        </w:rPr>
        <w:t xml:space="preserve">up to </w:t>
      </w:r>
      <w:r w:rsidR="00C42465" w:rsidRPr="002756B1">
        <w:rPr>
          <w:rFonts w:cstheme="minorHAnsi"/>
        </w:rPr>
        <w:t>256 frequencies.</w:t>
      </w:r>
      <w:r w:rsidR="000F6826">
        <w:rPr>
          <w:rFonts w:cstheme="minorHAnsi"/>
        </w:rPr>
        <w:t xml:space="preserve"> PA is a directly measured variable.</w:t>
      </w:r>
      <w:r w:rsidR="00C42465" w:rsidRPr="002756B1">
        <w:rPr>
          <w:rFonts w:cstheme="minorHAnsi"/>
        </w:rPr>
        <w:t xml:space="preserve"> </w:t>
      </w:r>
      <w:bookmarkEnd w:id="1"/>
      <w:r w:rsidR="00C42465" w:rsidRPr="002756B1">
        <w:rPr>
          <w:rFonts w:cstheme="minorHAnsi"/>
        </w:rPr>
        <w:t>The machine was calibrated before use with a circuit of known impedance</w:t>
      </w:r>
      <w:r w:rsidR="00E919AC">
        <w:rPr>
          <w:rFonts w:cstheme="minorHAnsi"/>
        </w:rPr>
        <w:t>,</w:t>
      </w:r>
      <w:r w:rsidR="00C42465" w:rsidRPr="002756B1">
        <w:rPr>
          <w:rFonts w:cstheme="minorHAnsi"/>
        </w:rPr>
        <w:t xml:space="preserve"> as per manufacturer’s guidelines. Measurements were taken in triplicate, with the mean used in </w:t>
      </w:r>
      <w:r w:rsidR="00195C91" w:rsidRPr="002756B1">
        <w:rPr>
          <w:rFonts w:cstheme="minorHAnsi"/>
        </w:rPr>
        <w:t>downstream</w:t>
      </w:r>
      <w:r w:rsidR="00C42465" w:rsidRPr="002756B1">
        <w:rPr>
          <w:rFonts w:cstheme="minorHAnsi"/>
        </w:rPr>
        <w:t xml:space="preserve"> analysis. Measurements were conducted </w:t>
      </w:r>
      <w:r w:rsidR="00195C91" w:rsidRPr="002756B1">
        <w:rPr>
          <w:rFonts w:cstheme="minorHAnsi"/>
        </w:rPr>
        <w:t xml:space="preserve">in unfasted subjects </w:t>
      </w:r>
      <w:r w:rsidR="00C42465" w:rsidRPr="002756B1">
        <w:rPr>
          <w:rFonts w:cstheme="minorHAnsi"/>
        </w:rPr>
        <w:t>using a standard tetrapolar electrodes distribution</w:t>
      </w:r>
      <w:r w:rsidR="00195C91" w:rsidRPr="002756B1">
        <w:rPr>
          <w:rFonts w:cstheme="minorHAnsi"/>
        </w:rPr>
        <w:t xml:space="preserve"> whilst the patients were supine. </w:t>
      </w:r>
      <w:r w:rsidR="00C42465" w:rsidRPr="002756B1">
        <w:rPr>
          <w:rFonts w:cstheme="minorHAnsi"/>
        </w:rPr>
        <w:t xml:space="preserve"> </w:t>
      </w:r>
      <w:r w:rsidR="002B4873">
        <w:rPr>
          <w:rFonts w:cstheme="minorHAnsi"/>
        </w:rPr>
        <w:t>Standardised anthropometric and BIS measures were performed by a small group of trained researchers.</w:t>
      </w:r>
    </w:p>
    <w:p w14:paraId="4EBBF4C6" w14:textId="6115D644" w:rsidR="00720F21" w:rsidRPr="002756B1" w:rsidRDefault="00720F21" w:rsidP="002C4DEF">
      <w:pPr>
        <w:spacing w:line="480" w:lineRule="auto"/>
        <w:rPr>
          <w:rFonts w:cstheme="minorHAnsi"/>
          <w:i/>
          <w:iCs/>
          <w:u w:val="single"/>
        </w:rPr>
      </w:pPr>
      <w:r w:rsidRPr="002756B1">
        <w:rPr>
          <w:rFonts w:cstheme="minorHAnsi"/>
          <w:i/>
          <w:iCs/>
          <w:u w:val="single"/>
        </w:rPr>
        <w:t xml:space="preserve">Data </w:t>
      </w:r>
      <w:r w:rsidR="00C42465" w:rsidRPr="002756B1">
        <w:rPr>
          <w:rFonts w:cstheme="minorHAnsi"/>
          <w:i/>
          <w:iCs/>
          <w:u w:val="single"/>
        </w:rPr>
        <w:t>processing</w:t>
      </w:r>
    </w:p>
    <w:p w14:paraId="734C345A" w14:textId="061885A7" w:rsidR="00195C91" w:rsidRPr="002756B1" w:rsidRDefault="00195C91" w:rsidP="002C4DEF">
      <w:pPr>
        <w:spacing w:line="480" w:lineRule="auto"/>
        <w:rPr>
          <w:rFonts w:cstheme="minorHAnsi"/>
        </w:rPr>
      </w:pPr>
      <w:r w:rsidRPr="002756B1">
        <w:rPr>
          <w:rFonts w:cstheme="minorHAnsi"/>
        </w:rPr>
        <w:t xml:space="preserve">BIA measurement files were processed using Bioimp software (ImpediMed). Measurements were rejected if all values were zero (presumed failure of measurement). </w:t>
      </w:r>
      <w:r w:rsidR="00CC3027">
        <w:rPr>
          <w:rFonts w:cstheme="minorHAnsi"/>
        </w:rPr>
        <w:t>PA values</w:t>
      </w:r>
      <w:r w:rsidRPr="002756B1">
        <w:rPr>
          <w:rFonts w:cstheme="minorHAnsi"/>
        </w:rPr>
        <w:t xml:space="preserve"> at a current frequency of 5KHz, 50KHz and 200KHz were used for analysis.</w:t>
      </w:r>
      <w:r w:rsidR="00D546E6">
        <w:rPr>
          <w:rFonts w:cstheme="minorHAnsi"/>
        </w:rPr>
        <w:t xml:space="preserve"> The impedance ratio (200KHz/5KHz) was calculated as previously described</w:t>
      </w:r>
      <w:r w:rsidR="00D546E6">
        <w:rPr>
          <w:rFonts w:cstheme="minorHAnsi"/>
        </w:rPr>
        <w:fldChar w:fldCharType="begin" w:fldLock="1"/>
      </w:r>
      <w:r w:rsidR="00D546E6">
        <w:rPr>
          <w:rFonts w:cstheme="minorHAnsi"/>
        </w:rPr>
        <w:instrText>ADDIN CSL_CITATION {"citationItems":[{"id":"ITEM-1","itemData":{"DOI":"10.1186/s12882-019-1511-y","ISSN":"14712369","PMID":"31438871","abstract":"Background: Oedema, characterized by accumulation of extracellular water (ECW), is one of the major clinical manifestations in children suffering from nephrotic syndrome (NS). The lack of a simple, inexpensive and harmless method for assessing ECW may be solved by the use of the bioelectrical impedance analysis (BIA) technique. The aims of this study were to examine whether phase angle (PA), bioelectrical impedance vector analysis (BIVA) and the impedance ratio (IR) reflect change in disease status in children with NS. Methods: Eight children (age range: 2-10 years) with active NS (ANS group) were enrolled. In five of these (ANS*subgroup), impedance was also measured at remission (NSR group). Thirty-eight healthy children (age range: 2-10 years) were included as healthy controls (HC group). Whole-body impedance was measured with a bioimpedance spectroscopy device (Xitron 4200) with surface electrodes placed on the wrist and ankle. Results: Values of PA, BIVA and IR were found to be significantly lower (p-value range &lt; 0.001 to &lt; 0.01) in the ANS patients compared to the HC and NSR groups. No significant differences were observed between the NSR and HC groups. Conclusion: The studied parameters can be used to assess change in disease status in NS patients. Data were consistent with NS being associated with expansion of ECW.","author":[{"dropping-particle":"","family":"Brantlov","given":"Steven","non-dropping-particle":"","parse-names":false,"suffix":""},{"dropping-particle":"","family":"Jødal","given":"Lars","non-dropping-particle":"","parse-names":false,"suffix":""},{"dropping-particle":"","family":"Andersen","given":"René Frydensbjerg","non-dropping-particle":"","parse-names":false,"suffix":""},{"dropping-particle":"","family":"Lange","given":"Aksel","non-dropping-particle":"","parse-names":false,"suffix":""},{"dropping-particle":"","family":"Rittig","given":"Søren","non-dropping-particle":"","parse-names":false,"suffix":""},{"dropping-particle":"","family":"Ward","given":"Leigh C.","non-dropping-particle":"","parse-names":false,"suffix":""}],"container-title":"BMC Nephrology","id":"ITEM-1","issue":"1","issued":{"date-parts":[["2019","12","22"]]},"page":"331","publisher":"BioMed Central Ltd.","title":"An evaluation of phase angle, bioelectrical impedance vector analysis and impedance ratio for the assessment of disease status in children with nephrotic syndrome","type":"article-journal","volume":"20"},"uris":["http://www.mendeley.com/documents/?uuid=bb2532c4-a273-3528-91be-b72025b527a6"]}],"mendeley":{"formattedCitation":"&lt;sup&gt;18&lt;/sup&gt;","plainTextFormattedCitation":"18"},"properties":{"noteIndex":0},"schema":"https://github.com/citation-style-language/schema/raw/master/csl-citation.json"}</w:instrText>
      </w:r>
      <w:r w:rsidR="00D546E6">
        <w:rPr>
          <w:rFonts w:cstheme="minorHAnsi"/>
        </w:rPr>
        <w:fldChar w:fldCharType="separate"/>
      </w:r>
      <w:r w:rsidR="00D546E6" w:rsidRPr="00D546E6">
        <w:rPr>
          <w:rFonts w:cstheme="minorHAnsi"/>
          <w:noProof/>
          <w:vertAlign w:val="superscript"/>
        </w:rPr>
        <w:t>18</w:t>
      </w:r>
      <w:r w:rsidR="00D546E6">
        <w:rPr>
          <w:rFonts w:cstheme="minorHAnsi"/>
        </w:rPr>
        <w:fldChar w:fldCharType="end"/>
      </w:r>
      <w:r w:rsidR="00D546E6">
        <w:rPr>
          <w:rFonts w:cstheme="minorHAnsi"/>
        </w:rPr>
        <w:t>.</w:t>
      </w:r>
    </w:p>
    <w:p w14:paraId="2E12E55C" w14:textId="77777777" w:rsidR="00710119" w:rsidRPr="002756B1" w:rsidRDefault="00710119" w:rsidP="002C4DEF">
      <w:pPr>
        <w:spacing w:line="480" w:lineRule="auto"/>
        <w:rPr>
          <w:rFonts w:cstheme="minorHAnsi"/>
          <w:u w:val="single"/>
        </w:rPr>
      </w:pPr>
      <w:r w:rsidRPr="002756B1">
        <w:rPr>
          <w:rFonts w:cstheme="minorHAnsi"/>
          <w:u w:val="single"/>
        </w:rPr>
        <w:t xml:space="preserve">Anthropometric measurement </w:t>
      </w:r>
    </w:p>
    <w:p w14:paraId="6252E638" w14:textId="284EE3CF" w:rsidR="00710119" w:rsidRPr="002756B1" w:rsidRDefault="00243F2F" w:rsidP="002C4DEF">
      <w:pPr>
        <w:spacing w:line="480" w:lineRule="auto"/>
        <w:rPr>
          <w:rFonts w:cstheme="minorHAnsi"/>
        </w:rPr>
      </w:pPr>
      <w:r w:rsidRPr="002756B1">
        <w:rPr>
          <w:rFonts w:cstheme="minorHAnsi"/>
        </w:rPr>
        <w:lastRenderedPageBreak/>
        <w:t>At each study visit patients had their height and weight measured</w:t>
      </w:r>
      <w:r w:rsidR="00D64AFA" w:rsidRPr="002756B1">
        <w:rPr>
          <w:rFonts w:cstheme="minorHAnsi"/>
        </w:rPr>
        <w:t xml:space="preserve"> </w:t>
      </w:r>
      <w:r w:rsidR="004862E9" w:rsidRPr="002756B1">
        <w:rPr>
          <w:rFonts w:cstheme="minorHAnsi"/>
        </w:rPr>
        <w:t>in line with local standard operating procedures, as</w:t>
      </w:r>
      <w:r w:rsidR="00D64AFA" w:rsidRPr="002756B1">
        <w:rPr>
          <w:rFonts w:cstheme="minorHAnsi"/>
        </w:rPr>
        <w:t xml:space="preserve"> previously described</w:t>
      </w:r>
      <w:r w:rsidR="00D64AFA" w:rsidRPr="002756B1">
        <w:rPr>
          <w:rFonts w:cstheme="minorHAnsi"/>
        </w:rPr>
        <w:fldChar w:fldCharType="begin" w:fldLock="1"/>
      </w:r>
      <w:r w:rsidR="0075528C" w:rsidRPr="002756B1">
        <w:rPr>
          <w:rFonts w:cstheme="minorHAnsi"/>
        </w:rPr>
        <w:instrText>ADDIN CSL_CITATION {"citationItems":[{"id":"ITEM-1","itemData":{"DOI":"10.1111/apa.15383","ISSN":"0803-5253","abstract":"AIM: We assessed growth in a paediatric inflammatory bowel disease (PIBD) cohort.  METHODS: PIBD patients were eligible if they were diagnosed at Southampton Children's Hospital from 2011-2018. Weight and height standard-deviation-scores (SDS) were retrieved. Mean SDS-values, SDS-change and anti-TNF status were analysed at diagnosis and during follow-up. RESULTS: 490 patients were included, 313 with Crohn's disease (CD). CD patients presented with mean height-SDS -0.13, -0.1 at 1-year, -0.11 at 2-years and -0.03 at 5-years, reflecting preserved linear growth. There was no significant height-SDS change from diagnosis to 5-year follow-up, +0.12, 95%-CI 0.48 to -0.24. Mean weight-SDS at diagnosis was -0.39, driven by CD patients (-0.65). Mean weight-SDS approached 0 after 1-year and remained at the 50(th) -centile throughout follow-up. Growth in ulcerative colitis was maintained. In multivariable regression males had worse height growth from diagnosis to transition (p=0.036). Anti-TNF treatment (p=0.013) and surgical resection (p=0.005) were also associated with poorer linear growth. Patients treated with anti-TNF therapy had lower height-SDS compared to those never treated with anti-TNF at 1-year (-0.2 vs -0.01, p=0.22), 2-years (-0.27 vs -0.01, p=0.07) and 5-years (-0.21 vs 0.25, p=0.051). CONCLUSION: Height was generally maintained in Crohn's disease and impaired linear growth was rare in this cohort.","author":[{"dropping-particle":"","family":"Ashton","given":"James J","non-dropping-particle":"","parse-names":false,"suffix":""},{"dropping-particle":"","family":"Green","given":"Zachary","non-dropping-particle":"","parse-names":false,"suffix":""},{"dropping-particle":"","family":"Young","given":"Aneurin","non-dropping-particle":"","parse-names":false,"suffix":""},{"dropping-particle":"","family":"Borca","given":"Florina","non-dropping-particle":"","parse-names":false,"suffix":""},{"dropping-particle":"","family":"Coelho","given":"Tracy","non-dropping-particle":"","parse-names":false,"suffix":""},{"dropping-particle":"","family":"Batra","given":"Akshay","non-dropping-particle":"","parse-names":false,"suffix":""},{"dropping-particle":"","family":"Afzal","given":"Nadeem A.","non-dropping-particle":"","parse-names":false,"suffix":""},{"dropping-particle":"","family":"Ennis","given":"Sarah","non-dropping-particle":"","parse-names":false,"suffix":""},{"dropping-particle":"","family":"Johnson","given":"Mark J","non-dropping-particle":"","parse-names":false,"suffix":""},{"dropping-particle":"","family":"Beattie","given":"R Mark","non-dropping-particle":"","parse-names":false,"suffix":""}],"container-title":"Acta Paediatrica","id":"ITEM-1","issued":{"date-parts":[["2020","6","2"]]},"page":"apa.15383","publisher":"Wiley","title":"Growth failure is rare in a contemporary cohort of paediatric inflammatory bowel disease patients","type":"article-journal"},"uris":["http://www.mendeley.com/documents/?uuid=d6ab0886-3f3f-3fda-9319-f2a35761d7c7"]}],"mendeley":{"formattedCitation":"&lt;sup&gt;7&lt;/sup&gt;","plainTextFormattedCitation":"7","previouslyFormattedCitation":"&lt;sup&gt;7&lt;/sup&gt;"},"properties":{"noteIndex":0},"schema":"https://github.com/citation-style-language/schema/raw/master/csl-citation.json"}</w:instrText>
      </w:r>
      <w:r w:rsidR="00D64AFA" w:rsidRPr="002756B1">
        <w:rPr>
          <w:rFonts w:cstheme="minorHAnsi"/>
        </w:rPr>
        <w:fldChar w:fldCharType="separate"/>
      </w:r>
      <w:r w:rsidR="0075528C" w:rsidRPr="002756B1">
        <w:rPr>
          <w:rFonts w:cstheme="minorHAnsi"/>
          <w:noProof/>
          <w:vertAlign w:val="superscript"/>
        </w:rPr>
        <w:t>7</w:t>
      </w:r>
      <w:r w:rsidR="00D64AFA" w:rsidRPr="002756B1">
        <w:rPr>
          <w:rFonts w:cstheme="minorHAnsi"/>
        </w:rPr>
        <w:fldChar w:fldCharType="end"/>
      </w:r>
      <w:r w:rsidRPr="002756B1">
        <w:rPr>
          <w:rFonts w:cstheme="minorHAnsi"/>
        </w:rPr>
        <w:t xml:space="preserve">. </w:t>
      </w:r>
      <w:r w:rsidR="002E5A1A" w:rsidRPr="002756B1">
        <w:rPr>
          <w:rFonts w:cstheme="minorHAnsi"/>
        </w:rPr>
        <w:t>Measurements were performed and recorded in accordance with local Standardised Operating Procedures and World Health Organisation (WHO) guidelines. Children were weighed with minimal clothing</w:t>
      </w:r>
      <w:r w:rsidR="00E919AC">
        <w:rPr>
          <w:rFonts w:cstheme="minorHAnsi"/>
        </w:rPr>
        <w:t xml:space="preserve"> and no shoes</w:t>
      </w:r>
      <w:r w:rsidR="002E5A1A" w:rsidRPr="002756B1">
        <w:rPr>
          <w:rFonts w:cstheme="minorHAnsi"/>
        </w:rPr>
        <w:t>; weight was measured to the nearest 0.1kg using a digital scale.  Height was measured to the nearest 0.1cm in children under a stadiometer (Seca 213: Birmingham, UK).</w:t>
      </w:r>
    </w:p>
    <w:p w14:paraId="49E5F4AB" w14:textId="0BC6647A" w:rsidR="002E5A1A" w:rsidRPr="002756B1" w:rsidRDefault="002E5A1A" w:rsidP="002E5A1A">
      <w:pPr>
        <w:spacing w:line="480" w:lineRule="auto"/>
        <w:rPr>
          <w:rFonts w:cstheme="minorHAnsi"/>
          <w:bCs/>
          <w:u w:val="single"/>
        </w:rPr>
      </w:pPr>
      <w:r w:rsidRPr="002756B1">
        <w:rPr>
          <w:rFonts w:cstheme="minorHAnsi"/>
          <w:bCs/>
          <w:u w:val="single"/>
        </w:rPr>
        <w:t>Definitions of malnutrition</w:t>
      </w:r>
    </w:p>
    <w:p w14:paraId="15E81439" w14:textId="126258F7" w:rsidR="002E5A1A" w:rsidRPr="002756B1" w:rsidRDefault="002E5A1A" w:rsidP="002E5A1A">
      <w:pPr>
        <w:spacing w:line="480" w:lineRule="auto"/>
        <w:rPr>
          <w:rFonts w:cstheme="minorHAnsi"/>
        </w:rPr>
      </w:pPr>
      <w:r w:rsidRPr="002756B1">
        <w:rPr>
          <w:rFonts w:cstheme="minorHAnsi"/>
        </w:rPr>
        <w:t xml:space="preserve">Z-scores were calculated using WHO Anthro software version 3.3.3 2011 for participants &lt;5 years and WHO AnthroPlus 3.2 for those ≥5 years. WHO growth reference interpretation of cut offs for malnutrition were used. </w:t>
      </w:r>
      <w:r w:rsidR="00C53B96">
        <w:rPr>
          <w:rFonts w:cstheme="minorHAnsi"/>
        </w:rPr>
        <w:t>Mild under-nutrition was defined as body mass index Z score (BMIZ) &lt;-1, with m</w:t>
      </w:r>
      <w:r w:rsidR="00C53B96" w:rsidRPr="002756B1">
        <w:rPr>
          <w:rFonts w:cstheme="minorHAnsi"/>
        </w:rPr>
        <w:t xml:space="preserve">oderate </w:t>
      </w:r>
      <w:r w:rsidRPr="002756B1">
        <w:rPr>
          <w:rFonts w:cstheme="minorHAnsi"/>
        </w:rPr>
        <w:t>malnutrition was defined as a BMIZ for age ≤-2. Overweight and obes</w:t>
      </w:r>
      <w:r w:rsidR="00295D1A">
        <w:rPr>
          <w:rFonts w:cstheme="minorHAnsi"/>
        </w:rPr>
        <w:t>ity</w:t>
      </w:r>
      <w:r w:rsidRPr="002756B1">
        <w:rPr>
          <w:rFonts w:cstheme="minorHAnsi"/>
        </w:rPr>
        <w:t xml:space="preserve"> were defined as </w:t>
      </w:r>
      <w:r w:rsidR="00E919AC">
        <w:rPr>
          <w:rFonts w:cstheme="minorHAnsi"/>
        </w:rPr>
        <w:t>BMIZ</w:t>
      </w:r>
      <w:r w:rsidR="00E919AC" w:rsidRPr="002756B1">
        <w:rPr>
          <w:rFonts w:cstheme="minorHAnsi"/>
        </w:rPr>
        <w:t xml:space="preserve"> </w:t>
      </w:r>
      <w:r w:rsidRPr="002756B1">
        <w:rPr>
          <w:rFonts w:cstheme="minorHAnsi"/>
        </w:rPr>
        <w:t xml:space="preserve">&gt;1 and </w:t>
      </w:r>
      <w:r w:rsidR="00E919AC">
        <w:rPr>
          <w:rFonts w:cstheme="minorHAnsi"/>
        </w:rPr>
        <w:t>&gt;</w:t>
      </w:r>
      <w:r w:rsidRPr="002756B1">
        <w:rPr>
          <w:rFonts w:cstheme="minorHAnsi"/>
        </w:rPr>
        <w:t>2</w:t>
      </w:r>
      <w:r w:rsidR="00E919AC">
        <w:rPr>
          <w:rFonts w:cstheme="minorHAnsi"/>
        </w:rPr>
        <w:t>, respectively.</w:t>
      </w:r>
      <w:r w:rsidRPr="002756B1">
        <w:rPr>
          <w:rFonts w:cstheme="minorHAnsi"/>
        </w:rPr>
        <w:t xml:space="preserve"> </w:t>
      </w:r>
    </w:p>
    <w:p w14:paraId="19FA5D3D" w14:textId="25F5D0AB" w:rsidR="00720F21" w:rsidRPr="002756B1" w:rsidRDefault="00720F21" w:rsidP="002C4DEF">
      <w:pPr>
        <w:spacing w:line="480" w:lineRule="auto"/>
        <w:rPr>
          <w:rFonts w:cstheme="minorHAnsi"/>
          <w:u w:val="single"/>
        </w:rPr>
      </w:pPr>
      <w:r w:rsidRPr="002756B1">
        <w:rPr>
          <w:rFonts w:cstheme="minorHAnsi"/>
          <w:u w:val="single"/>
        </w:rPr>
        <w:t xml:space="preserve">Clinical data collection </w:t>
      </w:r>
    </w:p>
    <w:p w14:paraId="34D7A4D5" w14:textId="53858021" w:rsidR="00720F21" w:rsidRPr="002756B1" w:rsidRDefault="00D145A8" w:rsidP="002C4DEF">
      <w:pPr>
        <w:spacing w:line="480" w:lineRule="auto"/>
        <w:rPr>
          <w:rFonts w:cstheme="minorHAnsi"/>
        </w:rPr>
      </w:pPr>
      <w:r w:rsidRPr="002756B1">
        <w:rPr>
          <w:rFonts w:cstheme="minorHAnsi"/>
        </w:rPr>
        <w:t>At the time of BI</w:t>
      </w:r>
      <w:r w:rsidR="008708BE">
        <w:rPr>
          <w:rFonts w:cstheme="minorHAnsi"/>
        </w:rPr>
        <w:t>S</w:t>
      </w:r>
      <w:r w:rsidRPr="002756B1">
        <w:rPr>
          <w:rFonts w:cstheme="minorHAnsi"/>
        </w:rPr>
        <w:t xml:space="preserve"> measurements all patients had </w:t>
      </w:r>
      <w:r w:rsidR="008708BE">
        <w:rPr>
          <w:rFonts w:cstheme="minorHAnsi"/>
        </w:rPr>
        <w:t xml:space="preserve">standardised </w:t>
      </w:r>
      <w:r w:rsidRPr="002756B1">
        <w:rPr>
          <w:rFonts w:cstheme="minorHAnsi"/>
        </w:rPr>
        <w:t>collection of clinical data, includ</w:t>
      </w:r>
      <w:r w:rsidR="002C3267" w:rsidRPr="002756B1">
        <w:rPr>
          <w:rFonts w:cstheme="minorHAnsi"/>
        </w:rPr>
        <w:t>ing</w:t>
      </w:r>
      <w:r w:rsidRPr="002756B1">
        <w:rPr>
          <w:rFonts w:cstheme="minorHAnsi"/>
        </w:rPr>
        <w:t xml:space="preserve"> a</w:t>
      </w:r>
      <w:r w:rsidR="002C3267" w:rsidRPr="002756B1">
        <w:rPr>
          <w:rFonts w:cstheme="minorHAnsi"/>
        </w:rPr>
        <w:t>n</w:t>
      </w:r>
      <w:r w:rsidRPr="002756B1">
        <w:rPr>
          <w:rFonts w:cstheme="minorHAnsi"/>
        </w:rPr>
        <w:t xml:space="preserve"> </w:t>
      </w:r>
      <w:r w:rsidR="002C3267" w:rsidRPr="002756B1">
        <w:rPr>
          <w:rFonts w:cstheme="minorHAnsi"/>
        </w:rPr>
        <w:t>appetite</w:t>
      </w:r>
      <w:r w:rsidRPr="002756B1">
        <w:rPr>
          <w:rFonts w:cstheme="minorHAnsi"/>
        </w:rPr>
        <w:t xml:space="preserve"> questionnaire, disease activity index score (</w:t>
      </w:r>
      <w:r w:rsidR="00295D1A">
        <w:rPr>
          <w:rFonts w:cstheme="minorHAnsi"/>
        </w:rPr>
        <w:t xml:space="preserve">paediatric Crohn’s disease activity index- </w:t>
      </w:r>
      <w:r w:rsidRPr="002756B1">
        <w:rPr>
          <w:rFonts w:cstheme="minorHAnsi"/>
        </w:rPr>
        <w:t xml:space="preserve">PCDAI or </w:t>
      </w:r>
      <w:r w:rsidR="00295D1A">
        <w:rPr>
          <w:rFonts w:cstheme="minorHAnsi"/>
        </w:rPr>
        <w:t xml:space="preserve">paediatric ulcerative colitis activity index- </w:t>
      </w:r>
      <w:r w:rsidRPr="002756B1">
        <w:rPr>
          <w:rFonts w:cstheme="minorHAnsi"/>
        </w:rPr>
        <w:t>PUCAI</w:t>
      </w:r>
      <w:r w:rsidR="00295D1A">
        <w:rPr>
          <w:rFonts w:cstheme="minorHAnsi"/>
        </w:rPr>
        <w:t>,</w:t>
      </w:r>
      <w:r w:rsidRPr="002756B1">
        <w:rPr>
          <w:rFonts w:cstheme="minorHAnsi"/>
        </w:rPr>
        <w:t xml:space="preserve"> as appropriate)</w:t>
      </w:r>
      <w:r w:rsidR="002C3267" w:rsidRPr="002756B1">
        <w:rPr>
          <w:rFonts w:cstheme="minorHAnsi"/>
        </w:rPr>
        <w:t>, medications</w:t>
      </w:r>
      <w:r w:rsidR="00243F2F" w:rsidRPr="002756B1">
        <w:rPr>
          <w:rFonts w:cstheme="minorHAnsi"/>
        </w:rPr>
        <w:t xml:space="preserve"> and</w:t>
      </w:r>
      <w:r w:rsidR="002C3267" w:rsidRPr="002756B1">
        <w:rPr>
          <w:rFonts w:cstheme="minorHAnsi"/>
        </w:rPr>
        <w:t xml:space="preserve"> nutritional supplementations.</w:t>
      </w:r>
      <w:r w:rsidR="00922D5D" w:rsidRPr="00922D5D">
        <w:rPr>
          <w:rFonts w:cstheme="minorHAnsi"/>
        </w:rPr>
        <w:t xml:space="preserve"> </w:t>
      </w:r>
      <w:r w:rsidR="00922D5D" w:rsidRPr="002756B1">
        <w:rPr>
          <w:rFonts w:cstheme="minorHAnsi"/>
        </w:rPr>
        <w:t>PCDAI</w:t>
      </w:r>
      <w:r w:rsidR="00922D5D">
        <w:rPr>
          <w:rFonts w:cstheme="minorHAnsi"/>
        </w:rPr>
        <w:t xml:space="preserve"> was used for IBDU patients.</w:t>
      </w:r>
      <w:r w:rsidRPr="002756B1">
        <w:rPr>
          <w:rFonts w:cstheme="minorHAnsi"/>
        </w:rPr>
        <w:t xml:space="preserve"> </w:t>
      </w:r>
      <w:r w:rsidR="008708BE">
        <w:rPr>
          <w:rFonts w:cstheme="minorHAnsi"/>
        </w:rPr>
        <w:t xml:space="preserve">Each BIS measurement was linked with the clinical data at that visit. </w:t>
      </w:r>
    </w:p>
    <w:p w14:paraId="4FDB57A5" w14:textId="77777777" w:rsidR="00720F21" w:rsidRPr="002756B1" w:rsidRDefault="00720F21" w:rsidP="002C4DEF">
      <w:pPr>
        <w:spacing w:line="480" w:lineRule="auto"/>
        <w:rPr>
          <w:rFonts w:cstheme="minorHAnsi"/>
          <w:u w:val="single"/>
        </w:rPr>
      </w:pPr>
      <w:r w:rsidRPr="002756B1">
        <w:rPr>
          <w:rFonts w:cstheme="minorHAnsi"/>
          <w:u w:val="single"/>
        </w:rPr>
        <w:t>Data and statistical analysis</w:t>
      </w:r>
    </w:p>
    <w:p w14:paraId="1479E176" w14:textId="77EABD4D" w:rsidR="00295D1A" w:rsidRDefault="008708BE" w:rsidP="002C4DEF">
      <w:pPr>
        <w:spacing w:line="480" w:lineRule="auto"/>
        <w:rPr>
          <w:rFonts w:cstheme="minorHAnsi"/>
        </w:rPr>
      </w:pPr>
      <w:r>
        <w:rPr>
          <w:rFonts w:cstheme="minorHAnsi"/>
        </w:rPr>
        <w:t>Patient anthropometry was grouped by WHO classification and graphically represented</w:t>
      </w:r>
      <w:r w:rsidR="003372CB">
        <w:rPr>
          <w:rFonts w:cstheme="minorHAnsi"/>
        </w:rPr>
        <w:t>, mean values were compared between groups using a T-test</w:t>
      </w:r>
      <w:r w:rsidR="0027263A">
        <w:rPr>
          <w:rFonts w:cstheme="minorHAnsi"/>
        </w:rPr>
        <w:t>. Analysis of disease subtypes and BMIZ were performed using a χ</w:t>
      </w:r>
      <w:r w:rsidR="0027263A">
        <w:rPr>
          <w:rFonts w:cstheme="minorHAnsi"/>
          <w:vertAlign w:val="superscript"/>
        </w:rPr>
        <w:t>2</w:t>
      </w:r>
      <w:r w:rsidR="0027263A">
        <w:rPr>
          <w:rFonts w:cstheme="minorHAnsi"/>
        </w:rPr>
        <w:t xml:space="preserve"> test</w:t>
      </w:r>
      <w:r>
        <w:rPr>
          <w:rFonts w:cstheme="minorHAnsi"/>
        </w:rPr>
        <w:t xml:space="preserve">. </w:t>
      </w:r>
      <w:r w:rsidR="00295D1A">
        <w:rPr>
          <w:rFonts w:cstheme="minorHAnsi"/>
        </w:rPr>
        <w:t>We performed correlation between PA</w:t>
      </w:r>
      <w:r w:rsidR="00295D1A" w:rsidRPr="002756B1">
        <w:rPr>
          <w:rFonts w:cstheme="minorHAnsi"/>
        </w:rPr>
        <w:t xml:space="preserve"> at 50KHz</w:t>
      </w:r>
      <w:r w:rsidR="00295D1A">
        <w:rPr>
          <w:rFonts w:cstheme="minorHAnsi"/>
        </w:rPr>
        <w:t>, the impedance ratio 200KHz/5KHz (IR), BMIZ and disease activity. Additionally, m</w:t>
      </w:r>
      <w:r w:rsidR="007D57F2" w:rsidRPr="002756B1">
        <w:rPr>
          <w:rFonts w:cstheme="minorHAnsi"/>
        </w:rPr>
        <w:t xml:space="preserve">ultivariate linear regression was performed to determine the </w:t>
      </w:r>
      <w:r w:rsidR="00295D1A">
        <w:rPr>
          <w:rFonts w:cstheme="minorHAnsi"/>
        </w:rPr>
        <w:t>factors associated with</w:t>
      </w:r>
      <w:r w:rsidR="007D57F2" w:rsidRPr="002756B1">
        <w:rPr>
          <w:rFonts w:cstheme="minorHAnsi"/>
        </w:rPr>
        <w:t xml:space="preserve"> </w:t>
      </w:r>
      <w:r w:rsidR="00295D1A">
        <w:rPr>
          <w:rFonts w:cstheme="minorHAnsi"/>
        </w:rPr>
        <w:t xml:space="preserve">both </w:t>
      </w:r>
      <w:r w:rsidR="00974EAC" w:rsidRPr="002756B1">
        <w:rPr>
          <w:rFonts w:cstheme="minorHAnsi"/>
        </w:rPr>
        <w:t>disease activity (PCDAI or PUCAI)</w:t>
      </w:r>
      <w:r w:rsidR="00295D1A">
        <w:rPr>
          <w:rFonts w:cstheme="minorHAnsi"/>
        </w:rPr>
        <w:t xml:space="preserve"> and </w:t>
      </w:r>
      <w:r w:rsidR="00295D1A">
        <w:rPr>
          <w:rFonts w:cstheme="minorHAnsi"/>
        </w:rPr>
        <w:lastRenderedPageBreak/>
        <w:t>BMIZ, whilst accounting for potential confounding variables. PA</w:t>
      </w:r>
      <w:r w:rsidR="00295D1A" w:rsidRPr="002756B1">
        <w:rPr>
          <w:rFonts w:cstheme="minorHAnsi"/>
        </w:rPr>
        <w:t xml:space="preserve"> at 50KHz</w:t>
      </w:r>
      <w:r w:rsidR="00295D1A">
        <w:rPr>
          <w:rFonts w:cstheme="minorHAnsi"/>
        </w:rPr>
        <w:t xml:space="preserve">, and the IR were assessed in separated models. Co-variants were accounted for including medications, </w:t>
      </w:r>
      <w:r w:rsidR="00974EAC" w:rsidRPr="002756B1">
        <w:rPr>
          <w:rFonts w:cstheme="minorHAnsi"/>
        </w:rPr>
        <w:t>age</w:t>
      </w:r>
      <w:r w:rsidR="00295D1A">
        <w:rPr>
          <w:rFonts w:cstheme="minorHAnsi"/>
        </w:rPr>
        <w:t xml:space="preserve"> and disease subtype</w:t>
      </w:r>
      <w:r w:rsidR="00974EAC" w:rsidRPr="002756B1">
        <w:rPr>
          <w:rFonts w:cstheme="minorHAnsi"/>
        </w:rPr>
        <w:t xml:space="preserve">. </w:t>
      </w:r>
    </w:p>
    <w:p w14:paraId="2CBE2DBC" w14:textId="14D3F452" w:rsidR="00720F21" w:rsidRPr="002756B1" w:rsidRDefault="00295D1A" w:rsidP="002C4DEF">
      <w:pPr>
        <w:spacing w:line="480" w:lineRule="auto"/>
        <w:rPr>
          <w:rFonts w:cstheme="minorHAnsi"/>
        </w:rPr>
      </w:pPr>
      <w:r>
        <w:rPr>
          <w:rFonts w:cstheme="minorHAnsi"/>
        </w:rPr>
        <w:t>Using a receiver operator curve (ROC) analysis for binary outcomes, including disease activity ≥15 and biologic use</w:t>
      </w:r>
      <w:r w:rsidR="008708BE">
        <w:rPr>
          <w:rFonts w:cstheme="minorHAnsi"/>
        </w:rPr>
        <w:t>,</w:t>
      </w:r>
      <w:r>
        <w:rPr>
          <w:rFonts w:cstheme="minorHAnsi"/>
        </w:rPr>
        <w:t xml:space="preserve"> we determined whether PA 50KHz, or the IR</w:t>
      </w:r>
      <w:r w:rsidR="00B64374">
        <w:rPr>
          <w:rFonts w:cstheme="minorHAnsi"/>
        </w:rPr>
        <w:t xml:space="preserve"> (200KHz/5KHz)</w:t>
      </w:r>
      <w:r>
        <w:rPr>
          <w:rFonts w:cstheme="minorHAnsi"/>
        </w:rPr>
        <w:t xml:space="preserve">, were useful classifiers to determine </w:t>
      </w:r>
      <w:r w:rsidR="00B64374">
        <w:rPr>
          <w:rFonts w:cstheme="minorHAnsi"/>
        </w:rPr>
        <w:t xml:space="preserve">these </w:t>
      </w:r>
      <w:r>
        <w:rPr>
          <w:rFonts w:cstheme="minorHAnsi"/>
        </w:rPr>
        <w:t xml:space="preserve">outcomes. </w:t>
      </w:r>
      <w:r w:rsidR="008708BE">
        <w:rPr>
          <w:rFonts w:cstheme="minorHAnsi"/>
        </w:rPr>
        <w:t>All d</w:t>
      </w:r>
      <w:r w:rsidR="00710119" w:rsidRPr="002756B1">
        <w:rPr>
          <w:rFonts w:cstheme="minorHAnsi"/>
        </w:rPr>
        <w:t xml:space="preserve">ata were analysed using SPSS v25 (IBM). </w:t>
      </w:r>
    </w:p>
    <w:p w14:paraId="16ED4224" w14:textId="77777777" w:rsidR="00720F21" w:rsidRPr="002756B1" w:rsidRDefault="00720F21" w:rsidP="002C4DEF">
      <w:pPr>
        <w:spacing w:line="480" w:lineRule="auto"/>
        <w:rPr>
          <w:rFonts w:cstheme="minorHAnsi"/>
          <w:u w:val="single"/>
        </w:rPr>
      </w:pPr>
      <w:r w:rsidRPr="002756B1">
        <w:rPr>
          <w:rFonts w:cstheme="minorHAnsi"/>
          <w:u w:val="single"/>
        </w:rPr>
        <w:t>Ethical approval</w:t>
      </w:r>
    </w:p>
    <w:p w14:paraId="270F2570" w14:textId="1B1FE53D" w:rsidR="00720F21" w:rsidRPr="002756B1" w:rsidRDefault="00720F21" w:rsidP="002C4DEF">
      <w:pPr>
        <w:spacing w:line="480" w:lineRule="auto"/>
        <w:rPr>
          <w:rFonts w:cstheme="minorHAnsi"/>
        </w:rPr>
      </w:pPr>
      <w:r w:rsidRPr="002756B1">
        <w:rPr>
          <w:rFonts w:cstheme="minorHAnsi"/>
        </w:rPr>
        <w:t>Ethical approval was granted by the London (Westminster) research ethics committee (18/LO/1457).</w:t>
      </w:r>
      <w:r w:rsidR="00D47D6D" w:rsidRPr="002756B1">
        <w:rPr>
          <w:rFonts w:cstheme="minorHAnsi"/>
        </w:rPr>
        <w:t xml:space="preserve"> All patients, or caregivers, gave signed informed consent prior to participation in the study. </w:t>
      </w:r>
    </w:p>
    <w:p w14:paraId="143E8A2F" w14:textId="77777777" w:rsidR="008708BE" w:rsidRDefault="008708BE" w:rsidP="002C4DEF">
      <w:pPr>
        <w:spacing w:line="480" w:lineRule="auto"/>
        <w:rPr>
          <w:rFonts w:cstheme="minorHAnsi"/>
          <w:b/>
          <w:bCs/>
          <w:u w:val="single"/>
        </w:rPr>
      </w:pPr>
    </w:p>
    <w:p w14:paraId="65701F0D" w14:textId="77777777" w:rsidR="008708BE" w:rsidRDefault="008708BE" w:rsidP="002C4DEF">
      <w:pPr>
        <w:spacing w:line="480" w:lineRule="auto"/>
        <w:rPr>
          <w:rFonts w:cstheme="minorHAnsi"/>
          <w:b/>
          <w:bCs/>
          <w:u w:val="single"/>
        </w:rPr>
      </w:pPr>
    </w:p>
    <w:p w14:paraId="2F34534C" w14:textId="77777777" w:rsidR="008708BE" w:rsidRDefault="008708BE" w:rsidP="002C4DEF">
      <w:pPr>
        <w:spacing w:line="480" w:lineRule="auto"/>
        <w:rPr>
          <w:rFonts w:cstheme="minorHAnsi"/>
          <w:b/>
          <w:bCs/>
          <w:u w:val="single"/>
        </w:rPr>
      </w:pPr>
    </w:p>
    <w:p w14:paraId="2617D256" w14:textId="77777777" w:rsidR="008708BE" w:rsidRDefault="008708BE" w:rsidP="002C4DEF">
      <w:pPr>
        <w:spacing w:line="480" w:lineRule="auto"/>
        <w:rPr>
          <w:rFonts w:cstheme="minorHAnsi"/>
          <w:b/>
          <w:bCs/>
          <w:u w:val="single"/>
        </w:rPr>
      </w:pPr>
    </w:p>
    <w:p w14:paraId="6FDF9D33" w14:textId="77777777" w:rsidR="008708BE" w:rsidRDefault="008708BE" w:rsidP="002C4DEF">
      <w:pPr>
        <w:spacing w:line="480" w:lineRule="auto"/>
        <w:rPr>
          <w:rFonts w:cstheme="minorHAnsi"/>
          <w:b/>
          <w:bCs/>
          <w:u w:val="single"/>
        </w:rPr>
      </w:pPr>
    </w:p>
    <w:p w14:paraId="0EAA5CA8" w14:textId="77777777" w:rsidR="008708BE" w:rsidRDefault="008708BE" w:rsidP="002C4DEF">
      <w:pPr>
        <w:spacing w:line="480" w:lineRule="auto"/>
        <w:rPr>
          <w:rFonts w:cstheme="minorHAnsi"/>
          <w:b/>
          <w:bCs/>
          <w:u w:val="single"/>
        </w:rPr>
      </w:pPr>
    </w:p>
    <w:p w14:paraId="03107D14" w14:textId="77777777" w:rsidR="008708BE" w:rsidRDefault="008708BE" w:rsidP="002C4DEF">
      <w:pPr>
        <w:spacing w:line="480" w:lineRule="auto"/>
        <w:rPr>
          <w:rFonts w:cstheme="minorHAnsi"/>
          <w:b/>
          <w:bCs/>
          <w:u w:val="single"/>
        </w:rPr>
      </w:pPr>
    </w:p>
    <w:p w14:paraId="1A0E6A83" w14:textId="77777777" w:rsidR="008708BE" w:rsidRDefault="008708BE" w:rsidP="002C4DEF">
      <w:pPr>
        <w:spacing w:line="480" w:lineRule="auto"/>
        <w:rPr>
          <w:rFonts w:cstheme="minorHAnsi"/>
          <w:b/>
          <w:bCs/>
          <w:u w:val="single"/>
        </w:rPr>
      </w:pPr>
    </w:p>
    <w:p w14:paraId="752CF43F" w14:textId="77777777" w:rsidR="008708BE" w:rsidRDefault="008708BE" w:rsidP="002C4DEF">
      <w:pPr>
        <w:spacing w:line="480" w:lineRule="auto"/>
        <w:rPr>
          <w:rFonts w:cstheme="minorHAnsi"/>
          <w:b/>
          <w:bCs/>
          <w:u w:val="single"/>
        </w:rPr>
      </w:pPr>
    </w:p>
    <w:p w14:paraId="010E6052" w14:textId="77777777" w:rsidR="008708BE" w:rsidRDefault="008708BE" w:rsidP="002C4DEF">
      <w:pPr>
        <w:spacing w:line="480" w:lineRule="auto"/>
        <w:rPr>
          <w:rFonts w:cstheme="minorHAnsi"/>
          <w:b/>
          <w:bCs/>
          <w:u w:val="single"/>
        </w:rPr>
      </w:pPr>
    </w:p>
    <w:p w14:paraId="37E58245" w14:textId="77777777" w:rsidR="008708BE" w:rsidRDefault="008708BE" w:rsidP="002C4DEF">
      <w:pPr>
        <w:spacing w:line="480" w:lineRule="auto"/>
        <w:rPr>
          <w:rFonts w:cstheme="minorHAnsi"/>
          <w:b/>
          <w:bCs/>
          <w:u w:val="single"/>
        </w:rPr>
      </w:pPr>
    </w:p>
    <w:p w14:paraId="31E57627" w14:textId="77777777" w:rsidR="008708BE" w:rsidRDefault="008708BE" w:rsidP="002C4DEF">
      <w:pPr>
        <w:spacing w:line="480" w:lineRule="auto"/>
        <w:rPr>
          <w:rFonts w:cstheme="minorHAnsi"/>
          <w:b/>
          <w:bCs/>
          <w:u w:val="single"/>
        </w:rPr>
      </w:pPr>
    </w:p>
    <w:p w14:paraId="1F531B8B" w14:textId="08611635" w:rsidR="00156914" w:rsidRPr="002756B1" w:rsidRDefault="00C6772A" w:rsidP="002C4DEF">
      <w:pPr>
        <w:spacing w:line="480" w:lineRule="auto"/>
        <w:rPr>
          <w:rFonts w:cstheme="minorHAnsi"/>
          <w:b/>
          <w:bCs/>
          <w:u w:val="single"/>
        </w:rPr>
      </w:pPr>
      <w:r>
        <w:rPr>
          <w:rFonts w:cstheme="minorHAnsi"/>
          <w:b/>
          <w:bCs/>
          <w:u w:val="single"/>
        </w:rPr>
        <w:lastRenderedPageBreak/>
        <w:t>R</w:t>
      </w:r>
      <w:r w:rsidR="00156914" w:rsidRPr="002756B1">
        <w:rPr>
          <w:rFonts w:cstheme="minorHAnsi"/>
          <w:b/>
          <w:bCs/>
          <w:u w:val="single"/>
        </w:rPr>
        <w:t xml:space="preserve">esults </w:t>
      </w:r>
    </w:p>
    <w:p w14:paraId="0413F372" w14:textId="08BF9DBA" w:rsidR="00E35922" w:rsidRDefault="00E35922" w:rsidP="00E35922">
      <w:pPr>
        <w:spacing w:line="480" w:lineRule="auto"/>
        <w:rPr>
          <w:rFonts w:cstheme="minorHAnsi"/>
        </w:rPr>
      </w:pPr>
      <w:r w:rsidRPr="002756B1">
        <w:rPr>
          <w:rFonts w:cstheme="minorHAnsi"/>
        </w:rPr>
        <w:t>Ninety-seven patients were recruited to the study</w:t>
      </w:r>
      <w:r>
        <w:rPr>
          <w:rFonts w:cstheme="minorHAnsi"/>
        </w:rPr>
        <w:t xml:space="preserve"> with 146 independent visits</w:t>
      </w:r>
      <w:r w:rsidRPr="002756B1">
        <w:rPr>
          <w:rFonts w:cstheme="minorHAnsi"/>
        </w:rPr>
        <w:t xml:space="preserve">. </w:t>
      </w:r>
      <w:bookmarkStart w:id="2" w:name="_Hlk73094974"/>
      <w:bookmarkStart w:id="3" w:name="_Hlk73095318"/>
      <w:r>
        <w:rPr>
          <w:rFonts w:cstheme="minorHAnsi"/>
        </w:rPr>
        <w:t>Mean age at inclusion was 14.49 years</w:t>
      </w:r>
      <w:r w:rsidR="00295CB7">
        <w:rPr>
          <w:rFonts w:cstheme="minorHAnsi"/>
        </w:rPr>
        <w:t>, 85.6% of patients were of Caucasian ethnicity</w:t>
      </w:r>
      <w:bookmarkEnd w:id="2"/>
      <w:r w:rsidR="00295CB7">
        <w:rPr>
          <w:rFonts w:cstheme="minorHAnsi"/>
        </w:rPr>
        <w:t xml:space="preserve"> and 40 patients (41.2%) were female The median time from diagnosis to recruitment was 1.9 years</w:t>
      </w:r>
      <w:r w:rsidR="002B4873">
        <w:rPr>
          <w:rFonts w:cstheme="minorHAnsi"/>
        </w:rPr>
        <w:t xml:space="preserve"> (range 0.2-11.5 years). </w:t>
      </w:r>
      <w:bookmarkEnd w:id="3"/>
      <w:r w:rsidRPr="002756B1">
        <w:rPr>
          <w:rFonts w:cstheme="minorHAnsi"/>
        </w:rPr>
        <w:t>T</w:t>
      </w:r>
      <w:r>
        <w:rPr>
          <w:rFonts w:cstheme="minorHAnsi"/>
        </w:rPr>
        <w:t>wenty-two</w:t>
      </w:r>
      <w:r w:rsidRPr="002756B1">
        <w:rPr>
          <w:rFonts w:cstheme="minorHAnsi"/>
        </w:rPr>
        <w:t xml:space="preserve"> patients ha</w:t>
      </w:r>
      <w:r>
        <w:rPr>
          <w:rFonts w:cstheme="minorHAnsi"/>
        </w:rPr>
        <w:t>d one</w:t>
      </w:r>
      <w:r w:rsidRPr="002756B1">
        <w:rPr>
          <w:rFonts w:cstheme="minorHAnsi"/>
        </w:rPr>
        <w:t xml:space="preserve"> follow-up visit</w:t>
      </w:r>
      <w:r>
        <w:rPr>
          <w:rFonts w:cstheme="minorHAnsi"/>
        </w:rPr>
        <w:t xml:space="preserve">, </w:t>
      </w:r>
      <w:r w:rsidRPr="002756B1">
        <w:rPr>
          <w:rFonts w:cstheme="minorHAnsi"/>
        </w:rPr>
        <w:t>14 patients ha</w:t>
      </w:r>
      <w:r>
        <w:rPr>
          <w:rFonts w:cstheme="minorHAnsi"/>
        </w:rPr>
        <w:t>d</w:t>
      </w:r>
      <w:r w:rsidRPr="002756B1">
        <w:rPr>
          <w:rFonts w:cstheme="minorHAnsi"/>
        </w:rPr>
        <w:t xml:space="preserve"> two follow-up visits</w:t>
      </w:r>
      <w:r w:rsidR="000F6826">
        <w:rPr>
          <w:rFonts w:cstheme="minorHAnsi"/>
        </w:rPr>
        <w:t>, supplementary figure 1</w:t>
      </w:r>
      <w:r w:rsidR="00522EBE">
        <w:rPr>
          <w:rFonts w:cstheme="minorHAnsi"/>
        </w:rPr>
        <w:t>. T</w:t>
      </w:r>
      <w:r w:rsidRPr="002756B1">
        <w:rPr>
          <w:rFonts w:cstheme="minorHAnsi"/>
        </w:rPr>
        <w:t xml:space="preserve">he remaining 61 patients had a single study visit. Across the visits there were 140 </w:t>
      </w:r>
      <w:r>
        <w:rPr>
          <w:rFonts w:cstheme="minorHAnsi"/>
        </w:rPr>
        <w:t>BIS</w:t>
      </w:r>
      <w:r w:rsidRPr="002756B1">
        <w:rPr>
          <w:rFonts w:cstheme="minorHAnsi"/>
        </w:rPr>
        <w:t xml:space="preserve"> measurements following quality filtering</w:t>
      </w:r>
      <w:r w:rsidR="00522EBE">
        <w:rPr>
          <w:rFonts w:cstheme="minorHAnsi"/>
        </w:rPr>
        <w:t>, with 6 study visits excluded for failure of BIS (all values 0)</w:t>
      </w:r>
      <w:r w:rsidRPr="002756B1">
        <w:rPr>
          <w:rFonts w:cstheme="minorHAnsi"/>
        </w:rPr>
        <w:t xml:space="preserve">. </w:t>
      </w:r>
      <w:r>
        <w:rPr>
          <w:rFonts w:cstheme="minorHAnsi"/>
        </w:rPr>
        <w:t>Each individual BIS measurement was included in the analysis as an individual timepoint.</w:t>
      </w:r>
    </w:p>
    <w:p w14:paraId="62B87539" w14:textId="49183B8D" w:rsidR="00B664CE" w:rsidRDefault="00B664CE" w:rsidP="002C4DEF">
      <w:pPr>
        <w:spacing w:line="480" w:lineRule="auto"/>
        <w:rPr>
          <w:rFonts w:cstheme="minorHAnsi"/>
        </w:rPr>
      </w:pPr>
      <w:r>
        <w:rPr>
          <w:rFonts w:cstheme="minorHAnsi"/>
        </w:rPr>
        <w:t xml:space="preserve">Regarding </w:t>
      </w:r>
      <w:r w:rsidR="002B4873">
        <w:rPr>
          <w:rFonts w:cstheme="minorHAnsi"/>
        </w:rPr>
        <w:t>CD</w:t>
      </w:r>
      <w:r>
        <w:rPr>
          <w:rFonts w:cstheme="minorHAnsi"/>
        </w:rPr>
        <w:t>, there were 89 study visits from 6</w:t>
      </w:r>
      <w:r w:rsidR="001A7CA8">
        <w:rPr>
          <w:rFonts w:cstheme="minorHAnsi"/>
        </w:rPr>
        <w:t>1</w:t>
      </w:r>
      <w:r>
        <w:rPr>
          <w:rFonts w:cstheme="minorHAnsi"/>
        </w:rPr>
        <w:t xml:space="preserve"> patients. Anthropometry was available at 86 (96.6%) of these visits. For </w:t>
      </w:r>
      <w:r w:rsidR="002B4873">
        <w:rPr>
          <w:rFonts w:cstheme="minorHAnsi"/>
        </w:rPr>
        <w:t>UC</w:t>
      </w:r>
      <w:r>
        <w:rPr>
          <w:rFonts w:cstheme="minorHAnsi"/>
        </w:rPr>
        <w:t xml:space="preserve"> there were 46 study visits from 31 patients. Anthropometry was available at 43 (93.5%) of these visits. The remaining 5 patients had IBDU</w:t>
      </w:r>
      <w:r w:rsidR="001A7CA8">
        <w:rPr>
          <w:rFonts w:cstheme="minorHAnsi"/>
        </w:rPr>
        <w:t xml:space="preserve">, each of whom had a single study visit and 100% had anthropometric data available. </w:t>
      </w:r>
    </w:p>
    <w:p w14:paraId="5017629C" w14:textId="107B5078" w:rsidR="00954562" w:rsidRDefault="00954562" w:rsidP="002C4DEF">
      <w:pPr>
        <w:spacing w:line="480" w:lineRule="auto"/>
        <w:rPr>
          <w:rFonts w:cstheme="minorHAnsi"/>
        </w:rPr>
      </w:pPr>
      <w:r>
        <w:rPr>
          <w:rFonts w:cstheme="minorHAnsi"/>
        </w:rPr>
        <w:t>Disease activity was generally low, median disease activity index score 5 (range 0-40). Only 25 study visits (17.8%) corresponded to a disease activity score of ≥15 or more, indicating active disease</w:t>
      </w:r>
      <w:r w:rsidR="00762ED7">
        <w:rPr>
          <w:rFonts w:cstheme="minorHAnsi"/>
        </w:rPr>
        <w:t xml:space="preserve"> and only 7 study visits corresponded to a disease activity score of 30 or greater, indicating moderate-severe disease activity. </w:t>
      </w:r>
      <w:bookmarkStart w:id="4" w:name="_Hlk73094652"/>
      <w:r w:rsidR="00F83AC4">
        <w:rPr>
          <w:rFonts w:cstheme="minorHAnsi"/>
        </w:rPr>
        <w:t xml:space="preserve">Only </w:t>
      </w:r>
      <w:r w:rsidR="00295CB7">
        <w:rPr>
          <w:rFonts w:cstheme="minorHAnsi"/>
        </w:rPr>
        <w:t>5</w:t>
      </w:r>
      <w:r w:rsidR="00F83AC4">
        <w:rPr>
          <w:rFonts w:cstheme="minorHAnsi"/>
        </w:rPr>
        <w:t xml:space="preserve">% of visits involved patients on steroids, whereas </w:t>
      </w:r>
      <w:r w:rsidR="00295CB7">
        <w:rPr>
          <w:rFonts w:cstheme="minorHAnsi"/>
        </w:rPr>
        <w:t xml:space="preserve">67.9% of visits had patients on thiopurines and 35% had patients on anti-TNF therapy (infliximab or adalimumab). </w:t>
      </w:r>
      <w:bookmarkEnd w:id="4"/>
    </w:p>
    <w:p w14:paraId="5254698E" w14:textId="5FDB7966" w:rsidR="00156914" w:rsidRPr="002756B1" w:rsidRDefault="00B664CE" w:rsidP="002C4DEF">
      <w:pPr>
        <w:spacing w:line="480" w:lineRule="auto"/>
        <w:rPr>
          <w:rFonts w:cstheme="minorHAnsi"/>
          <w:u w:val="single"/>
        </w:rPr>
      </w:pPr>
      <w:r>
        <w:rPr>
          <w:rFonts w:cstheme="minorHAnsi"/>
          <w:u w:val="single"/>
        </w:rPr>
        <w:t>A</w:t>
      </w:r>
      <w:r w:rsidR="00174E92" w:rsidRPr="002756B1">
        <w:rPr>
          <w:rFonts w:cstheme="minorHAnsi"/>
          <w:u w:val="single"/>
        </w:rPr>
        <w:t>nthropometry across cohort</w:t>
      </w:r>
    </w:p>
    <w:p w14:paraId="6E3EEFB8" w14:textId="7D35F1FD" w:rsidR="002B2798" w:rsidRPr="005C085D" w:rsidRDefault="00F73807" w:rsidP="002B2798">
      <w:pPr>
        <w:spacing w:line="480" w:lineRule="auto"/>
        <w:rPr>
          <w:rFonts w:cstheme="minorHAnsi"/>
        </w:rPr>
      </w:pPr>
      <w:r>
        <w:rPr>
          <w:rFonts w:cstheme="minorHAnsi"/>
        </w:rPr>
        <w:t xml:space="preserve">Considering all study visits across the cohort, the mean BMIZ was 0.34 (range -2.97 to 3.99). </w:t>
      </w:r>
      <w:r w:rsidR="002B2798" w:rsidRPr="005C085D">
        <w:rPr>
          <w:rFonts w:cstheme="minorHAnsi"/>
        </w:rPr>
        <w:t xml:space="preserve">Mean BMIZ in </w:t>
      </w:r>
      <w:r w:rsidR="002B4873">
        <w:rPr>
          <w:rFonts w:cstheme="minorHAnsi"/>
        </w:rPr>
        <w:t>CD</w:t>
      </w:r>
      <w:r w:rsidR="002B2798">
        <w:rPr>
          <w:rFonts w:cstheme="minorHAnsi"/>
        </w:rPr>
        <w:t xml:space="preserve"> was 0.14, compared to 0.68 for </w:t>
      </w:r>
      <w:r w:rsidR="002B4873">
        <w:rPr>
          <w:rFonts w:cstheme="minorHAnsi"/>
        </w:rPr>
        <w:t>UC</w:t>
      </w:r>
      <w:r w:rsidR="002B2798">
        <w:rPr>
          <w:rFonts w:cstheme="minorHAnsi"/>
        </w:rPr>
        <w:t xml:space="preserve"> patients, p=0</w:t>
      </w:r>
      <w:r w:rsidR="002B2798" w:rsidRPr="005C085D">
        <w:rPr>
          <w:rFonts w:cstheme="minorHAnsi"/>
        </w:rPr>
        <w:t>.007</w:t>
      </w:r>
      <w:r w:rsidR="002B2798">
        <w:rPr>
          <w:rFonts w:cstheme="minorHAnsi"/>
        </w:rPr>
        <w:t xml:space="preserve">. Histograms were constructed to view the distribution of BMIZ across the entire cohort, and individually for </w:t>
      </w:r>
      <w:r w:rsidR="002B4873">
        <w:rPr>
          <w:rFonts w:cstheme="minorHAnsi"/>
        </w:rPr>
        <w:t>CD</w:t>
      </w:r>
      <w:r w:rsidR="002B2798">
        <w:rPr>
          <w:rFonts w:cstheme="minorHAnsi"/>
        </w:rPr>
        <w:t xml:space="preserve">and </w:t>
      </w:r>
      <w:r w:rsidR="002B4873">
        <w:rPr>
          <w:rFonts w:cstheme="minorHAnsi"/>
        </w:rPr>
        <w:t>UC</w:t>
      </w:r>
      <w:r w:rsidR="002370A9">
        <w:rPr>
          <w:rFonts w:cstheme="minorHAnsi"/>
        </w:rPr>
        <w:t>, figure 1</w:t>
      </w:r>
      <w:r w:rsidR="002B2798">
        <w:rPr>
          <w:rFonts w:cstheme="minorHAnsi"/>
        </w:rPr>
        <w:t>.</w:t>
      </w:r>
      <w:r w:rsidR="00A26755">
        <w:rPr>
          <w:rFonts w:cstheme="minorHAnsi"/>
        </w:rPr>
        <w:t xml:space="preserve"> BMI, height and weight Z-scores are available in supplementary data 1. </w:t>
      </w:r>
    </w:p>
    <w:p w14:paraId="66FB0B08" w14:textId="0A7D8AC1" w:rsidR="00F73807" w:rsidRDefault="00F73807" w:rsidP="005C085D">
      <w:pPr>
        <w:spacing w:line="480" w:lineRule="auto"/>
        <w:rPr>
          <w:rFonts w:cstheme="minorHAnsi"/>
        </w:rPr>
      </w:pPr>
      <w:r>
        <w:rPr>
          <w:rFonts w:cstheme="minorHAnsi"/>
        </w:rPr>
        <w:t xml:space="preserve">Considering individual </w:t>
      </w:r>
      <w:r w:rsidR="002B2798">
        <w:rPr>
          <w:rFonts w:cstheme="minorHAnsi"/>
        </w:rPr>
        <w:t>patients</w:t>
      </w:r>
      <w:r w:rsidR="001F5287">
        <w:rPr>
          <w:rFonts w:cstheme="minorHAnsi"/>
        </w:rPr>
        <w:t xml:space="preserve"> at the initial study visit only (94 patients had available data)</w:t>
      </w:r>
      <w:r w:rsidR="002B2798">
        <w:rPr>
          <w:rFonts w:cstheme="minorHAnsi"/>
        </w:rPr>
        <w:t>, the mean BMIZ was 0.31 (range -2.97 to 3.99). Seven</w:t>
      </w:r>
      <w:r>
        <w:rPr>
          <w:rFonts w:cstheme="minorHAnsi"/>
        </w:rPr>
        <w:t xml:space="preserve"> patients (7.</w:t>
      </w:r>
      <w:r w:rsidR="001F5287">
        <w:rPr>
          <w:rFonts w:cstheme="minorHAnsi"/>
        </w:rPr>
        <w:t>5</w:t>
      </w:r>
      <w:r>
        <w:rPr>
          <w:rFonts w:cstheme="minorHAnsi"/>
        </w:rPr>
        <w:t>%) had a BMIZ &gt;2 and 2</w:t>
      </w:r>
      <w:r w:rsidR="00ED43DC">
        <w:rPr>
          <w:rFonts w:cstheme="minorHAnsi"/>
        </w:rPr>
        <w:t>4</w:t>
      </w:r>
      <w:r>
        <w:rPr>
          <w:rFonts w:cstheme="minorHAnsi"/>
        </w:rPr>
        <w:t xml:space="preserve"> patients </w:t>
      </w:r>
      <w:r>
        <w:rPr>
          <w:rFonts w:cstheme="minorHAnsi"/>
        </w:rPr>
        <w:lastRenderedPageBreak/>
        <w:t>(2</w:t>
      </w:r>
      <w:r w:rsidR="001F5287">
        <w:rPr>
          <w:rFonts w:cstheme="minorHAnsi"/>
        </w:rPr>
        <w:t>5.5</w:t>
      </w:r>
      <w:r>
        <w:rPr>
          <w:rFonts w:cstheme="minorHAnsi"/>
        </w:rPr>
        <w:t>%) had a BMIZ between 1 and 2. In contrast, 5 patients (5.</w:t>
      </w:r>
      <w:r w:rsidR="001F5287">
        <w:rPr>
          <w:rFonts w:cstheme="minorHAnsi"/>
        </w:rPr>
        <w:t>3</w:t>
      </w:r>
      <w:r>
        <w:rPr>
          <w:rFonts w:cstheme="minorHAnsi"/>
        </w:rPr>
        <w:t xml:space="preserve">%) had a BMIZ &lt;-2 and </w:t>
      </w:r>
      <w:r w:rsidR="0027263A">
        <w:rPr>
          <w:rFonts w:cstheme="minorHAnsi"/>
        </w:rPr>
        <w:t>8</w:t>
      </w:r>
      <w:r>
        <w:rPr>
          <w:rFonts w:cstheme="minorHAnsi"/>
        </w:rPr>
        <w:t xml:space="preserve"> patients (</w:t>
      </w:r>
      <w:r w:rsidR="0027263A">
        <w:rPr>
          <w:rFonts w:cstheme="minorHAnsi"/>
        </w:rPr>
        <w:t>8</w:t>
      </w:r>
      <w:r>
        <w:rPr>
          <w:rFonts w:cstheme="minorHAnsi"/>
        </w:rPr>
        <w:t>.</w:t>
      </w:r>
      <w:r w:rsidR="001F5287">
        <w:rPr>
          <w:rFonts w:cstheme="minorHAnsi"/>
        </w:rPr>
        <w:t>5</w:t>
      </w:r>
      <w:r>
        <w:rPr>
          <w:rFonts w:cstheme="minorHAnsi"/>
        </w:rPr>
        <w:t>%) had a BMIZ between -1 and -2.</w:t>
      </w:r>
      <w:r w:rsidR="002B2798">
        <w:rPr>
          <w:rFonts w:cstheme="minorHAnsi"/>
        </w:rPr>
        <w:t xml:space="preserve"> </w:t>
      </w:r>
    </w:p>
    <w:p w14:paraId="4D54C464" w14:textId="398F15DA" w:rsidR="00ED43DC" w:rsidRDefault="00ED43DC" w:rsidP="005C085D">
      <w:pPr>
        <w:spacing w:line="480" w:lineRule="auto"/>
        <w:rPr>
          <w:rFonts w:cstheme="minorHAnsi"/>
        </w:rPr>
      </w:pPr>
      <w:r>
        <w:rPr>
          <w:rFonts w:cstheme="minorHAnsi"/>
        </w:rPr>
        <w:t>In the BM</w:t>
      </w:r>
      <w:r w:rsidR="002B4873">
        <w:rPr>
          <w:rFonts w:cstheme="minorHAnsi"/>
        </w:rPr>
        <w:t>I</w:t>
      </w:r>
      <w:r>
        <w:rPr>
          <w:rFonts w:cstheme="minorHAnsi"/>
        </w:rPr>
        <w:t>Z &gt;1</w:t>
      </w:r>
      <w:r w:rsidR="00E35922">
        <w:rPr>
          <w:rFonts w:cstheme="minorHAnsi"/>
        </w:rPr>
        <w:t xml:space="preserve"> group</w:t>
      </w:r>
      <w:r>
        <w:rPr>
          <w:rFonts w:cstheme="minorHAnsi"/>
        </w:rPr>
        <w:t>, 19 patient</w:t>
      </w:r>
      <w:r w:rsidR="0027263A">
        <w:rPr>
          <w:rFonts w:cstheme="minorHAnsi"/>
        </w:rPr>
        <w:t>s</w:t>
      </w:r>
      <w:r>
        <w:rPr>
          <w:rFonts w:cstheme="minorHAnsi"/>
        </w:rPr>
        <w:t xml:space="preserve"> had </w:t>
      </w:r>
      <w:r w:rsidR="002B4873">
        <w:rPr>
          <w:rFonts w:cstheme="minorHAnsi"/>
        </w:rPr>
        <w:t>CD</w:t>
      </w:r>
      <w:r w:rsidR="0027263A">
        <w:rPr>
          <w:rFonts w:cstheme="minorHAnsi"/>
        </w:rPr>
        <w:t xml:space="preserve">, 10 had </w:t>
      </w:r>
      <w:r w:rsidR="002B4873">
        <w:rPr>
          <w:rFonts w:cstheme="minorHAnsi"/>
        </w:rPr>
        <w:t>UC</w:t>
      </w:r>
      <w:r w:rsidR="0027263A">
        <w:rPr>
          <w:rFonts w:cstheme="minorHAnsi"/>
        </w:rPr>
        <w:t xml:space="preserve"> and 2 had IBDU. Comparing the expected number of patients in this group to the overall cohort did not show that a specific disease subtype was overrepresented in the overweight group, p</w:t>
      </w:r>
      <w:r>
        <w:rPr>
          <w:rFonts w:cstheme="minorHAnsi"/>
        </w:rPr>
        <w:t>=0.82</w:t>
      </w:r>
      <w:r w:rsidR="0027263A">
        <w:rPr>
          <w:rFonts w:cstheme="minorHAnsi"/>
        </w:rPr>
        <w:t>. In the BMIZ &lt;-1</w:t>
      </w:r>
      <w:r w:rsidR="00E35922">
        <w:rPr>
          <w:rFonts w:cstheme="minorHAnsi"/>
        </w:rPr>
        <w:t xml:space="preserve"> group</w:t>
      </w:r>
      <w:r w:rsidR="0027263A">
        <w:rPr>
          <w:rFonts w:cstheme="minorHAnsi"/>
        </w:rPr>
        <w:t xml:space="preserve">, 11 patients had </w:t>
      </w:r>
      <w:r w:rsidR="002B4873">
        <w:rPr>
          <w:rFonts w:cstheme="minorHAnsi"/>
        </w:rPr>
        <w:t>CD</w:t>
      </w:r>
      <w:r w:rsidR="0027263A">
        <w:rPr>
          <w:rFonts w:cstheme="minorHAnsi"/>
        </w:rPr>
        <w:t xml:space="preserve"> and 2 had </w:t>
      </w:r>
      <w:r w:rsidR="002B4873">
        <w:rPr>
          <w:rFonts w:cstheme="minorHAnsi"/>
        </w:rPr>
        <w:t>UC</w:t>
      </w:r>
      <w:r w:rsidR="0027263A">
        <w:rPr>
          <w:rFonts w:cstheme="minorHAnsi"/>
        </w:rPr>
        <w:t>, again compared to the overall cohort no disease subtype was significantly overrepresented in the underweight group, p=0.15.</w:t>
      </w:r>
    </w:p>
    <w:p w14:paraId="640415B4" w14:textId="40309424" w:rsidR="00F6583D" w:rsidRPr="002756B1" w:rsidRDefault="00F6583D" w:rsidP="002C4DEF">
      <w:pPr>
        <w:spacing w:line="480" w:lineRule="auto"/>
        <w:rPr>
          <w:rFonts w:cstheme="minorHAnsi"/>
          <w:u w:val="single"/>
        </w:rPr>
      </w:pPr>
      <w:r w:rsidRPr="002756B1">
        <w:rPr>
          <w:rFonts w:cstheme="minorHAnsi"/>
          <w:u w:val="single"/>
        </w:rPr>
        <w:t>Phase angle</w:t>
      </w:r>
      <w:r w:rsidR="00922D5D">
        <w:rPr>
          <w:rFonts w:cstheme="minorHAnsi"/>
          <w:u w:val="single"/>
        </w:rPr>
        <w:t xml:space="preserve"> 50KhZ</w:t>
      </w:r>
      <w:r w:rsidRPr="002756B1">
        <w:rPr>
          <w:rFonts w:cstheme="minorHAnsi"/>
          <w:u w:val="single"/>
        </w:rPr>
        <w:t xml:space="preserve"> is not related to BMI Z-score or disease activity</w:t>
      </w:r>
    </w:p>
    <w:p w14:paraId="52B40F85" w14:textId="29448B69" w:rsidR="00F6583D" w:rsidRPr="009B6CC1" w:rsidRDefault="009B6CC1" w:rsidP="002C4DEF">
      <w:pPr>
        <w:spacing w:line="480" w:lineRule="auto"/>
        <w:rPr>
          <w:rFonts w:cstheme="minorHAnsi"/>
        </w:rPr>
      </w:pPr>
      <w:r>
        <w:rPr>
          <w:rFonts w:cstheme="minorHAnsi"/>
        </w:rPr>
        <w:t>PA</w:t>
      </w:r>
      <w:r w:rsidR="00922D5D">
        <w:rPr>
          <w:rFonts w:cstheme="minorHAnsi"/>
        </w:rPr>
        <w:t xml:space="preserve">-50KHz </w:t>
      </w:r>
      <w:r>
        <w:rPr>
          <w:rFonts w:cstheme="minorHAnsi"/>
        </w:rPr>
        <w:t xml:space="preserve">data were </w:t>
      </w:r>
      <w:r w:rsidR="00922D5D">
        <w:rPr>
          <w:rFonts w:cstheme="minorHAnsi"/>
        </w:rPr>
        <w:t xml:space="preserve">correlated with disease activity (PCDAI or PUCAI) and BMIZ. There was no significant correlation between either disease activity, Pearson correlation coefficient (PCC) </w:t>
      </w:r>
      <w:r w:rsidR="00C53B96">
        <w:rPr>
          <w:rFonts w:cstheme="minorHAnsi"/>
        </w:rPr>
        <w:t>r</w:t>
      </w:r>
      <w:r w:rsidR="00C53B96">
        <w:rPr>
          <w:rFonts w:cstheme="minorHAnsi"/>
          <w:vertAlign w:val="superscript"/>
        </w:rPr>
        <w:t>2</w:t>
      </w:r>
      <w:r w:rsidR="00C53B96">
        <w:rPr>
          <w:rFonts w:cstheme="minorHAnsi"/>
        </w:rPr>
        <w:t>=</w:t>
      </w:r>
      <w:r w:rsidR="00922D5D">
        <w:rPr>
          <w:rFonts w:cstheme="minorHAnsi"/>
        </w:rPr>
        <w:t xml:space="preserve">0.086, p=0.32, or BMIZ score, PCC </w:t>
      </w:r>
      <w:r w:rsidR="00C53B96">
        <w:rPr>
          <w:rFonts w:cstheme="minorHAnsi"/>
        </w:rPr>
        <w:t>r</w:t>
      </w:r>
      <w:r w:rsidR="00C53B96">
        <w:rPr>
          <w:rFonts w:cstheme="minorHAnsi"/>
          <w:vertAlign w:val="superscript"/>
        </w:rPr>
        <w:t>2</w:t>
      </w:r>
      <w:r w:rsidR="00C53B96">
        <w:rPr>
          <w:rFonts w:cstheme="minorHAnsi"/>
        </w:rPr>
        <w:t>=</w:t>
      </w:r>
      <w:r w:rsidR="00922D5D">
        <w:rPr>
          <w:rFonts w:cstheme="minorHAnsi"/>
        </w:rPr>
        <w:t>0.02, p=0.7</w:t>
      </w:r>
      <w:r w:rsidR="00C53B96">
        <w:rPr>
          <w:rFonts w:cstheme="minorHAnsi"/>
        </w:rPr>
        <w:t>8</w:t>
      </w:r>
      <w:r w:rsidR="00922D5D">
        <w:rPr>
          <w:rFonts w:cstheme="minorHAnsi"/>
        </w:rPr>
        <w:t xml:space="preserve">. </w:t>
      </w:r>
      <w:r w:rsidR="00A26755">
        <w:rPr>
          <w:rFonts w:cstheme="minorHAnsi"/>
        </w:rPr>
        <w:t xml:space="preserve">All phase angle measures are available in supplementary data 2. </w:t>
      </w:r>
    </w:p>
    <w:p w14:paraId="65BFAD35" w14:textId="41462BA7" w:rsidR="00891BE4" w:rsidRPr="002756B1" w:rsidRDefault="00891BE4" w:rsidP="00891BE4">
      <w:pPr>
        <w:spacing w:line="480" w:lineRule="auto"/>
        <w:rPr>
          <w:rFonts w:cstheme="minorHAnsi"/>
          <w:u w:val="single"/>
        </w:rPr>
      </w:pPr>
      <w:r>
        <w:rPr>
          <w:rFonts w:cstheme="minorHAnsi"/>
          <w:u w:val="single"/>
        </w:rPr>
        <w:t xml:space="preserve">Phase angle 50KHz is </w:t>
      </w:r>
      <w:r w:rsidRPr="002756B1">
        <w:rPr>
          <w:rFonts w:cstheme="minorHAnsi"/>
          <w:u w:val="single"/>
        </w:rPr>
        <w:t xml:space="preserve">not predictive of disease activity </w:t>
      </w:r>
      <w:r>
        <w:rPr>
          <w:rFonts w:cstheme="minorHAnsi"/>
          <w:u w:val="single"/>
        </w:rPr>
        <w:t>in a m</w:t>
      </w:r>
      <w:r w:rsidRPr="002756B1">
        <w:rPr>
          <w:rFonts w:cstheme="minorHAnsi"/>
          <w:u w:val="single"/>
        </w:rPr>
        <w:t>ultivariable linear regression</w:t>
      </w:r>
    </w:p>
    <w:p w14:paraId="03631429" w14:textId="3C058F3E" w:rsidR="00E442B3" w:rsidRPr="00922D5D" w:rsidRDefault="00891BE4" w:rsidP="00891BE4">
      <w:pPr>
        <w:spacing w:line="480" w:lineRule="auto"/>
        <w:rPr>
          <w:rFonts w:cstheme="minorHAnsi"/>
        </w:rPr>
      </w:pPr>
      <w:r w:rsidRPr="00922D5D">
        <w:rPr>
          <w:rFonts w:cstheme="minorHAnsi"/>
        </w:rPr>
        <w:t xml:space="preserve">To account for confounding variables </w:t>
      </w:r>
      <w:r w:rsidR="00E442B3">
        <w:rPr>
          <w:rFonts w:cstheme="minorHAnsi"/>
        </w:rPr>
        <w:t>two</w:t>
      </w:r>
      <w:r>
        <w:rPr>
          <w:rFonts w:cstheme="minorHAnsi"/>
        </w:rPr>
        <w:t xml:space="preserve"> linear regression models were performed, for disease activity and BMIZ. There were no significant independent variables </w:t>
      </w:r>
      <w:r w:rsidR="00E442B3">
        <w:rPr>
          <w:rFonts w:cstheme="minorHAnsi"/>
        </w:rPr>
        <w:t xml:space="preserve">associated with disease activity, table 1. Disease subtype was associated with BMIZ, indicating </w:t>
      </w:r>
      <w:r w:rsidR="002B4873">
        <w:rPr>
          <w:rFonts w:cstheme="minorHAnsi"/>
        </w:rPr>
        <w:t>CD</w:t>
      </w:r>
      <w:r w:rsidR="00E442B3">
        <w:rPr>
          <w:rFonts w:cstheme="minorHAnsi"/>
        </w:rPr>
        <w:t xml:space="preserve"> patients had a lower BMIZ, as expected from anthropometric data above but PA-50 was not associated with BMIZ, table 2</w:t>
      </w:r>
      <w:r w:rsidR="00A26755">
        <w:rPr>
          <w:rFonts w:cstheme="minorHAnsi"/>
        </w:rPr>
        <w:t>.</w:t>
      </w:r>
      <w:r w:rsidR="00E442B3">
        <w:rPr>
          <w:rFonts w:cstheme="minorHAnsi"/>
        </w:rPr>
        <w:t xml:space="preserve"> </w:t>
      </w:r>
    </w:p>
    <w:p w14:paraId="70DC7BFD" w14:textId="60C4415F" w:rsidR="002E5A1A" w:rsidRPr="002756B1" w:rsidRDefault="00F6583D" w:rsidP="002C4DEF">
      <w:pPr>
        <w:spacing w:line="480" w:lineRule="auto"/>
        <w:rPr>
          <w:rFonts w:cstheme="minorHAnsi"/>
          <w:u w:val="single"/>
        </w:rPr>
      </w:pPr>
      <w:r w:rsidRPr="002756B1">
        <w:rPr>
          <w:rFonts w:cstheme="minorHAnsi"/>
          <w:u w:val="single"/>
        </w:rPr>
        <w:t>Impedance ratio negatively correlates with BMI Z-score, but not disease activity</w:t>
      </w:r>
    </w:p>
    <w:p w14:paraId="640CD478" w14:textId="631C7538" w:rsidR="00F6583D" w:rsidRPr="00922D5D" w:rsidRDefault="00922D5D" w:rsidP="002C4DEF">
      <w:pPr>
        <w:spacing w:line="480" w:lineRule="auto"/>
        <w:rPr>
          <w:rFonts w:cstheme="minorHAnsi"/>
        </w:rPr>
      </w:pPr>
      <w:r>
        <w:rPr>
          <w:rFonts w:cstheme="minorHAnsi"/>
        </w:rPr>
        <w:t xml:space="preserve">The IR did not correlate with disease activity, PCC </w:t>
      </w:r>
      <w:r w:rsidR="00C53B96">
        <w:rPr>
          <w:rFonts w:cstheme="minorHAnsi"/>
        </w:rPr>
        <w:t>r</w:t>
      </w:r>
      <w:r w:rsidR="00C53B96">
        <w:rPr>
          <w:rFonts w:cstheme="minorHAnsi"/>
          <w:vertAlign w:val="superscript"/>
        </w:rPr>
        <w:t>2</w:t>
      </w:r>
      <w:r w:rsidR="00C53B96">
        <w:rPr>
          <w:rFonts w:cstheme="minorHAnsi"/>
        </w:rPr>
        <w:t>=</w:t>
      </w:r>
      <w:r>
        <w:rPr>
          <w:rFonts w:cstheme="minorHAnsi"/>
        </w:rPr>
        <w:t>0.0</w:t>
      </w:r>
      <w:r w:rsidR="00C53B96">
        <w:rPr>
          <w:rFonts w:cstheme="minorHAnsi"/>
        </w:rPr>
        <w:t>2</w:t>
      </w:r>
      <w:r>
        <w:rPr>
          <w:rFonts w:cstheme="minorHAnsi"/>
        </w:rPr>
        <w:t>, p=0.8</w:t>
      </w:r>
      <w:r w:rsidR="00C53B96">
        <w:rPr>
          <w:rFonts w:cstheme="minorHAnsi"/>
        </w:rPr>
        <w:t>4</w:t>
      </w:r>
      <w:r>
        <w:rPr>
          <w:rFonts w:cstheme="minorHAnsi"/>
        </w:rPr>
        <w:t xml:space="preserve">. </w:t>
      </w:r>
      <w:r w:rsidR="00E442B3">
        <w:rPr>
          <w:rFonts w:cstheme="minorHAnsi"/>
        </w:rPr>
        <w:t>T</w:t>
      </w:r>
      <w:r>
        <w:rPr>
          <w:rFonts w:cstheme="minorHAnsi"/>
        </w:rPr>
        <w:t xml:space="preserve">here was a significant negative relationship between IR and BMIZ, PCC </w:t>
      </w:r>
      <w:r w:rsidR="00C53B96">
        <w:rPr>
          <w:rFonts w:cstheme="minorHAnsi"/>
        </w:rPr>
        <w:t>r</w:t>
      </w:r>
      <w:r w:rsidR="00C53B96">
        <w:rPr>
          <w:rFonts w:cstheme="minorHAnsi"/>
          <w:vertAlign w:val="superscript"/>
        </w:rPr>
        <w:t>2</w:t>
      </w:r>
      <w:r w:rsidR="00C53B96">
        <w:rPr>
          <w:rFonts w:cstheme="minorHAnsi"/>
        </w:rPr>
        <w:t>=</w:t>
      </w:r>
      <w:r>
        <w:rPr>
          <w:rFonts w:cstheme="minorHAnsi"/>
        </w:rPr>
        <w:t xml:space="preserve">-0.19, p=0.02, indicating those with </w:t>
      </w:r>
      <w:r w:rsidR="00891BE4">
        <w:rPr>
          <w:rFonts w:cstheme="minorHAnsi"/>
        </w:rPr>
        <w:t>lower</w:t>
      </w:r>
      <w:r>
        <w:rPr>
          <w:rFonts w:cstheme="minorHAnsi"/>
        </w:rPr>
        <w:t xml:space="preserve"> BMI had </w:t>
      </w:r>
      <w:r w:rsidR="00E35922">
        <w:rPr>
          <w:rFonts w:cstheme="minorHAnsi"/>
        </w:rPr>
        <w:t xml:space="preserve">a higher IR, potentially reflecting </w:t>
      </w:r>
      <w:r>
        <w:rPr>
          <w:rFonts w:cstheme="minorHAnsi"/>
        </w:rPr>
        <w:t>poor</w:t>
      </w:r>
      <w:r w:rsidR="00891BE4">
        <w:rPr>
          <w:rFonts w:cstheme="minorHAnsi"/>
        </w:rPr>
        <w:t>er cellular health</w:t>
      </w:r>
      <w:r>
        <w:rPr>
          <w:rFonts w:cstheme="minorHAnsi"/>
        </w:rPr>
        <w:t xml:space="preserve">. </w:t>
      </w:r>
    </w:p>
    <w:p w14:paraId="456C8B76" w14:textId="737B85FA" w:rsidR="00F6583D" w:rsidRPr="002756B1" w:rsidRDefault="00F6583D" w:rsidP="002C4DEF">
      <w:pPr>
        <w:spacing w:line="480" w:lineRule="auto"/>
        <w:rPr>
          <w:rFonts w:cstheme="minorHAnsi"/>
          <w:u w:val="single"/>
        </w:rPr>
      </w:pPr>
      <w:r w:rsidRPr="002756B1">
        <w:rPr>
          <w:rFonts w:cstheme="minorHAnsi"/>
          <w:u w:val="single"/>
        </w:rPr>
        <w:t>Impedance ratio is negatively related to BMI Z-score in a multivariable linear regression model</w:t>
      </w:r>
    </w:p>
    <w:p w14:paraId="2B661D9D" w14:textId="43C80807" w:rsidR="00E442B3" w:rsidRPr="00922D5D" w:rsidRDefault="00E442B3" w:rsidP="00E442B3">
      <w:pPr>
        <w:spacing w:line="480" w:lineRule="auto"/>
        <w:rPr>
          <w:rFonts w:cstheme="minorHAnsi"/>
        </w:rPr>
      </w:pPr>
      <w:r>
        <w:rPr>
          <w:rFonts w:cstheme="minorHAnsi"/>
        </w:rPr>
        <w:lastRenderedPageBreak/>
        <w:t>As for PA-50, two linear regression models were performed for IR, with disease activity and BMIZ as the dependent variables. There were no significant independent variables associated with disease activity, table 3. For the BMIZ regression model, IR was negatively associated with BMIZ (</w:t>
      </w:r>
      <w:r w:rsidR="00C53B96">
        <w:rPr>
          <w:rFonts w:cstheme="minorHAnsi"/>
        </w:rPr>
        <w:t xml:space="preserve">standardised </w:t>
      </w:r>
      <w:r w:rsidRPr="00C53B96">
        <w:rPr>
          <w:rFonts w:cstheme="minorHAnsi"/>
        </w:rPr>
        <w:t>beta</w:t>
      </w:r>
      <w:r w:rsidR="00C53B96">
        <w:rPr>
          <w:rFonts w:cstheme="minorHAnsi"/>
        </w:rPr>
        <w:t>=</w:t>
      </w:r>
      <w:r w:rsidRPr="00C53B96">
        <w:rPr>
          <w:rFonts w:cstheme="minorHAnsi"/>
        </w:rPr>
        <w:t xml:space="preserve"> -0.</w:t>
      </w:r>
      <w:r w:rsidR="00C53B96">
        <w:rPr>
          <w:rFonts w:cstheme="minorHAnsi"/>
        </w:rPr>
        <w:t>33</w:t>
      </w:r>
      <w:r>
        <w:rPr>
          <w:rFonts w:cstheme="minorHAnsi"/>
        </w:rPr>
        <w:t xml:space="preserve">, p=0.001). Additionally, age was negatively correlated with BMIZ, indicating older patients were more likely to have lower BMIZ, when all dependant variables were accounted for, table 4. </w:t>
      </w:r>
    </w:p>
    <w:p w14:paraId="3FCA0E8A" w14:textId="56BDB5C4" w:rsidR="00F6583D" w:rsidRPr="002756B1" w:rsidRDefault="00F6583D" w:rsidP="002C4DEF">
      <w:pPr>
        <w:spacing w:line="480" w:lineRule="auto"/>
        <w:rPr>
          <w:rFonts w:cstheme="minorHAnsi"/>
          <w:u w:val="single"/>
        </w:rPr>
      </w:pPr>
      <w:r w:rsidRPr="002756B1">
        <w:rPr>
          <w:rFonts w:cstheme="minorHAnsi"/>
          <w:u w:val="single"/>
        </w:rPr>
        <w:t xml:space="preserve">Receiver operator curves do not identify a significant phase angle </w:t>
      </w:r>
      <w:r w:rsidR="00F66A81">
        <w:rPr>
          <w:rFonts w:cstheme="minorHAnsi"/>
          <w:u w:val="single"/>
        </w:rPr>
        <w:t xml:space="preserve">50KHz </w:t>
      </w:r>
      <w:r w:rsidRPr="002756B1">
        <w:rPr>
          <w:rFonts w:cstheme="minorHAnsi"/>
          <w:u w:val="single"/>
        </w:rPr>
        <w:t xml:space="preserve">or impedance ratio associated with biologic use or active disease. </w:t>
      </w:r>
    </w:p>
    <w:p w14:paraId="72BFC5C7" w14:textId="613A0B1B" w:rsidR="006F5580" w:rsidRPr="006F5580" w:rsidRDefault="00F66A81" w:rsidP="006F5580">
      <w:pPr>
        <w:spacing w:line="480" w:lineRule="auto"/>
        <w:rPr>
          <w:rFonts w:cstheme="minorHAnsi"/>
        </w:rPr>
      </w:pPr>
      <w:r w:rsidRPr="00F66A81">
        <w:rPr>
          <w:rFonts w:cstheme="minorHAnsi"/>
        </w:rPr>
        <w:t xml:space="preserve">For binary </w:t>
      </w:r>
      <w:r>
        <w:rPr>
          <w:rFonts w:cstheme="minorHAnsi"/>
        </w:rPr>
        <w:t>outcomes we assessed whether clinically useful cut-off values for PA-50 or IR could be determined using ROC. Biologic use</w:t>
      </w:r>
      <w:r w:rsidR="00581037">
        <w:rPr>
          <w:rFonts w:cstheme="minorHAnsi"/>
        </w:rPr>
        <w:t xml:space="preserve"> at time of measurement</w:t>
      </w:r>
      <w:r>
        <w:rPr>
          <w:rFonts w:cstheme="minorHAnsi"/>
        </w:rPr>
        <w:t xml:space="preserve">, active disease (PCDAI or PUCAI </w:t>
      </w:r>
      <w:r w:rsidR="00B61142">
        <w:rPr>
          <w:rFonts w:cstheme="minorHAnsi"/>
        </w:rPr>
        <w:t>≥15)</w:t>
      </w:r>
      <w:r w:rsidR="006F5580">
        <w:rPr>
          <w:rFonts w:cstheme="minorHAnsi"/>
        </w:rPr>
        <w:t xml:space="preserve">, </w:t>
      </w:r>
      <w:r w:rsidR="00B61142">
        <w:rPr>
          <w:rFonts w:cstheme="minorHAnsi"/>
        </w:rPr>
        <w:t xml:space="preserve">overweight (BMIZ &gt;1) </w:t>
      </w:r>
      <w:r w:rsidR="006F5580">
        <w:rPr>
          <w:rFonts w:cstheme="minorHAnsi"/>
        </w:rPr>
        <w:t xml:space="preserve">and underweight (BMIZ &lt;-1) </w:t>
      </w:r>
      <w:r w:rsidR="00B61142">
        <w:rPr>
          <w:rFonts w:cstheme="minorHAnsi"/>
        </w:rPr>
        <w:t xml:space="preserve">were assessed. Neither PA-50, nor IR, produced a significant area under the curve (AUC), preventing a useful cut-off value from being determined, figure 2. </w:t>
      </w:r>
      <w:r w:rsidR="006F5580">
        <w:rPr>
          <w:rFonts w:cstheme="minorHAnsi"/>
        </w:rPr>
        <w:t>IR AUC for BMIZ &lt;-1 was 0.6</w:t>
      </w:r>
      <w:r w:rsidR="00C53B96">
        <w:rPr>
          <w:rFonts w:cstheme="minorHAnsi"/>
        </w:rPr>
        <w:t>4</w:t>
      </w:r>
      <w:r w:rsidR="006F5580">
        <w:rPr>
          <w:rFonts w:cstheme="minorHAnsi"/>
        </w:rPr>
        <w:t xml:space="preserve"> (95% CI </w:t>
      </w:r>
      <w:r w:rsidR="006F5580" w:rsidRPr="006F5580">
        <w:rPr>
          <w:rFonts w:cstheme="minorHAnsi"/>
        </w:rPr>
        <w:t>0.50-0.7</w:t>
      </w:r>
      <w:r w:rsidR="00C53B96">
        <w:rPr>
          <w:rFonts w:cstheme="minorHAnsi"/>
        </w:rPr>
        <w:t>7</w:t>
      </w:r>
      <w:r w:rsidR="006F5580">
        <w:rPr>
          <w:rFonts w:cstheme="minorHAnsi"/>
        </w:rPr>
        <w:t xml:space="preserve">), indicating borderline significance for identifying underweight patients using IR. </w:t>
      </w:r>
    </w:p>
    <w:p w14:paraId="70F69989" w14:textId="42134B85" w:rsidR="002E5A1A" w:rsidRPr="00F66A81" w:rsidRDefault="002E5A1A" w:rsidP="002C4DEF">
      <w:pPr>
        <w:spacing w:line="480" w:lineRule="auto"/>
        <w:rPr>
          <w:rFonts w:cstheme="minorHAnsi"/>
        </w:rPr>
      </w:pPr>
    </w:p>
    <w:p w14:paraId="574DF62B" w14:textId="68F37DEA" w:rsidR="002E5A1A" w:rsidRDefault="002E5A1A" w:rsidP="002C4DEF">
      <w:pPr>
        <w:spacing w:line="480" w:lineRule="auto"/>
        <w:rPr>
          <w:rFonts w:cstheme="minorHAnsi"/>
          <w:u w:val="single"/>
        </w:rPr>
      </w:pPr>
    </w:p>
    <w:p w14:paraId="60325724" w14:textId="0645F7D1" w:rsidR="00B61142" w:rsidRDefault="00B61142" w:rsidP="002C4DEF">
      <w:pPr>
        <w:spacing w:line="480" w:lineRule="auto"/>
        <w:rPr>
          <w:rFonts w:cstheme="minorHAnsi"/>
          <w:u w:val="single"/>
        </w:rPr>
      </w:pPr>
    </w:p>
    <w:p w14:paraId="4540CA71" w14:textId="61A32FC2" w:rsidR="00B61142" w:rsidRDefault="00B61142" w:rsidP="002C4DEF">
      <w:pPr>
        <w:spacing w:line="480" w:lineRule="auto"/>
        <w:rPr>
          <w:rFonts w:cstheme="minorHAnsi"/>
          <w:u w:val="single"/>
        </w:rPr>
      </w:pPr>
    </w:p>
    <w:p w14:paraId="4C6C1618" w14:textId="699870C8" w:rsidR="00B61142" w:rsidRDefault="00B61142" w:rsidP="002C4DEF">
      <w:pPr>
        <w:spacing w:line="480" w:lineRule="auto"/>
        <w:rPr>
          <w:rFonts w:cstheme="minorHAnsi"/>
          <w:u w:val="single"/>
        </w:rPr>
      </w:pPr>
    </w:p>
    <w:p w14:paraId="182B8F3C" w14:textId="5A22BDD2" w:rsidR="00B61142" w:rsidRDefault="00B61142" w:rsidP="002C4DEF">
      <w:pPr>
        <w:spacing w:line="480" w:lineRule="auto"/>
        <w:rPr>
          <w:rFonts w:cstheme="minorHAnsi"/>
          <w:u w:val="single"/>
        </w:rPr>
      </w:pPr>
    </w:p>
    <w:p w14:paraId="01D91701" w14:textId="0054428E" w:rsidR="00B61142" w:rsidRDefault="00B61142" w:rsidP="002C4DEF">
      <w:pPr>
        <w:spacing w:line="480" w:lineRule="auto"/>
        <w:rPr>
          <w:rFonts w:cstheme="minorHAnsi"/>
          <w:u w:val="single"/>
        </w:rPr>
      </w:pPr>
    </w:p>
    <w:p w14:paraId="3B89F61D" w14:textId="36B38DAC" w:rsidR="00B61142" w:rsidRDefault="00B61142" w:rsidP="002C4DEF">
      <w:pPr>
        <w:spacing w:line="480" w:lineRule="auto"/>
        <w:rPr>
          <w:rFonts w:cstheme="minorHAnsi"/>
          <w:u w:val="single"/>
        </w:rPr>
      </w:pPr>
    </w:p>
    <w:p w14:paraId="214ED295" w14:textId="67F16276" w:rsidR="00B61142" w:rsidRDefault="00B61142" w:rsidP="002C4DEF">
      <w:pPr>
        <w:spacing w:line="480" w:lineRule="auto"/>
        <w:rPr>
          <w:rFonts w:cstheme="minorHAnsi"/>
          <w:u w:val="single"/>
        </w:rPr>
      </w:pPr>
    </w:p>
    <w:p w14:paraId="0B62400F" w14:textId="2881747C" w:rsidR="00156914" w:rsidRPr="002756B1" w:rsidRDefault="00156914" w:rsidP="00110F0C">
      <w:pPr>
        <w:spacing w:line="480" w:lineRule="auto"/>
        <w:rPr>
          <w:rFonts w:cstheme="minorHAnsi"/>
          <w:b/>
          <w:bCs/>
          <w:u w:val="single"/>
        </w:rPr>
      </w:pPr>
      <w:r w:rsidRPr="002756B1">
        <w:rPr>
          <w:rFonts w:cstheme="minorHAnsi"/>
          <w:b/>
          <w:bCs/>
          <w:u w:val="single"/>
        </w:rPr>
        <w:lastRenderedPageBreak/>
        <w:t xml:space="preserve">Discussion </w:t>
      </w:r>
    </w:p>
    <w:p w14:paraId="79ADD527" w14:textId="284F6152" w:rsidR="001435D4" w:rsidRDefault="00581037" w:rsidP="00110F0C">
      <w:pPr>
        <w:spacing w:line="480" w:lineRule="auto"/>
        <w:rPr>
          <w:rFonts w:cstheme="minorHAnsi"/>
        </w:rPr>
      </w:pPr>
      <w:r>
        <w:rPr>
          <w:rFonts w:cstheme="minorHAnsi"/>
        </w:rPr>
        <w:t xml:space="preserve">In this cohort of stable paediatric IBD patients we found no evidence of significant nutritional deficient, although a third of patients were overweight or obese. </w:t>
      </w:r>
      <w:r w:rsidR="001435D4">
        <w:rPr>
          <w:rFonts w:cstheme="minorHAnsi"/>
        </w:rPr>
        <w:t xml:space="preserve">BIS measures of PA </w:t>
      </w:r>
      <w:r w:rsidR="00E7254C">
        <w:rPr>
          <w:rFonts w:cstheme="minorHAnsi"/>
        </w:rPr>
        <w:t xml:space="preserve">and the IR </w:t>
      </w:r>
      <w:r w:rsidR="001435D4">
        <w:rPr>
          <w:rFonts w:cstheme="minorHAnsi"/>
        </w:rPr>
        <w:t xml:space="preserve">were of limited usefulness in identifying malnutrition or active disease. </w:t>
      </w:r>
      <w:r w:rsidR="00954562">
        <w:rPr>
          <w:rFonts w:cstheme="minorHAnsi"/>
        </w:rPr>
        <w:t>However, whilst</w:t>
      </w:r>
      <w:r w:rsidR="001435D4">
        <w:rPr>
          <w:rFonts w:cstheme="minorHAnsi"/>
        </w:rPr>
        <w:t xml:space="preserve"> PA</w:t>
      </w:r>
      <w:r w:rsidR="00E7254C">
        <w:rPr>
          <w:rFonts w:cstheme="minorHAnsi"/>
        </w:rPr>
        <w:t>-50</w:t>
      </w:r>
      <w:r w:rsidR="001435D4">
        <w:rPr>
          <w:rFonts w:cstheme="minorHAnsi"/>
        </w:rPr>
        <w:t xml:space="preserve"> was not significantly related to either BMIZ or disease activity index, IR was negatively associated with BMIZ, indicating that those with a higher IR were more likely to be underweight</w:t>
      </w:r>
      <w:r w:rsidR="00105FDB">
        <w:rPr>
          <w:rFonts w:cstheme="minorHAnsi"/>
        </w:rPr>
        <w:t xml:space="preserve">, however ROC analysis was unable to determine a clinically useful cut off value associated with </w:t>
      </w:r>
      <w:r>
        <w:rPr>
          <w:rFonts w:cstheme="minorHAnsi"/>
        </w:rPr>
        <w:t>under</w:t>
      </w:r>
      <w:r w:rsidR="00105FDB">
        <w:rPr>
          <w:rFonts w:cstheme="minorHAnsi"/>
        </w:rPr>
        <w:t>nutrition</w:t>
      </w:r>
      <w:r w:rsidR="001435D4">
        <w:rPr>
          <w:rFonts w:cstheme="minorHAnsi"/>
        </w:rPr>
        <w:t xml:space="preserve">. </w:t>
      </w:r>
      <w:r w:rsidR="00954562">
        <w:rPr>
          <w:rFonts w:cstheme="minorHAnsi"/>
        </w:rPr>
        <w:t>Overall, our ambulatory cohort of paediatric IBD patients was stable, with good disease control. Overweight</w:t>
      </w:r>
      <w:r>
        <w:rPr>
          <w:rFonts w:cstheme="minorHAnsi"/>
        </w:rPr>
        <w:t>/obese</w:t>
      </w:r>
      <w:r w:rsidR="00954562">
        <w:rPr>
          <w:rFonts w:cstheme="minorHAnsi"/>
        </w:rPr>
        <w:t xml:space="preserve"> patients </w:t>
      </w:r>
      <w:r w:rsidR="00A71967">
        <w:rPr>
          <w:rFonts w:cstheme="minorHAnsi"/>
        </w:rPr>
        <w:t>(31 patients, 32%), as defined by a BM</w:t>
      </w:r>
      <w:r w:rsidR="002B4873">
        <w:rPr>
          <w:rFonts w:cstheme="minorHAnsi"/>
        </w:rPr>
        <w:t>I</w:t>
      </w:r>
      <w:r w:rsidR="00A71967">
        <w:rPr>
          <w:rFonts w:cstheme="minorHAnsi"/>
        </w:rPr>
        <w:t>Z &gt;1</w:t>
      </w:r>
      <w:r w:rsidR="00105FDB">
        <w:rPr>
          <w:rFonts w:cstheme="minorHAnsi"/>
        </w:rPr>
        <w:t>,</w:t>
      </w:r>
      <w:r w:rsidR="00A71967">
        <w:rPr>
          <w:rFonts w:cstheme="minorHAnsi"/>
        </w:rPr>
        <w:t xml:space="preserve"> </w:t>
      </w:r>
      <w:r w:rsidR="00954562">
        <w:rPr>
          <w:rFonts w:cstheme="minorHAnsi"/>
        </w:rPr>
        <w:t>were more common compared to underweight patients</w:t>
      </w:r>
      <w:r w:rsidR="00A71967">
        <w:rPr>
          <w:rFonts w:cstheme="minorHAnsi"/>
        </w:rPr>
        <w:t xml:space="preserve"> (13 patients, 13.4%), BMIZ &lt;-1.</w:t>
      </w:r>
      <w:r w:rsidR="00105FDB">
        <w:rPr>
          <w:rFonts w:cstheme="minorHAnsi"/>
        </w:rPr>
        <w:t xml:space="preserve"> </w:t>
      </w:r>
      <w:r w:rsidR="00F76408">
        <w:rPr>
          <w:rFonts w:cstheme="minorHAnsi"/>
        </w:rPr>
        <w:t xml:space="preserve">This pattern remained consistent for both </w:t>
      </w:r>
      <w:r w:rsidR="002B4873">
        <w:rPr>
          <w:rFonts w:cstheme="minorHAnsi"/>
        </w:rPr>
        <w:t xml:space="preserve">CD </w:t>
      </w:r>
      <w:r w:rsidR="00F76408">
        <w:rPr>
          <w:rFonts w:cstheme="minorHAnsi"/>
        </w:rPr>
        <w:t xml:space="preserve">and </w:t>
      </w:r>
      <w:r w:rsidR="002B4873">
        <w:rPr>
          <w:rFonts w:cstheme="minorHAnsi"/>
        </w:rPr>
        <w:t>UC</w:t>
      </w:r>
      <w:r w:rsidR="00F76408">
        <w:rPr>
          <w:rFonts w:cstheme="minorHAnsi"/>
        </w:rPr>
        <w:t xml:space="preserve"> patients. </w:t>
      </w:r>
      <w:r w:rsidR="00105FDB">
        <w:rPr>
          <w:rFonts w:cstheme="minorHAnsi"/>
        </w:rPr>
        <w:t>This high prevalence of overweight patients within our ambulatory paediatric IBD cohort points towards personalised nutritional care being even more important. Obesity in IBD is associated with worse outcomes and increasingly paediatric clinical teams should be ensuring healthy eating</w:t>
      </w:r>
      <w:r w:rsidR="000D6D23">
        <w:rPr>
          <w:rFonts w:cstheme="minorHAnsi"/>
        </w:rPr>
        <w:t xml:space="preserve"> occurs</w:t>
      </w:r>
      <w:r w:rsidR="00105FDB">
        <w:rPr>
          <w:rFonts w:cstheme="minorHAnsi"/>
        </w:rPr>
        <w:t xml:space="preserve"> and avoiding routine supplementation</w:t>
      </w:r>
      <w:r w:rsidR="00105FDB">
        <w:rPr>
          <w:rFonts w:cstheme="minorHAnsi"/>
        </w:rPr>
        <w:fldChar w:fldCharType="begin" w:fldLock="1"/>
      </w:r>
      <w:r w:rsidR="00F76408">
        <w:rPr>
          <w:rFonts w:cstheme="minorHAnsi"/>
        </w:rPr>
        <w:instrText>ADDIN CSL_CITATION {"citationItems":[{"id":"ITEM-1","itemData":{"DOI":"10.1038/nrgastro.2016.181","ISSN":"1759-5053","PMID":"27899815","abstract":"Incidence of IBD is rising in parallel with overweight and obesity. Contrary to conventional belief, about 15-40% of patients with IBD are obese, which might contribute to the development of IBD. Findings from cross-sectional and retrospective cohort studies are conflicting on the effect of obesity on natural history and course of IBD. Most studies are limited by small sample size, low event rates, non-validated assessment of disease activity and lack robust longitudinal follow-up and have incomplete adjustment for confounding factors. The effect of obesity on the efficacy of IBD-related therapy remains to be studied, though data from other autoimmune diseases suggests that obesity results in suboptimal response to therapy, potentially by promoting rapid clearance of biologic agents leading to low trough concentrations. These data provide a rationale for using weight loss interventions as adjunctive therapy in patients with IBD who are obese. Obesity also makes colorectal surgery technically challenging and might increase the risk of perioperative complications. In this Review, we highlight the existing literature on the epidemiology of obesity in IBD, discuss its plausible role in disease pathogenesis and effect on disease course and treatment response, and identify high-priority areas of future research.","author":[{"dropping-particle":"","family":"Singh","given":"Siddharth","non-dropping-particle":"","parse-names":false,"suffix":""},{"dropping-particle":"","family":"Dulai","given":"Parambir S","non-dropping-particle":"","parse-names":false,"suffix":""},{"dropping-particle":"","family":"Zarrinpar","given":"Amir","non-dropping-particle":"","parse-names":false,"suffix":""},{"dropping-particle":"","family":"Ramamoorthy","given":"Sonia","non-dropping-particle":"","parse-names":false,"suffix":""},{"dropping-particle":"","family":"Sandborn","given":"William J","non-dropping-particle":"","parse-names":false,"suffix":""}],"container-title":"Nature reviews. Gastroenterology &amp; hepatology","id":"ITEM-1","issue":"2","issued":{"date-parts":[["2017"]]},"page":"110-121","publisher":"NIH Public Access","title":"Obesity in IBD: epidemiology, pathogenesis, disease course and treatment outcomes.","type":"article-journal","volume":"14"},"uris":["http://www.mendeley.com/documents/?uuid=ea79ce1f-f7c1-37ef-963c-e5c1c85916c9"]}],"mendeley":{"formattedCitation":"&lt;sup&gt;9&lt;/sup&gt;","plainTextFormattedCitation":"9","previouslyFormattedCitation":"&lt;sup&gt;9&lt;/sup&gt;"},"properties":{"noteIndex":0},"schema":"https://github.com/citation-style-language/schema/raw/master/csl-citation.json"}</w:instrText>
      </w:r>
      <w:r w:rsidR="00105FDB">
        <w:rPr>
          <w:rFonts w:cstheme="minorHAnsi"/>
        </w:rPr>
        <w:fldChar w:fldCharType="separate"/>
      </w:r>
      <w:r w:rsidR="00105FDB" w:rsidRPr="00105FDB">
        <w:rPr>
          <w:rFonts w:cstheme="minorHAnsi"/>
          <w:noProof/>
          <w:vertAlign w:val="superscript"/>
        </w:rPr>
        <w:t>9</w:t>
      </w:r>
      <w:r w:rsidR="00105FDB">
        <w:rPr>
          <w:rFonts w:cstheme="minorHAnsi"/>
        </w:rPr>
        <w:fldChar w:fldCharType="end"/>
      </w:r>
      <w:r w:rsidR="00105FDB">
        <w:rPr>
          <w:rFonts w:cstheme="minorHAnsi"/>
        </w:rPr>
        <w:t xml:space="preserve">. </w:t>
      </w:r>
      <w:r w:rsidR="00DE136A">
        <w:rPr>
          <w:rFonts w:cstheme="minorHAnsi"/>
        </w:rPr>
        <w:t xml:space="preserve">Previous data also indicates that </w:t>
      </w:r>
      <w:r w:rsidR="002B4873">
        <w:rPr>
          <w:rFonts w:cstheme="minorHAnsi"/>
        </w:rPr>
        <w:t>CD</w:t>
      </w:r>
      <w:r w:rsidR="00DE136A">
        <w:rPr>
          <w:rFonts w:cstheme="minorHAnsi"/>
        </w:rPr>
        <w:t xml:space="preserve"> patients do not have a higher resting energy expenditure when they are well, providing additional evidence that routine nutritional supplementation is not required in this group</w:t>
      </w:r>
      <w:r w:rsidR="00DE136A">
        <w:rPr>
          <w:rFonts w:cstheme="minorHAnsi"/>
        </w:rPr>
        <w:fldChar w:fldCharType="begin" w:fldLock="1"/>
      </w:r>
      <w:r w:rsidR="00D546E6">
        <w:rPr>
          <w:rFonts w:cstheme="minorHAnsi"/>
        </w:rPr>
        <w:instrText>ADDIN CSL_CITATION {"citationItems":[{"id":"ITEM-1","itemData":{"DOI":"10.1097/MPG.0b013e31816a70ed","ISSN":"1536-4801","author":[{"dropping-particle":"","family":"Wiskin","given":"A E","non-dropping-particle":"","parse-names":false,"suffix":""},{"dropping-particle":"","family":"Beattie","given":"R M","non-dropping-particle":"","parse-names":false,"suffix":""}],"container-title":"J Pediatr Gastroenterol Nutr","id":"ITEM-1","issue":"5","issued":{"date-parts":[["2008"]]},"page":"672; autor reply 672-3","title":"Energy requirements in children with inflammatory bowel disease","type":"article-journal","volume":"47"},"uris":["http://www.mendeley.com/documents/?uuid=2337faec-37d7-4209-a09a-bfc42afae675"]},{"id":"ITEM-2","itemData":{"DOI":"10.1016/j.clnu.2009.05.007","ISSN":"02615614","PMID":"19515463","abstract":"Background and aims: Exclusive enteral nutrition is used as primary therapy in Crohn's disease. Nutrition support is frequently required in children with both Crohn's disease and Ulcerative Colitis when acutely unwell and during periods of recovery. There is considerable controversy about nutritional needs during phases of active and inactive disease. It is, for example, often assumed that in acute illness a child requires increased nutritional support however the precise relationship between illness severity and energy expenditure is uncertain. This study explores the relationship between disease activity and resting energy expenditure (REE) in children with inflammatory bowel disease. Methods: Patients were recruited from the regional paediatric gastroenterology unit at Southampton University Hospitals NHS Trust. Disease activity was assessed using standard scoring systems (Paediatric Crohn's Disease Activity Index; Simple Colitis Activity Index) and biochemical markers of inflammation (C-Reactive Protein, CRP). Fat free mass was estimated from skinfold thickness and Bioelectrical Impedance Analysis. Resting energy expenditure was measured by indirect calorimetry. A logarithmic correction and a linear regression model were used for analysis of REE corrected for body size. Results: 55 children were studied; 37 (67%) with Crohn's disease and 18 (33%) with Ulcerative Colitis. Median PCDAI was 10 (range 0-60), 22 (59%) had PCDAI ≥10 (active disease). Median SCAI was 1.5 (range 0-12). Within disease groups there were strong correlations between REE/KgFFM0.52 and disease activity; PCDAI (r -0.386, p 0.018) in Crohn's disease and SCAI (r -0.456, p 0.057) in Ulcerative Colitis. In the cohort as a whole there was no increase in REE/KgFFM0.52 with increasing CRP (r 0.129, p 0.361). Using the regression model each mg/l increase in CRP was associated with a reduction in REE of nearly 1.5 kCal/day. Conclusions: We were unable to demonstrate a significant relationship between REE and disease activity in children with inflammatory bowel disease. © 2009 Elsevier Ltd and European Society for Clinical Nutrition and Metabolism.","author":[{"dropping-particle":"","family":"Wiskin","given":"Anthony E.","non-dropping-particle":"","parse-names":false,"suffix":""},{"dropping-particle":"","family":"Wootton","given":"Stephen A.","non-dropping-particle":"","parse-names":false,"suffix":""},{"dropping-particle":"","family":"Culliford","given":"David J.","non-dropping-particle":"","parse-names":false,"suffix":""},{"dropping-particle":"","family":"Afzal","given":"Nadeem A.","non-dropping-particle":"","parse-names":false,"suffix":""},{"dropping-particle":"","family":"Jackson","given":"Alan A.","non-dropping-particle":"","parse-names":false,"suffix":""},{"dropping-particle":"","family":"Beattie","given":"Robert M.","non-dropping-particle":"","parse-names":false,"suffix":""}],"container-title":"Clinical Nutrition","id":"ITEM-2","issue":"6","issued":{"date-parts":[["2009","12"]]},"page":"652-656","publisher":"Clin Nutr","title":"Impact of disease activity on resting energy expenditure in children with inflammatory bowel disease","type":"article-journal","volume":"28"},"uris":["http://www.mendeley.com/documents/?uuid=4403f767-dfa8-3f90-8444-4222d4b9f6f7"]}],"mendeley":{"formattedCitation":"&lt;sup&gt;22,23&lt;/sup&gt;","plainTextFormattedCitation":"22,23","previouslyFormattedCitation":"&lt;sup&gt;20,21&lt;/sup&gt;"},"properties":{"noteIndex":0},"schema":"https://github.com/citation-style-language/schema/raw/master/csl-citation.json"}</w:instrText>
      </w:r>
      <w:r w:rsidR="00DE136A">
        <w:rPr>
          <w:rFonts w:cstheme="minorHAnsi"/>
        </w:rPr>
        <w:fldChar w:fldCharType="separate"/>
      </w:r>
      <w:r w:rsidR="00D546E6" w:rsidRPr="00D546E6">
        <w:rPr>
          <w:rFonts w:cstheme="minorHAnsi"/>
          <w:noProof/>
          <w:vertAlign w:val="superscript"/>
        </w:rPr>
        <w:t>22,23</w:t>
      </w:r>
      <w:r w:rsidR="00DE136A">
        <w:rPr>
          <w:rFonts w:cstheme="minorHAnsi"/>
        </w:rPr>
        <w:fldChar w:fldCharType="end"/>
      </w:r>
      <w:r w:rsidR="00DE136A">
        <w:rPr>
          <w:rFonts w:cstheme="minorHAnsi"/>
        </w:rPr>
        <w:t xml:space="preserve">. </w:t>
      </w:r>
      <w:r w:rsidR="00A26755">
        <w:rPr>
          <w:rFonts w:cstheme="minorHAnsi"/>
        </w:rPr>
        <w:t xml:space="preserve">There is an increasing need to reduce the prevalence of paediatric obesity within the general childhood population, and our data highlight the need to consider those with chronic disease in this strategy. </w:t>
      </w:r>
    </w:p>
    <w:p w14:paraId="44FF7438" w14:textId="4D85BC60" w:rsidR="000D6D23" w:rsidRDefault="00105FDB" w:rsidP="00110F0C">
      <w:pPr>
        <w:spacing w:line="480" w:lineRule="auto"/>
        <w:rPr>
          <w:rFonts w:cstheme="minorHAnsi"/>
        </w:rPr>
      </w:pPr>
      <w:r>
        <w:rPr>
          <w:rFonts w:cstheme="minorHAnsi"/>
        </w:rPr>
        <w:t xml:space="preserve">Despite the propensity of patients to be overweight or have a normal BMI, we did observe a higher IR in patients with a low BMIZ. </w:t>
      </w:r>
      <w:r w:rsidR="00954562">
        <w:rPr>
          <w:rFonts w:cstheme="minorHAnsi"/>
        </w:rPr>
        <w:t>Previous data indicates a</w:t>
      </w:r>
      <w:r w:rsidR="001435D4">
        <w:rPr>
          <w:rFonts w:cstheme="minorHAnsi"/>
        </w:rPr>
        <w:t xml:space="preserve"> higher IR </w:t>
      </w:r>
      <w:r w:rsidR="00954562">
        <w:rPr>
          <w:rFonts w:cstheme="minorHAnsi"/>
        </w:rPr>
        <w:t>may be associated with</w:t>
      </w:r>
      <w:r w:rsidR="001435D4">
        <w:rPr>
          <w:rFonts w:cstheme="minorHAnsi"/>
        </w:rPr>
        <w:t xml:space="preserve"> worse cellular health and increased </w:t>
      </w:r>
      <w:r w:rsidR="003F72C9">
        <w:rPr>
          <w:rFonts w:cstheme="minorHAnsi"/>
        </w:rPr>
        <w:t>intr</w:t>
      </w:r>
      <w:r w:rsidR="001435D4">
        <w:rPr>
          <w:rFonts w:cstheme="minorHAnsi"/>
        </w:rPr>
        <w:t>acellular fluid</w:t>
      </w:r>
      <w:r w:rsidR="00954562">
        <w:rPr>
          <w:rFonts w:cstheme="minorHAnsi"/>
        </w:rPr>
        <w:fldChar w:fldCharType="begin" w:fldLock="1"/>
      </w:r>
      <w:r w:rsidR="00D546E6">
        <w:rPr>
          <w:rFonts w:cstheme="minorHAnsi"/>
        </w:rPr>
        <w:instrText>ADDIN CSL_CITATION {"citationItems":[{"id":"ITEM-1","itemData":{"DOI":"10.1109/nebc.1998.664865","abstract":"Impedance ratio is presented as an additional parameter in bioelectrical impedance measurements to ensure data reliability as well as a parameter with strong significance for the analysis of body fluid shifts.","author":[{"dropping-particle":"","family":"Lozano-Nieto","given":"A.","non-dropping-particle":"","parse-names":false,"suffix":""}],"container-title":"Bioengineering, Proceedings of the Northeast Conference","id":"ITEM-1","issued":{"date-parts":[["1998"]]},"page":"24-25","publisher":"IEEE","title":"Impedance ratio in bioelectrical impedance measurements for body fluid shift determination","type":"paper-conference"},"uris":["http://www.mendeley.com/documents/?uuid=6674e7fc-e1a0-3c7a-8d3a-7eda09eb3495"]}],"mendeley":{"formattedCitation":"&lt;sup&gt;24&lt;/sup&gt;","plainTextFormattedCitation":"24","previouslyFormattedCitation":"&lt;sup&gt;22&lt;/sup&gt;"},"properties":{"noteIndex":0},"schema":"https://github.com/citation-style-language/schema/raw/master/csl-citation.json"}</w:instrText>
      </w:r>
      <w:r w:rsidR="00954562">
        <w:rPr>
          <w:rFonts w:cstheme="minorHAnsi"/>
        </w:rPr>
        <w:fldChar w:fldCharType="separate"/>
      </w:r>
      <w:r w:rsidR="00D546E6" w:rsidRPr="00D546E6">
        <w:rPr>
          <w:rFonts w:cstheme="minorHAnsi"/>
          <w:noProof/>
          <w:vertAlign w:val="superscript"/>
        </w:rPr>
        <w:t>24</w:t>
      </w:r>
      <w:r w:rsidR="00954562">
        <w:rPr>
          <w:rFonts w:cstheme="minorHAnsi"/>
        </w:rPr>
        <w:fldChar w:fldCharType="end"/>
      </w:r>
      <w:r w:rsidR="001435D4">
        <w:rPr>
          <w:rFonts w:cstheme="minorHAnsi"/>
        </w:rPr>
        <w:t xml:space="preserve">. </w:t>
      </w:r>
      <w:r w:rsidR="00954562">
        <w:rPr>
          <w:rFonts w:cstheme="minorHAnsi"/>
        </w:rPr>
        <w:t xml:space="preserve">Studies looking at </w:t>
      </w:r>
      <w:r w:rsidR="003F72C9">
        <w:rPr>
          <w:rFonts w:cstheme="minorHAnsi"/>
        </w:rPr>
        <w:t xml:space="preserve">IR </w:t>
      </w:r>
      <w:r w:rsidR="00954562">
        <w:rPr>
          <w:rFonts w:cstheme="minorHAnsi"/>
        </w:rPr>
        <w:t xml:space="preserve">in disease have determined that higher </w:t>
      </w:r>
      <w:r w:rsidR="003F72C9">
        <w:rPr>
          <w:rFonts w:cstheme="minorHAnsi"/>
        </w:rPr>
        <w:t xml:space="preserve">values are associated with </w:t>
      </w:r>
      <w:r w:rsidR="00954562">
        <w:rPr>
          <w:rFonts w:cstheme="minorHAnsi"/>
        </w:rPr>
        <w:t xml:space="preserve">abnormal body composition such as </w:t>
      </w:r>
      <w:r w:rsidR="003F72C9">
        <w:rPr>
          <w:rFonts w:cstheme="minorHAnsi"/>
        </w:rPr>
        <w:t>lymphoedema in breast cancer patients</w:t>
      </w:r>
      <w:r w:rsidR="00954562">
        <w:rPr>
          <w:rFonts w:cstheme="minorHAnsi"/>
        </w:rPr>
        <w:t>,</w:t>
      </w:r>
      <w:r w:rsidR="003F72C9">
        <w:rPr>
          <w:rFonts w:cstheme="minorHAnsi"/>
        </w:rPr>
        <w:t xml:space="preserve"> and</w:t>
      </w:r>
      <w:r w:rsidR="00954562">
        <w:rPr>
          <w:rFonts w:cstheme="minorHAnsi"/>
        </w:rPr>
        <w:t xml:space="preserve"> increased all-cause mortality in patients with chronic obstructive pulmonary disease</w:t>
      </w:r>
      <w:r w:rsidR="00D546E6">
        <w:rPr>
          <w:rFonts w:cstheme="minorHAnsi"/>
        </w:rPr>
        <w:t>, although in patients with gastrointestinal malignancies the converse is true</w:t>
      </w:r>
      <w:r w:rsidR="003F72C9">
        <w:rPr>
          <w:rFonts w:cstheme="minorHAnsi"/>
        </w:rPr>
        <w:fldChar w:fldCharType="begin" w:fldLock="1"/>
      </w:r>
      <w:r w:rsidR="00D546E6">
        <w:rPr>
          <w:rFonts w:cstheme="minorHAnsi"/>
        </w:rPr>
        <w:instrText>ADDIN CSL_CITATION {"citationItems":[{"id":"ITEM-1","itemData":{"DOI":"10.1089/lrb.2010.0014","ISSN":"15396851","PMID":"21417767","abstract":"Background: Breast cancer-related lymphedema in the arm is commonly detected by bioelectrical impedance spectroscopy as an increased inter-arm impedance ratio due to the presence of excess lymph in the at-risk arm relative to that of the unaffected arm. The presence of lymphedema is determined by a value of this ratio greater than the mean ratio, plus three standard deviations observed in a comparable healthy population. This threshold value has not been established using the measurement protocols in current practice. The aim of the present study was to determine the reference range of the inter-arm impedance ratio to allow a cut-off value to be established as a criterion for the detection of breast cancer-related lymphedema. Methods: The mean and variation (3 SD) of the inter-arm impedance ratio for the arms of 172 healthy female control participants were determined from an accumulated database of impedance data obtained using present generation impedance instrumentation and methodology. This reference range and threshold value was compared to the original threshold ratio determined a decade ago but still in current use. Results: The presence of lymphedema is indicated when the impedance ratio exceeded 1.106 when the nondominant limb is at risk, and 1.134 when the dominant limb is at risk compared with the currently used values of 1.066 and 1.139, respectively. Although the difference in these values was statistically significant, this difference was determined to be of minor importance to clinical practice. Conclusions: The impedance ratio thresholds for early detection of lymphedema remain suitable for clinical use with present day bioimpedance spectroscopy analyzers and measurement protocols. © Copyright 2011, Mary Ann Liebert, Inc.","author":[{"dropping-particle":"","family":"Ward","given":"L. C.","non-dropping-particle":"","parse-names":false,"suffix":""},{"dropping-particle":"","family":"Dylke","given":"E.","non-dropping-particle":"","parse-names":false,"suffix":""},{"dropping-particle":"","family":"Czerniec","given":"S.","non-dropping-particle":"","parse-names":false,"suffix":""},{"dropping-particle":"","family":"Isenring","given":"E.","non-dropping-particle":"","parse-names":false,"suffix":""},{"dropping-particle":"","family":"Kilbreath","given":"S. L.","non-dropping-particle":"","parse-names":false,"suffix":""}],"container-title":"Lymphatic Research and Biology","id":"ITEM-1","issue":"1","issued":{"date-parts":[["2011","3","1"]]},"page":"47-51","publisher":" Mary Ann Liebert, Inc.  140 Huguenot Street, 3rd Floor New Rochelle, NY 10801 USA  ","title":"Confirmation of the reference impedance ratios used for assessment of breast cancer-related lymphedema by bioelectrical impedance spectroscopy","type":"article-journal","volume":"9"},"uris":["http://www.mendeley.com/documents/?uuid=3a44f88c-66fb-31c9-93ac-904b567ca6e6"]},{"id":"ITEM-2","itemData":{"DOI":"10.1016/j.chest.2019.01.001","ISSN":"19313543","PMID":"30659818","abstract":"Background: Bioelectrical impedance analysis (BIA) is a valuable method for estimating fat-free mass and fat mass in patients with COPD by using specific predictive equations. In addition, raw BIA variables such as high- to low-frequency impedance ratios (IRs) and phase angle, most likely as a result of providing information on muscle quality, have been related to disease severity and mortality in patients with several diseases but never in COPD. The aim of this study was to investigate the predictive role of raw BIA variables on 2-year survival in COPD. Methods: Impedance (Z) at 5-10-50-100-250 kHz and phase angle at 50 kHz were determined in 210 patients with COPD. Three IRs were calculated: Z at 50 kHz/Z at 5 kHz (50/5 IR), Z at 100 kHz/Z at 5 kHz (100/5 IR), and Z at 250 kHz/Z at 5 kHz (250/5 IR). Demographic, respiratory, and body composition data at baseline were recorded. All-cause mortality was assessed during 2 years of follow-up. Results: After the follow-up period, all-cause mortality was 13.8%. Statistically significant differences between nonsurvivors and survivors emerged in terms of age, weight, BMI, FEV1, inspiratory capacity, and modified Medical Research Council dyspnea score. With respect to nutritional variables, nonsurvivors had lower fat-free mass (P = .031), lower fat mass (P = .015), higher IRs (P &lt; .001 for all the ratios), and lower phase angle (P &lt; .001) compared with survivors. After adjustment for confounding factors, each unit increase of IRs and each unit decrease of phase angle were associated with a higher risk of death. Conclusions: IRs and phase angle, as raw BIA variables, are independent and powerful predictors of all-cause mortality in COPD and should be considered, together with inspiratory capacity and 6-min walk distance, as significant prognostic factors in the short- to middle-term.","author":[{"dropping-particle":"","family":"Blasio","given":"Francesca","non-dropping-particle":"de","parse-names":false,"suffix":""},{"dropping-particle":"","family":"Scalfi","given":"Luca","non-dropping-particle":"","parse-names":false,"suffix":""},{"dropping-particle":"","family":"Gregorio","given":"Ada","non-dropping-particle":"Di","parse-names":false,"suffix":""},{"dropping-particle":"","family":"Alicante","given":"Paola","non-dropping-particle":"","parse-names":false,"suffix":""},{"dropping-particle":"","family":"Bianco","given":"Andrea","non-dropping-particle":"","parse-names":false,"suffix":""},{"dropping-particle":"","family":"Tantucci","given":"Claudio","non-dropping-particle":"","parse-names":false,"suffix":""},{"dropping-particle":"","family":"Bellofiore","given":"Barbara","non-dropping-particle":"","parse-names":false,"suffix":""},{"dropping-particle":"","family":"Blasio","given":"Francesco","non-dropping-particle":"de","parse-names":false,"suffix":""}],"container-title":"Chest","id":"ITEM-2","issue":"6","issued":{"date-parts":[["2019","6","1"]]},"page":"1148-1157","publisher":"Elsevier Inc","title":"Raw Bioelectrical Impedance Analysis Variables Are Independent Predictors of Early All-Cause Mortality in Patients With COPD","type":"article-journal","volume":"155"},"uris":["http://www.mendeley.com/documents/?uuid=8a9d53e2-d74a-3376-9166-80f1eff1fca7"]}],"mendeley":{"formattedCitation":"&lt;sup&gt;19,20&lt;/sup&gt;","plainTextFormattedCitation":"19,20","previouslyFormattedCitation":"&lt;sup&gt;23,24&lt;/sup&gt;"},"properties":{"noteIndex":0},"schema":"https://github.com/citation-style-language/schema/raw/master/csl-citation.json"}</w:instrText>
      </w:r>
      <w:r w:rsidR="003F72C9">
        <w:rPr>
          <w:rFonts w:cstheme="minorHAnsi"/>
        </w:rPr>
        <w:fldChar w:fldCharType="separate"/>
      </w:r>
      <w:r w:rsidR="00D546E6" w:rsidRPr="00D546E6">
        <w:rPr>
          <w:rFonts w:cstheme="minorHAnsi"/>
          <w:noProof/>
          <w:vertAlign w:val="superscript"/>
        </w:rPr>
        <w:t>19,20</w:t>
      </w:r>
      <w:r w:rsidR="003F72C9">
        <w:rPr>
          <w:rFonts w:cstheme="minorHAnsi"/>
        </w:rPr>
        <w:fldChar w:fldCharType="end"/>
      </w:r>
      <w:r w:rsidR="00C36DF5">
        <w:rPr>
          <w:rFonts w:cstheme="minorHAnsi"/>
        </w:rPr>
        <w:t xml:space="preserve">. As such </w:t>
      </w:r>
      <w:r w:rsidR="00C36DF5">
        <w:rPr>
          <w:rFonts w:cstheme="minorHAnsi"/>
        </w:rPr>
        <w:lastRenderedPageBreak/>
        <w:t xml:space="preserve">measures outside a “normal range” may be indicative of declining nutritional and physical health. </w:t>
      </w:r>
      <w:r w:rsidR="00581037">
        <w:rPr>
          <w:rFonts w:cstheme="minorHAnsi"/>
        </w:rPr>
        <w:t>Whilst this cohort was largely well</w:t>
      </w:r>
      <w:r w:rsidR="008A4B59">
        <w:rPr>
          <w:rFonts w:cstheme="minorHAnsi"/>
        </w:rPr>
        <w:t xml:space="preserve"> and</w:t>
      </w:r>
      <w:r w:rsidR="00581037">
        <w:rPr>
          <w:rFonts w:cstheme="minorHAnsi"/>
        </w:rPr>
        <w:t xml:space="preserve"> stable patients</w:t>
      </w:r>
      <w:r w:rsidR="008A4B59">
        <w:rPr>
          <w:rFonts w:cstheme="minorHAnsi"/>
        </w:rPr>
        <w:t>,</w:t>
      </w:r>
      <w:r w:rsidR="00581037">
        <w:rPr>
          <w:rFonts w:cstheme="minorHAnsi"/>
        </w:rPr>
        <w:t xml:space="preserve"> the</w:t>
      </w:r>
      <w:r w:rsidR="002B4873">
        <w:rPr>
          <w:rFonts w:cstheme="minorHAnsi"/>
        </w:rPr>
        <w:t>se</w:t>
      </w:r>
      <w:r w:rsidR="00C73EB9">
        <w:rPr>
          <w:rFonts w:cstheme="minorHAnsi"/>
        </w:rPr>
        <w:t xml:space="preserve"> data indicate that </w:t>
      </w:r>
      <w:r w:rsidR="00E85FC7">
        <w:rPr>
          <w:rFonts w:cstheme="minorHAnsi"/>
        </w:rPr>
        <w:t xml:space="preserve">IR </w:t>
      </w:r>
      <w:r w:rsidR="00C73EB9">
        <w:rPr>
          <w:rFonts w:cstheme="minorHAnsi"/>
        </w:rPr>
        <w:t>may be</w:t>
      </w:r>
      <w:r w:rsidR="00E85FC7">
        <w:rPr>
          <w:rFonts w:cstheme="minorHAnsi"/>
        </w:rPr>
        <w:t xml:space="preserve"> a useful screening tool for undernutrition in IBD patients, although further validation of this is required</w:t>
      </w:r>
      <w:r w:rsidR="00581037">
        <w:rPr>
          <w:rFonts w:cstheme="minorHAnsi"/>
        </w:rPr>
        <w:t xml:space="preserve"> in a cohort with higher prevalence of acute malnutrition and higher disease activity</w:t>
      </w:r>
      <w:r w:rsidR="00E85FC7">
        <w:rPr>
          <w:rFonts w:cstheme="minorHAnsi"/>
        </w:rPr>
        <w:t xml:space="preserve">. </w:t>
      </w:r>
      <w:r w:rsidR="000D6D23">
        <w:rPr>
          <w:rFonts w:cstheme="minorHAnsi"/>
        </w:rPr>
        <w:t xml:space="preserve">Disease activity or biologic use was not associated with either PA-50KHz or IR. </w:t>
      </w:r>
      <w:r w:rsidR="00C73EB9">
        <w:rPr>
          <w:rFonts w:cstheme="minorHAnsi"/>
        </w:rPr>
        <w:t>Despite this, previous data from hospitalised paediatric IBD patients did identify a significantly lower PA compared to healthy controls</w:t>
      </w:r>
      <w:r w:rsidR="00C73EB9">
        <w:rPr>
          <w:rFonts w:cstheme="minorHAnsi"/>
        </w:rPr>
        <w:fldChar w:fldCharType="begin" w:fldLock="1"/>
      </w:r>
      <w:r w:rsidR="00E35922">
        <w:rPr>
          <w:rFonts w:cstheme="minorHAnsi"/>
        </w:rPr>
        <w:instrText>ADDIN CSL_CITATION {"citationItems":[{"id":"ITEM-1","itemData":{"DOI":"10.3390/nu10040499","ISSN":"20726643","PMID":"29673210","abstract":"The phase angle (PhA) seems to be a reliable screening tool for the identification of malnutrition risk in hospitalized children with inflammatory bowel disease (IBD). The aim of the present study was to assess the body composition and nutritional status of hospitalized children and adolescents with IBD by using bioelectrical impedance analysis (BIA) with phase angle (PhA) calculation, which has not been evaluated in hospitalized children with IBD yet. A total of 59 children and adolescents aged 4–18 years, with IBD: 34 ulcerative colitis (UC) and 25 Crohn’s disease (CD) were included in the study. The control group consisted of healthy children and adolescents, strictly matched for gender and age in a 1:1 case-control manner. In both groups, BIA was performed and PhA was calculated. IBD patients had significantly lower PhA (UC: 5.34 ± 1.34 vs. 5.96 ± 0.76, p = 0.040; CD: 5.16 ± 1.18 vs. 5.90 ± 0.62, p = 0.009) compared to the control subjects. Significant changes in selected body composition parameters were observed particularly in CD, especially in fat free mass components. Lower phase angle score together with lower body composition parameters and selected nutrition indicators in children and adolescents with IBD demonstrate their worse nutritional and functional status compared to healthy subjects.","author":[{"dropping-particle":"","family":"Więch","given":"Paweł","non-dropping-particle":"","parse-names":false,"suffix":""},{"dropping-particle":"","family":"Dabrowski","given":"Mariusz","non-dropping-particle":"","parse-names":false,"suffix":""},{"dropping-particle":"","family":"Bazaliński","given":"Dariusz","non-dropping-particle":"","parse-names":false,"suffix":""},{"dropping-particle":"","family":"Sałacińska","given":"Izabela","non-dropping-particle":"","parse-names":false,"suffix":""},{"dropping-particle":"","family":"Korczowski","given":"Bartosz","non-dropping-particle":"","parse-names":false,"suffix":""},{"dropping-particle":"","family":"Binkowska-Bury","given":"Monika","non-dropping-particle":"","parse-names":false,"suffix":""}],"container-title":"Nutrients","id":"ITEM-1","issue":"4","issued":{"date-parts":[["2018","4","17"]]},"publisher":"MDPI AG","title":"Bioelectrical impedance phase angle as an indicator of malnutrition in hospitalized children with diagnosed inflammatory bowel diseases—a case control study","type":"article-journal","volume":"10"},"uris":["http://www.mendeley.com/documents/?uuid=0f005d0c-17f6-3b02-9d46-9e39aa7af72b"]}],"mendeley":{"formattedCitation":"&lt;sup&gt;25&lt;/sup&gt;","plainTextFormattedCitation":"25","previouslyFormattedCitation":"&lt;sup&gt;25&lt;/sup&gt;"},"properties":{"noteIndex":0},"schema":"https://github.com/citation-style-language/schema/raw/master/csl-citation.json"}</w:instrText>
      </w:r>
      <w:r w:rsidR="00C73EB9">
        <w:rPr>
          <w:rFonts w:cstheme="minorHAnsi"/>
        </w:rPr>
        <w:fldChar w:fldCharType="separate"/>
      </w:r>
      <w:r w:rsidR="00CC3027" w:rsidRPr="00CC3027">
        <w:rPr>
          <w:rFonts w:cstheme="minorHAnsi"/>
          <w:noProof/>
          <w:vertAlign w:val="superscript"/>
        </w:rPr>
        <w:t>25</w:t>
      </w:r>
      <w:r w:rsidR="00C73EB9">
        <w:rPr>
          <w:rFonts w:cstheme="minorHAnsi"/>
        </w:rPr>
        <w:fldChar w:fldCharType="end"/>
      </w:r>
      <w:r w:rsidR="00F76408">
        <w:rPr>
          <w:rFonts w:cstheme="minorHAnsi"/>
        </w:rPr>
        <w:t>.</w:t>
      </w:r>
      <w:r w:rsidR="00C73EB9">
        <w:rPr>
          <w:rFonts w:cstheme="minorHAnsi"/>
        </w:rPr>
        <w:t xml:space="preserve"> A similar increase</w:t>
      </w:r>
      <w:r w:rsidR="00467F6F">
        <w:rPr>
          <w:rFonts w:cstheme="minorHAnsi"/>
        </w:rPr>
        <w:t xml:space="preserve"> in</w:t>
      </w:r>
      <w:r w:rsidR="00C73EB9">
        <w:rPr>
          <w:rFonts w:cstheme="minorHAnsi"/>
        </w:rPr>
        <w:t xml:space="preserve"> PA was also observed in patients treated with anti-TNF therapy</w:t>
      </w:r>
      <w:r w:rsidR="00467F6F">
        <w:rPr>
          <w:rFonts w:cstheme="minorHAnsi"/>
        </w:rPr>
        <w:t>,</w:t>
      </w:r>
      <w:r w:rsidR="00C73EB9">
        <w:rPr>
          <w:rFonts w:cstheme="minorHAnsi"/>
        </w:rPr>
        <w:t xml:space="preserve"> compared to conventional immunomodulation</w:t>
      </w:r>
      <w:r w:rsidR="00467F6F">
        <w:rPr>
          <w:rFonts w:cstheme="minorHAnsi"/>
        </w:rPr>
        <w:t>,</w:t>
      </w:r>
      <w:r w:rsidR="00C73EB9">
        <w:rPr>
          <w:rFonts w:cstheme="minorHAnsi"/>
        </w:rPr>
        <w:t xml:space="preserve"> in a study of adult </w:t>
      </w:r>
      <w:r w:rsidR="002B4873">
        <w:rPr>
          <w:rFonts w:cstheme="minorHAnsi"/>
        </w:rPr>
        <w:t>CD</w:t>
      </w:r>
      <w:r w:rsidR="00C73EB9">
        <w:rPr>
          <w:rFonts w:cstheme="minorHAnsi"/>
        </w:rPr>
        <w:t xml:space="preserve"> patients</w:t>
      </w:r>
      <w:r w:rsidR="00C73EB9">
        <w:rPr>
          <w:rFonts w:cstheme="minorHAnsi"/>
        </w:rPr>
        <w:fldChar w:fldCharType="begin" w:fldLock="1"/>
      </w:r>
      <w:r w:rsidR="00E35922">
        <w:rPr>
          <w:rFonts w:cstheme="minorHAnsi"/>
        </w:rPr>
        <w:instrText>ADDIN CSL_CITATION {"citationItems":[{"id":"ITEM-1","itemData":{"DOI":"10.1016/j.dld.2016.12.026","ISSN":"18783562","PMID":"28096060","abstract":"Background Altered body composition is frequently observed in Crohn's disease (CD) patients. Aims To investigate the nutritional status, and the effect of different therapeutic regimes in adult CD patients. Methods Fat free mass (FFM) and BIA-derived phase angle (PhA) were assessed in 45 CD patients, 22 on conventional therapy (CT) and 23 on maintenance therapy with infliximab (MT). Nutritional status was also assessed in 12 CD patients before and following the induction protocol with infliximab. BIA data of CD patients were compared with those of 20 healthy asymptomatic volunteers. In CD patients C Reactive Protein (CRP) and albuminaemia dosage were obtained. Results The mean values of PhA and of FFM were significantly lower in CT patients when compared with control group and MT patients. Following infliximab treatment FFM increased, although not significantly, while mean phase angle value significantly increased from 4.6 ± 0.3 to 6.2 ± 0.4 (p &lt; 0.05). CRP was significantly lower in MT patients compared to that in CT patients. Conclusion CD patients on conventional therapy showed a lower FFM and a lower mean phase angle score compared to those on infliximab therapy. Following infliximab treatment the mean phase angle score normalized. PhA is a reliable nutritional indicator in IBD patients and could be considered as an additional tool for assessing response to treatment.","author":[{"dropping-particle":"","family":"Emerenziani","given":"Sara","non-dropping-particle":"","parse-names":false,"suffix":""},{"dropping-particle":"","family":"Biancone","given":"Livia","non-dropping-particle":"","parse-names":false,"suffix":""},{"dropping-particle":"","family":"Guarino","given":"Michele Pier Luca","non-dropping-particle":"","parse-names":false,"suffix":""},{"dropping-particle":"","family":"Balestrieri","given":"Paola","non-dropping-particle":"","parse-names":false,"suffix":""},{"dropping-particle":"","family":"Stasi","given":"Elisa","non-dropping-particle":"","parse-names":false,"suffix":""},{"dropping-particle":"","family":"Ribolsi","given":"Mentore","non-dropping-particle":"","parse-names":false,"suffix":""},{"dropping-particle":"","family":"Rescio","given":"Maria Paola","non-dropping-particle":"","parse-names":false,"suffix":""},{"dropping-particle":"","family":"Altomare","given":"Annamaria","non-dropping-particle":"","parse-names":false,"suffix":""},{"dropping-particle":"","family":"Cocca","given":"Silvia","non-dropping-particle":"","parse-names":false,"suffix":""},{"dropping-particle":"","family":"Pallone","given":"Francesco","non-dropping-particle":"","parse-names":false,"suffix":""},{"dropping-particle":"","family":"Cicala","given":"Michele","non-dropping-particle":"","parse-names":false,"suffix":""}],"container-title":"Digestive and Liver Disease","id":"ITEM-1","issue":"5","issued":{"date-parts":[["2017","5","1"]]},"page":"495-499","publisher":"Elsevier B.V.","title":"Nutritional status and bioelectrical phase angle assessment in adult Crohn disease patients receiving anti-TNFα therapy","type":"article-journal","volume":"49"},"uris":["http://www.mendeley.com/documents/?uuid=c7e070cd-883b-382d-b90d-a3b21d3fde9f"]}],"mendeley":{"formattedCitation":"&lt;sup&gt;26&lt;/sup&gt;","plainTextFormattedCitation":"26","previouslyFormattedCitation":"&lt;sup&gt;26&lt;/sup&gt;"},"properties":{"noteIndex":0},"schema":"https://github.com/citation-style-language/schema/raw/master/csl-citation.json"}</w:instrText>
      </w:r>
      <w:r w:rsidR="00C73EB9">
        <w:rPr>
          <w:rFonts w:cstheme="minorHAnsi"/>
        </w:rPr>
        <w:fldChar w:fldCharType="separate"/>
      </w:r>
      <w:r w:rsidR="00CC3027" w:rsidRPr="00CC3027">
        <w:rPr>
          <w:rFonts w:cstheme="minorHAnsi"/>
          <w:noProof/>
          <w:vertAlign w:val="superscript"/>
        </w:rPr>
        <w:t>26</w:t>
      </w:r>
      <w:r w:rsidR="00C73EB9">
        <w:rPr>
          <w:rFonts w:cstheme="minorHAnsi"/>
        </w:rPr>
        <w:fldChar w:fldCharType="end"/>
      </w:r>
      <w:r w:rsidR="00C73EB9">
        <w:rPr>
          <w:rFonts w:cstheme="minorHAnsi"/>
        </w:rPr>
        <w:t>.</w:t>
      </w:r>
      <w:r w:rsidR="00C73EB9" w:rsidRPr="00C73EB9">
        <w:rPr>
          <w:rFonts w:cstheme="minorHAnsi"/>
        </w:rPr>
        <w:t xml:space="preserve"> </w:t>
      </w:r>
      <w:r w:rsidR="00C73EB9">
        <w:rPr>
          <w:rFonts w:cstheme="minorHAnsi"/>
        </w:rPr>
        <w:t xml:space="preserve">As most patients </w:t>
      </w:r>
      <w:r w:rsidR="00467F6F">
        <w:rPr>
          <w:rFonts w:cstheme="minorHAnsi"/>
        </w:rPr>
        <w:t xml:space="preserve">in our study </w:t>
      </w:r>
      <w:r w:rsidR="00C73EB9">
        <w:rPr>
          <w:rFonts w:cstheme="minorHAnsi"/>
        </w:rPr>
        <w:t xml:space="preserve">were in remission we may have lacked the power to differentiate between patients with inactive disease and those with modest disease activity. Our data suggest that BIS has limited use in identification of </w:t>
      </w:r>
      <w:r w:rsidR="00581037">
        <w:rPr>
          <w:rFonts w:cstheme="minorHAnsi"/>
        </w:rPr>
        <w:t xml:space="preserve">malnutrition in </w:t>
      </w:r>
      <w:r w:rsidR="00C73EB9">
        <w:rPr>
          <w:rFonts w:cstheme="minorHAnsi"/>
        </w:rPr>
        <w:t xml:space="preserve">patients with </w:t>
      </w:r>
      <w:r w:rsidR="00581037">
        <w:rPr>
          <w:rFonts w:cstheme="minorHAnsi"/>
        </w:rPr>
        <w:t>stable</w:t>
      </w:r>
      <w:r w:rsidR="00C73EB9">
        <w:rPr>
          <w:rFonts w:cstheme="minorHAnsi"/>
        </w:rPr>
        <w:t xml:space="preserve"> disease and clinical</w:t>
      </w:r>
      <w:r w:rsidR="00581037">
        <w:rPr>
          <w:rFonts w:cstheme="minorHAnsi"/>
        </w:rPr>
        <w:t xml:space="preserve"> and</w:t>
      </w:r>
      <w:r w:rsidR="00C73EB9">
        <w:rPr>
          <w:rFonts w:cstheme="minorHAnsi"/>
        </w:rPr>
        <w:t xml:space="preserve"> biochemical measures </w:t>
      </w:r>
      <w:r w:rsidR="00581037">
        <w:rPr>
          <w:rFonts w:cstheme="minorHAnsi"/>
        </w:rPr>
        <w:t>may be</w:t>
      </w:r>
      <w:r w:rsidR="00C73EB9">
        <w:rPr>
          <w:rFonts w:cstheme="minorHAnsi"/>
        </w:rPr>
        <w:t xml:space="preserve"> more effective</w:t>
      </w:r>
      <w:r w:rsidR="00C73EB9">
        <w:rPr>
          <w:rFonts w:cstheme="minorHAnsi"/>
        </w:rPr>
        <w:fldChar w:fldCharType="begin" w:fldLock="1"/>
      </w:r>
      <w:r w:rsidR="00E35922">
        <w:rPr>
          <w:rFonts w:cstheme="minorHAnsi"/>
        </w:rPr>
        <w:instrText>ADDIN CSL_CITATION {"citationItems":[{"id":"ITEM-1","itemData":{"DOI":"10.1053/j.gastro.2007.05.029","ISSN":"00165085","PMID":"17681163","abstract":"BACKGROUND AND AIMS Colonoscopic appearance, the primary measure of disease activity in adult ulcerative colitis, is less acceptable to children. Our aim was to develop a noninvasive activity index of pediatric ulcerative colitis. METHODS Item selection was performed judgmentally using a Delphi group of 36 experts in pediatric inflammatory bowel disease. Item weighting was performed by regression modeling using a prospective cohort of 157 pediatric ulcerative colitis patients. Validation was assessed on a separate prospective cohort of 48 children with ulcerative colitis undergoing complete colonoscopy. Responsiveness was evaluated at a follow-up visit of 75 children using effect size statistics and diagnostic utility approaches. RESULTS A list of 41 items was generated and reduced to 11 by rank order. Two physicians completed the Pediatric Ulcerative Colitis Activity Index (PUCAI) on each of the patients in the weighting cohort. Six clinical items were significant in the regression analysis; the laboratory items and an endoscopic appearance item did not improve the PUCAI performance. In the validation cohort, the PUCAI was highly correlated with the Physician's Global Assessment (r = 0.91, P &lt; .001), Mayo score (r = 0.95, P &lt; .001), and colonoscopic appearance (r = 0.77, P &lt; .001). Correlations were higher than 2 noninvasive adult indices calculated concurrently. Interobserver and test-retest reliability were excellent (intraclass correlation coefficient = 0.95; 95% CI: 0.93-0.97). Cut-off points were established using receiver operator characteristic curves on the full cohort. Excellent responsiveness was found at repeated visits (effect size = 1.9, area under the receiver operator characteristic curve = 0.97). CONCLUSIONS The rigorously developed PUCAI is a noninvasive, valid, highly reliable, and responsive index with which to assess disease activity in pediatric ulcerative colitis.","author":[{"dropping-particle":"","family":"Turner","given":"Dan","non-dropping-particle":"","parse-names":false,"suffix":""},{"dropping-particle":"","family":"Otley","given":"Anthony R.","non-dropping-particle":"","parse-names":false,"suffix":""},{"dropping-particle":"","family":"Mack","given":"David","non-dropping-particle":"","parse-names":false,"suffix":""},{"dropping-particle":"","family":"Hyams","given":"Jeffrey","non-dropping-particle":"","parse-names":false,"suffix":""},{"dropping-particle":"","family":"Bruijne","given":"J.","non-dropping-particle":"de","parse-names":false,"suffix":""},{"dropping-particle":"","family":"Uusoue","given":"Krista","non-dropping-particle":"","parse-names":false,"suffix":""},{"dropping-particle":"","family":"Walters","given":"Thomas D.","non-dropping-particle":"","parse-names":false,"suffix":""},{"dropping-particle":"","family":"Zachos","given":"Mary","non-dropping-particle":"","parse-names":false,"suffix":""},{"dropping-particle":"","family":"Mamula","given":"Petar","non-dropping-particle":"","parse-names":false,"suffix":""},{"dropping-particle":"","family":"Beaton","given":"Dorcas E.","non-dropping-particle":"","parse-names":false,"suffix":""},{"dropping-particle":"","family":"Steinhart","given":"A. Hillary","non-dropping-particle":"","parse-names":false,"suffix":""},{"dropping-particle":"","family":"Griffiths","given":"Anne M.","non-dropping-particle":"","parse-names":false,"suffix":""}],"container-title":"Gastroenterology","id":"ITEM-1","issue":"2","issued":{"date-parts":[["2007","8"]]},"page":"423-432","title":"Development, Validation, and Evaluation of a Pediatric Ulcerative Colitis Activity Index: A Prospective Multicenter Study","type":"article-journal","volume":"133"},"uris":["http://www.mendeley.com/documents/?uuid=781e048b-c82b-3f86-916d-ddce8bff465b"]}],"mendeley":{"formattedCitation":"&lt;sup&gt;27&lt;/sup&gt;","plainTextFormattedCitation":"27","previouslyFormattedCitation":"&lt;sup&gt;27&lt;/sup&gt;"},"properties":{"noteIndex":0},"schema":"https://github.com/citation-style-language/schema/raw/master/csl-citation.json"}</w:instrText>
      </w:r>
      <w:r w:rsidR="00C73EB9">
        <w:rPr>
          <w:rFonts w:cstheme="minorHAnsi"/>
        </w:rPr>
        <w:fldChar w:fldCharType="separate"/>
      </w:r>
      <w:r w:rsidR="00CC3027" w:rsidRPr="00CC3027">
        <w:rPr>
          <w:rFonts w:cstheme="minorHAnsi"/>
          <w:noProof/>
          <w:vertAlign w:val="superscript"/>
        </w:rPr>
        <w:t>27</w:t>
      </w:r>
      <w:r w:rsidR="00C73EB9">
        <w:rPr>
          <w:rFonts w:cstheme="minorHAnsi"/>
        </w:rPr>
        <w:fldChar w:fldCharType="end"/>
      </w:r>
      <w:r w:rsidR="00C73EB9">
        <w:rPr>
          <w:rFonts w:cstheme="minorHAnsi"/>
        </w:rPr>
        <w:t>.</w:t>
      </w:r>
    </w:p>
    <w:p w14:paraId="6242DB37" w14:textId="1E989AED" w:rsidR="00A25CAC" w:rsidRDefault="00C73EB9" w:rsidP="00110F0C">
      <w:pPr>
        <w:spacing w:line="480" w:lineRule="auto"/>
        <w:rPr>
          <w:rFonts w:cstheme="minorHAnsi"/>
        </w:rPr>
      </w:pPr>
      <w:r>
        <w:rPr>
          <w:rFonts w:cstheme="minorHAnsi"/>
        </w:rPr>
        <w:t xml:space="preserve">There are mixed results for the utility of BIS in assessment of body composition in IBD patients. Data from Dung </w:t>
      </w:r>
      <w:r w:rsidRPr="00C73EB9">
        <w:rPr>
          <w:rFonts w:cstheme="minorHAnsi"/>
          <w:i/>
          <w:iCs/>
        </w:rPr>
        <w:t>et al</w:t>
      </w:r>
      <w:r>
        <w:rPr>
          <w:rFonts w:cstheme="minorHAnsi"/>
          <w:i/>
          <w:iCs/>
        </w:rPr>
        <w:t xml:space="preserve"> </w:t>
      </w:r>
      <w:r w:rsidR="00A25CAC">
        <w:rPr>
          <w:rFonts w:cstheme="minorHAnsi"/>
        </w:rPr>
        <w:t>assessed different equations for prediction of fat-free mass</w:t>
      </w:r>
      <w:r w:rsidR="00467F6F">
        <w:rPr>
          <w:rFonts w:cstheme="minorHAnsi"/>
        </w:rPr>
        <w:t xml:space="preserve"> (FFM)</w:t>
      </w:r>
      <w:r w:rsidR="00A25CAC">
        <w:rPr>
          <w:rFonts w:cstheme="minorHAnsi"/>
        </w:rPr>
        <w:t xml:space="preserve"> in children with </w:t>
      </w:r>
      <w:r w:rsidR="002B4873">
        <w:rPr>
          <w:rFonts w:cstheme="minorHAnsi"/>
        </w:rPr>
        <w:t>CD</w:t>
      </w:r>
      <w:r w:rsidR="00A25CAC">
        <w:rPr>
          <w:rFonts w:cstheme="minorHAnsi"/>
        </w:rPr>
        <w:t xml:space="preserve">, demonstrating that body composition could be estimated from BIS </w:t>
      </w:r>
      <w:r w:rsidR="00DE136A">
        <w:rPr>
          <w:rFonts w:cstheme="minorHAnsi"/>
        </w:rPr>
        <w:t>m</w:t>
      </w:r>
      <w:r w:rsidR="00A25CAC">
        <w:rPr>
          <w:rFonts w:cstheme="minorHAnsi"/>
        </w:rPr>
        <w:t>easurements</w:t>
      </w:r>
      <w:r w:rsidR="00A25CAC">
        <w:rPr>
          <w:rFonts w:cstheme="minorHAnsi"/>
        </w:rPr>
        <w:fldChar w:fldCharType="begin" w:fldLock="1"/>
      </w:r>
      <w:r w:rsidR="00E35922">
        <w:rPr>
          <w:rFonts w:cstheme="minorHAnsi"/>
        </w:rPr>
        <w:instrText>ADDIN CSL_CITATION {"citationItems":[{"id":"ITEM-1","itemData":{"DOI":"10.1097/01.mpg.0000237935.20297.2f","ISSN":"02772116","PMID":"17204966","abstract":"OBJECTIVES: To investigate the precision of published prediction equations for fat-free mass (FFM) from bioimpedance measurements in children with Crohn disease using dual-energy X-ray absorptiometry (DXA) as an in vivo gold standard. METHODS: Fat-free mass of 49 white boys and girls ages 7.3 to 16.9 y suffering from Crohn disease was measured by DXA. Body weight, height and bioimpedance measurements were also collected. FFM measured by DXA (FFMDXA) was compared with FFM predicted by the only 5 published prediction equations available for children and adolescents. An equation was developed for predicting FFM and was validated using a bootstrap method. RESULTS: When correlating predicted FFM with FFMDXA, Schaefer's equation showed the highest R (0.950), the smallest standard error of estimate (SEE) (2.05 kg) and the smallest percentage error (0.28%). Our prediction equation for estimating FFM was FFM = 0.652 Ht/Z + 0.0385 Wt + 0.586 Age - 0.327, R = 0.951, SEE = 2.08, P &lt; 0.0005, where Ht/Z is the impedance index in cm/Ω, Wt is body weight in kilograms, age is in years. R value from bootstrap method was 0.950 ± 0.01 (95% confidence interval 0.927-0.968), indicating an acceptable validation of the derived formula. CONCLUSIONS: The formula of Schaefer is the best for predicting FFM. The present study provides a new prediction equation for estimating FFM in children with Crohn disease that may be used in clinical settings in which more sophisticated body composition measuring equipments are not available. © 2007 Lippincott Williams &amp; Wilkins, Inc.","author":[{"dropping-particle":"","family":"Dung","given":"Nguyen Quang","non-dropping-particle":"","parse-names":false,"suffix":""},{"dropping-particle":"","family":"Fusch","given":"Gerhard","non-dropping-particle":"","parse-names":false,"suffix":""},{"dropping-particle":"","family":"Armbrust","given":"Sven","non-dropping-particle":"","parse-names":false,"suffix":""},{"dropping-particle":"","family":"Jochum","given":"Frank","non-dropping-particle":"","parse-names":false,"suffix":""},{"dropping-particle":"","family":"Fusch","given":"Christoph","non-dropping-particle":"","parse-names":false,"suffix":""}],"container-title":"Journal of Pediatric Gastroenterology and Nutrition","id":"ITEM-1","issue":"1","issued":{"date-parts":[["2007","1"]]},"page":"130-135","publisher":"J Pediatr Gastroenterol Nutr","title":"Use of bioelectrical impedance analysis and anthropometry to measure fat-free mass in children and adolescents with Crohn disease","type":"article-journal","volume":"44"},"uris":["http://www.mendeley.com/documents/?uuid=d03c51ba-86d7-3d83-a28b-8afc71f41717"]}],"mendeley":{"formattedCitation":"&lt;sup&gt;28&lt;/sup&gt;","plainTextFormattedCitation":"28","previouslyFormattedCitation":"&lt;sup&gt;28&lt;/sup&gt;"},"properties":{"noteIndex":0},"schema":"https://github.com/citation-style-language/schema/raw/master/csl-citation.json"}</w:instrText>
      </w:r>
      <w:r w:rsidR="00A25CAC">
        <w:rPr>
          <w:rFonts w:cstheme="minorHAnsi"/>
        </w:rPr>
        <w:fldChar w:fldCharType="separate"/>
      </w:r>
      <w:r w:rsidR="00CC3027" w:rsidRPr="00CC3027">
        <w:rPr>
          <w:rFonts w:cstheme="minorHAnsi"/>
          <w:noProof/>
          <w:vertAlign w:val="superscript"/>
        </w:rPr>
        <w:t>28</w:t>
      </w:r>
      <w:r w:rsidR="00A25CAC">
        <w:rPr>
          <w:rFonts w:cstheme="minorHAnsi"/>
        </w:rPr>
        <w:fldChar w:fldCharType="end"/>
      </w:r>
      <w:r w:rsidR="00A25CAC">
        <w:rPr>
          <w:rFonts w:cstheme="minorHAnsi"/>
        </w:rPr>
        <w:t xml:space="preserve">. Similarly, data from our own group showed a significant correlation between psoas muscle cross-sectional area and BIS estimates of </w:t>
      </w:r>
      <w:r w:rsidR="00467F6F">
        <w:rPr>
          <w:rFonts w:cstheme="minorHAnsi"/>
        </w:rPr>
        <w:t>FFM</w:t>
      </w:r>
      <w:r w:rsidR="00A25CAC">
        <w:rPr>
          <w:rFonts w:cstheme="minorHAnsi"/>
        </w:rPr>
        <w:t>, as a proxy of lean mass</w:t>
      </w:r>
      <w:r w:rsidR="00A25CAC">
        <w:rPr>
          <w:rFonts w:cstheme="minorHAnsi"/>
        </w:rPr>
        <w:fldChar w:fldCharType="begin" w:fldLock="1"/>
      </w:r>
      <w:r w:rsidR="00E35922">
        <w:rPr>
          <w:rFonts w:cstheme="minorHAnsi"/>
        </w:rPr>
        <w:instrText>ADDIN CSL_CITATION {"citationItems":[{"id":"ITEM-1","itemData":{"DOI":"10.1016/J.CLNESP.2021.01.031","ISSN":"2405-4577","abstract":"&lt;h2&gt;Summary&lt;/h2&gt;&lt;h3&gt;Background&lt;/h3&gt;&lt;p&gt;Paediatric Crohn's disease (CD) has been associated with undernutrition. Accurate and accessible measures of body composition would provide data to personalise nutritional therapy. We assessed feasibility of MRI-derived measures of psoas cross-sectional area (PCSA) in paediatric CD and correlated with anthropometric and bioelectrical impedance spectroscopy (BIS) measures.&lt;/p&gt;&lt;h3&gt;Methods&lt;/h3&gt;&lt;p&gt;MRI small bowel/pelvis images of patients with CD, aged &lt;18 years, were retrieved. Patients with concurrent anthropometric and BIS measurements were eligible for inclusion. The PCSA at L3 was calculated by two assessors and combined. To assess reproducibility of measures we calculated the coefficient of variation (CoV). Age, height-Z-scores, weight-Z-scores and BIS measures were correlated with PCSA. Using normal paediatric data from CT-scans we derived psoas area Z-scores for our cohort.&lt;/p&gt;&lt;h3&gt;Results&lt;/h3&gt;&lt;p&gt;10 patients were included. Mean age at MRI scan was 14.6 years (11.7 to 16.3). PCSA was calculated for all MRI scans. There was high reproducibility between measurers, mean CoV 0.099. There was a significant positive correlation between PCSA and BIA-derived fat free mass, Pearson correlation coefficient (PCC) 0.831, p=0.003.&lt;/p&gt;&lt;p&gt;Correlation coefficients for PCSA and Height-for-age Z-score, weight-for-age -Z-score and age were PCC 0.343 p=0.33, PCC=0.222 p=0.54, and PCC 0.6034, p=0.065, respectively. The mean PCSA Z-score was -1.81, with 70% of the patients having a Z-score &lt;-2.0.&lt;/p&gt;&lt;h3&gt;Conclusions&lt;/h3&gt;&lt;p&gt;These data demonstrate the feasibility of deriving measures of body composition from routine MRI imagine. There was significant positive correlation between PCSA and BIS-derived lean mass. Further studies are required to confirm applicability of normal ranges prior to routine clinical implementation.&lt;/p&gt;","author":[{"dropping-particle":"","family":"Ashton","given":"James J.","non-dropping-particle":"","parse-names":false,"suffix":""},{"dropping-particle":"","family":"Peiris","given":"Dilane","non-dropping-particle":"","parse-names":false,"suffix":""},{"dropping-particle":"","family":"Green","given":"Zachary","non-dropping-particle":"","parse-names":false,"suffix":""},{"dropping-particle":"","family":"Johnson","given":"Mark J.","non-dropping-particle":"","parse-names":false,"suffix":""},{"dropping-particle":"V.","family":"Marino","given":"Luise","non-dropping-particle":"","parse-names":false,"suffix":""},{"dropping-particle":"","family":"Griffiths","given":"Mark","non-dropping-particle":"","parse-names":false,"suffix":""},{"dropping-particle":"","family":"Beattie","given":"R Mark","non-dropping-particle":"","parse-names":false,"suffix":""}],"container-title":"Clinical Nutrition ESPEN","id":"ITEM-1","issue":"0","issued":{"date-parts":[["0"]]},"publisher":"Elsevier","title":"Routine abdominal magnetic resonance imaging can determine psoas muscle area in paediatric Crohn’s disease and correlates with bioelectrical impedance spectroscopy measures of lean mass","type":"article-journal","volume":"0"},"uris":["http://www.mendeley.com/documents/?uuid=8ebe4544-ae20-36db-b4e8-dd544f79b1bb"]}],"mendeley":{"formattedCitation":"&lt;sup&gt;29&lt;/sup&gt;","plainTextFormattedCitation":"29","previouslyFormattedCitation":"&lt;sup&gt;29&lt;/sup&gt;"},"properties":{"noteIndex":0},"schema":"https://github.com/citation-style-language/schema/raw/master/csl-citation.json"}</w:instrText>
      </w:r>
      <w:r w:rsidR="00A25CAC">
        <w:rPr>
          <w:rFonts w:cstheme="minorHAnsi"/>
        </w:rPr>
        <w:fldChar w:fldCharType="separate"/>
      </w:r>
      <w:r w:rsidR="00CC3027" w:rsidRPr="00CC3027">
        <w:rPr>
          <w:rFonts w:cstheme="minorHAnsi"/>
          <w:noProof/>
          <w:vertAlign w:val="superscript"/>
        </w:rPr>
        <w:t>29</w:t>
      </w:r>
      <w:r w:rsidR="00A25CAC">
        <w:rPr>
          <w:rFonts w:cstheme="minorHAnsi"/>
        </w:rPr>
        <w:fldChar w:fldCharType="end"/>
      </w:r>
      <w:r w:rsidR="00A25CAC">
        <w:rPr>
          <w:rFonts w:cstheme="minorHAnsi"/>
        </w:rPr>
        <w:t xml:space="preserve">. </w:t>
      </w:r>
      <w:r w:rsidR="00467F6F">
        <w:rPr>
          <w:rFonts w:cstheme="minorHAnsi"/>
        </w:rPr>
        <w:t>Whilst BIS can be used to assess other studies have pointed to significant inaccuracies and suggest that the primary BIS outputs, including PA and IR, are more useful in determining overall nutritional health of an individual</w:t>
      </w:r>
      <w:r w:rsidR="00467F6F">
        <w:rPr>
          <w:rFonts w:cstheme="minorHAnsi"/>
        </w:rPr>
        <w:fldChar w:fldCharType="begin" w:fldLock="1"/>
      </w:r>
      <w:r w:rsidR="00CB462E">
        <w:rPr>
          <w:rFonts w:cstheme="minorHAnsi"/>
        </w:rPr>
        <w:instrText>ADDIN CSL_CITATION {"citationItems":[{"id":"ITEM-1","itemData":{"DOI":"10.1016/j.clnu.2018.08.003","ISSN":"15321983","PMID":"30170780","abstract":"Background: Nutritional status can be difficult to assess. Bioelectrical impedance analysis (BIA)-derived phase angle (PA), and the plasma markers citrulline and transthyretin (pre-albumin) have the potential to assist, but the protocol of fasting and resting for BIA renders the investigation impractical for routine use, especially so in populations at high risk of malnutrition. Aims: 1 To clarify whether starving and resting are necessary for reliable measurement of PA. 2 To identify whether PA, citrulline and transthyretin correlate with nutritional status. Methods: Eighty consenting adult in-patients were recruited. Nutritional status was determined by subjective global assessment (SGA) used as gold standard. The Malnutrition Universal Screening Tool (MUST) was used and anthropometric measurements were performed. Serum was analysed for citrulline and transthyretin. PA was measured using Bodystat 4000. The PA was considered to define malnutrition when lower than reference ranges for sex and age, and severe malnutrition if more than 2 integers below the lower limit. Anthropometric measurements were categorised according to WHO reference centiles. Ordinal logistic regression estimated the strength of association of PA, citrulline and transthyretin with SGA. PA values in the different metabolic states were compared using paired t tests. Results: All 80 subjects completed the BIA and the nutritional assessments in the 3 different states; 14 declined to provide blood samples for the biochemical assays. Malnutrition was identified in 32 cases, severe malnutrition in 14 cases, the remaining 34 cases were deemed not to be malnourished. PA was strongly inversely associated with SGA (Odds Ratio [OR] per unit increase = 0.21, CI 0.12–0.37, p &lt; 0.001). PA was not influenced by exercise (p = 0.134) or food intake (p = 0.184). Transthyretin was inversely associated with malnourished/severely malnourished states (OR = 0.98, 95% CI 0.97–0.99, p = 0.001), but had poorer predictive values than PA. There was no significant association between citrulline concentration and SGA (OR = 1.01, 95% CI 0.99–1.04, p = 0.348). Conclusions: The BIA-derived PA reliably identifies malnutrition. It is strongly associated with SGA but requires less skill and experience, and out-performs circulating transthyretin, rendering it a promising and less operator-dependent tool for assessing nutritional status in hospital patients. Our novel demonstration that fasting and bed-rest are unnecess…","author":[{"dropping-particle":"","family":"Player","given":"E. L.","non-dropping-particle":"","parse-names":false,"suffix":""},{"dropping-particle":"","family":"Morris","given":"P.","non-dropping-particle":"","parse-names":false,"suffix":""},{"dropping-particle":"","family":"Thomas","given":"T.","non-dropping-particle":"","parse-names":false,"suffix":""},{"dropping-particle":"","family":"Chan","given":"W. Y.","non-dropping-particle":"","parse-names":false,"suffix":""},{"dropping-particle":"","family":"Vyas","given":"R.","non-dropping-particle":"","parse-names":false,"suffix":""},{"dropping-particle":"","family":"Dutton","given":"J.","non-dropping-particle":"","parse-names":false,"suffix":""},{"dropping-particle":"","family":"Tang","given":"J.","non-dropping-particle":"","parse-names":false,"suffix":""},{"dropping-particle":"","family":"Alexandre","given":"L.","non-dropping-particle":"","parse-names":false,"suffix":""},{"dropping-particle":"","family":"Forbes","given":"A.","non-dropping-particle":"","parse-names":false,"suffix":""}],"container-title":"Clinical Nutrition","id":"ITEM-1","issue":"4","issued":{"date-parts":[["2019","8","1"]]},"page":"1700-1706","publisher":"Churchill Livingstone","title":"Bioelectrical impedance analysis (BIA)-derived phase angle (PA) is a practical aid to nutritional assessment in hospital in-patients","type":"article-journal","volume":"38"},"uris":["http://www.mendeley.com/documents/?uuid=5035b3d1-426a-39d3-b1fe-f6aa6047c5a0"]}],"mendeley":{"formattedCitation":"&lt;sup&gt;17&lt;/sup&gt;","plainTextFormattedCitation":"17","previouslyFormattedCitation":"&lt;sup&gt;17&lt;/sup&gt;"},"properties":{"noteIndex":0},"schema":"https://github.com/citation-style-language/schema/raw/master/csl-citation.json"}</w:instrText>
      </w:r>
      <w:r w:rsidR="00467F6F">
        <w:rPr>
          <w:rFonts w:cstheme="minorHAnsi"/>
        </w:rPr>
        <w:fldChar w:fldCharType="separate"/>
      </w:r>
      <w:r w:rsidR="00CB462E" w:rsidRPr="00CB462E">
        <w:rPr>
          <w:rFonts w:cstheme="minorHAnsi"/>
          <w:noProof/>
          <w:vertAlign w:val="superscript"/>
        </w:rPr>
        <w:t>17</w:t>
      </w:r>
      <w:r w:rsidR="00467F6F">
        <w:rPr>
          <w:rFonts w:cstheme="minorHAnsi"/>
        </w:rPr>
        <w:fldChar w:fldCharType="end"/>
      </w:r>
      <w:r w:rsidR="00467F6F">
        <w:rPr>
          <w:rFonts w:cstheme="minorHAnsi"/>
        </w:rPr>
        <w:t xml:space="preserve">. We chose to use the primary BIS outputs to assess </w:t>
      </w:r>
      <w:r w:rsidR="00581037">
        <w:rPr>
          <w:rFonts w:cstheme="minorHAnsi"/>
        </w:rPr>
        <w:t>cellular health</w:t>
      </w:r>
      <w:r w:rsidR="00467F6F">
        <w:rPr>
          <w:rFonts w:cstheme="minorHAnsi"/>
        </w:rPr>
        <w:t xml:space="preserve">, rather than the derived measures of fat mass </w:t>
      </w:r>
      <w:r w:rsidR="00D83314">
        <w:rPr>
          <w:rFonts w:cstheme="minorHAnsi"/>
        </w:rPr>
        <w:t xml:space="preserve">(FM) </w:t>
      </w:r>
      <w:r w:rsidR="00467F6F">
        <w:rPr>
          <w:rFonts w:cstheme="minorHAnsi"/>
        </w:rPr>
        <w:t xml:space="preserve">and FFM. Whilst these estimates may be </w:t>
      </w:r>
      <w:r w:rsidR="00D83314">
        <w:rPr>
          <w:rFonts w:cstheme="minorHAnsi"/>
        </w:rPr>
        <w:t xml:space="preserve">clinically </w:t>
      </w:r>
      <w:r w:rsidR="00467F6F">
        <w:rPr>
          <w:rFonts w:cstheme="minorHAnsi"/>
        </w:rPr>
        <w:t xml:space="preserve">useful there are also large variation in </w:t>
      </w:r>
      <w:r w:rsidR="00D83314">
        <w:rPr>
          <w:rFonts w:cstheme="minorHAnsi"/>
        </w:rPr>
        <w:t>the results from different equations used to calculate the FM and FFM, calling into question the validity of these for clinical practice, especially in patients with excess fat mass or abnormal hydration status</w:t>
      </w:r>
      <w:r w:rsidR="00D83314">
        <w:rPr>
          <w:rFonts w:cstheme="minorHAnsi"/>
        </w:rPr>
        <w:fldChar w:fldCharType="begin" w:fldLock="1"/>
      </w:r>
      <w:r w:rsidR="00CB462E">
        <w:rPr>
          <w:rFonts w:cstheme="minorHAnsi"/>
        </w:rPr>
        <w:instrText>ADDIN CSL_CITATION {"citationItems":[{"id":"ITEM-1","itemData":{"DOI":"10.1177/193229680800200623","ISSN":"19322968","PMID":"19885303","abstract":"The incidence of obesity in the United States and other developed countries is epidemic. Because the prevalence of comorbidities to obesity such as type 2 diabetes, has also increased, it is clear there is a great need to monitor and treat obesity and its comorbidities. Body composition assessments vary in precision and in the target tissue of interest. The most common assessments are anthropometric and include weight, stature, abdominal circumference, and skinfold measurements. More complex methods include bioelectrical impedance, dual-energy X-ray absorptiometry, body density, and total body water estimates. There is no single universally recommended method for body composition assessment in the obese, but each modality has benefits and drawbacks. We present here the most common methods and provide guidelines by way of examples to assist the clinician/researcher in choosing methods appropriate to their situation. © Diabetes Technology Society.","author":[{"dropping-particle":"","family":"Duren","given":"Dana L.","non-dropping-particle":"","parse-names":false,"suffix":""},{"dropping-particle":"","family":"Sherwood","given":"Richard J.","non-dropping-particle":"","parse-names":false,"suffix":""},{"dropping-particle":"","family":"Czerwinski","given":"Stefan A.","non-dropping-particle":"","parse-names":false,"suffix":""},{"dropping-particle":"","family":"Lee","given":"Miryoung","non-dropping-particle":"","parse-names":false,"suffix":""},{"dropping-particle":"","family":"Choh","given":"Audrey C.","non-dropping-particle":"","parse-names":false,"suffix":""},{"dropping-particle":"","family":"Siervogel","given":"Roger M.","non-dropping-particle":"","parse-names":false,"suffix":""},{"dropping-particle":"","family":"Chumlea","given":"WM Cameron","non-dropping-particle":"","parse-names":false,"suffix":""}],"container-title":"Journal of Diabetes Science and Technology","id":"ITEM-1","issue":"6","issued":{"date-parts":[["2008"]]},"page":"1139-1146","publisher":"SAGE Publications Inc.","title":"Body composition methods: Comparisons and interpretation","type":"article-journal","volume":"2"},"uris":["http://www.mendeley.com/documents/?uuid=14c7f3f8-8075-3fcc-ae15-6aeef4984a2a"]}],"mendeley":{"formattedCitation":"&lt;sup&gt;15&lt;/sup&gt;","plainTextFormattedCitation":"15","previouslyFormattedCitation":"&lt;sup&gt;15&lt;/sup&gt;"},"properties":{"noteIndex":0},"schema":"https://github.com/citation-style-language/schema/raw/master/csl-citation.json"}</w:instrText>
      </w:r>
      <w:r w:rsidR="00D83314">
        <w:rPr>
          <w:rFonts w:cstheme="minorHAnsi"/>
        </w:rPr>
        <w:fldChar w:fldCharType="separate"/>
      </w:r>
      <w:r w:rsidR="00CB462E" w:rsidRPr="00CB462E">
        <w:rPr>
          <w:rFonts w:cstheme="minorHAnsi"/>
          <w:noProof/>
          <w:vertAlign w:val="superscript"/>
        </w:rPr>
        <w:t>15</w:t>
      </w:r>
      <w:r w:rsidR="00D83314">
        <w:rPr>
          <w:rFonts w:cstheme="minorHAnsi"/>
        </w:rPr>
        <w:fldChar w:fldCharType="end"/>
      </w:r>
      <w:r w:rsidR="00D83314">
        <w:rPr>
          <w:rFonts w:cstheme="minorHAnsi"/>
        </w:rPr>
        <w:t xml:space="preserve">. </w:t>
      </w:r>
      <w:r w:rsidR="00A26755">
        <w:rPr>
          <w:rFonts w:cstheme="minorHAnsi"/>
        </w:rPr>
        <w:t xml:space="preserve">Alternative research methods for ascertaining true body composition in children with IBD will be increasingly important. Utilising routine measures of lean mass from MRI or CT scans, alongside specific measures such as </w:t>
      </w:r>
      <w:r w:rsidR="00581037">
        <w:rPr>
          <w:rFonts w:cstheme="minorHAnsi"/>
        </w:rPr>
        <w:t>ADP</w:t>
      </w:r>
      <w:r w:rsidR="00A26755">
        <w:rPr>
          <w:rFonts w:cstheme="minorHAnsi"/>
        </w:rPr>
        <w:t xml:space="preserve">, are likely to be useful in identification of patients who are </w:t>
      </w:r>
      <w:r w:rsidR="00A26755">
        <w:rPr>
          <w:rFonts w:cstheme="minorHAnsi"/>
        </w:rPr>
        <w:lastRenderedPageBreak/>
        <w:t>overweight but have a lean muscle deficit</w:t>
      </w:r>
      <w:r w:rsidR="00A26755">
        <w:rPr>
          <w:rFonts w:cstheme="minorHAnsi"/>
        </w:rPr>
        <w:fldChar w:fldCharType="begin" w:fldLock="1"/>
      </w:r>
      <w:r w:rsidR="00CC3027">
        <w:rPr>
          <w:rFonts w:cstheme="minorHAnsi"/>
        </w:rPr>
        <w:instrText>ADDIN CSL_CITATION {"citationItems":[{"id":"ITEM-1","itemData":{"DOI":"10.1097/MPG.0000000000002683","ISSN":"15364801","PMID":"32141991","abstract":"OBJECTIVE: The aim of the study was to assess the body composition of children with inflammatory bowel disease (IBD) and to study the accuracy of clinically available tools in predicting excess body fatness. We aimed at also exploring the influence of adiposity on pharmacokinetics during early Infliximab exposure. METHODS: Prospective cohort study in 5- to 17-year-old children with IBD initiating Infliximab therapy. Patient demographic, phenotypic, and laboratory data at the time of Infliximab initiation were recorded. Body composition was assessed using air displacement plethysmography (ADP). fat mass index (FMI = fat mass [kg]/(height [m])) was calculated to determine excess adiposity (defined as FMI ≥75th centile). Anthropometrics (weight, height, mid upper arm circumference [MUAC] and triceps skin fold thickness [TSF]) were obtained and MUAC and TSF measurements were used to calculate arm fat area (AFA) and arm muscle area z-scores. Statistical analysis was applied as appropriate. RESULTS: Fifty-three (68% male; 55% Crohn disease [CD], 45% ulcerative colitis [UC], median [IQR] age 15 [13-16] years) children with IBD were included. Twenty-four percentage of children with IBD (21% CD, 29% UC) had excess adiposity. Four children (31%) with FMI ≥75th centile were not identified by body mass index (BMI) alone (kappa of 0.60), and 2 children (15%) were not identified by AFA z-score alone. The intra- and interobserver reliability of MUAC and TSFT measurements was excellent. There was no difference in Infliximab trough levels at the end of induction between those with FMI less than or ≥75th centile. CONCLUSIONS: Excess adiposity affects approximately 1 in 4 young patients with IBD and can be missed by routine obesity screening. Our exploratory study did not raise concerns of underexposure to infliximab in those children with excess adiposity during early drug exposure.","author":[{"dropping-particle":"","family":"Dhaliwal","given":"Jasbir","non-dropping-particle":"","parse-names":false,"suffix":""},{"dropping-particle":"","family":"Martincevic","given":"Inez","non-dropping-particle":"","parse-names":false,"suffix":""},{"dropping-particle":"","family":"Williams","given":"Brock","non-dropping-particle":"","parse-names":false,"suffix":""},{"dropping-particle":"","family":"Frost","given":"Karen","non-dropping-particle":"","parse-names":false,"suffix":""},{"dropping-particle":"","family":"Uusoue","given":"Krista","non-dropping-particle":"","parse-names":false,"suffix":""},{"dropping-particle":"","family":"Arpino","given":"Valerie","non-dropping-particle":"","parse-names":false,"suffix":""},{"dropping-particle":"","family":"Church","given":"Peter","non-dropping-particle":"","parse-names":false,"suffix":""},{"dropping-particle":"","family":"Walters","given":"Thomas D.","non-dropping-particle":"","parse-names":false,"suffix":""},{"dropping-particle":"","family":"Griffiths","given":"Anne M.","non-dropping-particle":"","parse-names":false,"suffix":""},{"dropping-particle":"","family":"Mouzaki","given":"Marialena","non-dropping-particle":"","parse-names":false,"suffix":""}],"container-title":"Journal of pediatric gastroenterology and nutrition","id":"ITEM-1","issue":"1","issued":{"date-parts":[["2020","7","1"]]},"page":"52-58","publisher":"NLM (Medline)","title":"Body Composition Using Air Displacement Plethysmography in Children With Inflammatory Bowel Disease","type":"article-journal","volume":"71"},"uris":["http://www.mendeley.com/documents/?uuid=8cd3351e-8c2b-34b9-b598-233b7547a8e0"]}],"mendeley":{"formattedCitation":"&lt;sup&gt;11&lt;/sup&gt;","plainTextFormattedCitation":"11","previouslyFormattedCitation":"&lt;sup&gt;11&lt;/sup&gt;"},"properties":{"noteIndex":0},"schema":"https://github.com/citation-style-language/schema/raw/master/csl-citation.json"}</w:instrText>
      </w:r>
      <w:r w:rsidR="00A26755">
        <w:rPr>
          <w:rFonts w:cstheme="minorHAnsi"/>
        </w:rPr>
        <w:fldChar w:fldCharType="separate"/>
      </w:r>
      <w:r w:rsidR="00A26755" w:rsidRPr="00A26755">
        <w:rPr>
          <w:rFonts w:cstheme="minorHAnsi"/>
          <w:noProof/>
          <w:vertAlign w:val="superscript"/>
        </w:rPr>
        <w:t>11</w:t>
      </w:r>
      <w:r w:rsidR="00A26755">
        <w:rPr>
          <w:rFonts w:cstheme="minorHAnsi"/>
        </w:rPr>
        <w:fldChar w:fldCharType="end"/>
      </w:r>
      <w:r w:rsidR="00A26755">
        <w:rPr>
          <w:rFonts w:cstheme="minorHAnsi"/>
        </w:rPr>
        <w:t xml:space="preserve">. Directing personalised nutritional care towards these patients is vital, and body composition toolkits must be developed to avoid untargeted supplementation. </w:t>
      </w:r>
    </w:p>
    <w:p w14:paraId="7B5C514A" w14:textId="0DF0B5B2" w:rsidR="001435D4" w:rsidRDefault="00E85FC7" w:rsidP="00110F0C">
      <w:pPr>
        <w:spacing w:line="480" w:lineRule="auto"/>
        <w:rPr>
          <w:rFonts w:cstheme="minorHAnsi"/>
        </w:rPr>
      </w:pPr>
      <w:r>
        <w:rPr>
          <w:rFonts w:cstheme="minorHAnsi"/>
        </w:rPr>
        <w:t xml:space="preserve">All patients and study visits were prospectively recruited, with data captured at each visit. Standardised anthropometric and BIS measures were performed by a small group of trained researchers. Despite this we accept there are several limitations of this study, firstly the patients were largely well and stable, meaning we were unable to capture a broad spectrum of disease activity. Additionally, we did not include newly diagnosed patients which may have led to fewer underweight individuals being studied. However, the aim was to ascertain BIS measures and assess the utility in a group of stable IBD patients, representing the majority of children under follow-up. </w:t>
      </w:r>
      <w:bookmarkStart w:id="5" w:name="_Hlk73097809"/>
      <w:r w:rsidR="008A4B59">
        <w:rPr>
          <w:rFonts w:cstheme="minorHAnsi"/>
        </w:rPr>
        <w:t xml:space="preserve">We acknowledge that BIS may be of use in differentiation of an inflammatory state in patients with active disease. </w:t>
      </w:r>
      <w:bookmarkEnd w:id="5"/>
    </w:p>
    <w:p w14:paraId="3A10578C" w14:textId="47983764" w:rsidR="00E85FC7" w:rsidRDefault="00E85FC7" w:rsidP="00110F0C">
      <w:pPr>
        <w:spacing w:line="480" w:lineRule="auto"/>
        <w:rPr>
          <w:rFonts w:cstheme="minorHAnsi"/>
        </w:rPr>
      </w:pPr>
      <w:r>
        <w:rPr>
          <w:rFonts w:cstheme="minorHAnsi"/>
        </w:rPr>
        <w:t xml:space="preserve">These data indicate that up to a third of stable paediatric patients with IBD are overweight. </w:t>
      </w:r>
      <w:r w:rsidR="00DE136A">
        <w:rPr>
          <w:rFonts w:cstheme="minorHAnsi"/>
        </w:rPr>
        <w:t xml:space="preserve">Recent ECCO-ESPGHAN guidance recommends maintenance enteral nutrition as a strategy for prolonging remission in patients with low </w:t>
      </w:r>
      <w:r w:rsidR="002B4873">
        <w:rPr>
          <w:rFonts w:cstheme="minorHAnsi"/>
        </w:rPr>
        <w:t>CD</w:t>
      </w:r>
      <w:r w:rsidR="00DE136A">
        <w:rPr>
          <w:rFonts w:cstheme="minorHAnsi"/>
        </w:rPr>
        <w:t xml:space="preserve"> activity</w:t>
      </w:r>
      <w:r w:rsidR="00DE136A">
        <w:rPr>
          <w:rFonts w:cstheme="minorHAnsi"/>
        </w:rPr>
        <w:fldChar w:fldCharType="begin" w:fldLock="1"/>
      </w:r>
      <w:r w:rsidR="00E35922">
        <w:rPr>
          <w:rFonts w:cstheme="minorHAnsi"/>
        </w:rPr>
        <w:instrText>ADDIN CSL_CITATION {"citationItems":[{"id":"ITEM-1","itemData":{"DOI":"10.1093/ecco-jcc/jjaa161","ISSN":"1873-9946","abstract":"Objective: We aimed to provide an evidence-supported update of the ECCO-ESPGHAN guideline on the medical management of paediatric Crohn's disease [CD]. Methods: We formed 10 working groups and formulated 17 PICO-structured clinical questions [Patients, Intervention, Comparator, and Outcome]. A systematic literature search from January 1, 1991 to March 19, 2019 was conducted by a medical librarian using MEDLINE, EMBASE, and Cochrane Central databases. A shortlist of 30 provisional statements were further refined during a consensus meeting in Barcelona in October 2019 and subjected to a vote. In total 22 statements reached ≥ 80% agreement and were retained. Results: We established that it was key to identify patients at high risk of a complicated disease course at the earliest opportunity, to reduce bowel damage. Patients with perianal disease, stricturing or penetrating behaviour, or severe growth retardation should be considered for up-front anti-tumour necrosis factor [TNF] agents in combination with an immunomodulator. Therapeutic drug monitoring to guide treatment changes is recommended over empirically escalating anti-TNF dose or switching therapies. Patients with low-risk luminal CD should be induced with exclusive enteral nutrition [EEN], or with corticosteroids when EEN is not an option, and require immunomodulator-based maintenance therapy. Favourable outcomes rely on close monitoring of treatment response, with timely adjustments in therapy when treatment targets are not met. Serial faecal calprotectin measurements or small bowel imaging [ultrasound or magnetic resonance enterography] are more reliable markers of treatment response than clinical scores alone. Conclusions: We present state-of-the-art guidance on the medical treatment and long-term management of children and adolescents with CD.","author":[{"dropping-particle":"","family":"Rheenen","given":"Patrick F","non-dropping-particle":"Van","parse-names":false,"suffix":""},{"dropping-particle":"","family":"Aloi","given":"Marina","non-dropping-particle":"","parse-names":false,"suffix":""},{"dropping-particle":"","family":"Assa","given":"Amit","non-dropping-particle":"","parse-names":false,"suffix":""},{"dropping-particle":"","family":"Bronsky","given":"Jiri","non-dropping-particle":"","parse-names":false,"suffix":""},{"dropping-particle":"","family":"Escher","given":"Johanna C","non-dropping-particle":"","parse-names":false,"suffix":""},{"dropping-particle":"","family":"Fagerberg","given":"Ulrika L","non-dropping-particle":"","parse-names":false,"suffix":""},{"dropping-particle":"","family":"Gasparetto","given":"Marco","non-dropping-particle":"","parse-names":false,"suffix":""},{"dropping-particle":"","family":"Gerasimidis","given":"Konstantinos","non-dropping-particle":"","parse-names":false,"suffix":""},{"dropping-particle":"","family":"Griffiths","given":"Anne","non-dropping-particle":"","parse-names":false,"suffix":""},{"dropping-particle":"","family":"Henderson","given":"Paul","non-dropping-particle":"","parse-names":false,"suffix":""},{"dropping-particle":"","family":"Koletzko","given":"Sibylle","non-dropping-particle":"","parse-names":false,"suffix":""},{"dropping-particle":"","family":"Kolho","given":"Kaija-Leena","non-dropping-particle":"","parse-names":false,"suffix":""},{"dropping-particle":"","family":"Levine","given":"Arie","non-dropping-particle":"","parse-names":false,"suffix":""},{"dropping-particle":"","family":"Limbergen","given":"Johan","non-dropping-particle":"Van","parse-names":false,"suffix":""},{"dropping-particle":"","family":"Martin De Carpi","given":"Francisco Javier","non-dropping-particle":"","parse-names":false,"suffix":""},{"dropping-particle":"","family":"Navas-López","given":"Víctor Manuel","non-dropping-particle":"","parse-names":false,"suffix":""},{"dropping-particle":"","family":"Oliva","given":"Salvatore","non-dropping-particle":"","parse-names":false,"suffix":""},{"dropping-particle":"","family":"Ridder","given":"Lissy","non-dropping-particle":"De","parse-names":false,"suffix":""},{"dropping-particle":"","family":"Russell","given":"Richard K","non-dropping-particle":"","parse-names":false,"suffix":""},{"dropping-particle":"","family":"Shouval","given":"Dror","non-dropping-particle":"","parse-names":false,"suffix":""},{"dropping-particle":"","family":"Spinelli","given":"Antonino","non-dropping-particle":"","parse-names":false,"suffix":""},{"dropping-particle":"","family":"Turner","given":"Dan","non-dropping-particle":"","parse-names":false,"suffix":""},{"dropping-particle":"","family":"Wilson","given":"David","non-dropping-particle":"","parse-names":false,"suffix":""},{"dropping-particle":"","family":"Wine","given":"Eytan","non-dropping-particle":"","parse-names":false,"suffix":""},{"dropping-particle":"","family":"Ruemmele","given":"Frank M","non-dropping-particle":"","parse-names":false,"suffix":""}],"container-title":"Journal of Crohn’s and Colitis","id":"ITEM-1","issued":{"date-parts":[["2020"]]},"page":"1-24","publisher":"Oxford University Press (OUP)","title":"The Medical Management of Paediatric Crohn’s Disease: an ECCO-ESPGHAN Guideline Update","type":"article-journal","volume":"2020"},"uris":["http://www.mendeley.com/documents/?uuid=1fd3b212-b3b4-334c-b05c-12b2ae410ea7"]}],"mendeley":{"formattedCitation":"&lt;sup&gt;30&lt;/sup&gt;","plainTextFormattedCitation":"30","previouslyFormattedCitation":"&lt;sup&gt;30&lt;/sup&gt;"},"properties":{"noteIndex":0},"schema":"https://github.com/citation-style-language/schema/raw/master/csl-citation.json"}</w:instrText>
      </w:r>
      <w:r w:rsidR="00DE136A">
        <w:rPr>
          <w:rFonts w:cstheme="minorHAnsi"/>
        </w:rPr>
        <w:fldChar w:fldCharType="separate"/>
      </w:r>
      <w:r w:rsidR="00CC3027" w:rsidRPr="00CC3027">
        <w:rPr>
          <w:rFonts w:cstheme="minorHAnsi"/>
          <w:noProof/>
          <w:vertAlign w:val="superscript"/>
        </w:rPr>
        <w:t>30</w:t>
      </w:r>
      <w:r w:rsidR="00DE136A">
        <w:rPr>
          <w:rFonts w:cstheme="minorHAnsi"/>
        </w:rPr>
        <w:fldChar w:fldCharType="end"/>
      </w:r>
      <w:r w:rsidR="00DE136A">
        <w:rPr>
          <w:rFonts w:cstheme="minorHAnsi"/>
        </w:rPr>
        <w:t xml:space="preserve">. Careful nutritional consideration must be undertaken in these patients to ensure </w:t>
      </w:r>
      <w:r w:rsidR="00581037">
        <w:rPr>
          <w:rFonts w:cstheme="minorHAnsi"/>
        </w:rPr>
        <w:t>supplemental nutrition</w:t>
      </w:r>
      <w:r w:rsidR="00DE136A">
        <w:rPr>
          <w:rFonts w:cstheme="minorHAnsi"/>
        </w:rPr>
        <w:t xml:space="preserve"> is included in the entire daily calorific requirement for these patients, as energy supplementation beyond normal baseline requirements is not needed in </w:t>
      </w:r>
      <w:r w:rsidR="002B4873">
        <w:rPr>
          <w:rFonts w:cstheme="minorHAnsi"/>
        </w:rPr>
        <w:t>CD</w:t>
      </w:r>
      <w:r w:rsidR="00DE136A">
        <w:rPr>
          <w:rFonts w:cstheme="minorHAnsi"/>
        </w:rPr>
        <w:t xml:space="preserve">. </w:t>
      </w:r>
      <w:r>
        <w:rPr>
          <w:rFonts w:cstheme="minorHAnsi"/>
        </w:rPr>
        <w:t xml:space="preserve">A higher IR may be able to identify those at increased risk of undernutrition. </w:t>
      </w:r>
      <w:r w:rsidR="00C0684A">
        <w:rPr>
          <w:rFonts w:cstheme="minorHAnsi"/>
        </w:rPr>
        <w:t xml:space="preserve">Thoughtful nutritional intervention in well IBD patients is vital and these data provide the framework to avoid routine supplementation whilst identifying those at increased risk of both over and undernutrition. </w:t>
      </w:r>
    </w:p>
    <w:p w14:paraId="27359A37" w14:textId="2FF7333B" w:rsidR="001941F6" w:rsidRDefault="001941F6" w:rsidP="001941F6">
      <w:pPr>
        <w:spacing w:line="480" w:lineRule="auto"/>
        <w:rPr>
          <w:rFonts w:cstheme="minorHAnsi"/>
        </w:rPr>
      </w:pPr>
    </w:p>
    <w:p w14:paraId="397530A1" w14:textId="5FD7744B" w:rsidR="001941F6" w:rsidRDefault="001941F6" w:rsidP="001941F6">
      <w:pPr>
        <w:spacing w:line="480" w:lineRule="auto"/>
        <w:rPr>
          <w:rFonts w:cstheme="minorHAnsi"/>
        </w:rPr>
      </w:pPr>
    </w:p>
    <w:p w14:paraId="679538FC" w14:textId="62B81049" w:rsidR="001941F6" w:rsidRDefault="001941F6" w:rsidP="001941F6">
      <w:pPr>
        <w:spacing w:line="480" w:lineRule="auto"/>
        <w:rPr>
          <w:rFonts w:cstheme="minorHAnsi"/>
        </w:rPr>
      </w:pPr>
    </w:p>
    <w:p w14:paraId="4A559A35" w14:textId="5109CD5A" w:rsidR="001941F6" w:rsidRDefault="001941F6" w:rsidP="001941F6">
      <w:pPr>
        <w:spacing w:line="480" w:lineRule="auto"/>
        <w:rPr>
          <w:rFonts w:cstheme="minorHAnsi"/>
        </w:rPr>
      </w:pPr>
    </w:p>
    <w:p w14:paraId="28EAACE7" w14:textId="77777777" w:rsidR="00D83314" w:rsidRDefault="00D83314" w:rsidP="00110F0C">
      <w:pPr>
        <w:spacing w:line="480" w:lineRule="auto"/>
        <w:rPr>
          <w:rFonts w:cstheme="minorHAnsi"/>
          <w:b/>
          <w:bCs/>
          <w:u w:val="single"/>
        </w:rPr>
      </w:pPr>
      <w:r>
        <w:rPr>
          <w:rFonts w:cstheme="minorHAnsi"/>
          <w:b/>
          <w:bCs/>
          <w:u w:val="single"/>
        </w:rPr>
        <w:lastRenderedPageBreak/>
        <w:t>Tables and figures</w:t>
      </w:r>
    </w:p>
    <w:p w14:paraId="3C7D2914" w14:textId="53FA5690" w:rsidR="00D83314" w:rsidRPr="00D83314" w:rsidRDefault="00D83314" w:rsidP="00110F0C">
      <w:pPr>
        <w:spacing w:line="480" w:lineRule="auto"/>
        <w:rPr>
          <w:rFonts w:cstheme="minorHAnsi"/>
          <w:u w:val="single"/>
        </w:rPr>
      </w:pPr>
      <w:r w:rsidRPr="00D83314">
        <w:rPr>
          <w:rFonts w:cstheme="minorHAnsi"/>
          <w:u w:val="single"/>
        </w:rPr>
        <w:t>Table 1</w:t>
      </w:r>
      <w:r>
        <w:rPr>
          <w:rFonts w:cstheme="minorHAnsi"/>
          <w:u w:val="single"/>
        </w:rPr>
        <w:t>-</w:t>
      </w:r>
      <w:r w:rsidR="00DD346E" w:rsidRPr="00A26755">
        <w:rPr>
          <w:rFonts w:cstheme="minorHAnsi"/>
        </w:rPr>
        <w:t xml:space="preserve"> </w:t>
      </w:r>
      <w:r w:rsidR="00DD346E">
        <w:t>Enter multivariable linear regression, dependant variable disease activity (PCDAI or PUCAI)</w:t>
      </w:r>
    </w:p>
    <w:p w14:paraId="1D5EAA3F" w14:textId="69E33CBC" w:rsidR="00D83314" w:rsidRPr="00D83314" w:rsidRDefault="00D83314" w:rsidP="00110F0C">
      <w:pPr>
        <w:spacing w:line="480" w:lineRule="auto"/>
        <w:rPr>
          <w:rFonts w:cstheme="minorHAnsi"/>
          <w:u w:val="single"/>
        </w:rPr>
      </w:pPr>
      <w:r w:rsidRPr="00D83314">
        <w:rPr>
          <w:rFonts w:cstheme="minorHAnsi"/>
          <w:u w:val="single"/>
        </w:rPr>
        <w:t>Table 2</w:t>
      </w:r>
      <w:r>
        <w:rPr>
          <w:rFonts w:cstheme="minorHAnsi"/>
          <w:u w:val="single"/>
        </w:rPr>
        <w:t>-</w:t>
      </w:r>
      <w:r w:rsidR="00DD346E" w:rsidRPr="00A26755">
        <w:rPr>
          <w:rFonts w:cstheme="minorHAnsi"/>
        </w:rPr>
        <w:t xml:space="preserve"> </w:t>
      </w:r>
      <w:r w:rsidR="00DD346E">
        <w:t>Enter multivariable linear regression, dependant variable BMI Z-score</w:t>
      </w:r>
    </w:p>
    <w:p w14:paraId="289958BF" w14:textId="49C21ADB" w:rsidR="00D83314" w:rsidRPr="00D83314" w:rsidRDefault="00D83314" w:rsidP="00110F0C">
      <w:pPr>
        <w:spacing w:line="480" w:lineRule="auto"/>
        <w:rPr>
          <w:rFonts w:cstheme="minorHAnsi"/>
          <w:u w:val="single"/>
        </w:rPr>
      </w:pPr>
      <w:r w:rsidRPr="00D83314">
        <w:rPr>
          <w:rFonts w:cstheme="minorHAnsi"/>
          <w:u w:val="single"/>
        </w:rPr>
        <w:t>Table 3</w:t>
      </w:r>
      <w:r>
        <w:rPr>
          <w:rFonts w:cstheme="minorHAnsi"/>
          <w:u w:val="single"/>
        </w:rPr>
        <w:t>-</w:t>
      </w:r>
      <w:r w:rsidR="00DD346E" w:rsidRPr="00A26755">
        <w:rPr>
          <w:rFonts w:cstheme="minorHAnsi"/>
        </w:rPr>
        <w:t xml:space="preserve"> </w:t>
      </w:r>
      <w:r w:rsidR="00DD346E">
        <w:t>Enter multivariable linear regression, dependant variable disease activity (PCDAI or PUCAI)</w:t>
      </w:r>
    </w:p>
    <w:p w14:paraId="0E193727" w14:textId="04B25FCF" w:rsidR="00D83314" w:rsidRDefault="00D83314" w:rsidP="00110F0C">
      <w:pPr>
        <w:spacing w:line="480" w:lineRule="auto"/>
      </w:pPr>
      <w:r w:rsidRPr="00D83314">
        <w:rPr>
          <w:rFonts w:cstheme="minorHAnsi"/>
          <w:u w:val="single"/>
        </w:rPr>
        <w:t>Table 4</w:t>
      </w:r>
      <w:r>
        <w:rPr>
          <w:rFonts w:cstheme="minorHAnsi"/>
          <w:u w:val="single"/>
        </w:rPr>
        <w:t>-</w:t>
      </w:r>
      <w:r w:rsidR="00DD346E" w:rsidRPr="00A26755">
        <w:rPr>
          <w:rFonts w:cstheme="minorHAnsi"/>
        </w:rPr>
        <w:t xml:space="preserve"> </w:t>
      </w:r>
      <w:r w:rsidR="00DD346E">
        <w:t>Enter multivariable linear regression, dependant variable BMI Z-score</w:t>
      </w:r>
    </w:p>
    <w:p w14:paraId="4A12445E" w14:textId="77777777" w:rsidR="00DA4A5A" w:rsidRPr="00D83314" w:rsidRDefault="00DA4A5A" w:rsidP="00110F0C">
      <w:pPr>
        <w:spacing w:line="480" w:lineRule="auto"/>
        <w:rPr>
          <w:rFonts w:cstheme="minorHAnsi"/>
          <w:u w:val="single"/>
        </w:rPr>
      </w:pPr>
    </w:p>
    <w:p w14:paraId="04D8C3E1" w14:textId="346C78BF" w:rsidR="00D83314" w:rsidRPr="00D83314" w:rsidRDefault="00D83314" w:rsidP="00110F0C">
      <w:pPr>
        <w:spacing w:line="480" w:lineRule="auto"/>
        <w:rPr>
          <w:rFonts w:cstheme="minorHAnsi"/>
        </w:rPr>
      </w:pPr>
      <w:r w:rsidRPr="00D83314">
        <w:rPr>
          <w:rFonts w:cstheme="minorHAnsi"/>
          <w:u w:val="single"/>
        </w:rPr>
        <w:t>Figure 1</w:t>
      </w:r>
      <w:r>
        <w:rPr>
          <w:rFonts w:cstheme="minorHAnsi"/>
          <w:u w:val="single"/>
        </w:rPr>
        <w:t>A-</w:t>
      </w:r>
      <w:r w:rsidRPr="00257B4B">
        <w:rPr>
          <w:rFonts w:cstheme="minorHAnsi"/>
        </w:rPr>
        <w:t xml:space="preserve"> </w:t>
      </w:r>
      <w:r>
        <w:rPr>
          <w:rFonts w:cstheme="minorHAnsi"/>
        </w:rPr>
        <w:t>BMI Z-score distribution for the entire IBD cohort</w:t>
      </w:r>
      <w:r w:rsidR="00A26755">
        <w:rPr>
          <w:rFonts w:cstheme="minorHAnsi"/>
        </w:rPr>
        <w:t xml:space="preserve"> demonstrating a majority of patients have a BMI Z score &gt;0</w:t>
      </w:r>
      <w:r>
        <w:rPr>
          <w:rFonts w:cstheme="minorHAnsi"/>
        </w:rPr>
        <w:t xml:space="preserve">, </w:t>
      </w:r>
      <w:r>
        <w:rPr>
          <w:rFonts w:cstheme="minorHAnsi"/>
          <w:u w:val="single"/>
        </w:rPr>
        <w:t>1B-</w:t>
      </w:r>
      <w:r w:rsidR="00257B4B">
        <w:rPr>
          <w:rFonts w:cstheme="minorHAnsi"/>
        </w:rPr>
        <w:t xml:space="preserve"> BMI Z-score distribution for patients with Crohn’s disease, </w:t>
      </w:r>
      <w:r>
        <w:rPr>
          <w:rFonts w:cstheme="minorHAnsi"/>
          <w:u w:val="single"/>
        </w:rPr>
        <w:t>1C-</w:t>
      </w:r>
      <w:r w:rsidR="00257B4B">
        <w:rPr>
          <w:rFonts w:cstheme="minorHAnsi"/>
        </w:rPr>
        <w:t xml:space="preserve"> BMI Z-score distribution for patients with ulcerative colitis. </w:t>
      </w:r>
      <w:r>
        <w:rPr>
          <w:rFonts w:cstheme="minorHAnsi"/>
        </w:rPr>
        <w:t xml:space="preserve"> </w:t>
      </w:r>
    </w:p>
    <w:p w14:paraId="48BF30D3" w14:textId="368D1B4D" w:rsidR="00D83314" w:rsidRDefault="00D83314" w:rsidP="00110F0C">
      <w:pPr>
        <w:spacing w:line="480" w:lineRule="auto"/>
        <w:rPr>
          <w:rFonts w:cstheme="minorHAnsi"/>
        </w:rPr>
      </w:pPr>
      <w:r w:rsidRPr="00D83314">
        <w:rPr>
          <w:rFonts w:cstheme="minorHAnsi"/>
          <w:u w:val="single"/>
        </w:rPr>
        <w:t>Figure 2</w:t>
      </w:r>
      <w:r>
        <w:rPr>
          <w:rFonts w:cstheme="minorHAnsi"/>
          <w:u w:val="single"/>
        </w:rPr>
        <w:t>-</w:t>
      </w:r>
      <w:r w:rsidR="00257B4B">
        <w:rPr>
          <w:rFonts w:cstheme="minorHAnsi"/>
        </w:rPr>
        <w:t xml:space="preserve"> Receiver operator curves (ROC) for biologic use, disease activity (PCDAI &gt;10), BMI Z-score &gt;1 and BMI Z-score &lt;-1, determined by phase angle 50Khz and impedance ratio (200/5KHz). None of the ROC analyses demonstrate statistical significance. </w:t>
      </w:r>
    </w:p>
    <w:p w14:paraId="5E5D2759" w14:textId="1458351C" w:rsidR="00DD346E" w:rsidRDefault="00DD346E" w:rsidP="00110F0C">
      <w:pPr>
        <w:spacing w:line="480" w:lineRule="auto"/>
        <w:rPr>
          <w:rFonts w:cstheme="minorHAnsi"/>
        </w:rPr>
      </w:pPr>
    </w:p>
    <w:p w14:paraId="16FA2C58" w14:textId="0B3BBF43" w:rsidR="00A26755" w:rsidRDefault="00A26755" w:rsidP="00110F0C">
      <w:pPr>
        <w:spacing w:line="480" w:lineRule="auto"/>
        <w:rPr>
          <w:rFonts w:cstheme="minorHAnsi"/>
          <w:b/>
          <w:bCs/>
          <w:u w:val="single"/>
        </w:rPr>
      </w:pPr>
      <w:r w:rsidRPr="00A26755">
        <w:rPr>
          <w:rFonts w:cstheme="minorHAnsi"/>
          <w:b/>
          <w:bCs/>
          <w:u w:val="single"/>
        </w:rPr>
        <w:t>Supplementary data</w:t>
      </w:r>
    </w:p>
    <w:p w14:paraId="3FD0EF56" w14:textId="7608BDA1" w:rsidR="00DB6117" w:rsidRDefault="00DB6117" w:rsidP="00110F0C">
      <w:pPr>
        <w:spacing w:line="480" w:lineRule="auto"/>
        <w:rPr>
          <w:rFonts w:cstheme="minorHAnsi"/>
          <w:u w:val="single"/>
        </w:rPr>
      </w:pPr>
      <w:r>
        <w:rPr>
          <w:rFonts w:cstheme="minorHAnsi"/>
          <w:u w:val="single"/>
        </w:rPr>
        <w:t>Supplementary figure 1- Flow chart of patient recruitment and study visits</w:t>
      </w:r>
    </w:p>
    <w:p w14:paraId="0E25132F" w14:textId="07902465" w:rsidR="00A26755" w:rsidRDefault="00A26755" w:rsidP="00110F0C">
      <w:pPr>
        <w:spacing w:line="480" w:lineRule="auto"/>
        <w:rPr>
          <w:rFonts w:cstheme="minorHAnsi"/>
        </w:rPr>
      </w:pPr>
      <w:r>
        <w:rPr>
          <w:rFonts w:cstheme="minorHAnsi"/>
          <w:u w:val="single"/>
        </w:rPr>
        <w:t>Supplementary data 1-</w:t>
      </w:r>
      <w:r>
        <w:rPr>
          <w:rFonts w:cstheme="minorHAnsi"/>
        </w:rPr>
        <w:t xml:space="preserve"> Height, weight and BMI Z scores for entire cohort at all time points</w:t>
      </w:r>
    </w:p>
    <w:p w14:paraId="3287CD30" w14:textId="1DA0EE8B" w:rsidR="00A26755" w:rsidRPr="00A26755" w:rsidRDefault="00A26755" w:rsidP="00110F0C">
      <w:pPr>
        <w:spacing w:line="480" w:lineRule="auto"/>
        <w:rPr>
          <w:rFonts w:cstheme="minorHAnsi"/>
        </w:rPr>
      </w:pPr>
      <w:r w:rsidRPr="00A26755">
        <w:rPr>
          <w:rFonts w:cstheme="minorHAnsi"/>
          <w:u w:val="single"/>
        </w:rPr>
        <w:t>Supplementary data 2-</w:t>
      </w:r>
      <w:r>
        <w:rPr>
          <w:rFonts w:cstheme="minorHAnsi"/>
        </w:rPr>
        <w:softHyphen/>
        <w:t xml:space="preserve"> Aggregated phase angle measurements for entire cohort at all time points</w:t>
      </w:r>
    </w:p>
    <w:p w14:paraId="4C9FB8EA" w14:textId="2685CAA4" w:rsidR="00DD346E" w:rsidRDefault="00DD346E" w:rsidP="00110F0C">
      <w:pPr>
        <w:spacing w:line="480" w:lineRule="auto"/>
        <w:rPr>
          <w:rFonts w:cstheme="minorHAnsi"/>
        </w:rPr>
      </w:pPr>
    </w:p>
    <w:p w14:paraId="75BBC30D" w14:textId="3F36C2E2" w:rsidR="00DD346E" w:rsidRDefault="00DD346E" w:rsidP="00110F0C">
      <w:pPr>
        <w:spacing w:line="480" w:lineRule="auto"/>
        <w:rPr>
          <w:rFonts w:cstheme="minorHAnsi"/>
        </w:rPr>
      </w:pPr>
    </w:p>
    <w:p w14:paraId="32DF2701" w14:textId="35E80F1B" w:rsidR="00DD346E" w:rsidRDefault="00DD346E" w:rsidP="00110F0C">
      <w:pPr>
        <w:spacing w:line="480" w:lineRule="auto"/>
        <w:rPr>
          <w:rFonts w:cstheme="minorHAnsi"/>
        </w:rPr>
      </w:pPr>
    </w:p>
    <w:p w14:paraId="22984C10" w14:textId="63E55DE8" w:rsidR="00DD346E" w:rsidRDefault="00DD346E" w:rsidP="00110F0C">
      <w:pPr>
        <w:spacing w:line="480" w:lineRule="auto"/>
        <w:rPr>
          <w:rFonts w:cstheme="minorHAnsi"/>
        </w:rPr>
      </w:pPr>
    </w:p>
    <w:p w14:paraId="752E37CD" w14:textId="77777777" w:rsidR="006F1504" w:rsidRDefault="006F1504" w:rsidP="00110F0C">
      <w:pPr>
        <w:spacing w:line="480" w:lineRule="auto"/>
        <w:rPr>
          <w:rFonts w:cstheme="minorHAnsi"/>
          <w:b/>
          <w:bCs/>
          <w:u w:val="single"/>
        </w:rPr>
      </w:pPr>
      <w:r>
        <w:rPr>
          <w:rFonts w:cstheme="minorHAnsi"/>
          <w:b/>
          <w:bCs/>
          <w:u w:val="single"/>
        </w:rPr>
        <w:lastRenderedPageBreak/>
        <w:t>Acknowledgements</w:t>
      </w:r>
    </w:p>
    <w:p w14:paraId="1E205DE9" w14:textId="6320FFF1" w:rsidR="006F1504" w:rsidRPr="006F1504" w:rsidRDefault="006F1504" w:rsidP="00110F0C">
      <w:pPr>
        <w:spacing w:line="480" w:lineRule="auto"/>
        <w:rPr>
          <w:rFonts w:cstheme="minorHAnsi"/>
        </w:rPr>
      </w:pPr>
      <w:r w:rsidRPr="006F1504">
        <w:rPr>
          <w:rFonts w:cstheme="minorHAnsi"/>
        </w:rPr>
        <w:t>JJA, and this study, were funded by a 2018 ESPEN personal fellowship</w:t>
      </w:r>
      <w:r>
        <w:rPr>
          <w:rFonts w:cstheme="minorHAnsi"/>
        </w:rPr>
        <w:t>.</w:t>
      </w:r>
    </w:p>
    <w:p w14:paraId="40E59698" w14:textId="091FA598" w:rsidR="00156914" w:rsidRPr="002756B1" w:rsidRDefault="002C4DEF" w:rsidP="00110F0C">
      <w:pPr>
        <w:spacing w:line="480" w:lineRule="auto"/>
        <w:rPr>
          <w:rFonts w:cstheme="minorHAnsi"/>
          <w:b/>
          <w:bCs/>
          <w:u w:val="single"/>
        </w:rPr>
      </w:pPr>
      <w:r w:rsidRPr="002756B1">
        <w:rPr>
          <w:rFonts w:cstheme="minorHAnsi"/>
          <w:b/>
          <w:bCs/>
          <w:u w:val="single"/>
        </w:rPr>
        <w:t>References</w:t>
      </w:r>
    </w:p>
    <w:p w14:paraId="6062F02E" w14:textId="2BE65158" w:rsidR="00D546E6" w:rsidRPr="00D546E6" w:rsidRDefault="002C4DEF" w:rsidP="00D546E6">
      <w:pPr>
        <w:widowControl w:val="0"/>
        <w:autoSpaceDE w:val="0"/>
        <w:autoSpaceDN w:val="0"/>
        <w:adjustRightInd w:val="0"/>
        <w:spacing w:line="480" w:lineRule="auto"/>
        <w:ind w:left="640" w:hanging="640"/>
        <w:rPr>
          <w:rFonts w:ascii="Calibri" w:hAnsi="Calibri" w:cs="Calibri"/>
          <w:noProof/>
          <w:szCs w:val="24"/>
        </w:rPr>
      </w:pPr>
      <w:r w:rsidRPr="002756B1">
        <w:rPr>
          <w:rFonts w:cstheme="minorHAnsi"/>
        </w:rPr>
        <w:fldChar w:fldCharType="begin" w:fldLock="1"/>
      </w:r>
      <w:r w:rsidRPr="002756B1">
        <w:rPr>
          <w:rFonts w:cstheme="minorHAnsi"/>
        </w:rPr>
        <w:instrText xml:space="preserve">ADDIN Mendeley Bibliography CSL_BIBLIOGRAPHY </w:instrText>
      </w:r>
      <w:r w:rsidRPr="002756B1">
        <w:rPr>
          <w:rFonts w:cstheme="minorHAnsi"/>
        </w:rPr>
        <w:fldChar w:fldCharType="separate"/>
      </w:r>
      <w:r w:rsidR="00D546E6" w:rsidRPr="00D546E6">
        <w:rPr>
          <w:rFonts w:ascii="Calibri" w:hAnsi="Calibri" w:cs="Calibri"/>
          <w:noProof/>
          <w:szCs w:val="24"/>
        </w:rPr>
        <w:t>1.</w:t>
      </w:r>
      <w:r w:rsidR="00D546E6" w:rsidRPr="00D546E6">
        <w:rPr>
          <w:rFonts w:ascii="Calibri" w:hAnsi="Calibri" w:cs="Calibri"/>
          <w:noProof/>
          <w:szCs w:val="24"/>
        </w:rPr>
        <w:tab/>
        <w:t xml:space="preserve">Ashton JJ., Cullen M., Afzal NA., Coelho T., Batra A., Beattie RM. Is the incidence of paediatric inflammatory bowel disease still increasing? </w:t>
      </w:r>
      <w:r w:rsidR="00D546E6" w:rsidRPr="00D546E6">
        <w:rPr>
          <w:rFonts w:ascii="Calibri" w:hAnsi="Calibri" w:cs="Calibri"/>
          <w:i/>
          <w:iCs/>
          <w:noProof/>
          <w:szCs w:val="24"/>
        </w:rPr>
        <w:t>Arch Dis Child</w:t>
      </w:r>
      <w:r w:rsidR="00D546E6" w:rsidRPr="00D546E6">
        <w:rPr>
          <w:rFonts w:ascii="Calibri" w:hAnsi="Calibri" w:cs="Calibri"/>
          <w:noProof/>
          <w:szCs w:val="24"/>
        </w:rPr>
        <w:t xml:space="preserve"> 2018. Doi: 10.1136/archdischild-2018-315038.</w:t>
      </w:r>
    </w:p>
    <w:p w14:paraId="4EA4FEA9" w14:textId="77777777" w:rsidR="00D546E6" w:rsidRPr="00D546E6" w:rsidRDefault="00D546E6" w:rsidP="00D546E6">
      <w:pPr>
        <w:widowControl w:val="0"/>
        <w:autoSpaceDE w:val="0"/>
        <w:autoSpaceDN w:val="0"/>
        <w:adjustRightInd w:val="0"/>
        <w:spacing w:line="480" w:lineRule="auto"/>
        <w:ind w:left="640" w:hanging="640"/>
        <w:rPr>
          <w:rFonts w:ascii="Calibri" w:hAnsi="Calibri" w:cs="Calibri"/>
          <w:noProof/>
          <w:szCs w:val="24"/>
        </w:rPr>
      </w:pPr>
      <w:r w:rsidRPr="00D546E6">
        <w:rPr>
          <w:rFonts w:ascii="Calibri" w:hAnsi="Calibri" w:cs="Calibri"/>
          <w:noProof/>
          <w:szCs w:val="24"/>
        </w:rPr>
        <w:t>2.</w:t>
      </w:r>
      <w:r w:rsidRPr="00D546E6">
        <w:rPr>
          <w:rFonts w:ascii="Calibri" w:hAnsi="Calibri" w:cs="Calibri"/>
          <w:noProof/>
          <w:szCs w:val="24"/>
        </w:rPr>
        <w:tab/>
        <w:t xml:space="preserve">Alatab S., Sepanlou SG., Ikuta K., Vahedi H., Bisignano C., Safiri S., et al. The global, regional, and national burden of inflammatory bowel disease in 195 countries and territories, 1990–2017: a systematic analysis for the Global Burden of Disease Study 2017. </w:t>
      </w:r>
      <w:r w:rsidRPr="00D546E6">
        <w:rPr>
          <w:rFonts w:ascii="Calibri" w:hAnsi="Calibri" w:cs="Calibri"/>
          <w:i/>
          <w:iCs/>
          <w:noProof/>
          <w:szCs w:val="24"/>
        </w:rPr>
        <w:t>Lancet Gastroenterol Hepatol</w:t>
      </w:r>
      <w:r w:rsidRPr="00D546E6">
        <w:rPr>
          <w:rFonts w:ascii="Calibri" w:hAnsi="Calibri" w:cs="Calibri"/>
          <w:noProof/>
          <w:szCs w:val="24"/>
        </w:rPr>
        <w:t xml:space="preserve"> 2020;</w:t>
      </w:r>
      <w:r w:rsidRPr="00D546E6">
        <w:rPr>
          <w:rFonts w:ascii="Calibri" w:hAnsi="Calibri" w:cs="Calibri"/>
          <w:b/>
          <w:bCs/>
          <w:noProof/>
          <w:szCs w:val="24"/>
        </w:rPr>
        <w:t>5</w:t>
      </w:r>
      <w:r w:rsidRPr="00D546E6">
        <w:rPr>
          <w:rFonts w:ascii="Calibri" w:hAnsi="Calibri" w:cs="Calibri"/>
          <w:noProof/>
          <w:szCs w:val="24"/>
        </w:rPr>
        <w:t>(1):17–30. Doi: 10.1016/S2468-1253(19)30333-4.</w:t>
      </w:r>
    </w:p>
    <w:p w14:paraId="2ACA6D17" w14:textId="77777777" w:rsidR="00D546E6" w:rsidRPr="00D546E6" w:rsidRDefault="00D546E6" w:rsidP="00D546E6">
      <w:pPr>
        <w:widowControl w:val="0"/>
        <w:autoSpaceDE w:val="0"/>
        <w:autoSpaceDN w:val="0"/>
        <w:adjustRightInd w:val="0"/>
        <w:spacing w:line="480" w:lineRule="auto"/>
        <w:ind w:left="640" w:hanging="640"/>
        <w:rPr>
          <w:rFonts w:ascii="Calibri" w:hAnsi="Calibri" w:cs="Calibri"/>
          <w:noProof/>
          <w:szCs w:val="24"/>
        </w:rPr>
      </w:pPr>
      <w:r w:rsidRPr="00D546E6">
        <w:rPr>
          <w:rFonts w:ascii="Calibri" w:hAnsi="Calibri" w:cs="Calibri"/>
          <w:noProof/>
          <w:szCs w:val="24"/>
        </w:rPr>
        <w:t>3.</w:t>
      </w:r>
      <w:r w:rsidRPr="00D546E6">
        <w:rPr>
          <w:rFonts w:ascii="Calibri" w:hAnsi="Calibri" w:cs="Calibri"/>
          <w:noProof/>
          <w:szCs w:val="24"/>
        </w:rPr>
        <w:tab/>
        <w:t xml:space="preserve">Alemzadeh N., Rekers-Mombarg LTM., Mearin ML., Wit JM., Lamers CBHW., van Hogezand RA. Adult height in patients with early onset of Crohn’s disease. </w:t>
      </w:r>
      <w:r w:rsidRPr="00D546E6">
        <w:rPr>
          <w:rFonts w:ascii="Calibri" w:hAnsi="Calibri" w:cs="Calibri"/>
          <w:i/>
          <w:iCs/>
          <w:noProof/>
          <w:szCs w:val="24"/>
        </w:rPr>
        <w:t>Gut</w:t>
      </w:r>
      <w:r w:rsidRPr="00D546E6">
        <w:rPr>
          <w:rFonts w:ascii="Calibri" w:hAnsi="Calibri" w:cs="Calibri"/>
          <w:noProof/>
          <w:szCs w:val="24"/>
        </w:rPr>
        <w:t xml:space="preserve"> 2002;</w:t>
      </w:r>
      <w:r w:rsidRPr="00D546E6">
        <w:rPr>
          <w:rFonts w:ascii="Calibri" w:hAnsi="Calibri" w:cs="Calibri"/>
          <w:b/>
          <w:bCs/>
          <w:noProof/>
          <w:szCs w:val="24"/>
        </w:rPr>
        <w:t>51</w:t>
      </w:r>
      <w:r w:rsidRPr="00D546E6">
        <w:rPr>
          <w:rFonts w:ascii="Calibri" w:hAnsi="Calibri" w:cs="Calibri"/>
          <w:noProof/>
          <w:szCs w:val="24"/>
        </w:rPr>
        <w:t>(1):26–9. Doi: 10.1136/gut.51.1.26.</w:t>
      </w:r>
    </w:p>
    <w:p w14:paraId="32C7E113" w14:textId="77777777" w:rsidR="00D546E6" w:rsidRPr="00D546E6" w:rsidRDefault="00D546E6" w:rsidP="00D546E6">
      <w:pPr>
        <w:widowControl w:val="0"/>
        <w:autoSpaceDE w:val="0"/>
        <w:autoSpaceDN w:val="0"/>
        <w:adjustRightInd w:val="0"/>
        <w:spacing w:line="480" w:lineRule="auto"/>
        <w:ind w:left="640" w:hanging="640"/>
        <w:rPr>
          <w:rFonts w:ascii="Calibri" w:hAnsi="Calibri" w:cs="Calibri"/>
          <w:noProof/>
          <w:szCs w:val="24"/>
        </w:rPr>
      </w:pPr>
      <w:r w:rsidRPr="00D546E6">
        <w:rPr>
          <w:rFonts w:ascii="Calibri" w:hAnsi="Calibri" w:cs="Calibri"/>
          <w:noProof/>
          <w:szCs w:val="24"/>
        </w:rPr>
        <w:t>4.</w:t>
      </w:r>
      <w:r w:rsidRPr="00D546E6">
        <w:rPr>
          <w:rFonts w:ascii="Calibri" w:hAnsi="Calibri" w:cs="Calibri"/>
          <w:noProof/>
          <w:szCs w:val="24"/>
        </w:rPr>
        <w:tab/>
        <w:t xml:space="preserve">Griffiths AM. Specificities of inflammatory bowel disease in childhood. </w:t>
      </w:r>
      <w:r w:rsidRPr="00D546E6">
        <w:rPr>
          <w:rFonts w:ascii="Calibri" w:hAnsi="Calibri" w:cs="Calibri"/>
          <w:i/>
          <w:iCs/>
          <w:noProof/>
          <w:szCs w:val="24"/>
        </w:rPr>
        <w:t>Best Pract Res Clin Gastroenterol</w:t>
      </w:r>
      <w:r w:rsidRPr="00D546E6">
        <w:rPr>
          <w:rFonts w:ascii="Calibri" w:hAnsi="Calibri" w:cs="Calibri"/>
          <w:noProof/>
          <w:szCs w:val="24"/>
        </w:rPr>
        <w:t xml:space="preserve"> 2004. Doi: 10.1016/j.bpg.2004.01.002.</w:t>
      </w:r>
    </w:p>
    <w:p w14:paraId="391267F3" w14:textId="77777777" w:rsidR="00D546E6" w:rsidRPr="00D546E6" w:rsidRDefault="00D546E6" w:rsidP="00D546E6">
      <w:pPr>
        <w:widowControl w:val="0"/>
        <w:autoSpaceDE w:val="0"/>
        <w:autoSpaceDN w:val="0"/>
        <w:adjustRightInd w:val="0"/>
        <w:spacing w:line="480" w:lineRule="auto"/>
        <w:ind w:left="640" w:hanging="640"/>
        <w:rPr>
          <w:rFonts w:ascii="Calibri" w:hAnsi="Calibri" w:cs="Calibri"/>
          <w:noProof/>
          <w:szCs w:val="24"/>
        </w:rPr>
      </w:pPr>
      <w:r w:rsidRPr="00D546E6">
        <w:rPr>
          <w:rFonts w:ascii="Calibri" w:hAnsi="Calibri" w:cs="Calibri"/>
          <w:noProof/>
          <w:szCs w:val="24"/>
        </w:rPr>
        <w:t>5.</w:t>
      </w:r>
      <w:r w:rsidRPr="00D546E6">
        <w:rPr>
          <w:rFonts w:ascii="Calibri" w:hAnsi="Calibri" w:cs="Calibri"/>
          <w:noProof/>
          <w:szCs w:val="24"/>
        </w:rPr>
        <w:tab/>
        <w:t xml:space="preserve">Walters TD., Gilman AR., Griffiths AM. Linear Growth Improves during Infliximab Therapy in Children with Chronically Active Severe Crohnʼs Disease. </w:t>
      </w:r>
      <w:r w:rsidRPr="00D546E6">
        <w:rPr>
          <w:rFonts w:ascii="Calibri" w:hAnsi="Calibri" w:cs="Calibri"/>
          <w:i/>
          <w:iCs/>
          <w:noProof/>
          <w:szCs w:val="24"/>
        </w:rPr>
        <w:t>Inflamm Bowel Dis</w:t>
      </w:r>
      <w:r w:rsidRPr="00D546E6">
        <w:rPr>
          <w:rFonts w:ascii="Calibri" w:hAnsi="Calibri" w:cs="Calibri"/>
          <w:noProof/>
          <w:szCs w:val="24"/>
        </w:rPr>
        <w:t xml:space="preserve"> 2007;</w:t>
      </w:r>
      <w:r w:rsidRPr="00D546E6">
        <w:rPr>
          <w:rFonts w:ascii="Calibri" w:hAnsi="Calibri" w:cs="Calibri"/>
          <w:b/>
          <w:bCs/>
          <w:noProof/>
          <w:szCs w:val="24"/>
        </w:rPr>
        <w:t>13</w:t>
      </w:r>
      <w:r w:rsidRPr="00D546E6">
        <w:rPr>
          <w:rFonts w:ascii="Calibri" w:hAnsi="Calibri" w:cs="Calibri"/>
          <w:noProof/>
          <w:szCs w:val="24"/>
        </w:rPr>
        <w:t>(4):424–30. Doi: 10.1002/ibd.20069.</w:t>
      </w:r>
    </w:p>
    <w:p w14:paraId="122AAB26" w14:textId="77777777" w:rsidR="00D546E6" w:rsidRPr="00D546E6" w:rsidRDefault="00D546E6" w:rsidP="00D546E6">
      <w:pPr>
        <w:widowControl w:val="0"/>
        <w:autoSpaceDE w:val="0"/>
        <w:autoSpaceDN w:val="0"/>
        <w:adjustRightInd w:val="0"/>
        <w:spacing w:line="480" w:lineRule="auto"/>
        <w:ind w:left="640" w:hanging="640"/>
        <w:rPr>
          <w:rFonts w:ascii="Calibri" w:hAnsi="Calibri" w:cs="Calibri"/>
          <w:noProof/>
          <w:szCs w:val="24"/>
        </w:rPr>
      </w:pPr>
      <w:r w:rsidRPr="00D546E6">
        <w:rPr>
          <w:rFonts w:ascii="Calibri" w:hAnsi="Calibri" w:cs="Calibri"/>
          <w:noProof/>
          <w:szCs w:val="24"/>
        </w:rPr>
        <w:t>6.</w:t>
      </w:r>
      <w:r w:rsidRPr="00D546E6">
        <w:rPr>
          <w:rFonts w:ascii="Calibri" w:hAnsi="Calibri" w:cs="Calibri"/>
          <w:noProof/>
          <w:szCs w:val="24"/>
        </w:rPr>
        <w:tab/>
        <w:t xml:space="preserve">Ashton JJ., Gavin J., Beattie RM. Exclusive enteral nutrition in Crohn’s disease: Evidence and practicalities. </w:t>
      </w:r>
      <w:r w:rsidRPr="00D546E6">
        <w:rPr>
          <w:rFonts w:ascii="Calibri" w:hAnsi="Calibri" w:cs="Calibri"/>
          <w:i/>
          <w:iCs/>
          <w:noProof/>
          <w:szCs w:val="24"/>
        </w:rPr>
        <w:t>Clin Nutr</w:t>
      </w:r>
      <w:r w:rsidRPr="00D546E6">
        <w:rPr>
          <w:rFonts w:ascii="Calibri" w:hAnsi="Calibri" w:cs="Calibri"/>
          <w:noProof/>
          <w:szCs w:val="24"/>
        </w:rPr>
        <w:t xml:space="preserve"> 2018;</w:t>
      </w:r>
      <w:r w:rsidRPr="00D546E6">
        <w:rPr>
          <w:rFonts w:ascii="Calibri" w:hAnsi="Calibri" w:cs="Calibri"/>
          <w:b/>
          <w:bCs/>
          <w:noProof/>
          <w:szCs w:val="24"/>
        </w:rPr>
        <w:t>38</w:t>
      </w:r>
      <w:r w:rsidRPr="00D546E6">
        <w:rPr>
          <w:rFonts w:ascii="Calibri" w:hAnsi="Calibri" w:cs="Calibri"/>
          <w:noProof/>
          <w:szCs w:val="24"/>
        </w:rPr>
        <w:t>(1):80–9. Doi: 10.1016/j.clnu.2018.01.020.</w:t>
      </w:r>
    </w:p>
    <w:p w14:paraId="09F48A6E" w14:textId="77777777" w:rsidR="00D546E6" w:rsidRPr="00D546E6" w:rsidRDefault="00D546E6" w:rsidP="00D546E6">
      <w:pPr>
        <w:widowControl w:val="0"/>
        <w:autoSpaceDE w:val="0"/>
        <w:autoSpaceDN w:val="0"/>
        <w:adjustRightInd w:val="0"/>
        <w:spacing w:line="480" w:lineRule="auto"/>
        <w:ind w:left="640" w:hanging="640"/>
        <w:rPr>
          <w:rFonts w:ascii="Calibri" w:hAnsi="Calibri" w:cs="Calibri"/>
          <w:noProof/>
          <w:szCs w:val="24"/>
        </w:rPr>
      </w:pPr>
      <w:r w:rsidRPr="00D546E6">
        <w:rPr>
          <w:rFonts w:ascii="Calibri" w:hAnsi="Calibri" w:cs="Calibri"/>
          <w:noProof/>
          <w:szCs w:val="24"/>
        </w:rPr>
        <w:t>7.</w:t>
      </w:r>
      <w:r w:rsidRPr="00D546E6">
        <w:rPr>
          <w:rFonts w:ascii="Calibri" w:hAnsi="Calibri" w:cs="Calibri"/>
          <w:noProof/>
          <w:szCs w:val="24"/>
        </w:rPr>
        <w:tab/>
        <w:t xml:space="preserve">Ashton JJ., Green Z., Young A., Borca F., Coelho T., Batra A., et al. Growth failure is rare in a contemporary cohort of paediatric inflammatory bowel disease patients. </w:t>
      </w:r>
      <w:r w:rsidRPr="00D546E6">
        <w:rPr>
          <w:rFonts w:ascii="Calibri" w:hAnsi="Calibri" w:cs="Calibri"/>
          <w:i/>
          <w:iCs/>
          <w:noProof/>
          <w:szCs w:val="24"/>
        </w:rPr>
        <w:t>Acta Paediatr</w:t>
      </w:r>
      <w:r w:rsidRPr="00D546E6">
        <w:rPr>
          <w:rFonts w:ascii="Calibri" w:hAnsi="Calibri" w:cs="Calibri"/>
          <w:noProof/>
          <w:szCs w:val="24"/>
        </w:rPr>
        <w:t xml:space="preserve"> 2020:apa.15383. Doi: 10.1111/apa.15383.</w:t>
      </w:r>
    </w:p>
    <w:p w14:paraId="056F453A" w14:textId="77777777" w:rsidR="00D546E6" w:rsidRPr="00D546E6" w:rsidRDefault="00D546E6" w:rsidP="00D546E6">
      <w:pPr>
        <w:widowControl w:val="0"/>
        <w:autoSpaceDE w:val="0"/>
        <w:autoSpaceDN w:val="0"/>
        <w:adjustRightInd w:val="0"/>
        <w:spacing w:line="480" w:lineRule="auto"/>
        <w:ind w:left="640" w:hanging="640"/>
        <w:rPr>
          <w:rFonts w:ascii="Calibri" w:hAnsi="Calibri" w:cs="Calibri"/>
          <w:noProof/>
          <w:szCs w:val="24"/>
        </w:rPr>
      </w:pPr>
      <w:r w:rsidRPr="00D546E6">
        <w:rPr>
          <w:rFonts w:ascii="Calibri" w:hAnsi="Calibri" w:cs="Calibri"/>
          <w:noProof/>
          <w:szCs w:val="24"/>
        </w:rPr>
        <w:lastRenderedPageBreak/>
        <w:t>8.</w:t>
      </w:r>
      <w:r w:rsidRPr="00D546E6">
        <w:rPr>
          <w:rFonts w:ascii="Calibri" w:hAnsi="Calibri" w:cs="Calibri"/>
          <w:noProof/>
          <w:szCs w:val="24"/>
        </w:rPr>
        <w:tab/>
        <w:t xml:space="preserve">Gavin J., Ashton JJ., Heather N., Marino L V., Beattie RM. Nutritional support in paediatric Crohn’s disease; Outcome at 12 months. </w:t>
      </w:r>
      <w:r w:rsidRPr="00D546E6">
        <w:rPr>
          <w:rFonts w:ascii="Calibri" w:hAnsi="Calibri" w:cs="Calibri"/>
          <w:i/>
          <w:iCs/>
          <w:noProof/>
          <w:szCs w:val="24"/>
        </w:rPr>
        <w:t>Acta Paediatr</w:t>
      </w:r>
      <w:r w:rsidRPr="00D546E6">
        <w:rPr>
          <w:rFonts w:ascii="Calibri" w:hAnsi="Calibri" w:cs="Calibri"/>
          <w:noProof/>
          <w:szCs w:val="24"/>
        </w:rPr>
        <w:t xml:space="preserve"> 2017. Doi: 10.1111/apa.14075.</w:t>
      </w:r>
    </w:p>
    <w:p w14:paraId="18BF7C71" w14:textId="77777777" w:rsidR="00D546E6" w:rsidRPr="00D546E6" w:rsidRDefault="00D546E6" w:rsidP="00D546E6">
      <w:pPr>
        <w:widowControl w:val="0"/>
        <w:autoSpaceDE w:val="0"/>
        <w:autoSpaceDN w:val="0"/>
        <w:adjustRightInd w:val="0"/>
        <w:spacing w:line="480" w:lineRule="auto"/>
        <w:ind w:left="640" w:hanging="640"/>
        <w:rPr>
          <w:rFonts w:ascii="Calibri" w:hAnsi="Calibri" w:cs="Calibri"/>
          <w:noProof/>
          <w:szCs w:val="24"/>
        </w:rPr>
      </w:pPr>
      <w:r w:rsidRPr="00D546E6">
        <w:rPr>
          <w:rFonts w:ascii="Calibri" w:hAnsi="Calibri" w:cs="Calibri"/>
          <w:noProof/>
          <w:szCs w:val="24"/>
        </w:rPr>
        <w:t>9.</w:t>
      </w:r>
      <w:r w:rsidRPr="00D546E6">
        <w:rPr>
          <w:rFonts w:ascii="Calibri" w:hAnsi="Calibri" w:cs="Calibri"/>
          <w:noProof/>
          <w:szCs w:val="24"/>
        </w:rPr>
        <w:tab/>
        <w:t xml:space="preserve">Singh S., Dulai PS., Zarrinpar A., Ramamoorthy S., Sandborn WJ. Obesity in IBD: epidemiology, pathogenesis, disease course and treatment outcomes. </w:t>
      </w:r>
      <w:r w:rsidRPr="00D546E6">
        <w:rPr>
          <w:rFonts w:ascii="Calibri" w:hAnsi="Calibri" w:cs="Calibri"/>
          <w:i/>
          <w:iCs/>
          <w:noProof/>
          <w:szCs w:val="24"/>
        </w:rPr>
        <w:t>Nat Rev Gastroenterol Hepatol</w:t>
      </w:r>
      <w:r w:rsidRPr="00D546E6">
        <w:rPr>
          <w:rFonts w:ascii="Calibri" w:hAnsi="Calibri" w:cs="Calibri"/>
          <w:noProof/>
          <w:szCs w:val="24"/>
        </w:rPr>
        <w:t xml:space="preserve"> 2017;</w:t>
      </w:r>
      <w:r w:rsidRPr="00D546E6">
        <w:rPr>
          <w:rFonts w:ascii="Calibri" w:hAnsi="Calibri" w:cs="Calibri"/>
          <w:b/>
          <w:bCs/>
          <w:noProof/>
          <w:szCs w:val="24"/>
        </w:rPr>
        <w:t>14</w:t>
      </w:r>
      <w:r w:rsidRPr="00D546E6">
        <w:rPr>
          <w:rFonts w:ascii="Calibri" w:hAnsi="Calibri" w:cs="Calibri"/>
          <w:noProof/>
          <w:szCs w:val="24"/>
        </w:rPr>
        <w:t>(2):110–21. Doi: 10.1038/nrgastro.2016.181.</w:t>
      </w:r>
    </w:p>
    <w:p w14:paraId="0515C1A3" w14:textId="77777777" w:rsidR="00D546E6" w:rsidRPr="00D546E6" w:rsidRDefault="00D546E6" w:rsidP="00D546E6">
      <w:pPr>
        <w:widowControl w:val="0"/>
        <w:autoSpaceDE w:val="0"/>
        <w:autoSpaceDN w:val="0"/>
        <w:adjustRightInd w:val="0"/>
        <w:spacing w:line="480" w:lineRule="auto"/>
        <w:ind w:left="640" w:hanging="640"/>
        <w:rPr>
          <w:rFonts w:ascii="Calibri" w:hAnsi="Calibri" w:cs="Calibri"/>
          <w:noProof/>
          <w:szCs w:val="24"/>
        </w:rPr>
      </w:pPr>
      <w:r w:rsidRPr="00D546E6">
        <w:rPr>
          <w:rFonts w:ascii="Calibri" w:hAnsi="Calibri" w:cs="Calibri"/>
          <w:noProof/>
          <w:szCs w:val="24"/>
        </w:rPr>
        <w:t>10.</w:t>
      </w:r>
      <w:r w:rsidRPr="00D546E6">
        <w:rPr>
          <w:rFonts w:ascii="Calibri" w:hAnsi="Calibri" w:cs="Calibri"/>
          <w:noProof/>
          <w:szCs w:val="24"/>
        </w:rPr>
        <w:tab/>
        <w:t xml:space="preserve">Ashton JJ., Green Z., Beattie RM. Beyond bedside measures of malnutrition in paediatric Crohn’s disease – Should we be thinking of sarcopenia. </w:t>
      </w:r>
      <w:r w:rsidRPr="00D546E6">
        <w:rPr>
          <w:rFonts w:ascii="Calibri" w:hAnsi="Calibri" w:cs="Calibri"/>
          <w:i/>
          <w:iCs/>
          <w:noProof/>
          <w:szCs w:val="24"/>
        </w:rPr>
        <w:t>Clin Nutr</w:t>
      </w:r>
      <w:r w:rsidRPr="00D546E6">
        <w:rPr>
          <w:rFonts w:ascii="Calibri" w:hAnsi="Calibri" w:cs="Calibri"/>
          <w:noProof/>
          <w:szCs w:val="24"/>
        </w:rPr>
        <w:t xml:space="preserve"> 2020. Doi: 10.1016/j.clnu.2020.03.034.</w:t>
      </w:r>
    </w:p>
    <w:p w14:paraId="2EB241BD" w14:textId="77777777" w:rsidR="00D546E6" w:rsidRPr="00D546E6" w:rsidRDefault="00D546E6" w:rsidP="00D546E6">
      <w:pPr>
        <w:widowControl w:val="0"/>
        <w:autoSpaceDE w:val="0"/>
        <w:autoSpaceDN w:val="0"/>
        <w:adjustRightInd w:val="0"/>
        <w:spacing w:line="480" w:lineRule="auto"/>
        <w:ind w:left="640" w:hanging="640"/>
        <w:rPr>
          <w:rFonts w:ascii="Calibri" w:hAnsi="Calibri" w:cs="Calibri"/>
          <w:noProof/>
          <w:szCs w:val="24"/>
        </w:rPr>
      </w:pPr>
      <w:r w:rsidRPr="00D546E6">
        <w:rPr>
          <w:rFonts w:ascii="Calibri" w:hAnsi="Calibri" w:cs="Calibri"/>
          <w:noProof/>
          <w:szCs w:val="24"/>
        </w:rPr>
        <w:t>11.</w:t>
      </w:r>
      <w:r w:rsidRPr="00D546E6">
        <w:rPr>
          <w:rFonts w:ascii="Calibri" w:hAnsi="Calibri" w:cs="Calibri"/>
          <w:noProof/>
          <w:szCs w:val="24"/>
        </w:rPr>
        <w:tab/>
        <w:t xml:space="preserve">Dhaliwal J., Martincevic I., Williams B., Frost K., Uusoue K., Arpino V., et al. Body Composition Using Air Displacement Plethysmography in Children With Inflammatory Bowel Disease. </w:t>
      </w:r>
      <w:r w:rsidRPr="00D546E6">
        <w:rPr>
          <w:rFonts w:ascii="Calibri" w:hAnsi="Calibri" w:cs="Calibri"/>
          <w:i/>
          <w:iCs/>
          <w:noProof/>
          <w:szCs w:val="24"/>
        </w:rPr>
        <w:t>J Pediatr Gastroenterol Nutr</w:t>
      </w:r>
      <w:r w:rsidRPr="00D546E6">
        <w:rPr>
          <w:rFonts w:ascii="Calibri" w:hAnsi="Calibri" w:cs="Calibri"/>
          <w:noProof/>
          <w:szCs w:val="24"/>
        </w:rPr>
        <w:t xml:space="preserve"> 2020;</w:t>
      </w:r>
      <w:r w:rsidRPr="00D546E6">
        <w:rPr>
          <w:rFonts w:ascii="Calibri" w:hAnsi="Calibri" w:cs="Calibri"/>
          <w:b/>
          <w:bCs/>
          <w:noProof/>
          <w:szCs w:val="24"/>
        </w:rPr>
        <w:t>71</w:t>
      </w:r>
      <w:r w:rsidRPr="00D546E6">
        <w:rPr>
          <w:rFonts w:ascii="Calibri" w:hAnsi="Calibri" w:cs="Calibri"/>
          <w:noProof/>
          <w:szCs w:val="24"/>
        </w:rPr>
        <w:t>(1):52–8. Doi: 10.1097/MPG.0000000000002683.</w:t>
      </w:r>
    </w:p>
    <w:p w14:paraId="0790B9FE" w14:textId="77777777" w:rsidR="00D546E6" w:rsidRPr="00D546E6" w:rsidRDefault="00D546E6" w:rsidP="00D546E6">
      <w:pPr>
        <w:widowControl w:val="0"/>
        <w:autoSpaceDE w:val="0"/>
        <w:autoSpaceDN w:val="0"/>
        <w:adjustRightInd w:val="0"/>
        <w:spacing w:line="480" w:lineRule="auto"/>
        <w:ind w:left="640" w:hanging="640"/>
        <w:rPr>
          <w:rFonts w:ascii="Calibri" w:hAnsi="Calibri" w:cs="Calibri"/>
          <w:noProof/>
          <w:szCs w:val="24"/>
        </w:rPr>
      </w:pPr>
      <w:r w:rsidRPr="00D546E6">
        <w:rPr>
          <w:rFonts w:ascii="Calibri" w:hAnsi="Calibri" w:cs="Calibri"/>
          <w:noProof/>
          <w:szCs w:val="24"/>
        </w:rPr>
        <w:t>12.</w:t>
      </w:r>
      <w:r w:rsidRPr="00D546E6">
        <w:rPr>
          <w:rFonts w:ascii="Calibri" w:hAnsi="Calibri" w:cs="Calibri"/>
          <w:noProof/>
          <w:szCs w:val="24"/>
        </w:rPr>
        <w:tab/>
        <w:t xml:space="preserve">Thomas PC., Marino L V., Williams SA., Beattie RM. Outcome of nutritional screening in the acute paediatric setting. </w:t>
      </w:r>
      <w:r w:rsidRPr="00D546E6">
        <w:rPr>
          <w:rFonts w:ascii="Calibri" w:hAnsi="Calibri" w:cs="Calibri"/>
          <w:i/>
          <w:iCs/>
          <w:noProof/>
          <w:szCs w:val="24"/>
        </w:rPr>
        <w:t>Arch Dis Child</w:t>
      </w:r>
      <w:r w:rsidRPr="00D546E6">
        <w:rPr>
          <w:rFonts w:ascii="Calibri" w:hAnsi="Calibri" w:cs="Calibri"/>
          <w:noProof/>
          <w:szCs w:val="24"/>
        </w:rPr>
        <w:t xml:space="preserve"> 2016;</w:t>
      </w:r>
      <w:r w:rsidRPr="00D546E6">
        <w:rPr>
          <w:rFonts w:ascii="Calibri" w:hAnsi="Calibri" w:cs="Calibri"/>
          <w:b/>
          <w:bCs/>
          <w:noProof/>
          <w:szCs w:val="24"/>
        </w:rPr>
        <w:t>101</w:t>
      </w:r>
      <w:r w:rsidRPr="00D546E6">
        <w:rPr>
          <w:rFonts w:ascii="Calibri" w:hAnsi="Calibri" w:cs="Calibri"/>
          <w:noProof/>
          <w:szCs w:val="24"/>
        </w:rPr>
        <w:t>(12):1119–24. Doi: 10.1136/ARCHDISCHILD-2016-310484.</w:t>
      </w:r>
    </w:p>
    <w:p w14:paraId="563BFFF1" w14:textId="77777777" w:rsidR="00D546E6" w:rsidRPr="00D546E6" w:rsidRDefault="00D546E6" w:rsidP="00D546E6">
      <w:pPr>
        <w:widowControl w:val="0"/>
        <w:autoSpaceDE w:val="0"/>
        <w:autoSpaceDN w:val="0"/>
        <w:adjustRightInd w:val="0"/>
        <w:spacing w:line="480" w:lineRule="auto"/>
        <w:ind w:left="640" w:hanging="640"/>
        <w:rPr>
          <w:rFonts w:ascii="Calibri" w:hAnsi="Calibri" w:cs="Calibri"/>
          <w:noProof/>
          <w:szCs w:val="24"/>
        </w:rPr>
      </w:pPr>
      <w:r w:rsidRPr="00D546E6">
        <w:rPr>
          <w:rFonts w:ascii="Calibri" w:hAnsi="Calibri" w:cs="Calibri"/>
          <w:noProof/>
          <w:szCs w:val="24"/>
        </w:rPr>
        <w:t>13.</w:t>
      </w:r>
      <w:r w:rsidRPr="00D546E6">
        <w:rPr>
          <w:rFonts w:ascii="Calibri" w:hAnsi="Calibri" w:cs="Calibri"/>
          <w:noProof/>
          <w:szCs w:val="24"/>
        </w:rPr>
        <w:tab/>
        <w:t xml:space="preserve">Hollingworth TW., Oke SM., Patel H., Smith TR. Getting to grips with sarcopenia: Recent advances and practical management for the gastroenterologist. </w:t>
      </w:r>
      <w:r w:rsidRPr="00D546E6">
        <w:rPr>
          <w:rFonts w:ascii="Calibri" w:hAnsi="Calibri" w:cs="Calibri"/>
          <w:i/>
          <w:iCs/>
          <w:noProof/>
          <w:szCs w:val="24"/>
        </w:rPr>
        <w:t>Frontline Gastroenterol</w:t>
      </w:r>
      <w:r w:rsidRPr="00D546E6">
        <w:rPr>
          <w:rFonts w:ascii="Calibri" w:hAnsi="Calibri" w:cs="Calibri"/>
          <w:noProof/>
          <w:szCs w:val="24"/>
        </w:rPr>
        <w:t xml:space="preserve"> 2020:53–61. Doi: 10.1136/flgastro-2019-101348.</w:t>
      </w:r>
    </w:p>
    <w:p w14:paraId="56D6A301" w14:textId="77777777" w:rsidR="00D546E6" w:rsidRPr="00D546E6" w:rsidRDefault="00D546E6" w:rsidP="00D546E6">
      <w:pPr>
        <w:widowControl w:val="0"/>
        <w:autoSpaceDE w:val="0"/>
        <w:autoSpaceDN w:val="0"/>
        <w:adjustRightInd w:val="0"/>
        <w:spacing w:line="480" w:lineRule="auto"/>
        <w:ind w:left="640" w:hanging="640"/>
        <w:rPr>
          <w:rFonts w:ascii="Calibri" w:hAnsi="Calibri" w:cs="Calibri"/>
          <w:noProof/>
          <w:szCs w:val="24"/>
        </w:rPr>
      </w:pPr>
      <w:r w:rsidRPr="00D546E6">
        <w:rPr>
          <w:rFonts w:ascii="Calibri" w:hAnsi="Calibri" w:cs="Calibri"/>
          <w:noProof/>
          <w:szCs w:val="24"/>
        </w:rPr>
        <w:t>14.</w:t>
      </w:r>
      <w:r w:rsidRPr="00D546E6">
        <w:rPr>
          <w:rFonts w:ascii="Calibri" w:hAnsi="Calibri" w:cs="Calibri"/>
          <w:noProof/>
          <w:szCs w:val="24"/>
        </w:rPr>
        <w:tab/>
        <w:t xml:space="preserve">Marino L V., Meyer R., Johnson M., Newell C., Johnstone C., Magee A., et al. Bioimpedance spectroscopy measurements of phase angle and height for age are predictive of outcome in children following surgery for congenital heart disease. </w:t>
      </w:r>
      <w:r w:rsidRPr="00D546E6">
        <w:rPr>
          <w:rFonts w:ascii="Calibri" w:hAnsi="Calibri" w:cs="Calibri"/>
          <w:i/>
          <w:iCs/>
          <w:noProof/>
          <w:szCs w:val="24"/>
        </w:rPr>
        <w:t>Clin Nutr</w:t>
      </w:r>
      <w:r w:rsidRPr="00D546E6">
        <w:rPr>
          <w:rFonts w:ascii="Calibri" w:hAnsi="Calibri" w:cs="Calibri"/>
          <w:noProof/>
          <w:szCs w:val="24"/>
        </w:rPr>
        <w:t xml:space="preserve"> 2018;</w:t>
      </w:r>
      <w:r w:rsidRPr="00D546E6">
        <w:rPr>
          <w:rFonts w:ascii="Calibri" w:hAnsi="Calibri" w:cs="Calibri"/>
          <w:b/>
          <w:bCs/>
          <w:noProof/>
          <w:szCs w:val="24"/>
        </w:rPr>
        <w:t>37</w:t>
      </w:r>
      <w:r w:rsidRPr="00D546E6">
        <w:rPr>
          <w:rFonts w:ascii="Calibri" w:hAnsi="Calibri" w:cs="Calibri"/>
          <w:noProof/>
          <w:szCs w:val="24"/>
        </w:rPr>
        <w:t>(4):1430–6. Doi: 10.1016/j.clnu.2017.06.020.</w:t>
      </w:r>
    </w:p>
    <w:p w14:paraId="03385122" w14:textId="77777777" w:rsidR="00D546E6" w:rsidRPr="00D546E6" w:rsidRDefault="00D546E6" w:rsidP="00D546E6">
      <w:pPr>
        <w:widowControl w:val="0"/>
        <w:autoSpaceDE w:val="0"/>
        <w:autoSpaceDN w:val="0"/>
        <w:adjustRightInd w:val="0"/>
        <w:spacing w:line="480" w:lineRule="auto"/>
        <w:ind w:left="640" w:hanging="640"/>
        <w:rPr>
          <w:rFonts w:ascii="Calibri" w:hAnsi="Calibri" w:cs="Calibri"/>
          <w:noProof/>
          <w:szCs w:val="24"/>
        </w:rPr>
      </w:pPr>
      <w:r w:rsidRPr="00D546E6">
        <w:rPr>
          <w:rFonts w:ascii="Calibri" w:hAnsi="Calibri" w:cs="Calibri"/>
          <w:noProof/>
          <w:szCs w:val="24"/>
        </w:rPr>
        <w:t>15.</w:t>
      </w:r>
      <w:r w:rsidRPr="00D546E6">
        <w:rPr>
          <w:rFonts w:ascii="Calibri" w:hAnsi="Calibri" w:cs="Calibri"/>
          <w:noProof/>
          <w:szCs w:val="24"/>
        </w:rPr>
        <w:tab/>
        <w:t xml:space="preserve">Duren DL., Sherwood RJ., Czerwinski SA., Lee M., Choh AC., Siervogel RM., et al. Body composition methods: Comparisons and interpretation. </w:t>
      </w:r>
      <w:r w:rsidRPr="00D546E6">
        <w:rPr>
          <w:rFonts w:ascii="Calibri" w:hAnsi="Calibri" w:cs="Calibri"/>
          <w:i/>
          <w:iCs/>
          <w:noProof/>
          <w:szCs w:val="24"/>
        </w:rPr>
        <w:t>J Diabetes Sci Technol</w:t>
      </w:r>
      <w:r w:rsidRPr="00D546E6">
        <w:rPr>
          <w:rFonts w:ascii="Calibri" w:hAnsi="Calibri" w:cs="Calibri"/>
          <w:noProof/>
          <w:szCs w:val="24"/>
        </w:rPr>
        <w:t xml:space="preserve"> 2008;</w:t>
      </w:r>
      <w:r w:rsidRPr="00D546E6">
        <w:rPr>
          <w:rFonts w:ascii="Calibri" w:hAnsi="Calibri" w:cs="Calibri"/>
          <w:b/>
          <w:bCs/>
          <w:noProof/>
          <w:szCs w:val="24"/>
        </w:rPr>
        <w:t>2</w:t>
      </w:r>
      <w:r w:rsidRPr="00D546E6">
        <w:rPr>
          <w:rFonts w:ascii="Calibri" w:hAnsi="Calibri" w:cs="Calibri"/>
          <w:noProof/>
          <w:szCs w:val="24"/>
        </w:rPr>
        <w:t>(6):1139–46. Doi: 10.1177/193229680800200623.</w:t>
      </w:r>
    </w:p>
    <w:p w14:paraId="228D2AD1" w14:textId="77777777" w:rsidR="00D546E6" w:rsidRPr="00D546E6" w:rsidRDefault="00D546E6" w:rsidP="00D546E6">
      <w:pPr>
        <w:widowControl w:val="0"/>
        <w:autoSpaceDE w:val="0"/>
        <w:autoSpaceDN w:val="0"/>
        <w:adjustRightInd w:val="0"/>
        <w:spacing w:line="480" w:lineRule="auto"/>
        <w:ind w:left="640" w:hanging="640"/>
        <w:rPr>
          <w:rFonts w:ascii="Calibri" w:hAnsi="Calibri" w:cs="Calibri"/>
          <w:noProof/>
          <w:szCs w:val="24"/>
        </w:rPr>
      </w:pPr>
      <w:r w:rsidRPr="00D546E6">
        <w:rPr>
          <w:rFonts w:ascii="Calibri" w:hAnsi="Calibri" w:cs="Calibri"/>
          <w:noProof/>
          <w:szCs w:val="24"/>
        </w:rPr>
        <w:lastRenderedPageBreak/>
        <w:t>16.</w:t>
      </w:r>
      <w:r w:rsidRPr="00D546E6">
        <w:rPr>
          <w:rFonts w:ascii="Calibri" w:hAnsi="Calibri" w:cs="Calibri"/>
          <w:noProof/>
          <w:szCs w:val="24"/>
        </w:rPr>
        <w:tab/>
        <w:t xml:space="preserve">Andrews ET., Beattie RM., Johnson MJ. Measuring body composition in the preterm infant: Evidence base and practicalities. </w:t>
      </w:r>
      <w:r w:rsidRPr="00D546E6">
        <w:rPr>
          <w:rFonts w:ascii="Calibri" w:hAnsi="Calibri" w:cs="Calibri"/>
          <w:i/>
          <w:iCs/>
          <w:noProof/>
          <w:szCs w:val="24"/>
        </w:rPr>
        <w:t>Clin Nutr</w:t>
      </w:r>
      <w:r w:rsidRPr="00D546E6">
        <w:rPr>
          <w:rFonts w:ascii="Calibri" w:hAnsi="Calibri" w:cs="Calibri"/>
          <w:noProof/>
          <w:szCs w:val="24"/>
        </w:rPr>
        <w:t xml:space="preserve"> 2019:2521–30. Doi: 10.1016/j.clnu.2018.12.033.</w:t>
      </w:r>
    </w:p>
    <w:p w14:paraId="1CB066E0" w14:textId="77777777" w:rsidR="00D546E6" w:rsidRPr="00D546E6" w:rsidRDefault="00D546E6" w:rsidP="00D546E6">
      <w:pPr>
        <w:widowControl w:val="0"/>
        <w:autoSpaceDE w:val="0"/>
        <w:autoSpaceDN w:val="0"/>
        <w:adjustRightInd w:val="0"/>
        <w:spacing w:line="480" w:lineRule="auto"/>
        <w:ind w:left="640" w:hanging="640"/>
        <w:rPr>
          <w:rFonts w:ascii="Calibri" w:hAnsi="Calibri" w:cs="Calibri"/>
          <w:noProof/>
          <w:szCs w:val="24"/>
        </w:rPr>
      </w:pPr>
      <w:r w:rsidRPr="00D546E6">
        <w:rPr>
          <w:rFonts w:ascii="Calibri" w:hAnsi="Calibri" w:cs="Calibri"/>
          <w:noProof/>
          <w:szCs w:val="24"/>
        </w:rPr>
        <w:t>17.</w:t>
      </w:r>
      <w:r w:rsidRPr="00D546E6">
        <w:rPr>
          <w:rFonts w:ascii="Calibri" w:hAnsi="Calibri" w:cs="Calibri"/>
          <w:noProof/>
          <w:szCs w:val="24"/>
        </w:rPr>
        <w:tab/>
        <w:t xml:space="preserve">Player EL., Morris P., Thomas T., Chan WY., Vyas R., Dutton J., et al. Bioelectrical impedance analysis (BIA)-derived phase angle (PA) is a practical aid to nutritional assessment in hospital in-patients. </w:t>
      </w:r>
      <w:r w:rsidRPr="00D546E6">
        <w:rPr>
          <w:rFonts w:ascii="Calibri" w:hAnsi="Calibri" w:cs="Calibri"/>
          <w:i/>
          <w:iCs/>
          <w:noProof/>
          <w:szCs w:val="24"/>
        </w:rPr>
        <w:t>Clin Nutr</w:t>
      </w:r>
      <w:r w:rsidRPr="00D546E6">
        <w:rPr>
          <w:rFonts w:ascii="Calibri" w:hAnsi="Calibri" w:cs="Calibri"/>
          <w:noProof/>
          <w:szCs w:val="24"/>
        </w:rPr>
        <w:t xml:space="preserve"> 2019;</w:t>
      </w:r>
      <w:r w:rsidRPr="00D546E6">
        <w:rPr>
          <w:rFonts w:ascii="Calibri" w:hAnsi="Calibri" w:cs="Calibri"/>
          <w:b/>
          <w:bCs/>
          <w:noProof/>
          <w:szCs w:val="24"/>
        </w:rPr>
        <w:t>38</w:t>
      </w:r>
      <w:r w:rsidRPr="00D546E6">
        <w:rPr>
          <w:rFonts w:ascii="Calibri" w:hAnsi="Calibri" w:cs="Calibri"/>
          <w:noProof/>
          <w:szCs w:val="24"/>
        </w:rPr>
        <w:t>(4):1700–6. Doi: 10.1016/j.clnu.2018.08.003.</w:t>
      </w:r>
    </w:p>
    <w:p w14:paraId="36676CC7" w14:textId="77777777" w:rsidR="00D546E6" w:rsidRPr="00D546E6" w:rsidRDefault="00D546E6" w:rsidP="00D546E6">
      <w:pPr>
        <w:widowControl w:val="0"/>
        <w:autoSpaceDE w:val="0"/>
        <w:autoSpaceDN w:val="0"/>
        <w:adjustRightInd w:val="0"/>
        <w:spacing w:line="480" w:lineRule="auto"/>
        <w:ind w:left="640" w:hanging="640"/>
        <w:rPr>
          <w:rFonts w:ascii="Calibri" w:hAnsi="Calibri" w:cs="Calibri"/>
          <w:noProof/>
          <w:szCs w:val="24"/>
        </w:rPr>
      </w:pPr>
      <w:r w:rsidRPr="00D546E6">
        <w:rPr>
          <w:rFonts w:ascii="Calibri" w:hAnsi="Calibri" w:cs="Calibri"/>
          <w:noProof/>
          <w:szCs w:val="24"/>
        </w:rPr>
        <w:t>18.</w:t>
      </w:r>
      <w:r w:rsidRPr="00D546E6">
        <w:rPr>
          <w:rFonts w:ascii="Calibri" w:hAnsi="Calibri" w:cs="Calibri"/>
          <w:noProof/>
          <w:szCs w:val="24"/>
        </w:rPr>
        <w:tab/>
        <w:t xml:space="preserve">Brantlov S., Jødal L., Andersen RF., Lange A., Rittig S., Ward LC. An evaluation of phase angle, bioelectrical impedance vector analysis and impedance ratio for the assessment of disease status in children with nephrotic syndrome. </w:t>
      </w:r>
      <w:r w:rsidRPr="00D546E6">
        <w:rPr>
          <w:rFonts w:ascii="Calibri" w:hAnsi="Calibri" w:cs="Calibri"/>
          <w:i/>
          <w:iCs/>
          <w:noProof/>
          <w:szCs w:val="24"/>
        </w:rPr>
        <w:t>BMC Nephrol</w:t>
      </w:r>
      <w:r w:rsidRPr="00D546E6">
        <w:rPr>
          <w:rFonts w:ascii="Calibri" w:hAnsi="Calibri" w:cs="Calibri"/>
          <w:noProof/>
          <w:szCs w:val="24"/>
        </w:rPr>
        <w:t xml:space="preserve"> 2019;</w:t>
      </w:r>
      <w:r w:rsidRPr="00D546E6">
        <w:rPr>
          <w:rFonts w:ascii="Calibri" w:hAnsi="Calibri" w:cs="Calibri"/>
          <w:b/>
          <w:bCs/>
          <w:noProof/>
          <w:szCs w:val="24"/>
        </w:rPr>
        <w:t>20</w:t>
      </w:r>
      <w:r w:rsidRPr="00D546E6">
        <w:rPr>
          <w:rFonts w:ascii="Calibri" w:hAnsi="Calibri" w:cs="Calibri"/>
          <w:noProof/>
          <w:szCs w:val="24"/>
        </w:rPr>
        <w:t>(1):331. Doi: 10.1186/s12882-019-1511-y.</w:t>
      </w:r>
    </w:p>
    <w:p w14:paraId="38C4DA1F" w14:textId="77777777" w:rsidR="00D546E6" w:rsidRPr="00D546E6" w:rsidRDefault="00D546E6" w:rsidP="00D546E6">
      <w:pPr>
        <w:widowControl w:val="0"/>
        <w:autoSpaceDE w:val="0"/>
        <w:autoSpaceDN w:val="0"/>
        <w:adjustRightInd w:val="0"/>
        <w:spacing w:line="480" w:lineRule="auto"/>
        <w:ind w:left="640" w:hanging="640"/>
        <w:rPr>
          <w:rFonts w:ascii="Calibri" w:hAnsi="Calibri" w:cs="Calibri"/>
          <w:noProof/>
          <w:szCs w:val="24"/>
        </w:rPr>
      </w:pPr>
      <w:r w:rsidRPr="00D546E6">
        <w:rPr>
          <w:rFonts w:ascii="Calibri" w:hAnsi="Calibri" w:cs="Calibri"/>
          <w:noProof/>
          <w:szCs w:val="24"/>
        </w:rPr>
        <w:t>19.</w:t>
      </w:r>
      <w:r w:rsidRPr="00D546E6">
        <w:rPr>
          <w:rFonts w:ascii="Calibri" w:hAnsi="Calibri" w:cs="Calibri"/>
          <w:noProof/>
          <w:szCs w:val="24"/>
        </w:rPr>
        <w:tab/>
        <w:t xml:space="preserve">Ward LC., Dylke E., Czerniec S., Isenring E., Kilbreath SL. Confirmation of the reference impedance ratios used for assessment of breast cancer-related lymphedema by bioelectrical impedance spectroscopy. </w:t>
      </w:r>
      <w:r w:rsidRPr="00D546E6">
        <w:rPr>
          <w:rFonts w:ascii="Calibri" w:hAnsi="Calibri" w:cs="Calibri"/>
          <w:i/>
          <w:iCs/>
          <w:noProof/>
          <w:szCs w:val="24"/>
        </w:rPr>
        <w:t>Lymphat Res Biol</w:t>
      </w:r>
      <w:r w:rsidRPr="00D546E6">
        <w:rPr>
          <w:rFonts w:ascii="Calibri" w:hAnsi="Calibri" w:cs="Calibri"/>
          <w:noProof/>
          <w:szCs w:val="24"/>
        </w:rPr>
        <w:t xml:space="preserve"> 2011;</w:t>
      </w:r>
      <w:r w:rsidRPr="00D546E6">
        <w:rPr>
          <w:rFonts w:ascii="Calibri" w:hAnsi="Calibri" w:cs="Calibri"/>
          <w:b/>
          <w:bCs/>
          <w:noProof/>
          <w:szCs w:val="24"/>
        </w:rPr>
        <w:t>9</w:t>
      </w:r>
      <w:r w:rsidRPr="00D546E6">
        <w:rPr>
          <w:rFonts w:ascii="Calibri" w:hAnsi="Calibri" w:cs="Calibri"/>
          <w:noProof/>
          <w:szCs w:val="24"/>
        </w:rPr>
        <w:t>(1):47–51. Doi: 10.1089/lrb.2010.0014.</w:t>
      </w:r>
    </w:p>
    <w:p w14:paraId="72F0AA34" w14:textId="77777777" w:rsidR="00D546E6" w:rsidRPr="00D546E6" w:rsidRDefault="00D546E6" w:rsidP="00D546E6">
      <w:pPr>
        <w:widowControl w:val="0"/>
        <w:autoSpaceDE w:val="0"/>
        <w:autoSpaceDN w:val="0"/>
        <w:adjustRightInd w:val="0"/>
        <w:spacing w:line="480" w:lineRule="auto"/>
        <w:ind w:left="640" w:hanging="640"/>
        <w:rPr>
          <w:rFonts w:ascii="Calibri" w:hAnsi="Calibri" w:cs="Calibri"/>
          <w:noProof/>
          <w:szCs w:val="24"/>
        </w:rPr>
      </w:pPr>
      <w:r w:rsidRPr="00D546E6">
        <w:rPr>
          <w:rFonts w:ascii="Calibri" w:hAnsi="Calibri" w:cs="Calibri"/>
          <w:noProof/>
          <w:szCs w:val="24"/>
        </w:rPr>
        <w:t>20.</w:t>
      </w:r>
      <w:r w:rsidRPr="00D546E6">
        <w:rPr>
          <w:rFonts w:ascii="Calibri" w:hAnsi="Calibri" w:cs="Calibri"/>
          <w:noProof/>
          <w:szCs w:val="24"/>
        </w:rPr>
        <w:tab/>
        <w:t xml:space="preserve">de Blasio F., Scalfi L., Di Gregorio A., Alicante P., Bianco A., Tantucci C., et al. Raw Bioelectrical Impedance Analysis Variables Are Independent Predictors of Early All-Cause Mortality in Patients With COPD. </w:t>
      </w:r>
      <w:r w:rsidRPr="00D546E6">
        <w:rPr>
          <w:rFonts w:ascii="Calibri" w:hAnsi="Calibri" w:cs="Calibri"/>
          <w:i/>
          <w:iCs/>
          <w:noProof/>
          <w:szCs w:val="24"/>
        </w:rPr>
        <w:t>Chest</w:t>
      </w:r>
      <w:r w:rsidRPr="00D546E6">
        <w:rPr>
          <w:rFonts w:ascii="Calibri" w:hAnsi="Calibri" w:cs="Calibri"/>
          <w:noProof/>
          <w:szCs w:val="24"/>
        </w:rPr>
        <w:t xml:space="preserve"> 2019;</w:t>
      </w:r>
      <w:r w:rsidRPr="00D546E6">
        <w:rPr>
          <w:rFonts w:ascii="Calibri" w:hAnsi="Calibri" w:cs="Calibri"/>
          <w:b/>
          <w:bCs/>
          <w:noProof/>
          <w:szCs w:val="24"/>
        </w:rPr>
        <w:t>155</w:t>
      </w:r>
      <w:r w:rsidRPr="00D546E6">
        <w:rPr>
          <w:rFonts w:ascii="Calibri" w:hAnsi="Calibri" w:cs="Calibri"/>
          <w:noProof/>
          <w:szCs w:val="24"/>
        </w:rPr>
        <w:t>(6):1148–57. Doi: 10.1016/j.chest.2019.01.001.</w:t>
      </w:r>
    </w:p>
    <w:p w14:paraId="15BE9005" w14:textId="77777777" w:rsidR="00D546E6" w:rsidRPr="00D546E6" w:rsidRDefault="00D546E6" w:rsidP="00D546E6">
      <w:pPr>
        <w:widowControl w:val="0"/>
        <w:autoSpaceDE w:val="0"/>
        <w:autoSpaceDN w:val="0"/>
        <w:adjustRightInd w:val="0"/>
        <w:spacing w:line="480" w:lineRule="auto"/>
        <w:ind w:left="640" w:hanging="640"/>
        <w:rPr>
          <w:rFonts w:ascii="Calibri" w:hAnsi="Calibri" w:cs="Calibri"/>
          <w:noProof/>
          <w:szCs w:val="24"/>
        </w:rPr>
      </w:pPr>
      <w:r w:rsidRPr="00D546E6">
        <w:rPr>
          <w:rFonts w:ascii="Calibri" w:hAnsi="Calibri" w:cs="Calibri"/>
          <w:noProof/>
          <w:szCs w:val="24"/>
        </w:rPr>
        <w:t>21.</w:t>
      </w:r>
      <w:r w:rsidRPr="00D546E6">
        <w:rPr>
          <w:rFonts w:ascii="Calibri" w:hAnsi="Calibri" w:cs="Calibri"/>
          <w:noProof/>
          <w:szCs w:val="24"/>
        </w:rPr>
        <w:tab/>
        <w:t xml:space="preserve">Levine A., Koletzko S., Turner D., Escher JC., Cucchiara S., de Ridder L., et al. ESPGHAN revised porto criteria for the diagnosis of inflammatory bowel disease in children and adolescents. </w:t>
      </w:r>
      <w:r w:rsidRPr="00D546E6">
        <w:rPr>
          <w:rFonts w:ascii="Calibri" w:hAnsi="Calibri" w:cs="Calibri"/>
          <w:i/>
          <w:iCs/>
          <w:noProof/>
          <w:szCs w:val="24"/>
        </w:rPr>
        <w:t>J Pediatr Gastroenterol Nutr</w:t>
      </w:r>
      <w:r w:rsidRPr="00D546E6">
        <w:rPr>
          <w:rFonts w:ascii="Calibri" w:hAnsi="Calibri" w:cs="Calibri"/>
          <w:noProof/>
          <w:szCs w:val="24"/>
        </w:rPr>
        <w:t xml:space="preserve"> 2014;</w:t>
      </w:r>
      <w:r w:rsidRPr="00D546E6">
        <w:rPr>
          <w:rFonts w:ascii="Calibri" w:hAnsi="Calibri" w:cs="Calibri"/>
          <w:b/>
          <w:bCs/>
          <w:noProof/>
          <w:szCs w:val="24"/>
        </w:rPr>
        <w:t>58</w:t>
      </w:r>
      <w:r w:rsidRPr="00D546E6">
        <w:rPr>
          <w:rFonts w:ascii="Calibri" w:hAnsi="Calibri" w:cs="Calibri"/>
          <w:noProof/>
          <w:szCs w:val="24"/>
        </w:rPr>
        <w:t>(6):795–806. Doi: 10.1097/MPG.0000000000000239.</w:t>
      </w:r>
    </w:p>
    <w:p w14:paraId="4AA7BE7F" w14:textId="77777777" w:rsidR="00D546E6" w:rsidRPr="00D546E6" w:rsidRDefault="00D546E6" w:rsidP="00D546E6">
      <w:pPr>
        <w:widowControl w:val="0"/>
        <w:autoSpaceDE w:val="0"/>
        <w:autoSpaceDN w:val="0"/>
        <w:adjustRightInd w:val="0"/>
        <w:spacing w:line="480" w:lineRule="auto"/>
        <w:ind w:left="640" w:hanging="640"/>
        <w:rPr>
          <w:rFonts w:ascii="Calibri" w:hAnsi="Calibri" w:cs="Calibri"/>
          <w:noProof/>
          <w:szCs w:val="24"/>
        </w:rPr>
      </w:pPr>
      <w:r w:rsidRPr="00D546E6">
        <w:rPr>
          <w:rFonts w:ascii="Calibri" w:hAnsi="Calibri" w:cs="Calibri"/>
          <w:noProof/>
          <w:szCs w:val="24"/>
        </w:rPr>
        <w:t>22.</w:t>
      </w:r>
      <w:r w:rsidRPr="00D546E6">
        <w:rPr>
          <w:rFonts w:ascii="Calibri" w:hAnsi="Calibri" w:cs="Calibri"/>
          <w:noProof/>
          <w:szCs w:val="24"/>
        </w:rPr>
        <w:tab/>
        <w:t xml:space="preserve">Wiskin AE., Beattie RM. Energy requirements in children with inflammatory bowel disease. </w:t>
      </w:r>
      <w:r w:rsidRPr="00D546E6">
        <w:rPr>
          <w:rFonts w:ascii="Calibri" w:hAnsi="Calibri" w:cs="Calibri"/>
          <w:i/>
          <w:iCs/>
          <w:noProof/>
          <w:szCs w:val="24"/>
        </w:rPr>
        <w:t>J Pediatr Gastroenterol Nutr</w:t>
      </w:r>
      <w:r w:rsidRPr="00D546E6">
        <w:rPr>
          <w:rFonts w:ascii="Calibri" w:hAnsi="Calibri" w:cs="Calibri"/>
          <w:noProof/>
          <w:szCs w:val="24"/>
        </w:rPr>
        <w:t xml:space="preserve"> 2008;</w:t>
      </w:r>
      <w:r w:rsidRPr="00D546E6">
        <w:rPr>
          <w:rFonts w:ascii="Calibri" w:hAnsi="Calibri" w:cs="Calibri"/>
          <w:b/>
          <w:bCs/>
          <w:noProof/>
          <w:szCs w:val="24"/>
        </w:rPr>
        <w:t>47</w:t>
      </w:r>
      <w:r w:rsidRPr="00D546E6">
        <w:rPr>
          <w:rFonts w:ascii="Calibri" w:hAnsi="Calibri" w:cs="Calibri"/>
          <w:noProof/>
          <w:szCs w:val="24"/>
        </w:rPr>
        <w:t>(5):672; autor reply 672-3. Doi: 10.1097/MPG.0b013e31816a70ed.</w:t>
      </w:r>
    </w:p>
    <w:p w14:paraId="2043EE32" w14:textId="77777777" w:rsidR="00D546E6" w:rsidRPr="00D546E6" w:rsidRDefault="00D546E6" w:rsidP="00D546E6">
      <w:pPr>
        <w:widowControl w:val="0"/>
        <w:autoSpaceDE w:val="0"/>
        <w:autoSpaceDN w:val="0"/>
        <w:adjustRightInd w:val="0"/>
        <w:spacing w:line="480" w:lineRule="auto"/>
        <w:ind w:left="640" w:hanging="640"/>
        <w:rPr>
          <w:rFonts w:ascii="Calibri" w:hAnsi="Calibri" w:cs="Calibri"/>
          <w:noProof/>
          <w:szCs w:val="24"/>
        </w:rPr>
      </w:pPr>
      <w:r w:rsidRPr="00D546E6">
        <w:rPr>
          <w:rFonts w:ascii="Calibri" w:hAnsi="Calibri" w:cs="Calibri"/>
          <w:noProof/>
          <w:szCs w:val="24"/>
        </w:rPr>
        <w:t>23.</w:t>
      </w:r>
      <w:r w:rsidRPr="00D546E6">
        <w:rPr>
          <w:rFonts w:ascii="Calibri" w:hAnsi="Calibri" w:cs="Calibri"/>
          <w:noProof/>
          <w:szCs w:val="24"/>
        </w:rPr>
        <w:tab/>
        <w:t xml:space="preserve">Wiskin AE., Wootton SA., Culliford DJ., Afzal NA., Jackson AA., Beattie RM. Impact of disease activity on resting energy expenditure in children with inflammatory bowel disease. </w:t>
      </w:r>
      <w:r w:rsidRPr="00D546E6">
        <w:rPr>
          <w:rFonts w:ascii="Calibri" w:hAnsi="Calibri" w:cs="Calibri"/>
          <w:i/>
          <w:iCs/>
          <w:noProof/>
          <w:szCs w:val="24"/>
        </w:rPr>
        <w:t>Clin Nutr</w:t>
      </w:r>
      <w:r w:rsidRPr="00D546E6">
        <w:rPr>
          <w:rFonts w:ascii="Calibri" w:hAnsi="Calibri" w:cs="Calibri"/>
          <w:noProof/>
          <w:szCs w:val="24"/>
        </w:rPr>
        <w:t xml:space="preserve"> 2009;</w:t>
      </w:r>
      <w:r w:rsidRPr="00D546E6">
        <w:rPr>
          <w:rFonts w:ascii="Calibri" w:hAnsi="Calibri" w:cs="Calibri"/>
          <w:b/>
          <w:bCs/>
          <w:noProof/>
          <w:szCs w:val="24"/>
        </w:rPr>
        <w:t>28</w:t>
      </w:r>
      <w:r w:rsidRPr="00D546E6">
        <w:rPr>
          <w:rFonts w:ascii="Calibri" w:hAnsi="Calibri" w:cs="Calibri"/>
          <w:noProof/>
          <w:szCs w:val="24"/>
        </w:rPr>
        <w:t>(6):652–6. Doi: 10.1016/j.clnu.2009.05.007.</w:t>
      </w:r>
    </w:p>
    <w:p w14:paraId="6915C8C2" w14:textId="77777777" w:rsidR="00D546E6" w:rsidRPr="00D546E6" w:rsidRDefault="00D546E6" w:rsidP="00D546E6">
      <w:pPr>
        <w:widowControl w:val="0"/>
        <w:autoSpaceDE w:val="0"/>
        <w:autoSpaceDN w:val="0"/>
        <w:adjustRightInd w:val="0"/>
        <w:spacing w:line="480" w:lineRule="auto"/>
        <w:ind w:left="640" w:hanging="640"/>
        <w:rPr>
          <w:rFonts w:ascii="Calibri" w:hAnsi="Calibri" w:cs="Calibri"/>
          <w:noProof/>
          <w:szCs w:val="24"/>
        </w:rPr>
      </w:pPr>
      <w:r w:rsidRPr="00D546E6">
        <w:rPr>
          <w:rFonts w:ascii="Calibri" w:hAnsi="Calibri" w:cs="Calibri"/>
          <w:noProof/>
          <w:szCs w:val="24"/>
        </w:rPr>
        <w:lastRenderedPageBreak/>
        <w:t>24.</w:t>
      </w:r>
      <w:r w:rsidRPr="00D546E6">
        <w:rPr>
          <w:rFonts w:ascii="Calibri" w:hAnsi="Calibri" w:cs="Calibri"/>
          <w:noProof/>
          <w:szCs w:val="24"/>
        </w:rPr>
        <w:tab/>
        <w:t xml:space="preserve">Lozano-Nieto A. Impedance ratio in bioelectrical impedance measurements for body fluid shift determination. </w:t>
      </w:r>
      <w:r w:rsidRPr="00D546E6">
        <w:rPr>
          <w:rFonts w:ascii="Calibri" w:hAnsi="Calibri" w:cs="Calibri"/>
          <w:i/>
          <w:iCs/>
          <w:noProof/>
          <w:szCs w:val="24"/>
        </w:rPr>
        <w:t>Bioengineering, Proceedings of the Northeast Conference</w:t>
      </w:r>
      <w:r w:rsidRPr="00D546E6">
        <w:rPr>
          <w:rFonts w:ascii="Calibri" w:hAnsi="Calibri" w:cs="Calibri"/>
          <w:noProof/>
          <w:szCs w:val="24"/>
        </w:rPr>
        <w:t>. IEEE; 1998. p. 24–5.</w:t>
      </w:r>
    </w:p>
    <w:p w14:paraId="03C39718" w14:textId="77777777" w:rsidR="00D546E6" w:rsidRPr="00D546E6" w:rsidRDefault="00D546E6" w:rsidP="00D546E6">
      <w:pPr>
        <w:widowControl w:val="0"/>
        <w:autoSpaceDE w:val="0"/>
        <w:autoSpaceDN w:val="0"/>
        <w:adjustRightInd w:val="0"/>
        <w:spacing w:line="480" w:lineRule="auto"/>
        <w:ind w:left="640" w:hanging="640"/>
        <w:rPr>
          <w:rFonts w:ascii="Calibri" w:hAnsi="Calibri" w:cs="Calibri"/>
          <w:noProof/>
          <w:szCs w:val="24"/>
        </w:rPr>
      </w:pPr>
      <w:r w:rsidRPr="00D546E6">
        <w:rPr>
          <w:rFonts w:ascii="Calibri" w:hAnsi="Calibri" w:cs="Calibri"/>
          <w:noProof/>
          <w:szCs w:val="24"/>
        </w:rPr>
        <w:t>25.</w:t>
      </w:r>
      <w:r w:rsidRPr="00D546E6">
        <w:rPr>
          <w:rFonts w:ascii="Calibri" w:hAnsi="Calibri" w:cs="Calibri"/>
          <w:noProof/>
          <w:szCs w:val="24"/>
        </w:rPr>
        <w:tab/>
        <w:t xml:space="preserve">Więch P., Dabrowski M., Bazaliński D., Sałacińska I., Korczowski B., Binkowska-Bury M. Bioelectrical impedance phase angle as an indicator of malnutrition in hospitalized children with diagnosed inflammatory bowel diseases—a case control study. </w:t>
      </w:r>
      <w:r w:rsidRPr="00D546E6">
        <w:rPr>
          <w:rFonts w:ascii="Calibri" w:hAnsi="Calibri" w:cs="Calibri"/>
          <w:i/>
          <w:iCs/>
          <w:noProof/>
          <w:szCs w:val="24"/>
        </w:rPr>
        <w:t>Nutrients</w:t>
      </w:r>
      <w:r w:rsidRPr="00D546E6">
        <w:rPr>
          <w:rFonts w:ascii="Calibri" w:hAnsi="Calibri" w:cs="Calibri"/>
          <w:noProof/>
          <w:szCs w:val="24"/>
        </w:rPr>
        <w:t xml:space="preserve"> 2018;</w:t>
      </w:r>
      <w:r w:rsidRPr="00D546E6">
        <w:rPr>
          <w:rFonts w:ascii="Calibri" w:hAnsi="Calibri" w:cs="Calibri"/>
          <w:b/>
          <w:bCs/>
          <w:noProof/>
          <w:szCs w:val="24"/>
        </w:rPr>
        <w:t>10</w:t>
      </w:r>
      <w:r w:rsidRPr="00D546E6">
        <w:rPr>
          <w:rFonts w:ascii="Calibri" w:hAnsi="Calibri" w:cs="Calibri"/>
          <w:noProof/>
          <w:szCs w:val="24"/>
        </w:rPr>
        <w:t>(4). Doi: 10.3390/nu10040499.</w:t>
      </w:r>
    </w:p>
    <w:p w14:paraId="01881451" w14:textId="77777777" w:rsidR="00D546E6" w:rsidRPr="00D546E6" w:rsidRDefault="00D546E6" w:rsidP="00D546E6">
      <w:pPr>
        <w:widowControl w:val="0"/>
        <w:autoSpaceDE w:val="0"/>
        <w:autoSpaceDN w:val="0"/>
        <w:adjustRightInd w:val="0"/>
        <w:spacing w:line="480" w:lineRule="auto"/>
        <w:ind w:left="640" w:hanging="640"/>
        <w:rPr>
          <w:rFonts w:ascii="Calibri" w:hAnsi="Calibri" w:cs="Calibri"/>
          <w:noProof/>
          <w:szCs w:val="24"/>
        </w:rPr>
      </w:pPr>
      <w:r w:rsidRPr="00D546E6">
        <w:rPr>
          <w:rFonts w:ascii="Calibri" w:hAnsi="Calibri" w:cs="Calibri"/>
          <w:noProof/>
          <w:szCs w:val="24"/>
        </w:rPr>
        <w:t>26.</w:t>
      </w:r>
      <w:r w:rsidRPr="00D546E6">
        <w:rPr>
          <w:rFonts w:ascii="Calibri" w:hAnsi="Calibri" w:cs="Calibri"/>
          <w:noProof/>
          <w:szCs w:val="24"/>
        </w:rPr>
        <w:tab/>
        <w:t xml:space="preserve">Emerenziani S., Biancone L., Guarino MPL., Balestrieri P., Stasi E., Ribolsi M., et al. Nutritional status and bioelectrical phase angle assessment in adult Crohn disease patients receiving anti-TNFα therapy. </w:t>
      </w:r>
      <w:r w:rsidRPr="00D546E6">
        <w:rPr>
          <w:rFonts w:ascii="Calibri" w:hAnsi="Calibri" w:cs="Calibri"/>
          <w:i/>
          <w:iCs/>
          <w:noProof/>
          <w:szCs w:val="24"/>
        </w:rPr>
        <w:t>Dig Liver Dis</w:t>
      </w:r>
      <w:r w:rsidRPr="00D546E6">
        <w:rPr>
          <w:rFonts w:ascii="Calibri" w:hAnsi="Calibri" w:cs="Calibri"/>
          <w:noProof/>
          <w:szCs w:val="24"/>
        </w:rPr>
        <w:t xml:space="preserve"> 2017;</w:t>
      </w:r>
      <w:r w:rsidRPr="00D546E6">
        <w:rPr>
          <w:rFonts w:ascii="Calibri" w:hAnsi="Calibri" w:cs="Calibri"/>
          <w:b/>
          <w:bCs/>
          <w:noProof/>
          <w:szCs w:val="24"/>
        </w:rPr>
        <w:t>49</w:t>
      </w:r>
      <w:r w:rsidRPr="00D546E6">
        <w:rPr>
          <w:rFonts w:ascii="Calibri" w:hAnsi="Calibri" w:cs="Calibri"/>
          <w:noProof/>
          <w:szCs w:val="24"/>
        </w:rPr>
        <w:t>(5):495–9. Doi: 10.1016/j.dld.2016.12.026.</w:t>
      </w:r>
    </w:p>
    <w:p w14:paraId="5C801B6D" w14:textId="77777777" w:rsidR="00D546E6" w:rsidRPr="00D546E6" w:rsidRDefault="00D546E6" w:rsidP="00D546E6">
      <w:pPr>
        <w:widowControl w:val="0"/>
        <w:autoSpaceDE w:val="0"/>
        <w:autoSpaceDN w:val="0"/>
        <w:adjustRightInd w:val="0"/>
        <w:spacing w:line="480" w:lineRule="auto"/>
        <w:ind w:left="640" w:hanging="640"/>
        <w:rPr>
          <w:rFonts w:ascii="Calibri" w:hAnsi="Calibri" w:cs="Calibri"/>
          <w:noProof/>
          <w:szCs w:val="24"/>
        </w:rPr>
      </w:pPr>
      <w:r w:rsidRPr="00D546E6">
        <w:rPr>
          <w:rFonts w:ascii="Calibri" w:hAnsi="Calibri" w:cs="Calibri"/>
          <w:noProof/>
          <w:szCs w:val="24"/>
        </w:rPr>
        <w:t>27.</w:t>
      </w:r>
      <w:r w:rsidRPr="00D546E6">
        <w:rPr>
          <w:rFonts w:ascii="Calibri" w:hAnsi="Calibri" w:cs="Calibri"/>
          <w:noProof/>
          <w:szCs w:val="24"/>
        </w:rPr>
        <w:tab/>
        <w:t xml:space="preserve">Turner D., Otley AR., Mack D., Hyams J., de Bruijne J., Uusoue K., et al. Development, Validation, and Evaluation of a Pediatric Ulcerative Colitis Activity Index: A Prospective Multicenter Study. </w:t>
      </w:r>
      <w:r w:rsidRPr="00D546E6">
        <w:rPr>
          <w:rFonts w:ascii="Calibri" w:hAnsi="Calibri" w:cs="Calibri"/>
          <w:i/>
          <w:iCs/>
          <w:noProof/>
          <w:szCs w:val="24"/>
        </w:rPr>
        <w:t>Gastroenterology</w:t>
      </w:r>
      <w:r w:rsidRPr="00D546E6">
        <w:rPr>
          <w:rFonts w:ascii="Calibri" w:hAnsi="Calibri" w:cs="Calibri"/>
          <w:noProof/>
          <w:szCs w:val="24"/>
        </w:rPr>
        <w:t xml:space="preserve"> 2007;</w:t>
      </w:r>
      <w:r w:rsidRPr="00D546E6">
        <w:rPr>
          <w:rFonts w:ascii="Calibri" w:hAnsi="Calibri" w:cs="Calibri"/>
          <w:b/>
          <w:bCs/>
          <w:noProof/>
          <w:szCs w:val="24"/>
        </w:rPr>
        <w:t>133</w:t>
      </w:r>
      <w:r w:rsidRPr="00D546E6">
        <w:rPr>
          <w:rFonts w:ascii="Calibri" w:hAnsi="Calibri" w:cs="Calibri"/>
          <w:noProof/>
          <w:szCs w:val="24"/>
        </w:rPr>
        <w:t>(2):423–32. Doi: 10.1053/j.gastro.2007.05.029.</w:t>
      </w:r>
    </w:p>
    <w:p w14:paraId="39A900B0" w14:textId="77777777" w:rsidR="00D546E6" w:rsidRPr="00D546E6" w:rsidRDefault="00D546E6" w:rsidP="00D546E6">
      <w:pPr>
        <w:widowControl w:val="0"/>
        <w:autoSpaceDE w:val="0"/>
        <w:autoSpaceDN w:val="0"/>
        <w:adjustRightInd w:val="0"/>
        <w:spacing w:line="480" w:lineRule="auto"/>
        <w:ind w:left="640" w:hanging="640"/>
        <w:rPr>
          <w:rFonts w:ascii="Calibri" w:hAnsi="Calibri" w:cs="Calibri"/>
          <w:noProof/>
          <w:szCs w:val="24"/>
        </w:rPr>
      </w:pPr>
      <w:r w:rsidRPr="00D546E6">
        <w:rPr>
          <w:rFonts w:ascii="Calibri" w:hAnsi="Calibri" w:cs="Calibri"/>
          <w:noProof/>
          <w:szCs w:val="24"/>
        </w:rPr>
        <w:t>28.</w:t>
      </w:r>
      <w:r w:rsidRPr="00D546E6">
        <w:rPr>
          <w:rFonts w:ascii="Calibri" w:hAnsi="Calibri" w:cs="Calibri"/>
          <w:noProof/>
          <w:szCs w:val="24"/>
        </w:rPr>
        <w:tab/>
        <w:t xml:space="preserve">Dung NQ., Fusch G., Armbrust S., Jochum F., Fusch C. Use of bioelectrical impedance analysis and anthropometry to measure fat-free mass in children and adolescents with Crohn disease. </w:t>
      </w:r>
      <w:r w:rsidRPr="00D546E6">
        <w:rPr>
          <w:rFonts w:ascii="Calibri" w:hAnsi="Calibri" w:cs="Calibri"/>
          <w:i/>
          <w:iCs/>
          <w:noProof/>
          <w:szCs w:val="24"/>
        </w:rPr>
        <w:t>J Pediatr Gastroenterol Nutr</w:t>
      </w:r>
      <w:r w:rsidRPr="00D546E6">
        <w:rPr>
          <w:rFonts w:ascii="Calibri" w:hAnsi="Calibri" w:cs="Calibri"/>
          <w:noProof/>
          <w:szCs w:val="24"/>
        </w:rPr>
        <w:t xml:space="preserve"> 2007;</w:t>
      </w:r>
      <w:r w:rsidRPr="00D546E6">
        <w:rPr>
          <w:rFonts w:ascii="Calibri" w:hAnsi="Calibri" w:cs="Calibri"/>
          <w:b/>
          <w:bCs/>
          <w:noProof/>
          <w:szCs w:val="24"/>
        </w:rPr>
        <w:t>44</w:t>
      </w:r>
      <w:r w:rsidRPr="00D546E6">
        <w:rPr>
          <w:rFonts w:ascii="Calibri" w:hAnsi="Calibri" w:cs="Calibri"/>
          <w:noProof/>
          <w:szCs w:val="24"/>
        </w:rPr>
        <w:t>(1):130–5. Doi: 10.1097/01.mpg.0000237935.20297.2f.</w:t>
      </w:r>
    </w:p>
    <w:p w14:paraId="238C27F2" w14:textId="77777777" w:rsidR="00D546E6" w:rsidRPr="00D546E6" w:rsidRDefault="00D546E6" w:rsidP="00D546E6">
      <w:pPr>
        <w:widowControl w:val="0"/>
        <w:autoSpaceDE w:val="0"/>
        <w:autoSpaceDN w:val="0"/>
        <w:adjustRightInd w:val="0"/>
        <w:spacing w:line="480" w:lineRule="auto"/>
        <w:ind w:left="640" w:hanging="640"/>
        <w:rPr>
          <w:rFonts w:ascii="Calibri" w:hAnsi="Calibri" w:cs="Calibri"/>
          <w:noProof/>
          <w:szCs w:val="24"/>
        </w:rPr>
      </w:pPr>
      <w:r w:rsidRPr="00D546E6">
        <w:rPr>
          <w:rFonts w:ascii="Calibri" w:hAnsi="Calibri" w:cs="Calibri"/>
          <w:noProof/>
          <w:szCs w:val="24"/>
        </w:rPr>
        <w:t>29.</w:t>
      </w:r>
      <w:r w:rsidRPr="00D546E6">
        <w:rPr>
          <w:rFonts w:ascii="Calibri" w:hAnsi="Calibri" w:cs="Calibri"/>
          <w:noProof/>
          <w:szCs w:val="24"/>
        </w:rPr>
        <w:tab/>
        <w:t xml:space="preserve">Ashton JJ., Peiris D., Green Z., Johnson MJ., Marino L V., Griffiths M., et al. Routine abdominal magnetic resonance imaging can determine psoas muscle area in paediatric Crohn’s disease and correlates with bioelectrical impedance spectroscopy measures of lean mass. </w:t>
      </w:r>
      <w:r w:rsidRPr="00D546E6">
        <w:rPr>
          <w:rFonts w:ascii="Calibri" w:hAnsi="Calibri" w:cs="Calibri"/>
          <w:i/>
          <w:iCs/>
          <w:noProof/>
          <w:szCs w:val="24"/>
        </w:rPr>
        <w:t>Clin Nutr ESPEN</w:t>
      </w:r>
      <w:r w:rsidRPr="00D546E6">
        <w:rPr>
          <w:rFonts w:ascii="Calibri" w:hAnsi="Calibri" w:cs="Calibri"/>
          <w:noProof/>
          <w:szCs w:val="24"/>
        </w:rPr>
        <w:t xml:space="preserve"> n.d.;</w:t>
      </w:r>
      <w:r w:rsidRPr="00D546E6">
        <w:rPr>
          <w:rFonts w:ascii="Calibri" w:hAnsi="Calibri" w:cs="Calibri"/>
          <w:b/>
          <w:bCs/>
          <w:noProof/>
          <w:szCs w:val="24"/>
        </w:rPr>
        <w:t>0</w:t>
      </w:r>
      <w:r w:rsidRPr="00D546E6">
        <w:rPr>
          <w:rFonts w:ascii="Calibri" w:hAnsi="Calibri" w:cs="Calibri"/>
          <w:noProof/>
          <w:szCs w:val="24"/>
        </w:rPr>
        <w:t>(0). Doi: 10.1016/J.CLNESP.2021.01.031.</w:t>
      </w:r>
    </w:p>
    <w:p w14:paraId="52E537BE" w14:textId="77777777" w:rsidR="00D546E6" w:rsidRPr="00D546E6" w:rsidRDefault="00D546E6" w:rsidP="00D546E6">
      <w:pPr>
        <w:widowControl w:val="0"/>
        <w:autoSpaceDE w:val="0"/>
        <w:autoSpaceDN w:val="0"/>
        <w:adjustRightInd w:val="0"/>
        <w:spacing w:line="480" w:lineRule="auto"/>
        <w:ind w:left="640" w:hanging="640"/>
        <w:rPr>
          <w:rFonts w:ascii="Calibri" w:hAnsi="Calibri" w:cs="Calibri"/>
          <w:noProof/>
        </w:rPr>
      </w:pPr>
      <w:r w:rsidRPr="00D546E6">
        <w:rPr>
          <w:rFonts w:ascii="Calibri" w:hAnsi="Calibri" w:cs="Calibri"/>
          <w:noProof/>
          <w:szCs w:val="24"/>
        </w:rPr>
        <w:t>30.</w:t>
      </w:r>
      <w:r w:rsidRPr="00D546E6">
        <w:rPr>
          <w:rFonts w:ascii="Calibri" w:hAnsi="Calibri" w:cs="Calibri"/>
          <w:noProof/>
          <w:szCs w:val="24"/>
        </w:rPr>
        <w:tab/>
        <w:t xml:space="preserve">Van Rheenen PF., Aloi M., Assa A., Bronsky J., Escher JC., Fagerberg UL., et al. The Medical Management of Paediatric Crohn’s Disease: an ECCO-ESPGHAN Guideline Update. </w:t>
      </w:r>
      <w:r w:rsidRPr="00D546E6">
        <w:rPr>
          <w:rFonts w:ascii="Calibri" w:hAnsi="Calibri" w:cs="Calibri"/>
          <w:i/>
          <w:iCs/>
          <w:noProof/>
          <w:szCs w:val="24"/>
        </w:rPr>
        <w:t>J Crohn’s Colitis</w:t>
      </w:r>
      <w:r w:rsidRPr="00D546E6">
        <w:rPr>
          <w:rFonts w:ascii="Calibri" w:hAnsi="Calibri" w:cs="Calibri"/>
          <w:noProof/>
          <w:szCs w:val="24"/>
        </w:rPr>
        <w:t xml:space="preserve"> 2020;</w:t>
      </w:r>
      <w:r w:rsidRPr="00D546E6">
        <w:rPr>
          <w:rFonts w:ascii="Calibri" w:hAnsi="Calibri" w:cs="Calibri"/>
          <w:b/>
          <w:bCs/>
          <w:noProof/>
          <w:szCs w:val="24"/>
        </w:rPr>
        <w:t>2020</w:t>
      </w:r>
      <w:r w:rsidRPr="00D546E6">
        <w:rPr>
          <w:rFonts w:ascii="Calibri" w:hAnsi="Calibri" w:cs="Calibri"/>
          <w:noProof/>
          <w:szCs w:val="24"/>
        </w:rPr>
        <w:t>:1–24. Doi: 10.1093/ecco-jcc/jjaa161.</w:t>
      </w:r>
    </w:p>
    <w:p w14:paraId="32FDCBAF" w14:textId="1E9541E5" w:rsidR="002C4DEF" w:rsidRPr="002756B1" w:rsidRDefault="002C4DEF" w:rsidP="00110F0C">
      <w:pPr>
        <w:spacing w:line="480" w:lineRule="auto"/>
        <w:rPr>
          <w:rFonts w:cstheme="minorHAnsi"/>
        </w:rPr>
      </w:pPr>
      <w:r w:rsidRPr="002756B1">
        <w:rPr>
          <w:rFonts w:cstheme="minorHAnsi"/>
        </w:rPr>
        <w:fldChar w:fldCharType="end"/>
      </w:r>
    </w:p>
    <w:sectPr w:rsidR="002C4DEF" w:rsidRPr="002756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3545CA"/>
    <w:multiLevelType w:val="hybridMultilevel"/>
    <w:tmpl w:val="141A8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B3574F"/>
    <w:multiLevelType w:val="hybridMultilevel"/>
    <w:tmpl w:val="77AEB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51C"/>
    <w:rsid w:val="00014F75"/>
    <w:rsid w:val="00071B40"/>
    <w:rsid w:val="0009751C"/>
    <w:rsid w:val="000B6E90"/>
    <w:rsid w:val="000D6D23"/>
    <w:rsid w:val="000F6826"/>
    <w:rsid w:val="00105FDB"/>
    <w:rsid w:val="00110F0C"/>
    <w:rsid w:val="001435D4"/>
    <w:rsid w:val="00156914"/>
    <w:rsid w:val="00174E92"/>
    <w:rsid w:val="001941F6"/>
    <w:rsid w:val="00195C91"/>
    <w:rsid w:val="00197BF9"/>
    <w:rsid w:val="001A1615"/>
    <w:rsid w:val="001A7CA8"/>
    <w:rsid w:val="001D1EB6"/>
    <w:rsid w:val="001F5287"/>
    <w:rsid w:val="002222D5"/>
    <w:rsid w:val="002370A9"/>
    <w:rsid w:val="00243F2F"/>
    <w:rsid w:val="00257B4B"/>
    <w:rsid w:val="0027263A"/>
    <w:rsid w:val="002756B1"/>
    <w:rsid w:val="00294823"/>
    <w:rsid w:val="00295CB7"/>
    <w:rsid w:val="00295D1A"/>
    <w:rsid w:val="002B2798"/>
    <w:rsid w:val="002B4873"/>
    <w:rsid w:val="002C3267"/>
    <w:rsid w:val="002C4DEF"/>
    <w:rsid w:val="002E5A1A"/>
    <w:rsid w:val="002F26CE"/>
    <w:rsid w:val="00322574"/>
    <w:rsid w:val="003372CB"/>
    <w:rsid w:val="00372C81"/>
    <w:rsid w:val="003D779A"/>
    <w:rsid w:val="003F72C9"/>
    <w:rsid w:val="0046667F"/>
    <w:rsid w:val="00467F6F"/>
    <w:rsid w:val="004862E9"/>
    <w:rsid w:val="004D4F12"/>
    <w:rsid w:val="0050224D"/>
    <w:rsid w:val="00522EBE"/>
    <w:rsid w:val="005430B7"/>
    <w:rsid w:val="00581037"/>
    <w:rsid w:val="005A0CC8"/>
    <w:rsid w:val="005A21C8"/>
    <w:rsid w:val="005C085D"/>
    <w:rsid w:val="006C36F6"/>
    <w:rsid w:val="006F1504"/>
    <w:rsid w:val="006F5580"/>
    <w:rsid w:val="00710119"/>
    <w:rsid w:val="00720F21"/>
    <w:rsid w:val="00723D90"/>
    <w:rsid w:val="0075528C"/>
    <w:rsid w:val="00762ED7"/>
    <w:rsid w:val="00764EFB"/>
    <w:rsid w:val="007819D2"/>
    <w:rsid w:val="007D57F2"/>
    <w:rsid w:val="008708BE"/>
    <w:rsid w:val="00891BE4"/>
    <w:rsid w:val="008A2E97"/>
    <w:rsid w:val="008A4B59"/>
    <w:rsid w:val="008E4765"/>
    <w:rsid w:val="00922D5D"/>
    <w:rsid w:val="00954562"/>
    <w:rsid w:val="00974EAC"/>
    <w:rsid w:val="009B6CC1"/>
    <w:rsid w:val="00A25CAC"/>
    <w:rsid w:val="00A26755"/>
    <w:rsid w:val="00A71967"/>
    <w:rsid w:val="00AF2F15"/>
    <w:rsid w:val="00B56FB0"/>
    <w:rsid w:val="00B61142"/>
    <w:rsid w:val="00B64374"/>
    <w:rsid w:val="00B664CE"/>
    <w:rsid w:val="00C0684A"/>
    <w:rsid w:val="00C36DF5"/>
    <w:rsid w:val="00C42465"/>
    <w:rsid w:val="00C4286B"/>
    <w:rsid w:val="00C43441"/>
    <w:rsid w:val="00C536D8"/>
    <w:rsid w:val="00C53B96"/>
    <w:rsid w:val="00C6772A"/>
    <w:rsid w:val="00C73EB9"/>
    <w:rsid w:val="00C7430C"/>
    <w:rsid w:val="00C81F5F"/>
    <w:rsid w:val="00C94FB6"/>
    <w:rsid w:val="00CB462E"/>
    <w:rsid w:val="00CC3027"/>
    <w:rsid w:val="00CE5546"/>
    <w:rsid w:val="00D145A8"/>
    <w:rsid w:val="00D20A98"/>
    <w:rsid w:val="00D47D6D"/>
    <w:rsid w:val="00D546E6"/>
    <w:rsid w:val="00D64AFA"/>
    <w:rsid w:val="00D83314"/>
    <w:rsid w:val="00D9431F"/>
    <w:rsid w:val="00DA4A5A"/>
    <w:rsid w:val="00DA68D4"/>
    <w:rsid w:val="00DB6117"/>
    <w:rsid w:val="00DD346E"/>
    <w:rsid w:val="00DE136A"/>
    <w:rsid w:val="00E07FF5"/>
    <w:rsid w:val="00E35922"/>
    <w:rsid w:val="00E442B3"/>
    <w:rsid w:val="00E522EB"/>
    <w:rsid w:val="00E7254C"/>
    <w:rsid w:val="00E85FC7"/>
    <w:rsid w:val="00E87510"/>
    <w:rsid w:val="00E919AC"/>
    <w:rsid w:val="00E9334B"/>
    <w:rsid w:val="00EB221B"/>
    <w:rsid w:val="00ED43DC"/>
    <w:rsid w:val="00EF0832"/>
    <w:rsid w:val="00F4570D"/>
    <w:rsid w:val="00F6583D"/>
    <w:rsid w:val="00F66A81"/>
    <w:rsid w:val="00F7315F"/>
    <w:rsid w:val="00F73807"/>
    <w:rsid w:val="00F76408"/>
    <w:rsid w:val="00F8321A"/>
    <w:rsid w:val="00F83AC4"/>
    <w:rsid w:val="00FC5A5E"/>
    <w:rsid w:val="00FF0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35E6D"/>
  <w15:docId w15:val="{B4AA6B48-75C2-45C0-9264-123FE482D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5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51C"/>
    <w:pPr>
      <w:ind w:left="720"/>
      <w:contextualSpacing/>
    </w:pPr>
  </w:style>
  <w:style w:type="paragraph" w:styleId="BalloonText">
    <w:name w:val="Balloon Text"/>
    <w:basedOn w:val="Normal"/>
    <w:link w:val="BalloonTextChar"/>
    <w:uiPriority w:val="99"/>
    <w:semiHidden/>
    <w:unhideWhenUsed/>
    <w:rsid w:val="00174E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E92"/>
    <w:rPr>
      <w:rFonts w:ascii="Segoe UI" w:hAnsi="Segoe UI" w:cs="Segoe UI"/>
      <w:sz w:val="18"/>
      <w:szCs w:val="18"/>
    </w:rPr>
  </w:style>
  <w:style w:type="character" w:styleId="Hyperlink">
    <w:name w:val="Hyperlink"/>
    <w:basedOn w:val="DefaultParagraphFont"/>
    <w:unhideWhenUsed/>
    <w:rsid w:val="00195C91"/>
    <w:rPr>
      <w:color w:val="0563C1" w:themeColor="hyperlink"/>
      <w:u w:val="single"/>
    </w:rPr>
  </w:style>
  <w:style w:type="character" w:customStyle="1" w:styleId="UnresolvedMention1">
    <w:name w:val="Unresolved Mention1"/>
    <w:basedOn w:val="DefaultParagraphFont"/>
    <w:uiPriority w:val="99"/>
    <w:semiHidden/>
    <w:unhideWhenUsed/>
    <w:rsid w:val="00195C91"/>
    <w:rPr>
      <w:color w:val="605E5C"/>
      <w:shd w:val="clear" w:color="auto" w:fill="E1DFDD"/>
    </w:rPr>
  </w:style>
  <w:style w:type="character" w:customStyle="1" w:styleId="cit">
    <w:name w:val="cit"/>
    <w:basedOn w:val="DefaultParagraphFont"/>
    <w:rsid w:val="002E5A1A"/>
  </w:style>
  <w:style w:type="character" w:customStyle="1" w:styleId="authors-list-item">
    <w:name w:val="authors-list-item"/>
    <w:basedOn w:val="DefaultParagraphFont"/>
    <w:rsid w:val="002E5A1A"/>
  </w:style>
  <w:style w:type="character" w:customStyle="1" w:styleId="author-sup-separator">
    <w:name w:val="author-sup-separator"/>
    <w:basedOn w:val="DefaultParagraphFont"/>
    <w:rsid w:val="002E5A1A"/>
  </w:style>
  <w:style w:type="character" w:customStyle="1" w:styleId="comma">
    <w:name w:val="comma"/>
    <w:basedOn w:val="DefaultParagraphFont"/>
    <w:rsid w:val="002E5A1A"/>
  </w:style>
  <w:style w:type="paragraph" w:styleId="NormalWeb">
    <w:name w:val="Normal (Web)"/>
    <w:basedOn w:val="Normal"/>
    <w:uiPriority w:val="99"/>
    <w:semiHidden/>
    <w:unhideWhenUsed/>
    <w:rsid w:val="006F55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94823"/>
    <w:rPr>
      <w:sz w:val="16"/>
      <w:szCs w:val="16"/>
    </w:rPr>
  </w:style>
  <w:style w:type="paragraph" w:styleId="CommentText">
    <w:name w:val="annotation text"/>
    <w:basedOn w:val="Normal"/>
    <w:link w:val="CommentTextChar"/>
    <w:uiPriority w:val="99"/>
    <w:semiHidden/>
    <w:unhideWhenUsed/>
    <w:rsid w:val="00294823"/>
    <w:pPr>
      <w:spacing w:line="240" w:lineRule="auto"/>
    </w:pPr>
    <w:rPr>
      <w:sz w:val="20"/>
      <w:szCs w:val="20"/>
    </w:rPr>
  </w:style>
  <w:style w:type="character" w:customStyle="1" w:styleId="CommentTextChar">
    <w:name w:val="Comment Text Char"/>
    <w:basedOn w:val="DefaultParagraphFont"/>
    <w:link w:val="CommentText"/>
    <w:uiPriority w:val="99"/>
    <w:semiHidden/>
    <w:rsid w:val="00294823"/>
    <w:rPr>
      <w:sz w:val="20"/>
      <w:szCs w:val="20"/>
    </w:rPr>
  </w:style>
  <w:style w:type="paragraph" w:styleId="CommentSubject">
    <w:name w:val="annotation subject"/>
    <w:basedOn w:val="CommentText"/>
    <w:next w:val="CommentText"/>
    <w:link w:val="CommentSubjectChar"/>
    <w:uiPriority w:val="99"/>
    <w:semiHidden/>
    <w:unhideWhenUsed/>
    <w:rsid w:val="00294823"/>
    <w:rPr>
      <w:b/>
      <w:bCs/>
    </w:rPr>
  </w:style>
  <w:style w:type="character" w:customStyle="1" w:styleId="CommentSubjectChar">
    <w:name w:val="Comment Subject Char"/>
    <w:basedOn w:val="CommentTextChar"/>
    <w:link w:val="CommentSubject"/>
    <w:uiPriority w:val="99"/>
    <w:semiHidden/>
    <w:rsid w:val="00294823"/>
    <w:rPr>
      <w:b/>
      <w:bCs/>
      <w:sz w:val="20"/>
      <w:szCs w:val="20"/>
    </w:rPr>
  </w:style>
  <w:style w:type="character" w:styleId="FollowedHyperlink">
    <w:name w:val="FollowedHyperlink"/>
    <w:basedOn w:val="DefaultParagraphFont"/>
    <w:uiPriority w:val="99"/>
    <w:semiHidden/>
    <w:unhideWhenUsed/>
    <w:rsid w:val="00D546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56658">
      <w:bodyDiv w:val="1"/>
      <w:marLeft w:val="0"/>
      <w:marRight w:val="0"/>
      <w:marTop w:val="0"/>
      <w:marBottom w:val="0"/>
      <w:divBdr>
        <w:top w:val="none" w:sz="0" w:space="0" w:color="auto"/>
        <w:left w:val="none" w:sz="0" w:space="0" w:color="auto"/>
        <w:bottom w:val="none" w:sz="0" w:space="0" w:color="auto"/>
        <w:right w:val="none" w:sz="0" w:space="0" w:color="auto"/>
      </w:divBdr>
    </w:div>
    <w:div w:id="44449726">
      <w:bodyDiv w:val="1"/>
      <w:marLeft w:val="0"/>
      <w:marRight w:val="0"/>
      <w:marTop w:val="0"/>
      <w:marBottom w:val="0"/>
      <w:divBdr>
        <w:top w:val="none" w:sz="0" w:space="0" w:color="auto"/>
        <w:left w:val="none" w:sz="0" w:space="0" w:color="auto"/>
        <w:bottom w:val="none" w:sz="0" w:space="0" w:color="auto"/>
        <w:right w:val="none" w:sz="0" w:space="0" w:color="auto"/>
      </w:divBdr>
    </w:div>
    <w:div w:id="1369453272">
      <w:bodyDiv w:val="1"/>
      <w:marLeft w:val="0"/>
      <w:marRight w:val="0"/>
      <w:marTop w:val="0"/>
      <w:marBottom w:val="0"/>
      <w:divBdr>
        <w:top w:val="none" w:sz="0" w:space="0" w:color="auto"/>
        <w:left w:val="none" w:sz="0" w:space="0" w:color="auto"/>
        <w:bottom w:val="none" w:sz="0" w:space="0" w:color="auto"/>
        <w:right w:val="none" w:sz="0" w:space="0" w:color="auto"/>
      </w:divBdr>
    </w:div>
    <w:div w:id="180665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k.beattie@uhs.nhs.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D51AC-6D83-41CE-B615-715D5F54E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25632</Words>
  <Characters>146107</Characters>
  <Application>Microsoft Office Word</Application>
  <DocSecurity>0</DocSecurity>
  <Lines>1217</Lines>
  <Paragraphs>342</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171397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Ashton</dc:creator>
  <cp:lastModifiedBy>James Ashton</cp:lastModifiedBy>
  <cp:revision>3</cp:revision>
  <dcterms:created xsi:type="dcterms:W3CDTF">2021-05-29T13:29:00Z</dcterms:created>
  <dcterms:modified xsi:type="dcterms:W3CDTF">2021-05-29T13:29:00Z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http://www.zotero.org/styles/bmj</vt:lpwstr>
  </property>
  <property fmtid="{D5CDD505-2E9C-101B-9397-08002B2CF9AE}" pid="5" name="Mendeley Recent Style Name 1_1">
    <vt:lpwstr>BMJ</vt:lpwstr>
  </property>
  <property fmtid="{D5CDD505-2E9C-101B-9397-08002B2CF9AE}" pid="6" name="Mendeley Recent Style Id 2_1">
    <vt:lpwstr>http://www.zotero.org/styles/biomed-central</vt:lpwstr>
  </property>
  <property fmtid="{D5CDD505-2E9C-101B-9397-08002B2CF9AE}" pid="7" name="Mendeley Recent Style Name 2_1">
    <vt:lpwstr>BioMed Central</vt:lpwstr>
  </property>
  <property fmtid="{D5CDD505-2E9C-101B-9397-08002B2CF9AE}" pid="8" name="Mendeley Recent Style Id 3_1">
    <vt:lpwstr>http://www.zotero.org/styles/clinical-nutrition</vt:lpwstr>
  </property>
  <property fmtid="{D5CDD505-2E9C-101B-9397-08002B2CF9AE}" pid="9" name="Mendeley Recent Style Name 3_1">
    <vt:lpwstr>Clinical Nutrition</vt:lpwstr>
  </property>
  <property fmtid="{D5CDD505-2E9C-101B-9397-08002B2CF9AE}" pid="10" name="Mendeley Recent Style Id 4_1">
    <vt:lpwstr>http://www.zotero.org/styles/clinical-and-translational-gastroenterology</vt:lpwstr>
  </property>
  <property fmtid="{D5CDD505-2E9C-101B-9397-08002B2CF9AE}" pid="11" name="Mendeley Recent Style Name 4_1">
    <vt:lpwstr>Clinical and Translational Gastroenterology</vt:lpwstr>
  </property>
  <property fmtid="{D5CDD505-2E9C-101B-9397-08002B2CF9AE}" pid="12" name="Mendeley Recent Style Id 5_1">
    <vt:lpwstr>http://www.zotero.org/styles/expert-review-of-gastroenterology-and-hepatology</vt:lpwstr>
  </property>
  <property fmtid="{D5CDD505-2E9C-101B-9397-08002B2CF9AE}" pid="13" name="Mendeley Recent Style Name 5_1">
    <vt:lpwstr>Expert Review of Gastroenterology &amp; Hepatology</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http://www.zotero.org/styles/inflammatory-bowel-diseases</vt:lpwstr>
  </property>
  <property fmtid="{D5CDD505-2E9C-101B-9397-08002B2CF9AE}" pid="17" name="Mendeley Recent Style Name 7_1">
    <vt:lpwstr>Inflammatory Bowel Diseases</vt:lpwstr>
  </property>
  <property fmtid="{D5CDD505-2E9C-101B-9397-08002B2CF9AE}" pid="18" name="Mendeley Recent Style Id 8_1">
    <vt:lpwstr>http://www.zotero.org/styles/journal-of-crohns-and-colitis</vt:lpwstr>
  </property>
  <property fmtid="{D5CDD505-2E9C-101B-9397-08002B2CF9AE}" pid="19" name="Mendeley Recent Style Name 8_1">
    <vt:lpwstr>Journal of Crohn's and Colitis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dbbddcf1-2576-3385-99ee-f75c9988e972</vt:lpwstr>
  </property>
  <property fmtid="{D5CDD505-2E9C-101B-9397-08002B2CF9AE}" pid="24" name="Mendeley Citation Style_1">
    <vt:lpwstr>http://www.zotero.org/styles/journal-of-crohns-and-colitis</vt:lpwstr>
  </property>
</Properties>
</file>