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1F2C7" w14:textId="77777777" w:rsidR="00F00017" w:rsidRPr="00D60072" w:rsidRDefault="00F00017" w:rsidP="00984F55">
      <w:pPr>
        <w:rPr>
          <w:rFonts w:ascii="Arial" w:hAnsi="Arial" w:cs="Arial"/>
          <w:b/>
          <w:bCs/>
          <w:sz w:val="32"/>
          <w:szCs w:val="32"/>
        </w:rPr>
      </w:pPr>
      <w:r w:rsidRPr="00D60072">
        <w:rPr>
          <w:rFonts w:ascii="Arial" w:hAnsi="Arial" w:cs="Arial"/>
          <w:b/>
          <w:bCs/>
          <w:sz w:val="32"/>
          <w:szCs w:val="32"/>
        </w:rPr>
        <w:t xml:space="preserve">Forewarned is </w:t>
      </w:r>
      <w:r w:rsidR="007250C6" w:rsidRPr="00D60072">
        <w:rPr>
          <w:rFonts w:ascii="Arial" w:hAnsi="Arial" w:cs="Arial"/>
          <w:b/>
          <w:bCs/>
          <w:sz w:val="32"/>
          <w:szCs w:val="32"/>
        </w:rPr>
        <w:t>F</w:t>
      </w:r>
      <w:r w:rsidRPr="00D60072">
        <w:rPr>
          <w:rFonts w:ascii="Arial" w:hAnsi="Arial" w:cs="Arial"/>
          <w:b/>
          <w:bCs/>
          <w:sz w:val="32"/>
          <w:szCs w:val="32"/>
        </w:rPr>
        <w:t xml:space="preserve">orearmed: </w:t>
      </w:r>
      <w:r w:rsidR="007250C6" w:rsidRPr="00D60072">
        <w:rPr>
          <w:rFonts w:ascii="Arial" w:hAnsi="Arial" w:cs="Arial"/>
          <w:b/>
          <w:bCs/>
          <w:i/>
          <w:iCs/>
          <w:sz w:val="32"/>
          <w:szCs w:val="32"/>
        </w:rPr>
        <w:t>c</w:t>
      </w:r>
      <w:r w:rsidRPr="00D60072">
        <w:rPr>
          <w:rFonts w:ascii="Arial" w:hAnsi="Arial" w:cs="Arial"/>
          <w:b/>
          <w:bCs/>
          <w:i/>
          <w:iCs/>
          <w:sz w:val="32"/>
          <w:szCs w:val="32"/>
        </w:rPr>
        <w:t xml:space="preserve">hronic spontaneous urticaria as a </w:t>
      </w:r>
      <w:r w:rsidR="00B51FC2" w:rsidRPr="00D60072">
        <w:rPr>
          <w:rFonts w:ascii="Arial" w:hAnsi="Arial" w:cs="Arial"/>
          <w:b/>
          <w:bCs/>
          <w:i/>
          <w:iCs/>
          <w:sz w:val="32"/>
          <w:szCs w:val="32"/>
        </w:rPr>
        <w:t xml:space="preserve">potential </w:t>
      </w:r>
      <w:r w:rsidRPr="00D60072">
        <w:rPr>
          <w:rFonts w:ascii="Arial" w:hAnsi="Arial" w:cs="Arial"/>
          <w:b/>
          <w:bCs/>
          <w:i/>
          <w:iCs/>
          <w:sz w:val="32"/>
          <w:szCs w:val="32"/>
        </w:rPr>
        <w:t>risk to effective SARS-COV-2 vaccine uptake</w:t>
      </w:r>
      <w:r w:rsidR="007250C6" w:rsidRPr="00D60072">
        <w:rPr>
          <w:rFonts w:ascii="Arial" w:hAnsi="Arial" w:cs="Arial"/>
          <w:b/>
          <w:bCs/>
          <w:i/>
          <w:iCs/>
          <w:sz w:val="32"/>
          <w:szCs w:val="32"/>
        </w:rPr>
        <w:t xml:space="preserve"> and global public health</w:t>
      </w:r>
    </w:p>
    <w:p w14:paraId="72FB6EA5" w14:textId="77777777" w:rsidR="00F00017" w:rsidRPr="007250C6" w:rsidRDefault="00F00017" w:rsidP="00984F55">
      <w:pPr>
        <w:rPr>
          <w:rFonts w:ascii="Arial" w:hAnsi="Arial" w:cs="Arial"/>
        </w:rPr>
      </w:pPr>
    </w:p>
    <w:p w14:paraId="32D097AE" w14:textId="77777777" w:rsidR="007250C6" w:rsidRPr="007250C6" w:rsidRDefault="007250C6">
      <w:pPr>
        <w:rPr>
          <w:rFonts w:ascii="Arial" w:hAnsi="Arial" w:cs="Arial"/>
        </w:rPr>
      </w:pPr>
    </w:p>
    <w:p w14:paraId="0757C774" w14:textId="67428A46" w:rsidR="007250C6" w:rsidRPr="00D60072" w:rsidRDefault="007250C6">
      <w:pPr>
        <w:rPr>
          <w:rFonts w:ascii="Arial" w:hAnsi="Arial" w:cs="Arial"/>
          <w:b/>
          <w:bCs/>
          <w:vertAlign w:val="superscript"/>
        </w:rPr>
      </w:pPr>
      <w:r w:rsidRPr="00D60072">
        <w:rPr>
          <w:rFonts w:ascii="Arial" w:hAnsi="Arial" w:cs="Arial"/>
          <w:b/>
          <w:bCs/>
        </w:rPr>
        <w:t xml:space="preserve">W </w:t>
      </w:r>
      <w:r w:rsidR="00FF7DB9" w:rsidRPr="00D60072">
        <w:rPr>
          <w:rFonts w:ascii="Arial" w:hAnsi="Arial" w:cs="Arial"/>
          <w:b/>
          <w:bCs/>
        </w:rPr>
        <w:t>H</w:t>
      </w:r>
      <w:r w:rsidR="0043792D" w:rsidRPr="00D60072">
        <w:rPr>
          <w:rFonts w:ascii="Arial" w:hAnsi="Arial" w:cs="Arial"/>
          <w:b/>
          <w:bCs/>
        </w:rPr>
        <w:t xml:space="preserve"> </w:t>
      </w:r>
      <w:r w:rsidRPr="00D60072">
        <w:rPr>
          <w:rFonts w:ascii="Arial" w:hAnsi="Arial" w:cs="Arial"/>
          <w:b/>
          <w:bCs/>
        </w:rPr>
        <w:t>Bermingham</w:t>
      </w:r>
      <w:r w:rsidR="00FA3196">
        <w:rPr>
          <w:rFonts w:ascii="Arial" w:hAnsi="Arial" w:cs="Arial"/>
          <w:b/>
          <w:bCs/>
        </w:rPr>
        <w:t xml:space="preserve"> BSc MBBS MRCP</w:t>
      </w:r>
      <w:r w:rsidRPr="00D60072">
        <w:rPr>
          <w:rFonts w:ascii="Arial" w:hAnsi="Arial" w:cs="Arial"/>
          <w:b/>
          <w:bCs/>
          <w:vertAlign w:val="superscript"/>
        </w:rPr>
        <w:t>*</w:t>
      </w:r>
      <w:r w:rsidRPr="00D60072">
        <w:rPr>
          <w:rFonts w:ascii="Arial" w:hAnsi="Arial" w:cs="Arial"/>
          <w:b/>
          <w:bCs/>
        </w:rPr>
        <w:t xml:space="preserve">, </w:t>
      </w:r>
      <w:r w:rsidR="00714D2F">
        <w:rPr>
          <w:rFonts w:ascii="Arial" w:hAnsi="Arial" w:cs="Arial"/>
          <w:b/>
          <w:bCs/>
        </w:rPr>
        <w:t xml:space="preserve">M </w:t>
      </w:r>
      <w:r w:rsidR="00C0102B">
        <w:rPr>
          <w:rFonts w:ascii="Arial" w:hAnsi="Arial" w:cs="Arial"/>
          <w:b/>
          <w:bCs/>
        </w:rPr>
        <w:t xml:space="preserve">R </w:t>
      </w:r>
      <w:r w:rsidR="00714D2F">
        <w:rPr>
          <w:rFonts w:ascii="Arial" w:hAnsi="Arial" w:cs="Arial"/>
          <w:b/>
          <w:bCs/>
        </w:rPr>
        <w:t>Ardern-Jones DPhil</w:t>
      </w:r>
      <w:r w:rsidR="00714D2F" w:rsidRPr="00714D2F">
        <w:rPr>
          <w:rFonts w:ascii="Arial" w:hAnsi="Arial" w:cs="Arial"/>
          <w:b/>
          <w:bCs/>
        </w:rPr>
        <w:t xml:space="preserve"> FRCP</w:t>
      </w:r>
      <w:r w:rsidR="00714D2F" w:rsidRPr="00FC7C45">
        <w:rPr>
          <w:rFonts w:ascii="Arial" w:hAnsi="Arial" w:cs="Arial"/>
          <w:b/>
          <w:bCs/>
          <w:vertAlign w:val="superscript"/>
        </w:rPr>
        <w:t>$</w:t>
      </w:r>
      <w:r w:rsidR="00714D2F">
        <w:rPr>
          <w:rFonts w:ascii="Arial" w:hAnsi="Arial" w:cs="Arial"/>
          <w:b/>
          <w:bCs/>
        </w:rPr>
        <w:t xml:space="preserve">, </w:t>
      </w:r>
      <w:r w:rsidRPr="00D60072">
        <w:rPr>
          <w:rFonts w:ascii="Arial" w:hAnsi="Arial" w:cs="Arial"/>
          <w:b/>
          <w:bCs/>
        </w:rPr>
        <w:t>A P Huissoon</w:t>
      </w:r>
      <w:r w:rsidR="00FA3196" w:rsidRPr="00FA3196">
        <w:t xml:space="preserve"> </w:t>
      </w:r>
      <w:r w:rsidR="00FA3196" w:rsidRPr="00FA3196">
        <w:rPr>
          <w:rFonts w:ascii="Arial" w:hAnsi="Arial" w:cs="Arial"/>
          <w:b/>
          <w:bCs/>
        </w:rPr>
        <w:t>PhD,</w:t>
      </w:r>
      <w:r w:rsidR="00FA3196">
        <w:rPr>
          <w:rFonts w:ascii="Arial" w:hAnsi="Arial" w:cs="Arial"/>
          <w:b/>
          <w:bCs/>
        </w:rPr>
        <w:t xml:space="preserve"> </w:t>
      </w:r>
      <w:r w:rsidR="00FA3196" w:rsidRPr="00FA3196">
        <w:rPr>
          <w:rFonts w:ascii="Arial" w:hAnsi="Arial" w:cs="Arial"/>
          <w:b/>
          <w:bCs/>
        </w:rPr>
        <w:t xml:space="preserve">FRCP </w:t>
      </w:r>
      <w:proofErr w:type="spellStart"/>
      <w:r w:rsidR="00FA3196" w:rsidRPr="00FA3196">
        <w:rPr>
          <w:rFonts w:ascii="Arial" w:hAnsi="Arial" w:cs="Arial"/>
          <w:b/>
          <w:bCs/>
        </w:rPr>
        <w:t>FRCPath</w:t>
      </w:r>
      <w:proofErr w:type="spellEnd"/>
      <w:r w:rsidRPr="00D60072">
        <w:rPr>
          <w:rFonts w:ascii="Arial" w:hAnsi="Arial" w:cs="Arial"/>
          <w:b/>
          <w:bCs/>
          <w:vertAlign w:val="superscript"/>
        </w:rPr>
        <w:t>*</w:t>
      </w:r>
      <w:r w:rsidR="00174257" w:rsidRPr="00D60072">
        <w:rPr>
          <w:rFonts w:ascii="Arial" w:hAnsi="Arial" w:cs="Arial"/>
          <w:b/>
          <w:bCs/>
          <w:vertAlign w:val="superscript"/>
        </w:rPr>
        <w:t>+</w:t>
      </w:r>
      <w:r w:rsidRPr="00D60072">
        <w:rPr>
          <w:rFonts w:ascii="Arial" w:hAnsi="Arial" w:cs="Arial"/>
          <w:b/>
          <w:bCs/>
          <w:vertAlign w:val="superscript"/>
        </w:rPr>
        <w:t xml:space="preserve"> </w:t>
      </w:r>
      <w:r w:rsidRPr="00D60072">
        <w:rPr>
          <w:rFonts w:ascii="Arial" w:hAnsi="Arial" w:cs="Arial"/>
          <w:b/>
          <w:bCs/>
        </w:rPr>
        <w:t>and M T Krishna</w:t>
      </w:r>
      <w:r w:rsidR="00FA3196">
        <w:rPr>
          <w:rFonts w:ascii="Arial" w:hAnsi="Arial" w:cs="Arial"/>
          <w:b/>
          <w:bCs/>
        </w:rPr>
        <w:t xml:space="preserve"> </w:t>
      </w:r>
      <w:r w:rsidR="00FA3196" w:rsidRPr="00FA3196">
        <w:rPr>
          <w:rFonts w:ascii="Arial" w:hAnsi="Arial" w:cs="Arial"/>
          <w:b/>
          <w:bCs/>
        </w:rPr>
        <w:t xml:space="preserve">PhD, FRCP, </w:t>
      </w:r>
      <w:proofErr w:type="spellStart"/>
      <w:r w:rsidR="00FA3196" w:rsidRPr="00FA3196">
        <w:rPr>
          <w:rFonts w:ascii="Arial" w:hAnsi="Arial" w:cs="Arial"/>
          <w:b/>
          <w:bCs/>
        </w:rPr>
        <w:t>FRCPath</w:t>
      </w:r>
      <w:proofErr w:type="spellEnd"/>
      <w:r w:rsidRPr="00D60072">
        <w:rPr>
          <w:rFonts w:ascii="Arial" w:hAnsi="Arial" w:cs="Arial"/>
          <w:b/>
          <w:bCs/>
          <w:vertAlign w:val="superscript"/>
        </w:rPr>
        <w:t>*+</w:t>
      </w:r>
    </w:p>
    <w:p w14:paraId="4D8B6D6E" w14:textId="77777777" w:rsidR="007250C6" w:rsidRPr="007250C6" w:rsidRDefault="007250C6">
      <w:pPr>
        <w:rPr>
          <w:rFonts w:ascii="Arial" w:hAnsi="Arial" w:cs="Arial"/>
        </w:rPr>
      </w:pPr>
    </w:p>
    <w:p w14:paraId="78F1E8F4" w14:textId="77777777" w:rsidR="007250C6" w:rsidRPr="007250C6" w:rsidRDefault="007250C6">
      <w:pPr>
        <w:rPr>
          <w:rFonts w:ascii="Arial" w:hAnsi="Arial" w:cs="Arial"/>
        </w:rPr>
      </w:pPr>
    </w:p>
    <w:p w14:paraId="7382CA3B" w14:textId="77777777" w:rsidR="007250C6" w:rsidRPr="001F47E5" w:rsidRDefault="007250C6">
      <w:pPr>
        <w:rPr>
          <w:rFonts w:ascii="Arial" w:hAnsi="Arial" w:cs="Arial"/>
          <w:i/>
          <w:iCs/>
        </w:rPr>
      </w:pPr>
      <w:r w:rsidRPr="001F47E5">
        <w:rPr>
          <w:rFonts w:ascii="Arial" w:hAnsi="Arial" w:cs="Arial"/>
          <w:i/>
          <w:iCs/>
          <w:vertAlign w:val="superscript"/>
        </w:rPr>
        <w:t>*</w:t>
      </w:r>
      <w:r w:rsidRPr="001F47E5">
        <w:rPr>
          <w:rFonts w:ascii="Arial" w:hAnsi="Arial" w:cs="Arial"/>
          <w:i/>
          <w:iCs/>
        </w:rPr>
        <w:t>Department Allergy and Immunology, University Hospitals Birmingham, Birmingham, UK</w:t>
      </w:r>
    </w:p>
    <w:p w14:paraId="7B95215B" w14:textId="77777777" w:rsidR="007250C6" w:rsidRPr="001F47E5" w:rsidRDefault="007250C6">
      <w:pPr>
        <w:rPr>
          <w:rFonts w:ascii="Arial" w:hAnsi="Arial" w:cs="Arial"/>
          <w:i/>
          <w:iCs/>
        </w:rPr>
      </w:pPr>
    </w:p>
    <w:p w14:paraId="7D7D4F72" w14:textId="7EBF887A" w:rsidR="00714D2F" w:rsidRDefault="00714D2F" w:rsidP="00984F55">
      <w:pPr>
        <w:rPr>
          <w:rFonts w:ascii="Arial" w:hAnsi="Arial" w:cs="Arial"/>
          <w:i/>
          <w:iCs/>
        </w:rPr>
      </w:pPr>
      <w:r w:rsidRPr="00FC7C45">
        <w:rPr>
          <w:rFonts w:ascii="Arial" w:hAnsi="Arial" w:cs="Arial"/>
          <w:i/>
          <w:iCs/>
          <w:vertAlign w:val="superscript"/>
        </w:rPr>
        <w:t>$</w:t>
      </w:r>
      <w:r w:rsidR="00C0102B">
        <w:rPr>
          <w:rFonts w:ascii="Arial" w:hAnsi="Arial" w:cs="Arial"/>
          <w:i/>
          <w:iCs/>
        </w:rPr>
        <w:t>Clinical Experimental Sciences, Faculty of Medicine</w:t>
      </w:r>
      <w:r>
        <w:rPr>
          <w:rFonts w:ascii="Arial" w:hAnsi="Arial" w:cs="Arial"/>
          <w:i/>
          <w:iCs/>
        </w:rPr>
        <w:t xml:space="preserve">, </w:t>
      </w:r>
      <w:r w:rsidRPr="00714D2F">
        <w:rPr>
          <w:rFonts w:ascii="Arial" w:hAnsi="Arial" w:cs="Arial"/>
          <w:i/>
          <w:iCs/>
        </w:rPr>
        <w:t xml:space="preserve">University of Southampton, </w:t>
      </w:r>
      <w:r w:rsidR="00C0102B">
        <w:rPr>
          <w:rFonts w:ascii="Arial" w:hAnsi="Arial" w:cs="Arial"/>
          <w:i/>
          <w:iCs/>
        </w:rPr>
        <w:t xml:space="preserve">Southampton General Hospital, </w:t>
      </w:r>
      <w:r w:rsidRPr="00714D2F">
        <w:rPr>
          <w:rFonts w:ascii="Arial" w:hAnsi="Arial" w:cs="Arial"/>
          <w:i/>
          <w:iCs/>
        </w:rPr>
        <w:t xml:space="preserve">Southampton, </w:t>
      </w:r>
      <w:r>
        <w:rPr>
          <w:rFonts w:ascii="Arial" w:hAnsi="Arial" w:cs="Arial"/>
          <w:i/>
          <w:iCs/>
        </w:rPr>
        <w:t>UK</w:t>
      </w:r>
    </w:p>
    <w:p w14:paraId="5599D3BC" w14:textId="77777777" w:rsidR="00714D2F" w:rsidRPr="00714D2F" w:rsidRDefault="00714D2F" w:rsidP="00984F55">
      <w:pPr>
        <w:rPr>
          <w:rFonts w:ascii="Arial" w:hAnsi="Arial" w:cs="Arial"/>
          <w:i/>
          <w:iCs/>
        </w:rPr>
      </w:pPr>
    </w:p>
    <w:p w14:paraId="232D9DDE" w14:textId="77777777" w:rsidR="00172AD2" w:rsidRDefault="007250C6" w:rsidP="00984F55">
      <w:pPr>
        <w:rPr>
          <w:rFonts w:ascii="Arial" w:hAnsi="Arial" w:cs="Arial"/>
          <w:i/>
          <w:iCs/>
        </w:rPr>
      </w:pPr>
      <w:r w:rsidRPr="001F47E5">
        <w:rPr>
          <w:rFonts w:ascii="Arial" w:hAnsi="Arial" w:cs="Arial"/>
          <w:i/>
          <w:iCs/>
          <w:vertAlign w:val="superscript"/>
        </w:rPr>
        <w:t>+</w:t>
      </w:r>
      <w:r w:rsidRPr="001F47E5">
        <w:rPr>
          <w:rFonts w:ascii="Arial" w:hAnsi="Arial" w:cs="Arial"/>
          <w:i/>
          <w:iCs/>
        </w:rPr>
        <w:t>Institute of Immunology and Immunotherapy, University of Birmingham, UK</w:t>
      </w:r>
    </w:p>
    <w:p w14:paraId="30D80D8A" w14:textId="77777777" w:rsidR="00714D2F" w:rsidRDefault="00714D2F" w:rsidP="00984F55">
      <w:pPr>
        <w:rPr>
          <w:rFonts w:ascii="Arial" w:hAnsi="Arial" w:cs="Arial"/>
          <w:i/>
          <w:iCs/>
        </w:rPr>
      </w:pPr>
    </w:p>
    <w:p w14:paraId="3C2B7BD9" w14:textId="77777777" w:rsidR="00172AD2" w:rsidRDefault="00172AD2" w:rsidP="00984F55">
      <w:pPr>
        <w:rPr>
          <w:rFonts w:ascii="Arial" w:hAnsi="Arial" w:cs="Arial"/>
          <w:i/>
          <w:iCs/>
        </w:rPr>
      </w:pPr>
    </w:p>
    <w:p w14:paraId="6B3B184F" w14:textId="5266ACB0" w:rsidR="00172AD2" w:rsidRDefault="001A02B8" w:rsidP="00984F55">
      <w:pPr>
        <w:rPr>
          <w:rFonts w:ascii="Arial" w:hAnsi="Arial" w:cs="Arial"/>
        </w:rPr>
      </w:pPr>
      <w:r>
        <w:rPr>
          <w:rFonts w:ascii="Arial" w:hAnsi="Arial" w:cs="Arial"/>
        </w:rPr>
        <w:t>Word count =</w:t>
      </w:r>
      <w:r w:rsidR="00B24D1E">
        <w:rPr>
          <w:rFonts w:ascii="Arial" w:hAnsi="Arial" w:cs="Arial"/>
        </w:rPr>
        <w:t xml:space="preserve"> </w:t>
      </w:r>
      <w:r w:rsidR="00031FF8">
        <w:rPr>
          <w:rFonts w:ascii="Arial" w:hAnsi="Arial" w:cs="Arial"/>
        </w:rPr>
        <w:t>8</w:t>
      </w:r>
      <w:r w:rsidR="00196189">
        <w:rPr>
          <w:rFonts w:ascii="Arial" w:hAnsi="Arial" w:cs="Arial"/>
        </w:rPr>
        <w:t>22</w:t>
      </w:r>
      <w:r>
        <w:rPr>
          <w:rFonts w:ascii="Arial" w:hAnsi="Arial" w:cs="Arial"/>
        </w:rPr>
        <w:t>; Table = 1; Figures =0</w:t>
      </w:r>
    </w:p>
    <w:p w14:paraId="0F91B3FB" w14:textId="77777777" w:rsidR="00D60072" w:rsidRDefault="00D60072" w:rsidP="00984F55">
      <w:pPr>
        <w:rPr>
          <w:rFonts w:ascii="Arial" w:hAnsi="Arial" w:cs="Arial"/>
          <w:b/>
          <w:bCs/>
        </w:rPr>
      </w:pPr>
    </w:p>
    <w:p w14:paraId="63B24B98" w14:textId="77777777" w:rsidR="00D60072" w:rsidRDefault="00D60072" w:rsidP="00984F55">
      <w:pPr>
        <w:rPr>
          <w:rFonts w:ascii="Arial" w:hAnsi="Arial" w:cs="Arial"/>
          <w:b/>
          <w:bCs/>
        </w:rPr>
      </w:pPr>
    </w:p>
    <w:p w14:paraId="4A0AF4E3" w14:textId="77777777" w:rsidR="001F47E5" w:rsidRPr="001F47E5" w:rsidRDefault="001F47E5" w:rsidP="00984F55">
      <w:pPr>
        <w:rPr>
          <w:rFonts w:ascii="Arial" w:hAnsi="Arial" w:cs="Arial"/>
          <w:b/>
          <w:bCs/>
        </w:rPr>
      </w:pPr>
      <w:r w:rsidRPr="001F47E5">
        <w:rPr>
          <w:rFonts w:ascii="Arial" w:hAnsi="Arial" w:cs="Arial"/>
          <w:b/>
          <w:bCs/>
        </w:rPr>
        <w:t>Address for correspondence:</w:t>
      </w:r>
    </w:p>
    <w:p w14:paraId="21618D2C" w14:textId="77777777" w:rsidR="001F47E5" w:rsidRDefault="001F47E5" w:rsidP="00984F55">
      <w:pPr>
        <w:rPr>
          <w:rFonts w:ascii="Arial" w:hAnsi="Arial" w:cs="Arial"/>
        </w:rPr>
      </w:pPr>
    </w:p>
    <w:p w14:paraId="36718942" w14:textId="77777777" w:rsidR="001F47E5" w:rsidRPr="00D60072" w:rsidRDefault="001F47E5" w:rsidP="00984F55">
      <w:pPr>
        <w:rPr>
          <w:rFonts w:ascii="Arial" w:hAnsi="Arial" w:cs="Arial"/>
        </w:rPr>
      </w:pPr>
      <w:r w:rsidRPr="00D60072">
        <w:rPr>
          <w:rFonts w:ascii="Arial" w:hAnsi="Arial" w:cs="Arial"/>
        </w:rPr>
        <w:t>Dr W. Bermingham</w:t>
      </w:r>
    </w:p>
    <w:p w14:paraId="3CAB6C43" w14:textId="77777777" w:rsidR="00FF7DB9" w:rsidRPr="00D60072" w:rsidRDefault="00FF7DB9" w:rsidP="00984F55">
      <w:pPr>
        <w:rPr>
          <w:rFonts w:ascii="Arial" w:hAnsi="Arial" w:cs="Arial"/>
        </w:rPr>
      </w:pPr>
      <w:r w:rsidRPr="00D60072">
        <w:rPr>
          <w:rFonts w:ascii="Arial" w:hAnsi="Arial" w:cs="Arial"/>
        </w:rPr>
        <w:t>Department Allergy and Immunology</w:t>
      </w:r>
      <w:r w:rsidRPr="00D60072" w:rsidDel="00FF7DB9">
        <w:rPr>
          <w:rFonts w:ascii="Arial" w:hAnsi="Arial" w:cs="Arial"/>
        </w:rPr>
        <w:t xml:space="preserve"> </w:t>
      </w:r>
    </w:p>
    <w:p w14:paraId="17652487" w14:textId="77777777" w:rsidR="00FF7DB9" w:rsidRDefault="00FF7DB9" w:rsidP="00984F55">
      <w:pPr>
        <w:rPr>
          <w:rFonts w:ascii="Arial" w:hAnsi="Arial" w:cs="Arial"/>
        </w:rPr>
      </w:pPr>
      <w:r w:rsidRPr="00D60072">
        <w:rPr>
          <w:rFonts w:ascii="Arial" w:hAnsi="Arial" w:cs="Arial"/>
        </w:rPr>
        <w:t>Heartlands Hospital</w:t>
      </w:r>
    </w:p>
    <w:p w14:paraId="1E370EE2" w14:textId="77777777" w:rsidR="00174257" w:rsidRPr="00D60072" w:rsidRDefault="00174257" w:rsidP="00984F55">
      <w:pPr>
        <w:rPr>
          <w:rFonts w:ascii="Arial" w:hAnsi="Arial" w:cs="Arial"/>
        </w:rPr>
      </w:pPr>
      <w:r>
        <w:rPr>
          <w:rFonts w:ascii="Arial" w:hAnsi="Arial" w:cs="Arial"/>
        </w:rPr>
        <w:t>University Hospitals Birmingham</w:t>
      </w:r>
    </w:p>
    <w:p w14:paraId="4142C4A6" w14:textId="77777777" w:rsidR="00FF7DB9" w:rsidRPr="00D60072" w:rsidRDefault="00FF7DB9" w:rsidP="00984F55">
      <w:pPr>
        <w:rPr>
          <w:rFonts w:ascii="Arial" w:hAnsi="Arial" w:cs="Arial"/>
        </w:rPr>
      </w:pPr>
      <w:r w:rsidRPr="00D60072">
        <w:rPr>
          <w:rFonts w:ascii="Arial" w:hAnsi="Arial" w:cs="Arial"/>
        </w:rPr>
        <w:t>Birmingham</w:t>
      </w:r>
    </w:p>
    <w:p w14:paraId="397EF842" w14:textId="77777777" w:rsidR="00FF7DB9" w:rsidRPr="00D60072" w:rsidRDefault="00FF7DB9" w:rsidP="00984F55">
      <w:pPr>
        <w:rPr>
          <w:rFonts w:ascii="Arial" w:hAnsi="Arial" w:cs="Arial"/>
        </w:rPr>
      </w:pPr>
      <w:r w:rsidRPr="00D60072">
        <w:rPr>
          <w:rFonts w:ascii="Arial" w:hAnsi="Arial" w:cs="Arial"/>
        </w:rPr>
        <w:t>UK</w:t>
      </w:r>
    </w:p>
    <w:p w14:paraId="5706E1A7" w14:textId="77777777" w:rsidR="00D60072" w:rsidRPr="00D60072" w:rsidRDefault="00FF7DB9" w:rsidP="00984F55">
      <w:pPr>
        <w:rPr>
          <w:rFonts w:ascii="Arial" w:hAnsi="Arial" w:cs="Arial"/>
        </w:rPr>
      </w:pPr>
      <w:r w:rsidRPr="00D60072">
        <w:rPr>
          <w:rFonts w:ascii="Arial" w:hAnsi="Arial" w:cs="Arial"/>
        </w:rPr>
        <w:t>B9 5SS</w:t>
      </w:r>
    </w:p>
    <w:p w14:paraId="3E0BB02A" w14:textId="77777777" w:rsidR="00D60072" w:rsidRPr="00D60072" w:rsidRDefault="00D60072" w:rsidP="00984F55">
      <w:pPr>
        <w:rPr>
          <w:rFonts w:ascii="Arial" w:hAnsi="Arial" w:cs="Arial"/>
        </w:rPr>
      </w:pPr>
      <w:r w:rsidRPr="00D60072">
        <w:rPr>
          <w:rFonts w:ascii="Arial" w:hAnsi="Arial" w:cs="Arial"/>
        </w:rPr>
        <w:t>Email:  william.bermingham@nhs.net</w:t>
      </w:r>
    </w:p>
    <w:p w14:paraId="617215B2" w14:textId="77777777" w:rsidR="00D60072" w:rsidRPr="00D60072" w:rsidRDefault="00D60072" w:rsidP="00984F55">
      <w:pPr>
        <w:rPr>
          <w:rFonts w:ascii="Arial" w:hAnsi="Arial" w:cs="Arial"/>
        </w:rPr>
      </w:pPr>
      <w:r w:rsidRPr="00D60072">
        <w:rPr>
          <w:rFonts w:ascii="Arial" w:hAnsi="Arial" w:cs="Arial"/>
        </w:rPr>
        <w:t>Tel:  +441214241085</w:t>
      </w:r>
    </w:p>
    <w:p w14:paraId="70B730B7" w14:textId="77777777" w:rsidR="00D60072" w:rsidRPr="00D60072" w:rsidRDefault="00D60072" w:rsidP="00984F55">
      <w:pPr>
        <w:rPr>
          <w:rFonts w:ascii="Arial" w:hAnsi="Arial" w:cs="Arial"/>
        </w:rPr>
      </w:pPr>
      <w:r w:rsidRPr="00D60072">
        <w:rPr>
          <w:rFonts w:ascii="Arial" w:hAnsi="Arial" w:cs="Arial"/>
        </w:rPr>
        <w:t>Fax:  +441214243229</w:t>
      </w:r>
    </w:p>
    <w:p w14:paraId="792454CA" w14:textId="77777777" w:rsidR="005D6FB7" w:rsidRDefault="005D6FB7" w:rsidP="005D6FB7">
      <w:pPr>
        <w:rPr>
          <w:rFonts w:ascii="Arial" w:hAnsi="Arial" w:cs="Arial"/>
        </w:rPr>
      </w:pPr>
    </w:p>
    <w:p w14:paraId="26773F4F" w14:textId="41807C10" w:rsidR="005D6FB7" w:rsidRPr="00FA3196" w:rsidRDefault="005D6FB7" w:rsidP="005D6FB7">
      <w:pPr>
        <w:rPr>
          <w:rFonts w:ascii="Arial" w:hAnsi="Arial" w:cs="Arial"/>
        </w:rPr>
      </w:pPr>
      <w:r w:rsidRPr="00FA3196">
        <w:rPr>
          <w:rFonts w:ascii="Arial" w:hAnsi="Arial" w:cs="Arial"/>
        </w:rPr>
        <w:t>WHB has nothing to disclose.</w:t>
      </w:r>
    </w:p>
    <w:p w14:paraId="47C47677" w14:textId="77777777" w:rsidR="005D6FB7" w:rsidRPr="00FA3196" w:rsidRDefault="005D6FB7" w:rsidP="005D6FB7">
      <w:pPr>
        <w:rPr>
          <w:rFonts w:ascii="Arial" w:hAnsi="Arial" w:cs="Arial"/>
        </w:rPr>
      </w:pPr>
      <w:r w:rsidRPr="00FA3196">
        <w:rPr>
          <w:rFonts w:ascii="Arial" w:hAnsi="Arial" w:cs="Arial"/>
        </w:rPr>
        <w:t xml:space="preserve">APH has received support for attending conferences from CSL and Biotest, and payment for educational speaking and writing from ALK, </w:t>
      </w:r>
      <w:proofErr w:type="spellStart"/>
      <w:r w:rsidRPr="00FA3196">
        <w:rPr>
          <w:rFonts w:ascii="Arial" w:hAnsi="Arial" w:cs="Arial"/>
        </w:rPr>
        <w:t>Octapharma</w:t>
      </w:r>
      <w:proofErr w:type="spellEnd"/>
      <w:r w:rsidRPr="00FA3196">
        <w:rPr>
          <w:rFonts w:ascii="Arial" w:hAnsi="Arial" w:cs="Arial"/>
        </w:rPr>
        <w:t xml:space="preserve"> and Shire.</w:t>
      </w:r>
    </w:p>
    <w:p w14:paraId="570198FB" w14:textId="77777777" w:rsidR="005D6FB7" w:rsidRPr="00FA3196" w:rsidRDefault="005D6FB7" w:rsidP="005D6FB7">
      <w:pPr>
        <w:rPr>
          <w:rFonts w:ascii="Arial" w:hAnsi="Arial" w:cs="Arial"/>
        </w:rPr>
      </w:pPr>
      <w:r w:rsidRPr="00FA3196">
        <w:rPr>
          <w:rFonts w:ascii="Arial" w:hAnsi="Arial" w:cs="Arial"/>
        </w:rPr>
        <w:t xml:space="preserve">MTK received grants from FSA, MRC </w:t>
      </w:r>
      <w:proofErr w:type="spellStart"/>
      <w:r w:rsidRPr="00FA3196">
        <w:rPr>
          <w:rFonts w:ascii="Arial" w:hAnsi="Arial" w:cs="Arial"/>
        </w:rPr>
        <w:t>CiC</w:t>
      </w:r>
      <w:proofErr w:type="spellEnd"/>
      <w:r w:rsidRPr="00FA3196">
        <w:rPr>
          <w:rFonts w:ascii="Arial" w:hAnsi="Arial" w:cs="Arial"/>
        </w:rPr>
        <w:t xml:space="preserve">, GCRF and NIHR for research outside submitted work.  MTK received funds from ALK </w:t>
      </w:r>
      <w:proofErr w:type="spellStart"/>
      <w:r w:rsidRPr="00FA3196">
        <w:rPr>
          <w:rFonts w:ascii="Arial" w:hAnsi="Arial" w:cs="Arial"/>
        </w:rPr>
        <w:t>Abello</w:t>
      </w:r>
      <w:proofErr w:type="spellEnd"/>
      <w:r w:rsidRPr="00FA3196">
        <w:rPr>
          <w:rFonts w:ascii="Arial" w:hAnsi="Arial" w:cs="Arial"/>
        </w:rPr>
        <w:t xml:space="preserve"> to attend an international conference.  MTK is clinical lead for national allergy accreditation program (IQAS, The Royal College of Physicians), co-opted steering group member of BRIT registry and chair of EDI working group for the British Society for Allergy and Clinical Immunology. </w:t>
      </w:r>
    </w:p>
    <w:p w14:paraId="7356C8A5" w14:textId="77777777" w:rsidR="005D6FB7" w:rsidRDefault="005D6FB7" w:rsidP="005D6FB7">
      <w:pPr>
        <w:rPr>
          <w:rFonts w:ascii="Arial" w:hAnsi="Arial" w:cs="Arial"/>
        </w:rPr>
      </w:pPr>
      <w:r w:rsidRPr="00FA3196">
        <w:rPr>
          <w:rFonts w:ascii="Arial" w:hAnsi="Arial" w:cs="Arial"/>
        </w:rPr>
        <w:t xml:space="preserve">Our department </w:t>
      </w:r>
      <w:r>
        <w:rPr>
          <w:rFonts w:ascii="Arial" w:hAnsi="Arial" w:cs="Arial"/>
        </w:rPr>
        <w:t xml:space="preserve">in Birmingham </w:t>
      </w:r>
      <w:r w:rsidRPr="00FA3196">
        <w:rPr>
          <w:rFonts w:ascii="Arial" w:hAnsi="Arial" w:cs="Arial"/>
        </w:rPr>
        <w:t xml:space="preserve">received an educational grant from </w:t>
      </w:r>
      <w:proofErr w:type="spellStart"/>
      <w:r w:rsidRPr="00FA3196">
        <w:rPr>
          <w:rFonts w:ascii="Arial" w:hAnsi="Arial" w:cs="Arial"/>
        </w:rPr>
        <w:t>Thermofisher</w:t>
      </w:r>
      <w:proofErr w:type="spellEnd"/>
      <w:r w:rsidRPr="00FA3196">
        <w:rPr>
          <w:rFonts w:ascii="Arial" w:hAnsi="Arial" w:cs="Arial"/>
        </w:rPr>
        <w:t xml:space="preserve">, ALK </w:t>
      </w:r>
      <w:proofErr w:type="spellStart"/>
      <w:r w:rsidRPr="00FA3196">
        <w:rPr>
          <w:rFonts w:ascii="Arial" w:hAnsi="Arial" w:cs="Arial"/>
        </w:rPr>
        <w:t>Abello</w:t>
      </w:r>
      <w:proofErr w:type="spellEnd"/>
      <w:r w:rsidRPr="00FA3196">
        <w:rPr>
          <w:rFonts w:ascii="Arial" w:hAnsi="Arial" w:cs="Arial"/>
        </w:rPr>
        <w:t xml:space="preserve">, MEDA and other pharmaceutical companies for annual </w:t>
      </w:r>
      <w:proofErr w:type="spellStart"/>
      <w:r w:rsidRPr="00FA3196">
        <w:rPr>
          <w:rFonts w:ascii="Arial" w:hAnsi="Arial" w:cs="Arial"/>
        </w:rPr>
        <w:t>PracticAllergy</w:t>
      </w:r>
      <w:proofErr w:type="spellEnd"/>
      <w:r w:rsidRPr="00FA3196">
        <w:rPr>
          <w:rFonts w:ascii="Arial" w:hAnsi="Arial" w:cs="Arial"/>
        </w:rPr>
        <w:t xml:space="preserve"> course.  </w:t>
      </w:r>
    </w:p>
    <w:p w14:paraId="635C5E9F" w14:textId="77777777" w:rsidR="005D6FB7" w:rsidRDefault="005D6FB7" w:rsidP="005D6FB7">
      <w:pPr>
        <w:rPr>
          <w:rFonts w:ascii="Arial" w:hAnsi="Arial" w:cs="Arial"/>
        </w:rPr>
      </w:pPr>
      <w:r>
        <w:rPr>
          <w:rFonts w:ascii="Arial" w:hAnsi="Arial" w:cs="Arial"/>
        </w:rPr>
        <w:t>MAJ</w:t>
      </w:r>
      <w:r w:rsidRPr="00C0102B">
        <w:rPr>
          <w:rFonts w:ascii="Arial" w:hAnsi="Arial" w:cs="Arial"/>
        </w:rPr>
        <w:t xml:space="preserve"> has acted as a speaker/consultant/advisor for Regeneron, Sanofi, Leo Pharma, AbbVie, and Pfizer.  He has acted as an investigator for AbbVie, Amgen and Leo Pharma commercial clinical studies (unpaid).</w:t>
      </w:r>
    </w:p>
    <w:p w14:paraId="01D5C791" w14:textId="77777777" w:rsidR="005D6FB7" w:rsidRDefault="005D6FB7" w:rsidP="005D6FB7">
      <w:pPr>
        <w:rPr>
          <w:rFonts w:ascii="Arial" w:hAnsi="Arial" w:cs="Arial"/>
        </w:rPr>
      </w:pPr>
    </w:p>
    <w:p w14:paraId="0155B4A9" w14:textId="0234C407" w:rsidR="005D6FB7" w:rsidRPr="00FA3196" w:rsidRDefault="005D6FB7" w:rsidP="005D6FB7">
      <w:pPr>
        <w:rPr>
          <w:rFonts w:ascii="Arial" w:hAnsi="Arial" w:cs="Arial"/>
        </w:rPr>
      </w:pPr>
      <w:r>
        <w:rPr>
          <w:rFonts w:ascii="Arial" w:hAnsi="Arial" w:cs="Arial"/>
        </w:rPr>
        <w:t>No funding has been received specifically in relation to this manuscript.</w:t>
      </w:r>
    </w:p>
    <w:p w14:paraId="0A2E1F66" w14:textId="77777777" w:rsidR="005D6FB7" w:rsidRDefault="005D6FB7" w:rsidP="00984F55">
      <w:pPr>
        <w:rPr>
          <w:rFonts w:ascii="Arial" w:hAnsi="Arial" w:cs="Arial"/>
        </w:rPr>
      </w:pPr>
    </w:p>
    <w:p w14:paraId="06A8A7F7" w14:textId="42E0A37C" w:rsidR="001D1599" w:rsidRDefault="001D1599" w:rsidP="00984F55">
      <w:pPr>
        <w:rPr>
          <w:rFonts w:ascii="Arial" w:hAnsi="Arial" w:cs="Arial"/>
        </w:rPr>
      </w:pPr>
      <w:r>
        <w:rPr>
          <w:rFonts w:ascii="Arial" w:hAnsi="Arial" w:cs="Arial"/>
        </w:rPr>
        <w:lastRenderedPageBreak/>
        <w:t xml:space="preserve">Chronic spontaneous urticaria and angioedema (CSU/A) </w:t>
      </w:r>
      <w:r w:rsidRPr="001246A8">
        <w:rPr>
          <w:rFonts w:ascii="Arial" w:hAnsi="Arial" w:cs="Arial"/>
        </w:rPr>
        <w:t xml:space="preserve">is a common condition </w:t>
      </w:r>
      <w:r w:rsidR="00DF6E77">
        <w:rPr>
          <w:rFonts w:ascii="Arial" w:hAnsi="Arial" w:cs="Arial"/>
        </w:rPr>
        <w:t xml:space="preserve">seen worldwide </w:t>
      </w:r>
      <w:r w:rsidRPr="001246A8">
        <w:rPr>
          <w:rFonts w:ascii="Arial" w:hAnsi="Arial" w:cs="Arial"/>
        </w:rPr>
        <w:t xml:space="preserve">with an estimated </w:t>
      </w:r>
      <w:r>
        <w:rPr>
          <w:rFonts w:ascii="Arial" w:hAnsi="Arial" w:cs="Arial"/>
        </w:rPr>
        <w:t xml:space="preserve">global </w:t>
      </w:r>
      <w:r w:rsidRPr="001246A8">
        <w:rPr>
          <w:rFonts w:ascii="Arial" w:hAnsi="Arial" w:cs="Arial"/>
        </w:rPr>
        <w:t xml:space="preserve">point prevalence </w:t>
      </w:r>
      <w:r>
        <w:rPr>
          <w:rFonts w:ascii="Arial" w:hAnsi="Arial" w:cs="Arial"/>
        </w:rPr>
        <w:t>of</w:t>
      </w:r>
      <w:r w:rsidRPr="001246A8">
        <w:rPr>
          <w:rFonts w:ascii="Arial" w:hAnsi="Arial" w:cs="Arial"/>
        </w:rPr>
        <w:t xml:space="preserve"> </w:t>
      </w:r>
      <w:r>
        <w:rPr>
          <w:rFonts w:ascii="Arial" w:hAnsi="Arial" w:cs="Arial"/>
          <w:color w:val="1C1D1E"/>
          <w:shd w:val="clear" w:color="auto" w:fill="FFFFFF"/>
        </w:rPr>
        <w:t>0.7% (95% C.I, 0.2</w:t>
      </w:r>
      <w:r>
        <w:rPr>
          <w:rFonts w:ascii="Cambria Math" w:hAnsi="Cambria Math" w:cs="Cambria Math"/>
          <w:color w:val="1C1D1E"/>
          <w:shd w:val="clear" w:color="auto" w:fill="FFFFFF"/>
        </w:rPr>
        <w:t>‐</w:t>
      </w:r>
      <w:r>
        <w:rPr>
          <w:rFonts w:ascii="Arial" w:hAnsi="Arial" w:cs="Arial"/>
          <w:color w:val="1C1D1E"/>
          <w:shd w:val="clear" w:color="auto" w:fill="FFFFFF"/>
        </w:rPr>
        <w:t>1.4)</w:t>
      </w:r>
      <w:r>
        <w:rPr>
          <w:rFonts w:ascii="Arial" w:hAnsi="Arial" w:cs="Arial"/>
          <w:color w:val="1C1D1E"/>
          <w:shd w:val="clear" w:color="auto" w:fill="FFFFFF"/>
        </w:rPr>
        <w:fldChar w:fldCharType="begin" w:fldLock="1"/>
      </w:r>
      <w:r w:rsidR="00411A21">
        <w:rPr>
          <w:rFonts w:ascii="Arial" w:hAnsi="Arial" w:cs="Arial"/>
          <w:color w:val="1C1D1E"/>
          <w:shd w:val="clear" w:color="auto" w:fill="FFFFFF"/>
        </w:rPr>
        <w:instrText>ADDIN CSL_CITATION {"citationItems":[{"id":"ITEM-1","itemData":{"DOI":"https://doi.org/10.1111/all.14037","abstract":"Abstract Background and objectives Urticaria is a frequent skin condition, but reliable prevalence estimates from population studies particularly of the chronic form are scarce. The objective of this study was to systematically evaluate and summarize the prevalence of chronic urticaria by evaluating population-based studies worldwide. Methods We performed a systematic search in PUBMED and EMBASE for population-based studies of cross-sectional or cohort design and studies based on health insurance/system databases. Risk of bias was assessed using a specific tool for prevalence studies. For meta-analysis, we used a random effects model. Results Eighteen studies were included in the systematic evaluation and 11 in the meta-analysis including data from over 86 000 000 participants. Risk of bias was mainly moderate, whereas the statistical heterogeneity (I2) between the studies was high. Asian studies combined showed a higher point prevalence of chronic urticaria (1.4%, 95%-CI 0.5-2.9) than those from Europe (0.5%, 0.2-1.0) and Northern American (0.1%, 0.1-0.1). Women were slightly more affected than men, whereas in children &lt; 15 years we did not find a sex-specific difference in the prevalence. The four studies that examined time trends indicated an increasing prevalence of chronic urticaria over time. Conclusions On a global level, the prevalence of chronic urticaria showed considerable regional differences. There is a need to obtain more sex-specific population-based and standardized international data particularly for children and adolescents, different chronic urticaria subtypes and potential risk and protective factors.","author":[{"dropping-particle":"","family":"Fricke","given":"Julia","non-dropping-particle":"","parse-names":false,"suffix":""},{"dropping-particle":"","family":"Ávila","given":"Gabriela","non-dropping-particle":"","parse-names":false,"suffix":""},{"dropping-particle":"","family":"Keller","given":"Theresa","non-dropping-particle":"","parse-names":false,"suffix":""},{"dropping-particle":"","family":"Weller","given":"Karsten","non-dropping-particle":"","parse-names":false,"suffix":""},{"dropping-particle":"","family":"Lau","given":"Susanne","non-dropping-particle":"","parse-names":false,"suffix":""},{"dropping-particle":"","family":"Maurer","given":"Marcus","non-dropping-particle":"","parse-names":false,"suffix":""},{"dropping-particle":"","family":"Zuberbier","given":"Torsten","non-dropping-particle":"","parse-names":false,"suffix":""},{"dropping-particle":"","family":"Keil","given":"Thomas","non-dropping-particle":"","parse-names":false,"suffix":""}],"container-title":"Allergy","id":"ITEM-1","issue":"2","issued":{"date-parts":[["2020"]]},"page":"423-432","title":"Prevalence of chronic urticaria in children and adults across the globe: Systematic review with meta-analysis","type":"article-journal","volume":"75"},"uris":["http://www.mendeley.com/documents/?uuid=2004390b-9c49-4934-b75b-699d08af6f7f"]}],"mendeley":{"formattedCitation":"(1)","plainTextFormattedCitation":"(1)","previouslyFormattedCitation":"(1)"},"properties":{"noteIndex":0},"schema":"https://github.com/citation-style-language/schema/raw/master/csl-citation.json"}</w:instrText>
      </w:r>
      <w:r>
        <w:rPr>
          <w:rFonts w:ascii="Arial" w:hAnsi="Arial" w:cs="Arial"/>
          <w:color w:val="1C1D1E"/>
          <w:shd w:val="clear" w:color="auto" w:fill="FFFFFF"/>
        </w:rPr>
        <w:fldChar w:fldCharType="separate"/>
      </w:r>
      <w:r w:rsidR="00411A21" w:rsidRPr="00411A21">
        <w:rPr>
          <w:rFonts w:ascii="Arial" w:hAnsi="Arial" w:cs="Arial"/>
          <w:noProof/>
          <w:color w:val="1C1D1E"/>
          <w:shd w:val="clear" w:color="auto" w:fill="FFFFFF"/>
        </w:rPr>
        <w:t>(1)</w:t>
      </w:r>
      <w:r>
        <w:rPr>
          <w:rFonts w:ascii="Arial" w:hAnsi="Arial" w:cs="Arial"/>
          <w:color w:val="1C1D1E"/>
          <w:shd w:val="clear" w:color="auto" w:fill="FFFFFF"/>
        </w:rPr>
        <w:fldChar w:fldCharType="end"/>
      </w:r>
      <w:r w:rsidR="000C586A">
        <w:rPr>
          <w:rFonts w:ascii="Arial" w:hAnsi="Arial" w:cs="Arial"/>
          <w:color w:val="1C1D1E"/>
          <w:shd w:val="clear" w:color="auto" w:fill="FFFFFF"/>
        </w:rPr>
        <w:t xml:space="preserve"> and with a higher prevalence in non-White population</w:t>
      </w:r>
      <w:r w:rsidR="001E68E6">
        <w:rPr>
          <w:rFonts w:ascii="Arial" w:hAnsi="Arial" w:cs="Arial"/>
          <w:color w:val="1C1D1E"/>
          <w:shd w:val="clear" w:color="auto" w:fill="FFFFFF"/>
        </w:rPr>
        <w:t>s</w:t>
      </w:r>
      <w:r>
        <w:rPr>
          <w:rFonts w:ascii="Arial" w:hAnsi="Arial" w:cs="Arial"/>
        </w:rPr>
        <w:t>. Symptoms present as an ‘allergy</w:t>
      </w:r>
      <w:r w:rsidR="001E68E6">
        <w:rPr>
          <w:rFonts w:ascii="Arial" w:hAnsi="Arial" w:cs="Arial"/>
        </w:rPr>
        <w:t xml:space="preserve"> </w:t>
      </w:r>
      <w:r w:rsidR="004846FE">
        <w:rPr>
          <w:rFonts w:ascii="Arial" w:hAnsi="Arial" w:cs="Arial"/>
        </w:rPr>
        <w:t>mim</w:t>
      </w:r>
      <w:r>
        <w:rPr>
          <w:rFonts w:ascii="Arial" w:hAnsi="Arial" w:cs="Arial"/>
        </w:rPr>
        <w:t>ic’ but are under</w:t>
      </w:r>
      <w:r w:rsidR="001E68E6">
        <w:rPr>
          <w:rFonts w:ascii="Arial" w:hAnsi="Arial" w:cs="Arial"/>
        </w:rPr>
        <w:t>pinned by non-specific, non-IgE-</w:t>
      </w:r>
      <w:r>
        <w:rPr>
          <w:rFonts w:ascii="Arial" w:hAnsi="Arial" w:cs="Arial"/>
        </w:rPr>
        <w:t xml:space="preserve">mediated histamine release from mast cells. The combination of </w:t>
      </w:r>
      <w:r w:rsidR="004846FE">
        <w:rPr>
          <w:rFonts w:ascii="Arial" w:hAnsi="Arial" w:cs="Arial"/>
        </w:rPr>
        <w:t xml:space="preserve">common population prevalence and likelihood of vaccines precipitating symptoms in those with CSU/A presents an immediate risk to the SARS-COV-2 global vaccine program. </w:t>
      </w:r>
    </w:p>
    <w:p w14:paraId="0F40626F" w14:textId="77777777" w:rsidR="001D1599" w:rsidRDefault="001D1599" w:rsidP="00984F55">
      <w:pPr>
        <w:rPr>
          <w:rFonts w:ascii="Arial" w:hAnsi="Arial" w:cs="Arial"/>
        </w:rPr>
      </w:pPr>
    </w:p>
    <w:p w14:paraId="15C35CF9" w14:textId="4601E582" w:rsidR="001045DB" w:rsidRPr="001246A8" w:rsidRDefault="00984F55" w:rsidP="00984F55">
      <w:pPr>
        <w:rPr>
          <w:rFonts w:ascii="Arial" w:hAnsi="Arial" w:cs="Arial"/>
        </w:rPr>
      </w:pPr>
      <w:r w:rsidRPr="001246A8">
        <w:rPr>
          <w:rFonts w:ascii="Arial" w:hAnsi="Arial" w:cs="Arial"/>
        </w:rPr>
        <w:t xml:space="preserve">Several novel vaccines are now licensed for use in </w:t>
      </w:r>
      <w:r w:rsidR="00806D27" w:rsidRPr="001246A8">
        <w:rPr>
          <w:rFonts w:ascii="Arial" w:hAnsi="Arial" w:cs="Arial"/>
        </w:rPr>
        <w:t>High</w:t>
      </w:r>
      <w:r w:rsidR="00E13702">
        <w:rPr>
          <w:rFonts w:ascii="Arial" w:hAnsi="Arial" w:cs="Arial"/>
        </w:rPr>
        <w:t>-</w:t>
      </w:r>
      <w:r w:rsidR="00806D27" w:rsidRPr="001246A8">
        <w:rPr>
          <w:rFonts w:ascii="Arial" w:hAnsi="Arial" w:cs="Arial"/>
        </w:rPr>
        <w:t>Income and Low/Low-Middle Income C</w:t>
      </w:r>
      <w:r w:rsidRPr="001246A8">
        <w:rPr>
          <w:rFonts w:ascii="Arial" w:hAnsi="Arial" w:cs="Arial"/>
        </w:rPr>
        <w:t>ountries</w:t>
      </w:r>
      <w:r w:rsidR="00FB3E7D" w:rsidRPr="001246A8">
        <w:rPr>
          <w:rFonts w:ascii="Arial" w:hAnsi="Arial" w:cs="Arial"/>
        </w:rPr>
        <w:t xml:space="preserve"> (LICs</w:t>
      </w:r>
      <w:r w:rsidR="00E13702">
        <w:rPr>
          <w:rFonts w:ascii="Arial" w:hAnsi="Arial" w:cs="Arial"/>
        </w:rPr>
        <w:t>/</w:t>
      </w:r>
      <w:r w:rsidR="00FB3E7D" w:rsidRPr="001246A8">
        <w:rPr>
          <w:rFonts w:ascii="Arial" w:hAnsi="Arial" w:cs="Arial"/>
        </w:rPr>
        <w:t>LMICs)</w:t>
      </w:r>
      <w:r w:rsidR="004846FE">
        <w:rPr>
          <w:rFonts w:ascii="Arial" w:hAnsi="Arial" w:cs="Arial"/>
        </w:rPr>
        <w:t xml:space="preserve"> to combat the SARS-COV-2 pandemic</w:t>
      </w:r>
      <w:r w:rsidRPr="001246A8">
        <w:rPr>
          <w:rFonts w:ascii="Arial" w:hAnsi="Arial" w:cs="Arial"/>
        </w:rPr>
        <w:t xml:space="preserve">. </w:t>
      </w:r>
      <w:r w:rsidR="00BD5215" w:rsidRPr="001246A8">
        <w:rPr>
          <w:rFonts w:ascii="Arial" w:hAnsi="Arial" w:cs="Arial"/>
        </w:rPr>
        <w:t>Whilst significant uncertaint</w:t>
      </w:r>
      <w:r w:rsidR="007250C6" w:rsidRPr="001246A8">
        <w:rPr>
          <w:rFonts w:ascii="Arial" w:hAnsi="Arial" w:cs="Arial"/>
        </w:rPr>
        <w:t>ies</w:t>
      </w:r>
      <w:r w:rsidR="005904B4">
        <w:rPr>
          <w:rFonts w:ascii="Arial" w:hAnsi="Arial" w:cs="Arial"/>
        </w:rPr>
        <w:t xml:space="preserve"> remain, estimates necessitating </w:t>
      </w:r>
      <w:r w:rsidR="00BD5215" w:rsidRPr="001246A8">
        <w:rPr>
          <w:rFonts w:ascii="Arial" w:hAnsi="Arial" w:cs="Arial"/>
        </w:rPr>
        <w:t xml:space="preserve">60-90% herd immunity to block viral transmission </w:t>
      </w:r>
      <w:r w:rsidR="00174257">
        <w:rPr>
          <w:rFonts w:ascii="Arial" w:hAnsi="Arial" w:cs="Arial"/>
        </w:rPr>
        <w:t xml:space="preserve">will require </w:t>
      </w:r>
      <w:r w:rsidR="00BD5215" w:rsidRPr="001246A8">
        <w:rPr>
          <w:rFonts w:ascii="Arial" w:hAnsi="Arial" w:cs="Arial"/>
        </w:rPr>
        <w:t xml:space="preserve">high vaccine uptake globally </w:t>
      </w:r>
      <w:r w:rsidR="00BD5215" w:rsidRPr="001246A8">
        <w:rPr>
          <w:rFonts w:ascii="Arial" w:hAnsi="Arial" w:cs="Arial"/>
        </w:rPr>
        <w:fldChar w:fldCharType="begin" w:fldLock="1"/>
      </w:r>
      <w:r w:rsidR="00411A21">
        <w:rPr>
          <w:rFonts w:ascii="Arial" w:hAnsi="Arial" w:cs="Arial"/>
        </w:rPr>
        <w:instrText>ADDIN CSL_CITATION {"citationItems":[{"id":"ITEM-1","itemData":{"DOI":"10.1016/S0140-6736(20)32318-7","ISSN":"1474547X","PMID":"33159850","author":[{"dropping-particle":"","family":"Anderson","given":"Roy M.","non-dropping-particle":"","parse-names":false,"suffix":""},{"dropping-particle":"","family":"Vegvari","given":"Carolin","non-dropping-particle":"","parse-names":false,"suffix":""},{"dropping-particle":"","family":"Truscott","given":"James","non-dropping-particle":"","parse-names":false,"suffix":""},{"dropping-particle":"","family":"Collyer","given":"Benjamin S.","non-dropping-particle":"","parse-names":false,"suffix":""}],"container-title":"The Lancet","id":"ITEM-1","issue":"10263","issued":{"date-parts":[["2020"]]},"page":"1614-1616","title":"Challenges in creating herd immunity to SARS-CoV-2 infection by mass vaccination","type":"article-journal","volume":"396"},"uris":["http://www.mendeley.com/documents/?uuid=6d5f9b71-20d2-41a0-b271-831e9f35afc2"]}],"mendeley":{"formattedCitation":"(2)","plainTextFormattedCitation":"(2)","previouslyFormattedCitation":"(2)"},"properties":{"noteIndex":0},"schema":"https://github.com/citation-style-language/schema/raw/master/csl-citation.json"}</w:instrText>
      </w:r>
      <w:r w:rsidR="00BD5215" w:rsidRPr="001246A8">
        <w:rPr>
          <w:rFonts w:ascii="Arial" w:hAnsi="Arial" w:cs="Arial"/>
        </w:rPr>
        <w:fldChar w:fldCharType="separate"/>
      </w:r>
      <w:r w:rsidR="00411A21" w:rsidRPr="00411A21">
        <w:rPr>
          <w:rFonts w:ascii="Arial" w:hAnsi="Arial" w:cs="Arial"/>
          <w:noProof/>
        </w:rPr>
        <w:t>(2)</w:t>
      </w:r>
      <w:r w:rsidR="00BD5215" w:rsidRPr="001246A8">
        <w:rPr>
          <w:rFonts w:ascii="Arial" w:hAnsi="Arial" w:cs="Arial"/>
        </w:rPr>
        <w:fldChar w:fldCharType="end"/>
      </w:r>
      <w:r w:rsidR="00BD5215" w:rsidRPr="001246A8">
        <w:rPr>
          <w:rFonts w:ascii="Arial" w:hAnsi="Arial" w:cs="Arial"/>
        </w:rPr>
        <w:t xml:space="preserve">. </w:t>
      </w:r>
      <w:r w:rsidR="001D1599">
        <w:rPr>
          <w:rFonts w:ascii="Arial" w:hAnsi="Arial" w:cs="Arial"/>
        </w:rPr>
        <w:t xml:space="preserve"> </w:t>
      </w:r>
    </w:p>
    <w:p w14:paraId="14145381" w14:textId="77777777" w:rsidR="007F5A90" w:rsidRDefault="007F5A90" w:rsidP="00984F55">
      <w:pPr>
        <w:rPr>
          <w:rFonts w:ascii="Arial" w:hAnsi="Arial" w:cs="Arial"/>
        </w:rPr>
      </w:pPr>
    </w:p>
    <w:p w14:paraId="3CEBD875" w14:textId="79A6DB1B" w:rsidR="002F01A6" w:rsidRDefault="005904B4" w:rsidP="00984F55">
      <w:pPr>
        <w:rPr>
          <w:rFonts w:ascii="Arial" w:hAnsi="Arial" w:cs="Arial"/>
        </w:rPr>
      </w:pPr>
      <w:r w:rsidRPr="000D52AD">
        <w:rPr>
          <w:rFonts w:ascii="Arial" w:hAnsi="Arial" w:cs="Arial"/>
        </w:rPr>
        <w:t>Public fear/</w:t>
      </w:r>
      <w:r w:rsidR="00F00017" w:rsidRPr="000D52AD">
        <w:rPr>
          <w:rFonts w:ascii="Arial" w:hAnsi="Arial" w:cs="Arial"/>
        </w:rPr>
        <w:t>perception of adverse events is a significant contributor to vaccine hesitancy</w:t>
      </w:r>
      <w:r w:rsidR="00B4015E" w:rsidRPr="000D52AD">
        <w:rPr>
          <w:rFonts w:ascii="Arial" w:hAnsi="Arial" w:cs="Arial"/>
        </w:rPr>
        <w:fldChar w:fldCharType="begin" w:fldLock="1"/>
      </w:r>
      <w:r w:rsidR="00411A21">
        <w:rPr>
          <w:rFonts w:ascii="Arial" w:hAnsi="Arial" w:cs="Arial"/>
        </w:rPr>
        <w:instrText>ADDIN CSL_CITATION {"citationItems":[{"id":"ITEM-1","itemData":{"DOI":"10.1016/j.mayocp.2020.12.024","ISSN":"00256196","abstract":"&lt;p&gt;The success of vaccination programs is contingent upon irrefutable scientific safety data combined with high rates of public acceptance and population coverage. Vaccine hesitancy, characterized by lack of confidence in vaccination and/or complacency about vaccination that may lead to delay or refusal to vaccinate despite the availability of services, threatens to undermine the success of COVID-19 vaccination programs. The rapid pace of vaccine development, misinformation in popular and social media, the polarized sociopolitical environment, and the inherent complexities of large-scale vaccination efforts may undermine vaccination confidence and increase complacency about COVID-19 vaccination. While the experience of recent lethal surges of COVID-19 infections have underscored the value of COVID-19 vaccines, ensuring population uptake of COVID-19 vaccination will require application of multi-level, evidence-based strategies to influence behavior change and address vaccine hesitancy. Recent survey research evaluating public attitudes in the U.S. toward the COVID-19 vaccine reveals substantial vaccine hesitancy. Building upon efforts at the policy and community level to ensure population access to COVID-19 vaccination, a strong healthcare system response is critical to address vaccine hesitancy. Drawing on the evidence base in social, behavioral, communication, and implementation science, we review, summarize and encourage use of interpersonal, individual-level, and organizational interventions within clinical organizations to address this critical gap and improve population adoption of COVID-19 vaccination.&lt;/p&gt;","author":[{"dropping-particle":"","family":"Finney Rutten","given":"Lila J.","non-dropping-particle":"","parse-names":false,"suffix":""},{"dropping-particle":"","family":"Zhu","given":"Xuan","non-dropping-particle":"","parse-names":false,"suffix":""},{"dropping-particle":"","family":"Leppin","given":"Aaron","non-dropping-particle":"","parse-names":false,"suffix":""},{"dropping-particle":"","family":"Ridgeway","given":"Jennifer L.","non-dropping-particle":"","parse-names":false,"suffix":""},{"dropping-particle":"","family":"Swift","given":"Melanie","non-dropping-particle":"","parse-names":false,"suffix":""},{"dropping-particle":"","family":"Griffin","given":"Joan M.","non-dropping-particle":"","parse-names":false,"suffix":""},{"dropping-particle":"","family":"St Sauver","given":"Jennifer L.","non-dropping-particle":"","parse-names":false,"suffix":""},{"dropping-particle":"","family":"Virk","given":"Abinash","non-dropping-particle":"","parse-names":false,"suffix":""},{"dropping-particle":"","family":"Jacobson","given":"Robert M.","non-dropping-particle":"","parse-names":false,"suffix":""}],"container-title":"Mayo Clinic Proceedings","id":"ITEM-1","issued":{"date-parts":[["2020"]]},"publisher":"Mayo Foundation for Medical Education and Research","title":"Evidence-Based Strategies for Clinical Organizations to Address COVID-19 Vaccine Hesitancy","type":"article-journal"},"uris":["http://www.mendeley.com/documents/?uuid=42de1925-0407-4e7d-b49e-56d880cf173f"]}],"mendeley":{"formattedCitation":"(3)","plainTextFormattedCitation":"(3)","previouslyFormattedCitation":"(3)"},"properties":{"noteIndex":0},"schema":"https://github.com/citation-style-language/schema/raw/master/csl-citation.json"}</w:instrText>
      </w:r>
      <w:r w:rsidR="00B4015E" w:rsidRPr="000D52AD">
        <w:rPr>
          <w:rFonts w:ascii="Arial" w:hAnsi="Arial" w:cs="Arial"/>
        </w:rPr>
        <w:fldChar w:fldCharType="separate"/>
      </w:r>
      <w:r w:rsidR="00411A21" w:rsidRPr="00411A21">
        <w:rPr>
          <w:rFonts w:ascii="Arial" w:hAnsi="Arial" w:cs="Arial"/>
          <w:noProof/>
        </w:rPr>
        <w:t>(3)</w:t>
      </w:r>
      <w:r w:rsidR="00B4015E" w:rsidRPr="000D52AD">
        <w:rPr>
          <w:rFonts w:ascii="Arial" w:hAnsi="Arial" w:cs="Arial"/>
        </w:rPr>
        <w:fldChar w:fldCharType="end"/>
      </w:r>
      <w:r w:rsidR="00A82518">
        <w:rPr>
          <w:rFonts w:ascii="Arial" w:hAnsi="Arial" w:cs="Arial"/>
        </w:rPr>
        <w:t xml:space="preserve"> with l</w:t>
      </w:r>
      <w:r w:rsidR="009D29E4">
        <w:rPr>
          <w:rFonts w:ascii="Arial" w:hAnsi="Arial" w:cs="Arial"/>
        </w:rPr>
        <w:t>ow v</w:t>
      </w:r>
      <w:r w:rsidR="002060D7">
        <w:rPr>
          <w:rFonts w:ascii="Arial" w:hAnsi="Arial" w:cs="Arial"/>
        </w:rPr>
        <w:t>accine uptake amongst non-White population</w:t>
      </w:r>
      <w:r w:rsidR="001E68E6">
        <w:rPr>
          <w:rFonts w:ascii="Arial" w:hAnsi="Arial" w:cs="Arial"/>
        </w:rPr>
        <w:t>s</w:t>
      </w:r>
      <w:r w:rsidR="009D29E4">
        <w:rPr>
          <w:rFonts w:ascii="Arial" w:hAnsi="Arial" w:cs="Arial"/>
        </w:rPr>
        <w:t xml:space="preserve"> in the UK</w:t>
      </w:r>
      <w:r w:rsidR="00DE2B98">
        <w:rPr>
          <w:rFonts w:ascii="Arial" w:hAnsi="Arial" w:cs="Arial"/>
        </w:rPr>
        <w:t>.</w:t>
      </w:r>
      <w:r w:rsidR="009D29E4" w:rsidRPr="000D52AD">
        <w:rPr>
          <w:rFonts w:ascii="Arial" w:hAnsi="Arial" w:cs="Arial"/>
        </w:rPr>
        <w:t xml:space="preserve"> </w:t>
      </w:r>
      <w:r w:rsidR="00CE5F9F">
        <w:rPr>
          <w:rFonts w:ascii="Arial" w:hAnsi="Arial" w:cs="Arial"/>
        </w:rPr>
        <w:t>For SARS-COV</w:t>
      </w:r>
      <w:r w:rsidR="00001A99">
        <w:rPr>
          <w:rFonts w:ascii="Arial" w:hAnsi="Arial" w:cs="Arial"/>
        </w:rPr>
        <w:t>-</w:t>
      </w:r>
      <w:r w:rsidR="00CE5F9F">
        <w:rPr>
          <w:rFonts w:ascii="Arial" w:hAnsi="Arial" w:cs="Arial"/>
        </w:rPr>
        <w:t>2 vaccines, l</w:t>
      </w:r>
      <w:r w:rsidR="000D52AD" w:rsidRPr="00411A21">
        <w:rPr>
          <w:rFonts w:ascii="Arial" w:hAnsi="Arial" w:cs="Arial"/>
        </w:rPr>
        <w:t>atest US CDC data showed that anaphylaxis occurred in 4.7 and 2.5 per million doses of Pfizer-</w:t>
      </w:r>
      <w:proofErr w:type="spellStart"/>
      <w:r w:rsidR="000D52AD" w:rsidRPr="00411A21">
        <w:rPr>
          <w:rFonts w:ascii="Arial" w:hAnsi="Arial" w:cs="Arial"/>
        </w:rPr>
        <w:t>BionTech</w:t>
      </w:r>
      <w:proofErr w:type="spellEnd"/>
      <w:r w:rsidR="000D52AD" w:rsidRPr="00411A21">
        <w:rPr>
          <w:rFonts w:ascii="Arial" w:hAnsi="Arial" w:cs="Arial"/>
        </w:rPr>
        <w:t xml:space="preserve"> (9,943,247 doses) and </w:t>
      </w:r>
      <w:proofErr w:type="spellStart"/>
      <w:r w:rsidR="000D52AD" w:rsidRPr="00411A21">
        <w:rPr>
          <w:rFonts w:ascii="Arial" w:hAnsi="Arial" w:cs="Arial"/>
        </w:rPr>
        <w:t>Moderna</w:t>
      </w:r>
      <w:proofErr w:type="spellEnd"/>
      <w:r w:rsidR="000D52AD" w:rsidRPr="00411A21">
        <w:rPr>
          <w:rFonts w:ascii="Arial" w:hAnsi="Arial" w:cs="Arial"/>
        </w:rPr>
        <w:t xml:space="preserve"> vaccines (7,581,429) respectively</w:t>
      </w:r>
      <w:r w:rsidR="00411A21">
        <w:rPr>
          <w:rFonts w:ascii="Arial" w:hAnsi="Arial" w:cs="Arial"/>
        </w:rPr>
        <w:fldChar w:fldCharType="begin" w:fldLock="1"/>
      </w:r>
      <w:r w:rsidR="00BE60E2">
        <w:rPr>
          <w:rFonts w:ascii="Arial" w:hAnsi="Arial" w:cs="Arial"/>
        </w:rPr>
        <w:instrText>ADDIN CSL_CITATION {"citationItems":[{"id":"ITEM-1","itemData":{"DOI":"10.1001/jama.2021.1967","ISSN":"0098-7484","abstract":"In December 2020, the US Food and Drug Administration (FDA) issued Emergency Use Authorizations for 2 mRNA-based vaccines for prevention of coronavirus disease 2019 (COVID-19): Pfizer-BioNTech COVID-19 vaccine (EUA issued December 11; 2 doses, 3 weeks apart) and Moderna COVID-19 vaccine (EUA issued December 18; 2 doses, 1 month apart). Shortly after each authorization, the Advisory Committee on Immunization Practices issued interim recommendations for use.Following implementation of vaccination, cases of anaphylaxis after administration of the Pfizer-BioNTech and Moderna vaccines began to be reported. Anaphylaxis is a life-threatening allergic reaction that can occur after vaccination, with onset typically within minutes to hours. The initial estimated reporting rates for anaphylaxis in the US were 11.1 cases per million doses administered of the Pfizer-BioNTech vaccine (December 14-23, 2020) and 2.5 cases per million doses administered of the Moderna vaccine (December 21, 2020-January 10, 2021). Since these early estimates were generated, millions more doses of both vaccines have been administered and safety monitoring has detected additional cases of anaphylaxis. This analysis updates the reporting rates of anaphylaxis in individuals following receipt of either the Pfizer-BioNTech or Moderna vaccine.","author":[{"dropping-particle":"","family":"Shimabukuro","given":"Tom T","non-dropping-particle":"","parse-names":false,"suffix":""},{"dropping-particle":"","family":"Cole","given":"Matthew","non-dropping-particle":"","parse-names":false,"suffix":""},{"dropping-particle":"","family":"Su","given":"John R","non-dropping-particle":"","parse-names":false,"suffix":""}],"container-title":"JAMA","id":"ITEM-1","issued":{"date-parts":[["2021","2","12"]]},"title":"Reports of Anaphylaxis After Receipt of mRNA COVID-19 Vaccines in the US—December 14, 2020-January 18, 2021","type":"article-journal"},"uris":["http://www.mendeley.com/documents/?uuid=60ddccb0-1127-45e7-b15b-fbe2d95cb87b"]}],"mendeley":{"formattedCitation":"(4)","plainTextFormattedCitation":"(4)","previouslyFormattedCitation":"(5)"},"properties":{"noteIndex":0},"schema":"https://github.com/citation-style-language/schema/raw/master/csl-citation.json"}</w:instrText>
      </w:r>
      <w:r w:rsidR="00411A21">
        <w:rPr>
          <w:rFonts w:ascii="Arial" w:hAnsi="Arial" w:cs="Arial"/>
        </w:rPr>
        <w:fldChar w:fldCharType="separate"/>
      </w:r>
      <w:r w:rsidR="00BE60E2" w:rsidRPr="00BE60E2">
        <w:rPr>
          <w:rFonts w:ascii="Arial" w:hAnsi="Arial" w:cs="Arial"/>
          <w:noProof/>
        </w:rPr>
        <w:t>(4)</w:t>
      </w:r>
      <w:r w:rsidR="00411A21">
        <w:rPr>
          <w:rFonts w:ascii="Arial" w:hAnsi="Arial" w:cs="Arial"/>
        </w:rPr>
        <w:fldChar w:fldCharType="end"/>
      </w:r>
      <w:r w:rsidR="00984F55" w:rsidRPr="000D52AD">
        <w:rPr>
          <w:rFonts w:ascii="Arial" w:hAnsi="Arial" w:cs="Arial"/>
        </w:rPr>
        <w:t>.</w:t>
      </w:r>
      <w:r w:rsidR="00984F55" w:rsidRPr="001246A8">
        <w:rPr>
          <w:rFonts w:ascii="Arial" w:hAnsi="Arial" w:cs="Arial"/>
        </w:rPr>
        <w:t xml:space="preserve"> </w:t>
      </w:r>
      <w:r w:rsidR="001E68E6">
        <w:rPr>
          <w:rFonts w:ascii="Arial" w:hAnsi="Arial" w:cs="Arial"/>
        </w:rPr>
        <w:t>However, the frequency of other</w:t>
      </w:r>
      <w:r w:rsidR="004964F9">
        <w:rPr>
          <w:rFonts w:ascii="Arial" w:hAnsi="Arial" w:cs="Arial"/>
        </w:rPr>
        <w:t xml:space="preserve"> </w:t>
      </w:r>
      <w:r w:rsidR="001F5EAE">
        <w:rPr>
          <w:rFonts w:ascii="Arial" w:hAnsi="Arial" w:cs="Arial"/>
        </w:rPr>
        <w:t>adverse</w:t>
      </w:r>
      <w:r w:rsidR="004964F9">
        <w:rPr>
          <w:rFonts w:ascii="Arial" w:hAnsi="Arial" w:cs="Arial"/>
        </w:rPr>
        <w:t xml:space="preserve"> </w:t>
      </w:r>
      <w:r w:rsidR="0064121E">
        <w:rPr>
          <w:rFonts w:ascii="Arial" w:hAnsi="Arial" w:cs="Arial"/>
        </w:rPr>
        <w:t>events</w:t>
      </w:r>
      <w:r w:rsidR="001E68E6">
        <w:rPr>
          <w:rFonts w:ascii="Arial" w:hAnsi="Arial" w:cs="Arial"/>
        </w:rPr>
        <w:t>,</w:t>
      </w:r>
      <w:r w:rsidR="0064121E">
        <w:rPr>
          <w:rFonts w:ascii="Arial" w:hAnsi="Arial" w:cs="Arial"/>
        </w:rPr>
        <w:t xml:space="preserve"> </w:t>
      </w:r>
      <w:r w:rsidR="00AC719E">
        <w:rPr>
          <w:rFonts w:ascii="Arial" w:hAnsi="Arial" w:cs="Arial"/>
        </w:rPr>
        <w:t>including</w:t>
      </w:r>
      <w:r w:rsidR="004964F9">
        <w:rPr>
          <w:rFonts w:ascii="Arial" w:hAnsi="Arial" w:cs="Arial"/>
        </w:rPr>
        <w:t xml:space="preserve"> urticaria and angioedema</w:t>
      </w:r>
      <w:r w:rsidR="001E68E6">
        <w:rPr>
          <w:rFonts w:ascii="Arial" w:hAnsi="Arial" w:cs="Arial"/>
        </w:rPr>
        <w:t>,</w:t>
      </w:r>
      <w:r w:rsidR="004964F9">
        <w:rPr>
          <w:rFonts w:ascii="Arial" w:hAnsi="Arial" w:cs="Arial"/>
        </w:rPr>
        <w:t xml:space="preserve"> </w:t>
      </w:r>
      <w:r w:rsidR="006868AD">
        <w:rPr>
          <w:rFonts w:ascii="Arial" w:hAnsi="Arial" w:cs="Arial"/>
        </w:rPr>
        <w:t>has not</w:t>
      </w:r>
      <w:r w:rsidR="004964F9">
        <w:rPr>
          <w:rFonts w:ascii="Arial" w:hAnsi="Arial" w:cs="Arial"/>
        </w:rPr>
        <w:t xml:space="preserve"> </w:t>
      </w:r>
      <w:r w:rsidR="006868AD">
        <w:rPr>
          <w:rFonts w:ascii="Arial" w:hAnsi="Arial" w:cs="Arial"/>
        </w:rPr>
        <w:t xml:space="preserve">been </w:t>
      </w:r>
      <w:r w:rsidR="0064121E">
        <w:rPr>
          <w:rFonts w:ascii="Arial" w:hAnsi="Arial" w:cs="Arial"/>
        </w:rPr>
        <w:t>established</w:t>
      </w:r>
      <w:r w:rsidR="004964F9">
        <w:rPr>
          <w:rFonts w:ascii="Arial" w:hAnsi="Arial" w:cs="Arial"/>
        </w:rPr>
        <w:t xml:space="preserve">. </w:t>
      </w:r>
      <w:r w:rsidR="00AC719E">
        <w:rPr>
          <w:rFonts w:ascii="Arial" w:hAnsi="Arial" w:cs="Arial"/>
        </w:rPr>
        <w:t>For other vaccines programs, r</w:t>
      </w:r>
      <w:r w:rsidR="00ED051E">
        <w:rPr>
          <w:rFonts w:ascii="Arial" w:hAnsi="Arial" w:cs="Arial"/>
        </w:rPr>
        <w:t>ates</w:t>
      </w:r>
      <w:r w:rsidR="00AC719E">
        <w:rPr>
          <w:rFonts w:ascii="Arial" w:hAnsi="Arial" w:cs="Arial"/>
        </w:rPr>
        <w:t xml:space="preserve"> of urticaria</w:t>
      </w:r>
      <w:r w:rsidR="00ED051E">
        <w:rPr>
          <w:rFonts w:ascii="Arial" w:hAnsi="Arial" w:cs="Arial"/>
        </w:rPr>
        <w:t xml:space="preserve"> as high as 5-13% </w:t>
      </w:r>
      <w:r w:rsidR="00C176FD">
        <w:rPr>
          <w:rFonts w:ascii="Arial" w:hAnsi="Arial" w:cs="Arial"/>
        </w:rPr>
        <w:t xml:space="preserve">are quoted for </w:t>
      </w:r>
      <w:r w:rsidR="00ED051E">
        <w:rPr>
          <w:rFonts w:ascii="Arial" w:hAnsi="Arial" w:cs="Arial"/>
        </w:rPr>
        <w:t>toxoid vaccines based on data from 1987</w:t>
      </w:r>
      <w:r w:rsidR="00C176FD">
        <w:rPr>
          <w:rFonts w:ascii="Arial" w:hAnsi="Arial" w:cs="Arial"/>
        </w:rPr>
        <w:fldChar w:fldCharType="begin" w:fldLock="1"/>
      </w:r>
      <w:r w:rsidR="00BE60E2">
        <w:rPr>
          <w:rFonts w:ascii="Arial" w:hAnsi="Arial" w:cs="Arial"/>
        </w:rPr>
        <w:instrText>ADDIN CSL_CITATION {"citationItems":[{"id":"ITEM-1","itemData":{"author":[{"dropping-particle":"","family":"Caubet","given":"Jean-christoph","non-dropping-particle":"","parse-names":false,"suffix":""},{"dropping-particle":"","family":"Ponvert","given":"Claude","non-dropping-particle":"","parse-names":false,"suffix":""}],"container-title":"Immunol Allergy Clin N Am","id":"ITEM-1","issued":{"date-parts":[["2014"]]},"page":"597-613","title":"Vaccine Allergy","type":"article-journal","volume":"34"},"uris":["http://www.mendeley.com/documents/?uuid=bac5868f-8b09-4b7b-adb2-0a0142242a23"]}],"mendeley":{"formattedCitation":"(5)","plainTextFormattedCitation":"(5)","previouslyFormattedCitation":"(6)"},"properties":{"noteIndex":0},"schema":"https://github.com/citation-style-language/schema/raw/master/csl-citation.json"}</w:instrText>
      </w:r>
      <w:r w:rsidR="00C176FD">
        <w:rPr>
          <w:rFonts w:ascii="Arial" w:hAnsi="Arial" w:cs="Arial"/>
        </w:rPr>
        <w:fldChar w:fldCharType="separate"/>
      </w:r>
      <w:r w:rsidR="00BE60E2" w:rsidRPr="00BE60E2">
        <w:rPr>
          <w:rFonts w:ascii="Arial" w:hAnsi="Arial" w:cs="Arial"/>
          <w:noProof/>
        </w:rPr>
        <w:t>(5)</w:t>
      </w:r>
      <w:r w:rsidR="00C176FD">
        <w:rPr>
          <w:rFonts w:ascii="Arial" w:hAnsi="Arial" w:cs="Arial"/>
        </w:rPr>
        <w:fldChar w:fldCharType="end"/>
      </w:r>
      <w:r w:rsidR="00ED051E">
        <w:rPr>
          <w:rFonts w:ascii="Arial" w:hAnsi="Arial" w:cs="Arial"/>
        </w:rPr>
        <w:t xml:space="preserve">. </w:t>
      </w:r>
      <w:r w:rsidR="00C176FD">
        <w:rPr>
          <w:rFonts w:ascii="Arial" w:hAnsi="Arial" w:cs="Arial"/>
        </w:rPr>
        <w:t xml:space="preserve">A recent study </w:t>
      </w:r>
      <w:r w:rsidR="00BE60E2">
        <w:rPr>
          <w:rFonts w:ascii="Arial" w:hAnsi="Arial" w:cs="Arial"/>
        </w:rPr>
        <w:t>of</w:t>
      </w:r>
      <w:r w:rsidR="00C176FD">
        <w:rPr>
          <w:rFonts w:ascii="Arial" w:hAnsi="Arial" w:cs="Arial"/>
        </w:rPr>
        <w:t xml:space="preserve"> the 2009 monovalent H1N1 influenza vaccine reported hives/urticaria as the most commonly reported </w:t>
      </w:r>
      <w:r w:rsidR="00001A99">
        <w:rPr>
          <w:rFonts w:ascii="Arial" w:hAnsi="Arial" w:cs="Arial"/>
        </w:rPr>
        <w:t>‘</w:t>
      </w:r>
      <w:r w:rsidR="00C176FD">
        <w:rPr>
          <w:rFonts w:ascii="Arial" w:hAnsi="Arial" w:cs="Arial"/>
        </w:rPr>
        <w:t>hypersensitivity reaction</w:t>
      </w:r>
      <w:r w:rsidR="00001A99">
        <w:rPr>
          <w:rFonts w:ascii="Arial" w:hAnsi="Arial" w:cs="Arial"/>
        </w:rPr>
        <w:t>’</w:t>
      </w:r>
      <w:r w:rsidR="00C176FD">
        <w:rPr>
          <w:rFonts w:ascii="Arial" w:hAnsi="Arial" w:cs="Arial"/>
        </w:rPr>
        <w:t xml:space="preserve"> within 48 hours of vaccination</w:t>
      </w:r>
      <w:r w:rsidR="00C176FD">
        <w:rPr>
          <w:rFonts w:ascii="Arial" w:hAnsi="Arial" w:cs="Arial"/>
        </w:rPr>
        <w:fldChar w:fldCharType="begin" w:fldLock="1"/>
      </w:r>
      <w:r w:rsidR="00BE60E2">
        <w:rPr>
          <w:rFonts w:ascii="Arial" w:hAnsi="Arial" w:cs="Arial"/>
        </w:rPr>
        <w:instrText>ADDIN CSL_CITATION {"citationItems":[{"id":"ITEM-1","itemData":{"DOI":"10.1016/j.vaccine.2013.09.066","ISSN":"0264410X","PMID":"24120547","abstract":"Background: Hypersensitivity disorders following vaccinations are a cause for concern. Objective: To determine the type and rate by age, gender, and vaccine received for reported hypersensitivity reactions following monovalent 2009 pandemic influenza A (H1N1) vaccines. Design: A systematic review of reports to the Vaccine Adverse Event Reporting System (VAERS) following monovalent 2009 pandemic influenza A (H1N1) vaccines. Setting/patients: US Civilian reports following vaccine received from October 1, 2009 through May 31, 2010. Measurements: Age, gender, vaccines received, diagnoses, clinical signs, and treatment were reviewed by nurses and physicians with expertise in vaccine adverse events. A panel of experts, including seven allergists reviewed complex illnesses and those with conflicting evidence for classification of the event. Results: Of 1984 reports, 1286 were consistent with immediate hypersensitivity disorders and 698 were attributed to anxiety reactions, syncope, or other illnesses. The female-to-male ratio was ≥4:1 for persons 20-to-59 years of age, but approximately equal for children under 10. One hundred eleven reports met Brighton Collaboration criteria for anaphylaxis; only one-half received epinephrine for initial therapy. The overall rate of reported hypersensitivity reactions was 10.7 per million vaccine doses distributed, with a 2-fold higher rate for live vaccine. Limitations: Underreporting, especially of mild events, would result in an underestimate of the true rate of immediate hypersensitivity reactions. Selective reporting of events in adult females could have resulted in higher rates than reported for males. Conclusions: Adult females may be at higher risk of hypersensitivity reactions after influenza vaccination than men. Although the risk of hypersensitivity reactions following 2009 pandemic influenza A (H1N1) vaccines was low, all clinics administering vaccines should be familiar with treatment guidelines for these adverse events, including the use of intramuscular epinephrine early in the course of serious hypersensitivity reactions. © 2013 Elsevier Ltd.","author":[{"dropping-particle":"","family":"Halsey","given":"Neal A.","non-dropping-particle":"","parse-names":false,"suffix":""},{"dropping-particle":"","family":"Griffioen","given":"Mari","non-dropping-particle":"","parse-names":false,"suffix":""},{"dropping-particle":"","family":"Dreskin","given":"Stephen C.","non-dropping-particle":"","parse-names":false,"suffix":""},{"dropping-particle":"","family":"Dekker","given":"Cornelia L.","non-dropping-particle":"","parse-names":false,"suffix":""},{"dropping-particle":"","family":"Wood","given":"Robert","non-dropping-particle":"","parse-names":false,"suffix":""},{"dropping-particle":"","family":"Sharma","given":"Devindra","non-dropping-particle":"","parse-names":false,"suffix":""},{"dropping-particle":"","family":"Jones","given":"James F.","non-dropping-particle":"","parse-names":false,"suffix":""},{"dropping-particle":"","family":"LaRussa","given":"Philip S.","non-dropping-particle":"","parse-names":false,"suffix":""},{"dropping-particle":"","family":"Garner","given":"Jenny","non-dropping-particle":"","parse-names":false,"suffix":""},{"dropping-particle":"","family":"Berger","given":"Melvin","non-dropping-particle":"","parse-names":false,"suffix":""},{"dropping-particle":"","family":"Proveaux","given":"Tina","non-dropping-particle":"","parse-names":false,"suffix":""},{"dropping-particle":"","family":"Vellozzi","given":"Claudia","non-dropping-particle":"","parse-names":false,"suffix":""},{"dropping-particle":"","family":"Broder","given":"Karen","non-dropping-particle":"","parse-names":false,"suffix":""},{"dropping-particle":"","family":"Setse","given":"Rosanna","non-dropping-particle":"","parse-names":false,"suffix":""},{"dropping-particle":"","family":"Pahud","given":"Barbara","non-dropping-particle":"","parse-names":false,"suffix":""},{"dropping-particle":"","family":"Hrncir","given":"David","non-dropping-particle":"","parse-names":false,"suffix":""},{"dropping-particle":"","family":"Choi","given":"Howard","non-dropping-particle":"","parse-names":false,"suffix":""},{"dropping-particle":"","family":"Sparks","given":"Robert","non-dropping-particle":"","parse-names":false,"suffix":""},{"dropping-particle":"","family":"Williams","given":"Sarah Elizabeth","non-dropping-particle":"","parse-names":false,"suffix":""},{"dropping-particle":"","family":"Engler","given":"Renata J.","non-dropping-particle":"","parse-names":false,"suffix":""},{"dropping-particle":"","family":"Gidudu","given":"Jane","non-dropping-particle":"","parse-names":false,"suffix":""},{"dropping-particle":"","family":"Baxter","given":"Roger","non-dropping-particle":"","parse-names":false,"suffix":""},{"dropping-particle":"","family":"Klein","given":"Nicola","non-dropping-particle":"","parse-names":false,"suffix":""},{"dropping-particle":"","family":"Edwards","given":"Kathryn","non-dropping-particle":"","parse-names":false,"suffix":""},{"dropping-particle":"","family":"Cano","given":"Maria","non-dropping-particle":"","parse-names":false,"suffix":""},{"dropping-particle":"","family":"Kelso","given":"John M.","non-dropping-particle":"","parse-names":false,"suffix":""}],"container-title":"Vaccine","id":"ITEM-1","issue":"51","issued":{"date-parts":[["2013"]]},"page":"6107-6112","title":"Immediate hypersensitivity reactions following monovalent 2009 pandemic influenza A (H1N1) vaccines: Reports to VAERS","type":"article-journal","volume":"31"},"uris":["http://www.mendeley.com/documents/?uuid=5af4ac4f-ab87-4891-a393-86f03dc0cddd"]}],"mendeley":{"formattedCitation":"(6)","plainTextFormattedCitation":"(6)","previouslyFormattedCitation":"(7)"},"properties":{"noteIndex":0},"schema":"https://github.com/citation-style-language/schema/raw/master/csl-citation.json"}</w:instrText>
      </w:r>
      <w:r w:rsidR="00C176FD">
        <w:rPr>
          <w:rFonts w:ascii="Arial" w:hAnsi="Arial" w:cs="Arial"/>
        </w:rPr>
        <w:fldChar w:fldCharType="separate"/>
      </w:r>
      <w:r w:rsidR="00BE60E2" w:rsidRPr="00BE60E2">
        <w:rPr>
          <w:rFonts w:ascii="Arial" w:hAnsi="Arial" w:cs="Arial"/>
          <w:noProof/>
        </w:rPr>
        <w:t>(6)</w:t>
      </w:r>
      <w:r w:rsidR="00C176FD">
        <w:rPr>
          <w:rFonts w:ascii="Arial" w:hAnsi="Arial" w:cs="Arial"/>
        </w:rPr>
        <w:fldChar w:fldCharType="end"/>
      </w:r>
      <w:r w:rsidR="00C176FD">
        <w:rPr>
          <w:rFonts w:ascii="Arial" w:hAnsi="Arial" w:cs="Arial"/>
        </w:rPr>
        <w:t xml:space="preserve">. </w:t>
      </w:r>
      <w:r w:rsidR="004964F9">
        <w:rPr>
          <w:rFonts w:ascii="Arial" w:hAnsi="Arial" w:cs="Arial"/>
        </w:rPr>
        <w:t>Such s</w:t>
      </w:r>
      <w:r w:rsidR="00C54F61">
        <w:rPr>
          <w:rFonts w:ascii="Arial" w:hAnsi="Arial" w:cs="Arial"/>
        </w:rPr>
        <w:t>ymptoms</w:t>
      </w:r>
      <w:r w:rsidR="006868AD">
        <w:rPr>
          <w:rFonts w:ascii="Arial" w:hAnsi="Arial" w:cs="Arial"/>
        </w:rPr>
        <w:t>, post-</w:t>
      </w:r>
      <w:r w:rsidR="00C54F61">
        <w:rPr>
          <w:rFonts w:ascii="Arial" w:hAnsi="Arial" w:cs="Arial"/>
        </w:rPr>
        <w:t>vaccination</w:t>
      </w:r>
      <w:r w:rsidR="004964F9">
        <w:rPr>
          <w:rFonts w:ascii="Arial" w:hAnsi="Arial" w:cs="Arial"/>
        </w:rPr>
        <w:t>,</w:t>
      </w:r>
      <w:r w:rsidR="00C54F61">
        <w:rPr>
          <w:rFonts w:ascii="Arial" w:hAnsi="Arial" w:cs="Arial"/>
        </w:rPr>
        <w:t xml:space="preserve"> may </w:t>
      </w:r>
      <w:r w:rsidR="006868AD">
        <w:rPr>
          <w:rFonts w:ascii="Arial" w:hAnsi="Arial" w:cs="Arial"/>
        </w:rPr>
        <w:t>occur</w:t>
      </w:r>
      <w:r w:rsidR="00495552">
        <w:rPr>
          <w:rFonts w:ascii="Arial" w:hAnsi="Arial" w:cs="Arial"/>
        </w:rPr>
        <w:t xml:space="preserve"> </w:t>
      </w:r>
      <w:r w:rsidR="004846FE">
        <w:rPr>
          <w:rFonts w:ascii="Arial" w:hAnsi="Arial" w:cs="Arial"/>
        </w:rPr>
        <w:t>through</w:t>
      </w:r>
      <w:r w:rsidR="00C54F61">
        <w:rPr>
          <w:rFonts w:ascii="Arial" w:hAnsi="Arial" w:cs="Arial"/>
        </w:rPr>
        <w:t xml:space="preserve"> IgE-mediated </w:t>
      </w:r>
      <w:r w:rsidR="001F5EAE">
        <w:rPr>
          <w:rFonts w:ascii="Arial" w:hAnsi="Arial" w:cs="Arial"/>
        </w:rPr>
        <w:t>or</w:t>
      </w:r>
      <w:r w:rsidR="006868AD">
        <w:rPr>
          <w:rFonts w:ascii="Arial" w:hAnsi="Arial" w:cs="Arial"/>
        </w:rPr>
        <w:t xml:space="preserve"> </w:t>
      </w:r>
      <w:r w:rsidR="001E68E6">
        <w:rPr>
          <w:rFonts w:ascii="Arial" w:hAnsi="Arial" w:cs="Arial"/>
        </w:rPr>
        <w:t>non-IgE-</w:t>
      </w:r>
      <w:r w:rsidR="004964F9">
        <w:rPr>
          <w:rFonts w:ascii="Arial" w:hAnsi="Arial" w:cs="Arial"/>
        </w:rPr>
        <w:t>mediated</w:t>
      </w:r>
      <w:r w:rsidR="006868AD">
        <w:rPr>
          <w:rFonts w:ascii="Arial" w:hAnsi="Arial" w:cs="Arial"/>
        </w:rPr>
        <w:t xml:space="preserve"> pathway</w:t>
      </w:r>
      <w:r w:rsidR="001F5EAE">
        <w:rPr>
          <w:rFonts w:ascii="Arial" w:hAnsi="Arial" w:cs="Arial"/>
        </w:rPr>
        <w:t>s</w:t>
      </w:r>
      <w:r w:rsidR="001B3623">
        <w:rPr>
          <w:rFonts w:ascii="Arial" w:hAnsi="Arial" w:cs="Arial"/>
        </w:rPr>
        <w:t>.</w:t>
      </w:r>
      <w:r w:rsidR="006868AD">
        <w:rPr>
          <w:rFonts w:ascii="Arial" w:hAnsi="Arial" w:cs="Arial"/>
        </w:rPr>
        <w:t xml:space="preserve"> </w:t>
      </w:r>
      <w:r w:rsidR="0073606A">
        <w:rPr>
          <w:rFonts w:ascii="Arial" w:hAnsi="Arial" w:cs="Arial"/>
        </w:rPr>
        <w:t>The distinc</w:t>
      </w:r>
      <w:r w:rsidR="001E68E6">
        <w:rPr>
          <w:rFonts w:ascii="Arial" w:hAnsi="Arial" w:cs="Arial"/>
        </w:rPr>
        <w:t>tion is important as whilst IgE-</w:t>
      </w:r>
      <w:r w:rsidR="0073606A">
        <w:rPr>
          <w:rFonts w:ascii="Arial" w:hAnsi="Arial" w:cs="Arial"/>
        </w:rPr>
        <w:t xml:space="preserve">mediated reactions would be a contraindication for a second dose of the same vaccine, this is not the case for </w:t>
      </w:r>
      <w:r w:rsidR="006868AD">
        <w:rPr>
          <w:rFonts w:ascii="Arial" w:hAnsi="Arial" w:cs="Arial"/>
        </w:rPr>
        <w:t>non-IgE mediated</w:t>
      </w:r>
      <w:r w:rsidR="00495552">
        <w:rPr>
          <w:rFonts w:ascii="Arial" w:hAnsi="Arial" w:cs="Arial"/>
        </w:rPr>
        <w:t xml:space="preserve"> responses</w:t>
      </w:r>
      <w:r w:rsidR="004846FE">
        <w:rPr>
          <w:rFonts w:ascii="Arial" w:hAnsi="Arial" w:cs="Arial"/>
        </w:rPr>
        <w:t>, such as those due to CSU/A</w:t>
      </w:r>
      <w:r w:rsidR="0073606A">
        <w:rPr>
          <w:rFonts w:ascii="Arial" w:hAnsi="Arial" w:cs="Arial"/>
        </w:rPr>
        <w:t>.</w:t>
      </w:r>
      <w:r w:rsidR="004846FE">
        <w:rPr>
          <w:rFonts w:ascii="Arial" w:hAnsi="Arial" w:cs="Arial"/>
        </w:rPr>
        <w:t xml:space="preserve"> D</w:t>
      </w:r>
      <w:r w:rsidR="001B3623">
        <w:rPr>
          <w:rFonts w:ascii="Arial" w:hAnsi="Arial" w:cs="Arial"/>
        </w:rPr>
        <w:t xml:space="preserve">iagnosis can </w:t>
      </w:r>
      <w:r w:rsidR="0073606A">
        <w:rPr>
          <w:rFonts w:ascii="Arial" w:hAnsi="Arial" w:cs="Arial"/>
        </w:rPr>
        <w:t>be challenging</w:t>
      </w:r>
      <w:r w:rsidR="00D1633F">
        <w:rPr>
          <w:rFonts w:ascii="Arial" w:hAnsi="Arial" w:cs="Arial"/>
        </w:rPr>
        <w:t>,</w:t>
      </w:r>
      <w:r w:rsidR="00AB067B" w:rsidRPr="001246A8">
        <w:rPr>
          <w:rFonts w:ascii="Arial" w:hAnsi="Arial" w:cs="Arial"/>
        </w:rPr>
        <w:t xml:space="preserve"> </w:t>
      </w:r>
      <w:r w:rsidR="00125BB8">
        <w:rPr>
          <w:rFonts w:ascii="Arial" w:hAnsi="Arial" w:cs="Arial"/>
        </w:rPr>
        <w:t xml:space="preserve">and this is </w:t>
      </w:r>
      <w:r w:rsidR="00AB511E" w:rsidRPr="001246A8">
        <w:rPr>
          <w:rFonts w:ascii="Arial" w:hAnsi="Arial" w:cs="Arial"/>
        </w:rPr>
        <w:t>compounded by a</w:t>
      </w:r>
      <w:r w:rsidR="00F00017" w:rsidRPr="001246A8">
        <w:rPr>
          <w:rFonts w:ascii="Arial" w:hAnsi="Arial" w:cs="Arial"/>
        </w:rPr>
        <w:t xml:space="preserve"> global</w:t>
      </w:r>
      <w:r w:rsidR="00AB511E" w:rsidRPr="001246A8">
        <w:rPr>
          <w:rFonts w:ascii="Arial" w:hAnsi="Arial" w:cs="Arial"/>
        </w:rPr>
        <w:t xml:space="preserve"> unmet </w:t>
      </w:r>
      <w:r w:rsidR="001F47E5">
        <w:rPr>
          <w:rFonts w:ascii="Arial" w:hAnsi="Arial" w:cs="Arial"/>
        </w:rPr>
        <w:t>demand</w:t>
      </w:r>
      <w:r w:rsidR="001F47E5" w:rsidRPr="001246A8">
        <w:rPr>
          <w:rFonts w:ascii="Arial" w:hAnsi="Arial" w:cs="Arial"/>
        </w:rPr>
        <w:t xml:space="preserve"> </w:t>
      </w:r>
      <w:r w:rsidR="00AB511E" w:rsidRPr="001246A8">
        <w:rPr>
          <w:rFonts w:ascii="Arial" w:hAnsi="Arial" w:cs="Arial"/>
        </w:rPr>
        <w:t>for allergy specialists</w:t>
      </w:r>
      <w:r w:rsidR="00282CDB">
        <w:rPr>
          <w:rFonts w:ascii="Arial" w:hAnsi="Arial" w:cs="Arial"/>
        </w:rPr>
        <w:t xml:space="preserve"> to support assessment</w:t>
      </w:r>
      <w:r w:rsidR="00AB067B" w:rsidRPr="001246A8">
        <w:rPr>
          <w:rFonts w:ascii="Arial" w:hAnsi="Arial" w:cs="Arial"/>
        </w:rPr>
        <w:t>, particularly in LICs and LMICs</w:t>
      </w:r>
      <w:r w:rsidR="00D1633F">
        <w:rPr>
          <w:rFonts w:ascii="Arial" w:hAnsi="Arial" w:cs="Arial"/>
        </w:rPr>
        <w:t xml:space="preserve">. </w:t>
      </w:r>
    </w:p>
    <w:p w14:paraId="0DD2779A" w14:textId="77777777" w:rsidR="002F01A6" w:rsidRDefault="002F01A6" w:rsidP="00984F55">
      <w:pPr>
        <w:rPr>
          <w:rFonts w:ascii="Arial" w:hAnsi="Arial" w:cs="Arial"/>
        </w:rPr>
      </w:pPr>
    </w:p>
    <w:p w14:paraId="519E31EE" w14:textId="5C605AC4" w:rsidR="00984F55" w:rsidRDefault="00001A99" w:rsidP="00984F55">
      <w:pPr>
        <w:rPr>
          <w:rFonts w:ascii="Arial" w:hAnsi="Arial" w:cs="Arial"/>
        </w:rPr>
      </w:pPr>
      <w:r>
        <w:rPr>
          <w:rFonts w:ascii="Arial" w:hAnsi="Arial" w:cs="Arial"/>
        </w:rPr>
        <w:t xml:space="preserve">Clinical experience suggests that vaccines are recognised </w:t>
      </w:r>
      <w:r w:rsidRPr="001246A8">
        <w:rPr>
          <w:rFonts w:ascii="Arial" w:hAnsi="Arial" w:cs="Arial"/>
        </w:rPr>
        <w:t>precipitant</w:t>
      </w:r>
      <w:r>
        <w:rPr>
          <w:rFonts w:ascii="Arial" w:hAnsi="Arial" w:cs="Arial"/>
        </w:rPr>
        <w:t>s</w:t>
      </w:r>
      <w:r w:rsidRPr="001246A8">
        <w:rPr>
          <w:rFonts w:ascii="Arial" w:hAnsi="Arial" w:cs="Arial"/>
        </w:rPr>
        <w:t xml:space="preserve"> of symptoms in CSU/A, </w:t>
      </w:r>
      <w:r>
        <w:rPr>
          <w:rFonts w:ascii="Arial" w:hAnsi="Arial" w:cs="Arial"/>
        </w:rPr>
        <w:t>al</w:t>
      </w:r>
      <w:r w:rsidRPr="001246A8">
        <w:rPr>
          <w:rFonts w:ascii="Arial" w:hAnsi="Arial" w:cs="Arial"/>
        </w:rPr>
        <w:t xml:space="preserve">though data in this area </w:t>
      </w:r>
      <w:r w:rsidR="002E3F79">
        <w:rPr>
          <w:rFonts w:ascii="Arial" w:hAnsi="Arial" w:cs="Arial"/>
        </w:rPr>
        <w:t>are</w:t>
      </w:r>
      <w:r w:rsidRPr="001246A8">
        <w:rPr>
          <w:rFonts w:ascii="Arial" w:hAnsi="Arial" w:cs="Arial"/>
        </w:rPr>
        <w:t xml:space="preserve"> sparse</w:t>
      </w:r>
      <w:r>
        <w:rPr>
          <w:rFonts w:ascii="Arial" w:hAnsi="Arial" w:cs="Arial"/>
        </w:rPr>
        <w:t>.</w:t>
      </w:r>
      <w:r w:rsidRPr="001246A8" w:rsidDel="004846FE">
        <w:rPr>
          <w:rFonts w:ascii="Arial" w:hAnsi="Arial" w:cs="Arial"/>
        </w:rPr>
        <w:t xml:space="preserve"> </w:t>
      </w:r>
      <w:r>
        <w:rPr>
          <w:rFonts w:ascii="Arial" w:hAnsi="Arial" w:cs="Arial"/>
        </w:rPr>
        <w:t xml:space="preserve">Magen et al recently reported a case series </w:t>
      </w:r>
      <w:r w:rsidR="006A2426">
        <w:rPr>
          <w:rFonts w:ascii="Arial" w:hAnsi="Arial" w:cs="Arial"/>
        </w:rPr>
        <w:t>regarding</w:t>
      </w:r>
      <w:r>
        <w:rPr>
          <w:rFonts w:ascii="Arial" w:hAnsi="Arial" w:cs="Arial"/>
        </w:rPr>
        <w:t xml:space="preserve"> </w:t>
      </w:r>
      <w:r w:rsidR="006A2426">
        <w:rPr>
          <w:rFonts w:ascii="Arial" w:hAnsi="Arial" w:cs="Arial"/>
        </w:rPr>
        <w:t xml:space="preserve">development of </w:t>
      </w:r>
      <w:r>
        <w:rPr>
          <w:rFonts w:ascii="Arial" w:hAnsi="Arial" w:cs="Arial"/>
        </w:rPr>
        <w:t xml:space="preserve">CSU following recent </w:t>
      </w:r>
      <w:r w:rsidR="00400F3C">
        <w:rPr>
          <w:rFonts w:ascii="Arial" w:hAnsi="Arial" w:cs="Arial"/>
        </w:rPr>
        <w:t xml:space="preserve">receipt of a range of vaccines, including: hepatitis B, human papilloma virus, influenza, yellow fever, and combination DTP, vaccines </w:t>
      </w:r>
      <w:r>
        <w:rPr>
          <w:rFonts w:ascii="Arial" w:hAnsi="Arial" w:cs="Arial"/>
        </w:rPr>
        <w:fldChar w:fldCharType="begin" w:fldLock="1"/>
      </w:r>
      <w:r>
        <w:rPr>
          <w:rFonts w:ascii="Arial" w:hAnsi="Arial" w:cs="Arial"/>
        </w:rPr>
        <w:instrText>ADDIN CSL_CITATION {"citationItems":[{"id":"ITEM-1","itemData":{"DOI":"10.21474/ijar01/6574","abstract":"Autoimmune/auto-inflammatory syndrome induced by adjuvants (Shoenfeld's syndrome) has been suggested for symptoms which appear following vaccination or exposure to several adjuvants. We hypothesized that CSU might be a part of Shoenfeld's syndrome following vaccination. We studied all 1197 cases of CSU to identify patients that had received vaccinations during the twelve weeks prior the first documentation of CSU symptoms and identified 14 eligible subjects who developed CSU with 12 weeks of vaccination. Dates of vaccinations, local and immediate adverse events, as well as clinical manifestations and their temporal relation to the vaccinations were collected. The Shoenfeld's syndrome criteria were applied to each patient. Eight of the 14 patients (57.1 %) were females. Three (21.4%) patients received HBV vaccine (all three patients received two doses at month 0 and 1 of HBV vaccine inoculations), 3 (21.4 %) received HPV vaccine (one dose), 4 (28.6 %) received influenza vaccine, 2 (14.3 %) received Yellow fever vaccine and 2 (14.3 %) received DTP vaccine. The mean latency period from last vaccination and onset of CSU symptoms was 8.4 days. Autologous serum skin test was positive in 9 (64.3 %) patients. Other clinical manifestations included postural intolerance, tension headaches, sleep disturbances, chronic fatigue, arthralgia, myalgia and irritable bowel disease. Anti-nuclear antibodies were positive in 6 (42.8 %) patients, 4 (28.5 %) tested positive for anti-SSA and anti SSB, 2 (14.3 %) patients for anti-RNP. Either anti-TPO or anti-thyroglobulin antibodies were detected in 10 (71.4 %) patients. This study suggests an association between vaccinations and CSU, as part of the Shoenfeld's syndrome. Further studies are needed to support our observation and to elucidate the pathogenesis of the syndrome.","author":[{"dropping-particle":"","family":"Magen","given":"Eli","non-dropping-particle":"","parse-names":false,"suffix":""},{"dropping-particle":"","family":"Shalom","given":"Gay","non-dropping-particle":"","parse-names":false,"suffix":""},{"dropping-particle":"","family":"Waitman","given":"Dan-Andrei","non-dropping-particle":"","parse-names":false,"suffix":""},{"dropping-particle":"","family":"Kahan","given":"Natan","non-dropping-particle":"","parse-names":false,"suffix":""}],"container-title":"International Journal of Advanced Research","id":"ITEM-1","issue":"2","issued":{"date-parts":[["2018"]]},"page":"1434-1439","title":"Chronic Spontaneous Urticaria Following Vaccination.","type":"article-journal","volume":"6"},"uris":["http://www.mendeley.com/documents/?uuid=99e813e3-736d-48a6-8da5-03c76a2fa312"]}],"mendeley":{"formattedCitation":"(7)","plainTextFormattedCitation":"(7)"},"properties":{"noteIndex":0},"schema":"https://github.com/citation-style-language/schema/raw/master/csl-citation.json"}</w:instrText>
      </w:r>
      <w:r>
        <w:rPr>
          <w:rFonts w:ascii="Arial" w:hAnsi="Arial" w:cs="Arial"/>
        </w:rPr>
        <w:fldChar w:fldCharType="separate"/>
      </w:r>
      <w:r w:rsidRPr="00BE60E2">
        <w:rPr>
          <w:rFonts w:ascii="Arial" w:hAnsi="Arial" w:cs="Arial"/>
          <w:noProof/>
        </w:rPr>
        <w:t>(7)</w:t>
      </w:r>
      <w:r>
        <w:rPr>
          <w:rFonts w:ascii="Arial" w:hAnsi="Arial" w:cs="Arial"/>
        </w:rPr>
        <w:fldChar w:fldCharType="end"/>
      </w:r>
      <w:r>
        <w:rPr>
          <w:rFonts w:ascii="Arial" w:hAnsi="Arial" w:cs="Arial"/>
        </w:rPr>
        <w:t>.</w:t>
      </w:r>
    </w:p>
    <w:p w14:paraId="14C21DA2" w14:textId="77777777" w:rsidR="004846FE" w:rsidRDefault="004846FE" w:rsidP="00984F55">
      <w:pPr>
        <w:rPr>
          <w:rFonts w:ascii="Arial" w:hAnsi="Arial" w:cs="Arial"/>
        </w:rPr>
      </w:pPr>
    </w:p>
    <w:p w14:paraId="1F0AB921" w14:textId="77870B42" w:rsidR="009C06AC" w:rsidRPr="004964F9" w:rsidRDefault="00001A99" w:rsidP="00984F55">
      <w:pPr>
        <w:rPr>
          <w:rFonts w:ascii="Arial" w:hAnsi="Arial" w:cs="Arial"/>
          <w:color w:val="1C1D1E"/>
          <w:shd w:val="clear" w:color="auto" w:fill="FFFFFF"/>
        </w:rPr>
      </w:pPr>
      <w:r>
        <w:rPr>
          <w:rFonts w:ascii="Arial" w:hAnsi="Arial" w:cs="Arial"/>
        </w:rPr>
        <w:t>T</w:t>
      </w:r>
      <w:r w:rsidR="0073606A" w:rsidRPr="00CC50F7">
        <w:rPr>
          <w:rFonts w:ascii="Arial" w:hAnsi="Arial" w:cs="Arial"/>
        </w:rPr>
        <w:t xml:space="preserve">he AWARE study </w:t>
      </w:r>
      <w:r w:rsidR="0073606A" w:rsidRPr="00C0102B">
        <w:rPr>
          <w:rFonts w:ascii="Arial" w:hAnsi="Arial" w:cs="Arial"/>
        </w:rPr>
        <w:t>(</w:t>
      </w:r>
      <w:r w:rsidR="0073606A" w:rsidRPr="005D6FB7">
        <w:rPr>
          <w:rFonts w:ascii="Arial" w:hAnsi="Arial" w:cs="Arial"/>
          <w:shd w:val="clear" w:color="auto" w:fill="FFFFFF"/>
        </w:rPr>
        <w:t>A World-wide Antihistamine-Refractory chronic urticaria patient Evaluation</w:t>
      </w:r>
      <w:r w:rsidR="0073606A" w:rsidRPr="00C0102B">
        <w:rPr>
          <w:rFonts w:ascii="Arial" w:hAnsi="Arial" w:cs="Arial"/>
        </w:rPr>
        <w:t xml:space="preserve">) </w:t>
      </w:r>
      <w:r w:rsidR="0073606A">
        <w:rPr>
          <w:rFonts w:ascii="Arial" w:hAnsi="Arial" w:cs="Arial"/>
        </w:rPr>
        <w:t xml:space="preserve">highlighted that </w:t>
      </w:r>
      <w:r w:rsidR="0073606A">
        <w:rPr>
          <w:rFonts w:ascii="Arial" w:hAnsi="Arial" w:cs="Arial"/>
          <w:color w:val="1C1D1E"/>
          <w:shd w:val="clear" w:color="auto" w:fill="FFFFFF"/>
        </w:rPr>
        <w:t xml:space="preserve">CSU/A is often under treated and associated with high healthcare use </w:t>
      </w:r>
      <w:r w:rsidR="0073606A">
        <w:rPr>
          <w:rFonts w:ascii="Arial" w:hAnsi="Arial" w:cs="Arial"/>
          <w:color w:val="1C1D1E"/>
          <w:shd w:val="clear" w:color="auto" w:fill="FFFFFF"/>
        </w:rPr>
        <w:fldChar w:fldCharType="begin" w:fldLock="1"/>
      </w:r>
      <w:r w:rsidR="00C176FD">
        <w:rPr>
          <w:rFonts w:ascii="Arial" w:hAnsi="Arial" w:cs="Arial"/>
          <w:color w:val="1C1D1E"/>
          <w:shd w:val="clear" w:color="auto" w:fill="FFFFFF"/>
        </w:rPr>
        <w:instrText>ADDIN CSL_CITATION {"citationItems":[{"id":"ITEM-1","itemData":{"ISSN":"1939-4551","author":[{"dropping-particle":"","family":"Maurer","given":"Marcus","non-dropping-particle":"","parse-names":false,"suffix":""},{"dropping-particle":"","family":"Houghton","given":"Katherine","non-dropping-particle":"","parse-names":false,"suffix":""},{"dropping-particle":"","family":"Costa","given":"Claudia","non-dropping-particle":"","parse-names":false,"suffix":""},{"dropping-particle":"","family":"Dabove","given":"F","non-dropping-particle":"","parse-names":false,"suffix":""},{"dropping-particle":"","family":"Ensina","given":"Luis Felipe","non-dropping-particle":"","parse-names":false,"suffix":""},{"dropping-particle":"","family":"Giménez-Arnau","given":"A","non-dropping-particle":"","parse-names":false,"suffix":""},{"dropping-particle":"","family":"Guillet","given":"Gérard","non-dropping-particle":"","parse-names":false,"suffix":""},{"dropping-particle":"","family":"Konstantinou","given":"George N","non-dropping-particle":"","parse-names":false,"suffix":""},{"dropping-particle":"","family":"Labrador-Horrillo","given":"Moises","non-dropping-particle":"","parse-names":false,"suffix":""},{"dropping-particle":"","family":"Lapeere","given":"Hilde","non-dropping-particle":"","parse-names":false,"suffix":""}],"container-title":"World Allergy Organization Journal","id":"ITEM-1","issue":"1","issued":{"date-parts":[["2018"]]},"page":"1-10","publisher":"Springer","title":"Differences in chronic spontaneous urticaria between Europe and Central/South America: results of the multi-center real world AWARE study","type":"article-journal","volume":"11"},"uris":["http://www.mendeley.com/documents/?uuid=f6b8fee1-d727-4768-ab98-2fa6212388eb"]}],"mendeley":{"formattedCitation":"(8)","plainTextFormattedCitation":"(8)","previouslyFormattedCitation":"(8)"},"properties":{"noteIndex":0},"schema":"https://github.com/citation-style-language/schema/raw/master/csl-citation.json"}</w:instrText>
      </w:r>
      <w:r w:rsidR="0073606A">
        <w:rPr>
          <w:rFonts w:ascii="Arial" w:hAnsi="Arial" w:cs="Arial"/>
          <w:color w:val="1C1D1E"/>
          <w:shd w:val="clear" w:color="auto" w:fill="FFFFFF"/>
        </w:rPr>
        <w:fldChar w:fldCharType="separate"/>
      </w:r>
      <w:r w:rsidR="00C176FD" w:rsidRPr="00C176FD">
        <w:rPr>
          <w:rFonts w:ascii="Arial" w:hAnsi="Arial" w:cs="Arial"/>
          <w:noProof/>
          <w:color w:val="1C1D1E"/>
          <w:shd w:val="clear" w:color="auto" w:fill="FFFFFF"/>
        </w:rPr>
        <w:t>(8)</w:t>
      </w:r>
      <w:r w:rsidR="0073606A">
        <w:rPr>
          <w:rFonts w:ascii="Arial" w:hAnsi="Arial" w:cs="Arial"/>
          <w:color w:val="1C1D1E"/>
          <w:shd w:val="clear" w:color="auto" w:fill="FFFFFF"/>
        </w:rPr>
        <w:fldChar w:fldCharType="end"/>
      </w:r>
      <w:r w:rsidR="0073606A">
        <w:rPr>
          <w:rFonts w:ascii="Arial" w:hAnsi="Arial" w:cs="Arial"/>
        </w:rPr>
        <w:t>.</w:t>
      </w:r>
      <w:r w:rsidR="0073606A" w:rsidRPr="00CC50F7">
        <w:rPr>
          <w:rFonts w:ascii="Arial" w:hAnsi="Arial" w:cs="Arial"/>
        </w:rPr>
        <w:t xml:space="preserve"> Importantly, the burden of CSU/A</w:t>
      </w:r>
      <w:r w:rsidR="001F5EAE">
        <w:rPr>
          <w:rFonts w:ascii="Arial" w:hAnsi="Arial" w:cs="Arial"/>
        </w:rPr>
        <w:t xml:space="preserve"> in this study was </w:t>
      </w:r>
      <w:r w:rsidR="0073606A" w:rsidRPr="00CC50F7">
        <w:rPr>
          <w:rFonts w:ascii="Arial" w:hAnsi="Arial" w:cs="Arial"/>
        </w:rPr>
        <w:t xml:space="preserve">significantly greater in </w:t>
      </w:r>
      <w:r w:rsidR="00BA48C8">
        <w:rPr>
          <w:rFonts w:ascii="Arial" w:hAnsi="Arial" w:cs="Arial"/>
        </w:rPr>
        <w:t>Central/South</w:t>
      </w:r>
      <w:r w:rsidR="0073606A" w:rsidRPr="00CC50F7">
        <w:rPr>
          <w:rFonts w:ascii="Arial" w:hAnsi="Arial" w:cs="Arial"/>
        </w:rPr>
        <w:t xml:space="preserve"> American</w:t>
      </w:r>
      <w:r w:rsidR="00BA48C8">
        <w:rPr>
          <w:rFonts w:ascii="Arial" w:hAnsi="Arial" w:cs="Arial"/>
        </w:rPr>
        <w:t xml:space="preserve"> </w:t>
      </w:r>
      <w:r w:rsidR="0073606A" w:rsidRPr="00CC50F7">
        <w:rPr>
          <w:rFonts w:ascii="Arial" w:hAnsi="Arial" w:cs="Arial"/>
        </w:rPr>
        <w:t>patients</w:t>
      </w:r>
      <w:r w:rsidR="00BA48C8">
        <w:rPr>
          <w:rFonts w:ascii="Arial" w:hAnsi="Arial" w:cs="Arial"/>
        </w:rPr>
        <w:t xml:space="preserve"> (compared to European)</w:t>
      </w:r>
      <w:r w:rsidR="0073606A" w:rsidRPr="00CC50F7">
        <w:rPr>
          <w:rFonts w:ascii="Arial" w:hAnsi="Arial" w:cs="Arial"/>
        </w:rPr>
        <w:t xml:space="preserve">, possibly due to </w:t>
      </w:r>
      <w:r w:rsidR="001E68E6">
        <w:rPr>
          <w:rFonts w:ascii="Arial" w:hAnsi="Arial" w:cs="Arial"/>
        </w:rPr>
        <w:t>weaker health service framework,</w:t>
      </w:r>
      <w:r w:rsidR="0073606A" w:rsidRPr="00CC50F7">
        <w:rPr>
          <w:rFonts w:ascii="Arial" w:hAnsi="Arial" w:cs="Arial"/>
        </w:rPr>
        <w:t xml:space="preserve"> lack of access to specialist care</w:t>
      </w:r>
      <w:r w:rsidR="0073606A">
        <w:rPr>
          <w:rFonts w:ascii="Arial" w:hAnsi="Arial" w:cs="Arial"/>
        </w:rPr>
        <w:t xml:space="preserve"> and treatments</w:t>
      </w:r>
      <w:r w:rsidR="0073606A" w:rsidRPr="00CC50F7">
        <w:rPr>
          <w:rFonts w:ascii="Arial" w:hAnsi="Arial" w:cs="Arial"/>
        </w:rPr>
        <w:t xml:space="preserve"> </w:t>
      </w:r>
      <w:r w:rsidR="0073606A">
        <w:rPr>
          <w:rFonts w:ascii="Arial" w:hAnsi="Arial" w:cs="Arial"/>
        </w:rPr>
        <w:t>(</w:t>
      </w:r>
      <w:r w:rsidR="0073606A" w:rsidRPr="00CC50F7">
        <w:rPr>
          <w:rFonts w:ascii="Arial" w:hAnsi="Arial" w:cs="Arial"/>
        </w:rPr>
        <w:t xml:space="preserve">particularly </w:t>
      </w:r>
      <w:r w:rsidR="0073606A">
        <w:rPr>
          <w:rFonts w:ascii="Arial" w:hAnsi="Arial" w:cs="Arial"/>
        </w:rPr>
        <w:t>omalizumab)</w:t>
      </w:r>
      <w:r w:rsidR="0073606A" w:rsidRPr="00CC50F7">
        <w:rPr>
          <w:rFonts w:ascii="Arial" w:hAnsi="Arial" w:cs="Arial"/>
        </w:rPr>
        <w:t>.  It is likely that there is a similar</w:t>
      </w:r>
      <w:r w:rsidR="0073606A">
        <w:rPr>
          <w:rFonts w:ascii="Arial" w:hAnsi="Arial" w:cs="Arial"/>
        </w:rPr>
        <w:t xml:space="preserve"> or a higher</w:t>
      </w:r>
      <w:r w:rsidR="0073606A" w:rsidRPr="00CC50F7">
        <w:rPr>
          <w:rFonts w:ascii="Arial" w:hAnsi="Arial" w:cs="Arial"/>
        </w:rPr>
        <w:t xml:space="preserve"> burden of uncontrolled disease i</w:t>
      </w:r>
      <w:r w:rsidR="001B3623">
        <w:rPr>
          <w:rFonts w:ascii="Arial" w:hAnsi="Arial" w:cs="Arial"/>
        </w:rPr>
        <w:t>n LICs/LMICs in Africa and Asia</w:t>
      </w:r>
      <w:r w:rsidR="0031597D">
        <w:rPr>
          <w:rFonts w:ascii="Arial" w:hAnsi="Arial" w:cs="Arial"/>
        </w:rPr>
        <w:fldChar w:fldCharType="begin" w:fldLock="1"/>
      </w:r>
      <w:r w:rsidR="00C176FD">
        <w:rPr>
          <w:rFonts w:ascii="Arial" w:hAnsi="Arial" w:cs="Arial"/>
        </w:rPr>
        <w:instrText>ADDIN CSL_CITATION {"citationItems":[{"id":"ITEM-1","itemData":{"DOI":"10.1016/j.mayocp.2020.12.024","ISSN":"00256196","abstract":"&lt;p&gt;The success of vaccination programs is contingent upon irrefutable scientific safety data combined with high rates of public acceptance and population coverage. Vaccine hesitancy, characterized by lack of confidence in vaccination and/or complacency about vaccination that may lead to delay or refusal to vaccinate despite the availability of services, threatens to undermine the success of COVID-19 vaccination programs. The rapid pace of vaccine development, misinformation in popular and social media, the polarized sociopolitical environment, and the inherent complexities of large-scale vaccination efforts may undermine vaccination confidence and increase complacency about COVID-19 vaccination. While the experience of recent lethal surges of COVID-19 infections have underscored the value of COVID-19 vaccines, ensuring population uptake of COVID-19 vaccination will require application of multi-level, evidence-based strategies to influence behavior change and address vaccine hesitancy. Recent survey research evaluating public attitudes in the U.S. toward the COVID-19 vaccine reveals substantial vaccine hesitancy. Building upon efforts at the policy and community level to ensure population access to COVID-19 vaccination, a strong healthcare system response is critical to address vaccine hesitancy. Drawing on the evidence base in social, behavioral, communication, and implementation science, we review, summarize and encourage use of interpersonal, individual-level, and organizational interventions within clinical organizations to address this critical gap and improve population adoption of COVID-19 vaccination.&lt;/p&gt;","author":[{"dropping-particle":"","family":"Finney Rutten","given":"Lila J.","non-dropping-particle":"","parse-names":false,"suffix":""},{"dropping-particle":"","family":"Zhu","given":"Xuan","non-dropping-particle":"","parse-names":false,"suffix":""},{"dropping-particle":"","family":"Leppin","given":"Aaron","non-dropping-particle":"","parse-names":false,"suffix":""},{"dropping-particle":"","family":"Ridgeway","given":"Jennifer L.","non-dropping-particle":"","parse-names":false,"suffix":""},{"dropping-particle":"","family":"Swift","given":"Melanie","non-dropping-particle":"","parse-names":false,"suffix":""},{"dropping-particle":"","family":"Griffin","given":"Joan M.","non-dropping-particle":"","parse-names":false,"suffix":""},{"dropping-particle":"","family":"St Sauver","given":"Jennifer L.","non-dropping-particle":"","parse-names":false,"suffix":""},{"dropping-particle":"","family":"Virk","given":"Abinash","non-dropping-particle":"","parse-names":false,"suffix":""},{"dropping-particle":"","family":"Jacobson","given":"Robert M.","non-dropping-particle":"","parse-names":false,"suffix":""}],"container-title":"Mayo Clinic Proceedings","id":"ITEM-1","issued":{"date-parts":[["2020"]]},"publisher":"Mayo Foundation for Medical Education and Research","title":"Evidence-Based Strategies for Clinical Organizations to Address COVID-19 Vaccine Hesitancy","type":"article-journal"},"uris":["http://www.mendeley.com/documents/?uuid=42de1925-0407-4e7d-b49e-56d880cf173f"]},{"id":"ITEM-2","itemData":{"ISSN":"1939-4551","author":[{"dropping-particle":"","family":"Maurer","given":"Marcus","non-dropping-particle":"","parse-names":false,"suffix":""},{"dropping-particle":"","family":"Houghton","given":"Katherine","non-dropping-particle":"","parse-names":false,"suffix":""},{"dropping-particle":"","family":"Costa","given":"Claudia","non-dropping-particle":"","parse-names":false,"suffix":""},{"dropping-particle":"","family":"Dabove","given":"F","non-dropping-particle":"","parse-names":false,"suffix":""},{"dropping-particle":"","family":"Ensina","given":"Luis Felipe","non-dropping-particle":"","parse-names":false,"suffix":""},{"dropping-particle":"","family":"Giménez-Arnau","given":"A","non-dropping-particle":"","parse-names":false,"suffix":""},{"dropping-particle":"","family":"Guillet","given":"Gérard","non-dropping-particle":"","parse-names":false,"suffix":""},{"dropping-particle":"","family":"Konstantinou","given":"George N","non-dropping-particle":"","parse-names":false,"suffix":""},{"dropping-particle":"","family":"Labrador-Horrillo","given":"Moises","non-dropping-particle":"","parse-names":false,"suffix":""},{"dropping-particle":"","family":"Lapeere","given":"Hilde","non-dropping-particle":"","parse-names":false,"suffix":""}],"container-title":"World Allergy Organization Journal","id":"ITEM-2","issue":"1","issued":{"date-parts":[["2018"]]},"page":"1-10","publisher":"Springer","title":"Differences in chronic spontaneous urticaria between Europe and Central/South America: results of the multi-center real world AWARE study","type":"article-journal","volume":"11"},"uris":["http://www.mendeley.com/documents/?uuid=f6b8fee1-d727-4768-ab98-2fa6212388eb"]}],"mendeley":{"formattedCitation":"(3,8)","plainTextFormattedCitation":"(3,8)","previouslyFormattedCitation":"(3,8)"},"properties":{"noteIndex":0},"schema":"https://github.com/citation-style-language/schema/raw/master/csl-citation.json"}</w:instrText>
      </w:r>
      <w:r w:rsidR="0031597D">
        <w:rPr>
          <w:rFonts w:ascii="Arial" w:hAnsi="Arial" w:cs="Arial"/>
        </w:rPr>
        <w:fldChar w:fldCharType="separate"/>
      </w:r>
      <w:r w:rsidR="00C176FD" w:rsidRPr="00C176FD">
        <w:rPr>
          <w:rFonts w:ascii="Arial" w:hAnsi="Arial" w:cs="Arial"/>
          <w:noProof/>
        </w:rPr>
        <w:t>(3,8)</w:t>
      </w:r>
      <w:r w:rsidR="0031597D">
        <w:rPr>
          <w:rFonts w:ascii="Arial" w:hAnsi="Arial" w:cs="Arial"/>
        </w:rPr>
        <w:fldChar w:fldCharType="end"/>
      </w:r>
      <w:r w:rsidR="001E68E6">
        <w:rPr>
          <w:rFonts w:ascii="Arial" w:hAnsi="Arial" w:cs="Arial"/>
        </w:rPr>
        <w:t>.</w:t>
      </w:r>
      <w:r w:rsidR="0073606A">
        <w:rPr>
          <w:rFonts w:ascii="Arial" w:hAnsi="Arial" w:cs="Arial"/>
        </w:rPr>
        <w:t xml:space="preserve"> This has important contextual relevance to the SARS-COV-2 vaccination program.</w:t>
      </w:r>
    </w:p>
    <w:p w14:paraId="796CDE35" w14:textId="77777777" w:rsidR="009C06AC" w:rsidRDefault="009C06AC" w:rsidP="00984F55">
      <w:pPr>
        <w:rPr>
          <w:rFonts w:ascii="Arial" w:hAnsi="Arial" w:cs="Arial"/>
        </w:rPr>
      </w:pPr>
    </w:p>
    <w:p w14:paraId="703B2200" w14:textId="3DF4B906" w:rsidR="007A4943" w:rsidRDefault="006A6D80" w:rsidP="004A0212">
      <w:pPr>
        <w:rPr>
          <w:rFonts w:ascii="Arial" w:hAnsi="Arial" w:cs="Arial"/>
        </w:rPr>
      </w:pPr>
      <w:r>
        <w:rPr>
          <w:rFonts w:ascii="Arial" w:hAnsi="Arial" w:cs="Arial"/>
        </w:rPr>
        <w:t>Hence, t</w:t>
      </w:r>
      <w:r w:rsidR="00603A42">
        <w:rPr>
          <w:rFonts w:ascii="Arial" w:hAnsi="Arial" w:cs="Arial"/>
        </w:rPr>
        <w:t xml:space="preserve">here is a clear need for a </w:t>
      </w:r>
      <w:r w:rsidR="001F47E5">
        <w:rPr>
          <w:rFonts w:ascii="Arial" w:hAnsi="Arial" w:cs="Arial"/>
        </w:rPr>
        <w:t>proactive</w:t>
      </w:r>
      <w:r w:rsidR="00967A33" w:rsidRPr="00603A42">
        <w:rPr>
          <w:rFonts w:ascii="Arial" w:hAnsi="Arial" w:cs="Arial"/>
        </w:rPr>
        <w:t xml:space="preserve"> </w:t>
      </w:r>
      <w:r w:rsidR="00603A42">
        <w:rPr>
          <w:rFonts w:ascii="Arial" w:hAnsi="Arial" w:cs="Arial"/>
        </w:rPr>
        <w:t>approach</w:t>
      </w:r>
      <w:r w:rsidR="00603A42" w:rsidRPr="00603A42">
        <w:rPr>
          <w:rFonts w:ascii="Arial" w:hAnsi="Arial" w:cs="Arial"/>
        </w:rPr>
        <w:t xml:space="preserve"> </w:t>
      </w:r>
      <w:r w:rsidR="001B3623">
        <w:rPr>
          <w:rFonts w:ascii="Arial" w:hAnsi="Arial" w:cs="Arial"/>
        </w:rPr>
        <w:t>for</w:t>
      </w:r>
      <w:r w:rsidR="00FB3E7D" w:rsidRPr="00603A42">
        <w:rPr>
          <w:rFonts w:ascii="Arial" w:hAnsi="Arial" w:cs="Arial"/>
        </w:rPr>
        <w:t xml:space="preserve"> </w:t>
      </w:r>
      <w:r>
        <w:rPr>
          <w:rFonts w:ascii="Arial" w:hAnsi="Arial" w:cs="Arial"/>
        </w:rPr>
        <w:t xml:space="preserve">CSU/A </w:t>
      </w:r>
      <w:r w:rsidR="001B3623">
        <w:rPr>
          <w:rFonts w:ascii="Arial" w:hAnsi="Arial" w:cs="Arial"/>
        </w:rPr>
        <w:t>during the</w:t>
      </w:r>
      <w:r>
        <w:rPr>
          <w:rFonts w:ascii="Arial" w:hAnsi="Arial" w:cs="Arial"/>
        </w:rPr>
        <w:t xml:space="preserve"> </w:t>
      </w:r>
      <w:r w:rsidR="00FB3E7D" w:rsidRPr="00603A42">
        <w:rPr>
          <w:rFonts w:ascii="Arial" w:hAnsi="Arial" w:cs="Arial"/>
        </w:rPr>
        <w:t xml:space="preserve">SARS-COV-2 vaccination program. </w:t>
      </w:r>
      <w:r w:rsidR="00FA5634">
        <w:rPr>
          <w:rFonts w:ascii="Arial" w:hAnsi="Arial" w:cs="Arial"/>
        </w:rPr>
        <w:t>A</w:t>
      </w:r>
      <w:r w:rsidR="00984F55" w:rsidRPr="00603A42">
        <w:rPr>
          <w:rFonts w:ascii="Arial" w:hAnsi="Arial" w:cs="Arial"/>
        </w:rPr>
        <w:t xml:space="preserve"> proportion of </w:t>
      </w:r>
      <w:r w:rsidR="001F47E5">
        <w:rPr>
          <w:rFonts w:ascii="Arial" w:hAnsi="Arial" w:cs="Arial"/>
        </w:rPr>
        <w:t xml:space="preserve">CSU/A </w:t>
      </w:r>
      <w:r w:rsidR="00984F55" w:rsidRPr="00603A42">
        <w:rPr>
          <w:rFonts w:ascii="Arial" w:hAnsi="Arial" w:cs="Arial"/>
        </w:rPr>
        <w:t xml:space="preserve">patients </w:t>
      </w:r>
      <w:r w:rsidR="00D1633F">
        <w:rPr>
          <w:rFonts w:ascii="Arial" w:hAnsi="Arial" w:cs="Arial"/>
        </w:rPr>
        <w:t xml:space="preserve">can </w:t>
      </w:r>
      <w:r w:rsidR="00FA5634" w:rsidRPr="00603A42">
        <w:rPr>
          <w:rFonts w:ascii="Arial" w:hAnsi="Arial" w:cs="Arial"/>
        </w:rPr>
        <w:t xml:space="preserve">be expected </w:t>
      </w:r>
      <w:r w:rsidR="001B3623">
        <w:rPr>
          <w:rFonts w:ascii="Arial" w:hAnsi="Arial" w:cs="Arial"/>
        </w:rPr>
        <w:t xml:space="preserve">to experience </w:t>
      </w:r>
      <w:r w:rsidR="001F47E5">
        <w:rPr>
          <w:rFonts w:ascii="Arial" w:hAnsi="Arial" w:cs="Arial"/>
        </w:rPr>
        <w:t>wors</w:t>
      </w:r>
      <w:r w:rsidR="001B3623">
        <w:rPr>
          <w:rFonts w:ascii="Arial" w:hAnsi="Arial" w:cs="Arial"/>
        </w:rPr>
        <w:t>en</w:t>
      </w:r>
      <w:r w:rsidR="001F47E5">
        <w:rPr>
          <w:rFonts w:ascii="Arial" w:hAnsi="Arial" w:cs="Arial"/>
        </w:rPr>
        <w:t>e</w:t>
      </w:r>
      <w:r w:rsidR="001B3623">
        <w:rPr>
          <w:rFonts w:ascii="Arial" w:hAnsi="Arial" w:cs="Arial"/>
        </w:rPr>
        <w:t>d</w:t>
      </w:r>
      <w:r w:rsidR="001F47E5">
        <w:rPr>
          <w:rFonts w:ascii="Arial" w:hAnsi="Arial" w:cs="Arial"/>
        </w:rPr>
        <w:t xml:space="preserve"> </w:t>
      </w:r>
      <w:r w:rsidR="00427511" w:rsidRPr="00603A42">
        <w:rPr>
          <w:rFonts w:ascii="Arial" w:hAnsi="Arial" w:cs="Arial"/>
        </w:rPr>
        <w:t>symptoms</w:t>
      </w:r>
      <w:r w:rsidR="001B3623">
        <w:rPr>
          <w:rFonts w:ascii="Arial" w:hAnsi="Arial" w:cs="Arial"/>
        </w:rPr>
        <w:t xml:space="preserve"> in associatio</w:t>
      </w:r>
      <w:r w:rsidR="001E68E6">
        <w:rPr>
          <w:rFonts w:ascii="Arial" w:hAnsi="Arial" w:cs="Arial"/>
        </w:rPr>
        <w:t>n with recent SARS-COV-2 vaccination</w:t>
      </w:r>
      <w:r w:rsidR="001B3623">
        <w:rPr>
          <w:rFonts w:ascii="Arial" w:hAnsi="Arial" w:cs="Arial"/>
        </w:rPr>
        <w:t>, which</w:t>
      </w:r>
      <w:r w:rsidR="000805BF">
        <w:rPr>
          <w:rFonts w:ascii="Arial" w:hAnsi="Arial" w:cs="Arial"/>
        </w:rPr>
        <w:t xml:space="preserve"> </w:t>
      </w:r>
      <w:r w:rsidR="007A4943">
        <w:rPr>
          <w:rFonts w:ascii="Arial" w:hAnsi="Arial" w:cs="Arial"/>
        </w:rPr>
        <w:t xml:space="preserve">may </w:t>
      </w:r>
      <w:r w:rsidR="00FA5634">
        <w:rPr>
          <w:rFonts w:ascii="Arial" w:hAnsi="Arial" w:cs="Arial"/>
        </w:rPr>
        <w:t xml:space="preserve">be easily misinterpreted as </w:t>
      </w:r>
      <w:r w:rsidR="00E50BB4">
        <w:rPr>
          <w:rFonts w:ascii="Arial" w:hAnsi="Arial" w:cs="Arial"/>
        </w:rPr>
        <w:t>‘vaccine allergy’</w:t>
      </w:r>
      <w:r w:rsidR="00FA5634">
        <w:rPr>
          <w:rFonts w:ascii="Arial" w:hAnsi="Arial" w:cs="Arial"/>
        </w:rPr>
        <w:t>.</w:t>
      </w:r>
      <w:r w:rsidR="00984F55" w:rsidRPr="00603A42">
        <w:rPr>
          <w:rFonts w:ascii="Arial" w:hAnsi="Arial" w:cs="Arial"/>
        </w:rPr>
        <w:t xml:space="preserve"> </w:t>
      </w:r>
      <w:r w:rsidR="000805BF">
        <w:rPr>
          <w:rFonts w:ascii="Arial" w:hAnsi="Arial" w:cs="Arial"/>
        </w:rPr>
        <w:t>G</w:t>
      </w:r>
      <w:r w:rsidR="00603A42">
        <w:rPr>
          <w:rFonts w:ascii="Arial" w:hAnsi="Arial" w:cs="Arial"/>
        </w:rPr>
        <w:t>iven the</w:t>
      </w:r>
      <w:r w:rsidR="00984F55" w:rsidRPr="00EF59FD">
        <w:rPr>
          <w:rFonts w:ascii="Arial" w:hAnsi="Arial" w:cs="Arial"/>
        </w:rPr>
        <w:t xml:space="preserve"> </w:t>
      </w:r>
      <w:r w:rsidR="00967A33" w:rsidRPr="00EF59FD">
        <w:rPr>
          <w:rFonts w:ascii="Arial" w:hAnsi="Arial" w:cs="Arial"/>
        </w:rPr>
        <w:t>relatively</w:t>
      </w:r>
      <w:r w:rsidR="00984F55" w:rsidRPr="00EF59FD">
        <w:rPr>
          <w:rFonts w:ascii="Arial" w:hAnsi="Arial" w:cs="Arial"/>
        </w:rPr>
        <w:t xml:space="preserve"> high </w:t>
      </w:r>
      <w:r w:rsidR="00967A33" w:rsidRPr="00EF59FD">
        <w:rPr>
          <w:rFonts w:ascii="Arial" w:hAnsi="Arial" w:cs="Arial"/>
        </w:rPr>
        <w:t xml:space="preserve">prevalence </w:t>
      </w:r>
      <w:r w:rsidR="00984F55" w:rsidRPr="00EF59FD">
        <w:rPr>
          <w:rFonts w:ascii="Arial" w:hAnsi="Arial" w:cs="Arial"/>
        </w:rPr>
        <w:t xml:space="preserve">of </w:t>
      </w:r>
      <w:r w:rsidR="00603A42">
        <w:rPr>
          <w:rFonts w:ascii="Arial" w:hAnsi="Arial" w:cs="Arial"/>
        </w:rPr>
        <w:t>CSU/A</w:t>
      </w:r>
      <w:r w:rsidR="00984F55" w:rsidRPr="00EF59FD">
        <w:rPr>
          <w:rFonts w:ascii="Arial" w:hAnsi="Arial" w:cs="Arial"/>
        </w:rPr>
        <w:t xml:space="preserve">, </w:t>
      </w:r>
      <w:r w:rsidR="000805BF">
        <w:rPr>
          <w:rFonts w:ascii="Arial" w:hAnsi="Arial" w:cs="Arial"/>
        </w:rPr>
        <w:t>burden</w:t>
      </w:r>
      <w:r w:rsidR="00984F55" w:rsidRPr="00EF59FD">
        <w:rPr>
          <w:rFonts w:ascii="Arial" w:hAnsi="Arial" w:cs="Arial"/>
        </w:rPr>
        <w:t xml:space="preserve"> is likely to be significant</w:t>
      </w:r>
      <w:r w:rsidR="00FA5634">
        <w:rPr>
          <w:rFonts w:ascii="Arial" w:hAnsi="Arial" w:cs="Arial"/>
        </w:rPr>
        <w:t xml:space="preserve">. </w:t>
      </w:r>
      <w:r w:rsidR="00963F60">
        <w:rPr>
          <w:rFonts w:ascii="Arial" w:hAnsi="Arial" w:cs="Arial"/>
        </w:rPr>
        <w:t>Table</w:t>
      </w:r>
      <w:r w:rsidR="00252CD5">
        <w:rPr>
          <w:rFonts w:ascii="Arial" w:hAnsi="Arial" w:cs="Arial"/>
        </w:rPr>
        <w:t>-</w:t>
      </w:r>
      <w:r w:rsidR="00963F60">
        <w:rPr>
          <w:rFonts w:ascii="Arial" w:hAnsi="Arial" w:cs="Arial"/>
        </w:rPr>
        <w:t>1 provides projections of absolute patient numbers experiencing flares of CSU</w:t>
      </w:r>
      <w:r w:rsidR="00252CD5">
        <w:rPr>
          <w:rFonts w:ascii="Arial" w:hAnsi="Arial" w:cs="Arial"/>
        </w:rPr>
        <w:t>/A</w:t>
      </w:r>
      <w:r w:rsidR="00963F60">
        <w:rPr>
          <w:rFonts w:ascii="Arial" w:hAnsi="Arial" w:cs="Arial"/>
        </w:rPr>
        <w:t xml:space="preserve"> symptoms. </w:t>
      </w:r>
    </w:p>
    <w:p w14:paraId="7C8FA5AC" w14:textId="77777777" w:rsidR="007A4943" w:rsidRDefault="007A4943" w:rsidP="004A0212">
      <w:pPr>
        <w:rPr>
          <w:rFonts w:ascii="Arial" w:hAnsi="Arial" w:cs="Arial"/>
        </w:rPr>
      </w:pPr>
    </w:p>
    <w:p w14:paraId="7B97DB3A" w14:textId="6E0E2147" w:rsidR="004A0212" w:rsidRDefault="000805BF" w:rsidP="004A0212">
      <w:pPr>
        <w:rPr>
          <w:rFonts w:ascii="Arial" w:hAnsi="Arial" w:cs="Arial"/>
        </w:rPr>
      </w:pPr>
      <w:r>
        <w:rPr>
          <w:rFonts w:ascii="Arial" w:hAnsi="Arial" w:cs="Arial"/>
        </w:rPr>
        <w:t>Without intervention, the i</w:t>
      </w:r>
      <w:r w:rsidR="00963F60">
        <w:rPr>
          <w:rFonts w:ascii="Arial" w:hAnsi="Arial" w:cs="Arial"/>
        </w:rPr>
        <w:t xml:space="preserve">mpact is likely to be multifactorial. </w:t>
      </w:r>
      <w:r w:rsidR="00984F55" w:rsidRPr="00EF59FD">
        <w:rPr>
          <w:rFonts w:ascii="Arial" w:hAnsi="Arial" w:cs="Arial"/>
        </w:rPr>
        <w:t>Incorrect</w:t>
      </w:r>
      <w:r w:rsidR="00427511" w:rsidRPr="00EF59FD">
        <w:rPr>
          <w:rFonts w:ascii="Arial" w:hAnsi="Arial" w:cs="Arial"/>
        </w:rPr>
        <w:t>ly</w:t>
      </w:r>
      <w:r w:rsidR="00984F55" w:rsidRPr="00EF59FD">
        <w:rPr>
          <w:rFonts w:ascii="Arial" w:hAnsi="Arial" w:cs="Arial"/>
        </w:rPr>
        <w:t xml:space="preserve"> labelling such patients as</w:t>
      </w:r>
      <w:r w:rsidR="00603A42">
        <w:rPr>
          <w:rFonts w:ascii="Arial" w:hAnsi="Arial" w:cs="Arial"/>
        </w:rPr>
        <w:t xml:space="preserve"> </w:t>
      </w:r>
      <w:r w:rsidR="00967A33" w:rsidRPr="00EF59FD">
        <w:rPr>
          <w:rFonts w:ascii="Arial" w:hAnsi="Arial" w:cs="Arial"/>
        </w:rPr>
        <w:t>’</w:t>
      </w:r>
      <w:r w:rsidR="00984F55" w:rsidRPr="00EF59FD">
        <w:rPr>
          <w:rFonts w:ascii="Arial" w:hAnsi="Arial" w:cs="Arial"/>
        </w:rPr>
        <w:t xml:space="preserve">vaccine </w:t>
      </w:r>
      <w:r>
        <w:rPr>
          <w:rFonts w:ascii="Arial" w:hAnsi="Arial" w:cs="Arial"/>
        </w:rPr>
        <w:t>allergic’</w:t>
      </w:r>
      <w:r w:rsidR="00984F55" w:rsidRPr="00EF59FD">
        <w:rPr>
          <w:rFonts w:ascii="Arial" w:hAnsi="Arial" w:cs="Arial"/>
        </w:rPr>
        <w:t xml:space="preserve"> </w:t>
      </w:r>
      <w:r>
        <w:rPr>
          <w:rFonts w:ascii="Arial" w:hAnsi="Arial" w:cs="Arial"/>
        </w:rPr>
        <w:t>will</w:t>
      </w:r>
      <w:r w:rsidR="00984F55" w:rsidRPr="00EF59FD">
        <w:rPr>
          <w:rFonts w:ascii="Arial" w:hAnsi="Arial" w:cs="Arial"/>
        </w:rPr>
        <w:t xml:space="preserve"> have </w:t>
      </w:r>
      <w:r w:rsidR="00967A33" w:rsidRPr="00EF59FD">
        <w:rPr>
          <w:rFonts w:ascii="Arial" w:hAnsi="Arial" w:cs="Arial"/>
        </w:rPr>
        <w:t xml:space="preserve">detrimental </w:t>
      </w:r>
      <w:r w:rsidR="00984F55" w:rsidRPr="00603A42">
        <w:rPr>
          <w:rFonts w:ascii="Arial" w:hAnsi="Arial" w:cs="Arial"/>
        </w:rPr>
        <w:t xml:space="preserve">consequences </w:t>
      </w:r>
      <w:r>
        <w:rPr>
          <w:rFonts w:ascii="Arial" w:hAnsi="Arial" w:cs="Arial"/>
        </w:rPr>
        <w:t xml:space="preserve">on SARS-COV-2 immunity </w:t>
      </w:r>
      <w:r w:rsidR="00984F55" w:rsidRPr="00603A42">
        <w:rPr>
          <w:rFonts w:ascii="Arial" w:hAnsi="Arial" w:cs="Arial"/>
        </w:rPr>
        <w:t xml:space="preserve">both </w:t>
      </w:r>
      <w:r w:rsidR="00967A33" w:rsidRPr="00603A42">
        <w:rPr>
          <w:rFonts w:ascii="Arial" w:hAnsi="Arial" w:cs="Arial"/>
        </w:rPr>
        <w:t xml:space="preserve">at patient </w:t>
      </w:r>
      <w:r>
        <w:rPr>
          <w:rFonts w:ascii="Arial" w:hAnsi="Arial" w:cs="Arial"/>
        </w:rPr>
        <w:t xml:space="preserve">and population </w:t>
      </w:r>
      <w:r w:rsidR="00984F55" w:rsidRPr="00603A42">
        <w:rPr>
          <w:rFonts w:ascii="Arial" w:hAnsi="Arial" w:cs="Arial"/>
        </w:rPr>
        <w:t>level</w:t>
      </w:r>
      <w:r>
        <w:rPr>
          <w:rFonts w:ascii="Arial" w:hAnsi="Arial" w:cs="Arial"/>
        </w:rPr>
        <w:t>s</w:t>
      </w:r>
      <w:r w:rsidR="00984F55" w:rsidRPr="00603A42">
        <w:rPr>
          <w:rFonts w:ascii="Arial" w:hAnsi="Arial" w:cs="Arial"/>
        </w:rPr>
        <w:t xml:space="preserve">. </w:t>
      </w:r>
      <w:r w:rsidR="00EA2273">
        <w:rPr>
          <w:rFonts w:ascii="Arial" w:hAnsi="Arial" w:cs="Arial"/>
        </w:rPr>
        <w:t>V</w:t>
      </w:r>
      <w:r w:rsidR="005904B4">
        <w:rPr>
          <w:rFonts w:ascii="Arial" w:hAnsi="Arial" w:cs="Arial"/>
        </w:rPr>
        <w:t>accine safety surveillance data</w:t>
      </w:r>
      <w:r w:rsidR="00EA2273">
        <w:rPr>
          <w:rFonts w:ascii="Arial" w:hAnsi="Arial" w:cs="Arial"/>
        </w:rPr>
        <w:t xml:space="preserve"> may </w:t>
      </w:r>
      <w:r>
        <w:rPr>
          <w:rFonts w:ascii="Arial" w:hAnsi="Arial" w:cs="Arial"/>
        </w:rPr>
        <w:t>exagger</w:t>
      </w:r>
      <w:r w:rsidR="001E68E6">
        <w:rPr>
          <w:rFonts w:ascii="Arial" w:hAnsi="Arial" w:cs="Arial"/>
        </w:rPr>
        <w:t>at</w:t>
      </w:r>
      <w:r w:rsidR="00EA2273">
        <w:rPr>
          <w:rFonts w:ascii="Arial" w:hAnsi="Arial" w:cs="Arial"/>
        </w:rPr>
        <w:t>e</w:t>
      </w:r>
      <w:r w:rsidR="001E68E6">
        <w:rPr>
          <w:rFonts w:ascii="Arial" w:hAnsi="Arial" w:cs="Arial"/>
        </w:rPr>
        <w:t xml:space="preserve"> the perceived risk of IgE-</w:t>
      </w:r>
      <w:r>
        <w:rPr>
          <w:rFonts w:ascii="Arial" w:hAnsi="Arial" w:cs="Arial"/>
        </w:rPr>
        <w:t>mediated reactions</w:t>
      </w:r>
      <w:r w:rsidR="005904B4">
        <w:rPr>
          <w:rFonts w:ascii="Arial" w:hAnsi="Arial" w:cs="Arial"/>
        </w:rPr>
        <w:t xml:space="preserve">. </w:t>
      </w:r>
      <w:r w:rsidR="007F27DD">
        <w:rPr>
          <w:rFonts w:ascii="Arial" w:hAnsi="Arial" w:cs="Arial"/>
        </w:rPr>
        <w:t>Furthermore</w:t>
      </w:r>
      <w:r w:rsidR="00963F60">
        <w:rPr>
          <w:rFonts w:ascii="Arial" w:hAnsi="Arial" w:cs="Arial"/>
        </w:rPr>
        <w:t xml:space="preserve">, </w:t>
      </w:r>
      <w:r w:rsidR="00984F55" w:rsidRPr="00603A42">
        <w:rPr>
          <w:rFonts w:ascii="Arial" w:hAnsi="Arial" w:cs="Arial"/>
        </w:rPr>
        <w:t xml:space="preserve">the treatment of urticaria/angioedema </w:t>
      </w:r>
      <w:r w:rsidR="00031FF8" w:rsidRPr="00603A42">
        <w:rPr>
          <w:rFonts w:ascii="Arial" w:hAnsi="Arial" w:cs="Arial"/>
        </w:rPr>
        <w:t xml:space="preserve">flares </w:t>
      </w:r>
      <w:r w:rsidR="00196189">
        <w:rPr>
          <w:rFonts w:ascii="Arial" w:hAnsi="Arial" w:cs="Arial"/>
        </w:rPr>
        <w:t>may require</w:t>
      </w:r>
      <w:r w:rsidR="00771039">
        <w:rPr>
          <w:rFonts w:ascii="Arial" w:hAnsi="Arial" w:cs="Arial"/>
        </w:rPr>
        <w:t xml:space="preserve"> a short course of</w:t>
      </w:r>
      <w:r w:rsidR="00771039" w:rsidRPr="00603A42">
        <w:rPr>
          <w:rFonts w:ascii="Arial" w:hAnsi="Arial" w:cs="Arial"/>
        </w:rPr>
        <w:t xml:space="preserve"> </w:t>
      </w:r>
      <w:r w:rsidR="00984F55" w:rsidRPr="00603A42">
        <w:rPr>
          <w:rFonts w:ascii="Arial" w:hAnsi="Arial" w:cs="Arial"/>
        </w:rPr>
        <w:t>corticosteroid</w:t>
      </w:r>
      <w:r w:rsidR="00963F60">
        <w:rPr>
          <w:rFonts w:ascii="Arial" w:hAnsi="Arial" w:cs="Arial"/>
        </w:rPr>
        <w:t>s</w:t>
      </w:r>
      <w:r w:rsidR="00031FF8">
        <w:rPr>
          <w:rFonts w:ascii="Arial" w:hAnsi="Arial" w:cs="Arial"/>
        </w:rPr>
        <w:t xml:space="preserve">, which </w:t>
      </w:r>
      <w:r w:rsidR="002F01A6">
        <w:rPr>
          <w:rFonts w:ascii="Arial" w:hAnsi="Arial" w:cs="Arial"/>
        </w:rPr>
        <w:t xml:space="preserve">may </w:t>
      </w:r>
      <w:r w:rsidR="00031FF8">
        <w:rPr>
          <w:rFonts w:ascii="Arial" w:hAnsi="Arial" w:cs="Arial"/>
        </w:rPr>
        <w:t>potential</w:t>
      </w:r>
      <w:r w:rsidR="002F01A6">
        <w:rPr>
          <w:rFonts w:ascii="Arial" w:hAnsi="Arial" w:cs="Arial"/>
        </w:rPr>
        <w:t>ly</w:t>
      </w:r>
      <w:r w:rsidR="00031FF8">
        <w:rPr>
          <w:rFonts w:ascii="Arial" w:hAnsi="Arial" w:cs="Arial"/>
        </w:rPr>
        <w:t xml:space="preserve"> interfere</w:t>
      </w:r>
      <w:r w:rsidR="00EA2273">
        <w:rPr>
          <w:rFonts w:ascii="Arial" w:hAnsi="Arial" w:cs="Arial"/>
        </w:rPr>
        <w:t xml:space="preserve"> with humoral </w:t>
      </w:r>
      <w:r w:rsidR="002F01A6">
        <w:rPr>
          <w:rFonts w:ascii="Arial" w:hAnsi="Arial" w:cs="Arial"/>
        </w:rPr>
        <w:t>immune response to vaccination</w:t>
      </w:r>
      <w:r w:rsidR="00031FF8">
        <w:rPr>
          <w:rFonts w:ascii="Arial" w:hAnsi="Arial" w:cs="Arial"/>
        </w:rPr>
        <w:t xml:space="preserve">. Whilst data for CSU/A </w:t>
      </w:r>
      <w:r w:rsidR="00155EDB">
        <w:rPr>
          <w:rFonts w:ascii="Arial" w:hAnsi="Arial" w:cs="Arial"/>
        </w:rPr>
        <w:t>are</w:t>
      </w:r>
      <w:r w:rsidR="00031FF8">
        <w:rPr>
          <w:rFonts w:ascii="Arial" w:hAnsi="Arial" w:cs="Arial"/>
        </w:rPr>
        <w:t xml:space="preserve"> unavailable, &gt;10mg</w:t>
      </w:r>
      <w:r w:rsidR="00155EDB">
        <w:rPr>
          <w:rFonts w:ascii="Arial" w:hAnsi="Arial" w:cs="Arial"/>
        </w:rPr>
        <w:t>/day</w:t>
      </w:r>
      <w:r w:rsidR="00031FF8">
        <w:rPr>
          <w:rFonts w:ascii="Arial" w:hAnsi="Arial" w:cs="Arial"/>
        </w:rPr>
        <w:t xml:space="preserve"> prednisolone</w:t>
      </w:r>
      <w:r w:rsidR="002F01A6">
        <w:rPr>
          <w:rFonts w:ascii="Arial" w:hAnsi="Arial" w:cs="Arial"/>
        </w:rPr>
        <w:t xml:space="preserve"> (medium-long term treatment) </w:t>
      </w:r>
      <w:r w:rsidR="00031FF8">
        <w:rPr>
          <w:rFonts w:ascii="Arial" w:hAnsi="Arial" w:cs="Arial"/>
        </w:rPr>
        <w:t>for rheumatological conditions</w:t>
      </w:r>
      <w:r w:rsidR="00BE60E2">
        <w:rPr>
          <w:rFonts w:ascii="Arial" w:hAnsi="Arial" w:cs="Arial"/>
        </w:rPr>
        <w:t xml:space="preserve"> </w:t>
      </w:r>
      <w:r w:rsidR="00155EDB">
        <w:rPr>
          <w:rFonts w:ascii="Arial" w:hAnsi="Arial" w:cs="Arial"/>
        </w:rPr>
        <w:t>was</w:t>
      </w:r>
      <w:r w:rsidR="00031FF8">
        <w:rPr>
          <w:rFonts w:ascii="Arial" w:hAnsi="Arial" w:cs="Arial"/>
        </w:rPr>
        <w:t xml:space="preserve"> found to have a</w:t>
      </w:r>
      <w:r w:rsidR="00143210">
        <w:rPr>
          <w:rFonts w:ascii="Arial" w:hAnsi="Arial" w:cs="Arial"/>
        </w:rPr>
        <w:t xml:space="preserve"> measurable </w:t>
      </w:r>
      <w:r w:rsidR="00100B7C">
        <w:rPr>
          <w:rFonts w:ascii="Arial" w:hAnsi="Arial" w:cs="Arial"/>
        </w:rPr>
        <w:t>impact on</w:t>
      </w:r>
      <w:r w:rsidR="00143210">
        <w:rPr>
          <w:rFonts w:ascii="Arial" w:hAnsi="Arial" w:cs="Arial"/>
        </w:rPr>
        <w:t xml:space="preserve"> humoral imm</w:t>
      </w:r>
      <w:r w:rsidR="00EA2273">
        <w:rPr>
          <w:rFonts w:ascii="Arial" w:hAnsi="Arial" w:cs="Arial"/>
        </w:rPr>
        <w:t>une response</w:t>
      </w:r>
      <w:r w:rsidR="00143210">
        <w:rPr>
          <w:rFonts w:ascii="Arial" w:hAnsi="Arial" w:cs="Arial"/>
        </w:rPr>
        <w:t xml:space="preserve"> to SARS-COV</w:t>
      </w:r>
      <w:r w:rsidR="00155EDB">
        <w:rPr>
          <w:rFonts w:ascii="Arial" w:hAnsi="Arial" w:cs="Arial"/>
        </w:rPr>
        <w:t>-</w:t>
      </w:r>
      <w:r w:rsidR="00143210">
        <w:rPr>
          <w:rFonts w:ascii="Arial" w:hAnsi="Arial" w:cs="Arial"/>
        </w:rPr>
        <w:t>2 vaccines</w:t>
      </w:r>
      <w:r w:rsidR="00143210">
        <w:rPr>
          <w:rFonts w:ascii="Arial" w:hAnsi="Arial" w:cs="Arial"/>
        </w:rPr>
        <w:fldChar w:fldCharType="begin" w:fldLock="1"/>
      </w:r>
      <w:r w:rsidR="00BE60E2">
        <w:rPr>
          <w:rFonts w:ascii="Arial" w:hAnsi="Arial" w:cs="Arial"/>
        </w:rPr>
        <w:instrText>ADDIN CSL_CITATION {"citationItems":[{"id":"ITEM-1","itemData":{"DOI":"10.1093/rheumatology/keab223","ISSN":"1462-0324","PMID":"33710296","abstract":"The coronavirus disease 2019 (COVID-19) vaccination will be the largest vaccination programme in the history of the NHS. Patients on immunosuppressive therapy will be among the earliest to be vaccinated. Some evidence indicates immunosuppressive therapy inhibits humoral response to the influenza, pneumococcal and hepatitis B vaccines. The degree to which this will translate to impaired COVID-19 vaccine responses is unclear. Other evidence suggests withholding MTX for 2 weeks post-vaccination may improve responses. Rituximab has been shown to impair humoral responses for 6 months or longer post-administration. Decisions on withholding or interrupting immunosuppressive therapy around COVID-19 vaccination will need to be made prior to the availability of data on specific COVID-19 vaccine response in these patients. With this in mind, this article outlines the existing data on the effect of antirheumatic therapy on vaccine responses in patients with inflammatory arthritis and formulates a possible pragmatic management strategy for COVID-19 vaccination.","author":[{"dropping-particle":"","family":"Arnold","given":"Jack","non-dropping-particle":"","parse-names":false,"suffix":""},{"dropping-particle":"","family":"Winthrop","given":"Kevin","non-dropping-particle":"","parse-names":false,"suffix":""},{"dropping-particle":"","family":"Emery","given":"Paul","non-dropping-particle":"","parse-names":false,"suffix":""}],"container-title":"Rheumatology","id":"ITEM-1","issue":"March","issued":{"date-parts":[["2021"]]},"page":"1-7","title":"COVID-19 vaccination and antirheumatic therapy","type":"article-journal"},"uris":["http://www.mendeley.com/documents/?uuid=6bfb278d-2e45-49e1-8d04-8aebe8b4b5af"]}],"mendeley":{"formattedCitation":"(9)","plainTextFormattedCitation":"(9)","previouslyFormattedCitation":"(9)"},"properties":{"noteIndex":0},"schema":"https://github.com/citation-style-language/schema/raw/master/csl-citation.json"}</w:instrText>
      </w:r>
      <w:r w:rsidR="00143210">
        <w:rPr>
          <w:rFonts w:ascii="Arial" w:hAnsi="Arial" w:cs="Arial"/>
        </w:rPr>
        <w:fldChar w:fldCharType="separate"/>
      </w:r>
      <w:r w:rsidR="00143210" w:rsidRPr="00143210">
        <w:rPr>
          <w:rFonts w:ascii="Arial" w:hAnsi="Arial" w:cs="Arial"/>
          <w:noProof/>
        </w:rPr>
        <w:t>(9)</w:t>
      </w:r>
      <w:r w:rsidR="00143210">
        <w:rPr>
          <w:rFonts w:ascii="Arial" w:hAnsi="Arial" w:cs="Arial"/>
        </w:rPr>
        <w:fldChar w:fldCharType="end"/>
      </w:r>
      <w:r w:rsidR="00984F55" w:rsidRPr="00603A42">
        <w:rPr>
          <w:rFonts w:ascii="Arial" w:hAnsi="Arial" w:cs="Arial"/>
        </w:rPr>
        <w:t xml:space="preserve">. </w:t>
      </w:r>
      <w:r w:rsidR="004A0212" w:rsidRPr="00603A42">
        <w:rPr>
          <w:rFonts w:ascii="Arial" w:hAnsi="Arial" w:cs="Arial"/>
        </w:rPr>
        <w:t>Antihistamines</w:t>
      </w:r>
      <w:r w:rsidR="004A0212">
        <w:rPr>
          <w:rFonts w:ascii="Arial" w:hAnsi="Arial" w:cs="Arial"/>
        </w:rPr>
        <w:t>, however,</w:t>
      </w:r>
      <w:r w:rsidR="004A0212" w:rsidRPr="00603A42">
        <w:rPr>
          <w:rFonts w:ascii="Arial" w:hAnsi="Arial" w:cs="Arial"/>
        </w:rPr>
        <w:t xml:space="preserve"> are well established, safe and relatively inexpensive therapy used both as prophylaxis and for the management of </w:t>
      </w:r>
      <w:r w:rsidR="004A0212">
        <w:rPr>
          <w:rFonts w:ascii="Arial" w:hAnsi="Arial" w:cs="Arial"/>
        </w:rPr>
        <w:t>acute</w:t>
      </w:r>
      <w:r w:rsidR="004A0212" w:rsidRPr="00603A42">
        <w:rPr>
          <w:rFonts w:ascii="Arial" w:hAnsi="Arial" w:cs="Arial"/>
        </w:rPr>
        <w:t xml:space="preserve"> flares in CSU/A patients. </w:t>
      </w:r>
      <w:r w:rsidR="000D2B0B">
        <w:rPr>
          <w:rFonts w:ascii="Arial" w:hAnsi="Arial" w:cs="Arial"/>
        </w:rPr>
        <w:t>Some reports suggest a potential protective anti-COVID effect from antihistamines, but to date, there are no data to suggest antihistamines reduce</w:t>
      </w:r>
      <w:r w:rsidR="004A0212" w:rsidRPr="00603A42">
        <w:rPr>
          <w:rFonts w:ascii="Arial" w:hAnsi="Arial" w:cs="Arial"/>
        </w:rPr>
        <w:t xml:space="preserve"> immunogenicity of SARS-COV-2 </w:t>
      </w:r>
      <w:r w:rsidR="004A0212">
        <w:rPr>
          <w:rFonts w:ascii="Arial" w:hAnsi="Arial" w:cs="Arial"/>
        </w:rPr>
        <w:t>vaccination</w:t>
      </w:r>
      <w:r w:rsidR="004A0212" w:rsidRPr="00603A42">
        <w:rPr>
          <w:rFonts w:ascii="Arial" w:hAnsi="Arial" w:cs="Arial"/>
        </w:rPr>
        <w:t xml:space="preserve">. </w:t>
      </w:r>
    </w:p>
    <w:p w14:paraId="5646988D" w14:textId="6B9CAD19" w:rsidR="0058579A" w:rsidRDefault="0058579A">
      <w:pPr>
        <w:rPr>
          <w:rFonts w:ascii="Arial" w:hAnsi="Arial" w:cs="Arial"/>
        </w:rPr>
      </w:pPr>
    </w:p>
    <w:p w14:paraId="553D0E27" w14:textId="1B55012F" w:rsidR="0058579A" w:rsidRDefault="00230BA1" w:rsidP="0058579A">
      <w:pPr>
        <w:rPr>
          <w:rFonts w:ascii="Arial" w:hAnsi="Arial" w:cs="Arial"/>
        </w:rPr>
      </w:pPr>
      <w:r>
        <w:rPr>
          <w:rFonts w:ascii="Arial" w:hAnsi="Arial" w:cs="Arial"/>
        </w:rPr>
        <w:t xml:space="preserve">There </w:t>
      </w:r>
      <w:r w:rsidR="000D2B0B">
        <w:rPr>
          <w:rFonts w:ascii="Arial" w:hAnsi="Arial" w:cs="Arial"/>
        </w:rPr>
        <w:t xml:space="preserve">are </w:t>
      </w:r>
      <w:r>
        <w:rPr>
          <w:rFonts w:ascii="Arial" w:hAnsi="Arial" w:cs="Arial"/>
        </w:rPr>
        <w:t>currently no d</w:t>
      </w:r>
      <w:r w:rsidR="00D1633F" w:rsidRPr="00603A42">
        <w:rPr>
          <w:rFonts w:ascii="Arial" w:hAnsi="Arial" w:cs="Arial"/>
        </w:rPr>
        <w:t xml:space="preserve">ata </w:t>
      </w:r>
      <w:r w:rsidR="00D1633F">
        <w:rPr>
          <w:rFonts w:ascii="Arial" w:hAnsi="Arial" w:cs="Arial"/>
        </w:rPr>
        <w:t xml:space="preserve">regarding </w:t>
      </w:r>
      <w:r>
        <w:rPr>
          <w:rFonts w:ascii="Arial" w:hAnsi="Arial" w:cs="Arial"/>
        </w:rPr>
        <w:t xml:space="preserve">the risk of </w:t>
      </w:r>
      <w:r w:rsidR="00D1633F" w:rsidRPr="00603A42">
        <w:rPr>
          <w:rFonts w:ascii="Arial" w:hAnsi="Arial" w:cs="Arial"/>
        </w:rPr>
        <w:t>CSU/A</w:t>
      </w:r>
      <w:r w:rsidR="00D1633F">
        <w:rPr>
          <w:rFonts w:ascii="Arial" w:hAnsi="Arial" w:cs="Arial"/>
        </w:rPr>
        <w:t xml:space="preserve"> exacerbation </w:t>
      </w:r>
      <w:r w:rsidR="00D1633F" w:rsidRPr="00603A42">
        <w:rPr>
          <w:rFonts w:ascii="Arial" w:hAnsi="Arial" w:cs="Arial"/>
        </w:rPr>
        <w:t>and SARS-COV-2 vaccination</w:t>
      </w:r>
      <w:r w:rsidR="00D1633F">
        <w:rPr>
          <w:rFonts w:ascii="Arial" w:hAnsi="Arial" w:cs="Arial"/>
        </w:rPr>
        <w:t xml:space="preserve">. </w:t>
      </w:r>
      <w:r w:rsidR="000D2B0B">
        <w:rPr>
          <w:rFonts w:ascii="Arial" w:hAnsi="Arial" w:cs="Arial"/>
        </w:rPr>
        <w:t>However, in view of the importance of this issue, we</w:t>
      </w:r>
      <w:r w:rsidR="0058579A">
        <w:rPr>
          <w:rFonts w:ascii="Arial" w:hAnsi="Arial" w:cs="Arial"/>
        </w:rPr>
        <w:t xml:space="preserve"> propose</w:t>
      </w:r>
      <w:r w:rsidR="005904B4">
        <w:rPr>
          <w:rFonts w:ascii="Arial" w:hAnsi="Arial" w:cs="Arial"/>
        </w:rPr>
        <w:t xml:space="preserve"> the following pragmatic </w:t>
      </w:r>
      <w:r w:rsidR="009F548A">
        <w:rPr>
          <w:rFonts w:ascii="Arial" w:hAnsi="Arial" w:cs="Arial"/>
        </w:rPr>
        <w:t xml:space="preserve">advice </w:t>
      </w:r>
      <w:r w:rsidR="005904B4">
        <w:rPr>
          <w:rFonts w:ascii="Arial" w:hAnsi="Arial" w:cs="Arial"/>
        </w:rPr>
        <w:t xml:space="preserve">for CSU/A patients, which the authors have previously employed to </w:t>
      </w:r>
      <w:r w:rsidR="000805BF">
        <w:rPr>
          <w:rFonts w:ascii="Arial" w:hAnsi="Arial" w:cs="Arial"/>
        </w:rPr>
        <w:t>abrogate</w:t>
      </w:r>
      <w:r w:rsidR="005904B4">
        <w:rPr>
          <w:rFonts w:ascii="Arial" w:hAnsi="Arial" w:cs="Arial"/>
        </w:rPr>
        <w:t xml:space="preserve"> symptom flares in settings </w:t>
      </w:r>
      <w:r w:rsidR="00BB27E6">
        <w:rPr>
          <w:rFonts w:ascii="Arial" w:hAnsi="Arial" w:cs="Arial"/>
        </w:rPr>
        <w:t xml:space="preserve">such </w:t>
      </w:r>
      <w:r w:rsidR="005904B4">
        <w:rPr>
          <w:rFonts w:ascii="Arial" w:hAnsi="Arial" w:cs="Arial"/>
        </w:rPr>
        <w:t xml:space="preserve">as </w:t>
      </w:r>
      <w:r w:rsidR="000805BF">
        <w:rPr>
          <w:rFonts w:ascii="Arial" w:hAnsi="Arial" w:cs="Arial"/>
        </w:rPr>
        <w:t xml:space="preserve">intercurrent </w:t>
      </w:r>
      <w:r w:rsidR="005904B4">
        <w:rPr>
          <w:rFonts w:ascii="Arial" w:hAnsi="Arial" w:cs="Arial"/>
        </w:rPr>
        <w:t xml:space="preserve">infection, </w:t>
      </w:r>
      <w:r w:rsidR="005904B4" w:rsidRPr="00EF59FD">
        <w:rPr>
          <w:rFonts w:ascii="Arial" w:hAnsi="Arial" w:cs="Arial"/>
        </w:rPr>
        <w:t>surgic</w:t>
      </w:r>
      <w:r w:rsidR="005904B4">
        <w:rPr>
          <w:rFonts w:ascii="Arial" w:hAnsi="Arial" w:cs="Arial"/>
        </w:rPr>
        <w:t>al procedures and</w:t>
      </w:r>
      <w:r w:rsidR="005904B4" w:rsidRPr="00EF59FD">
        <w:rPr>
          <w:rFonts w:ascii="Arial" w:hAnsi="Arial" w:cs="Arial"/>
        </w:rPr>
        <w:t xml:space="preserve"> allergen-specific immunotherapy (desensitisation)</w:t>
      </w:r>
      <w:r w:rsidR="0058579A">
        <w:rPr>
          <w:rFonts w:ascii="Arial" w:hAnsi="Arial" w:cs="Arial"/>
        </w:rPr>
        <w:t>:</w:t>
      </w:r>
    </w:p>
    <w:p w14:paraId="7C976D00" w14:textId="77777777" w:rsidR="000805BF" w:rsidRDefault="000805BF" w:rsidP="0058579A">
      <w:pPr>
        <w:rPr>
          <w:rFonts w:ascii="Arial" w:hAnsi="Arial" w:cs="Arial"/>
        </w:rPr>
      </w:pPr>
    </w:p>
    <w:p w14:paraId="2254D56C" w14:textId="660328A2" w:rsidR="0058579A" w:rsidRDefault="000805BF" w:rsidP="0058579A">
      <w:pPr>
        <w:pStyle w:val="ListParagraph"/>
        <w:numPr>
          <w:ilvl w:val="0"/>
          <w:numId w:val="2"/>
        </w:numPr>
        <w:rPr>
          <w:rFonts w:ascii="Arial" w:hAnsi="Arial" w:cs="Arial"/>
        </w:rPr>
      </w:pPr>
      <w:r>
        <w:rPr>
          <w:rFonts w:ascii="Arial" w:hAnsi="Arial" w:cs="Arial"/>
        </w:rPr>
        <w:t xml:space="preserve">A diagnosis of </w:t>
      </w:r>
      <w:r w:rsidR="0058579A">
        <w:rPr>
          <w:rFonts w:ascii="Arial" w:hAnsi="Arial" w:cs="Arial"/>
        </w:rPr>
        <w:t xml:space="preserve">CSU/A does not increase the risk of an </w:t>
      </w:r>
      <w:r w:rsidR="001E68E6">
        <w:rPr>
          <w:rFonts w:ascii="Arial" w:hAnsi="Arial" w:cs="Arial"/>
        </w:rPr>
        <w:t>IgE-</w:t>
      </w:r>
      <w:r>
        <w:rPr>
          <w:rFonts w:ascii="Arial" w:hAnsi="Arial" w:cs="Arial"/>
        </w:rPr>
        <w:t>mediated</w:t>
      </w:r>
      <w:r w:rsidR="0058579A">
        <w:rPr>
          <w:rFonts w:ascii="Arial" w:hAnsi="Arial" w:cs="Arial"/>
        </w:rPr>
        <w:t xml:space="preserve"> reaction to </w:t>
      </w:r>
      <w:r w:rsidR="0058579A" w:rsidRPr="00603A42">
        <w:rPr>
          <w:rFonts w:ascii="Arial" w:hAnsi="Arial" w:cs="Arial"/>
        </w:rPr>
        <w:t>SARS-COV-2</w:t>
      </w:r>
      <w:r w:rsidR="0058579A">
        <w:rPr>
          <w:rFonts w:ascii="Arial" w:hAnsi="Arial" w:cs="Arial"/>
        </w:rPr>
        <w:t xml:space="preserve"> vaccination.</w:t>
      </w:r>
    </w:p>
    <w:p w14:paraId="2B8C4F40" w14:textId="12FF5930" w:rsidR="0058579A" w:rsidRDefault="000805BF" w:rsidP="0058579A">
      <w:pPr>
        <w:pStyle w:val="ListParagraph"/>
        <w:numPr>
          <w:ilvl w:val="0"/>
          <w:numId w:val="2"/>
        </w:numPr>
        <w:rPr>
          <w:rFonts w:ascii="Arial" w:hAnsi="Arial" w:cs="Arial"/>
        </w:rPr>
      </w:pPr>
      <w:r>
        <w:rPr>
          <w:rFonts w:ascii="Arial" w:hAnsi="Arial" w:cs="Arial"/>
        </w:rPr>
        <w:t>V</w:t>
      </w:r>
      <w:r w:rsidR="0058579A">
        <w:rPr>
          <w:rFonts w:ascii="Arial" w:hAnsi="Arial" w:cs="Arial"/>
        </w:rPr>
        <w:t xml:space="preserve">accination may cause a flare </w:t>
      </w:r>
      <w:r w:rsidR="009E0DB7">
        <w:rPr>
          <w:rFonts w:ascii="Arial" w:hAnsi="Arial" w:cs="Arial"/>
        </w:rPr>
        <w:t xml:space="preserve">of </w:t>
      </w:r>
      <w:r w:rsidR="0058579A">
        <w:rPr>
          <w:rFonts w:ascii="Arial" w:hAnsi="Arial" w:cs="Arial"/>
        </w:rPr>
        <w:t xml:space="preserve">CSU/A, which may be confused with </w:t>
      </w:r>
      <w:r w:rsidR="00252CD5">
        <w:rPr>
          <w:rFonts w:ascii="Arial" w:hAnsi="Arial" w:cs="Arial"/>
        </w:rPr>
        <w:t>‘vaccine allergy’</w:t>
      </w:r>
      <w:r w:rsidR="0058579A">
        <w:rPr>
          <w:rFonts w:ascii="Arial" w:hAnsi="Arial" w:cs="Arial"/>
        </w:rPr>
        <w:t>.</w:t>
      </w:r>
    </w:p>
    <w:p w14:paraId="003D2956" w14:textId="0C46DF63" w:rsidR="005904B4" w:rsidRDefault="00883021" w:rsidP="005904B4">
      <w:pPr>
        <w:pStyle w:val="ListParagraph"/>
        <w:numPr>
          <w:ilvl w:val="0"/>
          <w:numId w:val="2"/>
        </w:numPr>
        <w:rPr>
          <w:rFonts w:ascii="Arial" w:hAnsi="Arial" w:cs="Arial"/>
        </w:rPr>
      </w:pPr>
      <w:r>
        <w:rPr>
          <w:rFonts w:ascii="Arial" w:hAnsi="Arial" w:cs="Arial"/>
        </w:rPr>
        <w:t>R</w:t>
      </w:r>
      <w:r w:rsidR="000805BF">
        <w:rPr>
          <w:rFonts w:ascii="Arial" w:hAnsi="Arial" w:cs="Arial"/>
        </w:rPr>
        <w:t xml:space="preserve">ecommend regular </w:t>
      </w:r>
      <w:r w:rsidR="0058579A" w:rsidRPr="005904B4">
        <w:rPr>
          <w:rFonts w:ascii="Arial" w:hAnsi="Arial" w:cs="Arial"/>
        </w:rPr>
        <w:t>antihistamines for 2 days prior</w:t>
      </w:r>
      <w:r w:rsidR="005904B4" w:rsidRPr="005904B4">
        <w:rPr>
          <w:rFonts w:ascii="Arial" w:hAnsi="Arial" w:cs="Arial"/>
        </w:rPr>
        <w:t xml:space="preserve"> and after</w:t>
      </w:r>
      <w:r w:rsidR="0058579A" w:rsidRPr="005904B4">
        <w:rPr>
          <w:rFonts w:ascii="Arial" w:hAnsi="Arial" w:cs="Arial"/>
        </w:rPr>
        <w:t xml:space="preserve"> receiving the vaccine</w:t>
      </w:r>
      <w:r w:rsidR="000805BF">
        <w:rPr>
          <w:rFonts w:ascii="Arial" w:hAnsi="Arial" w:cs="Arial"/>
        </w:rPr>
        <w:t xml:space="preserve"> in patients with CSU/A</w:t>
      </w:r>
      <w:r w:rsidR="0058579A" w:rsidRPr="005904B4">
        <w:rPr>
          <w:rFonts w:ascii="Arial" w:hAnsi="Arial" w:cs="Arial"/>
        </w:rPr>
        <w:t xml:space="preserve">. Patients on long-term antihistamines may be advised to increase their usual dose for </w:t>
      </w:r>
      <w:r w:rsidR="005904B4">
        <w:rPr>
          <w:rFonts w:ascii="Arial" w:hAnsi="Arial" w:cs="Arial"/>
        </w:rPr>
        <w:t>this period</w:t>
      </w:r>
      <w:r w:rsidR="000805BF">
        <w:rPr>
          <w:rFonts w:ascii="Arial" w:hAnsi="Arial" w:cs="Arial"/>
        </w:rPr>
        <w:t xml:space="preserve"> (under clinical supervision)</w:t>
      </w:r>
      <w:r w:rsidR="005904B4">
        <w:rPr>
          <w:rFonts w:ascii="Arial" w:hAnsi="Arial" w:cs="Arial"/>
        </w:rPr>
        <w:t xml:space="preserve">. </w:t>
      </w:r>
    </w:p>
    <w:p w14:paraId="2591ACCA" w14:textId="77777777" w:rsidR="005904B4" w:rsidRPr="005904B4" w:rsidRDefault="005904B4" w:rsidP="005904B4">
      <w:pPr>
        <w:pStyle w:val="ListParagraph"/>
        <w:rPr>
          <w:rFonts w:ascii="Arial" w:hAnsi="Arial" w:cs="Arial"/>
        </w:rPr>
      </w:pPr>
    </w:p>
    <w:p w14:paraId="17BAFD62" w14:textId="149FF241" w:rsidR="00984F55" w:rsidRDefault="005904B4" w:rsidP="00984F55">
      <w:pPr>
        <w:rPr>
          <w:rFonts w:ascii="Arial" w:hAnsi="Arial" w:cs="Arial"/>
        </w:rPr>
      </w:pPr>
      <w:r>
        <w:rPr>
          <w:rFonts w:ascii="Arial" w:hAnsi="Arial" w:cs="Arial"/>
        </w:rPr>
        <w:t>Th</w:t>
      </w:r>
      <w:r w:rsidR="000805BF">
        <w:rPr>
          <w:rFonts w:ascii="Arial" w:hAnsi="Arial" w:cs="Arial"/>
        </w:rPr>
        <w:t>is should be combined with advic</w:t>
      </w:r>
      <w:r>
        <w:rPr>
          <w:rFonts w:ascii="Arial" w:hAnsi="Arial" w:cs="Arial"/>
        </w:rPr>
        <w:t xml:space="preserve">e to </w:t>
      </w:r>
      <w:r w:rsidR="00EF59FD">
        <w:rPr>
          <w:rFonts w:ascii="Arial" w:hAnsi="Arial" w:cs="Arial"/>
        </w:rPr>
        <w:t xml:space="preserve">clinicians managing patients in </w:t>
      </w:r>
      <w:r>
        <w:rPr>
          <w:rFonts w:ascii="Arial" w:hAnsi="Arial" w:cs="Arial"/>
        </w:rPr>
        <w:t>acute and</w:t>
      </w:r>
      <w:r w:rsidR="00EF59FD">
        <w:rPr>
          <w:rFonts w:ascii="Arial" w:hAnsi="Arial" w:cs="Arial"/>
        </w:rPr>
        <w:t xml:space="preserve"> emergency </w:t>
      </w:r>
      <w:r>
        <w:rPr>
          <w:rFonts w:ascii="Arial" w:hAnsi="Arial" w:cs="Arial"/>
        </w:rPr>
        <w:t>setting to</w:t>
      </w:r>
      <w:r w:rsidR="00EF59FD">
        <w:rPr>
          <w:rFonts w:ascii="Arial" w:hAnsi="Arial" w:cs="Arial"/>
        </w:rPr>
        <w:t xml:space="preserve"> </w:t>
      </w:r>
      <w:r>
        <w:rPr>
          <w:rFonts w:ascii="Arial" w:hAnsi="Arial" w:cs="Arial"/>
        </w:rPr>
        <w:t>avoid</w:t>
      </w:r>
      <w:r w:rsidR="00EF59FD">
        <w:rPr>
          <w:rFonts w:ascii="Arial" w:hAnsi="Arial" w:cs="Arial"/>
        </w:rPr>
        <w:t xml:space="preserve"> prescribing corticosteroids for acute urticaria and/or angioedema, unless there is clear objective evidence for anaphylaxis</w:t>
      </w:r>
      <w:r w:rsidR="00166973">
        <w:rPr>
          <w:rFonts w:ascii="Arial" w:hAnsi="Arial" w:cs="Arial"/>
        </w:rPr>
        <w:t xml:space="preserve"> or </w:t>
      </w:r>
      <w:r w:rsidR="0031696D">
        <w:rPr>
          <w:rFonts w:ascii="Arial" w:hAnsi="Arial" w:cs="Arial"/>
        </w:rPr>
        <w:t>for a severe flare not responding to high dose antihistamines</w:t>
      </w:r>
      <w:r w:rsidR="00EF59FD">
        <w:rPr>
          <w:rFonts w:ascii="Arial" w:hAnsi="Arial" w:cs="Arial"/>
        </w:rPr>
        <w:t xml:space="preserve">.  </w:t>
      </w:r>
      <w:r w:rsidR="0031696D">
        <w:rPr>
          <w:rFonts w:ascii="Arial" w:hAnsi="Arial" w:cs="Arial"/>
        </w:rPr>
        <w:t>Finally</w:t>
      </w:r>
      <w:r w:rsidR="00984F55" w:rsidRPr="00EF59FD">
        <w:rPr>
          <w:rFonts w:ascii="Arial" w:hAnsi="Arial" w:cs="Arial"/>
        </w:rPr>
        <w:t xml:space="preserve">, vaccine safety surveillance programs should specifically </w:t>
      </w:r>
      <w:r w:rsidR="00E716F2" w:rsidRPr="00EF59FD">
        <w:rPr>
          <w:rFonts w:ascii="Arial" w:hAnsi="Arial" w:cs="Arial"/>
        </w:rPr>
        <w:t xml:space="preserve">capture and </w:t>
      </w:r>
      <w:r w:rsidR="00984F55" w:rsidRPr="00EF59FD">
        <w:rPr>
          <w:rFonts w:ascii="Arial" w:hAnsi="Arial" w:cs="Arial"/>
        </w:rPr>
        <w:t>review data relating to patients with a diagnosis of CSU</w:t>
      </w:r>
      <w:r w:rsidR="00646794" w:rsidRPr="00EF59FD">
        <w:rPr>
          <w:rFonts w:ascii="Arial" w:hAnsi="Arial" w:cs="Arial"/>
        </w:rPr>
        <w:t>/</w:t>
      </w:r>
      <w:r w:rsidR="003B6B87" w:rsidRPr="00EF59FD">
        <w:rPr>
          <w:rFonts w:ascii="Arial" w:hAnsi="Arial" w:cs="Arial"/>
        </w:rPr>
        <w:t>A</w:t>
      </w:r>
      <w:r w:rsidR="00984F55" w:rsidRPr="00EF59FD">
        <w:rPr>
          <w:rFonts w:ascii="Arial" w:hAnsi="Arial" w:cs="Arial"/>
        </w:rPr>
        <w:t xml:space="preserve"> to better inform future management of this common</w:t>
      </w:r>
      <w:r w:rsidR="00646794" w:rsidRPr="00EF59FD">
        <w:rPr>
          <w:rFonts w:ascii="Arial" w:hAnsi="Arial" w:cs="Arial"/>
        </w:rPr>
        <w:t xml:space="preserve">, </w:t>
      </w:r>
      <w:r w:rsidR="0077552C">
        <w:rPr>
          <w:rFonts w:ascii="Arial" w:hAnsi="Arial" w:cs="Arial"/>
        </w:rPr>
        <w:t>yet</w:t>
      </w:r>
      <w:r w:rsidR="0077552C" w:rsidRPr="00EF59FD">
        <w:rPr>
          <w:rFonts w:ascii="Arial" w:hAnsi="Arial" w:cs="Arial"/>
        </w:rPr>
        <w:t xml:space="preserve"> </w:t>
      </w:r>
      <w:r w:rsidR="00646794" w:rsidRPr="00EF59FD">
        <w:rPr>
          <w:rFonts w:ascii="Arial" w:hAnsi="Arial" w:cs="Arial"/>
        </w:rPr>
        <w:t>poorly understood</w:t>
      </w:r>
      <w:r w:rsidR="00984F55" w:rsidRPr="00EF59FD">
        <w:rPr>
          <w:rFonts w:ascii="Arial" w:hAnsi="Arial" w:cs="Arial"/>
        </w:rPr>
        <w:t xml:space="preserve"> condition. </w:t>
      </w:r>
    </w:p>
    <w:p w14:paraId="7B975F41" w14:textId="77777777" w:rsidR="00EF4D3D" w:rsidRDefault="00EF4D3D" w:rsidP="00984F55">
      <w:pPr>
        <w:rPr>
          <w:rFonts w:ascii="Arial" w:hAnsi="Arial" w:cs="Arial"/>
        </w:rPr>
      </w:pPr>
    </w:p>
    <w:p w14:paraId="792E4BD4" w14:textId="28D3102F" w:rsidR="00EF4D3D" w:rsidRPr="00AD654D" w:rsidRDefault="00C9433B" w:rsidP="00984F55">
      <w:pPr>
        <w:rPr>
          <w:rFonts w:ascii="Arial" w:hAnsi="Arial" w:cs="Arial"/>
          <w:b/>
          <w:bCs/>
        </w:rPr>
      </w:pPr>
      <w:r>
        <w:rPr>
          <w:rFonts w:ascii="Arial" w:hAnsi="Arial" w:cs="Arial"/>
        </w:rPr>
        <w:br w:type="page"/>
      </w:r>
      <w:r w:rsidR="00EF4D3D" w:rsidRPr="002D2FF5">
        <w:rPr>
          <w:rFonts w:ascii="Arial" w:hAnsi="Arial" w:cs="Arial"/>
          <w:b/>
          <w:bCs/>
        </w:rPr>
        <w:lastRenderedPageBreak/>
        <w:t>Table-1</w:t>
      </w:r>
      <w:r w:rsidR="0031696D" w:rsidRPr="002D2FF5">
        <w:rPr>
          <w:rFonts w:ascii="Arial" w:hAnsi="Arial" w:cs="Arial"/>
          <w:b/>
          <w:bCs/>
        </w:rPr>
        <w:t>:</w:t>
      </w:r>
      <w:r w:rsidR="0031696D">
        <w:rPr>
          <w:rFonts w:ascii="Arial" w:hAnsi="Arial" w:cs="Arial"/>
        </w:rPr>
        <w:t xml:space="preserve">  </w:t>
      </w:r>
      <w:r w:rsidR="0031696D" w:rsidRPr="00AD654D">
        <w:rPr>
          <w:rFonts w:ascii="Arial" w:hAnsi="Arial" w:cs="Arial"/>
          <w:b/>
          <w:bCs/>
        </w:rPr>
        <w:t xml:space="preserve">A global projection </w:t>
      </w:r>
      <w:r w:rsidR="00100B7C">
        <w:rPr>
          <w:rFonts w:ascii="Arial" w:hAnsi="Arial" w:cs="Arial"/>
          <w:b/>
          <w:bCs/>
        </w:rPr>
        <w:t xml:space="preserve">(hypothesised) </w:t>
      </w:r>
      <w:r w:rsidR="0031696D" w:rsidRPr="00AD654D">
        <w:rPr>
          <w:rFonts w:ascii="Arial" w:hAnsi="Arial" w:cs="Arial"/>
          <w:b/>
          <w:bCs/>
        </w:rPr>
        <w:t xml:space="preserve">of acute flares of </w:t>
      </w:r>
      <w:r w:rsidR="00285E09">
        <w:rPr>
          <w:rFonts w:ascii="Arial" w:hAnsi="Arial" w:cs="Arial"/>
          <w:b/>
          <w:bCs/>
        </w:rPr>
        <w:t>symptoms</w:t>
      </w:r>
      <w:r w:rsidR="00285E09" w:rsidRPr="00AD654D">
        <w:rPr>
          <w:rFonts w:ascii="Arial" w:hAnsi="Arial" w:cs="Arial"/>
          <w:b/>
          <w:bCs/>
        </w:rPr>
        <w:t xml:space="preserve"> </w:t>
      </w:r>
      <w:r w:rsidR="0031696D" w:rsidRPr="00AD654D">
        <w:rPr>
          <w:rFonts w:ascii="Arial" w:hAnsi="Arial" w:cs="Arial"/>
          <w:b/>
          <w:bCs/>
        </w:rPr>
        <w:t>in patients with CSU/A based on 1%</w:t>
      </w:r>
      <w:r w:rsidR="00C2030C">
        <w:rPr>
          <w:rFonts w:ascii="Arial" w:hAnsi="Arial" w:cs="Arial"/>
          <w:b/>
          <w:bCs/>
        </w:rPr>
        <w:t xml:space="preserve"> </w:t>
      </w:r>
      <w:r w:rsidR="0031696D" w:rsidRPr="00AD654D">
        <w:rPr>
          <w:rFonts w:ascii="Arial" w:hAnsi="Arial" w:cs="Arial"/>
          <w:b/>
          <w:bCs/>
        </w:rPr>
        <w:t>point prevalence</w:t>
      </w:r>
      <w:r w:rsidR="00285E09">
        <w:rPr>
          <w:rFonts w:ascii="Arial" w:hAnsi="Arial" w:cs="Arial"/>
          <w:b/>
          <w:bCs/>
        </w:rPr>
        <w:t>. Population data based on UN estimates for individuals ≥18 years in 2020 (</w:t>
      </w:r>
      <w:r w:rsidR="00285E09" w:rsidRPr="00285E09">
        <w:rPr>
          <w:rFonts w:ascii="Arial" w:hAnsi="Arial" w:cs="Arial"/>
          <w:b/>
          <w:bCs/>
        </w:rPr>
        <w:t>population.un.org</w:t>
      </w:r>
      <w:r w:rsidR="00285E09">
        <w:rPr>
          <w:rFonts w:ascii="Arial" w:hAnsi="Arial" w:cs="Arial"/>
          <w:b/>
          <w:bCs/>
        </w:rPr>
        <w:t>)</w:t>
      </w:r>
    </w:p>
    <w:p w14:paraId="001FF0BE" w14:textId="77777777" w:rsidR="00984F55" w:rsidRPr="00EF59FD" w:rsidRDefault="00984F55" w:rsidP="00984F55">
      <w:pPr>
        <w:rPr>
          <w:rFonts w:ascii="Arial" w:hAnsi="Arial" w:cs="Arial"/>
        </w:rPr>
      </w:pPr>
    </w:p>
    <w:p w14:paraId="64634BB7" w14:textId="77777777" w:rsidR="00BD5215" w:rsidRPr="00EF59FD" w:rsidRDefault="00BD5215" w:rsidP="00984F55">
      <w:pPr>
        <w:rPr>
          <w:rFonts w:ascii="Arial" w:hAnsi="Arial" w:cs="Arial"/>
        </w:rPr>
      </w:pPr>
    </w:p>
    <w:tbl>
      <w:tblPr>
        <w:tblW w:w="11602" w:type="dxa"/>
        <w:tblInd w:w="-750" w:type="dxa"/>
        <w:tblLook w:val="04A0" w:firstRow="1" w:lastRow="0" w:firstColumn="1" w:lastColumn="0" w:noHBand="0" w:noVBand="1"/>
      </w:tblPr>
      <w:tblGrid>
        <w:gridCol w:w="2055"/>
        <w:gridCol w:w="2262"/>
        <w:gridCol w:w="1666"/>
        <w:gridCol w:w="1666"/>
        <w:gridCol w:w="1974"/>
        <w:gridCol w:w="1979"/>
      </w:tblGrid>
      <w:tr w:rsidR="0054363A" w:rsidRPr="0054363A" w14:paraId="72BDCE7F" w14:textId="77777777" w:rsidTr="0054363A">
        <w:trPr>
          <w:trHeight w:val="278"/>
        </w:trPr>
        <w:tc>
          <w:tcPr>
            <w:tcW w:w="205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457DF41" w14:textId="77777777" w:rsidR="0054363A" w:rsidRPr="0054363A" w:rsidRDefault="0054363A" w:rsidP="0054363A">
            <w:pPr>
              <w:jc w:val="center"/>
              <w:rPr>
                <w:rFonts w:ascii="Arial" w:eastAsia="Times New Roman" w:hAnsi="Arial" w:cs="Arial"/>
                <w:b/>
                <w:bCs/>
                <w:color w:val="000000"/>
              </w:rPr>
            </w:pPr>
            <w:r w:rsidRPr="0054363A">
              <w:rPr>
                <w:rFonts w:ascii="Arial" w:eastAsia="Times New Roman" w:hAnsi="Arial" w:cs="Arial"/>
                <w:b/>
                <w:bCs/>
                <w:color w:val="000000"/>
              </w:rPr>
              <w:t>By World Bank  income groups</w:t>
            </w:r>
          </w:p>
        </w:tc>
        <w:tc>
          <w:tcPr>
            <w:tcW w:w="2262" w:type="dxa"/>
            <w:vMerge w:val="restart"/>
            <w:tcBorders>
              <w:top w:val="single" w:sz="4" w:space="0" w:color="auto"/>
              <w:left w:val="single" w:sz="4" w:space="0" w:color="auto"/>
              <w:bottom w:val="single" w:sz="4" w:space="0" w:color="auto"/>
              <w:right w:val="single" w:sz="4" w:space="0" w:color="000000"/>
            </w:tcBorders>
            <w:shd w:val="clear" w:color="000000" w:fill="E7E6E6"/>
            <w:vAlign w:val="center"/>
            <w:hideMark/>
          </w:tcPr>
          <w:p w14:paraId="5A1C792F" w14:textId="77777777" w:rsidR="0054363A" w:rsidRPr="0054363A" w:rsidRDefault="0054363A" w:rsidP="0054363A">
            <w:pPr>
              <w:jc w:val="center"/>
              <w:rPr>
                <w:rFonts w:ascii="Arial" w:eastAsia="Times New Roman" w:hAnsi="Arial" w:cs="Arial"/>
                <w:b/>
                <w:bCs/>
                <w:color w:val="000000"/>
              </w:rPr>
            </w:pPr>
            <w:r w:rsidRPr="0054363A">
              <w:rPr>
                <w:rFonts w:ascii="Arial" w:eastAsia="Times New Roman" w:hAnsi="Arial" w:cs="Arial"/>
                <w:b/>
                <w:bCs/>
                <w:color w:val="000000"/>
              </w:rPr>
              <w:t>Projected number of CSU/A patients at 1% point prevalence of population ≥18yrs</w:t>
            </w:r>
          </w:p>
        </w:tc>
        <w:tc>
          <w:tcPr>
            <w:tcW w:w="7285" w:type="dxa"/>
            <w:gridSpan w:val="4"/>
            <w:tcBorders>
              <w:top w:val="single" w:sz="4" w:space="0" w:color="auto"/>
              <w:left w:val="nil"/>
              <w:bottom w:val="nil"/>
              <w:right w:val="single" w:sz="4" w:space="0" w:color="000000"/>
            </w:tcBorders>
            <w:shd w:val="clear" w:color="000000" w:fill="E7E6E6"/>
            <w:vAlign w:val="center"/>
            <w:hideMark/>
          </w:tcPr>
          <w:p w14:paraId="1161DF3C" w14:textId="2F1F893F" w:rsidR="0054363A" w:rsidRPr="0054363A" w:rsidRDefault="0054363A" w:rsidP="0054363A">
            <w:pPr>
              <w:jc w:val="center"/>
              <w:rPr>
                <w:rFonts w:ascii="Arial" w:eastAsia="Times New Roman" w:hAnsi="Arial" w:cs="Arial"/>
                <w:b/>
                <w:bCs/>
                <w:color w:val="000000"/>
              </w:rPr>
            </w:pPr>
            <w:r w:rsidRPr="0054363A">
              <w:rPr>
                <w:rFonts w:ascii="Arial" w:eastAsia="Times New Roman" w:hAnsi="Arial" w:cs="Arial"/>
                <w:b/>
                <w:bCs/>
                <w:color w:val="000000"/>
              </w:rPr>
              <w:t xml:space="preserve">Absolute number of patients experiencing post-vaccine flares of CSU/A symptoms based </w:t>
            </w:r>
            <w:proofErr w:type="gramStart"/>
            <w:r w:rsidRPr="0054363A">
              <w:rPr>
                <w:rFonts w:ascii="Arial" w:eastAsia="Times New Roman" w:hAnsi="Arial" w:cs="Arial"/>
                <w:b/>
                <w:bCs/>
                <w:color w:val="000000"/>
              </w:rPr>
              <w:t xml:space="preserve">on </w:t>
            </w:r>
            <w:r w:rsidR="00F20119">
              <w:rPr>
                <w:rFonts w:ascii="Arial" w:eastAsia="Times New Roman" w:hAnsi="Arial" w:cs="Arial"/>
                <w:b/>
                <w:bCs/>
                <w:color w:val="000000"/>
              </w:rPr>
              <w:t xml:space="preserve"> a</w:t>
            </w:r>
            <w:proofErr w:type="gramEnd"/>
            <w:r w:rsidR="00F20119">
              <w:rPr>
                <w:rFonts w:ascii="Arial" w:eastAsia="Times New Roman" w:hAnsi="Arial" w:cs="Arial"/>
                <w:b/>
                <w:bCs/>
                <w:color w:val="000000"/>
              </w:rPr>
              <w:t xml:space="preserve"> </w:t>
            </w:r>
            <w:r w:rsidRPr="0054363A">
              <w:rPr>
                <w:rFonts w:ascii="Arial" w:eastAsia="Times New Roman" w:hAnsi="Arial" w:cs="Arial"/>
                <w:b/>
                <w:bCs/>
                <w:color w:val="000000"/>
              </w:rPr>
              <w:t>hypoth</w:t>
            </w:r>
            <w:r>
              <w:rPr>
                <w:rFonts w:ascii="Arial" w:eastAsia="Times New Roman" w:hAnsi="Arial" w:cs="Arial"/>
                <w:b/>
                <w:bCs/>
                <w:color w:val="000000"/>
              </w:rPr>
              <w:t>e</w:t>
            </w:r>
            <w:r w:rsidRPr="0054363A">
              <w:rPr>
                <w:rFonts w:ascii="Arial" w:eastAsia="Times New Roman" w:hAnsi="Arial" w:cs="Arial"/>
                <w:b/>
                <w:bCs/>
                <w:color w:val="000000"/>
              </w:rPr>
              <w:t>sised incidence</w:t>
            </w:r>
          </w:p>
        </w:tc>
      </w:tr>
      <w:tr w:rsidR="0054363A" w:rsidRPr="0054363A" w14:paraId="4D33B379" w14:textId="77777777" w:rsidTr="0054363A">
        <w:trPr>
          <w:trHeight w:val="231"/>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76A7C5D6" w14:textId="77777777" w:rsidR="0054363A" w:rsidRPr="0054363A" w:rsidRDefault="0054363A" w:rsidP="0054363A">
            <w:pPr>
              <w:rPr>
                <w:rFonts w:ascii="Arial" w:eastAsia="Times New Roman" w:hAnsi="Arial" w:cs="Arial"/>
                <w:b/>
                <w:bCs/>
                <w:color w:val="000000"/>
              </w:rPr>
            </w:pPr>
          </w:p>
        </w:tc>
        <w:tc>
          <w:tcPr>
            <w:tcW w:w="2262" w:type="dxa"/>
            <w:vMerge/>
            <w:tcBorders>
              <w:top w:val="single" w:sz="4" w:space="0" w:color="auto"/>
              <w:left w:val="single" w:sz="4" w:space="0" w:color="auto"/>
              <w:bottom w:val="single" w:sz="4" w:space="0" w:color="auto"/>
              <w:right w:val="single" w:sz="4" w:space="0" w:color="000000"/>
            </w:tcBorders>
            <w:vAlign w:val="center"/>
            <w:hideMark/>
          </w:tcPr>
          <w:p w14:paraId="1D5D8B92" w14:textId="77777777" w:rsidR="0054363A" w:rsidRPr="0054363A" w:rsidRDefault="0054363A" w:rsidP="0054363A">
            <w:pPr>
              <w:rPr>
                <w:rFonts w:ascii="Arial" w:eastAsia="Times New Roman" w:hAnsi="Arial" w:cs="Arial"/>
                <w:b/>
                <w:bCs/>
                <w:color w:val="000000"/>
              </w:rPr>
            </w:pPr>
          </w:p>
        </w:tc>
        <w:tc>
          <w:tcPr>
            <w:tcW w:w="1666" w:type="dxa"/>
            <w:tcBorders>
              <w:top w:val="nil"/>
              <w:left w:val="nil"/>
              <w:bottom w:val="single" w:sz="4" w:space="0" w:color="auto"/>
              <w:right w:val="single" w:sz="4" w:space="0" w:color="auto"/>
            </w:tcBorders>
            <w:shd w:val="clear" w:color="000000" w:fill="E7E6E6"/>
            <w:vAlign w:val="center"/>
            <w:hideMark/>
          </w:tcPr>
          <w:p w14:paraId="28C01803" w14:textId="77777777" w:rsidR="0054363A" w:rsidRPr="0054363A" w:rsidRDefault="0054363A" w:rsidP="0054363A">
            <w:pPr>
              <w:jc w:val="center"/>
              <w:rPr>
                <w:rFonts w:ascii="Arial" w:eastAsia="Times New Roman" w:hAnsi="Arial" w:cs="Arial"/>
                <w:b/>
                <w:bCs/>
                <w:color w:val="000000"/>
              </w:rPr>
            </w:pPr>
            <w:r w:rsidRPr="0054363A">
              <w:rPr>
                <w:rFonts w:ascii="Arial" w:eastAsia="Times New Roman" w:hAnsi="Arial" w:cs="Arial"/>
                <w:b/>
                <w:bCs/>
                <w:color w:val="000000"/>
              </w:rPr>
              <w:t>0.5%</w:t>
            </w:r>
          </w:p>
        </w:tc>
        <w:tc>
          <w:tcPr>
            <w:tcW w:w="1666" w:type="dxa"/>
            <w:tcBorders>
              <w:top w:val="nil"/>
              <w:left w:val="nil"/>
              <w:bottom w:val="single" w:sz="4" w:space="0" w:color="auto"/>
              <w:right w:val="single" w:sz="4" w:space="0" w:color="auto"/>
            </w:tcBorders>
            <w:shd w:val="clear" w:color="000000" w:fill="E7E6E6"/>
            <w:vAlign w:val="center"/>
            <w:hideMark/>
          </w:tcPr>
          <w:p w14:paraId="6C65F8DD" w14:textId="77777777" w:rsidR="0054363A" w:rsidRPr="0054363A" w:rsidRDefault="0054363A" w:rsidP="0054363A">
            <w:pPr>
              <w:jc w:val="center"/>
              <w:rPr>
                <w:rFonts w:ascii="Arial" w:eastAsia="Times New Roman" w:hAnsi="Arial" w:cs="Arial"/>
                <w:b/>
                <w:bCs/>
                <w:color w:val="000000"/>
              </w:rPr>
            </w:pPr>
            <w:r w:rsidRPr="0054363A">
              <w:rPr>
                <w:rFonts w:ascii="Arial" w:eastAsia="Times New Roman" w:hAnsi="Arial" w:cs="Arial"/>
                <w:b/>
                <w:bCs/>
                <w:color w:val="000000"/>
              </w:rPr>
              <w:t>1%</w:t>
            </w:r>
          </w:p>
        </w:tc>
        <w:tc>
          <w:tcPr>
            <w:tcW w:w="1974" w:type="dxa"/>
            <w:tcBorders>
              <w:top w:val="nil"/>
              <w:left w:val="nil"/>
              <w:bottom w:val="single" w:sz="4" w:space="0" w:color="auto"/>
              <w:right w:val="single" w:sz="4" w:space="0" w:color="auto"/>
            </w:tcBorders>
            <w:shd w:val="clear" w:color="000000" w:fill="E7E6E6"/>
            <w:vAlign w:val="center"/>
            <w:hideMark/>
          </w:tcPr>
          <w:p w14:paraId="1F0924F5" w14:textId="77777777" w:rsidR="0054363A" w:rsidRPr="0054363A" w:rsidRDefault="0054363A" w:rsidP="0054363A">
            <w:pPr>
              <w:jc w:val="center"/>
              <w:rPr>
                <w:rFonts w:ascii="Arial" w:eastAsia="Times New Roman" w:hAnsi="Arial" w:cs="Arial"/>
                <w:b/>
                <w:bCs/>
                <w:color w:val="000000"/>
              </w:rPr>
            </w:pPr>
            <w:r w:rsidRPr="0054363A">
              <w:rPr>
                <w:rFonts w:ascii="Arial" w:eastAsia="Times New Roman" w:hAnsi="Arial" w:cs="Arial"/>
                <w:b/>
                <w:bCs/>
                <w:color w:val="000000"/>
              </w:rPr>
              <w:t>5%</w:t>
            </w:r>
          </w:p>
        </w:tc>
        <w:tc>
          <w:tcPr>
            <w:tcW w:w="1977" w:type="dxa"/>
            <w:tcBorders>
              <w:top w:val="nil"/>
              <w:left w:val="nil"/>
              <w:bottom w:val="single" w:sz="4" w:space="0" w:color="auto"/>
              <w:right w:val="single" w:sz="4" w:space="0" w:color="auto"/>
            </w:tcBorders>
            <w:shd w:val="clear" w:color="000000" w:fill="E7E6E6"/>
            <w:vAlign w:val="center"/>
            <w:hideMark/>
          </w:tcPr>
          <w:p w14:paraId="3CDB896B" w14:textId="77777777" w:rsidR="0054363A" w:rsidRPr="0054363A" w:rsidRDefault="0054363A" w:rsidP="0054363A">
            <w:pPr>
              <w:jc w:val="center"/>
              <w:rPr>
                <w:rFonts w:ascii="Arial" w:eastAsia="Times New Roman" w:hAnsi="Arial" w:cs="Arial"/>
                <w:b/>
                <w:bCs/>
                <w:color w:val="000000"/>
              </w:rPr>
            </w:pPr>
            <w:r w:rsidRPr="0054363A">
              <w:rPr>
                <w:rFonts w:ascii="Arial" w:eastAsia="Times New Roman" w:hAnsi="Arial" w:cs="Arial"/>
                <w:b/>
                <w:bCs/>
                <w:color w:val="000000"/>
              </w:rPr>
              <w:t>10%</w:t>
            </w:r>
          </w:p>
        </w:tc>
      </w:tr>
      <w:tr w:rsidR="0054363A" w:rsidRPr="0054363A" w14:paraId="298B2644" w14:textId="77777777" w:rsidTr="0054363A">
        <w:trPr>
          <w:trHeight w:val="27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53790E7C" w14:textId="182DD34F" w:rsidR="0054363A" w:rsidRPr="0054363A" w:rsidRDefault="0054363A" w:rsidP="0054363A">
            <w:pPr>
              <w:rPr>
                <w:rFonts w:ascii="Arial" w:eastAsia="Times New Roman" w:hAnsi="Arial" w:cs="Arial"/>
                <w:b/>
                <w:bCs/>
                <w:color w:val="000000"/>
              </w:rPr>
            </w:pPr>
            <w:r w:rsidRPr="0054363A">
              <w:rPr>
                <w:rFonts w:ascii="Arial" w:eastAsia="Times New Roman" w:hAnsi="Arial" w:cs="Arial"/>
                <w:b/>
                <w:bCs/>
                <w:color w:val="000000"/>
              </w:rPr>
              <w:t>High income countries</w:t>
            </w:r>
          </w:p>
        </w:tc>
        <w:tc>
          <w:tcPr>
            <w:tcW w:w="2262" w:type="dxa"/>
            <w:tcBorders>
              <w:top w:val="nil"/>
              <w:left w:val="nil"/>
              <w:bottom w:val="single" w:sz="4" w:space="0" w:color="auto"/>
              <w:right w:val="single" w:sz="4" w:space="0" w:color="auto"/>
            </w:tcBorders>
            <w:shd w:val="clear" w:color="auto" w:fill="auto"/>
            <w:vAlign w:val="center"/>
            <w:hideMark/>
          </w:tcPr>
          <w:p w14:paraId="662D899B"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10,107,600 </w:t>
            </w:r>
          </w:p>
        </w:tc>
        <w:tc>
          <w:tcPr>
            <w:tcW w:w="1666" w:type="dxa"/>
            <w:tcBorders>
              <w:top w:val="nil"/>
              <w:left w:val="nil"/>
              <w:bottom w:val="single" w:sz="4" w:space="0" w:color="auto"/>
              <w:right w:val="single" w:sz="4" w:space="0" w:color="auto"/>
            </w:tcBorders>
            <w:shd w:val="clear" w:color="auto" w:fill="auto"/>
            <w:vAlign w:val="center"/>
            <w:hideMark/>
          </w:tcPr>
          <w:p w14:paraId="7C04E1FC"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50,538 </w:t>
            </w:r>
          </w:p>
        </w:tc>
        <w:tc>
          <w:tcPr>
            <w:tcW w:w="1666" w:type="dxa"/>
            <w:tcBorders>
              <w:top w:val="nil"/>
              <w:left w:val="nil"/>
              <w:bottom w:val="single" w:sz="4" w:space="0" w:color="auto"/>
              <w:right w:val="single" w:sz="4" w:space="0" w:color="auto"/>
            </w:tcBorders>
            <w:shd w:val="clear" w:color="auto" w:fill="auto"/>
            <w:vAlign w:val="center"/>
            <w:hideMark/>
          </w:tcPr>
          <w:p w14:paraId="625E8937"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101,076 </w:t>
            </w:r>
          </w:p>
        </w:tc>
        <w:tc>
          <w:tcPr>
            <w:tcW w:w="1974" w:type="dxa"/>
            <w:tcBorders>
              <w:top w:val="nil"/>
              <w:left w:val="nil"/>
              <w:bottom w:val="single" w:sz="4" w:space="0" w:color="auto"/>
              <w:right w:val="single" w:sz="4" w:space="0" w:color="auto"/>
            </w:tcBorders>
            <w:shd w:val="clear" w:color="auto" w:fill="auto"/>
            <w:vAlign w:val="center"/>
            <w:hideMark/>
          </w:tcPr>
          <w:p w14:paraId="5FC2E8CE"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505,380 </w:t>
            </w:r>
          </w:p>
        </w:tc>
        <w:tc>
          <w:tcPr>
            <w:tcW w:w="1977" w:type="dxa"/>
            <w:tcBorders>
              <w:top w:val="nil"/>
              <w:left w:val="nil"/>
              <w:bottom w:val="single" w:sz="4" w:space="0" w:color="auto"/>
              <w:right w:val="single" w:sz="4" w:space="0" w:color="auto"/>
            </w:tcBorders>
            <w:shd w:val="clear" w:color="auto" w:fill="auto"/>
            <w:vAlign w:val="center"/>
            <w:hideMark/>
          </w:tcPr>
          <w:p w14:paraId="536A2145"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1,010,760 </w:t>
            </w:r>
          </w:p>
        </w:tc>
      </w:tr>
      <w:tr w:rsidR="0054363A" w:rsidRPr="0054363A" w14:paraId="6946A347" w14:textId="77777777" w:rsidTr="0054363A">
        <w:trPr>
          <w:trHeight w:val="286"/>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5A47BC25" w14:textId="77777777" w:rsidR="0054363A" w:rsidRPr="0054363A" w:rsidRDefault="0054363A" w:rsidP="0054363A">
            <w:pPr>
              <w:rPr>
                <w:rFonts w:ascii="Arial" w:eastAsia="Times New Roman" w:hAnsi="Arial" w:cs="Arial"/>
                <w:b/>
                <w:bCs/>
                <w:color w:val="000000"/>
              </w:rPr>
            </w:pPr>
            <w:r w:rsidRPr="0054363A">
              <w:rPr>
                <w:rFonts w:ascii="Arial" w:eastAsia="Times New Roman" w:hAnsi="Arial" w:cs="Arial"/>
                <w:b/>
                <w:bCs/>
                <w:color w:val="000000"/>
              </w:rPr>
              <w:t>Middle income countries</w:t>
            </w:r>
          </w:p>
        </w:tc>
        <w:tc>
          <w:tcPr>
            <w:tcW w:w="2262" w:type="dxa"/>
            <w:tcBorders>
              <w:top w:val="nil"/>
              <w:left w:val="nil"/>
              <w:bottom w:val="single" w:sz="4" w:space="0" w:color="auto"/>
              <w:right w:val="single" w:sz="4" w:space="0" w:color="auto"/>
            </w:tcBorders>
            <w:shd w:val="clear" w:color="auto" w:fill="auto"/>
            <w:vAlign w:val="center"/>
            <w:hideMark/>
          </w:tcPr>
          <w:p w14:paraId="0D09AF30"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40,248,360 </w:t>
            </w:r>
          </w:p>
        </w:tc>
        <w:tc>
          <w:tcPr>
            <w:tcW w:w="1666" w:type="dxa"/>
            <w:tcBorders>
              <w:top w:val="nil"/>
              <w:left w:val="nil"/>
              <w:bottom w:val="single" w:sz="4" w:space="0" w:color="auto"/>
              <w:right w:val="single" w:sz="4" w:space="0" w:color="auto"/>
            </w:tcBorders>
            <w:shd w:val="clear" w:color="auto" w:fill="auto"/>
            <w:vAlign w:val="center"/>
            <w:hideMark/>
          </w:tcPr>
          <w:p w14:paraId="47926C73"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201,242 </w:t>
            </w:r>
          </w:p>
        </w:tc>
        <w:tc>
          <w:tcPr>
            <w:tcW w:w="1666" w:type="dxa"/>
            <w:tcBorders>
              <w:top w:val="nil"/>
              <w:left w:val="nil"/>
              <w:bottom w:val="single" w:sz="4" w:space="0" w:color="auto"/>
              <w:right w:val="single" w:sz="4" w:space="0" w:color="auto"/>
            </w:tcBorders>
            <w:shd w:val="clear" w:color="auto" w:fill="auto"/>
            <w:vAlign w:val="center"/>
            <w:hideMark/>
          </w:tcPr>
          <w:p w14:paraId="57575177"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402,484 </w:t>
            </w:r>
          </w:p>
        </w:tc>
        <w:tc>
          <w:tcPr>
            <w:tcW w:w="1974" w:type="dxa"/>
            <w:tcBorders>
              <w:top w:val="nil"/>
              <w:left w:val="nil"/>
              <w:bottom w:val="single" w:sz="4" w:space="0" w:color="auto"/>
              <w:right w:val="single" w:sz="4" w:space="0" w:color="auto"/>
            </w:tcBorders>
            <w:shd w:val="clear" w:color="auto" w:fill="auto"/>
            <w:vAlign w:val="center"/>
            <w:hideMark/>
          </w:tcPr>
          <w:p w14:paraId="4BDD2C54"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2,012,418 </w:t>
            </w:r>
          </w:p>
        </w:tc>
        <w:tc>
          <w:tcPr>
            <w:tcW w:w="1977" w:type="dxa"/>
            <w:tcBorders>
              <w:top w:val="nil"/>
              <w:left w:val="nil"/>
              <w:bottom w:val="single" w:sz="4" w:space="0" w:color="auto"/>
              <w:right w:val="single" w:sz="4" w:space="0" w:color="auto"/>
            </w:tcBorders>
            <w:shd w:val="clear" w:color="auto" w:fill="auto"/>
            <w:vAlign w:val="center"/>
            <w:hideMark/>
          </w:tcPr>
          <w:p w14:paraId="7EFA7425"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4,024,836 </w:t>
            </w:r>
          </w:p>
        </w:tc>
      </w:tr>
      <w:tr w:rsidR="0054363A" w:rsidRPr="0054363A" w14:paraId="217F8CF1" w14:textId="77777777" w:rsidTr="0054363A">
        <w:trPr>
          <w:trHeight w:val="27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55F2D41A" w14:textId="77777777" w:rsidR="0054363A" w:rsidRPr="0054363A" w:rsidRDefault="0054363A" w:rsidP="0054363A">
            <w:pPr>
              <w:rPr>
                <w:rFonts w:ascii="Arial" w:eastAsia="Times New Roman" w:hAnsi="Arial" w:cs="Arial"/>
                <w:b/>
                <w:bCs/>
                <w:color w:val="000000"/>
              </w:rPr>
            </w:pPr>
            <w:r w:rsidRPr="0054363A">
              <w:rPr>
                <w:rFonts w:ascii="Arial" w:eastAsia="Times New Roman" w:hAnsi="Arial" w:cs="Arial"/>
                <w:b/>
                <w:bCs/>
                <w:color w:val="000000"/>
              </w:rPr>
              <w:t>Low Income countries</w:t>
            </w:r>
          </w:p>
        </w:tc>
        <w:tc>
          <w:tcPr>
            <w:tcW w:w="2262" w:type="dxa"/>
            <w:tcBorders>
              <w:top w:val="nil"/>
              <w:left w:val="nil"/>
              <w:bottom w:val="single" w:sz="4" w:space="0" w:color="auto"/>
              <w:right w:val="single" w:sz="4" w:space="0" w:color="auto"/>
            </w:tcBorders>
            <w:shd w:val="clear" w:color="auto" w:fill="auto"/>
            <w:vAlign w:val="center"/>
            <w:hideMark/>
          </w:tcPr>
          <w:p w14:paraId="5FBFC634"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4,034,480 </w:t>
            </w:r>
          </w:p>
        </w:tc>
        <w:tc>
          <w:tcPr>
            <w:tcW w:w="1666" w:type="dxa"/>
            <w:tcBorders>
              <w:top w:val="nil"/>
              <w:left w:val="nil"/>
              <w:bottom w:val="single" w:sz="4" w:space="0" w:color="auto"/>
              <w:right w:val="single" w:sz="4" w:space="0" w:color="auto"/>
            </w:tcBorders>
            <w:shd w:val="clear" w:color="auto" w:fill="auto"/>
            <w:vAlign w:val="center"/>
            <w:hideMark/>
          </w:tcPr>
          <w:p w14:paraId="5B23B425"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20,172 </w:t>
            </w:r>
          </w:p>
        </w:tc>
        <w:tc>
          <w:tcPr>
            <w:tcW w:w="1666" w:type="dxa"/>
            <w:tcBorders>
              <w:top w:val="nil"/>
              <w:left w:val="nil"/>
              <w:bottom w:val="single" w:sz="4" w:space="0" w:color="auto"/>
              <w:right w:val="single" w:sz="4" w:space="0" w:color="auto"/>
            </w:tcBorders>
            <w:shd w:val="clear" w:color="auto" w:fill="auto"/>
            <w:vAlign w:val="center"/>
            <w:hideMark/>
          </w:tcPr>
          <w:p w14:paraId="03C2E7EE"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40,345 </w:t>
            </w:r>
          </w:p>
        </w:tc>
        <w:tc>
          <w:tcPr>
            <w:tcW w:w="1974" w:type="dxa"/>
            <w:tcBorders>
              <w:top w:val="nil"/>
              <w:left w:val="nil"/>
              <w:bottom w:val="single" w:sz="4" w:space="0" w:color="auto"/>
              <w:right w:val="single" w:sz="4" w:space="0" w:color="auto"/>
            </w:tcBorders>
            <w:shd w:val="clear" w:color="auto" w:fill="auto"/>
            <w:vAlign w:val="center"/>
            <w:hideMark/>
          </w:tcPr>
          <w:p w14:paraId="67484BEF"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201,724 </w:t>
            </w:r>
          </w:p>
        </w:tc>
        <w:tc>
          <w:tcPr>
            <w:tcW w:w="1977" w:type="dxa"/>
            <w:tcBorders>
              <w:top w:val="nil"/>
              <w:left w:val="nil"/>
              <w:bottom w:val="single" w:sz="4" w:space="0" w:color="auto"/>
              <w:right w:val="single" w:sz="4" w:space="0" w:color="auto"/>
            </w:tcBorders>
            <w:shd w:val="clear" w:color="auto" w:fill="auto"/>
            <w:vAlign w:val="center"/>
            <w:hideMark/>
          </w:tcPr>
          <w:p w14:paraId="5B95EBAF"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403,448 </w:t>
            </w:r>
          </w:p>
        </w:tc>
      </w:tr>
      <w:tr w:rsidR="0054363A" w:rsidRPr="0054363A" w14:paraId="63F22F73" w14:textId="77777777" w:rsidTr="0054363A">
        <w:trPr>
          <w:trHeight w:val="231"/>
        </w:trPr>
        <w:tc>
          <w:tcPr>
            <w:tcW w:w="2055" w:type="dxa"/>
            <w:tcBorders>
              <w:top w:val="nil"/>
              <w:left w:val="single" w:sz="4" w:space="0" w:color="auto"/>
              <w:bottom w:val="single" w:sz="4" w:space="0" w:color="auto"/>
              <w:right w:val="single" w:sz="4" w:space="0" w:color="auto"/>
            </w:tcBorders>
            <w:shd w:val="clear" w:color="000000" w:fill="E7E6E6"/>
            <w:vAlign w:val="center"/>
            <w:hideMark/>
          </w:tcPr>
          <w:p w14:paraId="354EB066" w14:textId="77777777" w:rsidR="0054363A" w:rsidRPr="0054363A" w:rsidRDefault="0054363A" w:rsidP="0054363A">
            <w:pPr>
              <w:jc w:val="center"/>
              <w:rPr>
                <w:rFonts w:ascii="Arial" w:eastAsia="Times New Roman" w:hAnsi="Arial" w:cs="Arial"/>
                <w:b/>
                <w:bCs/>
                <w:color w:val="000000"/>
              </w:rPr>
            </w:pPr>
            <w:r w:rsidRPr="0054363A">
              <w:rPr>
                <w:rFonts w:ascii="Arial" w:eastAsia="Times New Roman" w:hAnsi="Arial" w:cs="Arial"/>
                <w:b/>
                <w:bCs/>
                <w:color w:val="000000"/>
              </w:rPr>
              <w:t>By Continent</w:t>
            </w:r>
          </w:p>
        </w:tc>
        <w:tc>
          <w:tcPr>
            <w:tcW w:w="9547" w:type="dxa"/>
            <w:gridSpan w:val="5"/>
            <w:tcBorders>
              <w:top w:val="single" w:sz="4" w:space="0" w:color="auto"/>
              <w:left w:val="nil"/>
              <w:bottom w:val="single" w:sz="4" w:space="0" w:color="auto"/>
              <w:right w:val="single" w:sz="4" w:space="0" w:color="000000"/>
            </w:tcBorders>
            <w:shd w:val="clear" w:color="000000" w:fill="E7E6E6"/>
            <w:vAlign w:val="center"/>
            <w:hideMark/>
          </w:tcPr>
          <w:p w14:paraId="26D21166"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w:t>
            </w:r>
          </w:p>
        </w:tc>
      </w:tr>
      <w:tr w:rsidR="0054363A" w:rsidRPr="0054363A" w14:paraId="7D74EA7C" w14:textId="77777777" w:rsidTr="0054363A">
        <w:trPr>
          <w:trHeight w:val="231"/>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5D132DDC" w14:textId="77777777" w:rsidR="0054363A" w:rsidRPr="0054363A" w:rsidRDefault="0054363A" w:rsidP="0054363A">
            <w:pPr>
              <w:rPr>
                <w:rFonts w:ascii="Arial" w:eastAsia="Times New Roman" w:hAnsi="Arial" w:cs="Arial"/>
                <w:b/>
                <w:bCs/>
                <w:color w:val="000000"/>
              </w:rPr>
            </w:pPr>
            <w:r w:rsidRPr="0054363A">
              <w:rPr>
                <w:rFonts w:ascii="Arial" w:eastAsia="Times New Roman" w:hAnsi="Arial" w:cs="Arial"/>
                <w:b/>
                <w:bCs/>
                <w:color w:val="000000"/>
              </w:rPr>
              <w:t>Africa</w:t>
            </w:r>
          </w:p>
        </w:tc>
        <w:tc>
          <w:tcPr>
            <w:tcW w:w="2262" w:type="dxa"/>
            <w:tcBorders>
              <w:top w:val="nil"/>
              <w:left w:val="nil"/>
              <w:bottom w:val="single" w:sz="4" w:space="0" w:color="auto"/>
              <w:right w:val="single" w:sz="4" w:space="0" w:color="auto"/>
            </w:tcBorders>
            <w:shd w:val="clear" w:color="auto" w:fill="auto"/>
            <w:vAlign w:val="center"/>
            <w:hideMark/>
          </w:tcPr>
          <w:p w14:paraId="43D33E04"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7,144,420 </w:t>
            </w:r>
          </w:p>
        </w:tc>
        <w:tc>
          <w:tcPr>
            <w:tcW w:w="1666" w:type="dxa"/>
            <w:tcBorders>
              <w:top w:val="nil"/>
              <w:left w:val="nil"/>
              <w:bottom w:val="single" w:sz="4" w:space="0" w:color="auto"/>
              <w:right w:val="single" w:sz="4" w:space="0" w:color="auto"/>
            </w:tcBorders>
            <w:shd w:val="clear" w:color="auto" w:fill="auto"/>
            <w:vAlign w:val="center"/>
            <w:hideMark/>
          </w:tcPr>
          <w:p w14:paraId="19FF0B47"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35,722 </w:t>
            </w:r>
          </w:p>
        </w:tc>
        <w:tc>
          <w:tcPr>
            <w:tcW w:w="1666" w:type="dxa"/>
            <w:tcBorders>
              <w:top w:val="nil"/>
              <w:left w:val="nil"/>
              <w:bottom w:val="single" w:sz="4" w:space="0" w:color="auto"/>
              <w:right w:val="single" w:sz="4" w:space="0" w:color="auto"/>
            </w:tcBorders>
            <w:shd w:val="clear" w:color="auto" w:fill="auto"/>
            <w:vAlign w:val="center"/>
            <w:hideMark/>
          </w:tcPr>
          <w:p w14:paraId="686064E1"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71,444 </w:t>
            </w:r>
          </w:p>
        </w:tc>
        <w:tc>
          <w:tcPr>
            <w:tcW w:w="1974" w:type="dxa"/>
            <w:tcBorders>
              <w:top w:val="nil"/>
              <w:left w:val="nil"/>
              <w:bottom w:val="single" w:sz="4" w:space="0" w:color="auto"/>
              <w:right w:val="single" w:sz="4" w:space="0" w:color="auto"/>
            </w:tcBorders>
            <w:shd w:val="clear" w:color="auto" w:fill="auto"/>
            <w:vAlign w:val="center"/>
            <w:hideMark/>
          </w:tcPr>
          <w:p w14:paraId="550AED85"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357,221 </w:t>
            </w:r>
          </w:p>
        </w:tc>
        <w:tc>
          <w:tcPr>
            <w:tcW w:w="1977" w:type="dxa"/>
            <w:tcBorders>
              <w:top w:val="nil"/>
              <w:left w:val="nil"/>
              <w:bottom w:val="single" w:sz="4" w:space="0" w:color="auto"/>
              <w:right w:val="single" w:sz="4" w:space="0" w:color="auto"/>
            </w:tcBorders>
            <w:shd w:val="clear" w:color="auto" w:fill="auto"/>
            <w:vAlign w:val="center"/>
            <w:hideMark/>
          </w:tcPr>
          <w:p w14:paraId="1F46E2BB"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714,442 </w:t>
            </w:r>
          </w:p>
        </w:tc>
      </w:tr>
      <w:tr w:rsidR="0054363A" w:rsidRPr="0054363A" w14:paraId="16EB7E27" w14:textId="77777777" w:rsidTr="0054363A">
        <w:trPr>
          <w:trHeight w:val="231"/>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09548CFD" w14:textId="77777777" w:rsidR="0054363A" w:rsidRPr="0054363A" w:rsidRDefault="0054363A" w:rsidP="0054363A">
            <w:pPr>
              <w:rPr>
                <w:rFonts w:ascii="Arial" w:eastAsia="Times New Roman" w:hAnsi="Arial" w:cs="Arial"/>
                <w:b/>
                <w:bCs/>
                <w:color w:val="000000"/>
              </w:rPr>
            </w:pPr>
            <w:r w:rsidRPr="0054363A">
              <w:rPr>
                <w:rFonts w:ascii="Arial" w:eastAsia="Times New Roman" w:hAnsi="Arial" w:cs="Arial"/>
                <w:b/>
                <w:bCs/>
                <w:color w:val="000000"/>
              </w:rPr>
              <w:t>Asia</w:t>
            </w:r>
          </w:p>
        </w:tc>
        <w:tc>
          <w:tcPr>
            <w:tcW w:w="2262" w:type="dxa"/>
            <w:tcBorders>
              <w:top w:val="nil"/>
              <w:left w:val="nil"/>
              <w:bottom w:val="single" w:sz="4" w:space="0" w:color="auto"/>
              <w:right w:val="single" w:sz="4" w:space="0" w:color="auto"/>
            </w:tcBorders>
            <w:shd w:val="clear" w:color="auto" w:fill="auto"/>
            <w:vAlign w:val="center"/>
            <w:hideMark/>
          </w:tcPr>
          <w:p w14:paraId="0BB175CB"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33,372,970 </w:t>
            </w:r>
          </w:p>
        </w:tc>
        <w:tc>
          <w:tcPr>
            <w:tcW w:w="1666" w:type="dxa"/>
            <w:tcBorders>
              <w:top w:val="nil"/>
              <w:left w:val="nil"/>
              <w:bottom w:val="single" w:sz="4" w:space="0" w:color="auto"/>
              <w:right w:val="single" w:sz="4" w:space="0" w:color="auto"/>
            </w:tcBorders>
            <w:shd w:val="clear" w:color="auto" w:fill="auto"/>
            <w:vAlign w:val="center"/>
            <w:hideMark/>
          </w:tcPr>
          <w:p w14:paraId="3200A2D8"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166,865 </w:t>
            </w:r>
          </w:p>
        </w:tc>
        <w:tc>
          <w:tcPr>
            <w:tcW w:w="1666" w:type="dxa"/>
            <w:tcBorders>
              <w:top w:val="nil"/>
              <w:left w:val="nil"/>
              <w:bottom w:val="single" w:sz="4" w:space="0" w:color="auto"/>
              <w:right w:val="single" w:sz="4" w:space="0" w:color="auto"/>
            </w:tcBorders>
            <w:shd w:val="clear" w:color="auto" w:fill="auto"/>
            <w:vAlign w:val="center"/>
            <w:hideMark/>
          </w:tcPr>
          <w:p w14:paraId="5D7417DA"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333,730 </w:t>
            </w:r>
          </w:p>
        </w:tc>
        <w:tc>
          <w:tcPr>
            <w:tcW w:w="1974" w:type="dxa"/>
            <w:tcBorders>
              <w:top w:val="nil"/>
              <w:left w:val="nil"/>
              <w:bottom w:val="single" w:sz="4" w:space="0" w:color="auto"/>
              <w:right w:val="single" w:sz="4" w:space="0" w:color="auto"/>
            </w:tcBorders>
            <w:shd w:val="clear" w:color="auto" w:fill="auto"/>
            <w:vAlign w:val="center"/>
            <w:hideMark/>
          </w:tcPr>
          <w:p w14:paraId="49C3E8CD"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1,668,649 </w:t>
            </w:r>
          </w:p>
        </w:tc>
        <w:tc>
          <w:tcPr>
            <w:tcW w:w="1977" w:type="dxa"/>
            <w:tcBorders>
              <w:top w:val="nil"/>
              <w:left w:val="nil"/>
              <w:bottom w:val="single" w:sz="4" w:space="0" w:color="auto"/>
              <w:right w:val="single" w:sz="4" w:space="0" w:color="auto"/>
            </w:tcBorders>
            <w:shd w:val="clear" w:color="auto" w:fill="auto"/>
            <w:vAlign w:val="center"/>
            <w:hideMark/>
          </w:tcPr>
          <w:p w14:paraId="7BC6DBCF"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3,337,297 </w:t>
            </w:r>
          </w:p>
        </w:tc>
      </w:tr>
      <w:tr w:rsidR="0054363A" w:rsidRPr="0054363A" w14:paraId="04FB7D4E" w14:textId="77777777" w:rsidTr="0054363A">
        <w:trPr>
          <w:trHeight w:val="231"/>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63534BA6" w14:textId="77777777" w:rsidR="0054363A" w:rsidRPr="0054363A" w:rsidRDefault="0054363A" w:rsidP="0054363A">
            <w:pPr>
              <w:rPr>
                <w:rFonts w:ascii="Arial" w:eastAsia="Times New Roman" w:hAnsi="Arial" w:cs="Arial"/>
                <w:b/>
                <w:bCs/>
                <w:color w:val="000000"/>
              </w:rPr>
            </w:pPr>
            <w:r w:rsidRPr="0054363A">
              <w:rPr>
                <w:rFonts w:ascii="Arial" w:eastAsia="Times New Roman" w:hAnsi="Arial" w:cs="Arial"/>
                <w:b/>
                <w:bCs/>
                <w:color w:val="000000"/>
              </w:rPr>
              <w:t>Europe</w:t>
            </w:r>
          </w:p>
        </w:tc>
        <w:tc>
          <w:tcPr>
            <w:tcW w:w="2262" w:type="dxa"/>
            <w:tcBorders>
              <w:top w:val="nil"/>
              <w:left w:val="nil"/>
              <w:bottom w:val="single" w:sz="4" w:space="0" w:color="auto"/>
              <w:right w:val="single" w:sz="4" w:space="0" w:color="auto"/>
            </w:tcBorders>
            <w:shd w:val="clear" w:color="auto" w:fill="auto"/>
            <w:vAlign w:val="center"/>
            <w:hideMark/>
          </w:tcPr>
          <w:p w14:paraId="0D8A02F6"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6,047,020 </w:t>
            </w:r>
          </w:p>
        </w:tc>
        <w:tc>
          <w:tcPr>
            <w:tcW w:w="1666" w:type="dxa"/>
            <w:tcBorders>
              <w:top w:val="nil"/>
              <w:left w:val="nil"/>
              <w:bottom w:val="single" w:sz="4" w:space="0" w:color="auto"/>
              <w:right w:val="single" w:sz="4" w:space="0" w:color="auto"/>
            </w:tcBorders>
            <w:shd w:val="clear" w:color="auto" w:fill="auto"/>
            <w:vAlign w:val="center"/>
            <w:hideMark/>
          </w:tcPr>
          <w:p w14:paraId="02A0612D"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30,235 </w:t>
            </w:r>
          </w:p>
        </w:tc>
        <w:tc>
          <w:tcPr>
            <w:tcW w:w="1666" w:type="dxa"/>
            <w:tcBorders>
              <w:top w:val="nil"/>
              <w:left w:val="nil"/>
              <w:bottom w:val="single" w:sz="4" w:space="0" w:color="auto"/>
              <w:right w:val="single" w:sz="4" w:space="0" w:color="auto"/>
            </w:tcBorders>
            <w:shd w:val="clear" w:color="auto" w:fill="auto"/>
            <w:vAlign w:val="center"/>
            <w:hideMark/>
          </w:tcPr>
          <w:p w14:paraId="5DBCAB9A"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60,470 </w:t>
            </w:r>
          </w:p>
        </w:tc>
        <w:tc>
          <w:tcPr>
            <w:tcW w:w="1974" w:type="dxa"/>
            <w:tcBorders>
              <w:top w:val="nil"/>
              <w:left w:val="nil"/>
              <w:bottom w:val="single" w:sz="4" w:space="0" w:color="auto"/>
              <w:right w:val="single" w:sz="4" w:space="0" w:color="auto"/>
            </w:tcBorders>
            <w:shd w:val="clear" w:color="auto" w:fill="auto"/>
            <w:vAlign w:val="center"/>
            <w:hideMark/>
          </w:tcPr>
          <w:p w14:paraId="2A100BE4"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302,351 </w:t>
            </w:r>
          </w:p>
        </w:tc>
        <w:tc>
          <w:tcPr>
            <w:tcW w:w="1977" w:type="dxa"/>
            <w:tcBorders>
              <w:top w:val="nil"/>
              <w:left w:val="nil"/>
              <w:bottom w:val="single" w:sz="4" w:space="0" w:color="auto"/>
              <w:right w:val="single" w:sz="4" w:space="0" w:color="auto"/>
            </w:tcBorders>
            <w:shd w:val="clear" w:color="auto" w:fill="auto"/>
            <w:vAlign w:val="center"/>
            <w:hideMark/>
          </w:tcPr>
          <w:p w14:paraId="44A4E53F"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604,702 </w:t>
            </w:r>
          </w:p>
        </w:tc>
      </w:tr>
      <w:tr w:rsidR="0054363A" w:rsidRPr="0054363A" w14:paraId="2D08E933" w14:textId="77777777" w:rsidTr="0054363A">
        <w:trPr>
          <w:trHeight w:val="231"/>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3F02BD87" w14:textId="46A4F273" w:rsidR="0054363A" w:rsidRPr="0054363A" w:rsidRDefault="0054363A" w:rsidP="0054363A">
            <w:pPr>
              <w:rPr>
                <w:rFonts w:ascii="Arial" w:eastAsia="Times New Roman" w:hAnsi="Arial" w:cs="Arial"/>
                <w:b/>
                <w:bCs/>
                <w:color w:val="000000"/>
              </w:rPr>
            </w:pPr>
            <w:r w:rsidRPr="0054363A">
              <w:rPr>
                <w:rFonts w:ascii="Arial" w:eastAsia="Times New Roman" w:hAnsi="Arial" w:cs="Arial"/>
                <w:b/>
                <w:bCs/>
                <w:color w:val="000000"/>
              </w:rPr>
              <w:t>Latin America and the Caribbean</w:t>
            </w:r>
          </w:p>
        </w:tc>
        <w:tc>
          <w:tcPr>
            <w:tcW w:w="2262" w:type="dxa"/>
            <w:tcBorders>
              <w:top w:val="nil"/>
              <w:left w:val="nil"/>
              <w:bottom w:val="single" w:sz="4" w:space="0" w:color="auto"/>
              <w:right w:val="single" w:sz="4" w:space="0" w:color="auto"/>
            </w:tcBorders>
            <w:shd w:val="clear" w:color="auto" w:fill="auto"/>
            <w:vAlign w:val="center"/>
            <w:hideMark/>
          </w:tcPr>
          <w:p w14:paraId="672DB39D"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4,657,010 </w:t>
            </w:r>
          </w:p>
        </w:tc>
        <w:tc>
          <w:tcPr>
            <w:tcW w:w="1666" w:type="dxa"/>
            <w:tcBorders>
              <w:top w:val="nil"/>
              <w:left w:val="nil"/>
              <w:bottom w:val="single" w:sz="4" w:space="0" w:color="auto"/>
              <w:right w:val="single" w:sz="4" w:space="0" w:color="auto"/>
            </w:tcBorders>
            <w:shd w:val="clear" w:color="auto" w:fill="auto"/>
            <w:vAlign w:val="center"/>
            <w:hideMark/>
          </w:tcPr>
          <w:p w14:paraId="5F508A7D"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23,285 </w:t>
            </w:r>
          </w:p>
        </w:tc>
        <w:tc>
          <w:tcPr>
            <w:tcW w:w="1666" w:type="dxa"/>
            <w:tcBorders>
              <w:top w:val="nil"/>
              <w:left w:val="nil"/>
              <w:bottom w:val="single" w:sz="4" w:space="0" w:color="auto"/>
              <w:right w:val="single" w:sz="4" w:space="0" w:color="auto"/>
            </w:tcBorders>
            <w:shd w:val="clear" w:color="auto" w:fill="auto"/>
            <w:vAlign w:val="center"/>
            <w:hideMark/>
          </w:tcPr>
          <w:p w14:paraId="2FDDD24D"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46,570 </w:t>
            </w:r>
          </w:p>
        </w:tc>
        <w:tc>
          <w:tcPr>
            <w:tcW w:w="1974" w:type="dxa"/>
            <w:tcBorders>
              <w:top w:val="nil"/>
              <w:left w:val="nil"/>
              <w:bottom w:val="single" w:sz="4" w:space="0" w:color="auto"/>
              <w:right w:val="single" w:sz="4" w:space="0" w:color="auto"/>
            </w:tcBorders>
            <w:shd w:val="clear" w:color="auto" w:fill="auto"/>
            <w:vAlign w:val="center"/>
            <w:hideMark/>
          </w:tcPr>
          <w:p w14:paraId="6BD9953C"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232,851 </w:t>
            </w:r>
          </w:p>
        </w:tc>
        <w:tc>
          <w:tcPr>
            <w:tcW w:w="1977" w:type="dxa"/>
            <w:tcBorders>
              <w:top w:val="nil"/>
              <w:left w:val="nil"/>
              <w:bottom w:val="single" w:sz="4" w:space="0" w:color="auto"/>
              <w:right w:val="single" w:sz="4" w:space="0" w:color="auto"/>
            </w:tcBorders>
            <w:shd w:val="clear" w:color="auto" w:fill="auto"/>
            <w:vAlign w:val="center"/>
            <w:hideMark/>
          </w:tcPr>
          <w:p w14:paraId="153F00A8"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465,701 </w:t>
            </w:r>
          </w:p>
        </w:tc>
      </w:tr>
      <w:tr w:rsidR="0054363A" w:rsidRPr="0054363A" w14:paraId="5F12D0F7" w14:textId="77777777" w:rsidTr="0054363A">
        <w:trPr>
          <w:trHeight w:val="231"/>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49E71DE5" w14:textId="77777777" w:rsidR="0054363A" w:rsidRPr="0054363A" w:rsidRDefault="0054363A" w:rsidP="0054363A">
            <w:pPr>
              <w:rPr>
                <w:rFonts w:ascii="Arial" w:eastAsia="Times New Roman" w:hAnsi="Arial" w:cs="Arial"/>
                <w:b/>
                <w:bCs/>
                <w:color w:val="000000"/>
              </w:rPr>
            </w:pPr>
            <w:r w:rsidRPr="0054363A">
              <w:rPr>
                <w:rFonts w:ascii="Arial" w:eastAsia="Times New Roman" w:hAnsi="Arial" w:cs="Arial"/>
                <w:b/>
                <w:bCs/>
                <w:color w:val="000000"/>
              </w:rPr>
              <w:t>Northern America</w:t>
            </w:r>
          </w:p>
        </w:tc>
        <w:tc>
          <w:tcPr>
            <w:tcW w:w="2262" w:type="dxa"/>
            <w:tcBorders>
              <w:top w:val="nil"/>
              <w:left w:val="nil"/>
              <w:bottom w:val="single" w:sz="4" w:space="0" w:color="auto"/>
              <w:right w:val="single" w:sz="4" w:space="0" w:color="auto"/>
            </w:tcBorders>
            <w:shd w:val="clear" w:color="auto" w:fill="auto"/>
            <w:vAlign w:val="center"/>
            <w:hideMark/>
          </w:tcPr>
          <w:p w14:paraId="4272C843"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2,882,310 </w:t>
            </w:r>
          </w:p>
        </w:tc>
        <w:tc>
          <w:tcPr>
            <w:tcW w:w="1666" w:type="dxa"/>
            <w:tcBorders>
              <w:top w:val="nil"/>
              <w:left w:val="nil"/>
              <w:bottom w:val="single" w:sz="4" w:space="0" w:color="auto"/>
              <w:right w:val="single" w:sz="4" w:space="0" w:color="auto"/>
            </w:tcBorders>
            <w:shd w:val="clear" w:color="auto" w:fill="auto"/>
            <w:vAlign w:val="center"/>
            <w:hideMark/>
          </w:tcPr>
          <w:p w14:paraId="487985A9"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14,412 </w:t>
            </w:r>
          </w:p>
        </w:tc>
        <w:tc>
          <w:tcPr>
            <w:tcW w:w="1666" w:type="dxa"/>
            <w:tcBorders>
              <w:top w:val="nil"/>
              <w:left w:val="nil"/>
              <w:bottom w:val="single" w:sz="4" w:space="0" w:color="auto"/>
              <w:right w:val="single" w:sz="4" w:space="0" w:color="auto"/>
            </w:tcBorders>
            <w:shd w:val="clear" w:color="auto" w:fill="auto"/>
            <w:vAlign w:val="center"/>
            <w:hideMark/>
          </w:tcPr>
          <w:p w14:paraId="79097DA2"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28,823 </w:t>
            </w:r>
          </w:p>
        </w:tc>
        <w:tc>
          <w:tcPr>
            <w:tcW w:w="1974" w:type="dxa"/>
            <w:tcBorders>
              <w:top w:val="nil"/>
              <w:left w:val="nil"/>
              <w:bottom w:val="single" w:sz="4" w:space="0" w:color="auto"/>
              <w:right w:val="single" w:sz="4" w:space="0" w:color="auto"/>
            </w:tcBorders>
            <w:shd w:val="clear" w:color="auto" w:fill="auto"/>
            <w:vAlign w:val="center"/>
            <w:hideMark/>
          </w:tcPr>
          <w:p w14:paraId="7C259680"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144,116 </w:t>
            </w:r>
          </w:p>
        </w:tc>
        <w:tc>
          <w:tcPr>
            <w:tcW w:w="1977" w:type="dxa"/>
            <w:tcBorders>
              <w:top w:val="nil"/>
              <w:left w:val="nil"/>
              <w:bottom w:val="single" w:sz="4" w:space="0" w:color="auto"/>
              <w:right w:val="single" w:sz="4" w:space="0" w:color="auto"/>
            </w:tcBorders>
            <w:shd w:val="clear" w:color="auto" w:fill="auto"/>
            <w:vAlign w:val="center"/>
            <w:hideMark/>
          </w:tcPr>
          <w:p w14:paraId="490BA702"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288,231 </w:t>
            </w:r>
          </w:p>
        </w:tc>
      </w:tr>
      <w:tr w:rsidR="0054363A" w:rsidRPr="0054363A" w14:paraId="24CA8D49" w14:textId="77777777" w:rsidTr="0054363A">
        <w:trPr>
          <w:trHeight w:val="231"/>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6FE77A61" w14:textId="13AD7028" w:rsidR="0054363A" w:rsidRPr="0054363A" w:rsidRDefault="0054363A" w:rsidP="0054363A">
            <w:pPr>
              <w:rPr>
                <w:rFonts w:ascii="Arial" w:eastAsia="Times New Roman" w:hAnsi="Arial" w:cs="Arial"/>
                <w:b/>
                <w:bCs/>
                <w:color w:val="000000"/>
              </w:rPr>
            </w:pPr>
            <w:r w:rsidRPr="0054363A">
              <w:rPr>
                <w:rFonts w:ascii="Arial" w:eastAsia="Times New Roman" w:hAnsi="Arial" w:cs="Arial"/>
                <w:b/>
                <w:bCs/>
                <w:color w:val="000000"/>
              </w:rPr>
              <w:t>Oceania</w:t>
            </w:r>
          </w:p>
        </w:tc>
        <w:tc>
          <w:tcPr>
            <w:tcW w:w="2262" w:type="dxa"/>
            <w:tcBorders>
              <w:top w:val="nil"/>
              <w:left w:val="nil"/>
              <w:bottom w:val="single" w:sz="4" w:space="0" w:color="auto"/>
              <w:right w:val="single" w:sz="4" w:space="0" w:color="auto"/>
            </w:tcBorders>
            <w:shd w:val="clear" w:color="auto" w:fill="auto"/>
            <w:vAlign w:val="center"/>
            <w:hideMark/>
          </w:tcPr>
          <w:p w14:paraId="1E4ED599"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307,540 </w:t>
            </w:r>
          </w:p>
        </w:tc>
        <w:tc>
          <w:tcPr>
            <w:tcW w:w="1666" w:type="dxa"/>
            <w:tcBorders>
              <w:top w:val="nil"/>
              <w:left w:val="nil"/>
              <w:bottom w:val="single" w:sz="4" w:space="0" w:color="auto"/>
              <w:right w:val="single" w:sz="4" w:space="0" w:color="auto"/>
            </w:tcBorders>
            <w:shd w:val="clear" w:color="auto" w:fill="auto"/>
            <w:vAlign w:val="center"/>
            <w:hideMark/>
          </w:tcPr>
          <w:p w14:paraId="516519E2"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1,538 </w:t>
            </w:r>
          </w:p>
        </w:tc>
        <w:tc>
          <w:tcPr>
            <w:tcW w:w="1666" w:type="dxa"/>
            <w:tcBorders>
              <w:top w:val="nil"/>
              <w:left w:val="nil"/>
              <w:bottom w:val="single" w:sz="4" w:space="0" w:color="auto"/>
              <w:right w:val="single" w:sz="4" w:space="0" w:color="auto"/>
            </w:tcBorders>
            <w:shd w:val="clear" w:color="auto" w:fill="auto"/>
            <w:vAlign w:val="center"/>
            <w:hideMark/>
          </w:tcPr>
          <w:p w14:paraId="2E9EE1FF"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3,075 </w:t>
            </w:r>
          </w:p>
        </w:tc>
        <w:tc>
          <w:tcPr>
            <w:tcW w:w="1974" w:type="dxa"/>
            <w:tcBorders>
              <w:top w:val="nil"/>
              <w:left w:val="nil"/>
              <w:bottom w:val="single" w:sz="4" w:space="0" w:color="auto"/>
              <w:right w:val="single" w:sz="4" w:space="0" w:color="auto"/>
            </w:tcBorders>
            <w:shd w:val="clear" w:color="auto" w:fill="auto"/>
            <w:vAlign w:val="center"/>
            <w:hideMark/>
          </w:tcPr>
          <w:p w14:paraId="2050C6E2"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15,377 </w:t>
            </w:r>
          </w:p>
        </w:tc>
        <w:tc>
          <w:tcPr>
            <w:tcW w:w="1977" w:type="dxa"/>
            <w:tcBorders>
              <w:top w:val="nil"/>
              <w:left w:val="nil"/>
              <w:bottom w:val="single" w:sz="4" w:space="0" w:color="auto"/>
              <w:right w:val="single" w:sz="4" w:space="0" w:color="auto"/>
            </w:tcBorders>
            <w:shd w:val="clear" w:color="auto" w:fill="auto"/>
            <w:vAlign w:val="center"/>
            <w:hideMark/>
          </w:tcPr>
          <w:p w14:paraId="55EA9E5F" w14:textId="77777777" w:rsidR="0054363A" w:rsidRPr="0054363A" w:rsidRDefault="0054363A" w:rsidP="0054363A">
            <w:pPr>
              <w:jc w:val="center"/>
              <w:rPr>
                <w:rFonts w:ascii="Arial" w:eastAsia="Times New Roman" w:hAnsi="Arial" w:cs="Arial"/>
                <w:color w:val="000000"/>
              </w:rPr>
            </w:pPr>
            <w:r w:rsidRPr="0054363A">
              <w:rPr>
                <w:rFonts w:ascii="Arial" w:eastAsia="Times New Roman" w:hAnsi="Arial" w:cs="Arial"/>
                <w:color w:val="000000"/>
              </w:rPr>
              <w:t xml:space="preserve">30,754 </w:t>
            </w:r>
          </w:p>
        </w:tc>
      </w:tr>
    </w:tbl>
    <w:p w14:paraId="505C8924" w14:textId="77777777" w:rsidR="00BD5215" w:rsidRDefault="00BD5215" w:rsidP="00984F55">
      <w:pPr>
        <w:rPr>
          <w:rFonts w:ascii="Arial" w:hAnsi="Arial" w:cs="Arial"/>
        </w:rPr>
      </w:pPr>
    </w:p>
    <w:p w14:paraId="09061441" w14:textId="77777777" w:rsidR="009A6EF4" w:rsidRPr="00EF59FD" w:rsidRDefault="009A6EF4" w:rsidP="00984F55">
      <w:pPr>
        <w:rPr>
          <w:rFonts w:ascii="Arial" w:hAnsi="Arial" w:cs="Arial"/>
        </w:rPr>
      </w:pPr>
    </w:p>
    <w:p w14:paraId="4943C3DA" w14:textId="0644F94F" w:rsidR="00BD5215" w:rsidRDefault="00BD5215" w:rsidP="00984F55">
      <w:pPr>
        <w:rPr>
          <w:rFonts w:ascii="Arial" w:hAnsi="Arial" w:cs="Arial"/>
        </w:rPr>
      </w:pPr>
    </w:p>
    <w:p w14:paraId="1F1CFC1B" w14:textId="77777777" w:rsidR="0054363A" w:rsidRPr="00EF59FD" w:rsidRDefault="0054363A" w:rsidP="00984F55">
      <w:pPr>
        <w:rPr>
          <w:rFonts w:ascii="Arial" w:hAnsi="Arial" w:cs="Arial"/>
        </w:rPr>
      </w:pPr>
    </w:p>
    <w:p w14:paraId="47BD4B8D" w14:textId="56AECCE3" w:rsidR="00EF59FD" w:rsidRDefault="00EF59FD">
      <w:pPr>
        <w:rPr>
          <w:rFonts w:ascii="Arial" w:hAnsi="Arial" w:cs="Arial"/>
        </w:rPr>
      </w:pPr>
    </w:p>
    <w:p w14:paraId="3FBF5614" w14:textId="2AC6C20F" w:rsidR="00E27143" w:rsidRDefault="00E27143">
      <w:pPr>
        <w:rPr>
          <w:rFonts w:ascii="Arial" w:hAnsi="Arial" w:cs="Arial"/>
          <w:b/>
          <w:bCs/>
        </w:rPr>
      </w:pPr>
    </w:p>
    <w:p w14:paraId="260F8940" w14:textId="3D50EE06" w:rsidR="00FA3196" w:rsidRDefault="00913E77">
      <w:pPr>
        <w:rPr>
          <w:rFonts w:ascii="Arial" w:hAnsi="Arial" w:cs="Arial"/>
          <w:b/>
          <w:bCs/>
        </w:rPr>
      </w:pPr>
      <w:r>
        <w:rPr>
          <w:rFonts w:ascii="Arial" w:hAnsi="Arial" w:cs="Arial"/>
          <w:b/>
          <w:bCs/>
        </w:rPr>
        <w:br w:type="page"/>
      </w:r>
    </w:p>
    <w:p w14:paraId="3D1120E3" w14:textId="77777777" w:rsidR="00FA3196" w:rsidRDefault="00FA3196">
      <w:pPr>
        <w:rPr>
          <w:rFonts w:ascii="Arial" w:hAnsi="Arial" w:cs="Arial"/>
          <w:b/>
          <w:bCs/>
        </w:rPr>
      </w:pPr>
    </w:p>
    <w:p w14:paraId="5C830E41" w14:textId="77777777" w:rsidR="00FA3196" w:rsidRDefault="00FA3196">
      <w:pPr>
        <w:rPr>
          <w:rFonts w:ascii="Arial" w:hAnsi="Arial" w:cs="Arial"/>
          <w:b/>
          <w:bCs/>
        </w:rPr>
      </w:pPr>
    </w:p>
    <w:p w14:paraId="44083365" w14:textId="29A93ECE" w:rsidR="00EF59FD" w:rsidRPr="00365938" w:rsidRDefault="00EF59FD" w:rsidP="00913E77">
      <w:pPr>
        <w:rPr>
          <w:rFonts w:ascii="Arial" w:hAnsi="Arial" w:cs="Arial"/>
          <w:b/>
          <w:bCs/>
        </w:rPr>
      </w:pPr>
      <w:r w:rsidRPr="00365938">
        <w:rPr>
          <w:rFonts w:ascii="Arial" w:hAnsi="Arial" w:cs="Arial"/>
          <w:b/>
          <w:bCs/>
        </w:rPr>
        <w:t>References</w:t>
      </w:r>
    </w:p>
    <w:p w14:paraId="09A874FF" w14:textId="77777777" w:rsidR="00EF59FD" w:rsidRDefault="00EF59FD" w:rsidP="00427511">
      <w:pPr>
        <w:widowControl w:val="0"/>
        <w:autoSpaceDE w:val="0"/>
        <w:autoSpaceDN w:val="0"/>
        <w:adjustRightInd w:val="0"/>
        <w:rPr>
          <w:rFonts w:ascii="Arial" w:hAnsi="Arial" w:cs="Arial"/>
        </w:rPr>
      </w:pPr>
    </w:p>
    <w:p w14:paraId="16E638D1" w14:textId="13546DFB" w:rsidR="00BE60E2" w:rsidRPr="00BE60E2" w:rsidRDefault="00BD5215" w:rsidP="00BE60E2">
      <w:pPr>
        <w:widowControl w:val="0"/>
        <w:autoSpaceDE w:val="0"/>
        <w:autoSpaceDN w:val="0"/>
        <w:adjustRightInd w:val="0"/>
        <w:ind w:left="640" w:hanging="640"/>
        <w:rPr>
          <w:rFonts w:ascii="Arial" w:hAnsi="Arial" w:cs="Arial"/>
          <w:noProof/>
          <w:lang w:val="en-US"/>
        </w:rPr>
      </w:pPr>
      <w:r w:rsidRPr="00EF59FD">
        <w:rPr>
          <w:rFonts w:ascii="Arial" w:hAnsi="Arial" w:cs="Arial"/>
        </w:rPr>
        <w:fldChar w:fldCharType="begin" w:fldLock="1"/>
      </w:r>
      <w:r w:rsidRPr="00EF59FD">
        <w:rPr>
          <w:rFonts w:ascii="Arial" w:hAnsi="Arial" w:cs="Arial"/>
        </w:rPr>
        <w:instrText xml:space="preserve">ADDIN Mendeley Bibliography CSL_BIBLIOGRAPHY </w:instrText>
      </w:r>
      <w:r w:rsidRPr="00EF59FD">
        <w:rPr>
          <w:rFonts w:ascii="Arial" w:hAnsi="Arial" w:cs="Arial"/>
        </w:rPr>
        <w:fldChar w:fldCharType="separate"/>
      </w:r>
      <w:r w:rsidR="00BE60E2" w:rsidRPr="00BE60E2">
        <w:rPr>
          <w:rFonts w:ascii="Arial" w:hAnsi="Arial" w:cs="Arial"/>
          <w:noProof/>
          <w:lang w:val="en-US"/>
        </w:rPr>
        <w:t xml:space="preserve">1. </w:t>
      </w:r>
      <w:r w:rsidR="00BE60E2" w:rsidRPr="00BE60E2">
        <w:rPr>
          <w:rFonts w:ascii="Arial" w:hAnsi="Arial" w:cs="Arial"/>
          <w:noProof/>
          <w:lang w:val="en-US"/>
        </w:rPr>
        <w:tab/>
        <w:t>Fricke J, Ávila G, Keller T, Weller K, Lau S, Maurer M, et al. Prevalence of chronic urticaria in children and adults across the globe: Systematic review with meta-analysis. Allergy [Internet]. 2020;75(2):423–32. Available from: https://onlinelibrary.wiley.com/doi/abs/10.1111/all.14037</w:t>
      </w:r>
    </w:p>
    <w:p w14:paraId="191E7096" w14:textId="77777777" w:rsidR="00BE60E2" w:rsidRPr="00BE60E2" w:rsidRDefault="00BE60E2" w:rsidP="00BE60E2">
      <w:pPr>
        <w:widowControl w:val="0"/>
        <w:autoSpaceDE w:val="0"/>
        <w:autoSpaceDN w:val="0"/>
        <w:adjustRightInd w:val="0"/>
        <w:ind w:left="640" w:hanging="640"/>
        <w:rPr>
          <w:rFonts w:ascii="Arial" w:hAnsi="Arial" w:cs="Arial"/>
          <w:noProof/>
          <w:lang w:val="en-US"/>
        </w:rPr>
      </w:pPr>
      <w:r w:rsidRPr="00BE60E2">
        <w:rPr>
          <w:rFonts w:ascii="Arial" w:hAnsi="Arial" w:cs="Arial"/>
          <w:noProof/>
          <w:lang w:val="en-US"/>
        </w:rPr>
        <w:t xml:space="preserve">2. </w:t>
      </w:r>
      <w:r w:rsidRPr="00BE60E2">
        <w:rPr>
          <w:rFonts w:ascii="Arial" w:hAnsi="Arial" w:cs="Arial"/>
          <w:noProof/>
          <w:lang w:val="en-US"/>
        </w:rPr>
        <w:tab/>
        <w:t xml:space="preserve">Anderson RM, Vegvari C, Truscott J, Collyer BS. Challenges in creating herd immunity to SARS-CoV-2 infection by mass vaccination. Lancet. 2020;396(10263):1614–6. </w:t>
      </w:r>
    </w:p>
    <w:p w14:paraId="3FD1E8FC" w14:textId="77777777" w:rsidR="00BE60E2" w:rsidRPr="00BE60E2" w:rsidRDefault="00BE60E2" w:rsidP="00BE60E2">
      <w:pPr>
        <w:widowControl w:val="0"/>
        <w:autoSpaceDE w:val="0"/>
        <w:autoSpaceDN w:val="0"/>
        <w:adjustRightInd w:val="0"/>
        <w:ind w:left="640" w:hanging="640"/>
        <w:rPr>
          <w:rFonts w:ascii="Arial" w:hAnsi="Arial" w:cs="Arial"/>
          <w:noProof/>
          <w:lang w:val="en-US"/>
        </w:rPr>
      </w:pPr>
      <w:r w:rsidRPr="00BE60E2">
        <w:rPr>
          <w:rFonts w:ascii="Arial" w:hAnsi="Arial" w:cs="Arial"/>
          <w:noProof/>
          <w:lang w:val="en-US"/>
        </w:rPr>
        <w:t xml:space="preserve">3. </w:t>
      </w:r>
      <w:r w:rsidRPr="00BE60E2">
        <w:rPr>
          <w:rFonts w:ascii="Arial" w:hAnsi="Arial" w:cs="Arial"/>
          <w:noProof/>
          <w:lang w:val="en-US"/>
        </w:rPr>
        <w:tab/>
        <w:t>Finney Rutten LJ, Zhu X, Leppin A, Ridgeway JL, Swift M, Griffin JM, et al. Evidence-Based Strategies for Clinical Organizations to Address COVID-19 Vaccine Hesitancy. Mayo Clin Proc [Internet]. 2020; Available from: https://doi.org/10.1016/j.mayocp.2020.12.024</w:t>
      </w:r>
    </w:p>
    <w:p w14:paraId="72E3D1C0" w14:textId="77777777" w:rsidR="00BE60E2" w:rsidRPr="00BE60E2" w:rsidRDefault="00BE60E2" w:rsidP="00BE60E2">
      <w:pPr>
        <w:widowControl w:val="0"/>
        <w:autoSpaceDE w:val="0"/>
        <w:autoSpaceDN w:val="0"/>
        <w:adjustRightInd w:val="0"/>
        <w:ind w:left="640" w:hanging="640"/>
        <w:rPr>
          <w:rFonts w:ascii="Arial" w:hAnsi="Arial" w:cs="Arial"/>
          <w:noProof/>
          <w:lang w:val="en-US"/>
        </w:rPr>
      </w:pPr>
      <w:r w:rsidRPr="00BE60E2">
        <w:rPr>
          <w:rFonts w:ascii="Arial" w:hAnsi="Arial" w:cs="Arial"/>
          <w:noProof/>
          <w:lang w:val="en-US"/>
        </w:rPr>
        <w:t xml:space="preserve">4. </w:t>
      </w:r>
      <w:r w:rsidRPr="00BE60E2">
        <w:rPr>
          <w:rFonts w:ascii="Arial" w:hAnsi="Arial" w:cs="Arial"/>
          <w:noProof/>
          <w:lang w:val="en-US"/>
        </w:rPr>
        <w:tab/>
        <w:t>Shimabukuro TT, Cole M, Su JR. Reports of Anaphylaxis After Receipt of mRNA COVID-19 Vaccines in the US—December 14, 2020-January 18, 2021. JAMA [Internet]. 2021 Feb 12; Available from: https://doi.org/10.1001/jama.2021.1967</w:t>
      </w:r>
    </w:p>
    <w:p w14:paraId="28F2BA86" w14:textId="77777777" w:rsidR="00BE60E2" w:rsidRPr="00BE60E2" w:rsidRDefault="00BE60E2" w:rsidP="00BE60E2">
      <w:pPr>
        <w:widowControl w:val="0"/>
        <w:autoSpaceDE w:val="0"/>
        <w:autoSpaceDN w:val="0"/>
        <w:adjustRightInd w:val="0"/>
        <w:ind w:left="640" w:hanging="640"/>
        <w:rPr>
          <w:rFonts w:ascii="Arial" w:hAnsi="Arial" w:cs="Arial"/>
          <w:noProof/>
          <w:lang w:val="en-US"/>
        </w:rPr>
      </w:pPr>
      <w:r w:rsidRPr="00BE60E2">
        <w:rPr>
          <w:rFonts w:ascii="Arial" w:hAnsi="Arial" w:cs="Arial"/>
          <w:noProof/>
          <w:lang w:val="en-US"/>
        </w:rPr>
        <w:t xml:space="preserve">5. </w:t>
      </w:r>
      <w:r w:rsidRPr="00BE60E2">
        <w:rPr>
          <w:rFonts w:ascii="Arial" w:hAnsi="Arial" w:cs="Arial"/>
          <w:noProof/>
          <w:lang w:val="en-US"/>
        </w:rPr>
        <w:tab/>
        <w:t xml:space="preserve">Caubet J, Ponvert C. Vaccine Allergy. Immunol Allergy Clin N Am. 2014;34:597–613. </w:t>
      </w:r>
    </w:p>
    <w:p w14:paraId="02EA5F41" w14:textId="77777777" w:rsidR="00BE60E2" w:rsidRPr="00BE60E2" w:rsidRDefault="00BE60E2" w:rsidP="00BE60E2">
      <w:pPr>
        <w:widowControl w:val="0"/>
        <w:autoSpaceDE w:val="0"/>
        <w:autoSpaceDN w:val="0"/>
        <w:adjustRightInd w:val="0"/>
        <w:ind w:left="640" w:hanging="640"/>
        <w:rPr>
          <w:rFonts w:ascii="Arial" w:hAnsi="Arial" w:cs="Arial"/>
          <w:noProof/>
          <w:lang w:val="en-US"/>
        </w:rPr>
      </w:pPr>
      <w:r w:rsidRPr="00BE60E2">
        <w:rPr>
          <w:rFonts w:ascii="Arial" w:hAnsi="Arial" w:cs="Arial"/>
          <w:noProof/>
          <w:lang w:val="en-US"/>
        </w:rPr>
        <w:t xml:space="preserve">6. </w:t>
      </w:r>
      <w:r w:rsidRPr="00BE60E2">
        <w:rPr>
          <w:rFonts w:ascii="Arial" w:hAnsi="Arial" w:cs="Arial"/>
          <w:noProof/>
          <w:lang w:val="en-US"/>
        </w:rPr>
        <w:tab/>
        <w:t xml:space="preserve">Halsey NA, Griffioen M, Dreskin SC, Dekker CL, Wood R, Sharma D, et al. Immediate hypersensitivity reactions following monovalent 2009 pandemic influenza A (H1N1) vaccines: Reports to VAERS. Vaccine. 2013;31(51):6107–12. </w:t>
      </w:r>
    </w:p>
    <w:p w14:paraId="7454F968" w14:textId="77777777" w:rsidR="00BE60E2" w:rsidRPr="00BE60E2" w:rsidRDefault="00BE60E2" w:rsidP="00BE60E2">
      <w:pPr>
        <w:widowControl w:val="0"/>
        <w:autoSpaceDE w:val="0"/>
        <w:autoSpaceDN w:val="0"/>
        <w:adjustRightInd w:val="0"/>
        <w:ind w:left="640" w:hanging="640"/>
        <w:rPr>
          <w:rFonts w:ascii="Arial" w:hAnsi="Arial" w:cs="Arial"/>
          <w:noProof/>
          <w:lang w:val="en-US"/>
        </w:rPr>
      </w:pPr>
      <w:r w:rsidRPr="00BE60E2">
        <w:rPr>
          <w:rFonts w:ascii="Arial" w:hAnsi="Arial" w:cs="Arial"/>
          <w:noProof/>
          <w:lang w:val="en-US"/>
        </w:rPr>
        <w:t xml:space="preserve">7. </w:t>
      </w:r>
      <w:r w:rsidRPr="00BE60E2">
        <w:rPr>
          <w:rFonts w:ascii="Arial" w:hAnsi="Arial" w:cs="Arial"/>
          <w:noProof/>
          <w:lang w:val="en-US"/>
        </w:rPr>
        <w:tab/>
        <w:t xml:space="preserve">Magen E, Shalom G, Waitman D-A, Kahan N. Chronic Spontaneous Urticaria Following Vaccination. Int J Adv Res. 2018;6(2):1434–9. </w:t>
      </w:r>
    </w:p>
    <w:p w14:paraId="7AF0FED8" w14:textId="77777777" w:rsidR="00BE60E2" w:rsidRPr="00BE60E2" w:rsidRDefault="00BE60E2" w:rsidP="00BE60E2">
      <w:pPr>
        <w:widowControl w:val="0"/>
        <w:autoSpaceDE w:val="0"/>
        <w:autoSpaceDN w:val="0"/>
        <w:adjustRightInd w:val="0"/>
        <w:ind w:left="640" w:hanging="640"/>
        <w:rPr>
          <w:rFonts w:ascii="Arial" w:hAnsi="Arial" w:cs="Arial"/>
          <w:noProof/>
          <w:lang w:val="en-US"/>
        </w:rPr>
      </w:pPr>
      <w:r w:rsidRPr="00BE60E2">
        <w:rPr>
          <w:rFonts w:ascii="Arial" w:hAnsi="Arial" w:cs="Arial"/>
          <w:noProof/>
          <w:lang w:val="en-US"/>
        </w:rPr>
        <w:t xml:space="preserve">8. </w:t>
      </w:r>
      <w:r w:rsidRPr="00BE60E2">
        <w:rPr>
          <w:rFonts w:ascii="Arial" w:hAnsi="Arial" w:cs="Arial"/>
          <w:noProof/>
          <w:lang w:val="en-US"/>
        </w:rPr>
        <w:tab/>
        <w:t xml:space="preserve">Maurer M, Houghton K, Costa C, Dabove F, Ensina LF, Giménez-Arnau A, et al. Differences in chronic spontaneous urticaria between Europe and Central/South America: results of the multi-center real world AWARE study. World Allergy Organ J. 2018;11(1):1–10. </w:t>
      </w:r>
    </w:p>
    <w:p w14:paraId="0A6DA32D" w14:textId="77777777" w:rsidR="00BE60E2" w:rsidRPr="00BE60E2" w:rsidRDefault="00BE60E2" w:rsidP="00BE60E2">
      <w:pPr>
        <w:widowControl w:val="0"/>
        <w:autoSpaceDE w:val="0"/>
        <w:autoSpaceDN w:val="0"/>
        <w:adjustRightInd w:val="0"/>
        <w:ind w:left="640" w:hanging="640"/>
        <w:rPr>
          <w:rFonts w:ascii="Arial" w:hAnsi="Arial" w:cs="Arial"/>
          <w:noProof/>
        </w:rPr>
      </w:pPr>
      <w:r w:rsidRPr="00BE60E2">
        <w:rPr>
          <w:rFonts w:ascii="Arial" w:hAnsi="Arial" w:cs="Arial"/>
          <w:noProof/>
          <w:lang w:val="en-US"/>
        </w:rPr>
        <w:t xml:space="preserve">9. </w:t>
      </w:r>
      <w:r w:rsidRPr="00BE60E2">
        <w:rPr>
          <w:rFonts w:ascii="Arial" w:hAnsi="Arial" w:cs="Arial"/>
          <w:noProof/>
          <w:lang w:val="en-US"/>
        </w:rPr>
        <w:tab/>
        <w:t xml:space="preserve">Arnold J, Winthrop K, Emery P. COVID-19 vaccination and antirheumatic therapy. Rheumatology. 2021;(March):1–7. </w:t>
      </w:r>
    </w:p>
    <w:p w14:paraId="6F2E6874" w14:textId="21B757FC" w:rsidR="00BD5215" w:rsidRPr="00EF59FD" w:rsidRDefault="00BD5215" w:rsidP="00BE60E2">
      <w:pPr>
        <w:widowControl w:val="0"/>
        <w:autoSpaceDE w:val="0"/>
        <w:autoSpaceDN w:val="0"/>
        <w:adjustRightInd w:val="0"/>
        <w:ind w:left="640" w:hanging="640"/>
        <w:rPr>
          <w:rFonts w:ascii="Arial" w:hAnsi="Arial" w:cs="Arial"/>
        </w:rPr>
      </w:pPr>
      <w:r w:rsidRPr="00EF59FD">
        <w:rPr>
          <w:rFonts w:ascii="Arial" w:hAnsi="Arial" w:cs="Arial"/>
        </w:rPr>
        <w:fldChar w:fldCharType="end"/>
      </w:r>
    </w:p>
    <w:sectPr w:rsidR="00BD5215" w:rsidRPr="00EF59FD" w:rsidSect="00727515">
      <w:pgSz w:w="11900" w:h="16840"/>
      <w:pgMar w:top="144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A6277"/>
    <w:multiLevelType w:val="hybridMultilevel"/>
    <w:tmpl w:val="128E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4215E"/>
    <w:multiLevelType w:val="hybridMultilevel"/>
    <w:tmpl w:val="9CB08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55"/>
    <w:rsid w:val="00001A99"/>
    <w:rsid w:val="00031FF8"/>
    <w:rsid w:val="00037445"/>
    <w:rsid w:val="00046A99"/>
    <w:rsid w:val="000805BF"/>
    <w:rsid w:val="00094348"/>
    <w:rsid w:val="0009584B"/>
    <w:rsid w:val="000A325D"/>
    <w:rsid w:val="000B7CB4"/>
    <w:rsid w:val="000C586A"/>
    <w:rsid w:val="000D2B0B"/>
    <w:rsid w:val="000D52AD"/>
    <w:rsid w:val="000D5D2E"/>
    <w:rsid w:val="000F6A68"/>
    <w:rsid w:val="000F6AF8"/>
    <w:rsid w:val="00100B7C"/>
    <w:rsid w:val="001045DB"/>
    <w:rsid w:val="0011174C"/>
    <w:rsid w:val="0011320A"/>
    <w:rsid w:val="00124528"/>
    <w:rsid w:val="001246A8"/>
    <w:rsid w:val="00125BB8"/>
    <w:rsid w:val="001369A4"/>
    <w:rsid w:val="00143210"/>
    <w:rsid w:val="00155EDB"/>
    <w:rsid w:val="00166973"/>
    <w:rsid w:val="00172AD2"/>
    <w:rsid w:val="00174257"/>
    <w:rsid w:val="00177D97"/>
    <w:rsid w:val="0018260E"/>
    <w:rsid w:val="00194222"/>
    <w:rsid w:val="00196189"/>
    <w:rsid w:val="001A02B8"/>
    <w:rsid w:val="001A7124"/>
    <w:rsid w:val="001B3623"/>
    <w:rsid w:val="001D1599"/>
    <w:rsid w:val="001D5D42"/>
    <w:rsid w:val="001E68E6"/>
    <w:rsid w:val="001F47E5"/>
    <w:rsid w:val="001F5476"/>
    <w:rsid w:val="001F5EAE"/>
    <w:rsid w:val="001F65B5"/>
    <w:rsid w:val="0020405B"/>
    <w:rsid w:val="002060D7"/>
    <w:rsid w:val="00230BA1"/>
    <w:rsid w:val="00234ADE"/>
    <w:rsid w:val="00246892"/>
    <w:rsid w:val="00252CD5"/>
    <w:rsid w:val="0025385D"/>
    <w:rsid w:val="00264941"/>
    <w:rsid w:val="00282CDB"/>
    <w:rsid w:val="00285E09"/>
    <w:rsid w:val="002C33E6"/>
    <w:rsid w:val="002C4FE8"/>
    <w:rsid w:val="002D2FF5"/>
    <w:rsid w:val="002D36E3"/>
    <w:rsid w:val="002E3F79"/>
    <w:rsid w:val="002F01A6"/>
    <w:rsid w:val="0031597D"/>
    <w:rsid w:val="0031696D"/>
    <w:rsid w:val="00356C33"/>
    <w:rsid w:val="00365938"/>
    <w:rsid w:val="00373A47"/>
    <w:rsid w:val="00375F74"/>
    <w:rsid w:val="003821FB"/>
    <w:rsid w:val="003B6B87"/>
    <w:rsid w:val="003F010B"/>
    <w:rsid w:val="00400F3C"/>
    <w:rsid w:val="0040247A"/>
    <w:rsid w:val="00411A21"/>
    <w:rsid w:val="00427511"/>
    <w:rsid w:val="00433270"/>
    <w:rsid w:val="0043792D"/>
    <w:rsid w:val="004508B0"/>
    <w:rsid w:val="00473923"/>
    <w:rsid w:val="004846FE"/>
    <w:rsid w:val="00495552"/>
    <w:rsid w:val="004964F9"/>
    <w:rsid w:val="004A0212"/>
    <w:rsid w:val="004A346E"/>
    <w:rsid w:val="004C5336"/>
    <w:rsid w:val="004D4EDA"/>
    <w:rsid w:val="004E1FAA"/>
    <w:rsid w:val="00515629"/>
    <w:rsid w:val="005410FB"/>
    <w:rsid w:val="0054363A"/>
    <w:rsid w:val="00571D3D"/>
    <w:rsid w:val="0058579A"/>
    <w:rsid w:val="005904B4"/>
    <w:rsid w:val="00596482"/>
    <w:rsid w:val="005A5D53"/>
    <w:rsid w:val="005D6FB7"/>
    <w:rsid w:val="005D7D2D"/>
    <w:rsid w:val="005E5759"/>
    <w:rsid w:val="005F276D"/>
    <w:rsid w:val="00603A42"/>
    <w:rsid w:val="0061127A"/>
    <w:rsid w:val="006141AB"/>
    <w:rsid w:val="0064121E"/>
    <w:rsid w:val="00646794"/>
    <w:rsid w:val="0066122E"/>
    <w:rsid w:val="00663412"/>
    <w:rsid w:val="0066569A"/>
    <w:rsid w:val="006868AD"/>
    <w:rsid w:val="0069297D"/>
    <w:rsid w:val="006A2426"/>
    <w:rsid w:val="006A6D80"/>
    <w:rsid w:val="006D0CA7"/>
    <w:rsid w:val="006F17E1"/>
    <w:rsid w:val="006F5838"/>
    <w:rsid w:val="006F7AC8"/>
    <w:rsid w:val="00714D2F"/>
    <w:rsid w:val="007250C6"/>
    <w:rsid w:val="00727515"/>
    <w:rsid w:val="0073606A"/>
    <w:rsid w:val="00752240"/>
    <w:rsid w:val="00756BDD"/>
    <w:rsid w:val="00771039"/>
    <w:rsid w:val="00771CD9"/>
    <w:rsid w:val="0077552C"/>
    <w:rsid w:val="00777EA4"/>
    <w:rsid w:val="007A4943"/>
    <w:rsid w:val="007F27DD"/>
    <w:rsid w:val="007F5A90"/>
    <w:rsid w:val="00806D27"/>
    <w:rsid w:val="0082442E"/>
    <w:rsid w:val="00863C52"/>
    <w:rsid w:val="00883021"/>
    <w:rsid w:val="0088538A"/>
    <w:rsid w:val="008D4014"/>
    <w:rsid w:val="00913E77"/>
    <w:rsid w:val="00922CB5"/>
    <w:rsid w:val="009340BF"/>
    <w:rsid w:val="00953810"/>
    <w:rsid w:val="00963F60"/>
    <w:rsid w:val="00967A33"/>
    <w:rsid w:val="00977722"/>
    <w:rsid w:val="00980CAC"/>
    <w:rsid w:val="00984F55"/>
    <w:rsid w:val="00993027"/>
    <w:rsid w:val="009A6EF4"/>
    <w:rsid w:val="009B3DA6"/>
    <w:rsid w:val="009C06AC"/>
    <w:rsid w:val="009D29E4"/>
    <w:rsid w:val="009E0DB7"/>
    <w:rsid w:val="009F32C2"/>
    <w:rsid w:val="009F548A"/>
    <w:rsid w:val="00A0629C"/>
    <w:rsid w:val="00A61196"/>
    <w:rsid w:val="00A82518"/>
    <w:rsid w:val="00AB067B"/>
    <w:rsid w:val="00AB15C7"/>
    <w:rsid w:val="00AB511E"/>
    <w:rsid w:val="00AC719E"/>
    <w:rsid w:val="00AD654D"/>
    <w:rsid w:val="00B24D1E"/>
    <w:rsid w:val="00B4015E"/>
    <w:rsid w:val="00B51FC2"/>
    <w:rsid w:val="00B94CA2"/>
    <w:rsid w:val="00BA48C8"/>
    <w:rsid w:val="00BB27E6"/>
    <w:rsid w:val="00BD5215"/>
    <w:rsid w:val="00BE1432"/>
    <w:rsid w:val="00BE60E2"/>
    <w:rsid w:val="00BF4152"/>
    <w:rsid w:val="00BF7E7C"/>
    <w:rsid w:val="00C00F2F"/>
    <w:rsid w:val="00C0102B"/>
    <w:rsid w:val="00C176FD"/>
    <w:rsid w:val="00C2030C"/>
    <w:rsid w:val="00C508D1"/>
    <w:rsid w:val="00C54F61"/>
    <w:rsid w:val="00C555DD"/>
    <w:rsid w:val="00C9433B"/>
    <w:rsid w:val="00CC50F7"/>
    <w:rsid w:val="00CE5F9F"/>
    <w:rsid w:val="00CE68CE"/>
    <w:rsid w:val="00D018C4"/>
    <w:rsid w:val="00D1633F"/>
    <w:rsid w:val="00D510FB"/>
    <w:rsid w:val="00D60072"/>
    <w:rsid w:val="00DB1936"/>
    <w:rsid w:val="00DD5868"/>
    <w:rsid w:val="00DE2B98"/>
    <w:rsid w:val="00DF5917"/>
    <w:rsid w:val="00DF6E77"/>
    <w:rsid w:val="00E13702"/>
    <w:rsid w:val="00E23E55"/>
    <w:rsid w:val="00E27143"/>
    <w:rsid w:val="00E50BB4"/>
    <w:rsid w:val="00E716F2"/>
    <w:rsid w:val="00E83830"/>
    <w:rsid w:val="00E84674"/>
    <w:rsid w:val="00EA0316"/>
    <w:rsid w:val="00EA1EC8"/>
    <w:rsid w:val="00EA2273"/>
    <w:rsid w:val="00EA6969"/>
    <w:rsid w:val="00EB6822"/>
    <w:rsid w:val="00ED051E"/>
    <w:rsid w:val="00EF4D3D"/>
    <w:rsid w:val="00EF59FD"/>
    <w:rsid w:val="00EF61E4"/>
    <w:rsid w:val="00F00017"/>
    <w:rsid w:val="00F20119"/>
    <w:rsid w:val="00F344E5"/>
    <w:rsid w:val="00F5641B"/>
    <w:rsid w:val="00FA3196"/>
    <w:rsid w:val="00FA5634"/>
    <w:rsid w:val="00FA61A4"/>
    <w:rsid w:val="00FB2F3B"/>
    <w:rsid w:val="00FB3E7D"/>
    <w:rsid w:val="00FC7C45"/>
    <w:rsid w:val="00FE1A63"/>
    <w:rsid w:val="00FF7D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ABDA"/>
  <w14:defaultImageDpi w14:val="32767"/>
  <w15:docId w15:val="{0F8D60F9-EA15-1C48-8BCC-8D44F86A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47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55"/>
    <w:pPr>
      <w:ind w:left="720"/>
      <w:contextualSpacing/>
    </w:pPr>
  </w:style>
  <w:style w:type="character" w:styleId="Hyperlink">
    <w:name w:val="Hyperlink"/>
    <w:basedOn w:val="DefaultParagraphFont"/>
    <w:uiPriority w:val="99"/>
    <w:unhideWhenUsed/>
    <w:rsid w:val="00984F55"/>
    <w:rPr>
      <w:color w:val="0563C1" w:themeColor="hyperlink"/>
      <w:u w:val="single"/>
    </w:rPr>
  </w:style>
  <w:style w:type="character" w:customStyle="1" w:styleId="UnresolvedMention1">
    <w:name w:val="Unresolved Mention1"/>
    <w:basedOn w:val="DefaultParagraphFont"/>
    <w:uiPriority w:val="99"/>
    <w:rsid w:val="00984F55"/>
    <w:rPr>
      <w:color w:val="605E5C"/>
      <w:shd w:val="clear" w:color="auto" w:fill="E1DFDD"/>
    </w:rPr>
  </w:style>
  <w:style w:type="character" w:styleId="FollowedHyperlink">
    <w:name w:val="FollowedHyperlink"/>
    <w:basedOn w:val="DefaultParagraphFont"/>
    <w:uiPriority w:val="99"/>
    <w:semiHidden/>
    <w:unhideWhenUsed/>
    <w:rsid w:val="00984F55"/>
    <w:rPr>
      <w:color w:val="954F72" w:themeColor="followedHyperlink"/>
      <w:u w:val="single"/>
    </w:rPr>
  </w:style>
  <w:style w:type="paragraph" w:styleId="BalloonText">
    <w:name w:val="Balloon Text"/>
    <w:basedOn w:val="Normal"/>
    <w:link w:val="BalloonTextChar"/>
    <w:uiPriority w:val="99"/>
    <w:semiHidden/>
    <w:unhideWhenUsed/>
    <w:rsid w:val="007522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22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3270"/>
    <w:rPr>
      <w:sz w:val="16"/>
      <w:szCs w:val="16"/>
    </w:rPr>
  </w:style>
  <w:style w:type="paragraph" w:styleId="CommentText">
    <w:name w:val="annotation text"/>
    <w:basedOn w:val="Normal"/>
    <w:link w:val="CommentTextChar"/>
    <w:uiPriority w:val="99"/>
    <w:semiHidden/>
    <w:unhideWhenUsed/>
    <w:rsid w:val="00433270"/>
    <w:rPr>
      <w:sz w:val="20"/>
      <w:szCs w:val="20"/>
    </w:rPr>
  </w:style>
  <w:style w:type="character" w:customStyle="1" w:styleId="CommentTextChar">
    <w:name w:val="Comment Text Char"/>
    <w:basedOn w:val="DefaultParagraphFont"/>
    <w:link w:val="CommentText"/>
    <w:uiPriority w:val="99"/>
    <w:semiHidden/>
    <w:rsid w:val="00433270"/>
    <w:rPr>
      <w:sz w:val="20"/>
      <w:szCs w:val="20"/>
    </w:rPr>
  </w:style>
  <w:style w:type="paragraph" w:styleId="CommentSubject">
    <w:name w:val="annotation subject"/>
    <w:basedOn w:val="CommentText"/>
    <w:next w:val="CommentText"/>
    <w:link w:val="CommentSubjectChar"/>
    <w:uiPriority w:val="99"/>
    <w:semiHidden/>
    <w:unhideWhenUsed/>
    <w:rsid w:val="00433270"/>
    <w:rPr>
      <w:b/>
      <w:bCs/>
    </w:rPr>
  </w:style>
  <w:style w:type="character" w:customStyle="1" w:styleId="CommentSubjectChar">
    <w:name w:val="Comment Subject Char"/>
    <w:basedOn w:val="CommentTextChar"/>
    <w:link w:val="CommentSubject"/>
    <w:uiPriority w:val="99"/>
    <w:semiHidden/>
    <w:rsid w:val="00433270"/>
    <w:rPr>
      <w:b/>
      <w:bCs/>
      <w:sz w:val="20"/>
      <w:szCs w:val="20"/>
    </w:rPr>
  </w:style>
  <w:style w:type="table" w:styleId="TableGrid">
    <w:name w:val="Table Grid"/>
    <w:basedOn w:val="TableNormal"/>
    <w:uiPriority w:val="39"/>
    <w:rsid w:val="006F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issue">
    <w:name w:val="volume-issue"/>
    <w:basedOn w:val="Normal"/>
    <w:rsid w:val="00177D97"/>
    <w:pPr>
      <w:spacing w:before="100" w:beforeAutospacing="1" w:after="100" w:afterAutospacing="1"/>
    </w:pPr>
    <w:rPr>
      <w:rFonts w:ascii="Times New Roman" w:eastAsia="Times New Roman" w:hAnsi="Times New Roman" w:cs="Times New Roman"/>
      <w:lang w:eastAsia="en-GB"/>
    </w:rPr>
  </w:style>
  <w:style w:type="character" w:customStyle="1" w:styleId="val">
    <w:name w:val="val"/>
    <w:basedOn w:val="DefaultParagraphFont"/>
    <w:rsid w:val="00177D97"/>
  </w:style>
  <w:style w:type="paragraph" w:styleId="NormalWeb">
    <w:name w:val="Normal (Web)"/>
    <w:basedOn w:val="Normal"/>
    <w:uiPriority w:val="99"/>
    <w:semiHidden/>
    <w:unhideWhenUsed/>
    <w:rsid w:val="00177D97"/>
    <w:pPr>
      <w:spacing w:before="100" w:beforeAutospacing="1" w:after="100" w:afterAutospacing="1"/>
    </w:pPr>
    <w:rPr>
      <w:rFonts w:ascii="Times New Roman" w:eastAsia="Times New Roman" w:hAnsi="Times New Roman" w:cs="Times New Roman"/>
      <w:lang w:eastAsia="en-GB"/>
    </w:rPr>
  </w:style>
  <w:style w:type="paragraph" w:customStyle="1" w:styleId="page-range">
    <w:name w:val="page-range"/>
    <w:basedOn w:val="Normal"/>
    <w:rsid w:val="00177D9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1597D"/>
  </w:style>
  <w:style w:type="character" w:customStyle="1" w:styleId="Heading1Char">
    <w:name w:val="Heading 1 Char"/>
    <w:basedOn w:val="DefaultParagraphFont"/>
    <w:link w:val="Heading1"/>
    <w:uiPriority w:val="9"/>
    <w:rsid w:val="001F5476"/>
    <w:rPr>
      <w:rFonts w:ascii="Times New Roman" w:eastAsia="Times New Roman" w:hAnsi="Times New Roman" w:cs="Times New Roman"/>
      <w:b/>
      <w:bCs/>
      <w:kern w:val="36"/>
      <w:sz w:val="48"/>
      <w:szCs w:val="48"/>
      <w:lang w:eastAsia="en-GB"/>
    </w:rPr>
  </w:style>
  <w:style w:type="character" w:customStyle="1" w:styleId="month">
    <w:name w:val="month"/>
    <w:basedOn w:val="DefaultParagraphFont"/>
    <w:rsid w:val="001F5476"/>
  </w:style>
  <w:style w:type="character" w:customStyle="1" w:styleId="day">
    <w:name w:val="day"/>
    <w:basedOn w:val="DefaultParagraphFont"/>
    <w:rsid w:val="001F5476"/>
  </w:style>
  <w:style w:type="character" w:customStyle="1" w:styleId="year">
    <w:name w:val="year"/>
    <w:basedOn w:val="DefaultParagraphFont"/>
    <w:rsid w:val="001F5476"/>
  </w:style>
  <w:style w:type="character" w:customStyle="1" w:styleId="wi-fullname">
    <w:name w:val="wi-fullname"/>
    <w:basedOn w:val="DefaultParagraphFont"/>
    <w:rsid w:val="001F5476"/>
  </w:style>
  <w:style w:type="character" w:customStyle="1" w:styleId="al-author-delim">
    <w:name w:val="al-author-delim"/>
    <w:basedOn w:val="DefaultParagraphFont"/>
    <w:rsid w:val="001F5476"/>
  </w:style>
  <w:style w:type="character" w:styleId="LineNumber">
    <w:name w:val="line number"/>
    <w:basedOn w:val="DefaultParagraphFont"/>
    <w:uiPriority w:val="99"/>
    <w:semiHidden/>
    <w:unhideWhenUsed/>
    <w:rsid w:val="000F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83">
      <w:bodyDiv w:val="1"/>
      <w:marLeft w:val="0"/>
      <w:marRight w:val="0"/>
      <w:marTop w:val="0"/>
      <w:marBottom w:val="0"/>
      <w:divBdr>
        <w:top w:val="none" w:sz="0" w:space="0" w:color="auto"/>
        <w:left w:val="none" w:sz="0" w:space="0" w:color="auto"/>
        <w:bottom w:val="none" w:sz="0" w:space="0" w:color="auto"/>
        <w:right w:val="none" w:sz="0" w:space="0" w:color="auto"/>
      </w:divBdr>
    </w:div>
    <w:div w:id="77755131">
      <w:bodyDiv w:val="1"/>
      <w:marLeft w:val="0"/>
      <w:marRight w:val="0"/>
      <w:marTop w:val="0"/>
      <w:marBottom w:val="0"/>
      <w:divBdr>
        <w:top w:val="none" w:sz="0" w:space="0" w:color="auto"/>
        <w:left w:val="none" w:sz="0" w:space="0" w:color="auto"/>
        <w:bottom w:val="none" w:sz="0" w:space="0" w:color="auto"/>
        <w:right w:val="none" w:sz="0" w:space="0" w:color="auto"/>
      </w:divBdr>
    </w:div>
    <w:div w:id="245381695">
      <w:bodyDiv w:val="1"/>
      <w:marLeft w:val="0"/>
      <w:marRight w:val="0"/>
      <w:marTop w:val="0"/>
      <w:marBottom w:val="0"/>
      <w:divBdr>
        <w:top w:val="none" w:sz="0" w:space="0" w:color="auto"/>
        <w:left w:val="none" w:sz="0" w:space="0" w:color="auto"/>
        <w:bottom w:val="none" w:sz="0" w:space="0" w:color="auto"/>
        <w:right w:val="none" w:sz="0" w:space="0" w:color="auto"/>
      </w:divBdr>
      <w:divsChild>
        <w:div w:id="894121789">
          <w:marLeft w:val="0"/>
          <w:marRight w:val="0"/>
          <w:marTop w:val="0"/>
          <w:marBottom w:val="120"/>
          <w:divBdr>
            <w:top w:val="none" w:sz="0" w:space="0" w:color="auto"/>
            <w:left w:val="none" w:sz="0" w:space="0" w:color="auto"/>
            <w:bottom w:val="none" w:sz="0" w:space="0" w:color="auto"/>
            <w:right w:val="none" w:sz="0" w:space="0" w:color="auto"/>
          </w:divBdr>
          <w:divsChild>
            <w:div w:id="284626853">
              <w:marLeft w:val="0"/>
              <w:marRight w:val="0"/>
              <w:marTop w:val="0"/>
              <w:marBottom w:val="72"/>
              <w:divBdr>
                <w:top w:val="none" w:sz="0" w:space="0" w:color="auto"/>
                <w:left w:val="none" w:sz="0" w:space="0" w:color="auto"/>
                <w:bottom w:val="none" w:sz="0" w:space="0" w:color="auto"/>
                <w:right w:val="none" w:sz="0" w:space="0" w:color="auto"/>
              </w:divBdr>
            </w:div>
          </w:divsChild>
        </w:div>
        <w:div w:id="883521579">
          <w:marLeft w:val="0"/>
          <w:marRight w:val="0"/>
          <w:marTop w:val="0"/>
          <w:marBottom w:val="48"/>
          <w:divBdr>
            <w:top w:val="none" w:sz="0" w:space="0" w:color="auto"/>
            <w:left w:val="none" w:sz="0" w:space="0" w:color="auto"/>
            <w:bottom w:val="none" w:sz="0" w:space="0" w:color="auto"/>
            <w:right w:val="none" w:sz="0" w:space="0" w:color="auto"/>
          </w:divBdr>
        </w:div>
        <w:div w:id="972372630">
          <w:marLeft w:val="0"/>
          <w:marRight w:val="0"/>
          <w:marTop w:val="0"/>
          <w:marBottom w:val="0"/>
          <w:divBdr>
            <w:top w:val="none" w:sz="0" w:space="0" w:color="auto"/>
            <w:left w:val="none" w:sz="0" w:space="0" w:color="auto"/>
            <w:bottom w:val="none" w:sz="0" w:space="0" w:color="auto"/>
            <w:right w:val="none" w:sz="0" w:space="0" w:color="auto"/>
          </w:divBdr>
        </w:div>
        <w:div w:id="725370345">
          <w:marLeft w:val="0"/>
          <w:marRight w:val="0"/>
          <w:marTop w:val="0"/>
          <w:marBottom w:val="180"/>
          <w:divBdr>
            <w:top w:val="none" w:sz="0" w:space="0" w:color="auto"/>
            <w:left w:val="none" w:sz="0" w:space="0" w:color="auto"/>
            <w:bottom w:val="none" w:sz="0" w:space="0" w:color="auto"/>
            <w:right w:val="none" w:sz="0" w:space="0" w:color="auto"/>
          </w:divBdr>
        </w:div>
      </w:divsChild>
    </w:div>
    <w:div w:id="321659031">
      <w:bodyDiv w:val="1"/>
      <w:marLeft w:val="0"/>
      <w:marRight w:val="0"/>
      <w:marTop w:val="0"/>
      <w:marBottom w:val="0"/>
      <w:divBdr>
        <w:top w:val="none" w:sz="0" w:space="0" w:color="auto"/>
        <w:left w:val="none" w:sz="0" w:space="0" w:color="auto"/>
        <w:bottom w:val="none" w:sz="0" w:space="0" w:color="auto"/>
        <w:right w:val="none" w:sz="0" w:space="0" w:color="auto"/>
      </w:divBdr>
    </w:div>
    <w:div w:id="425922115">
      <w:bodyDiv w:val="1"/>
      <w:marLeft w:val="0"/>
      <w:marRight w:val="0"/>
      <w:marTop w:val="0"/>
      <w:marBottom w:val="0"/>
      <w:divBdr>
        <w:top w:val="none" w:sz="0" w:space="0" w:color="auto"/>
        <w:left w:val="none" w:sz="0" w:space="0" w:color="auto"/>
        <w:bottom w:val="none" w:sz="0" w:space="0" w:color="auto"/>
        <w:right w:val="none" w:sz="0" w:space="0" w:color="auto"/>
      </w:divBdr>
    </w:div>
    <w:div w:id="646667672">
      <w:bodyDiv w:val="1"/>
      <w:marLeft w:val="0"/>
      <w:marRight w:val="0"/>
      <w:marTop w:val="0"/>
      <w:marBottom w:val="0"/>
      <w:divBdr>
        <w:top w:val="none" w:sz="0" w:space="0" w:color="auto"/>
        <w:left w:val="none" w:sz="0" w:space="0" w:color="auto"/>
        <w:bottom w:val="none" w:sz="0" w:space="0" w:color="auto"/>
        <w:right w:val="none" w:sz="0" w:space="0" w:color="auto"/>
      </w:divBdr>
    </w:div>
    <w:div w:id="778646389">
      <w:bodyDiv w:val="1"/>
      <w:marLeft w:val="0"/>
      <w:marRight w:val="0"/>
      <w:marTop w:val="0"/>
      <w:marBottom w:val="0"/>
      <w:divBdr>
        <w:top w:val="none" w:sz="0" w:space="0" w:color="auto"/>
        <w:left w:val="none" w:sz="0" w:space="0" w:color="auto"/>
        <w:bottom w:val="none" w:sz="0" w:space="0" w:color="auto"/>
        <w:right w:val="none" w:sz="0" w:space="0" w:color="auto"/>
      </w:divBdr>
    </w:div>
    <w:div w:id="866408561">
      <w:bodyDiv w:val="1"/>
      <w:marLeft w:val="0"/>
      <w:marRight w:val="0"/>
      <w:marTop w:val="0"/>
      <w:marBottom w:val="0"/>
      <w:divBdr>
        <w:top w:val="none" w:sz="0" w:space="0" w:color="auto"/>
        <w:left w:val="none" w:sz="0" w:space="0" w:color="auto"/>
        <w:bottom w:val="none" w:sz="0" w:space="0" w:color="auto"/>
        <w:right w:val="none" w:sz="0" w:space="0" w:color="auto"/>
      </w:divBdr>
    </w:div>
    <w:div w:id="939684969">
      <w:bodyDiv w:val="1"/>
      <w:marLeft w:val="0"/>
      <w:marRight w:val="0"/>
      <w:marTop w:val="0"/>
      <w:marBottom w:val="0"/>
      <w:divBdr>
        <w:top w:val="none" w:sz="0" w:space="0" w:color="auto"/>
        <w:left w:val="none" w:sz="0" w:space="0" w:color="auto"/>
        <w:bottom w:val="none" w:sz="0" w:space="0" w:color="auto"/>
        <w:right w:val="none" w:sz="0" w:space="0" w:color="auto"/>
      </w:divBdr>
    </w:div>
    <w:div w:id="1168207306">
      <w:bodyDiv w:val="1"/>
      <w:marLeft w:val="0"/>
      <w:marRight w:val="0"/>
      <w:marTop w:val="0"/>
      <w:marBottom w:val="0"/>
      <w:divBdr>
        <w:top w:val="none" w:sz="0" w:space="0" w:color="auto"/>
        <w:left w:val="none" w:sz="0" w:space="0" w:color="auto"/>
        <w:bottom w:val="none" w:sz="0" w:space="0" w:color="auto"/>
        <w:right w:val="none" w:sz="0" w:space="0" w:color="auto"/>
      </w:divBdr>
    </w:div>
    <w:div w:id="1296527342">
      <w:bodyDiv w:val="1"/>
      <w:marLeft w:val="0"/>
      <w:marRight w:val="0"/>
      <w:marTop w:val="0"/>
      <w:marBottom w:val="0"/>
      <w:divBdr>
        <w:top w:val="none" w:sz="0" w:space="0" w:color="auto"/>
        <w:left w:val="none" w:sz="0" w:space="0" w:color="auto"/>
        <w:bottom w:val="none" w:sz="0" w:space="0" w:color="auto"/>
        <w:right w:val="none" w:sz="0" w:space="0" w:color="auto"/>
      </w:divBdr>
    </w:div>
    <w:div w:id="1329209885">
      <w:bodyDiv w:val="1"/>
      <w:marLeft w:val="0"/>
      <w:marRight w:val="0"/>
      <w:marTop w:val="0"/>
      <w:marBottom w:val="0"/>
      <w:divBdr>
        <w:top w:val="none" w:sz="0" w:space="0" w:color="auto"/>
        <w:left w:val="none" w:sz="0" w:space="0" w:color="auto"/>
        <w:bottom w:val="none" w:sz="0" w:space="0" w:color="auto"/>
        <w:right w:val="none" w:sz="0" w:space="0" w:color="auto"/>
      </w:divBdr>
    </w:div>
    <w:div w:id="14186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4DA6-E17E-384F-98B0-E1E19253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5993</Words>
  <Characters>34164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Bermingham</dc:creator>
  <cp:keywords/>
  <dc:description/>
  <cp:lastModifiedBy>Michael Ardern-Jones</cp:lastModifiedBy>
  <cp:revision>4</cp:revision>
  <dcterms:created xsi:type="dcterms:W3CDTF">2021-08-05T13:03:00Z</dcterms:created>
  <dcterms:modified xsi:type="dcterms:W3CDTF">2021-08-05T13:04:00Z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http://www.zotero.org/styles/chicago-note-bibliography</vt:lpwstr>
  </property>
  <property fmtid="{D5CDD505-2E9C-101B-9397-08002B2CF9AE}" pid="7" name="Mendeley Recent Style Name 2_1">
    <vt:lpwstr>Chicago Manual of Style 17th edition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3af85595-9b2c-3e5a-ba45-4f76ecaa834e</vt:lpwstr>
  </property>
  <property fmtid="{D5CDD505-2E9C-101B-9397-08002B2CF9AE}" pid="24" name="Mendeley Citation Style_1">
    <vt:lpwstr>http://www.zotero.org/styles/vancouver</vt:lpwstr>
  </property>
</Properties>
</file>