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603D7" w14:textId="6D22C457" w:rsidR="004602D4" w:rsidRPr="00562AC6" w:rsidRDefault="00252BEF">
      <w:pPr>
        <w:rPr>
          <w:b/>
          <w:sz w:val="28"/>
          <w:u w:val="single"/>
        </w:rPr>
      </w:pPr>
      <w:r>
        <w:rPr>
          <w:b/>
          <w:sz w:val="28"/>
          <w:szCs w:val="28"/>
          <w:u w:val="single"/>
        </w:rPr>
        <w:t>“</w:t>
      </w:r>
      <w:r w:rsidR="004602D4" w:rsidRPr="00E27A66">
        <w:rPr>
          <w:b/>
          <w:sz w:val="28"/>
          <w:szCs w:val="28"/>
          <w:u w:val="single"/>
        </w:rPr>
        <w:t>Old</w:t>
      </w:r>
      <w:r>
        <w:rPr>
          <w:b/>
          <w:sz w:val="28"/>
          <w:szCs w:val="28"/>
          <w:u w:val="single"/>
        </w:rPr>
        <w:t>”</w:t>
      </w:r>
      <w:r w:rsidR="004602D4" w:rsidRPr="00E27A66">
        <w:rPr>
          <w:b/>
          <w:sz w:val="28"/>
          <w:szCs w:val="28"/>
          <w:u w:val="single"/>
        </w:rPr>
        <w:t xml:space="preserve"> and </w:t>
      </w:r>
      <w:r>
        <w:rPr>
          <w:b/>
          <w:sz w:val="28"/>
          <w:szCs w:val="28"/>
          <w:u w:val="single"/>
        </w:rPr>
        <w:t>“</w:t>
      </w:r>
      <w:r w:rsidR="004602D4" w:rsidRPr="00E27A66">
        <w:rPr>
          <w:b/>
          <w:sz w:val="28"/>
          <w:szCs w:val="28"/>
          <w:u w:val="single"/>
        </w:rPr>
        <w:t>new</w:t>
      </w:r>
      <w:r>
        <w:rPr>
          <w:b/>
          <w:sz w:val="28"/>
          <w:szCs w:val="28"/>
          <w:u w:val="single"/>
        </w:rPr>
        <w:t>”</w:t>
      </w:r>
      <w:r w:rsidR="004602D4" w:rsidRPr="00E27A66">
        <w:rPr>
          <w:b/>
          <w:sz w:val="28"/>
          <w:szCs w:val="28"/>
          <w:u w:val="single"/>
        </w:rPr>
        <w:t xml:space="preserve"> cont</w:t>
      </w:r>
      <w:r w:rsidR="004602D4" w:rsidRPr="00E27A66">
        <w:rPr>
          <w:b/>
          <w:sz w:val="28"/>
          <w:u w:val="single"/>
        </w:rPr>
        <w:t>aminants and their management: learning from the past,</w:t>
      </w:r>
      <w:r w:rsidR="004602D4" w:rsidRPr="00562AC6">
        <w:rPr>
          <w:b/>
          <w:sz w:val="28"/>
          <w:u w:val="single"/>
        </w:rPr>
        <w:t xml:space="preserve"> looking to the future.</w:t>
      </w:r>
    </w:p>
    <w:p w14:paraId="6E29BBD3" w14:textId="64807BC2" w:rsidR="009D465E" w:rsidRDefault="009D465E">
      <w:pPr>
        <w:rPr>
          <w:b/>
        </w:rPr>
      </w:pPr>
    </w:p>
    <w:p w14:paraId="760EAD07" w14:textId="025604CB" w:rsidR="009D465E" w:rsidRDefault="00BC516C" w:rsidP="009D465E">
      <w:pPr>
        <w:rPr>
          <w:b/>
          <w:vertAlign w:val="superscript"/>
        </w:rPr>
      </w:pPr>
      <w:r>
        <w:rPr>
          <w:b/>
        </w:rPr>
        <w:t>Gillian Gibson</w:t>
      </w:r>
      <w:r w:rsidR="009D465E">
        <w:rPr>
          <w:b/>
          <w:vertAlign w:val="superscript"/>
        </w:rPr>
        <w:t>1</w:t>
      </w:r>
      <w:r w:rsidR="009D465E">
        <w:rPr>
          <w:b/>
        </w:rPr>
        <w:t xml:space="preserve">, </w:t>
      </w:r>
      <w:r>
        <w:rPr>
          <w:b/>
        </w:rPr>
        <w:t>Andrew Cundy</w:t>
      </w:r>
      <w:r w:rsidR="009D465E">
        <w:rPr>
          <w:b/>
          <w:vertAlign w:val="superscript"/>
        </w:rPr>
        <w:t>2</w:t>
      </w:r>
      <w:r w:rsidR="00E27A66">
        <w:rPr>
          <w:b/>
          <w:vertAlign w:val="superscript"/>
        </w:rPr>
        <w:t>*</w:t>
      </w:r>
      <w:r>
        <w:rPr>
          <w:b/>
        </w:rPr>
        <w:t>, Nswana</w:t>
      </w:r>
      <w:r w:rsidR="00E27A66">
        <w:rPr>
          <w:b/>
        </w:rPr>
        <w:t xml:space="preserve"> Kafwamfwa</w:t>
      </w:r>
      <w:r w:rsidRPr="00562AC6">
        <w:rPr>
          <w:b/>
          <w:vertAlign w:val="superscript"/>
        </w:rPr>
        <w:t>3</w:t>
      </w:r>
      <w:r>
        <w:rPr>
          <w:b/>
        </w:rPr>
        <w:t>,</w:t>
      </w:r>
      <w:r w:rsidR="009D465E">
        <w:rPr>
          <w:b/>
        </w:rPr>
        <w:t xml:space="preserve"> Alex </w:t>
      </w:r>
      <w:r>
        <w:rPr>
          <w:b/>
        </w:rPr>
        <w:t>Stewart</w:t>
      </w:r>
      <w:r>
        <w:rPr>
          <w:b/>
          <w:vertAlign w:val="superscript"/>
        </w:rPr>
        <w:t>4</w:t>
      </w:r>
    </w:p>
    <w:p w14:paraId="52249928" w14:textId="00437DA8" w:rsidR="009D465E" w:rsidRDefault="00BC516C" w:rsidP="009D465E">
      <w:pPr>
        <w:rPr>
          <w:b/>
        </w:rPr>
      </w:pPr>
      <w:r>
        <w:rPr>
          <w:b/>
          <w:vertAlign w:val="superscript"/>
        </w:rPr>
        <w:t xml:space="preserve">1 </w:t>
      </w:r>
      <w:r w:rsidR="00E51BCA" w:rsidRPr="00E51BCA">
        <w:rPr>
          <w:b/>
        </w:rPr>
        <w:t>Gibson Consulting and Training</w:t>
      </w:r>
      <w:r w:rsidR="00F801A7">
        <w:rPr>
          <w:b/>
        </w:rPr>
        <w:t>,</w:t>
      </w:r>
      <w:r w:rsidR="00E51BCA" w:rsidRPr="00E51BCA">
        <w:rPr>
          <w:b/>
        </w:rPr>
        <w:t xml:space="preserve"> Tarporley, Cheshire CW6 0JH</w:t>
      </w:r>
      <w:r w:rsidR="00E51BCA">
        <w:rPr>
          <w:b/>
        </w:rPr>
        <w:t>, UK.</w:t>
      </w:r>
    </w:p>
    <w:p w14:paraId="69432359" w14:textId="1481405C" w:rsidR="00BC516C" w:rsidRDefault="00BC516C" w:rsidP="009D465E">
      <w:pPr>
        <w:rPr>
          <w:b/>
        </w:rPr>
      </w:pPr>
      <w:r w:rsidRPr="00E27A66">
        <w:rPr>
          <w:b/>
          <w:vertAlign w:val="superscript"/>
        </w:rPr>
        <w:t>2</w:t>
      </w:r>
      <w:r>
        <w:rPr>
          <w:b/>
        </w:rPr>
        <w:t xml:space="preserve"> School of Ocean and Earth Science, University of Southampton, Southampton, SO14 3ZH, UK.</w:t>
      </w:r>
    </w:p>
    <w:p w14:paraId="7D3025E8" w14:textId="1D647584" w:rsidR="009D465E" w:rsidRDefault="00BC516C" w:rsidP="009D465E">
      <w:pPr>
        <w:rPr>
          <w:b/>
        </w:rPr>
      </w:pPr>
      <w:r>
        <w:rPr>
          <w:b/>
          <w:vertAlign w:val="superscript"/>
        </w:rPr>
        <w:t xml:space="preserve">3 </w:t>
      </w:r>
      <w:r w:rsidR="00631DDA" w:rsidRPr="00631DDA">
        <w:rPr>
          <w:b/>
        </w:rPr>
        <w:t>Zambia Agriculture Research Institute, Mochipapa Regional Research Station, Choma, Southern province</w:t>
      </w:r>
      <w:r w:rsidR="00E51BCA" w:rsidRPr="00E51BCA">
        <w:rPr>
          <w:b/>
        </w:rPr>
        <w:t>, Zambia</w:t>
      </w:r>
      <w:r w:rsidR="00E51BCA">
        <w:rPr>
          <w:b/>
        </w:rPr>
        <w:t>.</w:t>
      </w:r>
    </w:p>
    <w:p w14:paraId="116C3660" w14:textId="7DB007CE" w:rsidR="009D465E" w:rsidRPr="009D465E" w:rsidRDefault="00BC516C" w:rsidP="009D465E">
      <w:pPr>
        <w:rPr>
          <w:b/>
        </w:rPr>
      </w:pPr>
      <w:r>
        <w:rPr>
          <w:b/>
          <w:vertAlign w:val="superscript"/>
        </w:rPr>
        <w:t xml:space="preserve">4 </w:t>
      </w:r>
      <w:r w:rsidRPr="00144BDA">
        <w:rPr>
          <w:b/>
          <w:lang w:val="en-US"/>
        </w:rPr>
        <w:t>College of Life and Environmental Science</w:t>
      </w:r>
      <w:r w:rsidR="00256AB6">
        <w:rPr>
          <w:b/>
          <w:lang w:val="en-US"/>
        </w:rPr>
        <w:t>s</w:t>
      </w:r>
      <w:r w:rsidRPr="00144BDA">
        <w:rPr>
          <w:b/>
          <w:lang w:val="en-US"/>
        </w:rPr>
        <w:t xml:space="preserve">, University of Exeter, Exeter, </w:t>
      </w:r>
      <w:r w:rsidRPr="00144BDA">
        <w:rPr>
          <w:b/>
        </w:rPr>
        <w:t>EX4 4RJ</w:t>
      </w:r>
      <w:r>
        <w:rPr>
          <w:b/>
        </w:rPr>
        <w:t>, UK</w:t>
      </w:r>
      <w:r w:rsidR="00E51BCA">
        <w:rPr>
          <w:b/>
        </w:rPr>
        <w:t>.</w:t>
      </w:r>
      <w:r w:rsidRPr="008D1ED2">
        <w:rPr>
          <w:b/>
        </w:rPr>
        <w:t xml:space="preserve"> </w:t>
      </w:r>
    </w:p>
    <w:p w14:paraId="2E0A3245" w14:textId="24AC4232" w:rsidR="002432CE" w:rsidRDefault="002432CE"/>
    <w:p w14:paraId="7F744855" w14:textId="2617B856" w:rsidR="00E27A66" w:rsidRDefault="00E27A66">
      <w:r>
        <w:t>Corresponding author: A.Cundy@soton.ac.uk</w:t>
      </w:r>
    </w:p>
    <w:p w14:paraId="0318F68F" w14:textId="0847E22B" w:rsidR="00E27A66" w:rsidRPr="00965EEA" w:rsidRDefault="00E27A66">
      <w:pPr>
        <w:rPr>
          <w:b/>
        </w:rPr>
      </w:pPr>
    </w:p>
    <w:p w14:paraId="48BC3D26" w14:textId="324A4043" w:rsidR="00965EEA" w:rsidRPr="00965EEA" w:rsidRDefault="00965EEA">
      <w:pPr>
        <w:rPr>
          <w:b/>
        </w:rPr>
      </w:pPr>
      <w:r w:rsidRPr="00965EEA">
        <w:rPr>
          <w:b/>
        </w:rPr>
        <w:t xml:space="preserve">Published in </w:t>
      </w:r>
      <w:r w:rsidRPr="00965EEA">
        <w:rPr>
          <w:b/>
          <w:i/>
        </w:rPr>
        <w:t>Environmental Geochemistry and Health</w:t>
      </w:r>
      <w:r w:rsidRPr="00965EEA">
        <w:rPr>
          <w:b/>
        </w:rPr>
        <w:t>, 10.1007/s10653-021-01042-6</w:t>
      </w:r>
    </w:p>
    <w:p w14:paraId="26E477F9" w14:textId="490E0F59" w:rsidR="00965EEA" w:rsidRPr="00965EEA" w:rsidRDefault="00965EEA">
      <w:pPr>
        <w:rPr>
          <w:b/>
        </w:rPr>
      </w:pPr>
    </w:p>
    <w:p w14:paraId="3B6FB6F4" w14:textId="73DD514B" w:rsidR="00965EEA" w:rsidRPr="00965EEA" w:rsidRDefault="00965EEA" w:rsidP="00965EEA">
      <w:pPr>
        <w:rPr>
          <w:b/>
        </w:rPr>
      </w:pPr>
      <w:r w:rsidRPr="00965EEA">
        <w:rPr>
          <w:b/>
        </w:rPr>
        <w:t xml:space="preserve">Acknowledgement: </w:t>
      </w:r>
      <w:r w:rsidRPr="00965EEA">
        <w:rPr>
          <w:b/>
        </w:rPr>
        <w:t>This version of the article has been accepted for publication, afte</w:t>
      </w:r>
      <w:r w:rsidRPr="00965EEA">
        <w:rPr>
          <w:b/>
        </w:rPr>
        <w:t xml:space="preserve">r peer review (when </w:t>
      </w:r>
      <w:bookmarkStart w:id="0" w:name="_GoBack"/>
      <w:bookmarkEnd w:id="0"/>
      <w:r w:rsidRPr="00965EEA">
        <w:rPr>
          <w:b/>
        </w:rPr>
        <w:t xml:space="preserve">applicable) </w:t>
      </w:r>
      <w:r w:rsidRPr="00965EEA">
        <w:rPr>
          <w:b/>
        </w:rPr>
        <w:t>but is not the Version of Record and does not reflect post-</w:t>
      </w:r>
      <w:r w:rsidRPr="00965EEA">
        <w:rPr>
          <w:b/>
        </w:rPr>
        <w:t xml:space="preserve">acceptance improvements, or any </w:t>
      </w:r>
      <w:r w:rsidRPr="00965EEA">
        <w:rPr>
          <w:b/>
        </w:rPr>
        <w:t>corrections. The Version of Record is available online at: http://dx.doi.org/10.1007/s10653-021-01042-6</w:t>
      </w:r>
      <w:r w:rsidRPr="00965EEA">
        <w:rPr>
          <w:b/>
        </w:rPr>
        <w:t>.</w:t>
      </w:r>
    </w:p>
    <w:p w14:paraId="3C2B03EA" w14:textId="77777777" w:rsidR="00965EEA" w:rsidRDefault="00965EEA">
      <w:pPr>
        <w:rPr>
          <w:b/>
          <w:u w:val="single"/>
        </w:rPr>
      </w:pPr>
    </w:p>
    <w:p w14:paraId="48C8F579" w14:textId="476EE0ED" w:rsidR="00E27A66" w:rsidRDefault="00D42BD7">
      <w:pPr>
        <w:rPr>
          <w:b/>
          <w:u w:val="single"/>
        </w:rPr>
      </w:pPr>
      <w:r>
        <w:rPr>
          <w:b/>
          <w:u w:val="single"/>
        </w:rPr>
        <w:t>Short a</w:t>
      </w:r>
      <w:r w:rsidR="00E27A66">
        <w:rPr>
          <w:b/>
          <w:u w:val="single"/>
        </w:rPr>
        <w:t>bstract</w:t>
      </w:r>
    </w:p>
    <w:p w14:paraId="00C0AB98" w14:textId="77777777" w:rsidR="00493802" w:rsidRDefault="00493802"/>
    <w:p w14:paraId="75CBA993" w14:textId="4F5A33B2" w:rsidR="00E27A66" w:rsidRPr="00F0498A" w:rsidRDefault="00E27A66">
      <w:r w:rsidRPr="00F0498A">
        <w:t>Within the</w:t>
      </w:r>
      <w:r w:rsidR="00D42BD7">
        <w:t xml:space="preserve"> 50 year</w:t>
      </w:r>
      <w:r w:rsidRPr="00F0498A">
        <w:t xml:space="preserve"> lifetime of </w:t>
      </w:r>
      <w:r>
        <w:t>the Society for Environmental Geochemistry and Health (</w:t>
      </w:r>
      <w:r w:rsidRPr="00F0498A">
        <w:t>SEGH</w:t>
      </w:r>
      <w:r>
        <w:t>)</w:t>
      </w:r>
      <w:r w:rsidRPr="00F0498A">
        <w:t xml:space="preserve"> we have seen </w:t>
      </w:r>
      <w:r w:rsidR="00E24DE1">
        <w:t>a number of</w:t>
      </w:r>
      <w:r w:rsidRPr="00F0498A">
        <w:t xml:space="preserve"> contaminants transfer from being the wonder chemical of their day through to becoming current contaminants of concern</w:t>
      </w:r>
      <w:r w:rsidR="000B098E">
        <w:t>.</w:t>
      </w:r>
      <w:r>
        <w:t xml:space="preserve"> </w:t>
      </w:r>
      <w:r w:rsidR="000B098E">
        <w:t>T</w:t>
      </w:r>
      <w:r>
        <w:t xml:space="preserve">his is </w:t>
      </w:r>
      <w:r w:rsidR="000B098E">
        <w:t xml:space="preserve">also </w:t>
      </w:r>
      <w:r>
        <w:t xml:space="preserve">true for </w:t>
      </w:r>
      <w:r w:rsidR="00024B35">
        <w:t>a variety</w:t>
      </w:r>
      <w:r w:rsidR="00E24DE1">
        <w:t xml:space="preserve"> of emerging contaminants such as plastic microbeads, pharmaceutical residues, and fire retardant chemicals</w:t>
      </w:r>
      <w:r w:rsidR="003271E6">
        <w:t>, amongst others</w:t>
      </w:r>
      <w:r w:rsidR="00E24DE1">
        <w:t xml:space="preserve">. This </w:t>
      </w:r>
      <w:r w:rsidR="00C76322">
        <w:t xml:space="preserve">thought piece </w:t>
      </w:r>
      <w:r w:rsidR="0050528D">
        <w:t xml:space="preserve">discusses </w:t>
      </w:r>
      <w:r w:rsidR="00F0498A" w:rsidRPr="00F0498A">
        <w:t xml:space="preserve">the risk associated with a range of these emerging contaminants, their global nature, how existing models and frameworks can be applied </w:t>
      </w:r>
      <w:r w:rsidR="0050528D">
        <w:t>to deal with</w:t>
      </w:r>
      <w:r w:rsidR="00F0498A" w:rsidRPr="00F0498A">
        <w:t xml:space="preserve"> </w:t>
      </w:r>
      <w:r w:rsidR="00F0498A">
        <w:t>their impacts</w:t>
      </w:r>
      <w:r w:rsidR="00F0498A" w:rsidRPr="00F0498A">
        <w:t>, and research and management gaps and challenges</w:t>
      </w:r>
      <w:r w:rsidR="00F0498A">
        <w:t>.</w:t>
      </w:r>
      <w:r>
        <w:t xml:space="preserve"> </w:t>
      </w:r>
    </w:p>
    <w:p w14:paraId="40D07C19" w14:textId="3FB84E23" w:rsidR="00E27A66" w:rsidRDefault="00E27A66">
      <w:pPr>
        <w:rPr>
          <w:b/>
          <w:u w:val="single"/>
        </w:rPr>
      </w:pPr>
    </w:p>
    <w:p w14:paraId="1C9A76B9" w14:textId="185302CF" w:rsidR="00493802" w:rsidRPr="00493802" w:rsidRDefault="00493802">
      <w:r>
        <w:rPr>
          <w:b/>
          <w:u w:val="single"/>
        </w:rPr>
        <w:t>Keywords:</w:t>
      </w:r>
      <w:r w:rsidRPr="00493802">
        <w:rPr>
          <w:b/>
        </w:rPr>
        <w:t xml:space="preserve"> </w:t>
      </w:r>
      <w:r w:rsidRPr="00493802">
        <w:t xml:space="preserve">Emerging contaminants; </w:t>
      </w:r>
      <w:r>
        <w:t xml:space="preserve">Human Health; Risk; Plastics; Pharmaceutical residues; Antimicrobial resistance.  </w:t>
      </w:r>
    </w:p>
    <w:p w14:paraId="7F7B7B68" w14:textId="77777777" w:rsidR="00493802" w:rsidRDefault="00493802">
      <w:pPr>
        <w:rPr>
          <w:b/>
          <w:u w:val="single"/>
        </w:rPr>
      </w:pPr>
    </w:p>
    <w:p w14:paraId="584AF183" w14:textId="052E36BC" w:rsidR="00493802" w:rsidRDefault="008F41E2" w:rsidP="008F41E2">
      <w:pPr>
        <w:rPr>
          <w:b/>
          <w:u w:val="single"/>
        </w:rPr>
      </w:pPr>
      <w:r>
        <w:rPr>
          <w:b/>
          <w:u w:val="single"/>
        </w:rPr>
        <w:t xml:space="preserve">Acknowledgements: </w:t>
      </w:r>
      <w:r w:rsidRPr="008F41E2">
        <w:t>The authors thank two anonymous reviewe</w:t>
      </w:r>
      <w:r>
        <w:t xml:space="preserve">rs for helpful and </w:t>
      </w:r>
      <w:r w:rsidRPr="008F41E2">
        <w:t xml:space="preserve">constructive comments which improved the manuscript. </w:t>
      </w:r>
    </w:p>
    <w:p w14:paraId="2804DE31" w14:textId="77777777" w:rsidR="008F41E2" w:rsidRPr="008F41E2" w:rsidRDefault="008F41E2" w:rsidP="008F41E2">
      <w:pPr>
        <w:rPr>
          <w:b/>
          <w:u w:val="single"/>
        </w:rPr>
      </w:pPr>
    </w:p>
    <w:p w14:paraId="43174F4D" w14:textId="298236F6" w:rsidR="00712D9B" w:rsidRPr="00D42BD7" w:rsidRDefault="00712D9B" w:rsidP="00D42BD7">
      <w:pPr>
        <w:pStyle w:val="ListParagraph"/>
        <w:numPr>
          <w:ilvl w:val="0"/>
          <w:numId w:val="3"/>
        </w:numPr>
        <w:rPr>
          <w:b/>
          <w:u w:val="single"/>
        </w:rPr>
      </w:pPr>
      <w:r w:rsidRPr="00D42BD7">
        <w:rPr>
          <w:b/>
          <w:u w:val="single"/>
        </w:rPr>
        <w:t>Introduction</w:t>
      </w:r>
    </w:p>
    <w:p w14:paraId="585ECF05" w14:textId="77777777" w:rsidR="00712D9B" w:rsidRDefault="00712D9B"/>
    <w:p w14:paraId="4ACBA2A8" w14:textId="20B70EF6" w:rsidR="00125241" w:rsidRDefault="00D323CB">
      <w:r>
        <w:t>In this 50</w:t>
      </w:r>
      <w:r w:rsidRPr="00AA1008">
        <w:rPr>
          <w:vertAlign w:val="superscript"/>
        </w:rPr>
        <w:t>th</w:t>
      </w:r>
      <w:r>
        <w:t xml:space="preserve"> anniversary year of the Society for Environmental Geochemistry and Health (SEGH), the environment and human society are faced with a range of global challenges, from global heating to post-pandemic recovery. In parallel, as part of the post-1950 </w:t>
      </w:r>
      <w:r w:rsidR="00D37346">
        <w:t>‘</w:t>
      </w:r>
      <w:r>
        <w:t>Great Acceleration</w:t>
      </w:r>
      <w:r w:rsidR="00562AC6">
        <w:t>’</w:t>
      </w:r>
      <w:r>
        <w:t xml:space="preserve"> (</w:t>
      </w:r>
      <w:r w:rsidRPr="00FB5A08">
        <w:t>the dramatic, continuous and roughly simultaneous surge in growth rate across a large range of measures of human activity</w:t>
      </w:r>
      <w:r>
        <w:t>)</w:t>
      </w:r>
      <w:r w:rsidR="00125241">
        <w:t>,</w:t>
      </w:r>
      <w:r>
        <w:t xml:space="preserve"> we are seeing increased demands on natural resources</w:t>
      </w:r>
      <w:r w:rsidR="00E773FE">
        <w:t>. This includes</w:t>
      </w:r>
      <w:r>
        <w:t xml:space="preserve"> so-called critical metals</w:t>
      </w:r>
      <w:r w:rsidR="00E773FE">
        <w:t>,</w:t>
      </w:r>
      <w:r>
        <w:t xml:space="preserve"> used in a range of rapidly emerging industrial sectors such as renewable energies</w:t>
      </w:r>
      <w:r w:rsidR="00E773FE">
        <w:t>.</w:t>
      </w:r>
      <w:r>
        <w:t xml:space="preserve"> </w:t>
      </w:r>
      <w:r w:rsidR="00E51BCA">
        <w:t>Consequences</w:t>
      </w:r>
      <w:r>
        <w:t xml:space="preserve"> in</w:t>
      </w:r>
      <w:r w:rsidR="00E773FE">
        <w:t>clude</w:t>
      </w:r>
      <w:r>
        <w:t xml:space="preserve"> a change of geochemical cycling and transfer of these </w:t>
      </w:r>
      <w:r w:rsidR="00D42BD7">
        <w:t xml:space="preserve">and other </w:t>
      </w:r>
      <w:r>
        <w:t xml:space="preserve">metals, and the increased </w:t>
      </w:r>
      <w:r w:rsidR="003271E6">
        <w:lastRenderedPageBreak/>
        <w:t xml:space="preserve">development, </w:t>
      </w:r>
      <w:r>
        <w:t>use and release of new chemical compounds</w:t>
      </w:r>
      <w:r w:rsidR="00E773FE">
        <w:t>.  Many new compounds</w:t>
      </w:r>
      <w:r>
        <w:t xml:space="preserve"> are persistent and potentially bioaccumulative in the environment – so-called emerging contaminants. </w:t>
      </w:r>
    </w:p>
    <w:p w14:paraId="24B7808A" w14:textId="77777777" w:rsidR="00125241" w:rsidRDefault="00125241"/>
    <w:p w14:paraId="2DDA1F0F" w14:textId="1C919C01" w:rsidR="00D323CB" w:rsidRPr="0054464D" w:rsidRDefault="00D323CB">
      <w:r w:rsidRPr="0054464D">
        <w:t xml:space="preserve">SEGH itself has a long history of engaging with global issues at the interface of geochemistry, the environment and human health, such as the health risks of lead in soils, and arsenic in drinking waters. In this thought piece </w:t>
      </w:r>
      <w:r w:rsidR="003271E6" w:rsidRPr="0054464D">
        <w:rPr>
          <w:rFonts w:cs="Tahoma"/>
          <w:color w:val="000000"/>
          <w:shd w:val="clear" w:color="auto" w:fill="FFFFFF"/>
        </w:rPr>
        <w:t xml:space="preserve">we take a </w:t>
      </w:r>
      <w:r w:rsidR="00380A85" w:rsidRPr="0054464D">
        <w:rPr>
          <w:rFonts w:cs="Tahoma"/>
          <w:color w:val="000000"/>
          <w:shd w:val="clear" w:color="auto" w:fill="FFFFFF"/>
        </w:rPr>
        <w:t>chronological approach</w:t>
      </w:r>
      <w:r w:rsidR="0054464D" w:rsidRPr="0054464D">
        <w:rPr>
          <w:rFonts w:cs="Tahoma"/>
          <w:color w:val="000000"/>
          <w:shd w:val="clear" w:color="auto" w:fill="FFFFFF"/>
        </w:rPr>
        <w:t>, giving an</w:t>
      </w:r>
      <w:r w:rsidR="003271E6" w:rsidRPr="0054464D">
        <w:rPr>
          <w:rFonts w:cs="Tahoma"/>
          <w:color w:val="000000"/>
          <w:shd w:val="clear" w:color="auto" w:fill="FFFFFF"/>
        </w:rPr>
        <w:t xml:space="preserve"> historical pers</w:t>
      </w:r>
      <w:r w:rsidR="00380A85" w:rsidRPr="0054464D">
        <w:rPr>
          <w:rFonts w:cs="Tahoma"/>
          <w:color w:val="000000"/>
          <w:shd w:val="clear" w:color="auto" w:fill="FFFFFF"/>
        </w:rPr>
        <w:t>pective on our understanding of risk from both longer-recognised</w:t>
      </w:r>
      <w:r w:rsidR="0054464D" w:rsidRPr="0054464D">
        <w:rPr>
          <w:rFonts w:cs="Tahoma"/>
          <w:color w:val="000000"/>
          <w:shd w:val="clear" w:color="auto" w:fill="FFFFFF"/>
        </w:rPr>
        <w:t xml:space="preserve">, </w:t>
      </w:r>
      <w:r w:rsidR="00380A85" w:rsidRPr="0054464D">
        <w:rPr>
          <w:rFonts w:cs="Tahoma"/>
          <w:color w:val="000000"/>
          <w:shd w:val="clear" w:color="auto" w:fill="FFFFFF"/>
        </w:rPr>
        <w:t>or “old”</w:t>
      </w:r>
      <w:r w:rsidR="0054464D" w:rsidRPr="0054464D">
        <w:rPr>
          <w:rFonts w:cs="Tahoma"/>
          <w:color w:val="000000"/>
          <w:shd w:val="clear" w:color="auto" w:fill="FFFFFF"/>
        </w:rPr>
        <w:t>,</w:t>
      </w:r>
      <w:r w:rsidR="00380A85" w:rsidRPr="0054464D">
        <w:rPr>
          <w:rFonts w:cs="Tahoma"/>
          <w:color w:val="000000"/>
          <w:shd w:val="clear" w:color="auto" w:fill="FFFFFF"/>
        </w:rPr>
        <w:t xml:space="preserve"> contaminants </w:t>
      </w:r>
      <w:r w:rsidR="0054464D" w:rsidRPr="0054464D">
        <w:rPr>
          <w:rFonts w:cs="Tahoma"/>
          <w:color w:val="000000"/>
          <w:shd w:val="clear" w:color="auto" w:fill="FFFFFF"/>
        </w:rPr>
        <w:t xml:space="preserve">(such as lead and arsenic) </w:t>
      </w:r>
      <w:r w:rsidR="00380A85" w:rsidRPr="0054464D">
        <w:rPr>
          <w:rFonts w:cs="Tahoma"/>
          <w:color w:val="000000"/>
          <w:shd w:val="clear" w:color="auto" w:fill="FFFFFF"/>
        </w:rPr>
        <w:t xml:space="preserve">and from </w:t>
      </w:r>
      <w:r w:rsidR="0054464D" w:rsidRPr="0054464D">
        <w:rPr>
          <w:rFonts w:cs="Tahoma"/>
          <w:color w:val="000000"/>
          <w:shd w:val="clear" w:color="auto" w:fill="FFFFFF"/>
        </w:rPr>
        <w:t xml:space="preserve">emerging, </w:t>
      </w:r>
      <w:r w:rsidR="00380A85" w:rsidRPr="0054464D">
        <w:rPr>
          <w:rFonts w:cs="Tahoma"/>
          <w:color w:val="000000"/>
          <w:shd w:val="clear" w:color="auto" w:fill="FFFFFF"/>
        </w:rPr>
        <w:t>“new”</w:t>
      </w:r>
      <w:r w:rsidR="0054464D" w:rsidRPr="0054464D">
        <w:rPr>
          <w:rFonts w:cs="Tahoma"/>
          <w:color w:val="000000"/>
          <w:shd w:val="clear" w:color="auto" w:fill="FFFFFF"/>
        </w:rPr>
        <w:t>,</w:t>
      </w:r>
      <w:r w:rsidR="00380A85" w:rsidRPr="0054464D">
        <w:rPr>
          <w:rFonts w:cs="Tahoma"/>
          <w:color w:val="000000"/>
          <w:shd w:val="clear" w:color="auto" w:fill="FFFFFF"/>
        </w:rPr>
        <w:t xml:space="preserve"> contaminants</w:t>
      </w:r>
      <w:r w:rsidR="0054464D" w:rsidRPr="0054464D">
        <w:rPr>
          <w:rFonts w:cs="Tahoma"/>
          <w:color w:val="000000"/>
          <w:shd w:val="clear" w:color="auto" w:fill="FFFFFF"/>
        </w:rPr>
        <w:t xml:space="preserve"> (such as plastics and anti-inflammatory drugs)</w:t>
      </w:r>
      <w:r w:rsidR="003271E6" w:rsidRPr="0054464D">
        <w:rPr>
          <w:rFonts w:cs="Tahoma"/>
          <w:color w:val="000000"/>
          <w:shd w:val="clear" w:color="auto" w:fill="FFFFFF"/>
        </w:rPr>
        <w:t xml:space="preserve">, </w:t>
      </w:r>
      <w:r w:rsidR="0054464D">
        <w:rPr>
          <w:rFonts w:cs="Tahoma"/>
          <w:color w:val="000000"/>
          <w:shd w:val="clear" w:color="auto" w:fill="FFFFFF"/>
        </w:rPr>
        <w:t xml:space="preserve">examining </w:t>
      </w:r>
      <w:r w:rsidR="003271E6" w:rsidRPr="0054464D">
        <w:rPr>
          <w:rFonts w:cs="Tahoma"/>
          <w:color w:val="000000"/>
          <w:shd w:val="clear" w:color="auto" w:fill="FFFFFF"/>
        </w:rPr>
        <w:t xml:space="preserve">the journey to “now” (including development of international management frameworks, and </w:t>
      </w:r>
      <w:r w:rsidR="00380A85" w:rsidRPr="0054464D">
        <w:rPr>
          <w:rFonts w:cs="Tahoma"/>
          <w:color w:val="000000"/>
          <w:shd w:val="clear" w:color="auto" w:fill="FFFFFF"/>
        </w:rPr>
        <w:t xml:space="preserve">frameworks for </w:t>
      </w:r>
      <w:r w:rsidR="003271E6" w:rsidRPr="0054464D">
        <w:rPr>
          <w:rFonts w:cs="Tahoma"/>
          <w:color w:val="000000"/>
          <w:shd w:val="clear" w:color="auto" w:fill="FFFFFF"/>
        </w:rPr>
        <w:t xml:space="preserve">risk understanding and assessment), and </w:t>
      </w:r>
      <w:r w:rsidR="0054464D">
        <w:rPr>
          <w:rFonts w:cs="Tahoma"/>
          <w:color w:val="000000"/>
          <w:shd w:val="clear" w:color="auto" w:fill="FFFFFF"/>
        </w:rPr>
        <w:t xml:space="preserve">assessing </w:t>
      </w:r>
      <w:r w:rsidR="003271E6" w:rsidRPr="0054464D">
        <w:rPr>
          <w:rFonts w:cs="Tahoma"/>
          <w:color w:val="000000"/>
          <w:shd w:val="clear" w:color="auto" w:fill="FFFFFF"/>
        </w:rPr>
        <w:t>future trends and challenges</w:t>
      </w:r>
      <w:r w:rsidR="00380A85" w:rsidRPr="0054464D">
        <w:rPr>
          <w:rFonts w:cs="Tahoma"/>
          <w:color w:val="000000"/>
          <w:shd w:val="clear" w:color="auto" w:fill="FFFFFF"/>
        </w:rPr>
        <w:t>. In particular, we</w:t>
      </w:r>
      <w:r w:rsidR="00380A85" w:rsidRPr="0054464D">
        <w:t xml:space="preserve"> </w:t>
      </w:r>
      <w:r w:rsidR="0054464D">
        <w:t>focus on</w:t>
      </w:r>
      <w:r w:rsidR="003A559F" w:rsidRPr="0054464D">
        <w:t xml:space="preserve"> </w:t>
      </w:r>
      <w:r w:rsidRPr="0054464D">
        <w:t xml:space="preserve">the risk associated with a range of emerging contaminants, how existing models and frameworks can be applied for dealing with these </w:t>
      </w:r>
      <w:r w:rsidR="0054464D" w:rsidRPr="0054464D">
        <w:t>risks</w:t>
      </w:r>
      <w:r w:rsidRPr="0054464D">
        <w:t>, and research and management gaps and challenges.</w:t>
      </w:r>
    </w:p>
    <w:p w14:paraId="6E64514A" w14:textId="77777777" w:rsidR="00D323CB" w:rsidRDefault="00D323CB"/>
    <w:p w14:paraId="41841475" w14:textId="3FE597DB" w:rsidR="00D323CB" w:rsidRPr="00D42BD7" w:rsidRDefault="00681FAA" w:rsidP="00D42BD7">
      <w:pPr>
        <w:pStyle w:val="ListParagraph"/>
        <w:numPr>
          <w:ilvl w:val="0"/>
          <w:numId w:val="3"/>
        </w:numPr>
        <w:rPr>
          <w:b/>
          <w:u w:val="single"/>
        </w:rPr>
      </w:pPr>
      <w:r>
        <w:rPr>
          <w:b/>
          <w:u w:val="single"/>
        </w:rPr>
        <w:t>“</w:t>
      </w:r>
      <w:r w:rsidR="00D323CB" w:rsidRPr="00D42BD7">
        <w:rPr>
          <w:b/>
          <w:u w:val="single"/>
        </w:rPr>
        <w:t>Old</w:t>
      </w:r>
      <w:r>
        <w:rPr>
          <w:b/>
          <w:u w:val="single"/>
        </w:rPr>
        <w:t>”</w:t>
      </w:r>
      <w:r w:rsidR="00D323CB" w:rsidRPr="00D42BD7">
        <w:rPr>
          <w:b/>
          <w:u w:val="single"/>
        </w:rPr>
        <w:t xml:space="preserve"> and </w:t>
      </w:r>
      <w:r>
        <w:rPr>
          <w:b/>
          <w:u w:val="single"/>
        </w:rPr>
        <w:t>“</w:t>
      </w:r>
      <w:r w:rsidR="00D323CB" w:rsidRPr="00D42BD7">
        <w:rPr>
          <w:b/>
          <w:u w:val="single"/>
        </w:rPr>
        <w:t>new</w:t>
      </w:r>
      <w:r>
        <w:rPr>
          <w:b/>
          <w:u w:val="single"/>
        </w:rPr>
        <w:t>”</w:t>
      </w:r>
      <w:r w:rsidR="00D323CB" w:rsidRPr="00D42BD7">
        <w:rPr>
          <w:b/>
          <w:u w:val="single"/>
        </w:rPr>
        <w:t xml:space="preserve"> contaminants </w:t>
      </w:r>
    </w:p>
    <w:p w14:paraId="29F7F46A" w14:textId="77777777" w:rsidR="00016201" w:rsidRPr="00251B22" w:rsidRDefault="00016201">
      <w:pPr>
        <w:rPr>
          <w:b/>
          <w:u w:val="single"/>
        </w:rPr>
      </w:pPr>
    </w:p>
    <w:p w14:paraId="5E350403" w14:textId="418A5960" w:rsidR="003F7B7D" w:rsidRDefault="006C4390">
      <w:r>
        <w:t>One</w:t>
      </w:r>
      <w:r w:rsidR="002432CE">
        <w:t xml:space="preserve"> contaminant with which readers of EGAH will be familiar </w:t>
      </w:r>
      <w:r w:rsidR="00BC516C">
        <w:t xml:space="preserve">(and to which the </w:t>
      </w:r>
      <w:r w:rsidR="00D42BD7">
        <w:t>S</w:t>
      </w:r>
      <w:r w:rsidR="00BC516C">
        <w:t xml:space="preserve">ociety has made important contributions) </w:t>
      </w:r>
      <w:r w:rsidR="002432CE">
        <w:t>ha</w:t>
      </w:r>
      <w:r>
        <w:t>s</w:t>
      </w:r>
      <w:r w:rsidR="002432CE">
        <w:t xml:space="preserve"> been with us since the </w:t>
      </w:r>
      <w:r w:rsidR="004F3392">
        <w:t>early stages of metal exploitation and use</w:t>
      </w:r>
      <w:r w:rsidR="002432CE">
        <w:t>: lead</w:t>
      </w:r>
      <w:r w:rsidR="009A53C4">
        <w:t>.</w:t>
      </w:r>
      <w:r w:rsidR="009D465E">
        <w:t xml:space="preserve"> </w:t>
      </w:r>
      <w:r w:rsidR="0054464D">
        <w:t xml:space="preserve">The toxicity of lead has long been recognised, as has that from a range of other </w:t>
      </w:r>
      <w:r w:rsidR="004F3392">
        <w:t xml:space="preserve">metals </w:t>
      </w:r>
      <w:r w:rsidR="00D42BD7">
        <w:t xml:space="preserve">and metalloids </w:t>
      </w:r>
      <w:r w:rsidR="0054464D">
        <w:t>(</w:t>
      </w:r>
      <w:r>
        <w:t>such as arsenic, cobalt, chromium</w:t>
      </w:r>
      <w:r w:rsidR="0054464D">
        <w:t>)</w:t>
      </w:r>
      <w:r w:rsidR="00330BA4">
        <w:t xml:space="preserve">, with limits imposed on their use and, from </w:t>
      </w:r>
      <w:r w:rsidR="003F7B7D">
        <w:t xml:space="preserve">both </w:t>
      </w:r>
      <w:r w:rsidR="00330BA4">
        <w:t xml:space="preserve">environmental </w:t>
      </w:r>
      <w:r w:rsidR="003F7B7D">
        <w:t xml:space="preserve">and health </w:t>
      </w:r>
      <w:r w:rsidR="00330BA4">
        <w:t>viewpoint</w:t>
      </w:r>
      <w:r w:rsidR="003F7B7D">
        <w:t>s</w:t>
      </w:r>
      <w:r w:rsidR="00330BA4">
        <w:t>, their acceptable concentrations in waters, soils and other media</w:t>
      </w:r>
      <w:r>
        <w:t xml:space="preserve">. </w:t>
      </w:r>
      <w:r w:rsidR="003F7B7D">
        <w:t xml:space="preserve">While we understand much about such </w:t>
      </w:r>
      <w:r w:rsidR="00681FAA">
        <w:t>“</w:t>
      </w:r>
      <w:r w:rsidR="003F7B7D">
        <w:t>old</w:t>
      </w:r>
      <w:r w:rsidR="00681FAA">
        <w:t>”</w:t>
      </w:r>
      <w:r w:rsidR="003F7B7D">
        <w:t xml:space="preserve"> contaminants, </w:t>
      </w:r>
      <w:r w:rsidR="003F7B7D" w:rsidRPr="003F7B7D">
        <w:t>much</w:t>
      </w:r>
      <w:r w:rsidR="003F7B7D">
        <w:t xml:space="preserve"> </w:t>
      </w:r>
      <w:r w:rsidR="00EC5B61">
        <w:t xml:space="preserve">still </w:t>
      </w:r>
      <w:r w:rsidR="003F7B7D">
        <w:t>remains</w:t>
      </w:r>
      <w:r w:rsidR="003F7B7D" w:rsidRPr="003F7B7D">
        <w:t xml:space="preserve"> to be learnt </w:t>
      </w:r>
      <w:r w:rsidR="003F7B7D">
        <w:t xml:space="preserve">through </w:t>
      </w:r>
      <w:r w:rsidR="00FE3A6B">
        <w:t xml:space="preserve">constantly improving </w:t>
      </w:r>
      <w:r w:rsidR="003F7B7D" w:rsidRPr="003F7B7D">
        <w:t xml:space="preserve">technology </w:t>
      </w:r>
      <w:r w:rsidR="00FE3A6B">
        <w:t xml:space="preserve">which enables </w:t>
      </w:r>
      <w:r w:rsidR="003F7B7D" w:rsidRPr="003F7B7D">
        <w:t>measure</w:t>
      </w:r>
      <w:r w:rsidR="00FE3A6B">
        <w:t>ment of</w:t>
      </w:r>
      <w:r w:rsidR="003F7B7D" w:rsidRPr="003F7B7D">
        <w:t xml:space="preserve"> differing chemical forms of an element - speciation </w:t>
      </w:r>
      <w:r w:rsidR="00FE3A6B">
        <w:t>–</w:t>
      </w:r>
      <w:r w:rsidR="003F7B7D" w:rsidRPr="003F7B7D">
        <w:t xml:space="preserve"> </w:t>
      </w:r>
      <w:r w:rsidR="00FE3A6B">
        <w:t xml:space="preserve">and allows </w:t>
      </w:r>
      <w:r w:rsidR="003F7B7D" w:rsidRPr="003F7B7D">
        <w:t>better understand</w:t>
      </w:r>
      <w:r w:rsidR="00FE3A6B">
        <w:t>ing of</w:t>
      </w:r>
      <w:r w:rsidR="003F7B7D" w:rsidRPr="003F7B7D">
        <w:t xml:space="preserve"> the mobility, toxicity, origin or pathway of </w:t>
      </w:r>
      <w:r w:rsidR="00FE3A6B">
        <w:t xml:space="preserve">such an </w:t>
      </w:r>
      <w:r w:rsidR="003F7B7D" w:rsidRPr="003F7B7D">
        <w:t>element</w:t>
      </w:r>
      <w:r w:rsidR="00FE3A6B">
        <w:t>.</w:t>
      </w:r>
      <w:r w:rsidR="003F7B7D">
        <w:t xml:space="preserve"> </w:t>
      </w:r>
    </w:p>
    <w:p w14:paraId="3E1F3E79" w14:textId="77777777" w:rsidR="003F7B7D" w:rsidRDefault="003F7B7D"/>
    <w:p w14:paraId="75B6E65A" w14:textId="482492C4" w:rsidR="00CD67C4" w:rsidRDefault="00CD67C4">
      <w:r>
        <w:t>Equally, as</w:t>
      </w:r>
      <w:r w:rsidDel="00CD67C4">
        <w:t xml:space="preserve"> </w:t>
      </w:r>
      <w:r w:rsidR="006C4390">
        <w:t>we</w:t>
      </w:r>
      <w:r w:rsidR="001D3D2B">
        <w:t xml:space="preserve"> increasingly </w:t>
      </w:r>
      <w:r w:rsidR="004F3392">
        <w:t xml:space="preserve">manage the risk from these </w:t>
      </w:r>
      <w:r w:rsidR="00D42BD7">
        <w:t>elements</w:t>
      </w:r>
      <w:r w:rsidR="004F3392">
        <w:t>, and reduce or replace their use</w:t>
      </w:r>
      <w:r w:rsidR="006C4390">
        <w:t xml:space="preserve">, we need to ensure we do not create new </w:t>
      </w:r>
      <w:r w:rsidR="004F3392">
        <w:t>risk</w:t>
      </w:r>
      <w:r>
        <w:t>s or</w:t>
      </w:r>
      <w:r w:rsidR="004F3392">
        <w:t xml:space="preserve"> problems</w:t>
      </w:r>
      <w:r w:rsidR="006C4390">
        <w:t>. Taking mercury out of switchgear, where it did an excellent job as a</w:t>
      </w:r>
      <w:r w:rsidR="001D3D2B">
        <w:t>n insulating material</w:t>
      </w:r>
      <w:r w:rsidR="006C4390">
        <w:t>, replacing it with a</w:t>
      </w:r>
      <w:r w:rsidR="001D3D2B">
        <w:t xml:space="preserve"> less satisfactory </w:t>
      </w:r>
      <w:r w:rsidR="006C4390">
        <w:t xml:space="preserve">substance, </w:t>
      </w:r>
      <w:r w:rsidR="00125241">
        <w:t>s</w:t>
      </w:r>
      <w:r w:rsidR="001D3D2B">
        <w:t xml:space="preserve">odium </w:t>
      </w:r>
      <w:r w:rsidR="00125241">
        <w:t>h</w:t>
      </w:r>
      <w:r w:rsidR="006C4390">
        <w:t>exafluoride</w:t>
      </w:r>
      <w:r w:rsidR="009D465E">
        <w:t xml:space="preserve"> </w:t>
      </w:r>
      <w:r w:rsidR="001E66AA">
        <w:t>(Ottersbach</w:t>
      </w:r>
      <w:r w:rsidR="00905051">
        <w:t>,</w:t>
      </w:r>
      <w:r w:rsidR="001E66AA">
        <w:t xml:space="preserve"> 2019)</w:t>
      </w:r>
      <w:r w:rsidR="002039F8">
        <w:t>,</w:t>
      </w:r>
      <w:r w:rsidR="006C4390">
        <w:t xml:space="preserve"> created a completely different problem: </w:t>
      </w:r>
      <w:r w:rsidR="001D3D2B">
        <w:t xml:space="preserve">widespread release of a gas which is </w:t>
      </w:r>
      <w:r w:rsidR="006C4390">
        <w:t xml:space="preserve">a major contributor to global heating. </w:t>
      </w:r>
      <w:r w:rsidR="004F3392">
        <w:t>This example</w:t>
      </w:r>
      <w:r w:rsidR="00125241">
        <w:t xml:space="preserve"> is one of many which </w:t>
      </w:r>
      <w:r w:rsidR="004F3392">
        <w:t>highlight the</w:t>
      </w:r>
      <w:r w:rsidR="001D3D2B">
        <w:t xml:space="preserve"> </w:t>
      </w:r>
      <w:r>
        <w:t xml:space="preserve">adverse side of the </w:t>
      </w:r>
      <w:r w:rsidR="001D3D2B">
        <w:t>law of unintended consequences</w:t>
      </w:r>
      <w:r w:rsidR="00150028">
        <w:t>.</w:t>
      </w:r>
      <w:r w:rsidR="00EB48F9">
        <w:t xml:space="preserve"> Although referring to economics, the following quote from</w:t>
      </w:r>
      <w:r w:rsidR="00150028">
        <w:t xml:space="preserve"> </w:t>
      </w:r>
      <w:r w:rsidR="00EB48F9">
        <w:t>t</w:t>
      </w:r>
      <w:r>
        <w:t xml:space="preserve">he </w:t>
      </w:r>
      <w:r w:rsidRPr="00CD67C4">
        <w:t>French economic journalist Frédéric Bastiat (1801-1850)</w:t>
      </w:r>
      <w:r>
        <w:t xml:space="preserve"> </w:t>
      </w:r>
      <w:r w:rsidRPr="00CD67C4">
        <w:t>distinguished between the “seen” and the “unseen”</w:t>
      </w:r>
      <w:r w:rsidR="00BC516C">
        <w:t xml:space="preserve"> (Bastiat, 1848)</w:t>
      </w:r>
      <w:r w:rsidR="00EB48F9">
        <w:t>:</w:t>
      </w:r>
    </w:p>
    <w:p w14:paraId="7F90C250" w14:textId="77777777" w:rsidR="00CD67C4" w:rsidRDefault="00CD67C4"/>
    <w:p w14:paraId="5E008F74" w14:textId="5E6B5065" w:rsidR="002432CE" w:rsidRDefault="00CD67C4">
      <w:pPr>
        <w:ind w:left="720"/>
      </w:pPr>
      <w:r>
        <w:t>“</w:t>
      </w:r>
      <w:r w:rsidRPr="00CD67C4">
        <w:t xml:space="preserve">There is only one difference between a bad economist and a good one: the bad economist confines himself to the visible effect; the good economist takes into account both the effect that </w:t>
      </w:r>
      <w:r w:rsidRPr="00BD60F4">
        <w:rPr>
          <w:i/>
          <w:iCs/>
        </w:rPr>
        <w:t>can be seen</w:t>
      </w:r>
      <w:r w:rsidRPr="00CD67C4">
        <w:t xml:space="preserve"> and those effects that </w:t>
      </w:r>
      <w:r w:rsidRPr="00BD60F4">
        <w:rPr>
          <w:i/>
          <w:iCs/>
        </w:rPr>
        <w:t>must be foreseen</w:t>
      </w:r>
      <w:r w:rsidR="001D3D2B">
        <w:t>.</w:t>
      </w:r>
      <w:r>
        <w:t>"</w:t>
      </w:r>
      <w:r w:rsidR="00BD60F4">
        <w:t xml:space="preserve"> (emphasis added)</w:t>
      </w:r>
    </w:p>
    <w:p w14:paraId="015F24E7" w14:textId="77777777" w:rsidR="00EB48F9" w:rsidRDefault="00EB48F9">
      <w:pPr>
        <w:ind w:left="720"/>
      </w:pPr>
    </w:p>
    <w:p w14:paraId="25D93933" w14:textId="1483AB82" w:rsidR="00BD60F4" w:rsidRDefault="000B098E" w:rsidP="00BD60F4">
      <w:r>
        <w:t xml:space="preserve">It </w:t>
      </w:r>
      <w:r w:rsidR="00EB48F9">
        <w:t xml:space="preserve">can </w:t>
      </w:r>
      <w:r w:rsidR="009866EC">
        <w:t xml:space="preserve">equally </w:t>
      </w:r>
      <w:r w:rsidR="00EB48F9">
        <w:t>apply to environmental consequences.</w:t>
      </w:r>
    </w:p>
    <w:p w14:paraId="4E1A6FEC" w14:textId="77777777" w:rsidR="0047336D" w:rsidRDefault="0047336D" w:rsidP="00BD60F4"/>
    <w:p w14:paraId="6D2C7E13" w14:textId="64FA8748" w:rsidR="00BD60F4" w:rsidRDefault="00BD60F4" w:rsidP="00BD60F4">
      <w:r>
        <w:lastRenderedPageBreak/>
        <w:t xml:space="preserve">However, it is a third effect, the unforeseeable and unanticipated consequences, </w:t>
      </w:r>
      <w:r w:rsidR="00125241">
        <w:t xml:space="preserve">which </w:t>
      </w:r>
      <w:r>
        <w:t>are arguably even more important</w:t>
      </w:r>
      <w:r w:rsidR="00EB48F9">
        <w:t>, and which we need</w:t>
      </w:r>
      <w:r>
        <w:t xml:space="preserve"> to recognise when they occur</w:t>
      </w:r>
      <w:r w:rsidR="002A3BDC">
        <w:t xml:space="preserve"> (de Zwart, 2015)</w:t>
      </w:r>
      <w:r w:rsidR="00BC516C">
        <w:t>.</w:t>
      </w:r>
      <w:r w:rsidR="008F48EF">
        <w:t xml:space="preserve"> An example would be the fact that recycling is seen to be a good thing. Certainly</w:t>
      </w:r>
      <w:r w:rsidR="00125241">
        <w:t>,</w:t>
      </w:r>
      <w:r w:rsidR="008F48EF">
        <w:t xml:space="preserve"> from the conservation of raw materials and the avoidance of land contamination this is </w:t>
      </w:r>
      <w:r w:rsidR="007915B1">
        <w:t xml:space="preserve">undoubtedly </w:t>
      </w:r>
      <w:r w:rsidR="008F48EF">
        <w:t xml:space="preserve">the case. However, the presence of </w:t>
      </w:r>
      <w:r w:rsidR="007915B1">
        <w:t xml:space="preserve">flame retardants in children’s toys which have been manufactured from recycled plastic, probably from WEEE (waste electrical and electronic equipment) </w:t>
      </w:r>
      <w:r w:rsidR="003520B4">
        <w:t>(</w:t>
      </w:r>
      <w:r w:rsidR="00F91CEE">
        <w:t>Turner</w:t>
      </w:r>
      <w:r w:rsidR="00C77549">
        <w:t xml:space="preserve"> et al.,</w:t>
      </w:r>
      <w:r w:rsidR="00F91CEE">
        <w:t xml:space="preserve"> 2021)</w:t>
      </w:r>
      <w:r w:rsidR="002039F8">
        <w:t>,</w:t>
      </w:r>
      <w:r w:rsidR="00F91CEE">
        <w:t xml:space="preserve"> </w:t>
      </w:r>
      <w:r w:rsidR="007915B1">
        <w:t>is an unanticipated consequence</w:t>
      </w:r>
      <w:r w:rsidR="00125241">
        <w:t xml:space="preserve"> </w:t>
      </w:r>
      <w:r w:rsidR="007915B1">
        <w:t>- though it could be argued that insufficient risk assessment had been applied to the process</w:t>
      </w:r>
      <w:r w:rsidR="00CC46A2">
        <w:t xml:space="preserve">, and the consequences </w:t>
      </w:r>
      <w:r w:rsidR="00CC46A2" w:rsidRPr="00CC46A2">
        <w:rPr>
          <w:i/>
          <w:iCs/>
        </w:rPr>
        <w:t>should</w:t>
      </w:r>
      <w:r w:rsidR="00CC46A2">
        <w:t xml:space="preserve"> have been foreseen. </w:t>
      </w:r>
    </w:p>
    <w:p w14:paraId="379078A0" w14:textId="195DD672" w:rsidR="00EB48F9" w:rsidRDefault="00EB48F9" w:rsidP="00BD60F4"/>
    <w:p w14:paraId="2E969C44" w14:textId="25E339C6" w:rsidR="00277B4D" w:rsidRDefault="00277B4D" w:rsidP="00277B4D">
      <w:r>
        <w:t xml:space="preserve">Within the lifetime of SEGH we have seen some contaminants </w:t>
      </w:r>
      <w:r w:rsidR="00330BA4">
        <w:t xml:space="preserve">evolve </w:t>
      </w:r>
      <w:r>
        <w:t xml:space="preserve">from being the wonder chemical of their day through to becoming current contaminants of concern. Well known examples are DDT, chlorofluorocarbons, neonicotinoids and glyphosate, the latter two of which are still controversial. </w:t>
      </w:r>
      <w:r w:rsidR="00330BA4">
        <w:t xml:space="preserve">This evolution may be due </w:t>
      </w:r>
      <w:r w:rsidR="00330BA4" w:rsidRPr="00330BA4">
        <w:t xml:space="preserve">to technical advances in </w:t>
      </w:r>
      <w:r w:rsidR="00330BA4">
        <w:t>our</w:t>
      </w:r>
      <w:r w:rsidR="00330BA4" w:rsidRPr="00330BA4">
        <w:t xml:space="preserve"> ability to detect</w:t>
      </w:r>
      <w:r w:rsidR="00806BAE">
        <w:t xml:space="preserve"> and track</w:t>
      </w:r>
      <w:r w:rsidR="00330BA4" w:rsidRPr="00330BA4">
        <w:t xml:space="preserve"> inorganic and organic </w:t>
      </w:r>
      <w:r w:rsidR="00806BAE">
        <w:t>contaminants</w:t>
      </w:r>
      <w:r w:rsidR="00330BA4" w:rsidRPr="00330BA4">
        <w:t xml:space="preserve"> in the environment or biological system</w:t>
      </w:r>
      <w:r w:rsidR="00330BA4">
        <w:t xml:space="preserve">s at trace </w:t>
      </w:r>
      <w:r w:rsidR="00806BAE">
        <w:t xml:space="preserve">(but still potentially toxic) </w:t>
      </w:r>
      <w:r w:rsidR="00330BA4">
        <w:t xml:space="preserve">levels, and/or time taken to </w:t>
      </w:r>
      <w:r w:rsidR="00806BAE">
        <w:t xml:space="preserve">observe or </w:t>
      </w:r>
      <w:r w:rsidR="00330BA4">
        <w:t xml:space="preserve">recognise their wider ecosystem or health </w:t>
      </w:r>
      <w:r w:rsidR="00C903B8">
        <w:t>risks</w:t>
      </w:r>
      <w:r w:rsidR="00330BA4">
        <w:t xml:space="preserve">. </w:t>
      </w:r>
      <w:r>
        <w:t xml:space="preserve">There will always be such emerging contaminants, which in time become old </w:t>
      </w:r>
      <w:r w:rsidR="00C903B8">
        <w:t xml:space="preserve">or established </w:t>
      </w:r>
      <w:r>
        <w:t>ones. The battle is how to prevent novel entities such as plastic microbeads</w:t>
      </w:r>
      <w:r w:rsidR="003F7B7D">
        <w:t>, nanoparticles</w:t>
      </w:r>
      <w:r>
        <w:t xml:space="preserve"> and new chemicals such as fire retardants from becoming persistent problems of the future. </w:t>
      </w:r>
      <w:r w:rsidR="00FD4761">
        <w:t>As an example, t</w:t>
      </w:r>
      <w:r>
        <w:t xml:space="preserve">he heat-resistant </w:t>
      </w:r>
      <w:r w:rsidR="001B059B">
        <w:t xml:space="preserve">“forever chemicals” </w:t>
      </w:r>
      <w:r>
        <w:t>PFOS (p</w:t>
      </w:r>
      <w:r w:rsidRPr="00B4602D">
        <w:t>erfluoro</w:t>
      </w:r>
      <w:r>
        <w:t>-</w:t>
      </w:r>
      <w:r w:rsidRPr="00B4602D">
        <w:t>octane sulfonate</w:t>
      </w:r>
      <w:r>
        <w:t>)</w:t>
      </w:r>
      <w:r w:rsidR="00FD4761">
        <w:t>,</w:t>
      </w:r>
      <w:r w:rsidRPr="00B4602D">
        <w:t xml:space="preserve"> </w:t>
      </w:r>
      <w:r>
        <w:t>PFOA (</w:t>
      </w:r>
      <w:r w:rsidRPr="00B4602D">
        <w:t>perfluoro</w:t>
      </w:r>
      <w:r>
        <w:t>-</w:t>
      </w:r>
      <w:r w:rsidRPr="00B4602D">
        <w:t>octanoic acid</w:t>
      </w:r>
      <w:r>
        <w:t>)</w:t>
      </w:r>
      <w:r w:rsidR="001B059B">
        <w:t xml:space="preserve"> and related per-fluorinated substances</w:t>
      </w:r>
      <w:r w:rsidR="00FD4761">
        <w:t xml:space="preserve"> have been </w:t>
      </w:r>
      <w:r w:rsidR="001B059B">
        <w:t xml:space="preserve">widely used in stain-resistant and non-stick coatings, </w:t>
      </w:r>
      <w:r w:rsidR="00FD4761">
        <w:t xml:space="preserve">and </w:t>
      </w:r>
      <w:r w:rsidR="001B059B">
        <w:t>fire fighting foams</w:t>
      </w:r>
      <w:r w:rsidR="00FD4761">
        <w:t>.</w:t>
      </w:r>
      <w:r w:rsidR="001B059B">
        <w:t xml:space="preserve"> </w:t>
      </w:r>
      <w:r w:rsidR="00FD4761" w:rsidRPr="00FD4761">
        <w:t>PFOS has been prohibited in the European Union since 2008</w:t>
      </w:r>
      <w:r w:rsidR="00FD4761">
        <w:t xml:space="preserve">. </w:t>
      </w:r>
      <w:r w:rsidR="00FD4761" w:rsidRPr="00FD4761">
        <w:t>Falling serum levels in the USA indicate that exposure to these “forever” chemicals can be reduced (ATSDR, 2020) though they remain chemicals of concern in the UK</w:t>
      </w:r>
      <w:r>
        <w:t xml:space="preserve"> (Public Health England, 2018a). </w:t>
      </w:r>
      <w:r w:rsidR="00FD4761">
        <w:t>D</w:t>
      </w:r>
      <w:r w:rsidR="00FD4761" w:rsidRPr="00FD4761">
        <w:t>espite  being  chemicals in Annexe B of the Stockholm convention</w:t>
      </w:r>
      <w:r w:rsidR="00FD4761">
        <w:t xml:space="preserve"> (discussed below)</w:t>
      </w:r>
      <w:r w:rsidR="00FD4761" w:rsidRPr="00FD4761">
        <w:t>, they continue t</w:t>
      </w:r>
      <w:r w:rsidR="00452EAF">
        <w:t xml:space="preserve">o appear in consumer products, </w:t>
      </w:r>
      <w:r w:rsidR="00FD4761" w:rsidRPr="00FD4761">
        <w:t>most recently in cosmetics (Whitehead et al., 2021) and remain of global concern.</w:t>
      </w:r>
      <w:r w:rsidR="00FD4761">
        <w:t xml:space="preserve"> </w:t>
      </w:r>
      <w:r>
        <w:t xml:space="preserve">Furthermore, the safety of their replacements is now being challenged (Minet, 2021). </w:t>
      </w:r>
    </w:p>
    <w:p w14:paraId="3FF8A097" w14:textId="77777777" w:rsidR="00277B4D" w:rsidRDefault="00277B4D" w:rsidP="00BD60F4"/>
    <w:p w14:paraId="7C39B685" w14:textId="45EC6F2B" w:rsidR="00EB48F9" w:rsidRPr="00D42BD7" w:rsidRDefault="00EB48F9" w:rsidP="00D42BD7">
      <w:pPr>
        <w:pStyle w:val="ListParagraph"/>
        <w:numPr>
          <w:ilvl w:val="0"/>
          <w:numId w:val="3"/>
        </w:numPr>
        <w:rPr>
          <w:b/>
          <w:u w:val="single"/>
        </w:rPr>
      </w:pPr>
      <w:r w:rsidRPr="00D42BD7">
        <w:rPr>
          <w:b/>
          <w:u w:val="single"/>
        </w:rPr>
        <w:t xml:space="preserve">The journey to </w:t>
      </w:r>
      <w:r w:rsidR="00681FAA">
        <w:rPr>
          <w:b/>
          <w:u w:val="single"/>
        </w:rPr>
        <w:t>“</w:t>
      </w:r>
      <w:r w:rsidRPr="00D42BD7">
        <w:rPr>
          <w:b/>
          <w:u w:val="single"/>
        </w:rPr>
        <w:t>now</w:t>
      </w:r>
      <w:r w:rsidR="00681FAA">
        <w:rPr>
          <w:b/>
          <w:u w:val="single"/>
        </w:rPr>
        <w:t>”</w:t>
      </w:r>
    </w:p>
    <w:p w14:paraId="1F218950" w14:textId="5582B5AD" w:rsidR="007E7550" w:rsidRDefault="007E7550"/>
    <w:p w14:paraId="1802925E" w14:textId="2D92C73E" w:rsidR="00BA0486" w:rsidRDefault="006D5F9D">
      <w:r>
        <w:t xml:space="preserve">3.1 </w:t>
      </w:r>
      <w:r w:rsidR="00385FC5">
        <w:t>Global protection and co-operation</w:t>
      </w:r>
      <w:r w:rsidR="00277B4D">
        <w:t>.</w:t>
      </w:r>
    </w:p>
    <w:p w14:paraId="1D6732A8" w14:textId="77777777" w:rsidR="00385FC5" w:rsidRDefault="00385FC5"/>
    <w:p w14:paraId="6E7DD4FA" w14:textId="7404CD1A" w:rsidR="009866EC" w:rsidRDefault="00BA0486">
      <w:r>
        <w:t xml:space="preserve">The </w:t>
      </w:r>
      <w:r w:rsidR="002742DD">
        <w:t xml:space="preserve">formation </w:t>
      </w:r>
      <w:r>
        <w:t>of the United Nations post</w:t>
      </w:r>
      <w:r w:rsidR="00B4602D">
        <w:t>-World War Two</w:t>
      </w:r>
      <w:r>
        <w:t xml:space="preserve"> enabled the development of internationally binding treaties</w:t>
      </w:r>
      <w:r w:rsidR="00D94F2D">
        <w:t>, f</w:t>
      </w:r>
      <w:r>
        <w:t xml:space="preserve">or the protection of all. The simultaneous creation of the World </w:t>
      </w:r>
      <w:r w:rsidR="00D94F2D">
        <w:t>H</w:t>
      </w:r>
      <w:r>
        <w:t>ealth Organi</w:t>
      </w:r>
      <w:r w:rsidR="003835EC">
        <w:t>z</w:t>
      </w:r>
      <w:r>
        <w:t>ation</w:t>
      </w:r>
      <w:r w:rsidR="003835EC">
        <w:t xml:space="preserve"> (WHO)</w:t>
      </w:r>
      <w:r w:rsidR="00366329">
        <w:t xml:space="preserve"> </w:t>
      </w:r>
      <w:r>
        <w:t>enabled research to be carried out which consider</w:t>
      </w:r>
      <w:r w:rsidR="002742DD">
        <w:t>s</w:t>
      </w:r>
      <w:r>
        <w:t xml:space="preserve"> the health of people at a global level, and to </w:t>
      </w:r>
      <w:r w:rsidR="002742DD">
        <w:t>inform</w:t>
      </w:r>
      <w:r>
        <w:t xml:space="preserve"> the</w:t>
      </w:r>
      <w:r w:rsidR="002742DD">
        <w:t xml:space="preserve"> development of</w:t>
      </w:r>
      <w:r>
        <w:t xml:space="preserve"> </w:t>
      </w:r>
      <w:r w:rsidR="001D0D3D" w:rsidRPr="001D0D3D">
        <w:t xml:space="preserve">appropriate </w:t>
      </w:r>
      <w:r>
        <w:t xml:space="preserve">treaties. Perhaps the most notable and best known is the Montreal protocol of 1985, banning the production of </w:t>
      </w:r>
      <w:r w:rsidR="00B4602D">
        <w:t>c</w:t>
      </w:r>
      <w:r w:rsidR="00B4602D" w:rsidRPr="00B4602D">
        <w:t>hlorofluorocarbons</w:t>
      </w:r>
      <w:r w:rsidR="00B4602D">
        <w:t xml:space="preserve"> (</w:t>
      </w:r>
      <w:r>
        <w:t>CFCs</w:t>
      </w:r>
      <w:r w:rsidR="00B4602D">
        <w:t>) for their ozone-depleting actions</w:t>
      </w:r>
      <w:r>
        <w:t xml:space="preserve">, and to which have been added a number of </w:t>
      </w:r>
      <w:r w:rsidR="00B4602D">
        <w:t xml:space="preserve">other </w:t>
      </w:r>
      <w:r>
        <w:t>ozone</w:t>
      </w:r>
      <w:r w:rsidR="00773C1F">
        <w:t>-</w:t>
      </w:r>
      <w:r>
        <w:t xml:space="preserve">depleting substances. </w:t>
      </w:r>
      <w:r w:rsidR="00F17C1A">
        <w:t xml:space="preserve"> </w:t>
      </w:r>
      <w:r w:rsidR="00F212E5">
        <w:t xml:space="preserve">For the purpose of this paper possibly the most </w:t>
      </w:r>
      <w:r w:rsidR="00F17C1A">
        <w:t xml:space="preserve">relevant </w:t>
      </w:r>
      <w:r w:rsidR="00F212E5">
        <w:t>treaty is the Stockholm convention</w:t>
      </w:r>
      <w:r w:rsidR="000F0186">
        <w:t xml:space="preserve"> (United Nations</w:t>
      </w:r>
      <w:r w:rsidR="00090F7B">
        <w:t>, 2019</w:t>
      </w:r>
      <w:r w:rsidR="000F0186">
        <w:t>)</w:t>
      </w:r>
      <w:r w:rsidR="003D1DE4">
        <w:t>.</w:t>
      </w:r>
      <w:r w:rsidR="00F212E5">
        <w:t xml:space="preserve"> This</w:t>
      </w:r>
      <w:r w:rsidR="001D0D3D">
        <w:t xml:space="preserve"> </w:t>
      </w:r>
      <w:r w:rsidR="00F212E5">
        <w:t xml:space="preserve">bans or restricts the production </w:t>
      </w:r>
      <w:r w:rsidR="000A4C8A">
        <w:t xml:space="preserve">and trading </w:t>
      </w:r>
      <w:r w:rsidR="00F212E5">
        <w:t xml:space="preserve">of existing chemicals which are known to have an impact on human health. </w:t>
      </w:r>
    </w:p>
    <w:p w14:paraId="6D15415F" w14:textId="77777777" w:rsidR="009866EC" w:rsidRDefault="009866EC"/>
    <w:p w14:paraId="08B3D490" w14:textId="2A2CC9C5" w:rsidR="00223168" w:rsidRDefault="00F212E5">
      <w:r>
        <w:t xml:space="preserve">Under the </w:t>
      </w:r>
      <w:r w:rsidR="00B4602D" w:rsidRPr="00B4602D">
        <w:t xml:space="preserve">European </w:t>
      </w:r>
      <w:r>
        <w:t xml:space="preserve">REACH </w:t>
      </w:r>
      <w:r w:rsidR="00B4602D">
        <w:t>(</w:t>
      </w:r>
      <w:r w:rsidR="00B4602D" w:rsidRPr="00B4602D">
        <w:t>Registration, Evaluation, Authorisation and Restriction of Chemicals</w:t>
      </w:r>
      <w:r w:rsidR="00B4602D">
        <w:t xml:space="preserve">) </w:t>
      </w:r>
      <w:r>
        <w:t>regulations</w:t>
      </w:r>
      <w:r w:rsidR="000F0186">
        <w:t xml:space="preserve"> (European</w:t>
      </w:r>
      <w:r w:rsidR="007B64A8">
        <w:t xml:space="preserve"> Commission</w:t>
      </w:r>
      <w:r w:rsidR="005308F4">
        <w:t xml:space="preserve">, </w:t>
      </w:r>
      <w:r w:rsidR="007B64A8">
        <w:t>n</w:t>
      </w:r>
      <w:r w:rsidR="001E3958">
        <w:t>ot dated</w:t>
      </w:r>
      <w:r w:rsidR="000F0186">
        <w:t>)</w:t>
      </w:r>
      <w:r>
        <w:t xml:space="preserve">, European countries aim to </w:t>
      </w:r>
      <w:r w:rsidR="00A67436">
        <w:lastRenderedPageBreak/>
        <w:t>implement the UN ‘Precautionary</w:t>
      </w:r>
      <w:r w:rsidR="00B4602D">
        <w:t>’</w:t>
      </w:r>
      <w:r w:rsidR="00F359EE">
        <w:t xml:space="preserve"> </w:t>
      </w:r>
      <w:r w:rsidR="000E642C">
        <w:t xml:space="preserve">(United Nations Global Compact, </w:t>
      </w:r>
      <w:r w:rsidR="001E3958">
        <w:t>not dated</w:t>
      </w:r>
      <w:r w:rsidR="000E642C">
        <w:t xml:space="preserve">) </w:t>
      </w:r>
      <w:r w:rsidR="00A67436">
        <w:t xml:space="preserve">and </w:t>
      </w:r>
      <w:r w:rsidR="000A4C8A">
        <w:t>‘</w:t>
      </w:r>
      <w:r w:rsidR="00A67436">
        <w:t xml:space="preserve">Polluter </w:t>
      </w:r>
      <w:r w:rsidR="00773C1F">
        <w:t>P</w:t>
      </w:r>
      <w:r w:rsidR="00A67436">
        <w:t>ays</w:t>
      </w:r>
      <w:r w:rsidR="000A4C8A">
        <w:t>’</w:t>
      </w:r>
      <w:r w:rsidR="00A67436">
        <w:t xml:space="preserve"> </w:t>
      </w:r>
      <w:r w:rsidR="00BC24C7">
        <w:t>(OECD 1992</w:t>
      </w:r>
      <w:r w:rsidR="000E642C">
        <w:t>)</w:t>
      </w:r>
      <w:r w:rsidR="00A67436">
        <w:t xml:space="preserve"> principle</w:t>
      </w:r>
      <w:r w:rsidR="00B4602D">
        <w:t>s</w:t>
      </w:r>
      <w:r w:rsidR="00A61CD5">
        <w:t>:</w:t>
      </w:r>
      <w:r w:rsidR="00F359EE">
        <w:t xml:space="preserve"> </w:t>
      </w:r>
      <w:r w:rsidR="00B4602D">
        <w:t xml:space="preserve">REACH </w:t>
      </w:r>
      <w:r w:rsidR="00A67436">
        <w:t>requires the producer of novel (i.e</w:t>
      </w:r>
      <w:r w:rsidR="00B4602D">
        <w:t>.</w:t>
      </w:r>
      <w:r w:rsidR="00A67436">
        <w:t xml:space="preserve"> new and unproven) chemicals to register them before they come to market, and demonstrate that they do not cause harm, either to the wider environment, or to human health. </w:t>
      </w:r>
      <w:r w:rsidR="000A4C8A">
        <w:t xml:space="preserve">This is a reversal of previous </w:t>
      </w:r>
      <w:r w:rsidR="00773C1F">
        <w:t>approaches</w:t>
      </w:r>
      <w:r w:rsidR="000A4C8A">
        <w:t xml:space="preserve">, whereby chemicals </w:t>
      </w:r>
      <w:r w:rsidR="00773C1F">
        <w:t xml:space="preserve">were </w:t>
      </w:r>
      <w:r w:rsidR="000A4C8A">
        <w:t xml:space="preserve">freely traded, and have proved difficult to remove from circulation despite there being ample evidence of their damaging nature. </w:t>
      </w:r>
    </w:p>
    <w:p w14:paraId="22AC0787" w14:textId="77777777" w:rsidR="00223168" w:rsidRDefault="00223168"/>
    <w:p w14:paraId="581AFBF6" w14:textId="69007261" w:rsidR="000A4C8A" w:rsidRDefault="00FC2216">
      <w:r>
        <w:t xml:space="preserve">Each </w:t>
      </w:r>
      <w:r w:rsidR="002C4BFA">
        <w:t>UN</w:t>
      </w:r>
      <w:r>
        <w:t xml:space="preserve"> convention (or protocol</w:t>
      </w:r>
      <w:r w:rsidR="00773C1F">
        <w:t xml:space="preserve"> </w:t>
      </w:r>
      <w:r>
        <w:t>- the term is used interchangeably) is overseen by its own committee</w:t>
      </w:r>
      <w:r w:rsidR="00B6676F">
        <w:t>. T</w:t>
      </w:r>
      <w:r>
        <w:t xml:space="preserve">he committee comprises parties; that is, representatives from member states or countries which are signatories to the convention. </w:t>
      </w:r>
      <w:r w:rsidR="000A4C8A">
        <w:t xml:space="preserve">It is worth noting that </w:t>
      </w:r>
      <w:r w:rsidR="00090DCD">
        <w:t>three committees of the parties, Rotterdam</w:t>
      </w:r>
      <w:r w:rsidR="00277B4D">
        <w:t xml:space="preserve"> </w:t>
      </w:r>
      <w:r w:rsidR="00B32020">
        <w:t>(importation of hazardous chemicals)</w:t>
      </w:r>
      <w:r w:rsidR="00277B4D">
        <w:t>,</w:t>
      </w:r>
      <w:r w:rsidR="00090DCD">
        <w:t xml:space="preserve"> Stockholm</w:t>
      </w:r>
      <w:r w:rsidR="00B32020">
        <w:t xml:space="preserve"> (restriction of production and use of persistent organic chemicals)</w:t>
      </w:r>
      <w:r w:rsidR="00090DCD">
        <w:t xml:space="preserve"> and Basel</w:t>
      </w:r>
      <w:r w:rsidR="00B32020">
        <w:t xml:space="preserve"> (restriction of movement of hazardous waste between countries)</w:t>
      </w:r>
      <w:r w:rsidR="00090DCD">
        <w:t>, recognise the synergy which exists between the three conventions, and that joint meetings can bring great benefits</w:t>
      </w:r>
      <w:r w:rsidR="001F65EF">
        <w:t xml:space="preserve"> (</w:t>
      </w:r>
      <w:r w:rsidR="00090F7B">
        <w:t xml:space="preserve">Synergies, </w:t>
      </w:r>
      <w:r w:rsidR="001E3958">
        <w:t>not dated,</w:t>
      </w:r>
      <w:r w:rsidR="00F214F4">
        <w:t xml:space="preserve"> and linked webpages</w:t>
      </w:r>
      <w:r w:rsidR="001F65EF">
        <w:t>)</w:t>
      </w:r>
      <w:r w:rsidR="00090F7B">
        <w:t>.</w:t>
      </w:r>
      <w:r w:rsidR="003749D4">
        <w:t xml:space="preserve"> Recommendations from the committees are discussed at the ‘conference of the parties’ which are held on an annual basis</w:t>
      </w:r>
      <w:r w:rsidR="00614DE1">
        <w:t xml:space="preserve">: perhaps the most </w:t>
      </w:r>
      <w:r w:rsidR="00B6676F">
        <w:t>widely recognised</w:t>
      </w:r>
      <w:r w:rsidR="001F65EF">
        <w:t xml:space="preserve"> recent</w:t>
      </w:r>
      <w:r w:rsidR="00773C1F">
        <w:t xml:space="preserve"> </w:t>
      </w:r>
      <w:r w:rsidR="00614DE1">
        <w:t>one</w:t>
      </w:r>
      <w:r w:rsidR="001F65EF">
        <w:t xml:space="preserve"> (</w:t>
      </w:r>
      <w:r w:rsidR="00F214F4">
        <w:t xml:space="preserve">UNEP, </w:t>
      </w:r>
      <w:r w:rsidR="001F65EF">
        <w:t>2015)</w:t>
      </w:r>
      <w:r w:rsidR="00614DE1">
        <w:t xml:space="preserve"> is COP21 which gave rise to the Paris agreement on limiting global temperature </w:t>
      </w:r>
      <w:r w:rsidR="00B6676F">
        <w:t>increase</w:t>
      </w:r>
      <w:r w:rsidR="00614DE1">
        <w:t>.</w:t>
      </w:r>
      <w:r w:rsidR="00434750">
        <w:t xml:space="preserve"> </w:t>
      </w:r>
    </w:p>
    <w:p w14:paraId="154BE884" w14:textId="18A420A4" w:rsidR="00B6676F" w:rsidRDefault="00B6676F"/>
    <w:p w14:paraId="6B84EE65" w14:textId="05F87F0D" w:rsidR="00B6676F" w:rsidRPr="00AC5776" w:rsidRDefault="006D5F9D">
      <w:r>
        <w:t xml:space="preserve">3.2 </w:t>
      </w:r>
      <w:r w:rsidR="00B6676F" w:rsidRPr="00AC5776">
        <w:t>Monitoring and modelling pollutant migration</w:t>
      </w:r>
      <w:r w:rsidR="00277B4D">
        <w:t>.</w:t>
      </w:r>
    </w:p>
    <w:p w14:paraId="3C4FC48A" w14:textId="60657664" w:rsidR="008435B3" w:rsidRDefault="008435B3"/>
    <w:p w14:paraId="2F7BC7CD" w14:textId="5F2C1B40" w:rsidR="008435B3" w:rsidRDefault="008435B3">
      <w:r>
        <w:t xml:space="preserve">The ‘source, pathway, receptor’ </w:t>
      </w:r>
      <w:r w:rsidR="00773C1F">
        <w:t xml:space="preserve">model </w:t>
      </w:r>
      <w:r>
        <w:t xml:space="preserve">is </w:t>
      </w:r>
      <w:r w:rsidR="00486957">
        <w:t xml:space="preserve">often used within </w:t>
      </w:r>
      <w:r w:rsidR="00BA1959">
        <w:t xml:space="preserve">the environmental community, including relevant </w:t>
      </w:r>
      <w:r w:rsidR="00486957">
        <w:t>industry</w:t>
      </w:r>
      <w:r w:rsidR="00BA1959">
        <w:t>,</w:t>
      </w:r>
      <w:r w:rsidR="00486957">
        <w:t xml:space="preserve"> to evaluate the risk to the environment </w:t>
      </w:r>
      <w:r w:rsidR="003D1DE4">
        <w:t xml:space="preserve">(or human health) </w:t>
      </w:r>
      <w:r w:rsidR="00486957">
        <w:t>which may result from loss of control of a substance during the manufacturing process</w:t>
      </w:r>
      <w:r w:rsidR="003D1DE4">
        <w:t>, or following its release to land or water in the contaminated land sector</w:t>
      </w:r>
      <w:r w:rsidR="00486957">
        <w:t xml:space="preserve">. However, it is a model which is increasingly being deployed to backtrack </w:t>
      </w:r>
      <w:r w:rsidR="00277B4D">
        <w:t>anthropogenic</w:t>
      </w:r>
      <w:r w:rsidR="00486957">
        <w:t xml:space="preserve"> materials found throughout the environment</w:t>
      </w:r>
      <w:r w:rsidR="00614DE1">
        <w:t xml:space="preserve">, acting as a detective to determine the point of production </w:t>
      </w:r>
      <w:r w:rsidR="00B6676F">
        <w:t>or release</w:t>
      </w:r>
      <w:r w:rsidR="00BA1959">
        <w:t>,</w:t>
      </w:r>
      <w:r w:rsidR="00B6676F">
        <w:t xml:space="preserve"> </w:t>
      </w:r>
      <w:r w:rsidR="00614DE1">
        <w:t xml:space="preserve">and thus the polluter responsible for creating a problem. </w:t>
      </w:r>
    </w:p>
    <w:p w14:paraId="3E3318BE" w14:textId="431C34FF" w:rsidR="00A67436" w:rsidRDefault="00A67436"/>
    <w:p w14:paraId="024EFFB2" w14:textId="659DBCDF" w:rsidR="001C1445" w:rsidRDefault="00F27506">
      <w:r>
        <w:t>Anthropogenic substances migrate from the point</w:t>
      </w:r>
      <w:r w:rsidR="009866EC">
        <w:t>s</w:t>
      </w:r>
      <w:r>
        <w:t xml:space="preserve"> of manufacture, use, and disposal, and are now found </w:t>
      </w:r>
      <w:r w:rsidR="00773C1F">
        <w:t xml:space="preserve">all </w:t>
      </w:r>
      <w:r>
        <w:t>across the globe</w:t>
      </w:r>
      <w:r w:rsidR="009A53C4">
        <w:t xml:space="preserve"> </w:t>
      </w:r>
      <w:r w:rsidR="00A26CBA">
        <w:t>(</w:t>
      </w:r>
      <w:r w:rsidR="00BA1959">
        <w:t>Jamieson et al., 2019</w:t>
      </w:r>
      <w:r w:rsidR="00A26CBA">
        <w:t>)</w:t>
      </w:r>
      <w:r w:rsidR="009A53C4">
        <w:t>,</w:t>
      </w:r>
      <w:r w:rsidR="00B6676F">
        <w:t xml:space="preserve"> </w:t>
      </w:r>
      <w:r w:rsidR="00D94F2D">
        <w:t>from the deepest ocean trenches to the remot</w:t>
      </w:r>
      <w:r w:rsidR="00773C1F">
        <w:t xml:space="preserve">e </w:t>
      </w:r>
      <w:r w:rsidR="00D94F2D">
        <w:t xml:space="preserve">poles. </w:t>
      </w:r>
      <w:r>
        <w:t xml:space="preserve"> They pose a continuing threat to </w:t>
      </w:r>
      <w:r w:rsidR="00090DCD">
        <w:t xml:space="preserve">the </w:t>
      </w:r>
      <w:r>
        <w:t>health</w:t>
      </w:r>
      <w:r w:rsidR="00D94F2D">
        <w:t xml:space="preserve"> of m</w:t>
      </w:r>
      <w:r w:rsidR="00090DCD">
        <w:t xml:space="preserve">ost </w:t>
      </w:r>
      <w:r w:rsidR="00D94F2D">
        <w:t>species including humans</w:t>
      </w:r>
      <w:r>
        <w:t>, as many continue to bioaccumulate</w:t>
      </w:r>
      <w:r w:rsidR="00B4602D">
        <w:t xml:space="preserve"> (</w:t>
      </w:r>
      <w:r w:rsidR="00B6676F">
        <w:t xml:space="preserve">become </w:t>
      </w:r>
      <w:r w:rsidR="00B4602D">
        <w:t>concentrated within living organisms)</w:t>
      </w:r>
      <w:r w:rsidR="00B56518">
        <w:t xml:space="preserve"> </w:t>
      </w:r>
      <w:r>
        <w:t>and biomagnify</w:t>
      </w:r>
      <w:r w:rsidR="00B4602D">
        <w:t xml:space="preserve"> (</w:t>
      </w:r>
      <w:r w:rsidR="00BA1959">
        <w:t xml:space="preserve">become more </w:t>
      </w:r>
      <w:r w:rsidR="00B4602D">
        <w:t>concentrat</w:t>
      </w:r>
      <w:r w:rsidR="00BA1959">
        <w:t>ed</w:t>
      </w:r>
      <w:r w:rsidR="00B4602D">
        <w:t xml:space="preserve"> </w:t>
      </w:r>
      <w:r w:rsidR="00BA1959">
        <w:t xml:space="preserve">higher </w:t>
      </w:r>
      <w:r w:rsidR="00B4602D">
        <w:t>up a food chain)</w:t>
      </w:r>
      <w:r w:rsidR="009A53C4">
        <w:t>.</w:t>
      </w:r>
      <w:r w:rsidR="00B32020">
        <w:t xml:space="preserve"> Microplastics</w:t>
      </w:r>
      <w:r w:rsidR="000B213E">
        <w:t>, which carry endocrine disrupting chemicals,</w:t>
      </w:r>
      <w:r w:rsidR="00B32020">
        <w:t xml:space="preserve"> </w:t>
      </w:r>
      <w:r w:rsidR="001D071F">
        <w:t>have been found in the placentas of humans, and have migrated to the fetal side</w:t>
      </w:r>
      <w:r w:rsidR="00E42510">
        <w:t xml:space="preserve"> (Ragusa</w:t>
      </w:r>
      <w:r w:rsidR="00893486">
        <w:t xml:space="preserve"> et al.</w:t>
      </w:r>
      <w:r w:rsidR="00A61CD5">
        <w:t>,</w:t>
      </w:r>
      <w:r w:rsidR="00E42510">
        <w:t xml:space="preserve"> 2020)</w:t>
      </w:r>
      <w:r w:rsidR="001E3958">
        <w:t>, while engineered nanoparticles (used in hundreds of consumer products</w:t>
      </w:r>
      <w:r w:rsidR="001A27F7">
        <w:t>, finding increasing use in food industries</w:t>
      </w:r>
      <w:r w:rsidR="00644C4B">
        <w:t xml:space="preserve"> and with potential for improving pharmaceutical treatments</w:t>
      </w:r>
      <w:r w:rsidR="001E3958">
        <w:t xml:space="preserve">) </w:t>
      </w:r>
      <w:r w:rsidR="001A27F7">
        <w:t>are capable of crossing cell membranes and inhibiting cell function, or accumulating in organs (including the brain)</w:t>
      </w:r>
      <w:r w:rsidR="00644C4B">
        <w:t xml:space="preserve">, resulting in </w:t>
      </w:r>
      <w:r w:rsidR="00644C4B" w:rsidRPr="00644C4B">
        <w:t>neurotoxicity, pulmonary toxicity, vascular dysfunction, genotoxicity, and immunotoxicity</w:t>
      </w:r>
      <w:r w:rsidR="00644C4B">
        <w:t xml:space="preserve"> (Wang et al. 2021)</w:t>
      </w:r>
      <w:r w:rsidR="00BA1959">
        <w:t>.</w:t>
      </w:r>
      <w:r w:rsidR="001D071F">
        <w:t xml:space="preserve"> In the human body</w:t>
      </w:r>
      <w:r w:rsidR="009866EC">
        <w:t>,</w:t>
      </w:r>
      <w:r w:rsidR="001D071F">
        <w:t xml:space="preserve"> </w:t>
      </w:r>
      <w:r w:rsidR="000B213E">
        <w:t xml:space="preserve">endocrine disrupting chemicals </w:t>
      </w:r>
      <w:r w:rsidR="007E2DC4">
        <w:t xml:space="preserve">and air pollution particles </w:t>
      </w:r>
      <w:r w:rsidR="001D071F">
        <w:t>may act as obesogens, amongst other health effects</w:t>
      </w:r>
      <w:r w:rsidR="001F616E">
        <w:t xml:space="preserve"> </w:t>
      </w:r>
      <w:r w:rsidR="000622CA">
        <w:t>(</w:t>
      </w:r>
      <w:r w:rsidR="00A376DC">
        <w:t>de Cock &amp; van de Bor, 2014;</w:t>
      </w:r>
      <w:r w:rsidR="007E2DC4">
        <w:t xml:space="preserve"> Yang et al., 2019</w:t>
      </w:r>
      <w:r w:rsidR="00BA3DE7">
        <w:t>)</w:t>
      </w:r>
      <w:r w:rsidR="006D5F9D">
        <w:t xml:space="preserve"> </w:t>
      </w:r>
      <w:r w:rsidR="00BA3DE7">
        <w:t>- s</w:t>
      </w:r>
      <w:r w:rsidR="00837C60">
        <w:t>ee Case Study 1: Plastics.</w:t>
      </w:r>
      <w:r w:rsidR="006B3C54">
        <w:t xml:space="preserve"> </w:t>
      </w:r>
    </w:p>
    <w:p w14:paraId="331E76C0" w14:textId="77777777" w:rsidR="001C1445" w:rsidRDefault="001C1445"/>
    <w:p w14:paraId="10F66030" w14:textId="21408991" w:rsidR="00A67436" w:rsidRDefault="000F6C1C">
      <w:r>
        <w:t>Chemi</w:t>
      </w:r>
      <w:r w:rsidR="006D5F9D">
        <w:t>cal transformations</w:t>
      </w:r>
      <w:r>
        <w:t xml:space="preserve"> </w:t>
      </w:r>
      <w:r w:rsidR="006D5F9D">
        <w:t>occur</w:t>
      </w:r>
      <w:r>
        <w:t xml:space="preserve"> naturally in the environment</w:t>
      </w:r>
      <w:r w:rsidR="003A13E2">
        <w:t xml:space="preserve">. </w:t>
      </w:r>
      <w:r w:rsidR="006D5F9D">
        <w:t>This has happened through</w:t>
      </w:r>
      <w:r w:rsidR="009866EC">
        <w:t>ou</w:t>
      </w:r>
      <w:r w:rsidR="006D5F9D">
        <w:t>t Earth</w:t>
      </w:r>
      <w:r w:rsidR="008A0AFA">
        <w:t>’s</w:t>
      </w:r>
      <w:r w:rsidR="006D5F9D">
        <w:t xml:space="preserve"> history</w:t>
      </w:r>
      <w:r w:rsidR="001C1445">
        <w:t xml:space="preserve">, </w:t>
      </w:r>
      <w:r w:rsidR="006D5F9D">
        <w:t xml:space="preserve">for example </w:t>
      </w:r>
      <w:r w:rsidR="001C1445">
        <w:t>rain fall</w:t>
      </w:r>
      <w:r w:rsidR="009866EC">
        <w:t>ing</w:t>
      </w:r>
      <w:r w:rsidR="001C1445">
        <w:t xml:space="preserve"> through the atmosphere</w:t>
      </w:r>
      <w:r w:rsidR="009866EC">
        <w:t>,</w:t>
      </w:r>
      <w:r w:rsidR="001C1445">
        <w:t xml:space="preserve"> picking up gases as it passes, creating acid rain. However, unlooked</w:t>
      </w:r>
      <w:r w:rsidR="006503B7">
        <w:t>-</w:t>
      </w:r>
      <w:r w:rsidR="001C1445">
        <w:t xml:space="preserve">for chemical reactions arise from </w:t>
      </w:r>
      <w:r w:rsidR="001C1445">
        <w:lastRenderedPageBreak/>
        <w:t xml:space="preserve">the interaction of anthropogenic chemicals with the ‘wild’ environment. </w:t>
      </w:r>
      <w:r w:rsidR="00F1645B">
        <w:t xml:space="preserve">Well known examples are the interactions between </w:t>
      </w:r>
      <w:r w:rsidR="006503B7">
        <w:t>c</w:t>
      </w:r>
      <w:r w:rsidR="00F1645B">
        <w:t xml:space="preserve">hlorofluorocarbons (CFCs) and ozone in the stratosphere leading to ozone depletetion, and the diurnal reaction between NOx and </w:t>
      </w:r>
      <w:r w:rsidR="001C1445">
        <w:t>poly</w:t>
      </w:r>
      <w:r w:rsidR="006D5F9D">
        <w:t xml:space="preserve">cyclic </w:t>
      </w:r>
      <w:r w:rsidR="001C1445">
        <w:t>aromatic hydrocarbons (PAH) creating photochemical smog (Scorer</w:t>
      </w:r>
      <w:r w:rsidR="000B213E">
        <w:t>,</w:t>
      </w:r>
      <w:r w:rsidR="001C1445">
        <w:t xml:space="preserve"> 1990)</w:t>
      </w:r>
      <w:r w:rsidR="000B213E">
        <w:t>.</w:t>
      </w:r>
      <w:r w:rsidR="001C1445">
        <w:t xml:space="preserve"> It is important to recognise that chemicals which may be developed</w:t>
      </w:r>
      <w:r w:rsidR="006503B7">
        <w:t xml:space="preserve"> in the future </w:t>
      </w:r>
      <w:r w:rsidR="001C1445">
        <w:t xml:space="preserve">may </w:t>
      </w:r>
      <w:r w:rsidR="000B213E">
        <w:t xml:space="preserve">initially </w:t>
      </w:r>
      <w:r w:rsidR="001C1445">
        <w:t>appear to be benign, but the potential to hybridise into something altogether undesirable</w:t>
      </w:r>
      <w:r w:rsidR="000B213E">
        <w:t xml:space="preserve"> cannot be ignored</w:t>
      </w:r>
      <w:r w:rsidR="001C1445">
        <w:t xml:space="preserve">. </w:t>
      </w:r>
    </w:p>
    <w:p w14:paraId="4865F7D2" w14:textId="4AD8986F" w:rsidR="00CD7AC5" w:rsidRDefault="009D465E">
      <w:r>
        <w:rPr>
          <w:noProof/>
          <w:lang w:eastAsia="en-GB"/>
        </w:rPr>
        <mc:AlternateContent>
          <mc:Choice Requires="wps">
            <w:drawing>
              <wp:anchor distT="0" distB="0" distL="114300" distR="114300" simplePos="0" relativeHeight="251661312" behindDoc="0" locked="0" layoutInCell="1" allowOverlap="1" wp14:anchorId="2B334EA3" wp14:editId="7DB3E84D">
                <wp:simplePos x="0" y="0"/>
                <wp:positionH relativeFrom="column">
                  <wp:posOffset>184558</wp:posOffset>
                </wp:positionH>
                <wp:positionV relativeFrom="paragraph">
                  <wp:posOffset>372110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7ABE71E" w14:textId="77777777" w:rsidR="00644C4B" w:rsidRPr="002C4BFA" w:rsidRDefault="00644C4B">
                            <w:pPr>
                              <w:rPr>
                                <w:i/>
                                <w:iCs/>
                              </w:rPr>
                            </w:pPr>
                            <w:r w:rsidRPr="002C4BFA">
                              <w:rPr>
                                <w:i/>
                                <w:iCs/>
                              </w:rPr>
                              <w:t>Case Study 1: Plastics</w:t>
                            </w:r>
                          </w:p>
                          <w:p w14:paraId="38CE38CC" w14:textId="77777777" w:rsidR="00644C4B" w:rsidRPr="006C4403" w:rsidRDefault="00644C4B" w:rsidP="008D1814">
                            <w:pPr>
                              <w:rPr>
                                <w:i/>
                                <w:iCs/>
                              </w:rPr>
                            </w:pPr>
                          </w:p>
                          <w:p w14:paraId="5A65CE36" w14:textId="6C0C12BD" w:rsidR="00644C4B" w:rsidRPr="006C4403" w:rsidRDefault="00644C4B" w:rsidP="008D1814">
                            <w:pPr>
                              <w:rPr>
                                <w:i/>
                                <w:iCs/>
                              </w:rPr>
                            </w:pPr>
                            <w:r w:rsidRPr="006C4403">
                              <w:rPr>
                                <w:i/>
                                <w:iCs/>
                              </w:rPr>
                              <w:t>The period since the 1950s has seen a rapid acceleration of the environmental release and disposal of plastics, and plastics pollution is now widely recognised as being one of the planet’s most pressing environmental issues. This is a global problem - plastics now comprise the majority of marine debris and represent its most durable and persistent part</w:t>
                            </w:r>
                            <w:r>
                              <w:rPr>
                                <w:i/>
                                <w:iCs/>
                              </w:rPr>
                              <w:t xml:space="preserve"> (Maximenko et al., 2019)</w:t>
                            </w:r>
                            <w:r w:rsidRPr="006C4403">
                              <w:rPr>
                                <w:i/>
                                <w:iCs/>
                              </w:rPr>
                              <w:t>. Once in the environment, plastics will break down into smaller and smaller particles, through microplastics to nanoplastics</w:t>
                            </w:r>
                            <w:r>
                              <w:rPr>
                                <w:i/>
                                <w:iCs/>
                              </w:rPr>
                              <w:t xml:space="preserve">; </w:t>
                            </w:r>
                            <w:r w:rsidRPr="006C4403">
                              <w:rPr>
                                <w:i/>
                                <w:iCs/>
                              </w:rPr>
                              <w:t>microplastics are also produced and released directly in a range of industrial and other activities. While larger plastics can cause direct organism mortality through entanglement and ingestion, there are concerns over the ecosystem</w:t>
                            </w:r>
                            <w:r>
                              <w:rPr>
                                <w:i/>
                                <w:iCs/>
                              </w:rPr>
                              <w:t>-</w:t>
                            </w:r>
                            <w:r w:rsidRPr="006C4403">
                              <w:rPr>
                                <w:i/>
                                <w:iCs/>
                              </w:rPr>
                              <w:t xml:space="preserve">level impacts particularly of microplastics and nanoplastics, which can be more easily ingested by organisms in lower trophic levels and can also act as vectors for other chemical and biological contaminants. The bulk of marine plastics are land-derived, typically through river inputs, and mismanaged land-based solid wastes are estimated to contribute significantly to environmental plastics </w:t>
                            </w:r>
                            <w:r>
                              <w:rPr>
                                <w:i/>
                                <w:iCs/>
                              </w:rPr>
                              <w:t>pollution</w:t>
                            </w:r>
                            <w:r w:rsidRPr="006C4403">
                              <w:rPr>
                                <w:i/>
                                <w:iCs/>
                              </w:rPr>
                              <w:t>, particularly in lower</w:t>
                            </w:r>
                            <w:r>
                              <w:rPr>
                                <w:i/>
                                <w:iCs/>
                              </w:rPr>
                              <w:t>-</w:t>
                            </w:r>
                            <w:r w:rsidRPr="006C4403">
                              <w:rPr>
                                <w:i/>
                                <w:iCs/>
                              </w:rPr>
                              <w:t xml:space="preserve"> and middle</w:t>
                            </w:r>
                            <w:r>
                              <w:rPr>
                                <w:i/>
                                <w:iCs/>
                              </w:rPr>
                              <w:t>-</w:t>
                            </w:r>
                            <w:r w:rsidRPr="006C4403">
                              <w:rPr>
                                <w:i/>
                                <w:iCs/>
                              </w:rPr>
                              <w:t>income economies. Globally, solid wastes are generated faster than any other environmental pollutant</w:t>
                            </w:r>
                            <w:r>
                              <w:rPr>
                                <w:i/>
                                <w:iCs/>
                              </w:rPr>
                              <w:t>;</w:t>
                            </w:r>
                            <w:r w:rsidRPr="006C4403">
                              <w:rPr>
                                <w:i/>
                                <w:iCs/>
                              </w:rPr>
                              <w:t xml:space="preserve"> without significant infrastructure improvements to waste management it is estimated that the cumulative release of plastics will increase by an order of magnitude by 2025. Despite extensive research, there are still numerous uncertainties over the impacts of plastics ingestion on humans</w:t>
                            </w:r>
                            <w:r w:rsidRPr="00BF4B1D">
                              <w:rPr>
                                <w:i/>
                                <w:iCs/>
                              </w:rPr>
                              <w:t xml:space="preserve"> </w:t>
                            </w:r>
                            <w:r w:rsidRPr="006C4403">
                              <w:rPr>
                                <w:i/>
                                <w:iCs/>
                              </w:rPr>
                              <w:t>via food and other routes</w:t>
                            </w:r>
                            <w:r>
                              <w:rPr>
                                <w:i/>
                                <w:iCs/>
                              </w:rPr>
                              <w:t>;</w:t>
                            </w:r>
                            <w:r w:rsidRPr="006C4403">
                              <w:rPr>
                                <w:i/>
                                <w:iCs/>
                              </w:rPr>
                              <w:t xml:space="preserve"> this is a subject of ongoing debate in academic and other literature. </w:t>
                            </w:r>
                          </w:p>
                          <w:p w14:paraId="0EA4E13C" w14:textId="77777777" w:rsidR="00644C4B" w:rsidRPr="00473F7F" w:rsidRDefault="00644C4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B334EA3" id="_x0000_t202" coordsize="21600,21600" o:spt="202" path="m,l,21600r21600,l21600,xe">
                <v:stroke joinstyle="miter"/>
                <v:path gradientshapeok="t" o:connecttype="rect"/>
              </v:shapetype>
              <v:shape id="Text Box 4" o:spid="_x0000_s1026" type="#_x0000_t202" style="position:absolute;margin-left:14.55pt;margin-top:29.3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" filled="f" strokeweight=".5pt">
                <v:textbox style="mso-fit-shape-to-text:t">
                  <w:txbxContent>
                    <w:p w14:paraId="17ABE71E" w14:textId="77777777" w:rsidR="00644C4B" w:rsidRPr="002C4BFA" w:rsidRDefault="00644C4B">
                      <w:pPr>
                        <w:rPr>
                          <w:i/>
                          <w:iCs/>
                        </w:rPr>
                      </w:pPr>
                      <w:r w:rsidRPr="002C4BFA">
                        <w:rPr>
                          <w:i/>
                          <w:iCs/>
                        </w:rPr>
                        <w:t>Case Study 1: Plastics</w:t>
                      </w:r>
                    </w:p>
                    <w:p w14:paraId="38CE38CC" w14:textId="77777777" w:rsidR="00644C4B" w:rsidRPr="006C4403" w:rsidRDefault="00644C4B" w:rsidP="008D1814">
                      <w:pPr>
                        <w:rPr>
                          <w:i/>
                          <w:iCs/>
                        </w:rPr>
                      </w:pPr>
                    </w:p>
                    <w:p w14:paraId="5A65CE36" w14:textId="6C0C12BD" w:rsidR="00644C4B" w:rsidRPr="006C4403" w:rsidRDefault="00644C4B" w:rsidP="008D1814">
                      <w:pPr>
                        <w:rPr>
                          <w:i/>
                          <w:iCs/>
                        </w:rPr>
                      </w:pPr>
                      <w:r w:rsidRPr="006C4403">
                        <w:rPr>
                          <w:i/>
                          <w:iCs/>
                        </w:rPr>
                        <w:t xml:space="preserve">The period since the 1950s has seen a rapid acceleration of the environmental release and disposal of plastics, and plastics pollution is now widely recognised as being one of the planet’s most pressing environmental issues. This is a global problem - plastics now comprise the majority of marine debris and represent </w:t>
                      </w:r>
                      <w:proofErr w:type="gramStart"/>
                      <w:r w:rsidRPr="006C4403">
                        <w:rPr>
                          <w:i/>
                          <w:iCs/>
                        </w:rPr>
                        <w:t>its</w:t>
                      </w:r>
                      <w:proofErr w:type="gramEnd"/>
                      <w:r w:rsidRPr="006C4403">
                        <w:rPr>
                          <w:i/>
                          <w:iCs/>
                        </w:rPr>
                        <w:t xml:space="preserve"> most durable and persistent part</w:t>
                      </w:r>
                      <w:r>
                        <w:rPr>
                          <w:i/>
                          <w:iCs/>
                        </w:rPr>
                        <w:t xml:space="preserve"> (</w:t>
                      </w:r>
                      <w:proofErr w:type="spellStart"/>
                      <w:r>
                        <w:rPr>
                          <w:i/>
                          <w:iCs/>
                        </w:rPr>
                        <w:t>Maximenko</w:t>
                      </w:r>
                      <w:proofErr w:type="spellEnd"/>
                      <w:r>
                        <w:rPr>
                          <w:i/>
                          <w:iCs/>
                        </w:rPr>
                        <w:t xml:space="preserve"> et al., 2019)</w:t>
                      </w:r>
                      <w:r w:rsidRPr="006C4403">
                        <w:rPr>
                          <w:i/>
                          <w:iCs/>
                        </w:rPr>
                        <w:t xml:space="preserve">. Once in the environment, plastics will break down into smaller and smaller particles, through </w:t>
                      </w:r>
                      <w:proofErr w:type="spellStart"/>
                      <w:r w:rsidRPr="006C4403">
                        <w:rPr>
                          <w:i/>
                          <w:iCs/>
                        </w:rPr>
                        <w:t>microplastics</w:t>
                      </w:r>
                      <w:proofErr w:type="spellEnd"/>
                      <w:r w:rsidRPr="006C4403">
                        <w:rPr>
                          <w:i/>
                          <w:iCs/>
                        </w:rPr>
                        <w:t xml:space="preserve"> to </w:t>
                      </w:r>
                      <w:proofErr w:type="spellStart"/>
                      <w:r w:rsidRPr="006C4403">
                        <w:rPr>
                          <w:i/>
                          <w:iCs/>
                        </w:rPr>
                        <w:t>nanoplastics</w:t>
                      </w:r>
                      <w:proofErr w:type="spellEnd"/>
                      <w:r>
                        <w:rPr>
                          <w:i/>
                          <w:iCs/>
                        </w:rPr>
                        <w:t xml:space="preserve">; </w:t>
                      </w:r>
                      <w:proofErr w:type="spellStart"/>
                      <w:r w:rsidRPr="006C4403">
                        <w:rPr>
                          <w:i/>
                          <w:iCs/>
                        </w:rPr>
                        <w:t>microplastics</w:t>
                      </w:r>
                      <w:proofErr w:type="spellEnd"/>
                      <w:r w:rsidRPr="006C4403">
                        <w:rPr>
                          <w:i/>
                          <w:iCs/>
                        </w:rPr>
                        <w:t xml:space="preserve"> are also produced and released directly in a range of industrial and other activities. While larger plastics can cause direct organism mortality through entanglement and ingestion, there are concerns over the ecosystem</w:t>
                      </w:r>
                      <w:r>
                        <w:rPr>
                          <w:i/>
                          <w:iCs/>
                        </w:rPr>
                        <w:t>-</w:t>
                      </w:r>
                      <w:r w:rsidRPr="006C4403">
                        <w:rPr>
                          <w:i/>
                          <w:iCs/>
                        </w:rPr>
                        <w:t xml:space="preserve">level impacts particularly of </w:t>
                      </w:r>
                      <w:proofErr w:type="spellStart"/>
                      <w:r w:rsidRPr="006C4403">
                        <w:rPr>
                          <w:i/>
                          <w:iCs/>
                        </w:rPr>
                        <w:t>microplastics</w:t>
                      </w:r>
                      <w:proofErr w:type="spellEnd"/>
                      <w:r w:rsidRPr="006C4403">
                        <w:rPr>
                          <w:i/>
                          <w:iCs/>
                        </w:rPr>
                        <w:t xml:space="preserve"> and </w:t>
                      </w:r>
                      <w:proofErr w:type="spellStart"/>
                      <w:r w:rsidRPr="006C4403">
                        <w:rPr>
                          <w:i/>
                          <w:iCs/>
                        </w:rPr>
                        <w:t>nanoplastics</w:t>
                      </w:r>
                      <w:proofErr w:type="spellEnd"/>
                      <w:r w:rsidRPr="006C4403">
                        <w:rPr>
                          <w:i/>
                          <w:iCs/>
                        </w:rPr>
                        <w:t xml:space="preserve">, which can be more easily ingested by organisms in lower trophic levels and can also act as vectors for other chemical and biological contaminants. The bulk of marine plastics are land-derived, typically through river inputs, and mismanaged land-based solid wastes are estimated to contribute significantly to environmental plastics </w:t>
                      </w:r>
                      <w:r>
                        <w:rPr>
                          <w:i/>
                          <w:iCs/>
                        </w:rPr>
                        <w:t>pollution</w:t>
                      </w:r>
                      <w:r w:rsidRPr="006C4403">
                        <w:rPr>
                          <w:i/>
                          <w:iCs/>
                        </w:rPr>
                        <w:t>, particularly in lower</w:t>
                      </w:r>
                      <w:r>
                        <w:rPr>
                          <w:i/>
                          <w:iCs/>
                        </w:rPr>
                        <w:t>-</w:t>
                      </w:r>
                      <w:r w:rsidRPr="006C4403">
                        <w:rPr>
                          <w:i/>
                          <w:iCs/>
                        </w:rPr>
                        <w:t xml:space="preserve"> and middle</w:t>
                      </w:r>
                      <w:r>
                        <w:rPr>
                          <w:i/>
                          <w:iCs/>
                        </w:rPr>
                        <w:t>-</w:t>
                      </w:r>
                      <w:r w:rsidRPr="006C4403">
                        <w:rPr>
                          <w:i/>
                          <w:iCs/>
                        </w:rPr>
                        <w:t>income economies. Globally, solid wastes are generated faster than any other environmental pollutant</w:t>
                      </w:r>
                      <w:r>
                        <w:rPr>
                          <w:i/>
                          <w:iCs/>
                        </w:rPr>
                        <w:t>;</w:t>
                      </w:r>
                      <w:r w:rsidRPr="006C4403">
                        <w:rPr>
                          <w:i/>
                          <w:iCs/>
                        </w:rPr>
                        <w:t xml:space="preserve"> without significant infrastructure improvements to waste management it is estimated that the cumulative release of plastics will increase by an order of magnitude by 2025. Despite extensive research, there are still numerous uncertainties over the impacts of plastics ingestion on humans</w:t>
                      </w:r>
                      <w:r w:rsidRPr="00BF4B1D">
                        <w:rPr>
                          <w:i/>
                          <w:iCs/>
                        </w:rPr>
                        <w:t xml:space="preserve"> </w:t>
                      </w:r>
                      <w:r w:rsidRPr="006C4403">
                        <w:rPr>
                          <w:i/>
                          <w:iCs/>
                        </w:rPr>
                        <w:t>via food and other routes</w:t>
                      </w:r>
                      <w:r>
                        <w:rPr>
                          <w:i/>
                          <w:iCs/>
                        </w:rPr>
                        <w:t>;</w:t>
                      </w:r>
                      <w:r w:rsidRPr="006C4403">
                        <w:rPr>
                          <w:i/>
                          <w:iCs/>
                        </w:rPr>
                        <w:t xml:space="preserve"> this is a subject of ongoing debate in academic and other literature. </w:t>
                      </w:r>
                    </w:p>
                    <w:p w14:paraId="0EA4E13C" w14:textId="77777777" w:rsidR="00644C4B" w:rsidRPr="00473F7F" w:rsidRDefault="00644C4B"/>
                  </w:txbxContent>
                </v:textbox>
                <w10:wrap type="square"/>
              </v:shape>
            </w:pict>
          </mc:Fallback>
        </mc:AlternateContent>
      </w:r>
    </w:p>
    <w:p w14:paraId="2461677A" w14:textId="64E36FDD" w:rsidR="00CD7AC5" w:rsidRDefault="00CD7AC5"/>
    <w:p w14:paraId="785C81CB" w14:textId="77777777" w:rsidR="00CD7AC5" w:rsidRDefault="00CD7AC5"/>
    <w:p w14:paraId="0CC82599" w14:textId="300EADE1" w:rsidR="0090285B" w:rsidRDefault="00CC6F3F">
      <w:r>
        <w:t>Not all problematic substances have their origins as chemicals</w:t>
      </w:r>
      <w:r w:rsidR="00D94F2D">
        <w:t xml:space="preserve"> designed</w:t>
      </w:r>
      <w:r>
        <w:t xml:space="preserve"> to impact the wider environment, but </w:t>
      </w:r>
      <w:r w:rsidR="0090285B">
        <w:t xml:space="preserve">may be focused, </w:t>
      </w:r>
      <w:r w:rsidR="00814950">
        <w:t xml:space="preserve">with the intention of </w:t>
      </w:r>
      <w:r w:rsidR="0090285B">
        <w:t>improv</w:t>
      </w:r>
      <w:r w:rsidR="00814950">
        <w:t>ing</w:t>
      </w:r>
      <w:r w:rsidR="0090285B">
        <w:t xml:space="preserve"> human and animal health.</w:t>
      </w:r>
      <w:r>
        <w:t xml:space="preserve"> </w:t>
      </w:r>
      <w:r w:rsidR="00F85350">
        <w:t xml:space="preserve">Widely used anti-inflammatory drugs </w:t>
      </w:r>
      <w:r>
        <w:t xml:space="preserve">such as </w:t>
      </w:r>
      <w:r w:rsidR="00F85350">
        <w:t xml:space="preserve">diclofenac </w:t>
      </w:r>
      <w:r w:rsidR="0090285B">
        <w:t xml:space="preserve">(See </w:t>
      </w:r>
      <w:r w:rsidR="00837C60">
        <w:t xml:space="preserve">Case Study </w:t>
      </w:r>
      <w:r w:rsidR="00614DE1">
        <w:t>2</w:t>
      </w:r>
      <w:r w:rsidR="00837C60">
        <w:t>: Diclofenac</w:t>
      </w:r>
      <w:r w:rsidR="0090285B">
        <w:t>)</w:t>
      </w:r>
      <w:r>
        <w:t xml:space="preserve"> illustrate the complex interaction of source</w:t>
      </w:r>
      <w:r w:rsidR="00090DCD">
        <w:t>,</w:t>
      </w:r>
      <w:r>
        <w:t xml:space="preserve"> pathway</w:t>
      </w:r>
      <w:r w:rsidR="00090DCD">
        <w:t>,</w:t>
      </w:r>
      <w:r>
        <w:t xml:space="preserve"> receptor, acknowledging that pathways may be a receptor in their own right, and that pathways may be</w:t>
      </w:r>
      <w:r w:rsidR="00090DCD">
        <w:t xml:space="preserve"> multiple, </w:t>
      </w:r>
      <w:r>
        <w:t>complex and varied</w:t>
      </w:r>
      <w:r w:rsidR="00050EEB">
        <w:t>.</w:t>
      </w:r>
    </w:p>
    <w:p w14:paraId="6960FEA7" w14:textId="78D742CC" w:rsidR="0090285B" w:rsidRDefault="0090285B"/>
    <w:p w14:paraId="39FBBEF1" w14:textId="4B7012D2" w:rsidR="0090285B" w:rsidRDefault="00090DCD">
      <w:r>
        <w:t xml:space="preserve"> </w:t>
      </w:r>
    </w:p>
    <w:p w14:paraId="3216DFC4" w14:textId="77777777" w:rsidR="00D94F2D" w:rsidRDefault="00D94F2D"/>
    <w:p w14:paraId="0DA39DDE" w14:textId="2694979D" w:rsidR="00B72071" w:rsidRDefault="00252ED8">
      <w:r>
        <w:rPr>
          <w:noProof/>
          <w:lang w:eastAsia="en-GB"/>
        </w:rPr>
        <w:lastRenderedPageBreak/>
        <mc:AlternateContent>
          <mc:Choice Requires="wps">
            <w:drawing>
              <wp:anchor distT="0" distB="0" distL="114300" distR="114300" simplePos="0" relativeHeight="251663360" behindDoc="0" locked="0" layoutInCell="1" allowOverlap="1" wp14:anchorId="6F811B32" wp14:editId="46FD2DE5">
                <wp:simplePos x="0" y="0"/>
                <wp:positionH relativeFrom="column">
                  <wp:posOffset>0</wp:posOffset>
                </wp:positionH>
                <wp:positionV relativeFrom="paragraph">
                  <wp:posOffset>0</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D44010C" w14:textId="119573C1" w:rsidR="00644C4B" w:rsidRPr="004258A4" w:rsidRDefault="00644C4B">
                            <w:pPr>
                              <w:rPr>
                                <w:i/>
                                <w:iCs/>
                              </w:rPr>
                            </w:pPr>
                            <w:r w:rsidRPr="004258A4">
                              <w:rPr>
                                <w:i/>
                                <w:iCs/>
                              </w:rPr>
                              <w:t xml:space="preserve">Case study </w:t>
                            </w:r>
                            <w:r>
                              <w:rPr>
                                <w:i/>
                                <w:iCs/>
                              </w:rPr>
                              <w:t>2</w:t>
                            </w:r>
                            <w:r w:rsidRPr="004258A4">
                              <w:rPr>
                                <w:i/>
                                <w:iCs/>
                              </w:rPr>
                              <w:t xml:space="preserve">: </w:t>
                            </w:r>
                            <w:r>
                              <w:rPr>
                                <w:i/>
                                <w:iCs/>
                              </w:rPr>
                              <w:t>Diclofenac</w:t>
                            </w:r>
                          </w:p>
                          <w:p w14:paraId="64E90AFD" w14:textId="77777777" w:rsidR="00644C4B" w:rsidRPr="004258A4" w:rsidRDefault="00644C4B">
                            <w:pPr>
                              <w:rPr>
                                <w:i/>
                                <w:iCs/>
                              </w:rPr>
                            </w:pPr>
                          </w:p>
                          <w:p w14:paraId="5B577FD3" w14:textId="408CE648" w:rsidR="00644C4B" w:rsidRPr="004258A4" w:rsidRDefault="00644C4B">
                            <w:pPr>
                              <w:rPr>
                                <w:i/>
                                <w:iCs/>
                              </w:rPr>
                            </w:pPr>
                            <w:r>
                              <w:rPr>
                                <w:i/>
                                <w:iCs/>
                              </w:rPr>
                              <w:t xml:space="preserve">Diclofenac </w:t>
                            </w:r>
                            <w:r w:rsidRPr="004258A4">
                              <w:rPr>
                                <w:i/>
                                <w:iCs/>
                              </w:rPr>
                              <w:t>is a drug which is widely available over the counter (i.e. without the use of a doctor’s prescription)</w:t>
                            </w:r>
                            <w:r>
                              <w:rPr>
                                <w:i/>
                                <w:iCs/>
                              </w:rPr>
                              <w:t xml:space="preserve"> in many but not all countries</w:t>
                            </w:r>
                            <w:r w:rsidRPr="004258A4">
                              <w:rPr>
                                <w:i/>
                                <w:iCs/>
                              </w:rPr>
                              <w:t xml:space="preserve">. It is a highly effective anti-inflammatory, used for a wide variety of complaints, but most notably arthritis. </w:t>
                            </w:r>
                          </w:p>
                          <w:p w14:paraId="46CF9B6B" w14:textId="77777777" w:rsidR="00644C4B" w:rsidRPr="004258A4" w:rsidRDefault="00644C4B">
                            <w:pPr>
                              <w:rPr>
                                <w:i/>
                                <w:iCs/>
                              </w:rPr>
                            </w:pPr>
                          </w:p>
                          <w:p w14:paraId="258A2294" w14:textId="3C04B2AA" w:rsidR="00644C4B" w:rsidRDefault="00644C4B">
                            <w:pPr>
                              <w:rPr>
                                <w:i/>
                                <w:iCs/>
                              </w:rPr>
                            </w:pPr>
                            <w:r w:rsidRPr="004258A4">
                              <w:rPr>
                                <w:i/>
                                <w:iCs/>
                              </w:rPr>
                              <w:t xml:space="preserve">In India cattle are revered by Hindus. Consequently, they are looked after well. This includes treating them with </w:t>
                            </w:r>
                            <w:r>
                              <w:rPr>
                                <w:i/>
                                <w:iCs/>
                              </w:rPr>
                              <w:t xml:space="preserve">diclofenac </w:t>
                            </w:r>
                            <w:r w:rsidRPr="004258A4">
                              <w:rPr>
                                <w:i/>
                                <w:iCs/>
                              </w:rPr>
                              <w:t xml:space="preserve">when they become elderly and arthritic. However, this has led to unexpected consequences, which required long investigation. Those same cattle, when they die, are fed upon by vultures. The vultures also perform a vital service in the death of humans who follow the Zoroastrian religion. Zorastrians place their dead in towers, where the vultures have traditionally cleaned the bones. However, it was noted that the vulture numbers were declining, thus the dead were no longer being ‘serviced’.  Dead animals were also accumulating in the streets. Investigations </w:t>
                            </w:r>
                            <w:r>
                              <w:rPr>
                                <w:i/>
                                <w:iCs/>
                              </w:rPr>
                              <w:t>in neighbouring Pakistan</w:t>
                            </w:r>
                            <w:r w:rsidRPr="004258A4">
                              <w:rPr>
                                <w:i/>
                                <w:iCs/>
                              </w:rPr>
                              <w:t xml:space="preserve"> led to an understanding that the anti-inflammatories </w:t>
                            </w:r>
                            <w:r>
                              <w:rPr>
                                <w:i/>
                                <w:iCs/>
                              </w:rPr>
                              <w:t xml:space="preserve">caused </w:t>
                            </w:r>
                            <w:r w:rsidRPr="006465DE">
                              <w:rPr>
                                <w:i/>
                                <w:iCs/>
                              </w:rPr>
                              <w:t xml:space="preserve">acute kidney failure </w:t>
                            </w:r>
                            <w:r>
                              <w:rPr>
                                <w:i/>
                                <w:iCs/>
                              </w:rPr>
                              <w:t xml:space="preserve">in </w:t>
                            </w:r>
                            <w:r w:rsidRPr="004258A4">
                              <w:rPr>
                                <w:i/>
                                <w:iCs/>
                              </w:rPr>
                              <w:t>the vultures</w:t>
                            </w:r>
                            <w:r>
                              <w:rPr>
                                <w:i/>
                                <w:iCs/>
                              </w:rPr>
                              <w:t>, though this took time to be accepted (Richards et al., 2018)</w:t>
                            </w:r>
                            <w:r w:rsidRPr="004258A4">
                              <w:rPr>
                                <w:i/>
                                <w:iCs/>
                              </w:rPr>
                              <w:t>. Loss of vultures equals an increase in animal carcasses which in turn leads to increased disease.</w:t>
                            </w:r>
                            <w:r>
                              <w:rPr>
                                <w:i/>
                                <w:iCs/>
                              </w:rPr>
                              <w:t xml:space="preserve"> This was </w:t>
                            </w:r>
                            <w:r w:rsidRPr="006465DE">
                              <w:rPr>
                                <w:i/>
                                <w:iCs/>
                              </w:rPr>
                              <w:t>the first clear case of major ecological damage caused by a pharmaceutical product</w:t>
                            </w:r>
                            <w:r>
                              <w:rPr>
                                <w:i/>
                                <w:iCs/>
                              </w:rPr>
                              <w:t xml:space="preserve"> (Gorman, 2009)</w:t>
                            </w:r>
                            <w:r w:rsidRPr="006465DE">
                              <w:rPr>
                                <w:i/>
                                <w:iCs/>
                              </w:rPr>
                              <w:t>.</w:t>
                            </w:r>
                            <w:r>
                              <w:rPr>
                                <w:i/>
                                <w:iCs/>
                              </w:rPr>
                              <w:t xml:space="preserve"> Other vulture species in other parts of the world are also at threat from this and other pharmaceuticals (Jiminez-Lopez et al., 2021).</w:t>
                            </w:r>
                          </w:p>
                          <w:p w14:paraId="1B46FE93" w14:textId="77777777" w:rsidR="00644C4B" w:rsidRPr="00AA107E" w:rsidRDefault="00644C4B">
                            <w:pPr>
                              <w:rPr>
                                <w:i/>
                                <w:iC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F811B32" id="Text Box 5" o:spid="_x0000_s1027"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" filled="f" strokeweight=".5pt">
                <v:textbox style="mso-fit-shape-to-text:t">
                  <w:txbxContent>
                    <w:p w14:paraId="6D44010C" w14:textId="119573C1" w:rsidR="00644C4B" w:rsidRPr="004258A4" w:rsidRDefault="00644C4B">
                      <w:pPr>
                        <w:rPr>
                          <w:i/>
                          <w:iCs/>
                        </w:rPr>
                      </w:pPr>
                      <w:r w:rsidRPr="004258A4">
                        <w:rPr>
                          <w:i/>
                          <w:iCs/>
                        </w:rPr>
                        <w:t xml:space="preserve">Case study </w:t>
                      </w:r>
                      <w:r>
                        <w:rPr>
                          <w:i/>
                          <w:iCs/>
                        </w:rPr>
                        <w:t>2</w:t>
                      </w:r>
                      <w:r w:rsidRPr="004258A4">
                        <w:rPr>
                          <w:i/>
                          <w:iCs/>
                        </w:rPr>
                        <w:t xml:space="preserve">: </w:t>
                      </w:r>
                      <w:r>
                        <w:rPr>
                          <w:i/>
                          <w:iCs/>
                        </w:rPr>
                        <w:t>Diclofenac</w:t>
                      </w:r>
                    </w:p>
                    <w:p w14:paraId="64E90AFD" w14:textId="77777777" w:rsidR="00644C4B" w:rsidRPr="004258A4" w:rsidRDefault="00644C4B">
                      <w:pPr>
                        <w:rPr>
                          <w:i/>
                          <w:iCs/>
                        </w:rPr>
                      </w:pPr>
                    </w:p>
                    <w:p w14:paraId="5B577FD3" w14:textId="408CE648" w:rsidR="00644C4B" w:rsidRPr="004258A4" w:rsidRDefault="00644C4B">
                      <w:pPr>
                        <w:rPr>
                          <w:i/>
                          <w:iCs/>
                        </w:rPr>
                      </w:pPr>
                      <w:r>
                        <w:rPr>
                          <w:i/>
                          <w:iCs/>
                        </w:rPr>
                        <w:t xml:space="preserve">Diclofenac </w:t>
                      </w:r>
                      <w:r w:rsidRPr="004258A4">
                        <w:rPr>
                          <w:i/>
                          <w:iCs/>
                        </w:rPr>
                        <w:t>is a drug which is widely available over the counter (i.e. without the use of a doctor’s prescription)</w:t>
                      </w:r>
                      <w:r>
                        <w:rPr>
                          <w:i/>
                          <w:iCs/>
                        </w:rPr>
                        <w:t xml:space="preserve"> in many but not all countries</w:t>
                      </w:r>
                      <w:r w:rsidRPr="004258A4">
                        <w:rPr>
                          <w:i/>
                          <w:iCs/>
                        </w:rPr>
                        <w:t xml:space="preserve">. It is a highly effective anti-inflammatory, used for a wide variety of complaints, but most notably arthritis. </w:t>
                      </w:r>
                    </w:p>
                    <w:p w14:paraId="46CF9B6B" w14:textId="77777777" w:rsidR="00644C4B" w:rsidRPr="004258A4" w:rsidRDefault="00644C4B">
                      <w:pPr>
                        <w:rPr>
                          <w:i/>
                          <w:iCs/>
                        </w:rPr>
                      </w:pPr>
                    </w:p>
                    <w:p w14:paraId="258A2294" w14:textId="3C04B2AA" w:rsidR="00644C4B" w:rsidRDefault="00644C4B">
                      <w:pPr>
                        <w:rPr>
                          <w:i/>
                          <w:iCs/>
                        </w:rPr>
                      </w:pPr>
                      <w:r w:rsidRPr="004258A4">
                        <w:rPr>
                          <w:i/>
                          <w:iCs/>
                        </w:rPr>
                        <w:t xml:space="preserve">In India cattle are revered by Hindus. Consequently, they are looked after well. This includes treating them with </w:t>
                      </w:r>
                      <w:r>
                        <w:rPr>
                          <w:i/>
                          <w:iCs/>
                        </w:rPr>
                        <w:t xml:space="preserve">diclofenac </w:t>
                      </w:r>
                      <w:r w:rsidRPr="004258A4">
                        <w:rPr>
                          <w:i/>
                          <w:iCs/>
                        </w:rPr>
                        <w:t xml:space="preserve">when they become elderly and arthritic. However, this has led to unexpected consequences, which required long investigation. Those same cattle, when they die, are fed upon by vultures. The vultures also perform a vital service in the death of humans who follow the Zoroastrian religion. </w:t>
                      </w:r>
                      <w:proofErr w:type="spellStart"/>
                      <w:r w:rsidRPr="004258A4">
                        <w:rPr>
                          <w:i/>
                          <w:iCs/>
                        </w:rPr>
                        <w:t>Zorastrians</w:t>
                      </w:r>
                      <w:proofErr w:type="spellEnd"/>
                      <w:r w:rsidRPr="004258A4">
                        <w:rPr>
                          <w:i/>
                          <w:iCs/>
                        </w:rPr>
                        <w:t xml:space="preserve"> place their dead in towers, where the vultures have traditionally cleaned the bones. However, it was noted that the vulture numbers were declining, thus the dead were no longer being ‘serviced’.  Dead animals were also accumulating in the streets. Investigations </w:t>
                      </w:r>
                      <w:r>
                        <w:rPr>
                          <w:i/>
                          <w:iCs/>
                        </w:rPr>
                        <w:t>in neighbouring Pakistan</w:t>
                      </w:r>
                      <w:r w:rsidRPr="004258A4">
                        <w:rPr>
                          <w:i/>
                          <w:iCs/>
                        </w:rPr>
                        <w:t xml:space="preserve"> led to an understanding that the anti-inflammatories </w:t>
                      </w:r>
                      <w:r>
                        <w:rPr>
                          <w:i/>
                          <w:iCs/>
                        </w:rPr>
                        <w:t xml:space="preserve">caused </w:t>
                      </w:r>
                      <w:r w:rsidRPr="006465DE">
                        <w:rPr>
                          <w:i/>
                          <w:iCs/>
                        </w:rPr>
                        <w:t xml:space="preserve">acute kidney failure </w:t>
                      </w:r>
                      <w:r>
                        <w:rPr>
                          <w:i/>
                          <w:iCs/>
                        </w:rPr>
                        <w:t xml:space="preserve">in </w:t>
                      </w:r>
                      <w:r w:rsidRPr="004258A4">
                        <w:rPr>
                          <w:i/>
                          <w:iCs/>
                        </w:rPr>
                        <w:t>the vultures</w:t>
                      </w:r>
                      <w:r>
                        <w:rPr>
                          <w:i/>
                          <w:iCs/>
                        </w:rPr>
                        <w:t>, though this took time to be accepted (Richards et al., 2018)</w:t>
                      </w:r>
                      <w:r w:rsidRPr="004258A4">
                        <w:rPr>
                          <w:i/>
                          <w:iCs/>
                        </w:rPr>
                        <w:t>. Loss of vultures equals an increase in animal carcasses which in turn leads to increased disease.</w:t>
                      </w:r>
                      <w:r>
                        <w:rPr>
                          <w:i/>
                          <w:iCs/>
                        </w:rPr>
                        <w:t xml:space="preserve"> This was </w:t>
                      </w:r>
                      <w:r w:rsidRPr="006465DE">
                        <w:rPr>
                          <w:i/>
                          <w:iCs/>
                        </w:rPr>
                        <w:t>the first clear case of major ecological damage caused by a pharmaceutical product</w:t>
                      </w:r>
                      <w:r>
                        <w:rPr>
                          <w:i/>
                          <w:iCs/>
                        </w:rPr>
                        <w:t xml:space="preserve"> (Gorman, 2009)</w:t>
                      </w:r>
                      <w:r w:rsidRPr="006465DE">
                        <w:rPr>
                          <w:i/>
                          <w:iCs/>
                        </w:rPr>
                        <w:t>.</w:t>
                      </w:r>
                      <w:r>
                        <w:rPr>
                          <w:i/>
                          <w:iCs/>
                        </w:rPr>
                        <w:t xml:space="preserve"> Other vulture species in other parts of the world are also at threat from this and other pharmaceuticals (</w:t>
                      </w:r>
                      <w:proofErr w:type="spellStart"/>
                      <w:r>
                        <w:rPr>
                          <w:i/>
                          <w:iCs/>
                        </w:rPr>
                        <w:t>Jiminez</w:t>
                      </w:r>
                      <w:proofErr w:type="spellEnd"/>
                      <w:r>
                        <w:rPr>
                          <w:i/>
                          <w:iCs/>
                        </w:rPr>
                        <w:t>-Lopez et al., 2021).</w:t>
                      </w:r>
                    </w:p>
                    <w:p w14:paraId="1B46FE93" w14:textId="77777777" w:rsidR="00644C4B" w:rsidRPr="00AA107E" w:rsidRDefault="00644C4B">
                      <w:pPr>
                        <w:rPr>
                          <w:i/>
                          <w:iCs/>
                        </w:rPr>
                      </w:pPr>
                    </w:p>
                  </w:txbxContent>
                </v:textbox>
                <w10:wrap type="square"/>
              </v:shape>
            </w:pict>
          </mc:Fallback>
        </mc:AlternateContent>
      </w:r>
    </w:p>
    <w:p w14:paraId="491D7037" w14:textId="60ACE397" w:rsidR="00B72071" w:rsidRPr="00AC5776" w:rsidRDefault="006D5F9D">
      <w:r>
        <w:t xml:space="preserve">3.3 </w:t>
      </w:r>
      <w:r w:rsidR="00B72071" w:rsidRPr="00AC5776">
        <w:t>Wider</w:t>
      </w:r>
      <w:r w:rsidR="009449B8" w:rsidRPr="00AC5776">
        <w:t xml:space="preserve"> environmental</w:t>
      </w:r>
      <w:r w:rsidR="00B72071" w:rsidRPr="00AC5776">
        <w:t xml:space="preserve"> impact</w:t>
      </w:r>
      <w:r>
        <w:t>.</w:t>
      </w:r>
    </w:p>
    <w:p w14:paraId="1FBD3778" w14:textId="3905BF33" w:rsidR="0090285B" w:rsidRDefault="0090285B"/>
    <w:p w14:paraId="72044AB4" w14:textId="04AEB3B5" w:rsidR="008A484A" w:rsidRDefault="00DF4F01" w:rsidP="00EA534B">
      <w:pPr>
        <w:tabs>
          <w:tab w:val="left" w:pos="3828"/>
        </w:tabs>
      </w:pPr>
      <w:r>
        <w:t xml:space="preserve">There is </w:t>
      </w:r>
      <w:r w:rsidR="007A21BF">
        <w:t>also</w:t>
      </w:r>
      <w:r w:rsidR="00F037F4">
        <w:t xml:space="preserve"> an impact on plant health</w:t>
      </w:r>
      <w:r w:rsidR="008B4E27">
        <w:t xml:space="preserve"> resulting from the human and veterinary use of pharmaceutical products</w:t>
      </w:r>
      <w:r w:rsidR="007109DF">
        <w:t xml:space="preserve"> (Schmidt</w:t>
      </w:r>
      <w:r w:rsidR="00507FF8">
        <w:t xml:space="preserve"> &amp; Redshaw, </w:t>
      </w:r>
      <w:r w:rsidR="007109DF">
        <w:t>2015)</w:t>
      </w:r>
      <w:r>
        <w:t>. Anti</w:t>
      </w:r>
      <w:r w:rsidR="00814950">
        <w:t>-</w:t>
      </w:r>
      <w:r>
        <w:t>inflammatories are excreted by humans and animals, in urine</w:t>
      </w:r>
      <w:r w:rsidR="00814950">
        <w:t xml:space="preserve">, </w:t>
      </w:r>
      <w:r>
        <w:t xml:space="preserve">either directly to groundwater, or via sewage treatment works into wider water bodies. </w:t>
      </w:r>
      <w:r w:rsidR="00385D62">
        <w:t xml:space="preserve">River estuaries around the UK </w:t>
      </w:r>
      <w:r w:rsidR="00543778">
        <w:t>ha</w:t>
      </w:r>
      <w:r w:rsidR="00385D62">
        <w:t>ve</w:t>
      </w:r>
      <w:r w:rsidR="00543778">
        <w:t xml:space="preserve"> recently been found to be carrying a heavy load of ibuprofen and related painkillers</w:t>
      </w:r>
      <w:r w:rsidR="00437CF1">
        <w:t xml:space="preserve"> </w:t>
      </w:r>
      <w:r w:rsidR="008F2542">
        <w:t>(University of Hull</w:t>
      </w:r>
      <w:r w:rsidR="0092512E">
        <w:t>,</w:t>
      </w:r>
      <w:r w:rsidR="008F2542">
        <w:t xml:space="preserve"> 2019)</w:t>
      </w:r>
      <w:r w:rsidR="00437CF1">
        <w:t>.</w:t>
      </w:r>
      <w:r w:rsidR="00DD5EB8">
        <w:t xml:space="preserve"> </w:t>
      </w:r>
      <w:r w:rsidR="00543778">
        <w:t>The same applies to the estuary of the Elbe, in northern Ge</w:t>
      </w:r>
      <w:r w:rsidR="00CE05B8">
        <w:t>r</w:t>
      </w:r>
      <w:r w:rsidR="00543778">
        <w:t>many</w:t>
      </w:r>
      <w:r w:rsidR="00437CF1">
        <w:t xml:space="preserve"> </w:t>
      </w:r>
      <w:r w:rsidR="000300AA">
        <w:t>(</w:t>
      </w:r>
      <w:r w:rsidR="00280319">
        <w:t>Wiegel</w:t>
      </w:r>
      <w:r w:rsidR="00745999">
        <w:t xml:space="preserve"> et al.</w:t>
      </w:r>
      <w:r w:rsidR="00280319">
        <w:t xml:space="preserve">, </w:t>
      </w:r>
      <w:r w:rsidR="008158AF">
        <w:t>2004)</w:t>
      </w:r>
      <w:r w:rsidR="00437CF1">
        <w:t xml:space="preserve">. </w:t>
      </w:r>
      <w:r w:rsidR="00D93BBF">
        <w:t>These are not alone in being impacted by pharmaceutical materials</w:t>
      </w:r>
      <w:r w:rsidR="00BE45C6">
        <w:t xml:space="preserve"> (Pait</w:t>
      </w:r>
      <w:r w:rsidR="00044BE1">
        <w:t xml:space="preserve"> et al.</w:t>
      </w:r>
      <w:r w:rsidR="00BE45C6">
        <w:t>, 2006)</w:t>
      </w:r>
      <w:r w:rsidR="0032520A">
        <w:t>.</w:t>
      </w:r>
      <w:r w:rsidR="00EA534B">
        <w:t xml:space="preserve"> </w:t>
      </w:r>
      <w:r w:rsidR="008C24E0">
        <w:t>Water used for plant irrigation may be the carrier of these drugs</w:t>
      </w:r>
      <w:r w:rsidR="007A21BF">
        <w:t xml:space="preserve"> directly</w:t>
      </w:r>
      <w:r w:rsidR="008C24E0">
        <w:t xml:space="preserve"> to the plants, or the water may be derived from natural uptake via groundwater. </w:t>
      </w:r>
      <w:r w:rsidR="00CE05B8">
        <w:t>The plants are able to accumulate various pharmaceuticals</w:t>
      </w:r>
      <w:r w:rsidR="00437CF1">
        <w:t xml:space="preserve"> </w:t>
      </w:r>
      <w:r w:rsidR="00967222">
        <w:t>(Herklo</w:t>
      </w:r>
      <w:r w:rsidR="00A21BC3">
        <w:t>t</w:t>
      </w:r>
      <w:r w:rsidR="00967222">
        <w:t>z</w:t>
      </w:r>
      <w:r w:rsidR="00D76B74">
        <w:t xml:space="preserve"> et al</w:t>
      </w:r>
      <w:r w:rsidR="00967222">
        <w:t>, 2010)</w:t>
      </w:r>
      <w:r w:rsidR="00437CF1">
        <w:t xml:space="preserve">. </w:t>
      </w:r>
      <w:r w:rsidR="00793590">
        <w:t>The</w:t>
      </w:r>
      <w:r w:rsidR="00D94F2D">
        <w:t xml:space="preserve"> failure to provide protection for the environment </w:t>
      </w:r>
      <w:r w:rsidR="00793590">
        <w:t>may have knock-on effects</w:t>
      </w:r>
      <w:r w:rsidR="00D94F2D">
        <w:t xml:space="preserve"> with stunted crops </w:t>
      </w:r>
      <w:r w:rsidR="00C06028">
        <w:t>providing less food, and that which is available being contaminated with pharmaceutical residue</w:t>
      </w:r>
      <w:r w:rsidR="003D1DE4">
        <w:t>s</w:t>
      </w:r>
      <w:r w:rsidR="00C06028">
        <w:t xml:space="preserve">. </w:t>
      </w:r>
      <w:r w:rsidR="00EA534B">
        <w:t xml:space="preserve">Further, the overuse of antibiotics in livestock farming contributes to an </w:t>
      </w:r>
      <w:r w:rsidR="00EA534B" w:rsidRPr="00EA534B">
        <w:t xml:space="preserve">increasing number of microbial species </w:t>
      </w:r>
      <w:r w:rsidR="00EA534B">
        <w:t xml:space="preserve">resistant </w:t>
      </w:r>
      <w:r w:rsidR="00EA534B" w:rsidRPr="00EA534B">
        <w:t>to antimicrobial control</w:t>
      </w:r>
      <w:r w:rsidR="00EA534B">
        <w:t>, generating further ri</w:t>
      </w:r>
      <w:r w:rsidR="00E51BCA">
        <w:t xml:space="preserve">sks to animal and human health. </w:t>
      </w:r>
      <w:r w:rsidR="00EA534B">
        <w:t>See Case Study 3:</w:t>
      </w:r>
      <w:r w:rsidR="00E51BCA">
        <w:t xml:space="preserve"> Antimicrobial resistance (AMR)</w:t>
      </w:r>
      <w:r w:rsidR="00EA534B">
        <w:t xml:space="preserve">.  </w:t>
      </w:r>
    </w:p>
    <w:p w14:paraId="6ADD361E" w14:textId="444BAB63" w:rsidR="008A484A" w:rsidRDefault="008A484A"/>
    <w:p w14:paraId="0B17F1B6" w14:textId="43CC055D" w:rsidR="00E66DBF" w:rsidRDefault="00E66DBF"/>
    <w:p w14:paraId="0F4BC5A0" w14:textId="43A08085" w:rsidR="00E66DBF" w:rsidRPr="00E320BC" w:rsidRDefault="008A484A" w:rsidP="00E66DBF">
      <w:pPr>
        <w:spacing w:line="360" w:lineRule="auto"/>
        <w:rPr>
          <w:rFonts w:ascii="Times New Roman" w:hAnsi="Times New Roman"/>
        </w:rPr>
      </w:pPr>
      <w:r>
        <w:rPr>
          <w:noProof/>
          <w:lang w:eastAsia="en-GB"/>
        </w:rPr>
        <w:lastRenderedPageBreak/>
        <mc:AlternateContent>
          <mc:Choice Requires="wps">
            <w:drawing>
              <wp:anchor distT="0" distB="0" distL="114300" distR="114300" simplePos="0" relativeHeight="251665408" behindDoc="0" locked="0" layoutInCell="1" allowOverlap="1" wp14:anchorId="75B2DEC3" wp14:editId="5D4A1920">
                <wp:simplePos x="0" y="0"/>
                <wp:positionH relativeFrom="column">
                  <wp:posOffset>184558</wp:posOffset>
                </wp:positionH>
                <wp:positionV relativeFrom="paragraph">
                  <wp:posOffset>234892</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F9BCCC7" w14:textId="73825576" w:rsidR="00644C4B" w:rsidRPr="003E344B" w:rsidRDefault="00644C4B" w:rsidP="008A484A">
                            <w:pPr>
                              <w:spacing w:line="359" w:lineRule="auto"/>
                              <w:ind w:right="180"/>
                              <w:jc w:val="both"/>
                              <w:rPr>
                                <w:i/>
                                <w:iCs/>
                              </w:rPr>
                            </w:pPr>
                            <w:r w:rsidRPr="003E344B">
                              <w:rPr>
                                <w:i/>
                                <w:iCs/>
                              </w:rPr>
                              <w:t>Case Study 3: Antimicrobial resistance (AMR)</w:t>
                            </w:r>
                          </w:p>
                          <w:p w14:paraId="1541E2F9" w14:textId="0D8CEA9D" w:rsidR="00644C4B" w:rsidRDefault="00644C4B" w:rsidP="003E344B">
                            <w:pPr>
                              <w:rPr>
                                <w:rFonts w:eastAsia="Cambria" w:cstheme="minorHAnsi"/>
                                <w:i/>
                                <w:iCs/>
                              </w:rPr>
                            </w:pPr>
                            <w:r w:rsidRPr="003E344B">
                              <w:rPr>
                                <w:rFonts w:cstheme="minorHAnsi"/>
                                <w:i/>
                                <w:iCs/>
                              </w:rPr>
                              <w:t xml:space="preserve">Another emerging contaminant </w:t>
                            </w:r>
                            <w:r>
                              <w:rPr>
                                <w:rFonts w:cstheme="minorHAnsi"/>
                                <w:i/>
                                <w:iCs/>
                              </w:rPr>
                              <w:t xml:space="preserve">group </w:t>
                            </w:r>
                            <w:r w:rsidRPr="003E344B">
                              <w:rPr>
                                <w:rFonts w:cstheme="minorHAnsi"/>
                                <w:i/>
                                <w:iCs/>
                              </w:rPr>
                              <w:t>in the food system</w:t>
                            </w:r>
                            <w:r>
                              <w:rPr>
                                <w:rFonts w:cstheme="minorHAnsi"/>
                                <w:i/>
                                <w:iCs/>
                              </w:rPr>
                              <w:t>,</w:t>
                            </w:r>
                            <w:r w:rsidRPr="003E344B">
                              <w:rPr>
                                <w:rFonts w:cstheme="minorHAnsi"/>
                                <w:i/>
                                <w:iCs/>
                              </w:rPr>
                              <w:t xml:space="preserve"> which </w:t>
                            </w:r>
                            <w:r>
                              <w:rPr>
                                <w:rFonts w:cstheme="minorHAnsi"/>
                                <w:i/>
                                <w:iCs/>
                              </w:rPr>
                              <w:t xml:space="preserve">affects </w:t>
                            </w:r>
                            <w:r w:rsidRPr="003E344B">
                              <w:rPr>
                                <w:rFonts w:cstheme="minorHAnsi"/>
                                <w:i/>
                                <w:iCs/>
                              </w:rPr>
                              <w:t>resource poor countries in Africa and elsewhere</w:t>
                            </w:r>
                            <w:r>
                              <w:rPr>
                                <w:rFonts w:cstheme="minorHAnsi"/>
                                <w:i/>
                                <w:iCs/>
                              </w:rPr>
                              <w:t xml:space="preserve"> as much as resource rich countries</w:t>
                            </w:r>
                            <w:r w:rsidRPr="003E344B">
                              <w:rPr>
                                <w:rFonts w:cstheme="minorHAnsi"/>
                                <w:i/>
                                <w:iCs/>
                              </w:rPr>
                              <w:t xml:space="preserve">, </w:t>
                            </w:r>
                            <w:r>
                              <w:rPr>
                                <w:rFonts w:cstheme="minorHAnsi"/>
                                <w:i/>
                                <w:iCs/>
                              </w:rPr>
                              <w:t>are antibiotics. The</w:t>
                            </w:r>
                            <w:r w:rsidRPr="003E344B">
                              <w:rPr>
                                <w:rFonts w:cstheme="minorHAnsi"/>
                                <w:i/>
                                <w:iCs/>
                              </w:rPr>
                              <w:t xml:space="preserve"> </w:t>
                            </w:r>
                            <w:r>
                              <w:rPr>
                                <w:rFonts w:cstheme="minorHAnsi"/>
                                <w:i/>
                                <w:iCs/>
                              </w:rPr>
                              <w:t xml:space="preserve">overuse of antibiotics </w:t>
                            </w:r>
                            <w:r w:rsidRPr="003E344B">
                              <w:rPr>
                                <w:rFonts w:cstheme="minorHAnsi"/>
                                <w:i/>
                                <w:iCs/>
                              </w:rPr>
                              <w:t>in human</w:t>
                            </w:r>
                            <w:r>
                              <w:rPr>
                                <w:rFonts w:cstheme="minorHAnsi"/>
                                <w:i/>
                                <w:iCs/>
                              </w:rPr>
                              <w:t>s</w:t>
                            </w:r>
                            <w:r w:rsidRPr="003E344B">
                              <w:rPr>
                                <w:rFonts w:cstheme="minorHAnsi"/>
                                <w:i/>
                                <w:iCs/>
                              </w:rPr>
                              <w:t xml:space="preserve"> and livestock</w:t>
                            </w:r>
                            <w:r>
                              <w:rPr>
                                <w:rFonts w:cstheme="minorHAnsi"/>
                                <w:i/>
                                <w:iCs/>
                              </w:rPr>
                              <w:t xml:space="preserve"> has become a major focus, including for the WHO. This</w:t>
                            </w:r>
                            <w:r w:rsidRPr="003E344B">
                              <w:rPr>
                                <w:rFonts w:cstheme="minorHAnsi"/>
                                <w:i/>
                                <w:iCs/>
                              </w:rPr>
                              <w:t xml:space="preserve"> result</w:t>
                            </w:r>
                            <w:r>
                              <w:rPr>
                                <w:rFonts w:cstheme="minorHAnsi"/>
                                <w:i/>
                                <w:iCs/>
                              </w:rPr>
                              <w:t>s</w:t>
                            </w:r>
                            <w:r w:rsidRPr="003E344B">
                              <w:rPr>
                                <w:rFonts w:cstheme="minorHAnsi"/>
                                <w:i/>
                                <w:iCs/>
                              </w:rPr>
                              <w:t xml:space="preserve"> in </w:t>
                            </w:r>
                            <w:r>
                              <w:rPr>
                                <w:rFonts w:cstheme="minorHAnsi"/>
                                <w:i/>
                                <w:iCs/>
                              </w:rPr>
                              <w:t>r</w:t>
                            </w:r>
                            <w:r w:rsidRPr="007F60D9">
                              <w:rPr>
                                <w:rFonts w:cstheme="minorHAnsi"/>
                                <w:i/>
                                <w:iCs/>
                              </w:rPr>
                              <w:t>esistance</w:t>
                            </w:r>
                            <w:r>
                              <w:rPr>
                                <w:rFonts w:cstheme="minorHAnsi"/>
                                <w:i/>
                                <w:iCs/>
                              </w:rPr>
                              <w:t xml:space="preserve"> by an increasing number of microbial species to a</w:t>
                            </w:r>
                            <w:r w:rsidRPr="003E344B">
                              <w:rPr>
                                <w:rFonts w:cstheme="minorHAnsi"/>
                                <w:i/>
                                <w:iCs/>
                              </w:rPr>
                              <w:t>ntimicrobial</w:t>
                            </w:r>
                            <w:r>
                              <w:rPr>
                                <w:rFonts w:cstheme="minorHAnsi"/>
                                <w:i/>
                                <w:iCs/>
                              </w:rPr>
                              <w:t xml:space="preserve"> control, and t</w:t>
                            </w:r>
                            <w:r w:rsidRPr="003F3FF1">
                              <w:rPr>
                                <w:rFonts w:cstheme="minorHAnsi"/>
                                <w:i/>
                                <w:iCs/>
                              </w:rPr>
                              <w:t>hreatens the effective prevention and treatment of an ever-increasing range of infections caused by bacteria, parasites, viruses and fungi</w:t>
                            </w:r>
                            <w:r>
                              <w:rPr>
                                <w:rFonts w:cstheme="minorHAnsi"/>
                                <w:i/>
                                <w:iCs/>
                              </w:rPr>
                              <w:t xml:space="preserve"> (WHO, 2020; WHO, 2021). </w:t>
                            </w:r>
                            <w:r w:rsidRPr="003E344B">
                              <w:rPr>
                                <w:rFonts w:eastAsia="Cambria" w:cstheme="minorHAnsi"/>
                                <w:i/>
                                <w:iCs/>
                              </w:rPr>
                              <w:t xml:space="preserve">Antimicrobials play an essential role in combatting infectious diseases in human and veterinary medicine, agriculture and </w:t>
                            </w:r>
                            <w:r>
                              <w:rPr>
                                <w:rFonts w:eastAsia="Cambria" w:cstheme="minorHAnsi"/>
                                <w:i/>
                                <w:iCs/>
                              </w:rPr>
                              <w:t xml:space="preserve">the </w:t>
                            </w:r>
                            <w:r w:rsidRPr="003E344B">
                              <w:rPr>
                                <w:rFonts w:eastAsia="Cambria" w:cstheme="minorHAnsi"/>
                                <w:i/>
                                <w:iCs/>
                              </w:rPr>
                              <w:t xml:space="preserve">environment. AMR is now recognized as one of the most significant global threats to public health. </w:t>
                            </w:r>
                            <w:r>
                              <w:rPr>
                                <w:rFonts w:eastAsia="Cambria" w:cstheme="minorHAnsi"/>
                                <w:i/>
                                <w:iCs/>
                              </w:rPr>
                              <w:t xml:space="preserve">However, the </w:t>
                            </w:r>
                            <w:r w:rsidRPr="003E344B">
                              <w:rPr>
                                <w:rFonts w:eastAsia="Cambria" w:cstheme="minorHAnsi"/>
                                <w:i/>
                                <w:iCs/>
                              </w:rPr>
                              <w:t>WHO global situation analysis report of 2015</w:t>
                            </w:r>
                            <w:r>
                              <w:rPr>
                                <w:rFonts w:eastAsia="Cambria" w:cstheme="minorHAnsi"/>
                                <w:i/>
                                <w:iCs/>
                              </w:rPr>
                              <w:t xml:space="preserve"> </w:t>
                            </w:r>
                            <w:r w:rsidRPr="003E344B">
                              <w:rPr>
                                <w:rFonts w:eastAsia="Cambria" w:cstheme="minorHAnsi"/>
                                <w:i/>
                                <w:iCs/>
                              </w:rPr>
                              <w:t>noted that information on the true extent of the problem of AMR was limited in the African Region</w:t>
                            </w:r>
                            <w:r>
                              <w:rPr>
                                <w:rFonts w:eastAsia="Cambria" w:cstheme="minorHAnsi"/>
                                <w:i/>
                                <w:iCs/>
                              </w:rPr>
                              <w:t>.</w:t>
                            </w:r>
                            <w:r w:rsidRPr="003E344B">
                              <w:rPr>
                                <w:rFonts w:eastAsia="Cambria" w:cstheme="minorHAnsi"/>
                                <w:i/>
                                <w:iCs/>
                              </w:rPr>
                              <w:t xml:space="preserve"> </w:t>
                            </w:r>
                            <w:r w:rsidRPr="0032520A">
                              <w:rPr>
                                <w:rFonts w:eastAsia="Cambria" w:cstheme="minorHAnsi"/>
                                <w:i/>
                                <w:iCs/>
                              </w:rPr>
                              <w:t xml:space="preserve">Work </w:t>
                            </w:r>
                            <w:r w:rsidRPr="003E344B">
                              <w:rPr>
                                <w:rFonts w:eastAsia="Cambria" w:cstheme="minorHAnsi"/>
                                <w:i/>
                                <w:iCs/>
                              </w:rPr>
                              <w:t>is underway to remedy this (TDR, 20</w:t>
                            </w:r>
                            <w:r>
                              <w:rPr>
                                <w:rFonts w:eastAsia="Cambria" w:cstheme="minorHAnsi"/>
                                <w:i/>
                                <w:iCs/>
                              </w:rPr>
                              <w:t>2</w:t>
                            </w:r>
                            <w:r w:rsidRPr="003E344B">
                              <w:rPr>
                                <w:rFonts w:eastAsia="Cambria" w:cstheme="minorHAnsi"/>
                                <w:i/>
                                <w:iCs/>
                              </w:rPr>
                              <w:t xml:space="preserve">1). A situation analysis and needs assessment on AMR conducted in 2010-2011, funded by </w:t>
                            </w:r>
                            <w:r>
                              <w:rPr>
                                <w:rFonts w:eastAsia="Cambria" w:cstheme="minorHAnsi"/>
                                <w:i/>
                                <w:iCs/>
                              </w:rPr>
                              <w:t xml:space="preserve">the </w:t>
                            </w:r>
                            <w:r w:rsidRPr="003E344B">
                              <w:rPr>
                                <w:rFonts w:eastAsia="Cambria" w:cstheme="minorHAnsi"/>
                                <w:i/>
                                <w:iCs/>
                              </w:rPr>
                              <w:t xml:space="preserve">Bill and Melinda Gates </w:t>
                            </w:r>
                            <w:r>
                              <w:rPr>
                                <w:rFonts w:eastAsia="Cambria" w:cstheme="minorHAnsi"/>
                                <w:i/>
                                <w:iCs/>
                              </w:rPr>
                              <w:t>F</w:t>
                            </w:r>
                            <w:r w:rsidRPr="003E344B">
                              <w:rPr>
                                <w:rFonts w:eastAsia="Cambria" w:cstheme="minorHAnsi"/>
                                <w:i/>
                                <w:iCs/>
                              </w:rPr>
                              <w:t>oundation, highlighted some factors that contribute to AMR in Zambia (APUA, 2014), includ</w:t>
                            </w:r>
                            <w:r>
                              <w:rPr>
                                <w:rFonts w:eastAsia="Cambria" w:cstheme="minorHAnsi"/>
                                <w:i/>
                                <w:iCs/>
                              </w:rPr>
                              <w:t>ing</w:t>
                            </w:r>
                            <w:r w:rsidRPr="003E344B">
                              <w:rPr>
                                <w:rFonts w:eastAsia="Cambria" w:cstheme="minorHAnsi"/>
                                <w:i/>
                                <w:iCs/>
                              </w:rPr>
                              <w:t xml:space="preserve">: easy access to antibiotics without prescription; poor laboratory capacity to conduct antimicrobial susceptibility testing; and poor quality of some antibiotics. </w:t>
                            </w:r>
                            <w:r>
                              <w:rPr>
                                <w:rFonts w:eastAsia="Cambria" w:cstheme="minorHAnsi"/>
                                <w:i/>
                                <w:iCs/>
                              </w:rPr>
                              <w:t xml:space="preserve">However, the situation is exacerbated by more than just human behaviour or limited resources. AMR </w:t>
                            </w:r>
                            <w:r w:rsidRPr="003E344B">
                              <w:rPr>
                                <w:rFonts w:eastAsia="Cambria" w:cstheme="minorHAnsi"/>
                                <w:i/>
                                <w:iCs/>
                              </w:rPr>
                              <w:t xml:space="preserve">is also associated with </w:t>
                            </w:r>
                            <w:r>
                              <w:rPr>
                                <w:rFonts w:eastAsia="Cambria" w:cstheme="minorHAnsi"/>
                                <w:i/>
                                <w:iCs/>
                              </w:rPr>
                              <w:t>some</w:t>
                            </w:r>
                            <w:r w:rsidRPr="003E344B">
                              <w:rPr>
                                <w:rFonts w:eastAsia="Cambria" w:cstheme="minorHAnsi"/>
                                <w:i/>
                                <w:iCs/>
                              </w:rPr>
                              <w:t xml:space="preserve"> metals (Nguyen 2019)</w:t>
                            </w:r>
                            <w:r>
                              <w:rPr>
                                <w:rFonts w:eastAsia="Cambria" w:cstheme="minorHAnsi"/>
                                <w:i/>
                                <w:iCs/>
                              </w:rPr>
                              <w:t xml:space="preserve"> and </w:t>
                            </w:r>
                            <w:r w:rsidRPr="003E344B">
                              <w:rPr>
                                <w:rFonts w:eastAsia="Cambria" w:cstheme="minorHAnsi"/>
                                <w:i/>
                                <w:iCs/>
                              </w:rPr>
                              <w:t xml:space="preserve">has been observed </w:t>
                            </w:r>
                            <w:r>
                              <w:rPr>
                                <w:rFonts w:eastAsia="Cambria" w:cstheme="minorHAnsi"/>
                                <w:i/>
                                <w:iCs/>
                              </w:rPr>
                              <w:t xml:space="preserve">during </w:t>
                            </w:r>
                            <w:r w:rsidRPr="003E344B">
                              <w:rPr>
                                <w:rFonts w:eastAsia="Cambria" w:cstheme="minorHAnsi"/>
                                <w:i/>
                                <w:iCs/>
                              </w:rPr>
                              <w:t xml:space="preserve">the treatment of troops returning from the battlefield (Bazzi, 2020). Perhaps this should not be a surprise: bacteria are known to colonise the oceanic deep vents where they utilise metals as a nutrient. </w:t>
                            </w:r>
                            <w:r>
                              <w:rPr>
                                <w:rFonts w:eastAsia="Cambria" w:cstheme="minorHAnsi"/>
                                <w:i/>
                                <w:iCs/>
                              </w:rPr>
                              <w:t>While there</w:t>
                            </w:r>
                            <w:r w:rsidRPr="003E344B">
                              <w:rPr>
                                <w:rFonts w:cstheme="minorHAnsi"/>
                                <w:i/>
                                <w:iCs/>
                                <w:lang w:val="it-IT"/>
                              </w:rPr>
                              <w:t xml:space="preserve"> </w:t>
                            </w:r>
                            <w:r>
                              <w:rPr>
                                <w:rFonts w:cstheme="minorHAnsi"/>
                                <w:i/>
                                <w:iCs/>
                                <w:lang w:val="it-IT"/>
                              </w:rPr>
                              <w:t>remains an urgent</w:t>
                            </w:r>
                            <w:r w:rsidRPr="003E344B">
                              <w:rPr>
                                <w:rFonts w:cstheme="minorHAnsi"/>
                                <w:i/>
                                <w:iCs/>
                                <w:lang w:val="it-IT"/>
                              </w:rPr>
                              <w:t xml:space="preserve"> need to generate evidence-based information on</w:t>
                            </w:r>
                            <w:r w:rsidRPr="003E344B">
                              <w:rPr>
                                <w:rFonts w:eastAsia="Cambria" w:cstheme="minorHAnsi"/>
                                <w:i/>
                                <w:iCs/>
                              </w:rPr>
                              <w:t xml:space="preserve"> the human use and abuse of </w:t>
                            </w:r>
                            <w:r>
                              <w:rPr>
                                <w:rFonts w:eastAsia="Cambria" w:cstheme="minorHAnsi"/>
                                <w:i/>
                                <w:iCs/>
                              </w:rPr>
                              <w:t>antibiotics</w:t>
                            </w:r>
                            <w:r w:rsidRPr="003E344B">
                              <w:rPr>
                                <w:rFonts w:eastAsia="Cambria" w:cstheme="minorHAnsi"/>
                                <w:i/>
                                <w:iCs/>
                              </w:rPr>
                              <w:t xml:space="preserve"> in agriculture in order to facilitate behavioural changes on </w:t>
                            </w:r>
                            <w:r>
                              <w:rPr>
                                <w:rFonts w:eastAsia="Cambria" w:cstheme="minorHAnsi"/>
                                <w:i/>
                                <w:iCs/>
                              </w:rPr>
                              <w:t xml:space="preserve">the </w:t>
                            </w:r>
                            <w:r w:rsidRPr="003E344B">
                              <w:rPr>
                                <w:rFonts w:eastAsia="Cambria" w:cstheme="minorHAnsi"/>
                                <w:i/>
                                <w:iCs/>
                              </w:rPr>
                              <w:t xml:space="preserve">appropriate use of antimicrobials </w:t>
                            </w:r>
                            <w:r>
                              <w:rPr>
                                <w:rFonts w:eastAsia="Cambria" w:cstheme="minorHAnsi"/>
                                <w:i/>
                                <w:iCs/>
                              </w:rPr>
                              <w:t>to</w:t>
                            </w:r>
                            <w:r w:rsidRPr="003E344B">
                              <w:rPr>
                                <w:rFonts w:eastAsia="Cambria" w:cstheme="minorHAnsi"/>
                                <w:i/>
                                <w:iCs/>
                              </w:rPr>
                              <w:t xml:space="preserve"> safeguard human and animal health</w:t>
                            </w:r>
                            <w:r>
                              <w:rPr>
                                <w:rFonts w:eastAsia="Cambria" w:cstheme="minorHAnsi"/>
                                <w:i/>
                                <w:iCs/>
                              </w:rPr>
                              <w:t xml:space="preserve">, the connection between AMR and metals is a </w:t>
                            </w:r>
                            <w:r w:rsidRPr="003E344B">
                              <w:rPr>
                                <w:rFonts w:eastAsia="Cambria" w:cstheme="minorHAnsi"/>
                                <w:i/>
                                <w:iCs/>
                              </w:rPr>
                              <w:t xml:space="preserve">potential pathway driving global antimicrobial resistance that would not be addressed through improved </w:t>
                            </w:r>
                            <w:r>
                              <w:rPr>
                                <w:rFonts w:eastAsia="Cambria" w:cstheme="minorHAnsi"/>
                                <w:i/>
                                <w:iCs/>
                              </w:rPr>
                              <w:t>antibiotics</w:t>
                            </w:r>
                            <w:r w:rsidRPr="003E344B">
                              <w:rPr>
                                <w:rFonts w:eastAsia="Cambria" w:cstheme="minorHAnsi"/>
                                <w:i/>
                                <w:iCs/>
                              </w:rPr>
                              <w:t xml:space="preserve"> stewardship</w:t>
                            </w:r>
                            <w:r>
                              <w:rPr>
                                <w:rFonts w:eastAsia="Cambria" w:cstheme="minorHAnsi"/>
                                <w:i/>
                                <w:iCs/>
                              </w:rPr>
                              <w:t xml:space="preserve">, and </w:t>
                            </w:r>
                            <w:r w:rsidR="001F1474">
                              <w:rPr>
                                <w:rFonts w:eastAsia="Cambria" w:cstheme="minorHAnsi"/>
                                <w:i/>
                                <w:iCs/>
                              </w:rPr>
                              <w:t xml:space="preserve">which </w:t>
                            </w:r>
                            <w:r>
                              <w:rPr>
                                <w:rFonts w:eastAsia="Cambria" w:cstheme="minorHAnsi"/>
                                <w:i/>
                                <w:iCs/>
                              </w:rPr>
                              <w:t>also needs further exploration (Bazzi, 2020)</w:t>
                            </w:r>
                            <w:r w:rsidRPr="0032520A">
                              <w:rPr>
                                <w:rFonts w:eastAsia="Cambria" w:cstheme="minorHAnsi"/>
                                <w:i/>
                                <w:iCs/>
                              </w:rPr>
                              <w:t>.</w:t>
                            </w:r>
                          </w:p>
                          <w:p w14:paraId="45DDE463" w14:textId="77777777" w:rsidR="00644C4B" w:rsidRPr="0032520A" w:rsidRDefault="00644C4B" w:rsidP="003E344B">
                            <w:pPr>
                              <w:rPr>
                                <w:rFonts w:cstheme="minorHAnsi"/>
                                <w:i/>
                                <w:iC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5B2DEC3" id="Text Box 6" o:spid="_x0000_s1028" type="#_x0000_t202" style="position:absolute;margin-left:14.55pt;margin-top:18.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" filled="f" strokeweight=".5pt">
                <v:textbox style="mso-fit-shape-to-text:t">
                  <w:txbxContent>
                    <w:p w14:paraId="5F9BCCC7" w14:textId="73825576" w:rsidR="00644C4B" w:rsidRPr="003E344B" w:rsidRDefault="00644C4B" w:rsidP="008A484A">
                      <w:pPr>
                        <w:spacing w:line="359" w:lineRule="auto"/>
                        <w:ind w:right="180"/>
                        <w:jc w:val="both"/>
                        <w:rPr>
                          <w:i/>
                          <w:iCs/>
                        </w:rPr>
                      </w:pPr>
                      <w:r w:rsidRPr="003E344B">
                        <w:rPr>
                          <w:i/>
                          <w:iCs/>
                        </w:rPr>
                        <w:t>Case Study 3: Antimicrobial resistance (AMR)</w:t>
                      </w:r>
                    </w:p>
                    <w:p w14:paraId="1541E2F9" w14:textId="0D8CEA9D" w:rsidR="00644C4B" w:rsidRDefault="00644C4B" w:rsidP="003E344B">
                      <w:pPr>
                        <w:rPr>
                          <w:rFonts w:eastAsia="Cambria" w:cstheme="minorHAnsi"/>
                          <w:i/>
                          <w:iCs/>
                        </w:rPr>
                      </w:pPr>
                      <w:r w:rsidRPr="003E344B">
                        <w:rPr>
                          <w:rFonts w:cstheme="minorHAnsi"/>
                          <w:i/>
                          <w:iCs/>
                        </w:rPr>
                        <w:t xml:space="preserve">Another emerging contaminant </w:t>
                      </w:r>
                      <w:r>
                        <w:rPr>
                          <w:rFonts w:cstheme="minorHAnsi"/>
                          <w:i/>
                          <w:iCs/>
                        </w:rPr>
                        <w:t xml:space="preserve">group </w:t>
                      </w:r>
                      <w:r w:rsidRPr="003E344B">
                        <w:rPr>
                          <w:rFonts w:cstheme="minorHAnsi"/>
                          <w:i/>
                          <w:iCs/>
                        </w:rPr>
                        <w:t>in the food system</w:t>
                      </w:r>
                      <w:r>
                        <w:rPr>
                          <w:rFonts w:cstheme="minorHAnsi"/>
                          <w:i/>
                          <w:iCs/>
                        </w:rPr>
                        <w:t>,</w:t>
                      </w:r>
                      <w:r w:rsidRPr="003E344B">
                        <w:rPr>
                          <w:rFonts w:cstheme="minorHAnsi"/>
                          <w:i/>
                          <w:iCs/>
                        </w:rPr>
                        <w:t xml:space="preserve"> which </w:t>
                      </w:r>
                      <w:r>
                        <w:rPr>
                          <w:rFonts w:cstheme="minorHAnsi"/>
                          <w:i/>
                          <w:iCs/>
                        </w:rPr>
                        <w:t xml:space="preserve">affects </w:t>
                      </w:r>
                      <w:r w:rsidRPr="003E344B">
                        <w:rPr>
                          <w:rFonts w:cstheme="minorHAnsi"/>
                          <w:i/>
                          <w:iCs/>
                        </w:rPr>
                        <w:t>resource poor countries in Africa and elsewhere</w:t>
                      </w:r>
                      <w:r>
                        <w:rPr>
                          <w:rFonts w:cstheme="minorHAnsi"/>
                          <w:i/>
                          <w:iCs/>
                        </w:rPr>
                        <w:t xml:space="preserve"> as much as resource rich countries</w:t>
                      </w:r>
                      <w:r w:rsidRPr="003E344B">
                        <w:rPr>
                          <w:rFonts w:cstheme="minorHAnsi"/>
                          <w:i/>
                          <w:iCs/>
                        </w:rPr>
                        <w:t xml:space="preserve">, </w:t>
                      </w:r>
                      <w:r>
                        <w:rPr>
                          <w:rFonts w:cstheme="minorHAnsi"/>
                          <w:i/>
                          <w:iCs/>
                        </w:rPr>
                        <w:t>are antibiotics. The</w:t>
                      </w:r>
                      <w:r w:rsidRPr="003E344B">
                        <w:rPr>
                          <w:rFonts w:cstheme="minorHAnsi"/>
                          <w:i/>
                          <w:iCs/>
                        </w:rPr>
                        <w:t xml:space="preserve"> </w:t>
                      </w:r>
                      <w:r>
                        <w:rPr>
                          <w:rFonts w:cstheme="minorHAnsi"/>
                          <w:i/>
                          <w:iCs/>
                        </w:rPr>
                        <w:t xml:space="preserve">overuse of antibiotics </w:t>
                      </w:r>
                      <w:r w:rsidRPr="003E344B">
                        <w:rPr>
                          <w:rFonts w:cstheme="minorHAnsi"/>
                          <w:i/>
                          <w:iCs/>
                        </w:rPr>
                        <w:t>in human</w:t>
                      </w:r>
                      <w:r>
                        <w:rPr>
                          <w:rFonts w:cstheme="minorHAnsi"/>
                          <w:i/>
                          <w:iCs/>
                        </w:rPr>
                        <w:t>s</w:t>
                      </w:r>
                      <w:r w:rsidRPr="003E344B">
                        <w:rPr>
                          <w:rFonts w:cstheme="minorHAnsi"/>
                          <w:i/>
                          <w:iCs/>
                        </w:rPr>
                        <w:t xml:space="preserve"> and livestock</w:t>
                      </w:r>
                      <w:r>
                        <w:rPr>
                          <w:rFonts w:cstheme="minorHAnsi"/>
                          <w:i/>
                          <w:iCs/>
                        </w:rPr>
                        <w:t xml:space="preserve"> has become a major focus, including for the WHO. This</w:t>
                      </w:r>
                      <w:r w:rsidRPr="003E344B">
                        <w:rPr>
                          <w:rFonts w:cstheme="minorHAnsi"/>
                          <w:i/>
                          <w:iCs/>
                        </w:rPr>
                        <w:t xml:space="preserve"> result</w:t>
                      </w:r>
                      <w:r>
                        <w:rPr>
                          <w:rFonts w:cstheme="minorHAnsi"/>
                          <w:i/>
                          <w:iCs/>
                        </w:rPr>
                        <w:t>s</w:t>
                      </w:r>
                      <w:r w:rsidRPr="003E344B">
                        <w:rPr>
                          <w:rFonts w:cstheme="minorHAnsi"/>
                          <w:i/>
                          <w:iCs/>
                        </w:rPr>
                        <w:t xml:space="preserve"> in </w:t>
                      </w:r>
                      <w:r>
                        <w:rPr>
                          <w:rFonts w:cstheme="minorHAnsi"/>
                          <w:i/>
                          <w:iCs/>
                        </w:rPr>
                        <w:t>r</w:t>
                      </w:r>
                      <w:r w:rsidRPr="007F60D9">
                        <w:rPr>
                          <w:rFonts w:cstheme="minorHAnsi"/>
                          <w:i/>
                          <w:iCs/>
                        </w:rPr>
                        <w:t>esistance</w:t>
                      </w:r>
                      <w:r>
                        <w:rPr>
                          <w:rFonts w:cstheme="minorHAnsi"/>
                          <w:i/>
                          <w:iCs/>
                        </w:rPr>
                        <w:t xml:space="preserve"> by an increasing number of microbial species to a</w:t>
                      </w:r>
                      <w:r w:rsidRPr="003E344B">
                        <w:rPr>
                          <w:rFonts w:cstheme="minorHAnsi"/>
                          <w:i/>
                          <w:iCs/>
                        </w:rPr>
                        <w:t>ntimicrobial</w:t>
                      </w:r>
                      <w:r>
                        <w:rPr>
                          <w:rFonts w:cstheme="minorHAnsi"/>
                          <w:i/>
                          <w:iCs/>
                        </w:rPr>
                        <w:t xml:space="preserve"> control, and t</w:t>
                      </w:r>
                      <w:r w:rsidRPr="003F3FF1">
                        <w:rPr>
                          <w:rFonts w:cstheme="minorHAnsi"/>
                          <w:i/>
                          <w:iCs/>
                        </w:rPr>
                        <w:t>hreatens the effective prevention and treatment of an ever-increasing range of infections caused by bacteria, parasites, viruses and fungi</w:t>
                      </w:r>
                      <w:r>
                        <w:rPr>
                          <w:rFonts w:cstheme="minorHAnsi"/>
                          <w:i/>
                          <w:iCs/>
                        </w:rPr>
                        <w:t xml:space="preserve"> (WHO, 2020; WHO, 2021). </w:t>
                      </w:r>
                      <w:r w:rsidRPr="003E344B">
                        <w:rPr>
                          <w:rFonts w:eastAsia="Cambria" w:cstheme="minorHAnsi"/>
                          <w:i/>
                          <w:iCs/>
                        </w:rPr>
                        <w:t xml:space="preserve">Antimicrobials play an essential role in combatting infectious diseases in human and veterinary medicine, agriculture and </w:t>
                      </w:r>
                      <w:r>
                        <w:rPr>
                          <w:rFonts w:eastAsia="Cambria" w:cstheme="minorHAnsi"/>
                          <w:i/>
                          <w:iCs/>
                        </w:rPr>
                        <w:t xml:space="preserve">the </w:t>
                      </w:r>
                      <w:r w:rsidRPr="003E344B">
                        <w:rPr>
                          <w:rFonts w:eastAsia="Cambria" w:cstheme="minorHAnsi"/>
                          <w:i/>
                          <w:iCs/>
                        </w:rPr>
                        <w:t xml:space="preserve">environment. AMR is now recognized as one of the most significant global threats to public health. </w:t>
                      </w:r>
                      <w:r>
                        <w:rPr>
                          <w:rFonts w:eastAsia="Cambria" w:cstheme="minorHAnsi"/>
                          <w:i/>
                          <w:iCs/>
                        </w:rPr>
                        <w:t xml:space="preserve">However, the </w:t>
                      </w:r>
                      <w:r w:rsidRPr="003E344B">
                        <w:rPr>
                          <w:rFonts w:eastAsia="Cambria" w:cstheme="minorHAnsi"/>
                          <w:i/>
                          <w:iCs/>
                        </w:rPr>
                        <w:t>WHO global situation analysis report of 2015</w:t>
                      </w:r>
                      <w:r>
                        <w:rPr>
                          <w:rFonts w:eastAsia="Cambria" w:cstheme="minorHAnsi"/>
                          <w:i/>
                          <w:iCs/>
                        </w:rPr>
                        <w:t xml:space="preserve"> </w:t>
                      </w:r>
                      <w:r w:rsidRPr="003E344B">
                        <w:rPr>
                          <w:rFonts w:eastAsia="Cambria" w:cstheme="minorHAnsi"/>
                          <w:i/>
                          <w:iCs/>
                        </w:rPr>
                        <w:t>noted that information on the true extent of the problem of AMR was limited in the African Region</w:t>
                      </w:r>
                      <w:r>
                        <w:rPr>
                          <w:rFonts w:eastAsia="Cambria" w:cstheme="minorHAnsi"/>
                          <w:i/>
                          <w:iCs/>
                        </w:rPr>
                        <w:t>.</w:t>
                      </w:r>
                      <w:r w:rsidRPr="003E344B">
                        <w:rPr>
                          <w:rFonts w:eastAsia="Cambria" w:cstheme="minorHAnsi"/>
                          <w:i/>
                          <w:iCs/>
                        </w:rPr>
                        <w:t xml:space="preserve"> </w:t>
                      </w:r>
                      <w:r w:rsidRPr="0032520A">
                        <w:rPr>
                          <w:rFonts w:eastAsia="Cambria" w:cstheme="minorHAnsi"/>
                          <w:i/>
                          <w:iCs/>
                        </w:rPr>
                        <w:t xml:space="preserve">Work </w:t>
                      </w:r>
                      <w:r w:rsidRPr="003E344B">
                        <w:rPr>
                          <w:rFonts w:eastAsia="Cambria" w:cstheme="minorHAnsi"/>
                          <w:i/>
                          <w:iCs/>
                        </w:rPr>
                        <w:t>is underway to remedy this (TDR, 20</w:t>
                      </w:r>
                      <w:r>
                        <w:rPr>
                          <w:rFonts w:eastAsia="Cambria" w:cstheme="minorHAnsi"/>
                          <w:i/>
                          <w:iCs/>
                        </w:rPr>
                        <w:t>2</w:t>
                      </w:r>
                      <w:r w:rsidRPr="003E344B">
                        <w:rPr>
                          <w:rFonts w:eastAsia="Cambria" w:cstheme="minorHAnsi"/>
                          <w:i/>
                          <w:iCs/>
                        </w:rPr>
                        <w:t xml:space="preserve">1). A situation analysis and needs assessment on AMR conducted in 2010-2011, funded by </w:t>
                      </w:r>
                      <w:r>
                        <w:rPr>
                          <w:rFonts w:eastAsia="Cambria" w:cstheme="minorHAnsi"/>
                          <w:i/>
                          <w:iCs/>
                        </w:rPr>
                        <w:t xml:space="preserve">the </w:t>
                      </w:r>
                      <w:r w:rsidRPr="003E344B">
                        <w:rPr>
                          <w:rFonts w:eastAsia="Cambria" w:cstheme="minorHAnsi"/>
                          <w:i/>
                          <w:iCs/>
                        </w:rPr>
                        <w:t xml:space="preserve">Bill and Melinda Gates </w:t>
                      </w:r>
                      <w:r>
                        <w:rPr>
                          <w:rFonts w:eastAsia="Cambria" w:cstheme="minorHAnsi"/>
                          <w:i/>
                          <w:iCs/>
                        </w:rPr>
                        <w:t>F</w:t>
                      </w:r>
                      <w:r w:rsidRPr="003E344B">
                        <w:rPr>
                          <w:rFonts w:eastAsia="Cambria" w:cstheme="minorHAnsi"/>
                          <w:i/>
                          <w:iCs/>
                        </w:rPr>
                        <w:t>oundation, highlighted some factors that contribute to AMR in Zambia (APUA, 2014), includ</w:t>
                      </w:r>
                      <w:r>
                        <w:rPr>
                          <w:rFonts w:eastAsia="Cambria" w:cstheme="minorHAnsi"/>
                          <w:i/>
                          <w:iCs/>
                        </w:rPr>
                        <w:t>ing</w:t>
                      </w:r>
                      <w:r w:rsidRPr="003E344B">
                        <w:rPr>
                          <w:rFonts w:eastAsia="Cambria" w:cstheme="minorHAnsi"/>
                          <w:i/>
                          <w:iCs/>
                        </w:rPr>
                        <w:t xml:space="preserve">: easy access to antibiotics without prescription; poor laboratory capacity to conduct antimicrobial susceptibility testing; and poor quality of some antibiotics. </w:t>
                      </w:r>
                      <w:r>
                        <w:rPr>
                          <w:rFonts w:eastAsia="Cambria" w:cstheme="minorHAnsi"/>
                          <w:i/>
                          <w:iCs/>
                        </w:rPr>
                        <w:t xml:space="preserve">However, the situation is exacerbated by more than just human behaviour or limited resources. AMR </w:t>
                      </w:r>
                      <w:r w:rsidRPr="003E344B">
                        <w:rPr>
                          <w:rFonts w:eastAsia="Cambria" w:cstheme="minorHAnsi"/>
                          <w:i/>
                          <w:iCs/>
                        </w:rPr>
                        <w:t xml:space="preserve">is also associated with </w:t>
                      </w:r>
                      <w:r>
                        <w:rPr>
                          <w:rFonts w:eastAsia="Cambria" w:cstheme="minorHAnsi"/>
                          <w:i/>
                          <w:iCs/>
                        </w:rPr>
                        <w:t>some</w:t>
                      </w:r>
                      <w:r w:rsidRPr="003E344B">
                        <w:rPr>
                          <w:rFonts w:eastAsia="Cambria" w:cstheme="minorHAnsi"/>
                          <w:i/>
                          <w:iCs/>
                        </w:rPr>
                        <w:t xml:space="preserve"> metals (Nguyen 2019)</w:t>
                      </w:r>
                      <w:r>
                        <w:rPr>
                          <w:rFonts w:eastAsia="Cambria" w:cstheme="minorHAnsi"/>
                          <w:i/>
                          <w:iCs/>
                        </w:rPr>
                        <w:t xml:space="preserve"> and </w:t>
                      </w:r>
                      <w:r w:rsidRPr="003E344B">
                        <w:rPr>
                          <w:rFonts w:eastAsia="Cambria" w:cstheme="minorHAnsi"/>
                          <w:i/>
                          <w:iCs/>
                        </w:rPr>
                        <w:t xml:space="preserve">has been observed </w:t>
                      </w:r>
                      <w:r>
                        <w:rPr>
                          <w:rFonts w:eastAsia="Cambria" w:cstheme="minorHAnsi"/>
                          <w:i/>
                          <w:iCs/>
                        </w:rPr>
                        <w:t xml:space="preserve">during </w:t>
                      </w:r>
                      <w:r w:rsidRPr="003E344B">
                        <w:rPr>
                          <w:rFonts w:eastAsia="Cambria" w:cstheme="minorHAnsi"/>
                          <w:i/>
                          <w:iCs/>
                        </w:rPr>
                        <w:t>the treatment of troops returning from the battlefield (</w:t>
                      </w:r>
                      <w:proofErr w:type="spellStart"/>
                      <w:r w:rsidRPr="003E344B">
                        <w:rPr>
                          <w:rFonts w:eastAsia="Cambria" w:cstheme="minorHAnsi"/>
                          <w:i/>
                          <w:iCs/>
                        </w:rPr>
                        <w:t>Bazzi</w:t>
                      </w:r>
                      <w:proofErr w:type="spellEnd"/>
                      <w:r w:rsidRPr="003E344B">
                        <w:rPr>
                          <w:rFonts w:eastAsia="Cambria" w:cstheme="minorHAnsi"/>
                          <w:i/>
                          <w:iCs/>
                        </w:rPr>
                        <w:t xml:space="preserve">, 2020). Perhaps this should not be a surprise: bacteria are known to colonise the oceanic deep vents where they utilise metals as a nutrient. </w:t>
                      </w:r>
                      <w:r>
                        <w:rPr>
                          <w:rFonts w:eastAsia="Cambria" w:cstheme="minorHAnsi"/>
                          <w:i/>
                          <w:iCs/>
                        </w:rPr>
                        <w:t>While there</w:t>
                      </w:r>
                      <w:r w:rsidRPr="003E344B">
                        <w:rPr>
                          <w:rFonts w:cstheme="minorHAnsi"/>
                          <w:i/>
                          <w:iCs/>
                          <w:lang w:val="it-IT"/>
                        </w:rPr>
                        <w:t xml:space="preserve"> </w:t>
                      </w:r>
                      <w:r>
                        <w:rPr>
                          <w:rFonts w:cstheme="minorHAnsi"/>
                          <w:i/>
                          <w:iCs/>
                          <w:lang w:val="it-IT"/>
                        </w:rPr>
                        <w:t>remains an urgent</w:t>
                      </w:r>
                      <w:r w:rsidRPr="003E344B">
                        <w:rPr>
                          <w:rFonts w:cstheme="minorHAnsi"/>
                          <w:i/>
                          <w:iCs/>
                          <w:lang w:val="it-IT"/>
                        </w:rPr>
                        <w:t xml:space="preserve"> need to generate evidence-based information on</w:t>
                      </w:r>
                      <w:r w:rsidRPr="003E344B">
                        <w:rPr>
                          <w:rFonts w:eastAsia="Cambria" w:cstheme="minorHAnsi"/>
                          <w:i/>
                          <w:iCs/>
                        </w:rPr>
                        <w:t xml:space="preserve"> the human use and abuse of </w:t>
                      </w:r>
                      <w:r>
                        <w:rPr>
                          <w:rFonts w:eastAsia="Cambria" w:cstheme="minorHAnsi"/>
                          <w:i/>
                          <w:iCs/>
                        </w:rPr>
                        <w:t>antibiotics</w:t>
                      </w:r>
                      <w:r w:rsidRPr="003E344B">
                        <w:rPr>
                          <w:rFonts w:eastAsia="Cambria" w:cstheme="minorHAnsi"/>
                          <w:i/>
                          <w:iCs/>
                        </w:rPr>
                        <w:t xml:space="preserve"> in agriculture in order to facilitate behavioural changes on </w:t>
                      </w:r>
                      <w:r>
                        <w:rPr>
                          <w:rFonts w:eastAsia="Cambria" w:cstheme="minorHAnsi"/>
                          <w:i/>
                          <w:iCs/>
                        </w:rPr>
                        <w:t xml:space="preserve">the </w:t>
                      </w:r>
                      <w:r w:rsidRPr="003E344B">
                        <w:rPr>
                          <w:rFonts w:eastAsia="Cambria" w:cstheme="minorHAnsi"/>
                          <w:i/>
                          <w:iCs/>
                        </w:rPr>
                        <w:t xml:space="preserve">appropriate use of antimicrobials </w:t>
                      </w:r>
                      <w:r>
                        <w:rPr>
                          <w:rFonts w:eastAsia="Cambria" w:cstheme="minorHAnsi"/>
                          <w:i/>
                          <w:iCs/>
                        </w:rPr>
                        <w:t>to</w:t>
                      </w:r>
                      <w:r w:rsidRPr="003E344B">
                        <w:rPr>
                          <w:rFonts w:eastAsia="Cambria" w:cstheme="minorHAnsi"/>
                          <w:i/>
                          <w:iCs/>
                        </w:rPr>
                        <w:t xml:space="preserve"> safeguard human and animal health</w:t>
                      </w:r>
                      <w:r>
                        <w:rPr>
                          <w:rFonts w:eastAsia="Cambria" w:cstheme="minorHAnsi"/>
                          <w:i/>
                          <w:iCs/>
                        </w:rPr>
                        <w:t xml:space="preserve">, the connection between AMR and metals is a </w:t>
                      </w:r>
                      <w:r w:rsidRPr="003E344B">
                        <w:rPr>
                          <w:rFonts w:eastAsia="Cambria" w:cstheme="minorHAnsi"/>
                          <w:i/>
                          <w:iCs/>
                        </w:rPr>
                        <w:t xml:space="preserve">potential pathway driving global antimicrobial resistance that would not be addressed through improved </w:t>
                      </w:r>
                      <w:r>
                        <w:rPr>
                          <w:rFonts w:eastAsia="Cambria" w:cstheme="minorHAnsi"/>
                          <w:i/>
                          <w:iCs/>
                        </w:rPr>
                        <w:t>antibiotics</w:t>
                      </w:r>
                      <w:r w:rsidRPr="003E344B">
                        <w:rPr>
                          <w:rFonts w:eastAsia="Cambria" w:cstheme="minorHAnsi"/>
                          <w:i/>
                          <w:iCs/>
                        </w:rPr>
                        <w:t xml:space="preserve"> stewardship</w:t>
                      </w:r>
                      <w:r>
                        <w:rPr>
                          <w:rFonts w:eastAsia="Cambria" w:cstheme="minorHAnsi"/>
                          <w:i/>
                          <w:iCs/>
                        </w:rPr>
                        <w:t xml:space="preserve">, and </w:t>
                      </w:r>
                      <w:r w:rsidR="001F1474">
                        <w:rPr>
                          <w:rFonts w:eastAsia="Cambria" w:cstheme="minorHAnsi"/>
                          <w:i/>
                          <w:iCs/>
                        </w:rPr>
                        <w:t xml:space="preserve">which </w:t>
                      </w:r>
                      <w:r>
                        <w:rPr>
                          <w:rFonts w:eastAsia="Cambria" w:cstheme="minorHAnsi"/>
                          <w:i/>
                          <w:iCs/>
                        </w:rPr>
                        <w:t>also needs further exploration (</w:t>
                      </w:r>
                      <w:proofErr w:type="spellStart"/>
                      <w:r>
                        <w:rPr>
                          <w:rFonts w:eastAsia="Cambria" w:cstheme="minorHAnsi"/>
                          <w:i/>
                          <w:iCs/>
                        </w:rPr>
                        <w:t>Bazzi</w:t>
                      </w:r>
                      <w:proofErr w:type="spellEnd"/>
                      <w:r>
                        <w:rPr>
                          <w:rFonts w:eastAsia="Cambria" w:cstheme="minorHAnsi"/>
                          <w:i/>
                          <w:iCs/>
                        </w:rPr>
                        <w:t>, 2020)</w:t>
                      </w:r>
                      <w:r w:rsidRPr="0032520A">
                        <w:rPr>
                          <w:rFonts w:eastAsia="Cambria" w:cstheme="minorHAnsi"/>
                          <w:i/>
                          <w:iCs/>
                        </w:rPr>
                        <w:t>.</w:t>
                      </w:r>
                    </w:p>
                    <w:p w14:paraId="45DDE463" w14:textId="77777777" w:rsidR="00644C4B" w:rsidRPr="0032520A" w:rsidRDefault="00644C4B" w:rsidP="003E344B">
                      <w:pPr>
                        <w:rPr>
                          <w:rFonts w:cstheme="minorHAnsi"/>
                          <w:i/>
                          <w:iCs/>
                        </w:rPr>
                      </w:pPr>
                    </w:p>
                  </w:txbxContent>
                </v:textbox>
                <w10:wrap type="square"/>
              </v:shape>
            </w:pict>
          </mc:Fallback>
        </mc:AlternateContent>
      </w:r>
    </w:p>
    <w:p w14:paraId="04F69B3A" w14:textId="0DCE6FB7" w:rsidR="00E66DBF" w:rsidRDefault="00E66DBF"/>
    <w:p w14:paraId="3CC65DED" w14:textId="17A5C24F" w:rsidR="007A21BF" w:rsidRDefault="007A21BF"/>
    <w:p w14:paraId="65B8D389" w14:textId="5E3BE090" w:rsidR="00281161" w:rsidRDefault="007A21BF">
      <w:r>
        <w:t xml:space="preserve">Sewage treatment works were developed for the prevention of faecal material entering waterways. There is nothing within the system which prevents the migration of pharmaceutical residues, nor a range of other chemical residues </w:t>
      </w:r>
      <w:r w:rsidR="00CD7AC5">
        <w:t xml:space="preserve">arising from </w:t>
      </w:r>
      <w:r w:rsidR="00437CF1">
        <w:t xml:space="preserve">direct excretion or </w:t>
      </w:r>
      <w:r>
        <w:t xml:space="preserve">manufacturing processes. Indeed, the sewage treatment works provide the very conditions for spontaneous chemistry to occur: large vats of diverse material being mixed, in a warm setting, </w:t>
      </w:r>
      <w:r w:rsidR="009E3EBD">
        <w:t>in the presence of</w:t>
      </w:r>
      <w:r>
        <w:t xml:space="preserve"> bacteria</w:t>
      </w:r>
      <w:r w:rsidR="00437CF1">
        <w:t>.</w:t>
      </w:r>
      <w:r w:rsidR="005F34C5">
        <w:t xml:space="preserve"> Further, n</w:t>
      </w:r>
      <w:r w:rsidR="00281161">
        <w:t>ot all communities have the luxury of the control of waste materials. Many people still live without a functioning latrine; chemical industries discharge waste directly into nearby streams and rivers. These wastes find their way into groundwater, aquifers, and potentially into the ocean.</w:t>
      </w:r>
    </w:p>
    <w:p w14:paraId="34BDFAD6" w14:textId="77777777" w:rsidR="00D93BBF" w:rsidRDefault="00D93BBF"/>
    <w:p w14:paraId="179EF7BF" w14:textId="09AA9141" w:rsidR="00C06028" w:rsidRDefault="00AF05F6">
      <w:r>
        <w:t xml:space="preserve">While a range of compounds are relatively mobile and persistent, entering marine systems, some of the </w:t>
      </w:r>
      <w:r w:rsidR="00D93BBF">
        <w:t>drugs adhere to sediment</w:t>
      </w:r>
      <w:r w:rsidR="00F85350">
        <w:t>.</w:t>
      </w:r>
      <w:r w:rsidR="00E552A9">
        <w:t xml:space="preserve"> </w:t>
      </w:r>
      <w:r w:rsidR="00C50AC8">
        <w:t>Examination of sediment cores has demonstrated the presence of a wide variety of anthropogenic chemicals adhering to sediment at any one time. Their mobilisation and desorption is dependent upon the chemical under consideration, sediment composition, and the various physicochem</w:t>
      </w:r>
      <w:r w:rsidR="0078582E">
        <w:t xml:space="preserve">ical, and biological, </w:t>
      </w:r>
      <w:r w:rsidR="0078582E">
        <w:lastRenderedPageBreak/>
        <w:t>processes</w:t>
      </w:r>
      <w:r w:rsidR="00C50AC8">
        <w:t xml:space="preserve"> occurring </w:t>
      </w:r>
      <w:r w:rsidR="008B1474">
        <w:t>on and within the sediment</w:t>
      </w:r>
      <w:r w:rsidR="00C50AC8">
        <w:t>.  The need for understanding of this interplay between the aqua</w:t>
      </w:r>
      <w:r w:rsidR="008B1474">
        <w:t>tic environment</w:t>
      </w:r>
      <w:r w:rsidR="00C50AC8">
        <w:t xml:space="preserve"> and geological surfaces is of importance for the health of species which dwell and feed in sediment, and those which predate upon them</w:t>
      </w:r>
      <w:r w:rsidR="008B1474">
        <w:t>.</w:t>
      </w:r>
    </w:p>
    <w:p w14:paraId="574E0093" w14:textId="77777777" w:rsidR="00D93BBF" w:rsidRDefault="00D93BBF"/>
    <w:p w14:paraId="78A62756" w14:textId="04F5084F" w:rsidR="009449B8" w:rsidRPr="00AC5776" w:rsidRDefault="003E344B">
      <w:r>
        <w:t xml:space="preserve">3.4 </w:t>
      </w:r>
      <w:r w:rsidR="009449B8" w:rsidRPr="00AC5776">
        <w:t>Consideration</w:t>
      </w:r>
      <w:r w:rsidR="00B24113" w:rsidRPr="00AC5776">
        <w:t xml:space="preserve"> and management</w:t>
      </w:r>
      <w:r w:rsidR="009449B8" w:rsidRPr="00AC5776">
        <w:t xml:space="preserve"> of risk</w:t>
      </w:r>
      <w:r w:rsidR="009E3EBD">
        <w:t>.</w:t>
      </w:r>
    </w:p>
    <w:p w14:paraId="3B00D553" w14:textId="2A04A18D" w:rsidR="00C06028" w:rsidRDefault="00C06028"/>
    <w:p w14:paraId="2CD1E1FF" w14:textId="77777777" w:rsidR="00B12F5D" w:rsidRDefault="00C06028">
      <w:r>
        <w:t xml:space="preserve">It is this uncertainty of material, and unpredictability of outcome, which requires a </w:t>
      </w:r>
      <w:r w:rsidR="00AD1562">
        <w:t xml:space="preserve">co-ordinated approach to protection of human health, such as that </w:t>
      </w:r>
      <w:r w:rsidR="0067362E">
        <w:t xml:space="preserve">used successfully </w:t>
      </w:r>
      <w:r w:rsidR="00006AF5">
        <w:t>in the North West of England</w:t>
      </w:r>
      <w:r w:rsidR="00AD1562">
        <w:t xml:space="preserve"> </w:t>
      </w:r>
      <w:r w:rsidR="00BA554E">
        <w:t xml:space="preserve">(UK) </w:t>
      </w:r>
      <w:r w:rsidR="0067362E">
        <w:t>for two decades or more</w:t>
      </w:r>
      <w:r w:rsidR="00006AF5">
        <w:t xml:space="preserve"> (Mahoney et al., 2015) (Figure 1)</w:t>
      </w:r>
      <w:r w:rsidR="00D9051D">
        <w:t>.</w:t>
      </w:r>
      <w:r w:rsidR="003B032F">
        <w:t xml:space="preserve"> </w:t>
      </w:r>
      <w:r w:rsidR="00C84171">
        <w:t>At its heart this model again makes use of the source</w:t>
      </w:r>
      <w:r w:rsidR="005F6FC8">
        <w:t>-</w:t>
      </w:r>
      <w:r w:rsidR="00C84171">
        <w:t>pathway</w:t>
      </w:r>
      <w:r w:rsidR="005F6FC8">
        <w:t>-</w:t>
      </w:r>
      <w:r w:rsidR="00C84171">
        <w:t xml:space="preserve">receptor model, which is essentially focused on the environment, but overlays it with the human health impact, of hazard, exposure, syndrome. </w:t>
      </w:r>
    </w:p>
    <w:p w14:paraId="2D5D8CD2" w14:textId="77777777" w:rsidR="00B12F5D" w:rsidRDefault="00B12F5D"/>
    <w:p w14:paraId="4C4F327C" w14:textId="3D0676B0" w:rsidR="00C84171" w:rsidRDefault="00C84171">
      <w:r>
        <w:t>The WHO has stated that almost a quarter of human disease</w:t>
      </w:r>
      <w:r w:rsidR="00F66A77">
        <w:t xml:space="preserve"> globally has an environmental cause</w:t>
      </w:r>
      <w:r w:rsidR="00A158D5">
        <w:t xml:space="preserve"> (WHO</w:t>
      </w:r>
      <w:r w:rsidR="003835EC">
        <w:t>,</w:t>
      </w:r>
      <w:r w:rsidR="00A158D5">
        <w:t xml:space="preserve"> 2006)</w:t>
      </w:r>
      <w:r w:rsidR="00E82929">
        <w:t>.</w:t>
      </w:r>
      <w:r w:rsidR="00F66A77">
        <w:t xml:space="preserve"> It can be seen from the model </w:t>
      </w:r>
      <w:r w:rsidR="00B12F5D">
        <w:t>(Figure 1</w:t>
      </w:r>
      <w:r w:rsidR="00E51BCA">
        <w:t xml:space="preserve"> (</w:t>
      </w:r>
      <w:r w:rsidR="00E51BCA" w:rsidRPr="00E51BCA">
        <w:rPr>
          <w:i/>
        </w:rPr>
        <w:t>cf.</w:t>
      </w:r>
      <w:r w:rsidR="00E51BCA">
        <w:t xml:space="preserve"> Figure 3)</w:t>
      </w:r>
      <w:r w:rsidR="00B12F5D">
        <w:t xml:space="preserve">) </w:t>
      </w:r>
      <w:r w:rsidR="00F66A77">
        <w:t xml:space="preserve">that there are many </w:t>
      </w:r>
      <w:r w:rsidR="003B032F">
        <w:t xml:space="preserve">contributing factors </w:t>
      </w:r>
      <w:r w:rsidR="00F66A77">
        <w:t xml:space="preserve">in the field of understanding and prevention of disease. However, there are </w:t>
      </w:r>
      <w:r w:rsidR="00C947F4">
        <w:t xml:space="preserve">unseen </w:t>
      </w:r>
      <w:r w:rsidR="00F66A77">
        <w:t xml:space="preserve">tensions which </w:t>
      </w:r>
      <w:r w:rsidR="00C947F4">
        <w:t>the model can help explore</w:t>
      </w:r>
      <w:r w:rsidR="00F66A77">
        <w:t xml:space="preserve">: the desire for employment, job creation, and </w:t>
      </w:r>
      <w:r w:rsidR="000958AB">
        <w:t xml:space="preserve">for </w:t>
      </w:r>
      <w:r w:rsidR="00F66A77">
        <w:t>business to make money. When a business can see the opportunity to make money, it may be at any cost, including that of its workers. Historically</w:t>
      </w:r>
      <w:r w:rsidR="00726A3D">
        <w:t>,</w:t>
      </w:r>
      <w:r w:rsidR="00F66A77">
        <w:t xml:space="preserve"> it has been well documented that workers exposed to phosphorous in match fact</w:t>
      </w:r>
      <w:r w:rsidR="009A53C4">
        <w:t>ories suffered from ‘phossy jaw’</w:t>
      </w:r>
      <w:r w:rsidR="0015244C">
        <w:t>;</w:t>
      </w:r>
      <w:r w:rsidR="00204321">
        <w:t xml:space="preserve"> asbestos exposure has led to mesothelioma</w:t>
      </w:r>
      <w:r w:rsidR="00777F68">
        <w:t xml:space="preserve"> </w:t>
      </w:r>
      <w:r w:rsidR="00204321">
        <w:t xml:space="preserve">across many </w:t>
      </w:r>
      <w:r w:rsidR="00A95998">
        <w:t>occupations</w:t>
      </w:r>
      <w:r w:rsidR="00204321">
        <w:t xml:space="preserve"> such as construction workers and dockers, and </w:t>
      </w:r>
      <w:r w:rsidR="00A95998">
        <w:t>silicosis and pneumoco</w:t>
      </w:r>
      <w:r w:rsidR="00726A3D">
        <w:t>nio</w:t>
      </w:r>
      <w:r w:rsidR="00A95998">
        <w:t xml:space="preserve">sis </w:t>
      </w:r>
      <w:r w:rsidR="00726A3D">
        <w:t xml:space="preserve">affect </w:t>
      </w:r>
      <w:r w:rsidR="00A95998">
        <w:t xml:space="preserve">miners. </w:t>
      </w:r>
      <w:r w:rsidR="00204321">
        <w:t xml:space="preserve">Improved </w:t>
      </w:r>
      <w:r w:rsidR="00A95998">
        <w:t xml:space="preserve">working conditions </w:t>
      </w:r>
      <w:r w:rsidR="000958AB">
        <w:t xml:space="preserve">responding to legislation </w:t>
      </w:r>
      <w:r w:rsidR="00A95998">
        <w:t>have either eradicated these conditions (</w:t>
      </w:r>
      <w:r w:rsidR="00682324">
        <w:t>phossy jaw</w:t>
      </w:r>
      <w:r w:rsidR="00A95998">
        <w:t>) or reduced exposure (</w:t>
      </w:r>
      <w:r w:rsidR="00845C2E">
        <w:t>asbestos, silicosis, pneumoconiosis</w:t>
      </w:r>
      <w:r w:rsidR="00A95998">
        <w:t>)</w:t>
      </w:r>
      <w:r w:rsidR="00726A3D">
        <w:t xml:space="preserve"> in some areas</w:t>
      </w:r>
      <w:r w:rsidR="00E82929">
        <w:t xml:space="preserve"> (Stewart, 2020)</w:t>
      </w:r>
      <w:r w:rsidR="004800D8">
        <w:tab/>
      </w:r>
      <w:r w:rsidR="00A95998">
        <w:t xml:space="preserve">. </w:t>
      </w:r>
    </w:p>
    <w:p w14:paraId="35293D13" w14:textId="0872D1BD" w:rsidR="00A95998" w:rsidRDefault="00A95998"/>
    <w:p w14:paraId="37E4F2E9" w14:textId="519A4BCF" w:rsidR="00A95998" w:rsidRDefault="00A95998">
      <w:r>
        <w:t xml:space="preserve">Vigilance is required by all </w:t>
      </w:r>
      <w:r w:rsidR="00845C2E">
        <w:t xml:space="preserve">involved </w:t>
      </w:r>
      <w:r>
        <w:t>parties to ensure that emerging industries and technologies do not replace historical problems with fresh ones, that the ‘polluter pays’ principle is embedded within planning, and that there is not a presumption of jobs at any cost</w:t>
      </w:r>
      <w:r w:rsidR="000958AB">
        <w:t xml:space="preserve"> and associated impact </w:t>
      </w:r>
      <w:r>
        <w:t xml:space="preserve">- neither to the workers themselves nor to </w:t>
      </w:r>
      <w:r w:rsidR="003B032F">
        <w:t xml:space="preserve">the </w:t>
      </w:r>
      <w:r>
        <w:t xml:space="preserve">wider public. </w:t>
      </w:r>
    </w:p>
    <w:p w14:paraId="610E683B" w14:textId="0A1DC3BA" w:rsidR="00437CF1" w:rsidRDefault="00437CF1"/>
    <w:p w14:paraId="32EA6D58" w14:textId="015ACD99" w:rsidR="00437CF1" w:rsidRDefault="00437CF1">
      <w:r>
        <w:t>These principles are embedded in the process of Health Impact Assessment. Understanding that a co-ordinated approach is required to prevent pollution is at the heart of Gibson’s model (</w:t>
      </w:r>
      <w:r w:rsidR="00006AF5">
        <w:t xml:space="preserve">Figure </w:t>
      </w:r>
      <w:r w:rsidR="00C24295">
        <w:t>2</w:t>
      </w:r>
      <w:r>
        <w:t>)</w:t>
      </w:r>
      <w:r w:rsidR="00C35A86">
        <w:t xml:space="preserve">. Evaluating the impact on health along the process of strategic decision making, through planning, to operational control and finally decommissioning is essential if future contamination is to be prevented. </w:t>
      </w:r>
    </w:p>
    <w:p w14:paraId="14FD5049" w14:textId="2FDE19C4" w:rsidR="00C35A86" w:rsidRDefault="00C35A86"/>
    <w:p w14:paraId="37A10554" w14:textId="77777777" w:rsidR="00845C2E" w:rsidRDefault="00C35A86">
      <w:r>
        <w:t xml:space="preserve">For example, </w:t>
      </w:r>
      <w:r w:rsidR="009C368D">
        <w:t>in order to have a strategy for clean a</w:t>
      </w:r>
      <w:r w:rsidR="00475205">
        <w:t>ir</w:t>
      </w:r>
      <w:r w:rsidR="003D1DE4">
        <w:t>, a</w:t>
      </w:r>
      <w:r w:rsidR="009C368D">
        <w:t xml:space="preserve"> strategic decision to manufacture electric vehicles would recognise that they rely on battery power. This in turn is likely to require several battery manufacturing sites</w:t>
      </w:r>
      <w:r w:rsidR="00475205">
        <w:t>, as well as car manufacturing sites. The batteries require rare earth elements. The mining of these elements will have an impact on the miners, and on the communities where the mining takes place</w:t>
      </w:r>
      <w:r w:rsidR="00144D40">
        <w:t xml:space="preserve"> (Entwistle</w:t>
      </w:r>
      <w:r w:rsidR="00E43107">
        <w:t xml:space="preserve"> et al.</w:t>
      </w:r>
      <w:r w:rsidR="00F85350">
        <w:t>,</w:t>
      </w:r>
      <w:r w:rsidR="00475205">
        <w:t xml:space="preserve"> </w:t>
      </w:r>
      <w:r w:rsidR="00144D40">
        <w:t>2019)</w:t>
      </w:r>
      <w:r w:rsidR="00E43107">
        <w:t xml:space="preserve">. </w:t>
      </w:r>
      <w:r w:rsidR="00475205">
        <w:t>Some of these will be positive (employment) some will be negative (ground contamination</w:t>
      </w:r>
      <w:r w:rsidR="005A4A97">
        <w:t>, inhalation</w:t>
      </w:r>
      <w:r w:rsidR="00475205">
        <w:t xml:space="preserve">). </w:t>
      </w:r>
    </w:p>
    <w:p w14:paraId="5BFE8D42" w14:textId="77777777" w:rsidR="00845C2E" w:rsidRDefault="00845C2E"/>
    <w:p w14:paraId="4581C748" w14:textId="657F89BC" w:rsidR="00C24295" w:rsidRDefault="00475205">
      <w:r>
        <w:t xml:space="preserve">Transport of the mined materials will have an environmental impact at a global level, contributing to global heating. </w:t>
      </w:r>
      <w:r w:rsidR="002D496E">
        <w:t xml:space="preserve">Construction and deployment of the manufacturing bases </w:t>
      </w:r>
      <w:r w:rsidR="002D496E">
        <w:lastRenderedPageBreak/>
        <w:t>will impact the local environment- again, there will be positive and negative consequences. As the batteries and vehicles are in use, and when they become spent, there will be further impact at a societal level. What happens to the batteries? Are the rare earth metals retrieved and recycled in order to prevent them being released into the wider environment, (</w:t>
      </w:r>
      <w:r w:rsidR="00C81C7B">
        <w:t xml:space="preserve">with </w:t>
      </w:r>
      <w:r w:rsidR="002D496E">
        <w:t>further requirement</w:t>
      </w:r>
      <w:r w:rsidR="00C81C7B">
        <w:t>s</w:t>
      </w:r>
      <w:r w:rsidR="002D496E">
        <w:t xml:space="preserve"> for a recycling plant, with associated local planning) or are they lost from sight? Currently rare earth metals are locked up in unused mobile phones, meaning that further material needs to be mined to fill the gap. Global thinking, co-operation, strategy and policy is required to ensure that the wunderkind of today is not the </w:t>
      </w:r>
      <w:r w:rsidR="005A4A97">
        <w:t xml:space="preserve">contaminant </w:t>
      </w:r>
      <w:r w:rsidR="009A53C4">
        <w:t xml:space="preserve">of the future </w:t>
      </w:r>
      <w:r w:rsidR="002D496E">
        <w:t>(Pagano, 2016)</w:t>
      </w:r>
      <w:r w:rsidR="00C24295">
        <w:t xml:space="preserve">. </w:t>
      </w:r>
    </w:p>
    <w:p w14:paraId="42DC73CD" w14:textId="77777777" w:rsidR="00C24295" w:rsidRDefault="00C24295"/>
    <w:p w14:paraId="526DC346" w14:textId="55D66ADC" w:rsidR="009C368D" w:rsidRDefault="00C24295">
      <w:r>
        <w:t>Since the industrial revolution</w:t>
      </w:r>
      <w:r w:rsidR="00845C2E">
        <w:t>,</w:t>
      </w:r>
      <w:r>
        <w:t xml:space="preserve"> the demand for jobs has been an over-riding one. As society observes the damage which has accrued through this approach, with the disadvantage of that approach not always falling on its beneficiaries, there is a strong demand for accountability and cleaner manufacturing. This is manifest as investors seek to divest from traditional ‘dirty’ industry. But it should be remembered that just because something appears to be clean does not mean that it is benign. </w:t>
      </w:r>
    </w:p>
    <w:p w14:paraId="3B3C9688" w14:textId="6D3A35AF" w:rsidR="00A95998" w:rsidRDefault="00A95998"/>
    <w:p w14:paraId="0D97C064" w14:textId="77777777" w:rsidR="00845C2E" w:rsidRDefault="00A95998">
      <w:r>
        <w:t xml:space="preserve">There is an additional concern. As </w:t>
      </w:r>
      <w:r w:rsidR="00726A3D">
        <w:t xml:space="preserve">high-income </w:t>
      </w:r>
      <w:r>
        <w:t>countries seek to clean up and operate more effectively</w:t>
      </w:r>
      <w:r w:rsidR="000958AB">
        <w:t>,</w:t>
      </w:r>
      <w:r>
        <w:t xml:space="preserve"> </w:t>
      </w:r>
      <w:r w:rsidR="00BB7A79">
        <w:t xml:space="preserve">illegal transfer of WEEE to countries with a less </w:t>
      </w:r>
      <w:r w:rsidR="00726A3D">
        <w:t>well-</w:t>
      </w:r>
      <w:r w:rsidR="00BB7A79">
        <w:t xml:space="preserve">developed </w:t>
      </w:r>
      <w:r w:rsidR="000958AB">
        <w:t xml:space="preserve">or robust </w:t>
      </w:r>
      <w:r w:rsidR="00BB7A79">
        <w:t xml:space="preserve">legal system </w:t>
      </w:r>
      <w:r w:rsidR="000958AB">
        <w:t xml:space="preserve">creates an impact in a new region causing </w:t>
      </w:r>
      <w:r w:rsidR="00BB7A79">
        <w:t>new environmental disease</w:t>
      </w:r>
      <w:r w:rsidR="000958AB">
        <w:t>s</w:t>
      </w:r>
      <w:r w:rsidR="00BB7A79">
        <w:t xml:space="preserve">, such as </w:t>
      </w:r>
      <w:r w:rsidR="000958AB">
        <w:t xml:space="preserve">in </w:t>
      </w:r>
      <w:r w:rsidR="00BB7A79">
        <w:t>Agbogbloshie in Ghana</w:t>
      </w:r>
      <w:r w:rsidR="00B54FDA">
        <w:t xml:space="preserve"> (The Guardian</w:t>
      </w:r>
      <w:r w:rsidR="007B64A8">
        <w:t>,</w:t>
      </w:r>
      <w:r w:rsidR="00B54FDA">
        <w:t xml:space="preserve"> 2014)</w:t>
      </w:r>
      <w:r w:rsidR="00BB7A79">
        <w:t xml:space="preserve">, where previously pristine wetlands are now polluted beyond recognition. </w:t>
      </w:r>
    </w:p>
    <w:p w14:paraId="60192162" w14:textId="77777777" w:rsidR="00845C2E" w:rsidRDefault="00845C2E"/>
    <w:p w14:paraId="6D2A7AED" w14:textId="315DBC6A" w:rsidR="00A95998" w:rsidRDefault="004258A4">
      <w:r>
        <w:t>Dismant</w:t>
      </w:r>
      <w:r w:rsidR="007B64A8">
        <w:t>l</w:t>
      </w:r>
      <w:r>
        <w:t>ing of WEEE and burning of c</w:t>
      </w:r>
      <w:r w:rsidR="0028153A">
        <w:t xml:space="preserve">ables in order to retrieve the metals has led to an environmental catastrophe; fire retardants, products of combustion (dioxins and similar) and metals are released in an uncontrolled manner.  </w:t>
      </w:r>
      <w:r w:rsidR="00BB7A79">
        <w:t xml:space="preserve">The lives of all the residents are impacted due to the contamination of their crops, and the acrid air from the burning of the waste. Those who carry out the ‘recycling’ have </w:t>
      </w:r>
      <w:r w:rsidR="00845C2E">
        <w:t xml:space="preserve">increased risk of </w:t>
      </w:r>
      <w:r w:rsidR="00BB7A79">
        <w:t xml:space="preserve">cancers </w:t>
      </w:r>
      <w:r w:rsidR="00845C2E">
        <w:t xml:space="preserve">and other diseases </w:t>
      </w:r>
      <w:r w:rsidR="00BB7A79">
        <w:t xml:space="preserve">following exposure to a toxic mix of chemicals </w:t>
      </w:r>
      <w:r w:rsidR="00D67F3C">
        <w:t>(WHO, 2015)</w:t>
      </w:r>
      <w:r w:rsidR="00F85350">
        <w:t>.</w:t>
      </w:r>
      <w:r w:rsidR="00BB7A79">
        <w:t xml:space="preserve"> </w:t>
      </w:r>
      <w:r w:rsidR="000958AB">
        <w:t xml:space="preserve">These recycled </w:t>
      </w:r>
      <w:r w:rsidR="00810EB4">
        <w:t xml:space="preserve">materials </w:t>
      </w:r>
      <w:r w:rsidR="000958AB">
        <w:t xml:space="preserve">are then the very ones which find their way into children’s toys, plastic plates, and other consumer goods. </w:t>
      </w:r>
    </w:p>
    <w:p w14:paraId="582B3ECA" w14:textId="40C0997E" w:rsidR="00BB7A79" w:rsidRDefault="00BB7A79"/>
    <w:p w14:paraId="37CD60B9" w14:textId="001F6CBC" w:rsidR="00BB7A79" w:rsidRPr="00342311" w:rsidRDefault="00BB7A79" w:rsidP="00EA534B">
      <w:pPr>
        <w:pStyle w:val="ListParagraph"/>
        <w:numPr>
          <w:ilvl w:val="0"/>
          <w:numId w:val="3"/>
        </w:numPr>
        <w:rPr>
          <w:b/>
          <w:u w:val="single"/>
        </w:rPr>
      </w:pPr>
      <w:r w:rsidRPr="00342311">
        <w:rPr>
          <w:b/>
          <w:u w:val="single"/>
        </w:rPr>
        <w:t>Future actions and co-operation.</w:t>
      </w:r>
    </w:p>
    <w:p w14:paraId="4D262DFD" w14:textId="4CBF20A5" w:rsidR="00AD1562" w:rsidRDefault="00AD1562"/>
    <w:p w14:paraId="66E255F6" w14:textId="1A510F8E" w:rsidR="00E9158C" w:rsidRDefault="00BB7A79">
      <w:r>
        <w:t>H</w:t>
      </w:r>
      <w:r w:rsidR="0047688A">
        <w:t>uman health itself is a complex response to an uncertain set of parameters: at its most basic, each person is a novel entity by virtue of their genetic make</w:t>
      </w:r>
      <w:r w:rsidR="00E9158C">
        <w:t>-</w:t>
      </w:r>
      <w:r w:rsidR="0047688A">
        <w:t>up. We are still only just touching the surface of our understanding of epigenetics</w:t>
      </w:r>
      <w:r w:rsidR="00631143">
        <w:t xml:space="preserve"> (Carey, 2012)</w:t>
      </w:r>
      <w:r w:rsidR="004800D8">
        <w:t>.</w:t>
      </w:r>
      <w:r w:rsidR="00255D58">
        <w:t xml:space="preserve"> </w:t>
      </w:r>
      <w:r w:rsidR="00E9158C">
        <w:t xml:space="preserve">Consequently, understanding our relationship to our wider environment is challenging and </w:t>
      </w:r>
      <w:r w:rsidR="00D93BBF">
        <w:t>evolving</w:t>
      </w:r>
      <w:r w:rsidR="00E9158C">
        <w:t xml:space="preserve">. </w:t>
      </w:r>
    </w:p>
    <w:p w14:paraId="297F3220" w14:textId="77777777" w:rsidR="00BB7A79" w:rsidRDefault="00BB7A79"/>
    <w:p w14:paraId="4D407E5D" w14:textId="62840B6B" w:rsidR="00E9158C" w:rsidRDefault="007F7A6C">
      <w:r>
        <w:t>Barton and Gran</w:t>
      </w:r>
      <w:r w:rsidR="00AC303D">
        <w:t>t</w:t>
      </w:r>
      <w:r>
        <w:t xml:space="preserve"> (2006) </w:t>
      </w:r>
      <w:r w:rsidR="00FF6918">
        <w:t>enhanced</w:t>
      </w:r>
      <w:r>
        <w:t xml:space="preserve"> </w:t>
      </w:r>
      <w:r w:rsidR="00AC303D">
        <w:t xml:space="preserve">the original </w:t>
      </w:r>
      <w:r w:rsidR="00E9158C">
        <w:t xml:space="preserve">onion skin </w:t>
      </w:r>
      <w:r>
        <w:t>model</w:t>
      </w:r>
      <w:r w:rsidR="00AC303D">
        <w:t xml:space="preserve"> (Dahlgren &amp; Whitehead</w:t>
      </w:r>
      <w:r w:rsidR="00726A3D">
        <w:t>,</w:t>
      </w:r>
      <w:r w:rsidR="00E9158C">
        <w:t xml:space="preserve"> </w:t>
      </w:r>
      <w:r w:rsidR="00AC303D">
        <w:t xml:space="preserve">1991) </w:t>
      </w:r>
      <w:r w:rsidR="00E9158C">
        <w:t xml:space="preserve">which recognises that </w:t>
      </w:r>
      <w:r w:rsidR="00726A3D">
        <w:t xml:space="preserve">while </w:t>
      </w:r>
      <w:r w:rsidR="00E9158C">
        <w:t xml:space="preserve">people are at the centre of their own lives, their </w:t>
      </w:r>
      <w:r w:rsidR="00726A3D">
        <w:t xml:space="preserve">wider </w:t>
      </w:r>
      <w:r w:rsidR="00E9158C">
        <w:t>environment</w:t>
      </w:r>
      <w:r w:rsidR="00726A3D">
        <w:t>al and social conditions also influence their health, often with little personal control</w:t>
      </w:r>
      <w:r w:rsidR="00845C2E">
        <w:t xml:space="preserve"> (Figure 3)</w:t>
      </w:r>
      <w:r w:rsidR="00E9158C">
        <w:t xml:space="preserve">. </w:t>
      </w:r>
      <w:r w:rsidR="00AF7D1D">
        <w:t>Accordingly</w:t>
      </w:r>
      <w:r w:rsidR="00E9158C">
        <w:t>, we need to ensure that the environment is as benign as possible</w:t>
      </w:r>
      <w:r w:rsidR="00255D58">
        <w:t>;</w:t>
      </w:r>
      <w:r w:rsidR="00726A3D">
        <w:t xml:space="preserve"> that it is health-giving rather than a source of ill-health</w:t>
      </w:r>
      <w:r w:rsidR="00E9158C">
        <w:t xml:space="preserve">. </w:t>
      </w:r>
    </w:p>
    <w:p w14:paraId="2F385285" w14:textId="77777777" w:rsidR="00D32B5D" w:rsidRDefault="00D32B5D"/>
    <w:p w14:paraId="15218D0E" w14:textId="77777777" w:rsidR="00E9158C" w:rsidRPr="00593D4F" w:rsidRDefault="00E9158C">
      <w:r w:rsidRPr="00593D4F">
        <w:t xml:space="preserve">The only effective way to provide protection for all people and animals is to prevent the </w:t>
      </w:r>
    </w:p>
    <w:p w14:paraId="07BC75F5" w14:textId="7A84C1C8" w:rsidR="004800D8" w:rsidRDefault="00E9158C" w:rsidP="004800D8">
      <w:pPr>
        <w:rPr>
          <w:rFonts w:ascii="Calibri" w:hAnsi="Calibri"/>
          <w:color w:val="000000"/>
        </w:rPr>
      </w:pPr>
      <w:r w:rsidRPr="00593D4F">
        <w:lastRenderedPageBreak/>
        <w:t xml:space="preserve">escape of future designer chemicals, wastes, residues, etc, into the environment. Before chemicals, of whatever sort, are released into the environment, we need to be sure that a future </w:t>
      </w:r>
      <w:r w:rsidR="004800D8">
        <w:t>‘</w:t>
      </w:r>
      <w:r w:rsidRPr="00593D4F">
        <w:t>wicked problem</w:t>
      </w:r>
      <w:r w:rsidR="004800D8">
        <w:t>’</w:t>
      </w:r>
      <w:r w:rsidRPr="00593D4F">
        <w:t xml:space="preserve"> is not being created. </w:t>
      </w:r>
      <w:r w:rsidR="004800D8" w:rsidRPr="00593D4F">
        <w:t>A wicked problem may be considered to be</w:t>
      </w:r>
      <w:r w:rsidR="004800D8">
        <w:t xml:space="preserve"> </w:t>
      </w:r>
      <w:r w:rsidR="004800D8" w:rsidRPr="00995E93">
        <w:rPr>
          <w:rFonts w:ascii="Calibri" w:hAnsi="Calibri"/>
          <w:color w:val="000000"/>
        </w:rPr>
        <w:t>a complex problem with no clear right or wrong, good or bad answer and which changes as we engage with it. It needs recognition in the first place as such a class of problem, and then it needs a multi-agency or multi-professional approach, with a willingness to observe continually the problem and adapt the response as appropriate until a satisfactory result is reached or the problem is recognised as beyond our ability to answer. If the latter, the problem may require disaggregation into smaller problems, which can be addressed more effectively</w:t>
      </w:r>
      <w:r w:rsidR="004800D8">
        <w:t xml:space="preserve"> (Mahoney et al., 2015)</w:t>
      </w:r>
      <w:r w:rsidR="004800D8" w:rsidRPr="00995E93">
        <w:t>.</w:t>
      </w:r>
      <w:r w:rsidR="004800D8" w:rsidRPr="00995E93">
        <w:rPr>
          <w:rFonts w:ascii="Calibri" w:hAnsi="Calibri"/>
          <w:color w:val="000000"/>
        </w:rPr>
        <w:t xml:space="preserve">  </w:t>
      </w:r>
    </w:p>
    <w:p w14:paraId="698B53D3" w14:textId="77777777" w:rsidR="004800D8" w:rsidRDefault="004800D8" w:rsidP="00C24295"/>
    <w:p w14:paraId="33A91251" w14:textId="4AC4F575" w:rsidR="00C24295" w:rsidRDefault="00B113AF" w:rsidP="00C24295">
      <w:pPr>
        <w:rPr>
          <w:rFonts w:ascii="Calibri" w:hAnsi="Calibri"/>
          <w:color w:val="000000"/>
        </w:rPr>
      </w:pPr>
      <w:r w:rsidRPr="00593D4F">
        <w:t>For this to happen wider cooperation between the various disciplines, such as already occurs between researchers associated with SEGH</w:t>
      </w:r>
      <w:r w:rsidR="0028153A" w:rsidRPr="00593D4F">
        <w:t xml:space="preserve">, </w:t>
      </w:r>
      <w:r w:rsidRPr="00593D4F">
        <w:t xml:space="preserve">needs to become the norm, in order to foster greater understanding of the risks and opportunities. </w:t>
      </w:r>
      <w:r w:rsidR="0020370C" w:rsidRPr="00593D4F">
        <w:t xml:space="preserve">The risks need to be communicated clearly to policy makers and funders to inform sound decision-making. </w:t>
      </w:r>
    </w:p>
    <w:p w14:paraId="49B50F25" w14:textId="77777777" w:rsidR="00995E93" w:rsidRPr="00995E93" w:rsidRDefault="00995E93" w:rsidP="00C24295">
      <w:pPr>
        <w:rPr>
          <w:rFonts w:ascii="Times New Roman" w:hAnsi="Times New Roman"/>
        </w:rPr>
      </w:pPr>
    </w:p>
    <w:p w14:paraId="20662C10" w14:textId="12A80936" w:rsidR="00B113AF" w:rsidRDefault="00B113AF">
      <w:r>
        <w:t xml:space="preserve">Longitudinal health studies are difficult to </w:t>
      </w:r>
      <w:r w:rsidR="0020370C">
        <w:t>conduct</w:t>
      </w:r>
      <w:r>
        <w:t xml:space="preserve">, but </w:t>
      </w:r>
      <w:r w:rsidR="00484C4F">
        <w:t xml:space="preserve">are an excellent </w:t>
      </w:r>
      <w:r>
        <w:t xml:space="preserve">way to be sure of </w:t>
      </w:r>
      <w:r w:rsidR="00484C4F">
        <w:t xml:space="preserve">identifying adverse </w:t>
      </w:r>
      <w:r w:rsidR="0020370C">
        <w:t>effects which may take many years to emerge. Some</w:t>
      </w:r>
      <w:r w:rsidR="00E51BCA">
        <w:t xml:space="preserve">times they happen accidentally (“natural experiments”, </w:t>
      </w:r>
      <w:r w:rsidR="0020370C">
        <w:t>such as the follow-up of the cohort exposed to radiation as a result of the disaster at Chernobyl</w:t>
      </w:r>
      <w:r w:rsidR="00E51BCA">
        <w:t xml:space="preserve">, </w:t>
      </w:r>
      <w:r w:rsidR="00503C7E">
        <w:t>Hatch</w:t>
      </w:r>
      <w:r w:rsidR="00A21BC3">
        <w:t xml:space="preserve"> &amp; Cardis</w:t>
      </w:r>
      <w:r w:rsidR="00503C7E">
        <w:t>, 2017)</w:t>
      </w:r>
      <w:r w:rsidR="0020370C">
        <w:t xml:space="preserve">. Longitudinal studies are important not only to observe effects on the people exposed to a variety of environmental contaminants, but also on the following generation. A female fetus develops all the eggs </w:t>
      </w:r>
      <w:r w:rsidR="003464AE">
        <w:t xml:space="preserve">whilst </w:t>
      </w:r>
      <w:r w:rsidR="003464AE" w:rsidRPr="00EA534B">
        <w:rPr>
          <w:i/>
        </w:rPr>
        <w:t>in utero</w:t>
      </w:r>
      <w:r w:rsidR="003464AE">
        <w:t xml:space="preserve"> </w:t>
      </w:r>
      <w:r w:rsidR="0020370C">
        <w:t xml:space="preserve">which will subsequently become fertilised </w:t>
      </w:r>
      <w:r w:rsidR="003464AE">
        <w:t>when the female is of reproductive age</w:t>
      </w:r>
      <w:r w:rsidR="0020370C">
        <w:t xml:space="preserve">. Exposure </w:t>
      </w:r>
      <w:r w:rsidR="0020370C" w:rsidRPr="00EA534B">
        <w:rPr>
          <w:i/>
        </w:rPr>
        <w:t>in utero</w:t>
      </w:r>
      <w:r w:rsidR="0020370C">
        <w:t xml:space="preserve"> to environmental pollutants may have an effect some forty or </w:t>
      </w:r>
      <w:r w:rsidR="00721573">
        <w:t>more</w:t>
      </w:r>
      <w:r w:rsidR="0020370C">
        <w:t xml:space="preserve"> years later as the next generation</w:t>
      </w:r>
      <w:r w:rsidR="00D3792F">
        <w:t xml:space="preserve"> (possibly two)</w:t>
      </w:r>
      <w:r w:rsidR="0020370C">
        <w:t xml:space="preserve"> reaches maturity, </w:t>
      </w:r>
      <w:r w:rsidR="003464AE">
        <w:t>exhibiting</w:t>
      </w:r>
      <w:r w:rsidR="0020370C">
        <w:t xml:space="preserve"> complex and poorly understood syndromes</w:t>
      </w:r>
      <w:r w:rsidR="00054108">
        <w:t>, w</w:t>
      </w:r>
      <w:r w:rsidR="003464AE">
        <w:t>hen</w:t>
      </w:r>
      <w:r w:rsidR="00054108">
        <w:t xml:space="preserve"> contemporary </w:t>
      </w:r>
      <w:r w:rsidR="00D3792F">
        <w:t xml:space="preserve">physicians </w:t>
      </w:r>
      <w:r w:rsidR="003464AE">
        <w:t>may</w:t>
      </w:r>
      <w:r w:rsidR="00054108">
        <w:t xml:space="preserve"> not necessarily be aware of historical issues. </w:t>
      </w:r>
      <w:r w:rsidR="00FA3CEC">
        <w:t>There</w:t>
      </w:r>
      <w:r w:rsidR="00255D58">
        <w:t xml:space="preserve"> is </w:t>
      </w:r>
      <w:r w:rsidR="00FA3CEC">
        <w:t>also</w:t>
      </w:r>
      <w:r w:rsidR="003433C8">
        <w:t xml:space="preserve"> (as yet) </w:t>
      </w:r>
      <w:r w:rsidR="00FA3CEC">
        <w:t xml:space="preserve">limited evidence of transfer of epigenetic impacts through four generations of male progeny </w:t>
      </w:r>
      <w:r w:rsidR="000C0661">
        <w:t>(Weinhold 2006)</w:t>
      </w:r>
      <w:r w:rsidR="00484C4F">
        <w:t>.</w:t>
      </w:r>
      <w:r w:rsidR="000C0661">
        <w:t xml:space="preserve"> </w:t>
      </w:r>
      <w:r w:rsidR="00054108">
        <w:t xml:space="preserve"> </w:t>
      </w:r>
      <w:r w:rsidR="00255D58">
        <w:t xml:space="preserve">Clearly prevention is better than cure. </w:t>
      </w:r>
    </w:p>
    <w:p w14:paraId="0E44B552" w14:textId="77777777" w:rsidR="00FA3CEC" w:rsidRDefault="00FA3CEC"/>
    <w:p w14:paraId="43ACAA86" w14:textId="3A1F645F" w:rsidR="002A758F" w:rsidRDefault="002A758F">
      <w:r>
        <w:t xml:space="preserve">In the wider environment top predators bioaccumulate contaminants with catastrophic results. Lactating females pass these contaminants to their offspring in their milk. Orca calves are thought to have died </w:t>
      </w:r>
      <w:r w:rsidR="001B3C9B">
        <w:t>as the burden of PCBs in the maternal milk is too contaminated for them to process (</w:t>
      </w:r>
      <w:r w:rsidR="00AF7D1D">
        <w:t>Desforges et al., 2018</w:t>
      </w:r>
      <w:r w:rsidR="001B3C9B">
        <w:t>)</w:t>
      </w:r>
      <w:r w:rsidR="00484C4F">
        <w:t>.</w:t>
      </w:r>
      <w:r w:rsidR="001B3C9B">
        <w:t xml:space="preserve"> This is a very visible problem as cetaceans wash up on beaches and can be subject to post- mortem. It may be happening elsewhere in </w:t>
      </w:r>
      <w:r w:rsidR="00484C4F">
        <w:t xml:space="preserve">the </w:t>
      </w:r>
      <w:r w:rsidR="001B3C9B">
        <w:t>natur</w:t>
      </w:r>
      <w:r w:rsidR="00484C4F">
        <w:t>al world</w:t>
      </w:r>
      <w:r w:rsidR="001B3C9B">
        <w:t xml:space="preserve"> but </w:t>
      </w:r>
      <w:r w:rsidR="00484C4F">
        <w:t xml:space="preserve">less </w:t>
      </w:r>
      <w:r w:rsidR="001B3C9B">
        <w:t xml:space="preserve">visibly. Domesticated animals are likely to be protected from some of the problems as they are fed regulated food. Wild animals may be exposed to a cocktail of pollutants which have a subclinical effect but which, in the fullness of time, </w:t>
      </w:r>
      <w:r w:rsidR="00437729">
        <w:t xml:space="preserve">can show </w:t>
      </w:r>
      <w:r w:rsidR="001B3C9B">
        <w:t>substantial impact</w:t>
      </w:r>
      <w:r w:rsidR="00576673">
        <w:t>, as they transfer across the generations</w:t>
      </w:r>
      <w:r w:rsidR="001B3C9B">
        <w:t xml:space="preserve">. Longitudinal studies on animal cohorts may help to unravel the aetiology of environmental impacts which perhaps give rise to human health problems. </w:t>
      </w:r>
    </w:p>
    <w:p w14:paraId="1D39367C" w14:textId="7C57A7C8" w:rsidR="0020370C" w:rsidRDefault="0020370C"/>
    <w:p w14:paraId="49CCA954" w14:textId="5770F9AE" w:rsidR="0020370C" w:rsidRPr="00342311" w:rsidRDefault="00250B68" w:rsidP="00342311">
      <w:pPr>
        <w:pStyle w:val="ListParagraph"/>
        <w:numPr>
          <w:ilvl w:val="0"/>
          <w:numId w:val="3"/>
        </w:numPr>
        <w:rPr>
          <w:b/>
          <w:u w:val="single"/>
        </w:rPr>
      </w:pPr>
      <w:r w:rsidRPr="00342311">
        <w:rPr>
          <w:b/>
          <w:u w:val="single"/>
        </w:rPr>
        <w:t xml:space="preserve">Discussion: </w:t>
      </w:r>
      <w:r w:rsidR="0020370C" w:rsidRPr="00342311">
        <w:rPr>
          <w:b/>
          <w:u w:val="single"/>
        </w:rPr>
        <w:t>For the future</w:t>
      </w:r>
      <w:r w:rsidR="002B33A8">
        <w:rPr>
          <w:b/>
          <w:u w:val="single"/>
        </w:rPr>
        <w:t xml:space="preserve"> – synergies and trade-offs</w:t>
      </w:r>
    </w:p>
    <w:p w14:paraId="0DD2081D" w14:textId="0865F5E8" w:rsidR="0020370C" w:rsidRDefault="0020370C"/>
    <w:p w14:paraId="5CC743BD" w14:textId="77777777" w:rsidR="002B33A8" w:rsidRDefault="002B33A8" w:rsidP="002B33A8">
      <w:r>
        <w:t xml:space="preserve">In science there are many synergies and trade-offs. As an example, the fight against global heating is driving a global move away from fossil fuel use. This is significant as currently, at both national and international levels, the human population and the rest of the global biota </w:t>
      </w:r>
      <w:r>
        <w:lastRenderedPageBreak/>
        <w:t>are exposed to poor air quality derived from burning of fossil fuels, whether for heating or transport (WHO, 2013). Particulate matter less than ten microns in diameter (PM</w:t>
      </w:r>
      <w:r w:rsidRPr="00EA534B">
        <w:rPr>
          <w:vertAlign w:val="subscript"/>
        </w:rPr>
        <w:t>10</w:t>
      </w:r>
      <w:r>
        <w:t>) is known to enter the body and cause damage to the circulatory system. Smaller particles of 2.5 microns (PM</w:t>
      </w:r>
      <w:r w:rsidRPr="00EA534B">
        <w:rPr>
          <w:vertAlign w:val="subscript"/>
        </w:rPr>
        <w:t>2.5</w:t>
      </w:r>
      <w:r>
        <w:t>) are able to enter the blood stream and travel around the body: they are associated with miscarriages, early birth, low birthweight, Parkinsons disease, stroke, infertility and diabetes type 2. The smaller particles of only one micron (PM</w:t>
      </w:r>
      <w:r w:rsidRPr="00EA534B">
        <w:rPr>
          <w:vertAlign w:val="subscript"/>
        </w:rPr>
        <w:t>1</w:t>
      </w:r>
      <w:r>
        <w:t xml:space="preserve">) are known to cross the blood brain barrier and have been implicated in Alzheimers and other neurological diseases (Ascher &amp; Costa, 2017; Finch, 2018). A permanent shift away from fossil fuel will drive a reduction in fossil fuel-derived fine particles, though there will still remain anthropogenic particulates from the breakdown of vehicle parts (brakes, tyres, windscreen wipers), dust from mining and construction activities, and other (including natural) contributions to particles and aerosols. All of these will need to be managed at a global level if human and other biotic health is to be protected. </w:t>
      </w:r>
    </w:p>
    <w:p w14:paraId="637E8106" w14:textId="77777777" w:rsidR="002B33A8" w:rsidRDefault="002B33A8" w:rsidP="002B33A8"/>
    <w:p w14:paraId="0728BB72" w14:textId="77777777" w:rsidR="002B33A8" w:rsidRDefault="002B33A8" w:rsidP="002B33A8">
      <w:r>
        <w:t>Similarly, the changed pattern of behaviour at national and global levels due to the Covid-19 pandemic has provided the opportunity to observe changes in air quality resulting from altered (reduced, by and large) patterns of manufacturing and travel. The requirement for wearing of masks to prevent inhalation of viral aerosols may also be providing protection from more general air pollution. However, spending a greater amount of time in our homes, where masks are not being worn, is likely to be exposing us to a different set of contaminants indoors. Indeed, indoor air may pose as many problems as outdoor air. Harrad and colleagues have been studying household dust for several years and found it to be contaminated with fire retardants (Tao et al., 2016). This is emitted from electrical equipment, furnishing, and carpets, to which the fire retardants (linked to endocrine disruption, developmental issues, cancers and other adverse health effects) have been applied. A paradox is embedded here: it may not be possible to see the results of either of these changes as they are masked by the adverse health effects of the virus itself.</w:t>
      </w:r>
    </w:p>
    <w:p w14:paraId="40ABA5FB" w14:textId="77777777" w:rsidR="002B33A8" w:rsidRDefault="002B33A8" w:rsidP="002B33A8"/>
    <w:p w14:paraId="140B7669" w14:textId="28263D2A" w:rsidR="002B33A8" w:rsidRDefault="002B33A8" w:rsidP="002B33A8">
      <w:r>
        <w:t>Not all air pollution is anthropogenic in nature: volcanic eruptions and wildfires also contribute to poor air quality, as do natural dust storms. Humans have no control over these events, though the health impact can be large. A combination of anthropogenic and naturally occurring particulate matter has the potential to cause long lasting health impacts (Citris Policy Lab., 2019), and also impact food and other crops - the load of particulates contributes to a reduction in photosynthesis, with an attendant reduction in biomass. This may become critical in crop production (Prajapati, 2012). Additionally, aerosols, whether naturally occurring (e.g. generated by wind passing over the ocean, particles picked up by mists) or human-induced (e.g. crop spraying, vapour from unburnt aircraft fuel), contribute to ill health by enabling intake of mixed material into the body. A mixture of volatile organic compounds, metals, and carbonaceous material all take their toll on the body, at a cellular level as well as a system level (Pardo et al., 2020). Increasingly, the awareness of the metalliferous content, and chemical reactivity of the aerosols both within the aerosols themselves and then within biological systems, indicates</w:t>
      </w:r>
      <w:r w:rsidDel="00E61CDE">
        <w:t xml:space="preserve"> </w:t>
      </w:r>
      <w:r>
        <w:t>a need for a co-ordinated approach to control of emissions, in addition to a global responsibility for end-of-life action on waste (Despeisse et al., 2015)</w:t>
      </w:r>
      <w:r w:rsidR="000B4F4A">
        <w:t>.</w:t>
      </w:r>
    </w:p>
    <w:p w14:paraId="23CF483C" w14:textId="13FC3182" w:rsidR="00095ED3" w:rsidRDefault="00095ED3" w:rsidP="00095ED3"/>
    <w:p w14:paraId="40BEC944" w14:textId="76524C4E" w:rsidR="0008288D" w:rsidRDefault="0008288D" w:rsidP="00095ED3"/>
    <w:p w14:paraId="4E46328A" w14:textId="77777777" w:rsidR="001B26C8" w:rsidRDefault="001B26C8" w:rsidP="00095ED3"/>
    <w:p w14:paraId="22629FEA" w14:textId="777C5ADB" w:rsidR="0008288D" w:rsidRPr="00A25C52" w:rsidRDefault="0008288D" w:rsidP="00A25C52">
      <w:pPr>
        <w:pStyle w:val="ListParagraph"/>
        <w:numPr>
          <w:ilvl w:val="0"/>
          <w:numId w:val="3"/>
        </w:numPr>
        <w:rPr>
          <w:b/>
          <w:u w:val="single"/>
        </w:rPr>
      </w:pPr>
      <w:r w:rsidRPr="00A25C52">
        <w:rPr>
          <w:b/>
          <w:u w:val="single"/>
        </w:rPr>
        <w:lastRenderedPageBreak/>
        <w:t>Conclu</w:t>
      </w:r>
      <w:r w:rsidR="00342311">
        <w:rPr>
          <w:b/>
          <w:u w:val="single"/>
        </w:rPr>
        <w:t>ding thoughts</w:t>
      </w:r>
    </w:p>
    <w:p w14:paraId="0F2C1A82" w14:textId="5DC87719" w:rsidR="00095ED3" w:rsidRDefault="00095ED3" w:rsidP="00095ED3"/>
    <w:p w14:paraId="5380ED01" w14:textId="2C43311F" w:rsidR="00355969" w:rsidRDefault="00095ED3" w:rsidP="00095ED3">
      <w:r>
        <w:t xml:space="preserve">Consideration of </w:t>
      </w:r>
      <w:r w:rsidR="00977492">
        <w:t xml:space="preserve">the multiple </w:t>
      </w:r>
      <w:r>
        <w:t xml:space="preserve">determinants of health </w:t>
      </w:r>
      <w:r w:rsidR="00977492">
        <w:t>(</w:t>
      </w:r>
      <w:r w:rsidR="00CD12F6">
        <w:t xml:space="preserve">Figure </w:t>
      </w:r>
      <w:r w:rsidR="00177486">
        <w:t>3</w:t>
      </w:r>
      <w:r w:rsidR="00977492">
        <w:t xml:space="preserve">) </w:t>
      </w:r>
      <w:r>
        <w:t xml:space="preserve">in conjunction with some of the issues raised here demonstrates the need for evaluation of </w:t>
      </w:r>
      <w:r w:rsidR="00977492">
        <w:t xml:space="preserve">the effect of </w:t>
      </w:r>
      <w:r>
        <w:t xml:space="preserve">environmental </w:t>
      </w:r>
      <w:r w:rsidR="00C96FE6">
        <w:t>exposure</w:t>
      </w:r>
      <w:r>
        <w:t xml:space="preserve">, </w:t>
      </w:r>
      <w:r w:rsidR="00813B94">
        <w:t>whether</w:t>
      </w:r>
      <w:r>
        <w:t xml:space="preserve"> </w:t>
      </w:r>
      <w:r w:rsidR="008E68E1">
        <w:t xml:space="preserve">to </w:t>
      </w:r>
      <w:r>
        <w:t xml:space="preserve">deliberate or accidental pollutants, on the health of humans </w:t>
      </w:r>
      <w:r w:rsidR="00977492">
        <w:t xml:space="preserve">(a) </w:t>
      </w:r>
      <w:r>
        <w:t xml:space="preserve">from preconception to senescence; </w:t>
      </w:r>
      <w:r w:rsidR="00977492">
        <w:t xml:space="preserve">(b) </w:t>
      </w:r>
      <w:r>
        <w:t xml:space="preserve">in the home, workplace, and </w:t>
      </w:r>
      <w:r w:rsidR="00977492">
        <w:t>wider world</w:t>
      </w:r>
      <w:r>
        <w:t xml:space="preserve">; </w:t>
      </w:r>
      <w:r w:rsidR="00977492">
        <w:t xml:space="preserve">(c) </w:t>
      </w:r>
      <w:r>
        <w:t xml:space="preserve">in the impact on the food and water they consume, and </w:t>
      </w:r>
      <w:r w:rsidR="00977492">
        <w:t xml:space="preserve">(d) in and through </w:t>
      </w:r>
      <w:r>
        <w:t xml:space="preserve">the very air they breathe. </w:t>
      </w:r>
      <w:r w:rsidR="00BF1480">
        <w:t xml:space="preserve">The use of </w:t>
      </w:r>
      <w:r w:rsidR="00C96FE6">
        <w:t xml:space="preserve">the </w:t>
      </w:r>
      <w:r w:rsidR="00BF1480">
        <w:t>source</w:t>
      </w:r>
      <w:r w:rsidR="00977492">
        <w:t>-</w:t>
      </w:r>
      <w:r w:rsidR="00BF1480">
        <w:t>pathway</w:t>
      </w:r>
      <w:r w:rsidR="00977492">
        <w:t>-</w:t>
      </w:r>
      <w:r w:rsidR="00BF1480">
        <w:t xml:space="preserve">receptor </w:t>
      </w:r>
      <w:r w:rsidR="00977492">
        <w:t xml:space="preserve">approach </w:t>
      </w:r>
      <w:r w:rsidR="00BF1480">
        <w:t xml:space="preserve">needs to be considered across time and space as well as </w:t>
      </w:r>
      <w:r w:rsidR="00977492">
        <w:t xml:space="preserve">in </w:t>
      </w:r>
      <w:r w:rsidR="00BF1480">
        <w:t>close proximity and immediacy.</w:t>
      </w:r>
      <w:r w:rsidR="00977492">
        <w:t xml:space="preserve"> </w:t>
      </w:r>
    </w:p>
    <w:p w14:paraId="489A6CEF" w14:textId="77777777" w:rsidR="00355969" w:rsidRDefault="00355969" w:rsidP="00095ED3"/>
    <w:p w14:paraId="35F4CCD3" w14:textId="78402E12" w:rsidR="00BF1480" w:rsidRDefault="00977492" w:rsidP="00095ED3">
      <w:r>
        <w:t xml:space="preserve">Furthermore, two </w:t>
      </w:r>
      <w:r w:rsidR="00355969">
        <w:t>complementary</w:t>
      </w:r>
      <w:r w:rsidR="00355969" w:rsidDel="00355969">
        <w:t xml:space="preserve"> </w:t>
      </w:r>
      <w:r>
        <w:t>concepts</w:t>
      </w:r>
      <w:r w:rsidR="00355969">
        <w:t xml:space="preserve"> need to be kept in mind, (1) </w:t>
      </w:r>
      <w:r w:rsidR="00CD12F6">
        <w:t xml:space="preserve">One Health </w:t>
      </w:r>
      <w:r w:rsidR="002B4E99">
        <w:t>(WHO</w:t>
      </w:r>
      <w:r w:rsidR="003835EC">
        <w:t>,</w:t>
      </w:r>
      <w:r w:rsidR="002B4E99">
        <w:t xml:space="preserve"> 2017)</w:t>
      </w:r>
      <w:r>
        <w:t xml:space="preserve"> </w:t>
      </w:r>
      <w:r w:rsidR="00355969">
        <w:t xml:space="preserve">and (2) </w:t>
      </w:r>
      <w:r w:rsidR="00B56961">
        <w:t xml:space="preserve">an </w:t>
      </w:r>
      <w:r w:rsidR="00355969">
        <w:t xml:space="preserve">all hazards approach. One </w:t>
      </w:r>
      <w:r w:rsidR="00CD12F6">
        <w:t xml:space="preserve">Health </w:t>
      </w:r>
      <w:r w:rsidR="00355969" w:rsidRPr="00355969">
        <w:t>is an approach to designing and implementing programmes, policies, legislation and research in which multiple sectors communicate and work together to achieve better public health outcomes</w:t>
      </w:r>
      <w:r w:rsidR="001B38AF">
        <w:t xml:space="preserve"> (cf. the approach in Figure 2 and related text)</w:t>
      </w:r>
      <w:r w:rsidR="00355969" w:rsidRPr="00355969">
        <w:t>.</w:t>
      </w:r>
      <w:r w:rsidR="00355969">
        <w:t xml:space="preserve"> </w:t>
      </w:r>
      <w:r w:rsidR="00CD12F6">
        <w:t xml:space="preserve">It </w:t>
      </w:r>
      <w:r w:rsidR="00CD12F6" w:rsidRPr="00A25C52">
        <w:rPr>
          <w:rFonts w:eastAsia="Cambria" w:cstheme="minorHAnsi"/>
        </w:rPr>
        <w:t xml:space="preserve">includes the responses to address the challenge of AMR, made more urgent by the recognition of environmental inputs to AMR (Case Study 3). </w:t>
      </w:r>
      <w:r w:rsidR="00CD12F6" w:rsidRPr="00A25C52">
        <w:t>A</w:t>
      </w:r>
      <w:r w:rsidR="00CD12F6">
        <w:t>s such, One Health</w:t>
      </w:r>
      <w:r w:rsidR="00355969">
        <w:t xml:space="preserve"> goes beyond the WHO </w:t>
      </w:r>
      <w:r w:rsidR="001B38AF">
        <w:t xml:space="preserve">(2017) </w:t>
      </w:r>
      <w:r w:rsidR="00355969">
        <w:t>description of infectious diseases since environmental pollution affects more than just humans. The all hazards approach</w:t>
      </w:r>
      <w:r w:rsidR="001F311F">
        <w:t xml:space="preserve"> (Norris, 2020)</w:t>
      </w:r>
      <w:r w:rsidR="00355969">
        <w:t xml:space="preserve"> is still developing, but </w:t>
      </w:r>
      <w:r w:rsidR="00065FA9">
        <w:t xml:space="preserve">aims to replace the long-standing reductionist focus on individual hazards with a broad view across disciplines, factors and issues to the commonalities in understanding and response. </w:t>
      </w:r>
    </w:p>
    <w:p w14:paraId="28CEF00A" w14:textId="0BA4B9CE" w:rsidR="007A3B73" w:rsidRDefault="007A3B73" w:rsidP="00095ED3"/>
    <w:p w14:paraId="15C789C1" w14:textId="1E679472" w:rsidR="007A3B73" w:rsidRDefault="007A3B73" w:rsidP="007A3B73">
      <w:r>
        <w:t>In this article we have described the effects on the global environment which may be attributable to pollution. There is a financial cost associated with these negative effects. The UK government through Public Health England have estimated the costs to the hea</w:t>
      </w:r>
      <w:r w:rsidR="002027B8">
        <w:t>lth service of poor air quality</w:t>
      </w:r>
      <w:r>
        <w:t xml:space="preserve"> (Public Health England</w:t>
      </w:r>
      <w:r w:rsidR="001B38AF">
        <w:t>,</w:t>
      </w:r>
      <w:r>
        <w:t xml:space="preserve"> 20</w:t>
      </w:r>
      <w:r w:rsidR="00A75DA1">
        <w:t>18b</w:t>
      </w:r>
      <w:r>
        <w:t xml:space="preserve">). For 2017 it was estimated to be </w:t>
      </w:r>
      <w:r w:rsidR="00E51BCA">
        <w:t>£42.9</w:t>
      </w:r>
      <w:r>
        <w:t xml:space="preserve"> </w:t>
      </w:r>
      <w:r w:rsidR="001B38AF">
        <w:t>m</w:t>
      </w:r>
      <w:r>
        <w:t xml:space="preserve">illion, and </w:t>
      </w:r>
      <w:r w:rsidR="00E51BCA">
        <w:t>considered to be reaching £5.3 b</w:t>
      </w:r>
      <w:r>
        <w:t>illion by 2035, unless action is taken. That is one country, one pollutant</w:t>
      </w:r>
      <w:r w:rsidR="00364409">
        <w:t xml:space="preserve"> group</w:t>
      </w:r>
      <w:r>
        <w:t>. At a global level Cohen (2017</w:t>
      </w:r>
      <w:r w:rsidR="00FE759F">
        <w:t>)</w:t>
      </w:r>
      <w:r w:rsidR="002027B8">
        <w:t>,</w:t>
      </w:r>
      <w:r w:rsidR="00FE759F">
        <w:t xml:space="preserve"> arguing cogently for </w:t>
      </w:r>
      <w:r w:rsidR="00C82C9F">
        <w:t xml:space="preserve">investment in </w:t>
      </w:r>
      <w:r w:rsidR="00FE759F">
        <w:t>sustainability management</w:t>
      </w:r>
      <w:r w:rsidR="006F37E4">
        <w:t xml:space="preserve"> to reduce the costs of pollution</w:t>
      </w:r>
      <w:r w:rsidR="00FE759F">
        <w:t>,</w:t>
      </w:r>
      <w:r>
        <w:t xml:space="preserve"> </w:t>
      </w:r>
      <w:r w:rsidR="00FE759F">
        <w:t xml:space="preserve">quoted The Lancet Commission on pollution and health </w:t>
      </w:r>
      <w:r w:rsidR="00FE759F">
        <w:rPr>
          <w:rFonts w:eastAsia="Times New Roman" w:cstheme="minorHAnsi"/>
          <w:lang w:eastAsia="en-GB"/>
        </w:rPr>
        <w:t>(Landrigan et al., 2017)</w:t>
      </w:r>
      <w:r>
        <w:t>:</w:t>
      </w:r>
    </w:p>
    <w:p w14:paraId="5CAB98EB" w14:textId="77777777" w:rsidR="00C82C9F" w:rsidRDefault="00C82C9F" w:rsidP="007A3B73"/>
    <w:p w14:paraId="679FC0D0" w14:textId="47630B3A" w:rsidR="00FE759F" w:rsidRPr="00A25C52" w:rsidRDefault="007A3B73" w:rsidP="007A3B73">
      <w:pPr>
        <w:rPr>
          <w:rFonts w:eastAsia="Times New Roman" w:cstheme="minorHAnsi"/>
          <w:lang w:eastAsia="en-GB"/>
        </w:rPr>
      </w:pPr>
      <w:r w:rsidRPr="00A25C52">
        <w:rPr>
          <w:rFonts w:eastAsia="Times New Roman" w:cstheme="minorHAnsi"/>
          <w:i/>
          <w:iCs/>
          <w:lang w:eastAsia="en-GB"/>
        </w:rPr>
        <w:t>“In 2015, diseases caused by air, water and soil pollution were responsible for 9 million premature deaths, that is 16% of all global death. Exposures to contaminated air, water and soil kill more people than smoking, hunger, natural disasters, war, AIDS, or malaria.”</w:t>
      </w:r>
      <w:r w:rsidR="00FE759F">
        <w:rPr>
          <w:rFonts w:eastAsia="Times New Roman" w:cstheme="minorHAnsi"/>
          <w:lang w:eastAsia="en-GB"/>
        </w:rPr>
        <w:t xml:space="preserve"> </w:t>
      </w:r>
    </w:p>
    <w:p w14:paraId="6BCFF789" w14:textId="77777777" w:rsidR="00C82C9F" w:rsidRDefault="00C82C9F" w:rsidP="007A3B73">
      <w:pPr>
        <w:rPr>
          <w:rFonts w:eastAsia="Times New Roman" w:cstheme="minorHAnsi"/>
          <w:lang w:eastAsia="en-GB"/>
        </w:rPr>
      </w:pPr>
    </w:p>
    <w:p w14:paraId="48583EC4" w14:textId="7B12E6CE" w:rsidR="007A3B73" w:rsidRPr="00A25C52" w:rsidRDefault="007A3B73" w:rsidP="007A3B73">
      <w:pPr>
        <w:rPr>
          <w:rFonts w:eastAsia="Times New Roman" w:cstheme="minorHAnsi"/>
          <w:lang w:eastAsia="en-GB"/>
        </w:rPr>
      </w:pPr>
      <w:r w:rsidRPr="00A25C52">
        <w:rPr>
          <w:rFonts w:eastAsia="Times New Roman" w:cstheme="minorHAnsi"/>
          <w:lang w:eastAsia="en-GB"/>
        </w:rPr>
        <w:t>This eclipses the number of deaths caused by the Covid pandemic</w:t>
      </w:r>
      <w:r w:rsidR="00364409">
        <w:rPr>
          <w:rFonts w:eastAsia="Times New Roman" w:cstheme="minorHAnsi"/>
          <w:lang w:eastAsia="en-GB"/>
        </w:rPr>
        <w:t xml:space="preserve"> to date</w:t>
      </w:r>
      <w:r w:rsidRPr="00A25C52">
        <w:rPr>
          <w:rFonts w:eastAsia="Times New Roman" w:cstheme="minorHAnsi"/>
          <w:lang w:eastAsia="en-GB"/>
        </w:rPr>
        <w:t xml:space="preserve">. </w:t>
      </w:r>
      <w:r w:rsidR="00364409">
        <w:rPr>
          <w:rFonts w:eastAsia="Times New Roman" w:cstheme="minorHAnsi"/>
          <w:lang w:eastAsia="en-GB"/>
        </w:rPr>
        <w:t>T</w:t>
      </w:r>
      <w:r w:rsidRPr="00A25C52">
        <w:rPr>
          <w:rFonts w:eastAsia="Times New Roman" w:cstheme="minorHAnsi"/>
          <w:lang w:eastAsia="en-GB"/>
        </w:rPr>
        <w:t xml:space="preserve">he Environmental Protection Agency (EPA) of America (EPA 2011) </w:t>
      </w:r>
      <w:r w:rsidR="00FE759F">
        <w:rPr>
          <w:rFonts w:eastAsia="Times New Roman" w:cstheme="minorHAnsi"/>
          <w:lang w:eastAsia="en-GB"/>
        </w:rPr>
        <w:t>has</w:t>
      </w:r>
      <w:r w:rsidRPr="00A25C52">
        <w:rPr>
          <w:rFonts w:eastAsia="Times New Roman" w:cstheme="minorHAnsi"/>
          <w:lang w:eastAsia="en-GB"/>
        </w:rPr>
        <w:t xml:space="preserve"> indicated that return on investment to prevent pollution is at a rate of thirty to one. </w:t>
      </w:r>
      <w:r w:rsidR="00FE759F">
        <w:rPr>
          <w:rFonts w:eastAsia="Times New Roman" w:cstheme="minorHAnsi"/>
          <w:lang w:eastAsia="en-GB"/>
        </w:rPr>
        <w:t xml:space="preserve">Similarly, WHO </w:t>
      </w:r>
      <w:r w:rsidR="00C82C9F">
        <w:rPr>
          <w:rFonts w:eastAsia="Times New Roman" w:cstheme="minorHAnsi"/>
          <w:lang w:eastAsia="en-GB"/>
        </w:rPr>
        <w:t xml:space="preserve">(2010) </w:t>
      </w:r>
      <w:r w:rsidR="00FE759F">
        <w:rPr>
          <w:rFonts w:eastAsia="Times New Roman" w:cstheme="minorHAnsi"/>
          <w:lang w:eastAsia="en-GB"/>
        </w:rPr>
        <w:t xml:space="preserve">notes that </w:t>
      </w:r>
      <w:r w:rsidR="00C82C9F">
        <w:rPr>
          <w:rFonts w:eastAsia="Times New Roman" w:cstheme="minorHAnsi"/>
          <w:lang w:eastAsia="en-GB"/>
        </w:rPr>
        <w:t xml:space="preserve">the cost-benefit from reducing lead hazards in the USA outweighs that of investment in vaccines, </w:t>
      </w:r>
      <w:r w:rsidR="00C82C9F" w:rsidRPr="00C82C9F">
        <w:rPr>
          <w:rFonts w:eastAsia="Times New Roman" w:cstheme="minorHAnsi"/>
          <w:lang w:eastAsia="en-GB"/>
        </w:rPr>
        <w:t>which have long been described as the single most cost-beneficial health</w:t>
      </w:r>
      <w:r w:rsidR="00C82C9F">
        <w:rPr>
          <w:rFonts w:eastAsia="Times New Roman" w:cstheme="minorHAnsi"/>
          <w:lang w:eastAsia="en-GB"/>
        </w:rPr>
        <w:t xml:space="preserve"> intervention, by a factor between 17 and 220. </w:t>
      </w:r>
      <w:r w:rsidRPr="00A25C52">
        <w:rPr>
          <w:rFonts w:eastAsia="Times New Roman" w:cstheme="minorHAnsi"/>
          <w:lang w:eastAsia="en-GB"/>
        </w:rPr>
        <w:t>The question needs to be posed that</w:t>
      </w:r>
      <w:r w:rsidR="00E61CDE">
        <w:rPr>
          <w:rFonts w:eastAsia="Times New Roman" w:cstheme="minorHAnsi"/>
          <w:lang w:eastAsia="en-GB"/>
        </w:rPr>
        <w:t>,</w:t>
      </w:r>
      <w:r w:rsidRPr="00A25C52">
        <w:rPr>
          <w:rFonts w:eastAsia="Times New Roman" w:cstheme="minorHAnsi"/>
          <w:lang w:eastAsia="en-GB"/>
        </w:rPr>
        <w:t xml:space="preserve"> with such rate</w:t>
      </w:r>
      <w:r w:rsidR="00C82C9F">
        <w:rPr>
          <w:rFonts w:eastAsia="Times New Roman" w:cstheme="minorHAnsi"/>
          <w:lang w:eastAsia="en-GB"/>
        </w:rPr>
        <w:t>s</w:t>
      </w:r>
      <w:r w:rsidRPr="00A25C52">
        <w:rPr>
          <w:rFonts w:eastAsia="Times New Roman" w:cstheme="minorHAnsi"/>
          <w:lang w:eastAsia="en-GB"/>
        </w:rPr>
        <w:t xml:space="preserve"> of return</w:t>
      </w:r>
      <w:r w:rsidR="00C82C9F">
        <w:rPr>
          <w:rFonts w:eastAsia="Times New Roman" w:cstheme="minorHAnsi"/>
          <w:lang w:eastAsia="en-GB"/>
        </w:rPr>
        <w:t>,</w:t>
      </w:r>
      <w:r w:rsidRPr="00A25C52">
        <w:rPr>
          <w:rFonts w:eastAsia="Times New Roman" w:cstheme="minorHAnsi"/>
          <w:lang w:eastAsia="en-GB"/>
        </w:rPr>
        <w:t xml:space="preserve"> why isn’t everyone investing? If that </w:t>
      </w:r>
      <w:r w:rsidR="006F37E4">
        <w:rPr>
          <w:rFonts w:eastAsia="Times New Roman" w:cstheme="minorHAnsi"/>
          <w:lang w:eastAsia="en-GB"/>
        </w:rPr>
        <w:t xml:space="preserve">return </w:t>
      </w:r>
      <w:r w:rsidRPr="00A25C52">
        <w:rPr>
          <w:rFonts w:eastAsia="Times New Roman" w:cstheme="minorHAnsi"/>
          <w:lang w:eastAsia="en-GB"/>
        </w:rPr>
        <w:t xml:space="preserve">was to appear in the portfolio of an investment company investors would be clamouring for a share. </w:t>
      </w:r>
    </w:p>
    <w:p w14:paraId="541D3E4F" w14:textId="77777777" w:rsidR="00BF1480" w:rsidRDefault="00BF1480" w:rsidP="00095ED3"/>
    <w:p w14:paraId="3F5BA11A" w14:textId="1143DDC9" w:rsidR="00E61CDE" w:rsidRDefault="00095ED3" w:rsidP="00095ED3">
      <w:r>
        <w:t xml:space="preserve">There are </w:t>
      </w:r>
      <w:r w:rsidR="0008288D">
        <w:t xml:space="preserve">protocols in place which have global agreement through the United Nations </w:t>
      </w:r>
      <w:r w:rsidR="00BF1480">
        <w:t xml:space="preserve">and supported by WHO </w:t>
      </w:r>
      <w:r w:rsidR="0008288D">
        <w:t>which are intended to prevent trade of harmful substances. The Sustainable Development Goals (SDGs)</w:t>
      </w:r>
      <w:r w:rsidR="001F311F">
        <w:t xml:space="preserve"> (United Nations</w:t>
      </w:r>
      <w:r w:rsidR="00F214F4">
        <w:t xml:space="preserve">, </w:t>
      </w:r>
      <w:r w:rsidR="001E3958">
        <w:t>not dated</w:t>
      </w:r>
      <w:r w:rsidR="001F311F">
        <w:t xml:space="preserve">) </w:t>
      </w:r>
      <w:r w:rsidR="0008288D">
        <w:t xml:space="preserve">are intended to enable </w:t>
      </w:r>
      <w:r w:rsidR="0008288D">
        <w:lastRenderedPageBreak/>
        <w:t>nations to trade in way</w:t>
      </w:r>
      <w:r w:rsidR="00B56961">
        <w:t>s</w:t>
      </w:r>
      <w:r w:rsidR="0008288D">
        <w:t xml:space="preserve"> which do not negatively impact the environment and require good governance at a business, government and personal level. </w:t>
      </w:r>
      <w:r w:rsidR="00A22F84">
        <w:t xml:space="preserve">For </w:t>
      </w:r>
      <w:r w:rsidR="000801C3">
        <w:t xml:space="preserve">both </w:t>
      </w:r>
      <w:r w:rsidR="002027B8">
        <w:t>“</w:t>
      </w:r>
      <w:r w:rsidR="00A22F84">
        <w:t>old</w:t>
      </w:r>
      <w:r w:rsidR="002027B8">
        <w:t>”</w:t>
      </w:r>
      <w:r w:rsidR="00A22F84">
        <w:t xml:space="preserve"> and </w:t>
      </w:r>
      <w:r w:rsidR="002027B8">
        <w:t>“</w:t>
      </w:r>
      <w:r w:rsidR="00A22F84">
        <w:t>new</w:t>
      </w:r>
      <w:r w:rsidR="002027B8">
        <w:t>”</w:t>
      </w:r>
      <w:r w:rsidR="00A22F84">
        <w:t xml:space="preserve"> contaminants, the global sustainability agenda and post-Covid recovery offers opportunities and challenges for managing the health risks of air, soil, sediment and water pollution, and reducing global inequalities in</w:t>
      </w:r>
      <w:r w:rsidR="000801C3">
        <w:t xml:space="preserve"> exposure</w:t>
      </w:r>
      <w:r w:rsidR="0008288D">
        <w:t xml:space="preserve">. </w:t>
      </w:r>
    </w:p>
    <w:p w14:paraId="28A45C37" w14:textId="77777777" w:rsidR="00E61CDE" w:rsidRDefault="00E61CDE" w:rsidP="00095ED3"/>
    <w:p w14:paraId="6E8DCFF3" w14:textId="47B8164A" w:rsidR="00095ED3" w:rsidRDefault="00F369D2" w:rsidP="00095ED3">
      <w:r>
        <w:t>Geoc</w:t>
      </w:r>
      <w:r w:rsidR="0008288D">
        <w:t xml:space="preserve">hemists </w:t>
      </w:r>
      <w:r>
        <w:t xml:space="preserve">and health professionals in the Society for Environmental Geochemistry and Health, and beyond, </w:t>
      </w:r>
      <w:r w:rsidR="0008288D">
        <w:t xml:space="preserve">need to keep warning of consequences of </w:t>
      </w:r>
      <w:r w:rsidR="00A22F84">
        <w:t>unregulated</w:t>
      </w:r>
      <w:r w:rsidR="0008288D">
        <w:t xml:space="preserve"> chemicals. Biologists </w:t>
      </w:r>
      <w:r>
        <w:t xml:space="preserve">and health professionals </w:t>
      </w:r>
      <w:r w:rsidR="0008288D">
        <w:t xml:space="preserve">need to keep warning of the implications of </w:t>
      </w:r>
      <w:r w:rsidR="00813B94">
        <w:t xml:space="preserve">the </w:t>
      </w:r>
      <w:r w:rsidR="0008288D">
        <w:t xml:space="preserve">use of untested materials. </w:t>
      </w:r>
      <w:r w:rsidR="00435151">
        <w:t>More d</w:t>
      </w:r>
      <w:r w:rsidR="00FA6BA8">
        <w:t>ata, including robust</w:t>
      </w:r>
      <w:r w:rsidR="00435151">
        <w:t>,</w:t>
      </w:r>
      <w:r w:rsidR="00FA6BA8">
        <w:t xml:space="preserve"> comparable</w:t>
      </w:r>
      <w:r w:rsidR="00435151">
        <w:t>,</w:t>
      </w:r>
      <w:r w:rsidR="00FA6BA8">
        <w:t xml:space="preserve"> measurements </w:t>
      </w:r>
      <w:r w:rsidR="00435151">
        <w:t xml:space="preserve">of environmental </w:t>
      </w:r>
      <w:r w:rsidR="002333DE">
        <w:t xml:space="preserve">and other </w:t>
      </w:r>
      <w:r w:rsidR="00435151">
        <w:t>media (</w:t>
      </w:r>
      <w:r w:rsidR="00FA6BA8">
        <w:t>at often very low concentrations</w:t>
      </w:r>
      <w:r w:rsidR="00435151">
        <w:t>)</w:t>
      </w:r>
      <w:r w:rsidR="00FA6BA8">
        <w:t xml:space="preserve"> are needed</w:t>
      </w:r>
      <w:r w:rsidR="00435151">
        <w:t xml:space="preserve"> to drive more effective policy, </w:t>
      </w:r>
      <w:r w:rsidR="00FA6BA8">
        <w:t xml:space="preserve">regulation </w:t>
      </w:r>
      <w:r w:rsidR="00435151">
        <w:t>and risk management</w:t>
      </w:r>
      <w:r w:rsidR="000E57C1">
        <w:t>, while also recognising that</w:t>
      </w:r>
      <w:r w:rsidR="00435151">
        <w:t xml:space="preserve"> </w:t>
      </w:r>
      <w:r w:rsidR="000E57C1">
        <w:t xml:space="preserve">data </w:t>
      </w:r>
      <w:r w:rsidR="000E57C1" w:rsidRPr="000E57C1">
        <w:t xml:space="preserve">interpretation may change with time, and </w:t>
      </w:r>
      <w:r w:rsidR="002A57F0">
        <w:t xml:space="preserve">a </w:t>
      </w:r>
      <w:r w:rsidR="000E57C1" w:rsidRPr="000E57C1">
        <w:t>strong narrative today may be challenged in the light of new information in the future</w:t>
      </w:r>
      <w:r w:rsidR="000E57C1">
        <w:t xml:space="preserve">. </w:t>
      </w:r>
      <w:r w:rsidR="00CC1066">
        <w:t>Key needs here are to provide</w:t>
      </w:r>
      <w:r w:rsidR="00C96FE6">
        <w:t xml:space="preserve"> </w:t>
      </w:r>
      <w:r w:rsidR="00FA6BA8" w:rsidRPr="00FA6BA8">
        <w:t>accessible technology</w:t>
      </w:r>
      <w:r w:rsidR="000E57C1">
        <w:t xml:space="preserve">, </w:t>
      </w:r>
      <w:r w:rsidR="00C96FE6">
        <w:t>methods</w:t>
      </w:r>
      <w:r w:rsidR="00FA6BA8" w:rsidRPr="00FA6BA8">
        <w:t xml:space="preserve"> </w:t>
      </w:r>
      <w:r w:rsidR="000E57C1">
        <w:t xml:space="preserve">and data </w:t>
      </w:r>
      <w:r w:rsidR="00FA6BA8" w:rsidRPr="00FA6BA8">
        <w:t>to monitor effectivel</w:t>
      </w:r>
      <w:r w:rsidR="00C96FE6">
        <w:t xml:space="preserve">y across </w:t>
      </w:r>
      <w:r w:rsidR="000E57C1">
        <w:t>low and middle income, as well as higher income, countries, and to link data across disciplines</w:t>
      </w:r>
      <w:r w:rsidR="00C96FE6">
        <w:t xml:space="preserve">. </w:t>
      </w:r>
      <w:r w:rsidR="0008288D">
        <w:t>All of us n</w:t>
      </w:r>
      <w:r w:rsidR="00BF1480">
        <w:t xml:space="preserve">eed to </w:t>
      </w:r>
      <w:r w:rsidR="000801C3">
        <w:t>collaborate across our disciplines to inform policy, regulation and practice, and support evidence-based, holistic and integrated risk and response approaches</w:t>
      </w:r>
      <w:r w:rsidR="00AD5766">
        <w:t xml:space="preserve"> which will benefit the whole planet as well as ourselves</w:t>
      </w:r>
      <w:r w:rsidR="00BF1480">
        <w:t xml:space="preserve">. </w:t>
      </w:r>
    </w:p>
    <w:p w14:paraId="0C77C7F1" w14:textId="31782E66" w:rsidR="00A43B4C" w:rsidRDefault="00A43B4C" w:rsidP="00095ED3"/>
    <w:p w14:paraId="0552A5B9" w14:textId="77777777" w:rsidR="00F801A7" w:rsidRDefault="00F801A7"/>
    <w:p w14:paraId="2775F8F3" w14:textId="77777777" w:rsidR="00F801A7" w:rsidRDefault="00F801A7">
      <w:pPr>
        <w:rPr>
          <w:b/>
        </w:rPr>
      </w:pPr>
      <w:r>
        <w:rPr>
          <w:b/>
        </w:rPr>
        <w:br w:type="page"/>
      </w:r>
    </w:p>
    <w:p w14:paraId="39A4DDFB" w14:textId="54B68CED" w:rsidR="00F801A7" w:rsidRDefault="005D064A" w:rsidP="00F801A7">
      <w:pPr>
        <w:rPr>
          <w:b/>
        </w:rPr>
      </w:pPr>
      <w:r>
        <w:rPr>
          <w:b/>
        </w:rPr>
        <w:lastRenderedPageBreak/>
        <w:t xml:space="preserve">Disclosures and </w:t>
      </w:r>
      <w:r w:rsidR="00F801A7" w:rsidRPr="00627239">
        <w:rPr>
          <w:b/>
        </w:rPr>
        <w:t>Declarations</w:t>
      </w:r>
      <w:r w:rsidR="00F801A7">
        <w:rPr>
          <w:b/>
        </w:rPr>
        <w:t>.</w:t>
      </w:r>
    </w:p>
    <w:p w14:paraId="79A434AD" w14:textId="77777777" w:rsidR="00F801A7" w:rsidRPr="00627239" w:rsidRDefault="00F801A7" w:rsidP="00F801A7">
      <w:pPr>
        <w:rPr>
          <w:b/>
        </w:rPr>
      </w:pPr>
    </w:p>
    <w:p w14:paraId="04E4C605" w14:textId="32ECF382" w:rsidR="00F801A7" w:rsidRPr="00F801A7" w:rsidRDefault="00F801A7" w:rsidP="00F801A7">
      <w:pPr>
        <w:pStyle w:val="NormalWeb"/>
        <w:shd w:val="clear" w:color="auto" w:fill="FCFCFC"/>
        <w:spacing w:before="0" w:beforeAutospacing="0" w:after="360" w:afterAutospacing="0"/>
        <w:rPr>
          <w:rFonts w:asciiTheme="minorHAnsi" w:hAnsiTheme="minorHAnsi" w:cs="Segoe UI"/>
        </w:rPr>
      </w:pPr>
      <w:r w:rsidRPr="00F801A7">
        <w:rPr>
          <w:rStyle w:val="Strong"/>
          <w:rFonts w:asciiTheme="minorHAnsi" w:hAnsiTheme="minorHAnsi" w:cs="Segoe UI"/>
        </w:rPr>
        <w:t>Funding</w:t>
      </w:r>
      <w:r w:rsidRPr="00F801A7">
        <w:rPr>
          <w:rFonts w:asciiTheme="minorHAnsi" w:hAnsiTheme="minorHAnsi" w:cs="Segoe UI"/>
        </w:rPr>
        <w:t>: Preparation of this manuscript was undertaken using the authors’ own resources, or as part of their standard employment.</w:t>
      </w:r>
    </w:p>
    <w:p w14:paraId="4D6B34E3" w14:textId="77777777" w:rsidR="005D064A" w:rsidRPr="00F801A7" w:rsidRDefault="005D064A" w:rsidP="005D064A">
      <w:pPr>
        <w:pStyle w:val="NormalWeb"/>
        <w:shd w:val="clear" w:color="auto" w:fill="FCFCFC"/>
        <w:spacing w:after="360"/>
        <w:rPr>
          <w:rFonts w:asciiTheme="minorHAnsi" w:hAnsiTheme="minorHAnsi" w:cs="Segoe UI"/>
        </w:rPr>
      </w:pPr>
      <w:r w:rsidRPr="00F801A7">
        <w:rPr>
          <w:rStyle w:val="Strong"/>
          <w:rFonts w:asciiTheme="minorHAnsi" w:hAnsiTheme="minorHAnsi" w:cs="Segoe UI"/>
        </w:rPr>
        <w:t>Conflicts of interest/Competing interests</w:t>
      </w:r>
      <w:r w:rsidRPr="00F801A7">
        <w:rPr>
          <w:rFonts w:asciiTheme="minorHAnsi" w:hAnsiTheme="minorHAnsi" w:cs="Segoe UI"/>
        </w:rPr>
        <w:t>: GG runs the consulting and training company Gibson Consulting and Training.  The remaining authors declare that the research was conducted in the absence of any commercial or financial relationships that could be construed as a potential conflict of interest.</w:t>
      </w:r>
      <w:r w:rsidRPr="00256AB6">
        <w:rPr>
          <w:rStyle w:val="Strong"/>
          <w:rFonts w:asciiTheme="minorHAnsi" w:hAnsiTheme="minorHAnsi" w:cs="Segoe UI"/>
          <w:b w:val="0"/>
        </w:rPr>
        <w:t xml:space="preserve"> </w:t>
      </w:r>
      <w:r w:rsidRPr="00F801A7">
        <w:rPr>
          <w:rStyle w:val="Strong"/>
          <w:rFonts w:asciiTheme="minorHAnsi" w:hAnsiTheme="minorHAnsi" w:cs="Segoe UI"/>
          <w:b w:val="0"/>
        </w:rPr>
        <w:t>The views presented in this publication are those of the authors, and do not necessarily reflect those of their employers.</w:t>
      </w:r>
    </w:p>
    <w:p w14:paraId="7FB27F2F" w14:textId="4EC8F8AC" w:rsidR="005D064A" w:rsidRDefault="005D064A" w:rsidP="00F801A7">
      <w:pPr>
        <w:pStyle w:val="NormalWeb"/>
        <w:shd w:val="clear" w:color="auto" w:fill="FCFCFC"/>
        <w:spacing w:after="360"/>
        <w:rPr>
          <w:rStyle w:val="Strong"/>
          <w:rFonts w:asciiTheme="minorHAnsi" w:hAnsiTheme="minorHAnsi" w:cs="Segoe UI"/>
        </w:rPr>
      </w:pPr>
      <w:r w:rsidRPr="00F801A7">
        <w:rPr>
          <w:rStyle w:val="Strong"/>
          <w:rFonts w:asciiTheme="minorHAnsi" w:hAnsiTheme="minorHAnsi" w:cs="Segoe UI"/>
        </w:rPr>
        <w:t>Availability of data and material</w:t>
      </w:r>
      <w:r w:rsidRPr="00F801A7">
        <w:rPr>
          <w:rFonts w:asciiTheme="minorHAnsi" w:hAnsiTheme="minorHAnsi" w:cs="Segoe UI"/>
        </w:rPr>
        <w:t>: All data and material are presented within the publication, or are cited from referenced literature</w:t>
      </w:r>
      <w:r>
        <w:rPr>
          <w:rFonts w:asciiTheme="minorHAnsi" w:hAnsiTheme="minorHAnsi" w:cs="Segoe UI"/>
        </w:rPr>
        <w:t>.</w:t>
      </w:r>
      <w:r w:rsidRPr="00587EDB">
        <w:rPr>
          <w:rStyle w:val="Strong"/>
          <w:rFonts w:asciiTheme="minorHAnsi" w:hAnsiTheme="minorHAnsi" w:cs="Segoe UI"/>
        </w:rPr>
        <w:t xml:space="preserve"> </w:t>
      </w:r>
    </w:p>
    <w:p w14:paraId="6F9284E9" w14:textId="5BBF2767" w:rsidR="005D064A" w:rsidRPr="00F801A7" w:rsidRDefault="005D064A" w:rsidP="005D064A">
      <w:pPr>
        <w:pStyle w:val="NormalWeb"/>
        <w:shd w:val="clear" w:color="auto" w:fill="FCFCFC"/>
        <w:spacing w:before="0" w:beforeAutospacing="0" w:after="360" w:afterAutospacing="0"/>
        <w:rPr>
          <w:rFonts w:asciiTheme="minorHAnsi" w:hAnsiTheme="minorHAnsi" w:cs="Segoe UI"/>
        </w:rPr>
      </w:pPr>
      <w:r w:rsidRPr="00F801A7">
        <w:rPr>
          <w:rStyle w:val="Strong"/>
          <w:rFonts w:asciiTheme="minorHAnsi" w:hAnsiTheme="minorHAnsi" w:cs="Segoe UI"/>
        </w:rPr>
        <w:t>Code availability</w:t>
      </w:r>
      <w:r>
        <w:rPr>
          <w:rFonts w:asciiTheme="minorHAnsi" w:hAnsiTheme="minorHAnsi" w:cs="Segoe UI"/>
        </w:rPr>
        <w:t>: Not applicable.</w:t>
      </w:r>
    </w:p>
    <w:p w14:paraId="0F6ADD9A" w14:textId="401420DA" w:rsidR="00587EDB" w:rsidRDefault="00A94BC9" w:rsidP="00F801A7">
      <w:pPr>
        <w:pStyle w:val="NormalWeb"/>
        <w:shd w:val="clear" w:color="auto" w:fill="FCFCFC"/>
        <w:spacing w:after="360"/>
        <w:rPr>
          <w:rStyle w:val="Strong"/>
          <w:rFonts w:asciiTheme="minorHAnsi" w:hAnsiTheme="minorHAnsi" w:cs="Segoe UI"/>
          <w:b w:val="0"/>
        </w:rPr>
      </w:pPr>
      <w:r>
        <w:rPr>
          <w:rStyle w:val="Strong"/>
          <w:rFonts w:asciiTheme="minorHAnsi" w:hAnsiTheme="minorHAnsi" w:cs="Segoe UI"/>
        </w:rPr>
        <w:t>Ethics Approval</w:t>
      </w:r>
      <w:r w:rsidR="00587EDB">
        <w:rPr>
          <w:rStyle w:val="Strong"/>
          <w:rFonts w:asciiTheme="minorHAnsi" w:hAnsiTheme="minorHAnsi" w:cs="Segoe UI"/>
        </w:rPr>
        <w:t xml:space="preserve">: </w:t>
      </w:r>
      <w:r w:rsidR="005D064A">
        <w:rPr>
          <w:rStyle w:val="Strong"/>
          <w:rFonts w:asciiTheme="minorHAnsi" w:hAnsiTheme="minorHAnsi" w:cs="Segoe UI"/>
          <w:b w:val="0"/>
        </w:rPr>
        <w:t>Not applicable.</w:t>
      </w:r>
    </w:p>
    <w:p w14:paraId="171DB48F" w14:textId="10423530" w:rsidR="00A94BC9" w:rsidRPr="00587EDB" w:rsidRDefault="00A94BC9" w:rsidP="00F801A7">
      <w:pPr>
        <w:pStyle w:val="NormalWeb"/>
        <w:shd w:val="clear" w:color="auto" w:fill="FCFCFC"/>
        <w:spacing w:after="360"/>
        <w:rPr>
          <w:rStyle w:val="Strong"/>
          <w:rFonts w:asciiTheme="minorHAnsi" w:hAnsiTheme="minorHAnsi" w:cs="Segoe UI"/>
          <w:b w:val="0"/>
        </w:rPr>
      </w:pPr>
      <w:r w:rsidRPr="00A94BC9">
        <w:rPr>
          <w:rStyle w:val="Strong"/>
          <w:rFonts w:asciiTheme="minorHAnsi" w:hAnsiTheme="minorHAnsi" w:cs="Segoe UI"/>
        </w:rPr>
        <w:t>Consent</w:t>
      </w:r>
      <w:r w:rsidR="005D064A">
        <w:rPr>
          <w:rStyle w:val="Strong"/>
          <w:rFonts w:asciiTheme="minorHAnsi" w:hAnsiTheme="minorHAnsi" w:cs="Segoe UI"/>
        </w:rPr>
        <w:t xml:space="preserve"> to participate</w:t>
      </w:r>
      <w:r w:rsidR="005D064A">
        <w:rPr>
          <w:rStyle w:val="Strong"/>
          <w:rFonts w:asciiTheme="minorHAnsi" w:hAnsiTheme="minorHAnsi" w:cs="Segoe UI"/>
          <w:b w:val="0"/>
        </w:rPr>
        <w:t>: Not applicable.</w:t>
      </w:r>
    </w:p>
    <w:p w14:paraId="67AED6D6" w14:textId="0D1D322B" w:rsidR="00F801A7" w:rsidRPr="00F801A7" w:rsidRDefault="005D064A" w:rsidP="00F801A7">
      <w:pPr>
        <w:pStyle w:val="NormalWeb"/>
        <w:shd w:val="clear" w:color="auto" w:fill="FCFCFC"/>
        <w:spacing w:before="0" w:beforeAutospacing="0" w:after="360" w:afterAutospacing="0"/>
        <w:rPr>
          <w:rFonts w:asciiTheme="minorHAnsi" w:hAnsiTheme="minorHAnsi" w:cs="Segoe UI"/>
        </w:rPr>
      </w:pPr>
      <w:r w:rsidRPr="005D064A">
        <w:rPr>
          <w:rFonts w:asciiTheme="minorHAnsi" w:hAnsiTheme="minorHAnsi" w:cs="Segoe UI"/>
          <w:b/>
        </w:rPr>
        <w:t>Consent for publication:</w:t>
      </w:r>
      <w:r>
        <w:rPr>
          <w:rFonts w:asciiTheme="minorHAnsi" w:hAnsiTheme="minorHAnsi" w:cs="Segoe UI"/>
        </w:rPr>
        <w:t xml:space="preserve"> Not applicable</w:t>
      </w:r>
      <w:r w:rsidR="00F801A7" w:rsidRPr="00F801A7">
        <w:rPr>
          <w:rFonts w:asciiTheme="minorHAnsi" w:hAnsiTheme="minorHAnsi" w:cs="Segoe UI"/>
        </w:rPr>
        <w:t xml:space="preserve">. </w:t>
      </w:r>
    </w:p>
    <w:p w14:paraId="2C8D0EEC" w14:textId="77777777" w:rsidR="005D064A" w:rsidRDefault="005D064A" w:rsidP="00F801A7">
      <w:pPr>
        <w:pStyle w:val="NormalWeb"/>
        <w:shd w:val="clear" w:color="auto" w:fill="FCFCFC"/>
        <w:spacing w:before="0" w:beforeAutospacing="0" w:after="360" w:afterAutospacing="0"/>
        <w:rPr>
          <w:rStyle w:val="Strong"/>
          <w:rFonts w:asciiTheme="minorHAnsi" w:hAnsiTheme="minorHAnsi" w:cs="Segoe UI"/>
        </w:rPr>
      </w:pPr>
      <w:r>
        <w:rPr>
          <w:rStyle w:val="Strong"/>
          <w:rFonts w:asciiTheme="minorHAnsi" w:hAnsiTheme="minorHAnsi" w:cs="Segoe UI"/>
        </w:rPr>
        <w:t xml:space="preserve">Informed consent: </w:t>
      </w:r>
      <w:r w:rsidRPr="005D064A">
        <w:rPr>
          <w:rStyle w:val="Strong"/>
          <w:rFonts w:asciiTheme="minorHAnsi" w:hAnsiTheme="minorHAnsi" w:cs="Segoe UI"/>
          <w:b w:val="0"/>
        </w:rPr>
        <w:t>Not applicable.</w:t>
      </w:r>
      <w:r>
        <w:rPr>
          <w:rStyle w:val="Strong"/>
          <w:rFonts w:asciiTheme="minorHAnsi" w:hAnsiTheme="minorHAnsi" w:cs="Segoe UI"/>
        </w:rPr>
        <w:t xml:space="preserve"> </w:t>
      </w:r>
    </w:p>
    <w:p w14:paraId="4E5ACB1E" w14:textId="5896CEEC" w:rsidR="00F801A7" w:rsidRPr="00F801A7" w:rsidRDefault="00F801A7" w:rsidP="00F801A7">
      <w:pPr>
        <w:pStyle w:val="NormalWeb"/>
        <w:shd w:val="clear" w:color="auto" w:fill="FCFCFC"/>
        <w:spacing w:before="0" w:beforeAutospacing="0" w:after="360" w:afterAutospacing="0"/>
        <w:rPr>
          <w:rFonts w:asciiTheme="minorHAnsi" w:hAnsiTheme="minorHAnsi" w:cs="Segoe UI"/>
          <w:b/>
        </w:rPr>
      </w:pPr>
      <w:r w:rsidRPr="00F801A7">
        <w:rPr>
          <w:rStyle w:val="Strong"/>
          <w:rFonts w:asciiTheme="minorHAnsi" w:hAnsiTheme="minorHAnsi" w:cs="Segoe UI"/>
        </w:rPr>
        <w:t xml:space="preserve">Authors' contributions: </w:t>
      </w:r>
      <w:r w:rsidRPr="00F801A7">
        <w:rPr>
          <w:rStyle w:val="Strong"/>
          <w:rFonts w:asciiTheme="minorHAnsi" w:hAnsiTheme="minorHAnsi" w:cs="Segoe UI"/>
          <w:b w:val="0"/>
        </w:rPr>
        <w:t xml:space="preserve">GG, AC and AS developed the concept and structure of the paper, all authors contributed to the drafting, review and editing of the paper. </w:t>
      </w:r>
      <w:r w:rsidR="00D26F8A">
        <w:rPr>
          <w:rStyle w:val="Strong"/>
          <w:rFonts w:asciiTheme="minorHAnsi" w:hAnsiTheme="minorHAnsi" w:cs="Segoe UI"/>
          <w:b w:val="0"/>
        </w:rPr>
        <w:t xml:space="preserve">All authors have approved the </w:t>
      </w:r>
      <w:r w:rsidR="00D26F8A" w:rsidRPr="00D26F8A">
        <w:rPr>
          <w:rStyle w:val="Strong"/>
          <w:rFonts w:asciiTheme="minorHAnsi" w:hAnsiTheme="minorHAnsi" w:cs="Segoe UI"/>
          <w:b w:val="0"/>
        </w:rPr>
        <w:t xml:space="preserve">version </w:t>
      </w:r>
      <w:r w:rsidR="00D26F8A">
        <w:rPr>
          <w:rStyle w:val="Strong"/>
          <w:rFonts w:asciiTheme="minorHAnsi" w:hAnsiTheme="minorHAnsi" w:cs="Segoe UI"/>
          <w:b w:val="0"/>
        </w:rPr>
        <w:t xml:space="preserve">of the paper </w:t>
      </w:r>
      <w:r w:rsidR="00D26F8A" w:rsidRPr="00D26F8A">
        <w:rPr>
          <w:rStyle w:val="Strong"/>
          <w:rFonts w:asciiTheme="minorHAnsi" w:hAnsiTheme="minorHAnsi" w:cs="Segoe UI"/>
          <w:b w:val="0"/>
        </w:rPr>
        <w:t>submitted for publication</w:t>
      </w:r>
      <w:r w:rsidR="00587EDB">
        <w:rPr>
          <w:rStyle w:val="Strong"/>
          <w:rFonts w:asciiTheme="minorHAnsi" w:hAnsiTheme="minorHAnsi" w:cs="Segoe UI"/>
          <w:b w:val="0"/>
        </w:rPr>
        <w:t>, and have agreed the stated order of authorship</w:t>
      </w:r>
      <w:r w:rsidR="00D26F8A" w:rsidRPr="00D26F8A">
        <w:rPr>
          <w:rStyle w:val="Strong"/>
          <w:rFonts w:asciiTheme="minorHAnsi" w:hAnsiTheme="minorHAnsi" w:cs="Segoe UI"/>
          <w:b w:val="0"/>
        </w:rPr>
        <w:t>.</w:t>
      </w:r>
    </w:p>
    <w:p w14:paraId="039E8474" w14:textId="6B17A645" w:rsidR="004755C5" w:rsidRDefault="004755C5">
      <w:r>
        <w:br w:type="page"/>
      </w:r>
    </w:p>
    <w:p w14:paraId="05C069CA" w14:textId="1D37869C" w:rsidR="00CD12F6" w:rsidRPr="004755C5" w:rsidRDefault="004755C5" w:rsidP="00095ED3">
      <w:pPr>
        <w:rPr>
          <w:b/>
        </w:rPr>
      </w:pPr>
      <w:r w:rsidRPr="004755C5">
        <w:rPr>
          <w:b/>
        </w:rPr>
        <w:lastRenderedPageBreak/>
        <w:t>References.</w:t>
      </w:r>
    </w:p>
    <w:p w14:paraId="7633C8E3" w14:textId="0364D7FF" w:rsidR="004755C5" w:rsidRDefault="004755C5" w:rsidP="00095ED3"/>
    <w:p w14:paraId="3120A79F" w14:textId="77777777" w:rsidR="004755C5" w:rsidRPr="004755C5" w:rsidRDefault="004755C5" w:rsidP="004755C5">
      <w:pPr>
        <w:rPr>
          <w:rFonts w:cstheme="minorHAnsi"/>
        </w:rPr>
      </w:pPr>
      <w:r w:rsidRPr="004755C5">
        <w:rPr>
          <w:rFonts w:cstheme="minorHAnsi"/>
        </w:rPr>
        <w:t xml:space="preserve">APUA. (2020). </w:t>
      </w:r>
      <w:r w:rsidRPr="004755C5">
        <w:rPr>
          <w:rFonts w:cstheme="minorHAnsi"/>
          <w:i/>
          <w:iCs/>
        </w:rPr>
        <w:t>Gates Foundation project: Antibiotic resistance situation analysis and needs assessment (ARSANA) in Uganda and Zambia.</w:t>
      </w:r>
      <w:r w:rsidRPr="004755C5">
        <w:rPr>
          <w:rFonts w:cstheme="minorHAnsi"/>
        </w:rPr>
        <w:t xml:space="preserve"> Alliance for the Prudent Use of Antibiotics. Retrieved March 18, 2021 from </w:t>
      </w:r>
      <w:hyperlink r:id="rId8" w:history="1">
        <w:r w:rsidRPr="004755C5">
          <w:rPr>
            <w:rStyle w:val="Hyperlink"/>
            <w:rFonts w:cstheme="minorHAnsi"/>
          </w:rPr>
          <w:t>https://apua.org/gates-foundation-project/</w:t>
        </w:r>
      </w:hyperlink>
      <w:r w:rsidRPr="004755C5">
        <w:rPr>
          <w:rFonts w:cstheme="minorHAnsi"/>
        </w:rPr>
        <w:t xml:space="preserve"> </w:t>
      </w:r>
    </w:p>
    <w:p w14:paraId="4CCB462B" w14:textId="77777777" w:rsidR="004755C5" w:rsidRPr="004755C5" w:rsidRDefault="004755C5" w:rsidP="004755C5">
      <w:pPr>
        <w:rPr>
          <w:rFonts w:cstheme="minorHAnsi"/>
        </w:rPr>
      </w:pPr>
    </w:p>
    <w:p w14:paraId="2D4FBD6F" w14:textId="77777777" w:rsidR="004755C5" w:rsidRPr="004755C5" w:rsidRDefault="004755C5" w:rsidP="004755C5">
      <w:pPr>
        <w:rPr>
          <w:rFonts w:cstheme="minorHAnsi"/>
        </w:rPr>
      </w:pPr>
      <w:r w:rsidRPr="004755C5">
        <w:rPr>
          <w:rFonts w:cstheme="minorHAnsi"/>
        </w:rPr>
        <w:t xml:space="preserve">Ascher, M., Costa, L. G. (Eds). (2017). </w:t>
      </w:r>
      <w:r w:rsidRPr="004755C5">
        <w:rPr>
          <w:rFonts w:cstheme="minorHAnsi"/>
          <w:i/>
          <w:iCs/>
        </w:rPr>
        <w:t>Advances in Neurotoxicology. Environmental factors in neurodegenerative diseases</w:t>
      </w:r>
      <w:r w:rsidRPr="004755C5">
        <w:rPr>
          <w:rFonts w:cstheme="minorHAnsi"/>
        </w:rPr>
        <w:t>. Cambridge MA, and Oxford, UK: Academic Press. ISBN 978-0-12-812764-3</w:t>
      </w:r>
    </w:p>
    <w:p w14:paraId="67230EAF" w14:textId="77777777" w:rsidR="004755C5" w:rsidRPr="004755C5" w:rsidRDefault="004755C5" w:rsidP="004755C5">
      <w:pPr>
        <w:rPr>
          <w:rFonts w:cstheme="minorHAnsi"/>
        </w:rPr>
      </w:pPr>
    </w:p>
    <w:p w14:paraId="28E95E71" w14:textId="362325DE" w:rsidR="00A62A48" w:rsidRDefault="00A62A48" w:rsidP="004755C5">
      <w:pPr>
        <w:pStyle w:val="EndnoteText"/>
        <w:rPr>
          <w:rFonts w:cstheme="minorHAnsi"/>
          <w:sz w:val="24"/>
          <w:szCs w:val="24"/>
        </w:rPr>
      </w:pPr>
      <w:r w:rsidRPr="00A62A48">
        <w:rPr>
          <w:rFonts w:cstheme="minorHAnsi"/>
          <w:sz w:val="24"/>
          <w:szCs w:val="24"/>
        </w:rPr>
        <w:t xml:space="preserve">ATSDR. (2020). </w:t>
      </w:r>
      <w:r w:rsidRPr="002E65CA">
        <w:rPr>
          <w:rFonts w:cstheme="minorHAnsi"/>
          <w:i/>
          <w:sz w:val="24"/>
          <w:szCs w:val="24"/>
        </w:rPr>
        <w:t>Per- and Polyfluoroalkyl Substances (PFAS) and Your Health. PFAS in the U.S. Population. USA: Agency for Toxic Substances and Disease Registry.</w:t>
      </w:r>
      <w:r w:rsidRPr="00A62A48">
        <w:rPr>
          <w:rFonts w:cstheme="minorHAnsi"/>
          <w:sz w:val="24"/>
          <w:szCs w:val="24"/>
        </w:rPr>
        <w:t xml:space="preserve"> Retrieved on June 18, 2021 from  https://www.atsdr.cdc.gov/pfas/health-effects/us-population.html  </w:t>
      </w:r>
    </w:p>
    <w:p w14:paraId="65E87A71" w14:textId="77777777" w:rsidR="00A62A48" w:rsidRDefault="00A62A48" w:rsidP="004755C5">
      <w:pPr>
        <w:pStyle w:val="EndnoteText"/>
        <w:rPr>
          <w:rFonts w:cstheme="minorHAnsi"/>
          <w:sz w:val="24"/>
          <w:szCs w:val="24"/>
        </w:rPr>
      </w:pPr>
    </w:p>
    <w:p w14:paraId="46F734BA" w14:textId="3D7C557D" w:rsidR="004755C5" w:rsidRPr="004755C5" w:rsidRDefault="004755C5" w:rsidP="004755C5">
      <w:pPr>
        <w:pStyle w:val="EndnoteText"/>
        <w:rPr>
          <w:rFonts w:cstheme="minorHAnsi"/>
          <w:sz w:val="24"/>
          <w:szCs w:val="24"/>
        </w:rPr>
      </w:pPr>
      <w:r w:rsidRPr="004755C5">
        <w:rPr>
          <w:rFonts w:cstheme="minorHAnsi"/>
          <w:sz w:val="24"/>
          <w:szCs w:val="24"/>
        </w:rPr>
        <w:t xml:space="preserve">Barton, H., Grant, M. (2006). A health map for the local human habitat. </w:t>
      </w:r>
      <w:r w:rsidRPr="004755C5">
        <w:rPr>
          <w:rFonts w:cstheme="minorHAnsi"/>
          <w:i/>
          <w:iCs/>
          <w:sz w:val="24"/>
          <w:szCs w:val="24"/>
        </w:rPr>
        <w:t>The Journal for the Royal Society for the Promotion of Health</w:t>
      </w:r>
      <w:r w:rsidRPr="004755C5">
        <w:rPr>
          <w:rFonts w:cstheme="minorHAnsi"/>
          <w:sz w:val="24"/>
          <w:szCs w:val="24"/>
        </w:rPr>
        <w:t xml:space="preserve">, 126(6), 252-253. </w:t>
      </w:r>
      <w:hyperlink r:id="rId9" w:history="1">
        <w:r w:rsidRPr="004755C5">
          <w:rPr>
            <w:rStyle w:val="Hyperlink"/>
            <w:rFonts w:cstheme="minorHAnsi"/>
            <w:sz w:val="24"/>
            <w:szCs w:val="24"/>
          </w:rPr>
          <w:t>https://doi.org/10.1177/1466424006070466</w:t>
        </w:r>
      </w:hyperlink>
      <w:r w:rsidRPr="004755C5">
        <w:rPr>
          <w:rFonts w:cstheme="minorHAnsi"/>
          <w:sz w:val="24"/>
          <w:szCs w:val="24"/>
        </w:rPr>
        <w:t xml:space="preserve"> </w:t>
      </w:r>
    </w:p>
    <w:p w14:paraId="14AEA5A8" w14:textId="77777777" w:rsidR="004755C5" w:rsidRPr="004755C5" w:rsidRDefault="004755C5" w:rsidP="004755C5">
      <w:pPr>
        <w:pStyle w:val="EndnoteText"/>
        <w:rPr>
          <w:rFonts w:cstheme="minorHAnsi"/>
          <w:sz w:val="24"/>
          <w:szCs w:val="24"/>
        </w:rPr>
      </w:pPr>
    </w:p>
    <w:p w14:paraId="3CE5CCF5" w14:textId="77777777" w:rsidR="004755C5" w:rsidRPr="004755C5" w:rsidRDefault="004755C5" w:rsidP="004755C5">
      <w:pPr>
        <w:pStyle w:val="EndnoteText"/>
        <w:rPr>
          <w:rFonts w:cstheme="minorHAnsi"/>
          <w:sz w:val="24"/>
          <w:szCs w:val="24"/>
        </w:rPr>
      </w:pPr>
      <w:bookmarkStart w:id="1" w:name="_Hlk66949948"/>
      <w:r w:rsidRPr="004755C5">
        <w:rPr>
          <w:rFonts w:cstheme="minorHAnsi"/>
          <w:sz w:val="24"/>
          <w:szCs w:val="24"/>
        </w:rPr>
        <w:t xml:space="preserve">Bastiat, F. (1848). Selected Essays on Political Economy. In G. B. de Huszar, (Ed.), </w:t>
      </w:r>
      <w:r w:rsidRPr="004755C5">
        <w:rPr>
          <w:rFonts w:cstheme="minorHAnsi"/>
          <w:i/>
          <w:iCs/>
          <w:sz w:val="24"/>
          <w:szCs w:val="24"/>
        </w:rPr>
        <w:t>Selected Essays on Political Economy</w:t>
      </w:r>
      <w:r w:rsidRPr="004755C5">
        <w:rPr>
          <w:rFonts w:cstheme="minorHAnsi"/>
          <w:sz w:val="24"/>
          <w:szCs w:val="24"/>
        </w:rPr>
        <w:t xml:space="preserve">. Translated Seymour Cain. 1995. Irvington-on-Hudson, NY: The Foundation for Economic Education Inc. Retrieved January 1, 2021 from </w:t>
      </w:r>
      <w:hyperlink r:id="rId10" w:history="1">
        <w:r w:rsidRPr="004755C5">
          <w:rPr>
            <w:rStyle w:val="Hyperlink"/>
            <w:rFonts w:cstheme="minorHAnsi"/>
            <w:sz w:val="24"/>
            <w:szCs w:val="24"/>
          </w:rPr>
          <w:t>https://fokt.pw/file-selected-essays-on-political-economy.pdf</w:t>
        </w:r>
      </w:hyperlink>
      <w:r w:rsidRPr="004755C5">
        <w:rPr>
          <w:rFonts w:cstheme="minorHAnsi"/>
          <w:sz w:val="24"/>
          <w:szCs w:val="24"/>
        </w:rPr>
        <w:t>.</w:t>
      </w:r>
    </w:p>
    <w:p w14:paraId="56F49B02" w14:textId="77777777" w:rsidR="004755C5" w:rsidRPr="004755C5" w:rsidRDefault="004755C5" w:rsidP="004755C5">
      <w:pPr>
        <w:pStyle w:val="EndnoteText"/>
        <w:rPr>
          <w:rFonts w:cstheme="minorHAnsi"/>
          <w:sz w:val="24"/>
          <w:szCs w:val="24"/>
        </w:rPr>
      </w:pPr>
    </w:p>
    <w:p w14:paraId="00EB8AED" w14:textId="77777777" w:rsidR="004755C5" w:rsidRPr="004755C5" w:rsidRDefault="004755C5" w:rsidP="004755C5">
      <w:pPr>
        <w:pStyle w:val="EndnoteText"/>
        <w:rPr>
          <w:rFonts w:cstheme="minorHAnsi"/>
          <w:color w:val="000000"/>
          <w:sz w:val="24"/>
          <w:szCs w:val="24"/>
        </w:rPr>
      </w:pPr>
      <w:r w:rsidRPr="004755C5">
        <w:rPr>
          <w:rFonts w:cstheme="minorHAnsi"/>
          <w:color w:val="000000"/>
          <w:sz w:val="24"/>
          <w:szCs w:val="24"/>
        </w:rPr>
        <w:t xml:space="preserve">Bazzi, W., Abou Fayad, A. G., Nasser, A., Haraoui, L. P., Dewachi, O., Abou-Sitta, G., Nguyen, V. K., Abara, A., Karah, N., Landecker, H., Knapp, C., McEvoy, M. M., Zaman, M. H., Higgins, P. G., &amp; Matar, G. M. (2020). Heavy metal toxicity in armed conflicts potentiates AMR in A. baumannii by selecting for antibiotic and heavy metal co-resistance mechanisms. </w:t>
      </w:r>
      <w:r w:rsidRPr="004755C5">
        <w:rPr>
          <w:rFonts w:cstheme="minorHAnsi"/>
          <w:i/>
          <w:iCs/>
          <w:color w:val="000000"/>
          <w:sz w:val="24"/>
          <w:szCs w:val="24"/>
        </w:rPr>
        <w:t>Frontiers in Microbiology</w:t>
      </w:r>
      <w:r w:rsidRPr="004755C5">
        <w:rPr>
          <w:rFonts w:cstheme="minorHAnsi"/>
          <w:color w:val="000000"/>
          <w:sz w:val="24"/>
          <w:szCs w:val="24"/>
        </w:rPr>
        <w:t xml:space="preserve">, 11, 68. </w:t>
      </w:r>
      <w:hyperlink r:id="rId11" w:history="1">
        <w:r w:rsidRPr="004755C5">
          <w:rPr>
            <w:rStyle w:val="Hyperlink"/>
            <w:rFonts w:cstheme="minorHAnsi"/>
            <w:sz w:val="24"/>
            <w:szCs w:val="24"/>
          </w:rPr>
          <w:t>https://doi.org/10.3389/fmicb.2020.00068</w:t>
        </w:r>
      </w:hyperlink>
    </w:p>
    <w:bookmarkEnd w:id="1"/>
    <w:p w14:paraId="673D487D" w14:textId="77777777" w:rsidR="004755C5" w:rsidRPr="004755C5" w:rsidRDefault="004755C5" w:rsidP="004755C5">
      <w:pPr>
        <w:pStyle w:val="EndnoteText"/>
        <w:rPr>
          <w:rFonts w:cstheme="minorHAnsi"/>
          <w:sz w:val="24"/>
          <w:szCs w:val="24"/>
        </w:rPr>
      </w:pPr>
    </w:p>
    <w:p w14:paraId="3512CB90" w14:textId="77777777" w:rsidR="004755C5" w:rsidRPr="004755C5" w:rsidRDefault="004755C5" w:rsidP="004755C5">
      <w:pPr>
        <w:pStyle w:val="FootnoteText"/>
        <w:rPr>
          <w:rFonts w:cstheme="minorHAnsi"/>
          <w:sz w:val="24"/>
          <w:szCs w:val="24"/>
        </w:rPr>
      </w:pPr>
      <w:r w:rsidRPr="004755C5">
        <w:rPr>
          <w:rFonts w:cstheme="minorHAnsi"/>
          <w:sz w:val="24"/>
          <w:szCs w:val="24"/>
        </w:rPr>
        <w:t xml:space="preserve">Carey, N. 2012 </w:t>
      </w:r>
      <w:r w:rsidRPr="004755C5">
        <w:rPr>
          <w:rFonts w:cstheme="minorHAnsi"/>
          <w:i/>
          <w:iCs/>
          <w:sz w:val="24"/>
          <w:szCs w:val="24"/>
        </w:rPr>
        <w:t>The Epigenetics Revolution</w:t>
      </w:r>
      <w:r w:rsidRPr="004755C5">
        <w:rPr>
          <w:rFonts w:cstheme="minorHAnsi"/>
          <w:sz w:val="24"/>
          <w:szCs w:val="24"/>
        </w:rPr>
        <w:t>. Icon Books. ISBN 978-184831-347-7</w:t>
      </w:r>
    </w:p>
    <w:p w14:paraId="2D1824B0" w14:textId="77777777" w:rsidR="004755C5" w:rsidRPr="004755C5" w:rsidRDefault="004755C5" w:rsidP="004755C5">
      <w:pPr>
        <w:pStyle w:val="FootnoteText"/>
        <w:rPr>
          <w:rFonts w:cstheme="minorHAnsi"/>
          <w:sz w:val="24"/>
          <w:szCs w:val="24"/>
        </w:rPr>
      </w:pPr>
    </w:p>
    <w:p w14:paraId="12443175" w14:textId="77777777" w:rsidR="004755C5" w:rsidRPr="004755C5" w:rsidRDefault="004755C5" w:rsidP="004755C5">
      <w:pPr>
        <w:pStyle w:val="EndnoteText"/>
        <w:rPr>
          <w:rStyle w:val="Hyperlink"/>
          <w:rFonts w:cstheme="minorHAnsi"/>
          <w:sz w:val="24"/>
          <w:szCs w:val="24"/>
        </w:rPr>
      </w:pPr>
      <w:r w:rsidRPr="004755C5">
        <w:rPr>
          <w:rFonts w:cstheme="minorHAnsi"/>
          <w:sz w:val="24"/>
          <w:szCs w:val="24"/>
        </w:rPr>
        <w:t xml:space="preserve">Citris Policy Lab. (2019). </w:t>
      </w:r>
      <w:r w:rsidRPr="004755C5">
        <w:rPr>
          <w:rFonts w:cstheme="minorHAnsi"/>
          <w:i/>
          <w:iCs/>
          <w:sz w:val="24"/>
          <w:szCs w:val="24"/>
        </w:rPr>
        <w:t>Health, Wildfires and Climate Change in California</w:t>
      </w:r>
      <w:r w:rsidRPr="004755C5">
        <w:rPr>
          <w:rFonts w:cstheme="minorHAnsi"/>
          <w:sz w:val="24"/>
          <w:szCs w:val="24"/>
        </w:rPr>
        <w:t xml:space="preserve">. Berkley: California Institute for Energy and Environment. </w:t>
      </w:r>
      <w:hyperlink r:id="rId12" w:history="1">
        <w:r w:rsidRPr="004755C5">
          <w:rPr>
            <w:rStyle w:val="Hyperlink"/>
            <w:rFonts w:cstheme="minorHAnsi"/>
            <w:sz w:val="24"/>
            <w:szCs w:val="24"/>
          </w:rPr>
          <w:t>http://citris-uc.org/wp-content/uploads/2019/10/Health-Wildfires-and-Climate-Change-in-California_October-2019.pdf</w:t>
        </w:r>
      </w:hyperlink>
    </w:p>
    <w:p w14:paraId="5D2A0DD9" w14:textId="77777777" w:rsidR="004755C5" w:rsidRPr="004755C5" w:rsidRDefault="004755C5" w:rsidP="004755C5">
      <w:pPr>
        <w:pStyle w:val="EndnoteText"/>
        <w:rPr>
          <w:rStyle w:val="Hyperlink"/>
          <w:rFonts w:cstheme="minorHAnsi"/>
          <w:sz w:val="24"/>
          <w:szCs w:val="24"/>
        </w:rPr>
      </w:pPr>
    </w:p>
    <w:p w14:paraId="31622E73" w14:textId="77777777" w:rsidR="004755C5" w:rsidRPr="004755C5" w:rsidRDefault="004755C5" w:rsidP="004755C5">
      <w:pPr>
        <w:pStyle w:val="FootnoteText"/>
        <w:rPr>
          <w:rFonts w:cstheme="minorHAnsi"/>
          <w:sz w:val="24"/>
          <w:szCs w:val="24"/>
        </w:rPr>
      </w:pPr>
      <w:r w:rsidRPr="004755C5">
        <w:rPr>
          <w:sz w:val="24"/>
          <w:szCs w:val="24"/>
        </w:rPr>
        <w:t xml:space="preserve">de Cock, M., van de Bor, M. (2014). Obesogenic effects of endocrine disruptors, what do we know from animal and human studies? </w:t>
      </w:r>
      <w:r w:rsidRPr="004755C5">
        <w:rPr>
          <w:i/>
          <w:iCs/>
          <w:sz w:val="24"/>
          <w:szCs w:val="24"/>
        </w:rPr>
        <w:t xml:space="preserve">Environ Int, </w:t>
      </w:r>
      <w:r w:rsidRPr="004755C5">
        <w:rPr>
          <w:sz w:val="24"/>
          <w:szCs w:val="24"/>
        </w:rPr>
        <w:t xml:space="preserve">70, 15-24. </w:t>
      </w:r>
      <w:hyperlink r:id="rId13" w:history="1">
        <w:r w:rsidRPr="004755C5">
          <w:rPr>
            <w:rStyle w:val="Hyperlink"/>
            <w:sz w:val="24"/>
            <w:szCs w:val="24"/>
          </w:rPr>
          <w:t>https://doi.org/10.1016/j.envint.2014.04.022</w:t>
        </w:r>
      </w:hyperlink>
      <w:r w:rsidRPr="004755C5">
        <w:rPr>
          <w:sz w:val="24"/>
          <w:szCs w:val="24"/>
        </w:rPr>
        <w:t xml:space="preserve"> </w:t>
      </w:r>
    </w:p>
    <w:p w14:paraId="1E9CCBD8" w14:textId="77777777" w:rsidR="004755C5" w:rsidRPr="004755C5" w:rsidRDefault="004755C5" w:rsidP="004755C5">
      <w:pPr>
        <w:pStyle w:val="FootnoteText"/>
        <w:rPr>
          <w:rFonts w:cstheme="minorHAnsi"/>
          <w:sz w:val="24"/>
          <w:szCs w:val="24"/>
        </w:rPr>
      </w:pPr>
    </w:p>
    <w:p w14:paraId="0044DDB0" w14:textId="77777777" w:rsidR="004755C5" w:rsidRPr="004755C5" w:rsidRDefault="004755C5" w:rsidP="004755C5">
      <w:pPr>
        <w:pStyle w:val="EndnoteText"/>
        <w:rPr>
          <w:rStyle w:val="Hyperlink"/>
          <w:rFonts w:cstheme="minorHAnsi"/>
          <w:color w:val="000000" w:themeColor="text1"/>
          <w:sz w:val="24"/>
          <w:szCs w:val="24"/>
        </w:rPr>
      </w:pPr>
      <w:r w:rsidRPr="004755C5">
        <w:rPr>
          <w:rStyle w:val="Hyperlink"/>
          <w:rFonts w:cstheme="minorHAnsi"/>
          <w:color w:val="000000" w:themeColor="text1"/>
          <w:sz w:val="24"/>
          <w:szCs w:val="24"/>
          <w:u w:val="none"/>
        </w:rPr>
        <w:t xml:space="preserve">Cohen, S. (2017, October 23, 2017). </w:t>
      </w:r>
      <w:r w:rsidRPr="004755C5">
        <w:rPr>
          <w:rStyle w:val="Hyperlink"/>
          <w:rFonts w:cstheme="minorHAnsi"/>
          <w:i/>
          <w:iCs/>
          <w:color w:val="000000" w:themeColor="text1"/>
          <w:sz w:val="24"/>
          <w:szCs w:val="24"/>
          <w:u w:val="none"/>
        </w:rPr>
        <w:t>The Human and Financial Cost of Pollution</w:t>
      </w:r>
      <w:r w:rsidRPr="004755C5">
        <w:rPr>
          <w:rStyle w:val="Hyperlink"/>
          <w:rFonts w:cstheme="minorHAnsi"/>
          <w:color w:val="000000" w:themeColor="text1"/>
          <w:sz w:val="24"/>
          <w:szCs w:val="24"/>
          <w:u w:val="none"/>
        </w:rPr>
        <w:t xml:space="preserve">. Earth Institute Columbia University. Retrieved on March 17, 2021 from </w:t>
      </w:r>
      <w:hyperlink r:id="rId14" w:history="1">
        <w:r w:rsidRPr="004755C5">
          <w:rPr>
            <w:rStyle w:val="Hyperlink"/>
            <w:rFonts w:cstheme="minorHAnsi"/>
            <w:sz w:val="24"/>
            <w:szCs w:val="24"/>
          </w:rPr>
          <w:t>https://blogs.ei.columbia.edu/2017/10/23/the-human-and-financial-cost-of-pollution/</w:t>
        </w:r>
      </w:hyperlink>
      <w:r w:rsidRPr="004755C5">
        <w:rPr>
          <w:rStyle w:val="Hyperlink"/>
          <w:rFonts w:cstheme="minorHAnsi"/>
          <w:color w:val="000000" w:themeColor="text1"/>
          <w:sz w:val="24"/>
          <w:szCs w:val="24"/>
        </w:rPr>
        <w:t xml:space="preserve"> </w:t>
      </w:r>
    </w:p>
    <w:p w14:paraId="6CF94F99" w14:textId="77777777" w:rsidR="004755C5" w:rsidRPr="004755C5" w:rsidRDefault="004755C5" w:rsidP="004755C5">
      <w:pPr>
        <w:pStyle w:val="EndnoteText"/>
        <w:rPr>
          <w:rStyle w:val="Hyperlink"/>
          <w:rFonts w:cstheme="minorHAnsi"/>
          <w:color w:val="000000" w:themeColor="text1"/>
          <w:sz w:val="24"/>
          <w:szCs w:val="24"/>
        </w:rPr>
      </w:pPr>
    </w:p>
    <w:p w14:paraId="336F964C" w14:textId="77777777" w:rsidR="004755C5" w:rsidRPr="004755C5" w:rsidRDefault="004755C5" w:rsidP="004755C5">
      <w:pPr>
        <w:pStyle w:val="EndnoteText"/>
        <w:rPr>
          <w:rStyle w:val="Hyperlink"/>
          <w:rFonts w:cstheme="minorHAnsi"/>
          <w:color w:val="000000" w:themeColor="text1"/>
          <w:sz w:val="24"/>
          <w:szCs w:val="24"/>
          <w:u w:val="none"/>
        </w:rPr>
      </w:pPr>
      <w:r w:rsidRPr="004755C5">
        <w:rPr>
          <w:rStyle w:val="Hyperlink"/>
          <w:rFonts w:cstheme="minorHAnsi"/>
          <w:color w:val="000000" w:themeColor="text1"/>
          <w:sz w:val="24"/>
          <w:szCs w:val="24"/>
          <w:u w:val="none"/>
        </w:rPr>
        <w:t xml:space="preserve">Dahlgren, G., Whitehead, M. (1991). </w:t>
      </w:r>
      <w:r w:rsidRPr="004755C5">
        <w:rPr>
          <w:rStyle w:val="Hyperlink"/>
          <w:rFonts w:cstheme="minorHAnsi"/>
          <w:i/>
          <w:iCs/>
          <w:color w:val="000000" w:themeColor="text1"/>
          <w:sz w:val="24"/>
          <w:szCs w:val="24"/>
          <w:u w:val="none"/>
        </w:rPr>
        <w:t>Policies and Strategies to promote social equity in health</w:t>
      </w:r>
      <w:r w:rsidRPr="004755C5">
        <w:rPr>
          <w:rStyle w:val="Hyperlink"/>
          <w:rFonts w:cstheme="minorHAnsi"/>
          <w:color w:val="000000" w:themeColor="text1"/>
          <w:sz w:val="24"/>
          <w:szCs w:val="24"/>
          <w:u w:val="none"/>
        </w:rPr>
        <w:t>. Stockholm Institute of Future Studies.</w:t>
      </w:r>
    </w:p>
    <w:p w14:paraId="5AE5B142" w14:textId="77777777" w:rsidR="004755C5" w:rsidRPr="004755C5" w:rsidRDefault="004755C5" w:rsidP="004755C5">
      <w:pPr>
        <w:pStyle w:val="EndnoteText"/>
        <w:rPr>
          <w:rFonts w:cstheme="minorHAnsi"/>
          <w:sz w:val="24"/>
          <w:szCs w:val="24"/>
        </w:rPr>
      </w:pPr>
    </w:p>
    <w:p w14:paraId="38CE0E0A" w14:textId="77777777" w:rsidR="004755C5" w:rsidRPr="004755C5" w:rsidRDefault="004755C5" w:rsidP="004755C5">
      <w:pPr>
        <w:pStyle w:val="EndnoteText"/>
        <w:rPr>
          <w:sz w:val="24"/>
          <w:szCs w:val="24"/>
        </w:rPr>
      </w:pPr>
      <w:r w:rsidRPr="004755C5">
        <w:rPr>
          <w:sz w:val="24"/>
          <w:szCs w:val="24"/>
        </w:rPr>
        <w:lastRenderedPageBreak/>
        <w:t xml:space="preserve">Desforges, J-P., Hall, A., McConnell, B., Rosing-Asvid, A., Barber, J. L., Brownlow, A., De Guise, S., Eulaers, I., Jepson, P. D., Letcher, R. J., Levin, M., Ross, P. S., Samarra, F., Víkingson, G., Sonne, C., Dietz, R. (2018). Predicting global killer whale population collapse from PCB pollution. </w:t>
      </w:r>
      <w:r w:rsidRPr="004755C5">
        <w:rPr>
          <w:i/>
          <w:iCs/>
          <w:sz w:val="24"/>
          <w:szCs w:val="24"/>
        </w:rPr>
        <w:t>Science</w:t>
      </w:r>
      <w:r w:rsidRPr="004755C5">
        <w:rPr>
          <w:sz w:val="24"/>
          <w:szCs w:val="24"/>
        </w:rPr>
        <w:t xml:space="preserve">, 361(6409), 1373-1376. </w:t>
      </w:r>
      <w:hyperlink r:id="rId15" w:history="1">
        <w:r w:rsidRPr="004755C5">
          <w:rPr>
            <w:rStyle w:val="Hyperlink"/>
            <w:sz w:val="24"/>
            <w:szCs w:val="24"/>
          </w:rPr>
          <w:t>https://doi.org/10.1126/science.aat1953</w:t>
        </w:r>
      </w:hyperlink>
    </w:p>
    <w:p w14:paraId="53FD6009" w14:textId="77777777" w:rsidR="004755C5" w:rsidRPr="004755C5" w:rsidRDefault="004755C5" w:rsidP="004755C5">
      <w:pPr>
        <w:pStyle w:val="EndnoteText"/>
        <w:rPr>
          <w:sz w:val="24"/>
          <w:szCs w:val="24"/>
        </w:rPr>
      </w:pPr>
    </w:p>
    <w:p w14:paraId="3A5A2145"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Despeisse, M., Kishita, Y., Nakano, M., Barwood, M. (2015). Towards a Circular Economy for End-of-Life Vehicles: A Comparative Study UK – Japan. </w:t>
      </w:r>
      <w:r w:rsidRPr="004755C5">
        <w:rPr>
          <w:rFonts w:cstheme="minorHAnsi"/>
          <w:i/>
          <w:iCs/>
          <w:sz w:val="24"/>
          <w:szCs w:val="24"/>
        </w:rPr>
        <w:t>Procedia CIRP</w:t>
      </w:r>
      <w:r w:rsidRPr="004755C5">
        <w:rPr>
          <w:rFonts w:cstheme="minorHAnsi"/>
          <w:sz w:val="24"/>
          <w:szCs w:val="24"/>
        </w:rPr>
        <w:t xml:space="preserve">, 29, 668-673. </w:t>
      </w:r>
      <w:hyperlink r:id="rId16" w:history="1">
        <w:r w:rsidRPr="004755C5">
          <w:rPr>
            <w:rStyle w:val="Hyperlink"/>
            <w:rFonts w:cstheme="minorHAnsi"/>
            <w:sz w:val="24"/>
            <w:szCs w:val="24"/>
          </w:rPr>
          <w:t>https://doi.org/10.1016/j.procir.2015.02.122</w:t>
        </w:r>
      </w:hyperlink>
      <w:r w:rsidRPr="004755C5">
        <w:rPr>
          <w:rFonts w:cstheme="minorHAnsi"/>
          <w:sz w:val="24"/>
          <w:szCs w:val="24"/>
        </w:rPr>
        <w:t xml:space="preserve"> </w:t>
      </w:r>
    </w:p>
    <w:p w14:paraId="2EBB3267" w14:textId="77777777" w:rsidR="004755C5" w:rsidRPr="004755C5" w:rsidRDefault="004755C5" w:rsidP="004755C5">
      <w:pPr>
        <w:pStyle w:val="EndnoteText"/>
        <w:rPr>
          <w:rFonts w:cstheme="minorHAnsi"/>
          <w:sz w:val="24"/>
          <w:szCs w:val="24"/>
        </w:rPr>
      </w:pPr>
    </w:p>
    <w:p w14:paraId="5E896731"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Entwistle, J., Hursthouse, A., Marinho Reis, P., Stewart, A., (2019). Metalliferous mine dust: human health impacts and the potential determinants of disease in mining communities. </w:t>
      </w:r>
      <w:r w:rsidRPr="004755C5">
        <w:rPr>
          <w:rFonts w:cstheme="minorHAnsi"/>
          <w:i/>
          <w:iCs/>
          <w:sz w:val="24"/>
          <w:szCs w:val="24"/>
        </w:rPr>
        <w:t>Current Pollution Reports</w:t>
      </w:r>
      <w:r w:rsidRPr="004755C5">
        <w:rPr>
          <w:rFonts w:cstheme="minorHAnsi"/>
          <w:sz w:val="24"/>
          <w:szCs w:val="24"/>
        </w:rPr>
        <w:t xml:space="preserve">. 5(3), 67-83. </w:t>
      </w:r>
      <w:hyperlink r:id="rId17" w:history="1">
        <w:r w:rsidRPr="004755C5">
          <w:rPr>
            <w:rStyle w:val="Hyperlink"/>
            <w:rFonts w:cstheme="minorHAnsi"/>
            <w:sz w:val="24"/>
            <w:szCs w:val="24"/>
          </w:rPr>
          <w:t>https://doi.org/10.1007/s40726-019-00108-5</w:t>
        </w:r>
      </w:hyperlink>
    </w:p>
    <w:p w14:paraId="5848B178" w14:textId="77777777" w:rsidR="004755C5" w:rsidRPr="004755C5" w:rsidRDefault="004755C5" w:rsidP="004755C5">
      <w:pPr>
        <w:pStyle w:val="EndnoteText"/>
        <w:rPr>
          <w:rFonts w:cstheme="minorHAnsi"/>
          <w:sz w:val="24"/>
          <w:szCs w:val="24"/>
        </w:rPr>
      </w:pPr>
    </w:p>
    <w:p w14:paraId="77CD2D4B"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EPA. (2011). </w:t>
      </w:r>
      <w:r w:rsidRPr="004755C5">
        <w:rPr>
          <w:rFonts w:cstheme="minorHAnsi"/>
          <w:i/>
          <w:iCs/>
          <w:sz w:val="24"/>
          <w:szCs w:val="24"/>
        </w:rPr>
        <w:t>Benefits and costs of the Clean Air Act 1990-2020, the second prospective study</w:t>
      </w:r>
      <w:r w:rsidRPr="004755C5">
        <w:rPr>
          <w:rFonts w:cstheme="minorHAnsi"/>
          <w:sz w:val="24"/>
          <w:szCs w:val="24"/>
        </w:rPr>
        <w:t xml:space="preserve">. United States Environmental Protection Agency. Clean Air Act Overview. Retrieved on March 17, 2021 from </w:t>
      </w:r>
      <w:hyperlink r:id="rId18" w:history="1">
        <w:r w:rsidRPr="004755C5">
          <w:rPr>
            <w:rStyle w:val="Hyperlink"/>
            <w:rFonts w:cstheme="minorHAnsi"/>
            <w:sz w:val="24"/>
            <w:szCs w:val="24"/>
          </w:rPr>
          <w:t>https://www.epa.gov/clean-air-act-overview/benefits-and-costs-clean-air-act-1990-2020-second-prospective-study</w:t>
        </w:r>
      </w:hyperlink>
      <w:r w:rsidRPr="004755C5">
        <w:rPr>
          <w:rFonts w:cstheme="minorHAnsi"/>
          <w:sz w:val="24"/>
          <w:szCs w:val="24"/>
        </w:rPr>
        <w:t xml:space="preserve"> </w:t>
      </w:r>
    </w:p>
    <w:p w14:paraId="154F9B3F" w14:textId="77777777" w:rsidR="004755C5" w:rsidRPr="004755C5" w:rsidRDefault="004755C5" w:rsidP="004755C5">
      <w:pPr>
        <w:pStyle w:val="EndnoteText"/>
        <w:rPr>
          <w:rFonts w:cstheme="minorHAnsi"/>
          <w:sz w:val="24"/>
          <w:szCs w:val="24"/>
        </w:rPr>
      </w:pPr>
    </w:p>
    <w:p w14:paraId="2A038340" w14:textId="4A80B208" w:rsidR="004755C5" w:rsidRPr="004755C5" w:rsidRDefault="004755C5" w:rsidP="004755C5">
      <w:pPr>
        <w:pStyle w:val="EndnoteText"/>
        <w:rPr>
          <w:rFonts w:cstheme="minorHAnsi"/>
          <w:sz w:val="24"/>
          <w:szCs w:val="24"/>
        </w:rPr>
      </w:pPr>
      <w:r w:rsidRPr="004755C5">
        <w:rPr>
          <w:rFonts w:cstheme="minorHAnsi"/>
          <w:sz w:val="24"/>
          <w:szCs w:val="24"/>
        </w:rPr>
        <w:t>European Commission. (</w:t>
      </w:r>
      <w:r w:rsidR="001E3958">
        <w:rPr>
          <w:rFonts w:cstheme="minorHAnsi"/>
          <w:sz w:val="24"/>
          <w:szCs w:val="24"/>
        </w:rPr>
        <w:t>not dated</w:t>
      </w:r>
      <w:r w:rsidRPr="004755C5">
        <w:rPr>
          <w:rFonts w:cstheme="minorHAnsi"/>
          <w:sz w:val="24"/>
          <w:szCs w:val="24"/>
        </w:rPr>
        <w:t xml:space="preserve">) </w:t>
      </w:r>
      <w:r w:rsidRPr="004755C5">
        <w:rPr>
          <w:rFonts w:cstheme="minorHAnsi"/>
          <w:i/>
          <w:iCs/>
          <w:sz w:val="24"/>
          <w:szCs w:val="24"/>
        </w:rPr>
        <w:t>REACH</w:t>
      </w:r>
      <w:r w:rsidRPr="004755C5">
        <w:rPr>
          <w:rFonts w:cstheme="minorHAnsi"/>
          <w:sz w:val="24"/>
          <w:szCs w:val="24"/>
        </w:rPr>
        <w:t xml:space="preserve">. Environment. Retrieved March 8, 2021 from  </w:t>
      </w:r>
      <w:hyperlink r:id="rId19" w:history="1">
        <w:r w:rsidRPr="004755C5">
          <w:rPr>
            <w:rStyle w:val="Hyperlink"/>
            <w:rFonts w:cstheme="minorHAnsi"/>
            <w:sz w:val="24"/>
            <w:szCs w:val="24"/>
          </w:rPr>
          <w:t>https://ec.europa.eu/environment/chemicals/reach/reach_en.htm</w:t>
        </w:r>
      </w:hyperlink>
    </w:p>
    <w:p w14:paraId="63CEED0A" w14:textId="77777777" w:rsidR="004755C5" w:rsidRPr="004755C5" w:rsidRDefault="004755C5" w:rsidP="004755C5">
      <w:pPr>
        <w:pStyle w:val="EndnoteText"/>
        <w:rPr>
          <w:rFonts w:cstheme="minorHAnsi"/>
          <w:sz w:val="24"/>
          <w:szCs w:val="24"/>
        </w:rPr>
      </w:pPr>
    </w:p>
    <w:p w14:paraId="14687AB8"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Finch, C. E. (2018). </w:t>
      </w:r>
      <w:r w:rsidRPr="004755C5">
        <w:rPr>
          <w:rFonts w:cstheme="minorHAnsi"/>
          <w:i/>
          <w:iCs/>
          <w:sz w:val="24"/>
          <w:szCs w:val="24"/>
        </w:rPr>
        <w:t>The role of global air pollution in aging and disease. Reading smoke signals</w:t>
      </w:r>
      <w:r w:rsidRPr="004755C5">
        <w:rPr>
          <w:rFonts w:cstheme="minorHAnsi"/>
          <w:sz w:val="24"/>
          <w:szCs w:val="24"/>
        </w:rPr>
        <w:t>. London UK, and San Diego, CA: Academic Press. 2018.</w:t>
      </w:r>
    </w:p>
    <w:p w14:paraId="07388F68" w14:textId="77777777" w:rsidR="004755C5" w:rsidRPr="004755C5" w:rsidRDefault="004755C5" w:rsidP="004755C5">
      <w:pPr>
        <w:pStyle w:val="EndnoteText"/>
        <w:rPr>
          <w:rFonts w:cstheme="minorHAnsi"/>
          <w:sz w:val="24"/>
          <w:szCs w:val="24"/>
        </w:rPr>
      </w:pPr>
    </w:p>
    <w:p w14:paraId="1FE242DA"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Gorman, J. (2004, January 29). </w:t>
      </w:r>
      <w:r w:rsidRPr="004755C5">
        <w:rPr>
          <w:rFonts w:cstheme="minorHAnsi"/>
          <w:i/>
          <w:iCs/>
          <w:sz w:val="24"/>
          <w:szCs w:val="24"/>
        </w:rPr>
        <w:t>A drug used for cattle is said to be killing vultures</w:t>
      </w:r>
      <w:r w:rsidRPr="004755C5">
        <w:rPr>
          <w:rFonts w:cstheme="minorHAnsi"/>
          <w:sz w:val="24"/>
          <w:szCs w:val="24"/>
        </w:rPr>
        <w:t xml:space="preserve">. New York Times. Retrieved March 8, 2021 from </w:t>
      </w:r>
      <w:hyperlink r:id="rId20" w:history="1">
        <w:r w:rsidRPr="004755C5">
          <w:rPr>
            <w:rStyle w:val="Hyperlink"/>
            <w:rFonts w:cstheme="minorHAnsi"/>
            <w:sz w:val="24"/>
            <w:szCs w:val="24"/>
          </w:rPr>
          <w:t>https://www.vepachedu.org/TSJ/vultures.htm</w:t>
        </w:r>
      </w:hyperlink>
    </w:p>
    <w:p w14:paraId="462B7645" w14:textId="77777777" w:rsidR="004755C5" w:rsidRPr="004755C5" w:rsidRDefault="004755C5" w:rsidP="004755C5">
      <w:pPr>
        <w:pStyle w:val="EndnoteText"/>
        <w:rPr>
          <w:rFonts w:cstheme="minorHAnsi"/>
          <w:sz w:val="24"/>
          <w:szCs w:val="24"/>
        </w:rPr>
      </w:pPr>
    </w:p>
    <w:p w14:paraId="4ED0170D"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Hatch, M., Cardis, E. (2017). Somatic health effects of Chernobyl: 30 years on. </w:t>
      </w:r>
      <w:r w:rsidRPr="004755C5">
        <w:rPr>
          <w:rFonts w:cstheme="minorHAnsi"/>
          <w:i/>
          <w:iCs/>
          <w:sz w:val="24"/>
          <w:szCs w:val="24"/>
        </w:rPr>
        <w:t>Eur J Epidemiol</w:t>
      </w:r>
      <w:r w:rsidRPr="004755C5">
        <w:rPr>
          <w:rFonts w:cstheme="minorHAnsi"/>
          <w:sz w:val="24"/>
          <w:szCs w:val="24"/>
        </w:rPr>
        <w:t xml:space="preserve">. 32(12), 1047-1054. </w:t>
      </w:r>
      <w:hyperlink r:id="rId21" w:history="1">
        <w:r w:rsidRPr="004755C5">
          <w:rPr>
            <w:rStyle w:val="Hyperlink"/>
            <w:rFonts w:cstheme="minorHAnsi"/>
            <w:sz w:val="24"/>
            <w:szCs w:val="24"/>
          </w:rPr>
          <w:t>https://doi.org/10.1007/s10654-017-0303-6</w:t>
        </w:r>
      </w:hyperlink>
      <w:r w:rsidRPr="004755C5">
        <w:rPr>
          <w:rFonts w:cstheme="minorHAnsi"/>
          <w:sz w:val="24"/>
          <w:szCs w:val="24"/>
        </w:rPr>
        <w:t xml:space="preserve"> </w:t>
      </w:r>
    </w:p>
    <w:p w14:paraId="201135E0" w14:textId="77777777" w:rsidR="004755C5" w:rsidRPr="004755C5" w:rsidRDefault="004755C5" w:rsidP="004755C5">
      <w:pPr>
        <w:pStyle w:val="EndnoteText"/>
        <w:rPr>
          <w:rFonts w:cstheme="minorHAnsi"/>
          <w:sz w:val="24"/>
          <w:szCs w:val="24"/>
        </w:rPr>
      </w:pPr>
    </w:p>
    <w:p w14:paraId="4F4C9848"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Herklotz, P. A., Gurung, P., Vanden Heuvel, B., Kinney, C. A. (2010). Uptake of human pharmaceuticals by plants grown under hydroponic conditions, </w:t>
      </w:r>
      <w:r w:rsidRPr="004755C5">
        <w:rPr>
          <w:rFonts w:cstheme="minorHAnsi"/>
          <w:i/>
          <w:iCs/>
          <w:sz w:val="24"/>
          <w:szCs w:val="24"/>
        </w:rPr>
        <w:t>Chemosphere</w:t>
      </w:r>
      <w:r w:rsidRPr="004755C5">
        <w:rPr>
          <w:rFonts w:cstheme="minorHAnsi"/>
          <w:sz w:val="24"/>
          <w:szCs w:val="24"/>
        </w:rPr>
        <w:t xml:space="preserve">, 78(11), 1416-1421. </w:t>
      </w:r>
      <w:hyperlink r:id="rId22" w:history="1">
        <w:r w:rsidRPr="004755C5">
          <w:rPr>
            <w:rStyle w:val="Hyperlink"/>
            <w:rFonts w:cstheme="minorHAnsi"/>
            <w:sz w:val="24"/>
            <w:szCs w:val="24"/>
          </w:rPr>
          <w:t>https://doi.org/10.1016/j.chemosphere.2009.12.048</w:t>
        </w:r>
      </w:hyperlink>
      <w:r w:rsidRPr="004755C5">
        <w:rPr>
          <w:rFonts w:cstheme="minorHAnsi"/>
          <w:sz w:val="24"/>
          <w:szCs w:val="24"/>
        </w:rPr>
        <w:t xml:space="preserve"> </w:t>
      </w:r>
    </w:p>
    <w:p w14:paraId="487AEE0E" w14:textId="77777777" w:rsidR="004755C5" w:rsidRPr="004755C5" w:rsidRDefault="004755C5" w:rsidP="004755C5">
      <w:pPr>
        <w:pStyle w:val="EndnoteText"/>
        <w:rPr>
          <w:rFonts w:cstheme="minorHAnsi"/>
          <w:sz w:val="24"/>
          <w:szCs w:val="24"/>
        </w:rPr>
      </w:pPr>
    </w:p>
    <w:p w14:paraId="2F0B5824"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Jamieson, A. J., Brooks, L. S. R., Reid, W. D. K., Piertney, S. B., Narayanaswamy B. E., Linley T. D. (2019). Microplastics and synthetic particles ingested by deep-sea amphipods in six of the deepest marine ecosystems on Earth </w:t>
      </w:r>
      <w:r w:rsidRPr="004755C5">
        <w:rPr>
          <w:rFonts w:cstheme="minorHAnsi"/>
          <w:i/>
          <w:iCs/>
          <w:sz w:val="24"/>
          <w:szCs w:val="24"/>
        </w:rPr>
        <w:t>R. Soc. Open Sci</w:t>
      </w:r>
      <w:r w:rsidRPr="004755C5">
        <w:rPr>
          <w:rFonts w:cstheme="minorHAnsi"/>
          <w:sz w:val="24"/>
          <w:szCs w:val="24"/>
        </w:rPr>
        <w:t>. 6180667180667. https://doi.org/10.1098/rsos.180667</w:t>
      </w:r>
    </w:p>
    <w:p w14:paraId="61413ABD" w14:textId="77777777" w:rsidR="004755C5" w:rsidRPr="004755C5" w:rsidRDefault="004755C5" w:rsidP="004755C5">
      <w:pPr>
        <w:pStyle w:val="EndnoteText"/>
        <w:rPr>
          <w:rFonts w:cstheme="minorHAnsi"/>
          <w:sz w:val="24"/>
          <w:szCs w:val="24"/>
        </w:rPr>
      </w:pPr>
    </w:p>
    <w:p w14:paraId="1E774073" w14:textId="77777777" w:rsidR="004755C5" w:rsidRPr="004755C5" w:rsidRDefault="004755C5" w:rsidP="004755C5">
      <w:pPr>
        <w:pStyle w:val="CommentText"/>
        <w:rPr>
          <w:sz w:val="24"/>
          <w:szCs w:val="24"/>
        </w:rPr>
      </w:pPr>
      <w:bookmarkStart w:id="2" w:name="_Hlk66306577"/>
      <w:r w:rsidRPr="004755C5">
        <w:rPr>
          <w:sz w:val="24"/>
          <w:szCs w:val="24"/>
        </w:rPr>
        <w:t xml:space="preserve">Jiminez-Lopez, O., Ponder, J., Nault, A., Bueno, I. (2021). Non–steroidal anti–inflammatory drugs (Nsaids) and their effect on Old World vultures: A scoping review. </w:t>
      </w:r>
      <w:r w:rsidRPr="004755C5">
        <w:rPr>
          <w:i/>
          <w:iCs/>
          <w:sz w:val="24"/>
          <w:szCs w:val="24"/>
        </w:rPr>
        <w:t>Journal of Raptor Research</w:t>
      </w:r>
      <w:r w:rsidRPr="004755C5">
        <w:rPr>
          <w:sz w:val="24"/>
          <w:szCs w:val="24"/>
        </w:rPr>
        <w:t xml:space="preserve">. Available at </w:t>
      </w:r>
      <w:hyperlink r:id="rId23" w:history="1">
        <w:r w:rsidRPr="004755C5">
          <w:rPr>
            <w:rStyle w:val="Hyperlink"/>
            <w:sz w:val="24"/>
            <w:szCs w:val="24"/>
          </w:rPr>
          <w:t>https://meridian.allenpress.com/rapt/article-abstract/doi/10.3356/JRR-20-30/451685/Non-Steroidal-Anti-Inflammatory-Drugs-Nsaids-and</w:t>
        </w:r>
      </w:hyperlink>
      <w:r w:rsidRPr="004755C5">
        <w:rPr>
          <w:sz w:val="24"/>
          <w:szCs w:val="24"/>
        </w:rPr>
        <w:t xml:space="preserve"> </w:t>
      </w:r>
    </w:p>
    <w:p w14:paraId="5FF042CF" w14:textId="77777777" w:rsidR="004755C5" w:rsidRPr="004755C5" w:rsidRDefault="004755C5" w:rsidP="004755C5">
      <w:pPr>
        <w:pStyle w:val="CommentText"/>
        <w:rPr>
          <w:sz w:val="24"/>
          <w:szCs w:val="24"/>
        </w:rPr>
      </w:pPr>
    </w:p>
    <w:p w14:paraId="7095995F" w14:textId="1CF5D48A" w:rsidR="004755C5" w:rsidRPr="004755C5" w:rsidRDefault="004755C5" w:rsidP="004755C5">
      <w:pPr>
        <w:pStyle w:val="CommentText"/>
        <w:rPr>
          <w:sz w:val="24"/>
          <w:szCs w:val="24"/>
        </w:rPr>
      </w:pPr>
      <w:r w:rsidRPr="004755C5">
        <w:rPr>
          <w:sz w:val="24"/>
          <w:szCs w:val="24"/>
        </w:rPr>
        <w:t>Landrigan, P.J., Fuller, R., Acosta, N.J.R., Adeyi, O., Arnold, R., Basu, N., Baldé, A.B., Bertollini, R.,</w:t>
      </w:r>
      <w:r>
        <w:rPr>
          <w:sz w:val="24"/>
          <w:szCs w:val="24"/>
        </w:rPr>
        <w:t xml:space="preserve"> </w:t>
      </w:r>
      <w:r w:rsidRPr="004755C5">
        <w:rPr>
          <w:sz w:val="24"/>
          <w:szCs w:val="24"/>
        </w:rPr>
        <w:t xml:space="preserve">Bose-O’Reilly, S., Bouord, J.I., Baldé, A. B., Bertollini, R., Bose-O'Reilly, S., Boufford, J. I., </w:t>
      </w:r>
      <w:r w:rsidRPr="004755C5">
        <w:rPr>
          <w:sz w:val="24"/>
          <w:szCs w:val="24"/>
        </w:rPr>
        <w:lastRenderedPageBreak/>
        <w:t xml:space="preserve">Breysse, P. N., Chiles, T., Mahidol, C., Coll-Seck, A. M., Cropper, M. L., Fobil, J., Fuster, V., Greenstone, M., Haines, A., et al. (2017). The Lancet Commission on pollution and health. </w:t>
      </w:r>
      <w:r w:rsidRPr="004755C5">
        <w:rPr>
          <w:i/>
          <w:iCs/>
          <w:sz w:val="24"/>
          <w:szCs w:val="24"/>
        </w:rPr>
        <w:t xml:space="preserve">The Lancet, </w:t>
      </w:r>
      <w:r w:rsidRPr="004755C5">
        <w:rPr>
          <w:sz w:val="24"/>
          <w:szCs w:val="24"/>
        </w:rPr>
        <w:t xml:space="preserve">391, 462–512. </w:t>
      </w:r>
      <w:hyperlink r:id="rId24" w:history="1">
        <w:r w:rsidRPr="004755C5">
          <w:rPr>
            <w:rStyle w:val="Hyperlink"/>
            <w:sz w:val="24"/>
            <w:szCs w:val="24"/>
          </w:rPr>
          <w:t>https://doi.org/10.1016/S0140-6736(17)32345-0</w:t>
        </w:r>
      </w:hyperlink>
      <w:r w:rsidRPr="004755C5">
        <w:rPr>
          <w:sz w:val="24"/>
          <w:szCs w:val="24"/>
        </w:rPr>
        <w:t xml:space="preserve"> </w:t>
      </w:r>
    </w:p>
    <w:p w14:paraId="3629B4CB" w14:textId="77777777" w:rsidR="004755C5" w:rsidRPr="004755C5" w:rsidRDefault="004755C5" w:rsidP="004755C5">
      <w:pPr>
        <w:pStyle w:val="CommentText"/>
        <w:rPr>
          <w:sz w:val="24"/>
          <w:szCs w:val="24"/>
        </w:rPr>
      </w:pPr>
    </w:p>
    <w:bookmarkEnd w:id="2"/>
    <w:p w14:paraId="79099D25"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Mahoney, G., </w:t>
      </w:r>
      <w:r w:rsidRPr="004755C5">
        <w:rPr>
          <w:rFonts w:cstheme="minorHAnsi"/>
          <w:bCs/>
          <w:sz w:val="24"/>
          <w:szCs w:val="24"/>
        </w:rPr>
        <w:t>Stewart, A. G.,</w:t>
      </w:r>
      <w:r w:rsidRPr="004755C5">
        <w:rPr>
          <w:rFonts w:cstheme="minorHAnsi"/>
          <w:sz w:val="24"/>
          <w:szCs w:val="24"/>
        </w:rPr>
        <w:t xml:space="preserve"> Kennedy, N., Whitely, B., Turner, L., Wilkinson, E. (2015). Achieving attainable outcomes from good science in an untidy world: Case studies in land and air pollution. </w:t>
      </w:r>
      <w:r w:rsidRPr="004755C5">
        <w:rPr>
          <w:rFonts w:cstheme="minorHAnsi"/>
          <w:i/>
          <w:sz w:val="24"/>
          <w:szCs w:val="24"/>
        </w:rPr>
        <w:t>Environmental Geochemistry &amp; Health</w:t>
      </w:r>
      <w:r w:rsidRPr="004755C5">
        <w:rPr>
          <w:rFonts w:cstheme="minorHAnsi"/>
          <w:sz w:val="24"/>
          <w:szCs w:val="24"/>
        </w:rPr>
        <w:t xml:space="preserve">, 37: 689-706. </w:t>
      </w:r>
      <w:hyperlink r:id="rId25" w:history="1">
        <w:r w:rsidRPr="004755C5">
          <w:rPr>
            <w:rStyle w:val="Hyperlink"/>
            <w:rFonts w:cstheme="minorHAnsi"/>
            <w:sz w:val="24"/>
            <w:szCs w:val="24"/>
          </w:rPr>
          <w:t>https://doi.org/10.1007/s10653-015-9717-9</w:t>
        </w:r>
      </w:hyperlink>
    </w:p>
    <w:p w14:paraId="00DE86A3" w14:textId="77777777" w:rsidR="004755C5" w:rsidRPr="004755C5" w:rsidRDefault="004755C5" w:rsidP="004755C5">
      <w:pPr>
        <w:pStyle w:val="EndnoteText"/>
        <w:rPr>
          <w:rFonts w:cstheme="minorHAnsi"/>
          <w:sz w:val="24"/>
          <w:szCs w:val="24"/>
        </w:rPr>
      </w:pPr>
    </w:p>
    <w:p w14:paraId="73DFC7CB"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Maximenko, N., Corradi, P., Law, K. L., van Sebille, E., Garaba, S. P., Lampitt, R. S., Galgani, F., Martinez-Vicente, V., Goddijn-Murphy, L., Veiga, J. M., Thompson, R. C., Maes C., Moller D., Löscher, C. R., Addamo, A. M., Lamson, M. R., Centurioni, L. R., Posth, N. R., Lumpkin, R.,  et al. (2019). Toward the integrated marine debris observing system. </w:t>
      </w:r>
      <w:r w:rsidRPr="004755C5">
        <w:rPr>
          <w:rFonts w:cstheme="minorHAnsi"/>
          <w:i/>
          <w:iCs/>
          <w:sz w:val="24"/>
          <w:szCs w:val="24"/>
        </w:rPr>
        <w:t>Frontiers in Marine Science.</w:t>
      </w:r>
      <w:r w:rsidRPr="004755C5">
        <w:rPr>
          <w:rFonts w:cstheme="minorHAnsi"/>
          <w:sz w:val="24"/>
          <w:szCs w:val="24"/>
        </w:rPr>
        <w:t xml:space="preserve"> 6, 447 </w:t>
      </w:r>
      <w:hyperlink r:id="rId26" w:history="1">
        <w:r w:rsidRPr="004755C5">
          <w:rPr>
            <w:rStyle w:val="Hyperlink"/>
            <w:rFonts w:cstheme="minorHAnsi"/>
            <w:sz w:val="24"/>
            <w:szCs w:val="24"/>
          </w:rPr>
          <w:t>https://doi.org/10.3389/fmars.2019.00447</w:t>
        </w:r>
      </w:hyperlink>
      <w:r w:rsidRPr="004755C5">
        <w:rPr>
          <w:rFonts w:cstheme="minorHAnsi"/>
          <w:sz w:val="24"/>
          <w:szCs w:val="24"/>
        </w:rPr>
        <w:t xml:space="preserve">     </w:t>
      </w:r>
    </w:p>
    <w:p w14:paraId="6B00B9DF" w14:textId="77777777" w:rsidR="004755C5" w:rsidRPr="004755C5" w:rsidRDefault="004755C5" w:rsidP="004755C5">
      <w:pPr>
        <w:pStyle w:val="EndnoteText"/>
        <w:rPr>
          <w:rFonts w:cstheme="minorHAnsi"/>
          <w:sz w:val="24"/>
          <w:szCs w:val="24"/>
        </w:rPr>
      </w:pPr>
    </w:p>
    <w:p w14:paraId="15E78073"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Minet, L., Blum, A., Fernández, S. R., Rodgers, K. M., Singla, V., Soehl, A., Diamond, M. L. (2021). High production, low information: We need to know more about polymeric flame retardants. </w:t>
      </w:r>
      <w:r w:rsidRPr="004755C5">
        <w:rPr>
          <w:rFonts w:cstheme="minorHAnsi"/>
          <w:i/>
          <w:iCs/>
          <w:sz w:val="24"/>
          <w:szCs w:val="24"/>
        </w:rPr>
        <w:t>Environ Sci Technol</w:t>
      </w:r>
      <w:r w:rsidRPr="004755C5">
        <w:rPr>
          <w:rFonts w:cstheme="minorHAnsi"/>
          <w:sz w:val="24"/>
          <w:szCs w:val="24"/>
        </w:rPr>
        <w:t xml:space="preserve">. </w:t>
      </w:r>
      <w:hyperlink r:id="rId27" w:history="1">
        <w:r w:rsidRPr="004755C5">
          <w:rPr>
            <w:rStyle w:val="Hyperlink"/>
            <w:rFonts w:cstheme="minorHAnsi"/>
            <w:sz w:val="24"/>
            <w:szCs w:val="24"/>
          </w:rPr>
          <w:t>https://doi.org/10.1021/acs.est.0c08126</w:t>
        </w:r>
      </w:hyperlink>
      <w:r w:rsidRPr="004755C5">
        <w:rPr>
          <w:rFonts w:cstheme="minorHAnsi"/>
          <w:sz w:val="24"/>
          <w:szCs w:val="24"/>
        </w:rPr>
        <w:t xml:space="preserve"> </w:t>
      </w:r>
    </w:p>
    <w:p w14:paraId="6D37668F" w14:textId="77777777" w:rsidR="004755C5" w:rsidRPr="004755C5" w:rsidRDefault="004755C5" w:rsidP="004755C5">
      <w:pPr>
        <w:pStyle w:val="EndnoteText"/>
        <w:rPr>
          <w:rFonts w:cstheme="minorHAnsi"/>
          <w:sz w:val="24"/>
          <w:szCs w:val="24"/>
        </w:rPr>
      </w:pPr>
    </w:p>
    <w:p w14:paraId="0166714B" w14:textId="77777777" w:rsidR="004755C5" w:rsidRPr="004755C5" w:rsidRDefault="004755C5" w:rsidP="004755C5">
      <w:pPr>
        <w:rPr>
          <w:rStyle w:val="apple-converted-space"/>
          <w:rFonts w:cstheme="minorHAnsi"/>
          <w:color w:val="000000"/>
        </w:rPr>
      </w:pPr>
      <w:r w:rsidRPr="004755C5">
        <w:rPr>
          <w:rFonts w:cstheme="minorHAnsi"/>
          <w:color w:val="000000"/>
        </w:rPr>
        <w:t>Nguyen, C. C., Hugie, C. N., Kile, M., L., Navab-Daneshmand, T. (2019). Association between heavy metals and antibiotic-resistant human pathogens in environmental reservoirs: A review.</w:t>
      </w:r>
      <w:r w:rsidRPr="004755C5">
        <w:rPr>
          <w:rStyle w:val="apple-converted-space"/>
          <w:rFonts w:cstheme="minorHAnsi"/>
          <w:color w:val="000000"/>
        </w:rPr>
        <w:t> </w:t>
      </w:r>
      <w:r w:rsidRPr="004755C5">
        <w:rPr>
          <w:rFonts w:cstheme="minorHAnsi"/>
          <w:i/>
          <w:iCs/>
          <w:color w:val="000000"/>
        </w:rPr>
        <w:t>Front. Environ. Sci. Eng</w:t>
      </w:r>
      <w:r w:rsidRPr="004755C5">
        <w:rPr>
          <w:rFonts w:cstheme="minorHAnsi"/>
          <w:color w:val="000000"/>
        </w:rPr>
        <w:t>, 13(3), 46.</w:t>
      </w:r>
      <w:r w:rsidRPr="004755C5">
        <w:rPr>
          <w:rStyle w:val="apple-converted-space"/>
          <w:rFonts w:cstheme="minorHAnsi"/>
          <w:color w:val="000000"/>
        </w:rPr>
        <w:t> </w:t>
      </w:r>
      <w:hyperlink r:id="rId28" w:history="1">
        <w:r w:rsidRPr="004755C5">
          <w:rPr>
            <w:rStyle w:val="Hyperlink"/>
            <w:rFonts w:cstheme="minorHAnsi"/>
          </w:rPr>
          <w:t>https://doi.org/10.1007/s11783-019-1129-0</w:t>
        </w:r>
      </w:hyperlink>
      <w:r w:rsidRPr="004755C5">
        <w:rPr>
          <w:rStyle w:val="apple-converted-space"/>
          <w:rFonts w:cstheme="minorHAnsi"/>
          <w:color w:val="000000"/>
        </w:rPr>
        <w:t xml:space="preserve"> </w:t>
      </w:r>
    </w:p>
    <w:p w14:paraId="5214E8BE" w14:textId="77777777" w:rsidR="004755C5" w:rsidRPr="004755C5" w:rsidRDefault="004755C5" w:rsidP="004755C5">
      <w:pPr>
        <w:pStyle w:val="EndnoteText"/>
        <w:rPr>
          <w:rFonts w:cstheme="minorHAnsi"/>
          <w:sz w:val="24"/>
          <w:szCs w:val="24"/>
        </w:rPr>
      </w:pPr>
    </w:p>
    <w:p w14:paraId="07319818" w14:textId="77777777" w:rsidR="004755C5" w:rsidRPr="004755C5" w:rsidRDefault="004755C5" w:rsidP="004755C5">
      <w:pPr>
        <w:pStyle w:val="EndnoteText"/>
        <w:rPr>
          <w:rFonts w:eastAsia="Times New Roman" w:cstheme="minorHAnsi"/>
          <w:sz w:val="24"/>
          <w:szCs w:val="24"/>
          <w:lang w:eastAsia="en-GB"/>
        </w:rPr>
      </w:pPr>
      <w:r w:rsidRPr="004755C5">
        <w:rPr>
          <w:rFonts w:cstheme="minorHAnsi"/>
          <w:sz w:val="24"/>
          <w:szCs w:val="24"/>
        </w:rPr>
        <w:t xml:space="preserve">Norris, J., Wright, N., Fagan, L., Mayner, L., and Murray, V. (2020). </w:t>
      </w:r>
      <w:r w:rsidRPr="004755C5">
        <w:rPr>
          <w:rFonts w:cstheme="minorHAnsi"/>
          <w:i/>
          <w:iCs/>
          <w:sz w:val="24"/>
          <w:szCs w:val="24"/>
        </w:rPr>
        <w:t>Taking an all-hazards approach to tackling global disaster risk – an important step towards implementing the UN Sendai Framework for Disaster Risk Reduction.</w:t>
      </w:r>
      <w:r w:rsidRPr="004755C5">
        <w:rPr>
          <w:rFonts w:cstheme="minorHAnsi"/>
          <w:sz w:val="24"/>
          <w:szCs w:val="24"/>
        </w:rPr>
        <w:t xml:space="preserve"> EGU General Assembly 2020, Online, 4–8 May 2020, EGU2020-22175. Retrieved on March 17, 2021 from </w:t>
      </w:r>
      <w:hyperlink r:id="rId29" w:history="1">
        <w:r w:rsidRPr="004755C5">
          <w:rPr>
            <w:rStyle w:val="Hyperlink"/>
            <w:rFonts w:cstheme="minorHAnsi"/>
            <w:sz w:val="24"/>
            <w:szCs w:val="24"/>
          </w:rPr>
          <w:t>https://doi.org/10.5194/egusphere-egu2020-22175</w:t>
        </w:r>
      </w:hyperlink>
      <w:r w:rsidRPr="004755C5">
        <w:rPr>
          <w:rFonts w:cstheme="minorHAnsi"/>
          <w:sz w:val="24"/>
          <w:szCs w:val="24"/>
        </w:rPr>
        <w:t xml:space="preserve"> </w:t>
      </w:r>
    </w:p>
    <w:p w14:paraId="14A49236" w14:textId="77777777" w:rsidR="004755C5" w:rsidRPr="004755C5" w:rsidRDefault="004755C5" w:rsidP="004755C5">
      <w:pPr>
        <w:pStyle w:val="EndnoteText"/>
        <w:rPr>
          <w:rFonts w:eastAsia="Times New Roman" w:cstheme="minorHAnsi"/>
          <w:sz w:val="24"/>
          <w:szCs w:val="24"/>
          <w:lang w:eastAsia="en-GB"/>
        </w:rPr>
      </w:pPr>
    </w:p>
    <w:p w14:paraId="0889CBA8" w14:textId="77777777" w:rsidR="004755C5" w:rsidRPr="004755C5" w:rsidRDefault="004755C5" w:rsidP="004755C5">
      <w:pPr>
        <w:pStyle w:val="EndnoteText"/>
        <w:rPr>
          <w:rStyle w:val="Hyperlink"/>
          <w:rFonts w:eastAsia="Times New Roman" w:cstheme="minorHAnsi"/>
          <w:sz w:val="24"/>
          <w:szCs w:val="24"/>
          <w:lang w:eastAsia="en-GB"/>
        </w:rPr>
      </w:pPr>
      <w:r w:rsidRPr="004755C5">
        <w:rPr>
          <w:rFonts w:eastAsia="Times New Roman" w:cstheme="minorHAnsi"/>
          <w:sz w:val="24"/>
          <w:szCs w:val="24"/>
          <w:lang w:eastAsia="en-GB"/>
        </w:rPr>
        <w:t xml:space="preserve">OECD. (1992). </w:t>
      </w:r>
      <w:r w:rsidRPr="004755C5">
        <w:rPr>
          <w:rFonts w:eastAsia="Times New Roman" w:cstheme="minorHAnsi"/>
          <w:i/>
          <w:iCs/>
          <w:sz w:val="24"/>
          <w:szCs w:val="24"/>
          <w:lang w:eastAsia="en-GB"/>
        </w:rPr>
        <w:t>The polluter-pays principle. OECD analyses and recommendations.</w:t>
      </w:r>
      <w:r w:rsidRPr="004755C5">
        <w:rPr>
          <w:rFonts w:eastAsia="Times New Roman" w:cstheme="minorHAnsi"/>
          <w:sz w:val="24"/>
          <w:szCs w:val="24"/>
          <w:lang w:eastAsia="en-GB"/>
        </w:rPr>
        <w:t xml:space="preserve"> Environmental Directorate, Organisation for Economic Co-operation and Development. Paris. Retrieved March 17, 2021 from </w:t>
      </w:r>
      <w:hyperlink r:id="rId30" w:history="1">
        <w:r w:rsidRPr="004755C5">
          <w:rPr>
            <w:rStyle w:val="Hyperlink"/>
            <w:rFonts w:eastAsia="Times New Roman" w:cstheme="minorHAnsi"/>
            <w:sz w:val="24"/>
            <w:szCs w:val="24"/>
            <w:lang w:eastAsia="en-GB"/>
          </w:rPr>
          <w:t>http://www.oecd.org/officialdocuments/publicdisplaydocumentpdf/?cote=OCDE/GD%2892%2981&amp;docLanguage=En</w:t>
        </w:r>
      </w:hyperlink>
    </w:p>
    <w:p w14:paraId="29569BB0" w14:textId="77777777" w:rsidR="004755C5" w:rsidRPr="004755C5" w:rsidRDefault="004755C5" w:rsidP="004755C5">
      <w:pPr>
        <w:pStyle w:val="EndnoteText"/>
        <w:rPr>
          <w:rStyle w:val="Hyperlink"/>
          <w:rFonts w:eastAsia="Times New Roman" w:cstheme="minorHAnsi"/>
          <w:sz w:val="24"/>
          <w:szCs w:val="24"/>
          <w:lang w:eastAsia="en-GB"/>
        </w:rPr>
      </w:pPr>
    </w:p>
    <w:p w14:paraId="7A9F767E" w14:textId="7DBB2A09" w:rsidR="004755C5" w:rsidRPr="004755C5" w:rsidRDefault="004755C5" w:rsidP="004755C5">
      <w:pPr>
        <w:pStyle w:val="EndnoteText"/>
        <w:rPr>
          <w:rStyle w:val="Hyperlink"/>
          <w:rFonts w:cstheme="minorHAnsi"/>
          <w:sz w:val="24"/>
          <w:szCs w:val="24"/>
        </w:rPr>
      </w:pPr>
      <w:r w:rsidRPr="004755C5">
        <w:rPr>
          <w:rFonts w:cstheme="minorHAnsi"/>
          <w:sz w:val="24"/>
          <w:szCs w:val="24"/>
        </w:rPr>
        <w:t xml:space="preserve">Ottersbach, N. (2019, November 25). </w:t>
      </w:r>
      <w:r w:rsidRPr="004755C5">
        <w:rPr>
          <w:rFonts w:cstheme="minorHAnsi"/>
          <w:i/>
          <w:iCs/>
          <w:sz w:val="24"/>
          <w:szCs w:val="24"/>
        </w:rPr>
        <w:t>Switchgear uses Sf6 the world’s most potent greenhouse gas how do we regulate it</w:t>
      </w:r>
      <w:r w:rsidRPr="004755C5">
        <w:rPr>
          <w:rFonts w:cstheme="minorHAnsi"/>
          <w:sz w:val="24"/>
          <w:szCs w:val="24"/>
        </w:rPr>
        <w:t xml:space="preserve">? Energy Post.eu. Retrieved 9 March 2021 from </w:t>
      </w:r>
      <w:hyperlink r:id="rId31" w:history="1">
        <w:r w:rsidRPr="004755C5">
          <w:rPr>
            <w:rStyle w:val="Hyperlink"/>
            <w:rFonts w:cstheme="minorHAnsi"/>
            <w:sz w:val="24"/>
            <w:szCs w:val="24"/>
          </w:rPr>
          <w:t>https://energypost.eu/grid-switchgear-uses-sf6-the-worlds-most-potent-greenhouse-gas-how-do-we-regulate-it/</w:t>
        </w:r>
      </w:hyperlink>
    </w:p>
    <w:p w14:paraId="5291AB85" w14:textId="77777777" w:rsidR="004755C5" w:rsidRPr="004755C5" w:rsidRDefault="004755C5" w:rsidP="004755C5">
      <w:pPr>
        <w:pStyle w:val="EndnoteText"/>
        <w:rPr>
          <w:rStyle w:val="Hyperlink"/>
          <w:rFonts w:cstheme="minorHAnsi"/>
          <w:sz w:val="24"/>
          <w:szCs w:val="24"/>
        </w:rPr>
      </w:pPr>
    </w:p>
    <w:p w14:paraId="396DEEF3" w14:textId="77777777" w:rsidR="004755C5" w:rsidRPr="004755C5" w:rsidRDefault="004755C5" w:rsidP="004755C5">
      <w:pPr>
        <w:pStyle w:val="EndnoteText"/>
        <w:rPr>
          <w:rFonts w:cstheme="minorHAnsi"/>
          <w:color w:val="000000" w:themeColor="text1"/>
          <w:sz w:val="24"/>
          <w:szCs w:val="24"/>
        </w:rPr>
      </w:pPr>
      <w:r w:rsidRPr="004755C5">
        <w:rPr>
          <w:rStyle w:val="Hyperlink"/>
          <w:rFonts w:cstheme="minorHAnsi"/>
          <w:color w:val="000000" w:themeColor="text1"/>
          <w:sz w:val="24"/>
          <w:szCs w:val="24"/>
          <w:u w:val="none"/>
        </w:rPr>
        <w:t xml:space="preserve">Pagano, G. (2016). </w:t>
      </w:r>
      <w:r w:rsidRPr="004755C5">
        <w:rPr>
          <w:rStyle w:val="Hyperlink"/>
          <w:rFonts w:cstheme="minorHAnsi"/>
          <w:i/>
          <w:iCs/>
          <w:color w:val="000000" w:themeColor="text1"/>
          <w:sz w:val="24"/>
          <w:szCs w:val="24"/>
          <w:u w:val="none"/>
        </w:rPr>
        <w:t>Rare earth elements in human and environmental health: At the crossroads between toxicity and safety.</w:t>
      </w:r>
      <w:r w:rsidRPr="004755C5">
        <w:rPr>
          <w:rStyle w:val="Hyperlink"/>
          <w:rFonts w:cstheme="minorHAnsi"/>
          <w:color w:val="000000" w:themeColor="text1"/>
          <w:sz w:val="24"/>
          <w:szCs w:val="24"/>
          <w:u w:val="none"/>
        </w:rPr>
        <w:t xml:space="preserve"> Jenny Stanford Publishing. ISBN 9789814745000 </w:t>
      </w:r>
    </w:p>
    <w:p w14:paraId="4974ADC1" w14:textId="77777777" w:rsidR="004755C5" w:rsidRPr="004755C5" w:rsidRDefault="004755C5" w:rsidP="004755C5">
      <w:pPr>
        <w:pStyle w:val="EndnoteText"/>
        <w:rPr>
          <w:rFonts w:cstheme="minorHAnsi"/>
          <w:sz w:val="24"/>
          <w:szCs w:val="24"/>
        </w:rPr>
      </w:pPr>
    </w:p>
    <w:p w14:paraId="1C3A97E9"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Pait, A.S., Warner, R.A., Hartwell, S.I., Nelson, J.O., Pacheco, P.A., Mason, A.L. (2006). </w:t>
      </w:r>
      <w:r w:rsidRPr="004755C5">
        <w:rPr>
          <w:rFonts w:cstheme="minorHAnsi"/>
          <w:i/>
          <w:iCs/>
          <w:sz w:val="24"/>
          <w:szCs w:val="24"/>
        </w:rPr>
        <w:t>Human use pharmaceuticals in the estuarine environment:  A survey of the Chesapeake Bay, Biscayne Bay and Gulf of the Farallones</w:t>
      </w:r>
      <w:r w:rsidRPr="004755C5">
        <w:rPr>
          <w:rFonts w:cstheme="minorHAnsi"/>
          <w:sz w:val="24"/>
          <w:szCs w:val="24"/>
        </w:rPr>
        <w:t xml:space="preserve">. NOAA Technical Memorandum NOS NCCOS 7. Silver Spring, Md.: U.S. Dept. of Commerce, National Oceanic and Atmospheric Administration, </w:t>
      </w:r>
      <w:r w:rsidRPr="004755C5">
        <w:rPr>
          <w:rFonts w:cstheme="minorHAnsi"/>
          <w:sz w:val="24"/>
          <w:szCs w:val="24"/>
        </w:rPr>
        <w:lastRenderedPageBreak/>
        <w:t xml:space="preserve">National Ocean Service, National Centers for Coastal Ocean Science, Center for Coastal Monitoring and Assessment. </w:t>
      </w:r>
      <w:hyperlink r:id="rId32" w:history="1">
        <w:r w:rsidRPr="004755C5">
          <w:rPr>
            <w:rStyle w:val="Hyperlink"/>
            <w:rFonts w:cstheme="minorHAnsi"/>
            <w:sz w:val="24"/>
            <w:szCs w:val="24"/>
          </w:rPr>
          <w:t>https://purl.fdlp.gov/GPO/LPS100339</w:t>
        </w:r>
      </w:hyperlink>
      <w:r w:rsidRPr="004755C5">
        <w:rPr>
          <w:rFonts w:cstheme="minorHAnsi"/>
          <w:sz w:val="24"/>
          <w:szCs w:val="24"/>
        </w:rPr>
        <w:t>.  21pp.</w:t>
      </w:r>
    </w:p>
    <w:p w14:paraId="0EE29479" w14:textId="77777777" w:rsidR="004755C5" w:rsidRPr="004755C5" w:rsidRDefault="004755C5" w:rsidP="004755C5">
      <w:pPr>
        <w:pStyle w:val="EndnoteText"/>
        <w:rPr>
          <w:rFonts w:cstheme="minorHAnsi"/>
          <w:sz w:val="24"/>
          <w:szCs w:val="24"/>
        </w:rPr>
      </w:pPr>
    </w:p>
    <w:p w14:paraId="25669CBB"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Pardo, M., Qiu, X., Zimmermann, R., Rudich, Y. (2020). Particulate matter toxicity Is Nrf2 and mitochondria dependent: The roles of metals and polycyclic aromatic hydrocarbons. </w:t>
      </w:r>
      <w:r w:rsidRPr="004755C5">
        <w:rPr>
          <w:rFonts w:cstheme="minorHAnsi"/>
          <w:i/>
          <w:iCs/>
          <w:sz w:val="24"/>
          <w:szCs w:val="24"/>
        </w:rPr>
        <w:t>Chem. Res. Toxicol</w:t>
      </w:r>
      <w:r w:rsidRPr="004755C5">
        <w:rPr>
          <w:rFonts w:cstheme="minorHAnsi"/>
          <w:sz w:val="24"/>
          <w:szCs w:val="24"/>
        </w:rPr>
        <w:t>. 33(5), 1110–1120.</w:t>
      </w:r>
    </w:p>
    <w:p w14:paraId="6C97834E" w14:textId="77777777" w:rsidR="004755C5" w:rsidRPr="004755C5" w:rsidRDefault="00C32857" w:rsidP="004755C5">
      <w:pPr>
        <w:pStyle w:val="EndnoteText"/>
        <w:rPr>
          <w:rFonts w:cstheme="minorHAnsi"/>
          <w:sz w:val="24"/>
          <w:szCs w:val="24"/>
        </w:rPr>
      </w:pPr>
      <w:hyperlink r:id="rId33" w:history="1">
        <w:r w:rsidR="004755C5" w:rsidRPr="004755C5">
          <w:rPr>
            <w:rStyle w:val="Hyperlink"/>
            <w:rFonts w:cstheme="minorHAnsi"/>
            <w:sz w:val="24"/>
            <w:szCs w:val="24"/>
          </w:rPr>
          <w:t>https://doi.org/10.1021/acs.chemrestox.0c00007</w:t>
        </w:r>
      </w:hyperlink>
    </w:p>
    <w:p w14:paraId="0B952B38" w14:textId="77777777" w:rsidR="004755C5" w:rsidRPr="004755C5" w:rsidRDefault="004755C5" w:rsidP="004755C5">
      <w:pPr>
        <w:pStyle w:val="EndnoteText"/>
        <w:rPr>
          <w:rFonts w:cstheme="minorHAnsi"/>
          <w:sz w:val="24"/>
          <w:szCs w:val="24"/>
        </w:rPr>
      </w:pPr>
    </w:p>
    <w:p w14:paraId="74A7BBC3"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Prajapati, S. (2012). Ecological effect of airborne particulate matter on plants. </w:t>
      </w:r>
      <w:r w:rsidRPr="004755C5">
        <w:rPr>
          <w:rFonts w:cstheme="minorHAnsi"/>
          <w:i/>
          <w:iCs/>
          <w:sz w:val="24"/>
          <w:szCs w:val="24"/>
        </w:rPr>
        <w:t>Environmental Skeptics and Critics</w:t>
      </w:r>
      <w:r w:rsidRPr="004755C5">
        <w:rPr>
          <w:rFonts w:cstheme="minorHAnsi"/>
          <w:sz w:val="24"/>
          <w:szCs w:val="24"/>
        </w:rPr>
        <w:t xml:space="preserve">. 1, 12-22. </w:t>
      </w:r>
      <w:hyperlink r:id="rId34" w:history="1">
        <w:r w:rsidRPr="004755C5">
          <w:rPr>
            <w:rStyle w:val="Hyperlink"/>
            <w:rFonts w:cstheme="minorHAnsi"/>
            <w:sz w:val="24"/>
            <w:szCs w:val="24"/>
          </w:rPr>
          <w:t>https://www.researchgate.net/publication/257836928_Ecological_effect_of_airborne_particulate_matter_on_plants</w:t>
        </w:r>
      </w:hyperlink>
      <w:r w:rsidRPr="004755C5">
        <w:rPr>
          <w:rFonts w:cstheme="minorHAnsi"/>
          <w:sz w:val="24"/>
          <w:szCs w:val="24"/>
        </w:rPr>
        <w:t xml:space="preserve"> </w:t>
      </w:r>
    </w:p>
    <w:p w14:paraId="61DB1F6C" w14:textId="77777777" w:rsidR="004755C5" w:rsidRPr="004755C5" w:rsidRDefault="004755C5" w:rsidP="004755C5">
      <w:pPr>
        <w:pStyle w:val="EndnoteText"/>
        <w:rPr>
          <w:rFonts w:cstheme="minorHAnsi"/>
          <w:sz w:val="24"/>
          <w:szCs w:val="24"/>
        </w:rPr>
      </w:pPr>
    </w:p>
    <w:p w14:paraId="2E516E8B" w14:textId="77777777" w:rsidR="004755C5" w:rsidRPr="004755C5" w:rsidRDefault="004755C5" w:rsidP="004755C5">
      <w:pPr>
        <w:pStyle w:val="EndnoteText"/>
        <w:rPr>
          <w:rStyle w:val="Hyperlink"/>
          <w:rFonts w:cstheme="minorHAnsi"/>
          <w:sz w:val="24"/>
          <w:szCs w:val="24"/>
        </w:rPr>
      </w:pPr>
      <w:r w:rsidRPr="004755C5">
        <w:rPr>
          <w:rFonts w:cstheme="minorHAnsi"/>
          <w:sz w:val="24"/>
          <w:szCs w:val="24"/>
        </w:rPr>
        <w:t xml:space="preserve">Public Health England. (2018a). </w:t>
      </w:r>
      <w:r w:rsidRPr="004755C5">
        <w:rPr>
          <w:rFonts w:cstheme="minorHAnsi"/>
          <w:i/>
          <w:iCs/>
          <w:sz w:val="24"/>
          <w:szCs w:val="24"/>
        </w:rPr>
        <w:t>PFOS and PFOA: health effects, incident management and toxicology</w:t>
      </w:r>
      <w:r w:rsidRPr="004755C5">
        <w:rPr>
          <w:rFonts w:cstheme="minorHAnsi"/>
          <w:sz w:val="24"/>
          <w:szCs w:val="24"/>
        </w:rPr>
        <w:t xml:space="preserve">. Retrieved March 9, 2020 from </w:t>
      </w:r>
      <w:hyperlink r:id="rId35" w:history="1">
        <w:r w:rsidRPr="004755C5">
          <w:rPr>
            <w:rStyle w:val="Hyperlink"/>
            <w:rFonts w:cstheme="minorHAnsi"/>
            <w:sz w:val="24"/>
            <w:szCs w:val="24"/>
          </w:rPr>
          <w:t>https://www.gov.uk/government/publications/pfos-and-pfoa-properties-incident-management-and-toxicology</w:t>
        </w:r>
      </w:hyperlink>
    </w:p>
    <w:p w14:paraId="050A8B17" w14:textId="77777777" w:rsidR="004755C5" w:rsidRPr="004755C5" w:rsidRDefault="004755C5" w:rsidP="004755C5">
      <w:pPr>
        <w:pStyle w:val="EndnoteText"/>
        <w:rPr>
          <w:rStyle w:val="Hyperlink"/>
          <w:rFonts w:cstheme="minorHAnsi"/>
          <w:sz w:val="24"/>
          <w:szCs w:val="24"/>
        </w:rPr>
      </w:pPr>
    </w:p>
    <w:p w14:paraId="00869480"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Public Health England. (2018b, May 22). New tool calculates NHS and social care costs of air pollution. Chemical and Environmental Hazards. News story. Retrieved on March 17, 2021 from </w:t>
      </w:r>
      <w:hyperlink r:id="rId36" w:history="1">
        <w:r w:rsidRPr="004755C5">
          <w:rPr>
            <w:rStyle w:val="Hyperlink"/>
            <w:rFonts w:cstheme="minorHAnsi"/>
            <w:sz w:val="24"/>
            <w:szCs w:val="24"/>
          </w:rPr>
          <w:t>https://www.gov.uk/government/news/new-tool-calculates-nhs-and-social-care-costs-of-air-pollution</w:t>
        </w:r>
      </w:hyperlink>
      <w:r w:rsidRPr="004755C5">
        <w:rPr>
          <w:rFonts w:cstheme="minorHAnsi"/>
          <w:sz w:val="24"/>
          <w:szCs w:val="24"/>
        </w:rPr>
        <w:t xml:space="preserve"> </w:t>
      </w:r>
    </w:p>
    <w:p w14:paraId="45FBAD3E" w14:textId="77777777" w:rsidR="004755C5" w:rsidRPr="004755C5" w:rsidRDefault="004755C5" w:rsidP="004755C5">
      <w:pPr>
        <w:pStyle w:val="EndnoteText"/>
        <w:rPr>
          <w:rFonts w:cstheme="minorHAnsi"/>
          <w:sz w:val="24"/>
          <w:szCs w:val="24"/>
        </w:rPr>
      </w:pPr>
    </w:p>
    <w:p w14:paraId="63320CF2"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Ragusa, A., Svelato, A., Santacroce, C., Catalano, P., Notarstefano, V., Carnevali, O., Papa, F., Rongioletti, M. C. A., Baiocco, F., Draghi, S., D'Amore, E., Rinaldo, D., Matta, M., Giorgini, E, (2021). Plasticenta: First evidence of microplastics in human placenta. </w:t>
      </w:r>
      <w:r w:rsidRPr="004755C5">
        <w:rPr>
          <w:rFonts w:cstheme="minorHAnsi"/>
          <w:i/>
          <w:iCs/>
          <w:sz w:val="24"/>
          <w:szCs w:val="24"/>
        </w:rPr>
        <w:t>Environment International</w:t>
      </w:r>
      <w:r w:rsidRPr="004755C5">
        <w:rPr>
          <w:rFonts w:cstheme="minorHAnsi"/>
          <w:sz w:val="24"/>
          <w:szCs w:val="24"/>
        </w:rPr>
        <w:t xml:space="preserve">, 146, 106274. </w:t>
      </w:r>
      <w:hyperlink r:id="rId37" w:history="1">
        <w:r w:rsidRPr="004755C5">
          <w:rPr>
            <w:rStyle w:val="Hyperlink"/>
            <w:rFonts w:cstheme="minorHAnsi"/>
            <w:sz w:val="24"/>
            <w:szCs w:val="24"/>
          </w:rPr>
          <w:t>https://doi.org/10.1016/j.envint.2020.106274</w:t>
        </w:r>
      </w:hyperlink>
      <w:r w:rsidRPr="004755C5">
        <w:rPr>
          <w:rFonts w:cstheme="minorHAnsi"/>
          <w:sz w:val="24"/>
          <w:szCs w:val="24"/>
        </w:rPr>
        <w:t xml:space="preserve">  </w:t>
      </w:r>
    </w:p>
    <w:p w14:paraId="12279B06" w14:textId="77777777" w:rsidR="004755C5" w:rsidRPr="004755C5" w:rsidRDefault="004755C5" w:rsidP="004755C5">
      <w:pPr>
        <w:pStyle w:val="EndnoteText"/>
        <w:rPr>
          <w:rFonts w:cstheme="minorHAnsi"/>
          <w:sz w:val="24"/>
          <w:szCs w:val="24"/>
        </w:rPr>
      </w:pPr>
    </w:p>
    <w:p w14:paraId="1472F95E" w14:textId="070B1760" w:rsidR="004755C5" w:rsidRPr="004755C5" w:rsidRDefault="004755C5" w:rsidP="004755C5">
      <w:pPr>
        <w:pStyle w:val="CommentText"/>
        <w:rPr>
          <w:sz w:val="24"/>
          <w:szCs w:val="24"/>
        </w:rPr>
      </w:pPr>
      <w:r w:rsidRPr="004755C5">
        <w:rPr>
          <w:sz w:val="24"/>
          <w:szCs w:val="24"/>
        </w:rPr>
        <w:t>Richards, N. L., Gilbert, M., Taggart, M., Naidoo, V. (2018). A cautionary t</w:t>
      </w:r>
      <w:r>
        <w:rPr>
          <w:sz w:val="24"/>
          <w:szCs w:val="24"/>
        </w:rPr>
        <w:t>ale: Diclofenac and i</w:t>
      </w:r>
      <w:r w:rsidRPr="004755C5">
        <w:rPr>
          <w:sz w:val="24"/>
          <w:szCs w:val="24"/>
        </w:rPr>
        <w:t xml:space="preserve">ts profound impact on vultures. </w:t>
      </w:r>
      <w:r w:rsidRPr="004755C5">
        <w:rPr>
          <w:i/>
          <w:iCs/>
          <w:sz w:val="24"/>
          <w:szCs w:val="24"/>
        </w:rPr>
        <w:t>Encyclopedia of the Anthropocene</w:t>
      </w:r>
      <w:r w:rsidRPr="004755C5">
        <w:rPr>
          <w:sz w:val="24"/>
          <w:szCs w:val="24"/>
        </w:rPr>
        <w:t xml:space="preserve">, 5, 247-255. </w:t>
      </w:r>
      <w:hyperlink r:id="rId38" w:history="1">
        <w:r w:rsidRPr="004755C5">
          <w:rPr>
            <w:rStyle w:val="Hyperlink"/>
            <w:sz w:val="24"/>
            <w:szCs w:val="24"/>
          </w:rPr>
          <w:t>https://doi.org/10.1016/B978-0-12-809665-9.09990-0</w:t>
        </w:r>
      </w:hyperlink>
      <w:r w:rsidRPr="004755C5">
        <w:rPr>
          <w:sz w:val="24"/>
          <w:szCs w:val="24"/>
        </w:rPr>
        <w:t xml:space="preserve"> </w:t>
      </w:r>
    </w:p>
    <w:p w14:paraId="19D549DE" w14:textId="77777777" w:rsidR="004755C5" w:rsidRPr="004755C5" w:rsidRDefault="004755C5" w:rsidP="004755C5">
      <w:pPr>
        <w:pStyle w:val="CommentText"/>
        <w:rPr>
          <w:sz w:val="24"/>
          <w:szCs w:val="24"/>
        </w:rPr>
      </w:pPr>
    </w:p>
    <w:p w14:paraId="267F7E66"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Schmidt, W., Redshaw, C. H. (2015). Evaluation of biological endpoints in crop plants after exposure to non‐steroidal anti‐inflammatory drugs (NSAIDs): Implications for phytotoxicological assessment of novel contaminants. </w:t>
      </w:r>
      <w:r w:rsidRPr="004755C5">
        <w:rPr>
          <w:rFonts w:cstheme="minorHAnsi"/>
          <w:i/>
          <w:iCs/>
          <w:sz w:val="24"/>
          <w:szCs w:val="24"/>
        </w:rPr>
        <w:t>Ecotoxicology and Environmental Safety</w:t>
      </w:r>
      <w:r w:rsidRPr="004755C5">
        <w:rPr>
          <w:rFonts w:cstheme="minorHAnsi"/>
          <w:sz w:val="24"/>
          <w:szCs w:val="24"/>
        </w:rPr>
        <w:t xml:space="preserve">, 112, 212-222. </w:t>
      </w:r>
      <w:hyperlink r:id="rId39" w:history="1">
        <w:r w:rsidRPr="004755C5">
          <w:rPr>
            <w:rStyle w:val="Hyperlink"/>
            <w:rFonts w:cstheme="minorHAnsi"/>
            <w:sz w:val="24"/>
            <w:szCs w:val="24"/>
          </w:rPr>
          <w:t>https://doi.org/10.1016/j.ecoenv.2014.11.008</w:t>
        </w:r>
      </w:hyperlink>
    </w:p>
    <w:p w14:paraId="0420E41A" w14:textId="77777777" w:rsidR="004755C5" w:rsidRPr="004755C5" w:rsidRDefault="004755C5" w:rsidP="004755C5">
      <w:pPr>
        <w:pStyle w:val="EndnoteText"/>
        <w:rPr>
          <w:rFonts w:cstheme="minorHAnsi"/>
          <w:sz w:val="24"/>
          <w:szCs w:val="24"/>
        </w:rPr>
      </w:pPr>
    </w:p>
    <w:p w14:paraId="7CDB7323"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Scorer, R. S. (1990). </w:t>
      </w:r>
      <w:r w:rsidRPr="004755C5">
        <w:rPr>
          <w:rFonts w:cstheme="minorHAnsi"/>
          <w:i/>
          <w:iCs/>
          <w:sz w:val="24"/>
          <w:szCs w:val="24"/>
        </w:rPr>
        <w:t>Meteorology of air pollution: implications for the environment and its future</w:t>
      </w:r>
      <w:r w:rsidRPr="004755C5">
        <w:rPr>
          <w:rFonts w:cstheme="minorHAnsi"/>
          <w:sz w:val="24"/>
          <w:szCs w:val="24"/>
        </w:rPr>
        <w:t>. UK: Ellis Horwood. ISBN 0-13-577230-3</w:t>
      </w:r>
    </w:p>
    <w:p w14:paraId="09DD00AD" w14:textId="77777777" w:rsidR="004755C5" w:rsidRPr="004755C5" w:rsidRDefault="004755C5" w:rsidP="004755C5">
      <w:pPr>
        <w:pStyle w:val="EndnoteText"/>
        <w:rPr>
          <w:rFonts w:cstheme="minorHAnsi"/>
          <w:sz w:val="24"/>
          <w:szCs w:val="24"/>
        </w:rPr>
      </w:pPr>
    </w:p>
    <w:p w14:paraId="7E6FA32B" w14:textId="77777777" w:rsidR="004755C5" w:rsidRPr="004755C5" w:rsidRDefault="004755C5" w:rsidP="004755C5">
      <w:pPr>
        <w:pStyle w:val="EndnoteText"/>
        <w:rPr>
          <w:rStyle w:val="Hyperlink"/>
          <w:sz w:val="24"/>
          <w:szCs w:val="24"/>
          <w:shd w:val="clear" w:color="auto" w:fill="FFFFFF"/>
        </w:rPr>
      </w:pPr>
      <w:r w:rsidRPr="004755C5">
        <w:rPr>
          <w:bCs/>
          <w:sz w:val="24"/>
          <w:szCs w:val="24"/>
        </w:rPr>
        <w:t>Stewart, A. G.</w:t>
      </w:r>
      <w:r w:rsidRPr="004755C5">
        <w:rPr>
          <w:sz w:val="24"/>
          <w:szCs w:val="24"/>
        </w:rPr>
        <w:t xml:space="preserve"> (2020). Mining is bad for health: a voyage of discovery. </w:t>
      </w:r>
      <w:r w:rsidRPr="004755C5">
        <w:rPr>
          <w:i/>
          <w:sz w:val="24"/>
          <w:szCs w:val="24"/>
        </w:rPr>
        <w:t xml:space="preserve">Environmental Geochemistry &amp; Health. </w:t>
      </w:r>
      <w:r w:rsidRPr="004755C5">
        <w:rPr>
          <w:sz w:val="24"/>
          <w:szCs w:val="24"/>
        </w:rPr>
        <w:t xml:space="preserve">42: 1153–1165. </w:t>
      </w:r>
      <w:hyperlink r:id="rId40" w:history="1">
        <w:r w:rsidRPr="004755C5">
          <w:rPr>
            <w:rStyle w:val="Hyperlink"/>
            <w:sz w:val="24"/>
            <w:szCs w:val="24"/>
          </w:rPr>
          <w:t>https://doi.org/</w:t>
        </w:r>
        <w:r w:rsidRPr="004755C5">
          <w:rPr>
            <w:rStyle w:val="Hyperlink"/>
            <w:sz w:val="24"/>
            <w:szCs w:val="24"/>
            <w:shd w:val="clear" w:color="auto" w:fill="FFFFFF"/>
          </w:rPr>
          <w:t>10.1007/s10653-019-00367-7</w:t>
        </w:r>
      </w:hyperlink>
    </w:p>
    <w:p w14:paraId="1BD39CEA" w14:textId="77777777" w:rsidR="004755C5" w:rsidRPr="004755C5" w:rsidRDefault="004755C5" w:rsidP="004755C5">
      <w:pPr>
        <w:pStyle w:val="EndnoteText"/>
        <w:rPr>
          <w:rStyle w:val="Hyperlink"/>
          <w:sz w:val="24"/>
          <w:szCs w:val="24"/>
          <w:shd w:val="clear" w:color="auto" w:fill="FFFFFF"/>
        </w:rPr>
      </w:pPr>
    </w:p>
    <w:p w14:paraId="20376CE4" w14:textId="3FDF2296" w:rsidR="004755C5" w:rsidRPr="004755C5" w:rsidRDefault="004755C5" w:rsidP="004755C5">
      <w:pPr>
        <w:pStyle w:val="EndnoteText"/>
        <w:rPr>
          <w:rFonts w:cstheme="minorHAnsi"/>
          <w:sz w:val="24"/>
          <w:szCs w:val="24"/>
        </w:rPr>
      </w:pPr>
      <w:r w:rsidRPr="004755C5">
        <w:rPr>
          <w:rFonts w:cstheme="minorHAnsi"/>
          <w:sz w:val="24"/>
          <w:szCs w:val="24"/>
        </w:rPr>
        <w:t>Synergies. (</w:t>
      </w:r>
      <w:r w:rsidR="001E3958">
        <w:rPr>
          <w:rFonts w:cstheme="minorHAnsi"/>
          <w:sz w:val="24"/>
          <w:szCs w:val="24"/>
        </w:rPr>
        <w:t>not dated</w:t>
      </w:r>
      <w:r w:rsidRPr="004755C5">
        <w:rPr>
          <w:rFonts w:cstheme="minorHAnsi"/>
          <w:sz w:val="24"/>
          <w:szCs w:val="24"/>
        </w:rPr>
        <w:t xml:space="preserve">) </w:t>
      </w:r>
      <w:r w:rsidRPr="004755C5">
        <w:rPr>
          <w:rFonts w:cstheme="minorHAnsi"/>
          <w:i/>
          <w:iCs/>
          <w:sz w:val="24"/>
          <w:szCs w:val="24"/>
        </w:rPr>
        <w:t>Joint meeting of the bureaux of the conferences of the Parties to the Basel, Rotterdam and Stockholm conventions.</w:t>
      </w:r>
      <w:r w:rsidRPr="004755C5">
        <w:rPr>
          <w:rFonts w:cstheme="minorHAnsi"/>
          <w:sz w:val="24"/>
          <w:szCs w:val="24"/>
        </w:rPr>
        <w:t xml:space="preserve"> Synergies among the Rotterdam, Basel and Stockholm Conventions. Retrieved March 8, 2021 from </w:t>
      </w:r>
      <w:hyperlink r:id="rId41" w:history="1">
        <w:r w:rsidRPr="004755C5">
          <w:rPr>
            <w:rStyle w:val="Hyperlink"/>
            <w:rFonts w:cstheme="minorHAnsi"/>
            <w:sz w:val="24"/>
            <w:szCs w:val="24"/>
          </w:rPr>
          <w:t>http://www.brsmeas.org/Decisionmaking/JointBureaux/JointBureauxMeetings/JointBureauxMeeting2018/Overview2018/tabid/7516/language/en-US/Default.aspx</w:t>
        </w:r>
      </w:hyperlink>
      <w:r w:rsidRPr="004755C5">
        <w:rPr>
          <w:rFonts w:cstheme="minorHAnsi"/>
          <w:sz w:val="24"/>
          <w:szCs w:val="24"/>
        </w:rPr>
        <w:t xml:space="preserve"> </w:t>
      </w:r>
    </w:p>
    <w:p w14:paraId="09591CEE" w14:textId="77777777" w:rsidR="004755C5" w:rsidRPr="004755C5" w:rsidRDefault="004755C5" w:rsidP="004755C5">
      <w:pPr>
        <w:pStyle w:val="EndnoteText"/>
        <w:rPr>
          <w:rFonts w:cstheme="minorHAnsi"/>
          <w:sz w:val="24"/>
          <w:szCs w:val="24"/>
        </w:rPr>
      </w:pPr>
    </w:p>
    <w:p w14:paraId="3AB78F7B"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Tao, F., Abdallah, M. A-E., Harrad, S. (2016). Emerging and legacy flame retardants in UK indoor air and dust: Evidence for replacement of PBDEs by emerging flame retardants? </w:t>
      </w:r>
      <w:r w:rsidRPr="004755C5">
        <w:rPr>
          <w:rFonts w:cstheme="minorHAnsi"/>
          <w:i/>
          <w:iCs/>
          <w:sz w:val="24"/>
          <w:szCs w:val="24"/>
        </w:rPr>
        <w:t>Environmental Science and Technology</w:t>
      </w:r>
      <w:r w:rsidRPr="004755C5">
        <w:rPr>
          <w:rFonts w:cstheme="minorHAnsi"/>
          <w:sz w:val="24"/>
          <w:szCs w:val="24"/>
        </w:rPr>
        <w:t xml:space="preserve">, 50(23), 13052-13061. </w:t>
      </w:r>
      <w:hyperlink r:id="rId42" w:history="1">
        <w:r w:rsidRPr="004755C5">
          <w:rPr>
            <w:rStyle w:val="Hyperlink"/>
            <w:rFonts w:cstheme="minorHAnsi"/>
            <w:sz w:val="24"/>
            <w:szCs w:val="24"/>
          </w:rPr>
          <w:t>https://doi.org/10.1021/acs.est.6b02816</w:t>
        </w:r>
      </w:hyperlink>
    </w:p>
    <w:p w14:paraId="2F08444A"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 </w:t>
      </w:r>
    </w:p>
    <w:p w14:paraId="6B30A638"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TDR. (2021). </w:t>
      </w:r>
      <w:r w:rsidRPr="004755C5">
        <w:rPr>
          <w:rFonts w:cstheme="minorHAnsi"/>
          <w:i/>
          <w:iCs/>
          <w:sz w:val="24"/>
          <w:szCs w:val="24"/>
        </w:rPr>
        <w:t>SORT IT.</w:t>
      </w:r>
      <w:r w:rsidRPr="004755C5">
        <w:rPr>
          <w:rFonts w:cstheme="minorHAnsi"/>
          <w:sz w:val="24"/>
          <w:szCs w:val="24"/>
        </w:rPr>
        <w:t xml:space="preserve"> Special Programme for Research and Training in Tropical Diseases. Retrieved March 17, 2021 from </w:t>
      </w:r>
      <w:hyperlink r:id="rId43" w:history="1">
        <w:r w:rsidRPr="004755C5">
          <w:rPr>
            <w:rStyle w:val="Hyperlink"/>
            <w:rFonts w:cstheme="minorHAnsi"/>
            <w:sz w:val="24"/>
            <w:szCs w:val="24"/>
          </w:rPr>
          <w:t>https://www.who.int/tdr/capacity/strengthening/sort/en/</w:t>
        </w:r>
      </w:hyperlink>
      <w:r w:rsidRPr="004755C5">
        <w:rPr>
          <w:rFonts w:cstheme="minorHAnsi"/>
          <w:sz w:val="24"/>
          <w:szCs w:val="24"/>
        </w:rPr>
        <w:t xml:space="preserve"> </w:t>
      </w:r>
    </w:p>
    <w:p w14:paraId="44659C4B" w14:textId="77777777" w:rsidR="004755C5" w:rsidRPr="004755C5" w:rsidRDefault="004755C5" w:rsidP="004755C5">
      <w:pPr>
        <w:pStyle w:val="EndnoteText"/>
        <w:rPr>
          <w:rFonts w:cstheme="minorHAnsi"/>
          <w:sz w:val="24"/>
          <w:szCs w:val="24"/>
        </w:rPr>
      </w:pPr>
    </w:p>
    <w:p w14:paraId="0929BD18"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The Guardian. (2014, February 27). </w:t>
      </w:r>
      <w:r w:rsidRPr="004755C5">
        <w:rPr>
          <w:rFonts w:cstheme="minorHAnsi"/>
          <w:i/>
          <w:iCs/>
          <w:sz w:val="24"/>
          <w:szCs w:val="24"/>
        </w:rPr>
        <w:t>Agbogbloshie: the world's largest e-waste dump – in pictures</w:t>
      </w:r>
      <w:r w:rsidRPr="004755C5">
        <w:rPr>
          <w:rFonts w:cstheme="minorHAnsi"/>
          <w:sz w:val="24"/>
          <w:szCs w:val="24"/>
        </w:rPr>
        <w:t xml:space="preserve">. Retrieved March 8, 2021 from </w:t>
      </w:r>
      <w:hyperlink r:id="rId44" w:history="1">
        <w:r w:rsidRPr="004755C5">
          <w:rPr>
            <w:rStyle w:val="Hyperlink"/>
            <w:rFonts w:cstheme="minorHAnsi"/>
            <w:sz w:val="24"/>
            <w:szCs w:val="24"/>
          </w:rPr>
          <w:t>https://www.theguardian.com/environment/gallery/2014/feb/27/agbogbloshie-worlds-largest-e-waste-dump-in-pictures</w:t>
        </w:r>
      </w:hyperlink>
      <w:r w:rsidRPr="004755C5">
        <w:rPr>
          <w:rFonts w:cstheme="minorHAnsi"/>
          <w:sz w:val="24"/>
          <w:szCs w:val="24"/>
        </w:rPr>
        <w:t xml:space="preserve"> </w:t>
      </w:r>
    </w:p>
    <w:p w14:paraId="2147FF03" w14:textId="77777777" w:rsidR="004755C5" w:rsidRPr="004755C5" w:rsidRDefault="004755C5" w:rsidP="004755C5">
      <w:pPr>
        <w:pStyle w:val="EndnoteText"/>
        <w:rPr>
          <w:rFonts w:cstheme="minorHAnsi"/>
          <w:sz w:val="24"/>
          <w:szCs w:val="24"/>
        </w:rPr>
      </w:pPr>
    </w:p>
    <w:p w14:paraId="620EDFE4"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Turner, A., Scott, J. W., Green, L. A. (2021). Rare earth elements in plastics. </w:t>
      </w:r>
      <w:r w:rsidRPr="004755C5">
        <w:rPr>
          <w:rFonts w:cstheme="minorHAnsi"/>
          <w:i/>
          <w:iCs/>
          <w:sz w:val="24"/>
          <w:szCs w:val="24"/>
        </w:rPr>
        <w:t>Science of The Total Environment</w:t>
      </w:r>
      <w:r w:rsidRPr="004755C5">
        <w:rPr>
          <w:rFonts w:cstheme="minorHAnsi"/>
          <w:sz w:val="24"/>
          <w:szCs w:val="24"/>
        </w:rPr>
        <w:t xml:space="preserve">, 774, 145405. </w:t>
      </w:r>
      <w:hyperlink r:id="rId45" w:history="1">
        <w:r w:rsidRPr="004755C5">
          <w:rPr>
            <w:rStyle w:val="Hyperlink"/>
            <w:rFonts w:cstheme="minorHAnsi"/>
            <w:sz w:val="24"/>
            <w:szCs w:val="24"/>
          </w:rPr>
          <w:t>https://doi.org/10.1016/j.scitotenv.2021.145405</w:t>
        </w:r>
      </w:hyperlink>
    </w:p>
    <w:p w14:paraId="6FB02ACE" w14:textId="77777777" w:rsidR="004755C5" w:rsidRPr="004755C5" w:rsidRDefault="004755C5" w:rsidP="004755C5">
      <w:pPr>
        <w:pStyle w:val="EndnoteText"/>
        <w:rPr>
          <w:rFonts w:cstheme="minorHAnsi"/>
          <w:sz w:val="24"/>
          <w:szCs w:val="24"/>
        </w:rPr>
      </w:pPr>
    </w:p>
    <w:p w14:paraId="54672023" w14:textId="77777777" w:rsidR="004755C5" w:rsidRPr="004755C5" w:rsidRDefault="004755C5" w:rsidP="004755C5">
      <w:pPr>
        <w:pStyle w:val="EndnoteText"/>
        <w:rPr>
          <w:rFonts w:cstheme="minorHAnsi"/>
          <w:sz w:val="24"/>
          <w:szCs w:val="24"/>
        </w:rPr>
      </w:pPr>
      <w:r w:rsidRPr="004755C5">
        <w:rPr>
          <w:rFonts w:cstheme="minorHAnsi"/>
          <w:sz w:val="24"/>
          <w:szCs w:val="24"/>
        </w:rPr>
        <w:t>UNEP. (2015).</w:t>
      </w:r>
      <w:r w:rsidRPr="004755C5">
        <w:rPr>
          <w:rFonts w:cstheme="minorHAnsi"/>
          <w:i/>
          <w:iCs/>
          <w:sz w:val="24"/>
          <w:szCs w:val="24"/>
        </w:rPr>
        <w:t xml:space="preserve"> Sustainable innovation forum</w:t>
      </w:r>
      <w:r w:rsidRPr="004755C5">
        <w:rPr>
          <w:rFonts w:cstheme="minorHAnsi"/>
          <w:sz w:val="24"/>
          <w:szCs w:val="24"/>
        </w:rPr>
        <w:t xml:space="preserve">. Retrieved March 9, 2021 from </w:t>
      </w:r>
      <w:hyperlink r:id="rId46" w:history="1">
        <w:r w:rsidRPr="004755C5">
          <w:rPr>
            <w:rStyle w:val="Hyperlink"/>
            <w:rFonts w:cstheme="minorHAnsi"/>
            <w:sz w:val="24"/>
            <w:szCs w:val="24"/>
          </w:rPr>
          <w:t>https://www.cop21paris.org/</w:t>
        </w:r>
      </w:hyperlink>
      <w:r w:rsidRPr="004755C5">
        <w:rPr>
          <w:rFonts w:cstheme="minorHAnsi"/>
          <w:sz w:val="24"/>
          <w:szCs w:val="24"/>
        </w:rPr>
        <w:t xml:space="preserve"> </w:t>
      </w:r>
    </w:p>
    <w:p w14:paraId="1348CFEF" w14:textId="77777777" w:rsidR="004755C5" w:rsidRPr="004755C5" w:rsidRDefault="004755C5" w:rsidP="004755C5">
      <w:pPr>
        <w:pStyle w:val="EndnoteText"/>
        <w:rPr>
          <w:rFonts w:cstheme="minorHAnsi"/>
          <w:sz w:val="24"/>
          <w:szCs w:val="24"/>
        </w:rPr>
      </w:pPr>
    </w:p>
    <w:p w14:paraId="6B5DC8E8" w14:textId="63CD77EB" w:rsidR="004755C5" w:rsidRPr="004755C5" w:rsidRDefault="004755C5" w:rsidP="004755C5">
      <w:pPr>
        <w:pStyle w:val="EndnoteText"/>
        <w:rPr>
          <w:rFonts w:cstheme="minorHAnsi"/>
          <w:sz w:val="24"/>
          <w:szCs w:val="24"/>
        </w:rPr>
      </w:pPr>
      <w:r w:rsidRPr="004755C5">
        <w:rPr>
          <w:rFonts w:cstheme="minorHAnsi"/>
          <w:sz w:val="24"/>
          <w:szCs w:val="24"/>
        </w:rPr>
        <w:t>United Nations Global Compact. (</w:t>
      </w:r>
      <w:r w:rsidR="001E3958">
        <w:rPr>
          <w:rFonts w:cstheme="minorHAnsi"/>
          <w:sz w:val="24"/>
          <w:szCs w:val="24"/>
        </w:rPr>
        <w:t>not dated</w:t>
      </w:r>
      <w:r w:rsidRPr="004755C5">
        <w:rPr>
          <w:rFonts w:cstheme="minorHAnsi"/>
          <w:sz w:val="24"/>
          <w:szCs w:val="24"/>
        </w:rPr>
        <w:t xml:space="preserve">). </w:t>
      </w:r>
      <w:r w:rsidRPr="004755C5">
        <w:rPr>
          <w:rFonts w:cstheme="minorHAnsi"/>
          <w:i/>
          <w:iCs/>
          <w:sz w:val="24"/>
          <w:szCs w:val="24"/>
        </w:rPr>
        <w:t>The power of principles</w:t>
      </w:r>
      <w:r w:rsidRPr="004755C5">
        <w:rPr>
          <w:rFonts w:cstheme="minorHAnsi"/>
          <w:sz w:val="24"/>
          <w:szCs w:val="24"/>
        </w:rPr>
        <w:t xml:space="preserve">. United Nations Global Compact. Retrieved 8 March, 2021 from </w:t>
      </w:r>
      <w:hyperlink r:id="rId47" w:history="1">
        <w:r w:rsidRPr="004755C5">
          <w:rPr>
            <w:rStyle w:val="Hyperlink"/>
            <w:rFonts w:cstheme="minorHAnsi"/>
            <w:sz w:val="24"/>
            <w:szCs w:val="24"/>
          </w:rPr>
          <w:t>https://www.unglobalcompact.org/what-is-gc/mission/principles</w:t>
        </w:r>
      </w:hyperlink>
    </w:p>
    <w:p w14:paraId="07F15842" w14:textId="77777777" w:rsidR="004755C5" w:rsidRPr="004755C5" w:rsidRDefault="004755C5" w:rsidP="004755C5">
      <w:pPr>
        <w:pStyle w:val="EndnoteText"/>
        <w:rPr>
          <w:rFonts w:cstheme="minorHAnsi"/>
          <w:sz w:val="24"/>
          <w:szCs w:val="24"/>
        </w:rPr>
      </w:pPr>
    </w:p>
    <w:p w14:paraId="50D385B6"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United Nations. (2019). </w:t>
      </w:r>
      <w:r w:rsidRPr="004755C5">
        <w:rPr>
          <w:rFonts w:cstheme="minorHAnsi"/>
          <w:i/>
          <w:iCs/>
          <w:sz w:val="24"/>
          <w:szCs w:val="24"/>
        </w:rPr>
        <w:t>Overview.</w:t>
      </w:r>
      <w:r w:rsidRPr="004755C5">
        <w:rPr>
          <w:rFonts w:cstheme="minorHAnsi"/>
          <w:sz w:val="24"/>
          <w:szCs w:val="24"/>
        </w:rPr>
        <w:t xml:space="preserve"> Stockholm Convention. Retrieved  March 9, 2021 from </w:t>
      </w:r>
      <w:hyperlink r:id="rId48" w:history="1">
        <w:r w:rsidRPr="004755C5">
          <w:rPr>
            <w:rStyle w:val="Hyperlink"/>
            <w:rFonts w:cstheme="minorHAnsi"/>
            <w:sz w:val="24"/>
            <w:szCs w:val="24"/>
          </w:rPr>
          <w:t>http://www.pops.int/TheConvention/TheConvention/Overview/tabid/3351/Default.aspx</w:t>
        </w:r>
      </w:hyperlink>
    </w:p>
    <w:p w14:paraId="5DBD77A0" w14:textId="77777777" w:rsidR="004755C5" w:rsidRPr="004755C5" w:rsidRDefault="004755C5" w:rsidP="004755C5">
      <w:pPr>
        <w:pStyle w:val="EndnoteText"/>
        <w:rPr>
          <w:rFonts w:cstheme="minorHAnsi"/>
          <w:sz w:val="24"/>
          <w:szCs w:val="24"/>
        </w:rPr>
      </w:pPr>
    </w:p>
    <w:p w14:paraId="48A30D2A" w14:textId="4FFC867F" w:rsidR="004755C5" w:rsidRPr="004755C5" w:rsidRDefault="004755C5" w:rsidP="004755C5">
      <w:pPr>
        <w:pStyle w:val="EndnoteText"/>
        <w:rPr>
          <w:rFonts w:cstheme="minorHAnsi"/>
          <w:sz w:val="24"/>
          <w:szCs w:val="24"/>
        </w:rPr>
      </w:pPr>
      <w:r w:rsidRPr="004755C5">
        <w:rPr>
          <w:rFonts w:cstheme="minorHAnsi"/>
          <w:sz w:val="24"/>
          <w:szCs w:val="24"/>
        </w:rPr>
        <w:t>United Nations. (</w:t>
      </w:r>
      <w:r w:rsidR="001E3958">
        <w:rPr>
          <w:rFonts w:cstheme="minorHAnsi"/>
          <w:sz w:val="24"/>
          <w:szCs w:val="24"/>
        </w:rPr>
        <w:t>not dated</w:t>
      </w:r>
      <w:r w:rsidRPr="004755C5">
        <w:rPr>
          <w:rFonts w:cstheme="minorHAnsi"/>
          <w:sz w:val="24"/>
          <w:szCs w:val="24"/>
        </w:rPr>
        <w:t xml:space="preserve">). </w:t>
      </w:r>
      <w:r w:rsidRPr="004755C5">
        <w:rPr>
          <w:rFonts w:cstheme="minorHAnsi"/>
          <w:i/>
          <w:iCs/>
          <w:sz w:val="24"/>
          <w:szCs w:val="24"/>
        </w:rPr>
        <w:t>The 17 Goals.</w:t>
      </w:r>
      <w:r w:rsidRPr="004755C5">
        <w:rPr>
          <w:rFonts w:cstheme="minorHAnsi"/>
          <w:sz w:val="24"/>
          <w:szCs w:val="24"/>
        </w:rPr>
        <w:t xml:space="preserve"> Department of Economic and Social Affairs. Sustainable development. Retrieved March 8, 2021 from </w:t>
      </w:r>
      <w:hyperlink r:id="rId49" w:history="1">
        <w:r w:rsidRPr="004755C5">
          <w:rPr>
            <w:rStyle w:val="Hyperlink"/>
            <w:rFonts w:cstheme="minorHAnsi"/>
            <w:sz w:val="24"/>
            <w:szCs w:val="24"/>
          </w:rPr>
          <w:t>https://sdgs.un.org/goals</w:t>
        </w:r>
      </w:hyperlink>
    </w:p>
    <w:p w14:paraId="323CEE82" w14:textId="77777777" w:rsidR="004755C5" w:rsidRPr="004755C5" w:rsidRDefault="004755C5" w:rsidP="004755C5">
      <w:pPr>
        <w:pStyle w:val="EndnoteText"/>
        <w:rPr>
          <w:rFonts w:cstheme="minorHAnsi"/>
          <w:sz w:val="24"/>
          <w:szCs w:val="24"/>
        </w:rPr>
      </w:pPr>
    </w:p>
    <w:p w14:paraId="6696BA6E"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University of Hull. (2019, 20 April). </w:t>
      </w:r>
      <w:r w:rsidRPr="004755C5">
        <w:rPr>
          <w:rFonts w:cstheme="minorHAnsi"/>
          <w:i/>
          <w:iCs/>
          <w:sz w:val="24"/>
          <w:szCs w:val="24"/>
        </w:rPr>
        <w:t>Hight levels of pharmaceuticals found in the Humber Estuary</w:t>
      </w:r>
      <w:r w:rsidRPr="004755C5">
        <w:rPr>
          <w:rFonts w:cstheme="minorHAnsi"/>
          <w:sz w:val="24"/>
          <w:szCs w:val="24"/>
        </w:rPr>
        <w:t xml:space="preserve">. Retrieved 9 March 2021 from </w:t>
      </w:r>
      <w:hyperlink r:id="rId50" w:history="1">
        <w:r w:rsidRPr="004755C5">
          <w:rPr>
            <w:rStyle w:val="Hyperlink"/>
            <w:rFonts w:cstheme="minorHAnsi"/>
            <w:sz w:val="24"/>
            <w:szCs w:val="24"/>
          </w:rPr>
          <w:t>https://www.hull.ac.uk/work-with-us/more/media-centre/news/2019/high-levels-of-pharmaceuticals-found-in-humber-estuary</w:t>
        </w:r>
      </w:hyperlink>
      <w:r w:rsidRPr="004755C5">
        <w:rPr>
          <w:rFonts w:cstheme="minorHAnsi"/>
          <w:sz w:val="24"/>
          <w:szCs w:val="24"/>
        </w:rPr>
        <w:t xml:space="preserve"> </w:t>
      </w:r>
    </w:p>
    <w:p w14:paraId="3F7AF98F" w14:textId="77777777" w:rsidR="004755C5" w:rsidRPr="004755C5" w:rsidRDefault="004755C5" w:rsidP="004755C5">
      <w:pPr>
        <w:pStyle w:val="EndnoteText"/>
        <w:rPr>
          <w:rFonts w:cstheme="minorHAnsi"/>
          <w:sz w:val="24"/>
          <w:szCs w:val="24"/>
        </w:rPr>
      </w:pPr>
    </w:p>
    <w:p w14:paraId="1F97BE46" w14:textId="2ACDAFCD" w:rsidR="00644C4B" w:rsidRDefault="00644C4B" w:rsidP="004755C5">
      <w:pPr>
        <w:pStyle w:val="EndnoteText"/>
        <w:rPr>
          <w:rFonts w:cstheme="minorHAnsi"/>
          <w:sz w:val="24"/>
          <w:szCs w:val="24"/>
        </w:rPr>
      </w:pPr>
      <w:r>
        <w:rPr>
          <w:rFonts w:cstheme="minorHAnsi"/>
          <w:sz w:val="24"/>
          <w:szCs w:val="24"/>
        </w:rPr>
        <w:t xml:space="preserve">Wang, W., </w:t>
      </w:r>
      <w:r w:rsidRPr="00644C4B">
        <w:rPr>
          <w:rFonts w:cstheme="minorHAnsi"/>
          <w:sz w:val="24"/>
          <w:szCs w:val="24"/>
        </w:rPr>
        <w:t>Wang,</w:t>
      </w:r>
      <w:r>
        <w:rPr>
          <w:rFonts w:cstheme="minorHAnsi"/>
          <w:sz w:val="24"/>
          <w:szCs w:val="24"/>
        </w:rPr>
        <w:t xml:space="preserve"> L.,</w:t>
      </w:r>
      <w:r w:rsidRPr="00644C4B">
        <w:rPr>
          <w:rFonts w:cstheme="minorHAnsi"/>
          <w:sz w:val="24"/>
          <w:szCs w:val="24"/>
        </w:rPr>
        <w:t xml:space="preserve"> Mettenbrink,</w:t>
      </w:r>
      <w:r>
        <w:rPr>
          <w:rFonts w:cstheme="minorHAnsi"/>
          <w:sz w:val="24"/>
          <w:szCs w:val="24"/>
        </w:rPr>
        <w:t xml:space="preserve"> E. M.,</w:t>
      </w:r>
      <w:r w:rsidRPr="00644C4B">
        <w:rPr>
          <w:rFonts w:cstheme="minorHAnsi"/>
          <w:sz w:val="24"/>
          <w:szCs w:val="24"/>
        </w:rPr>
        <w:t xml:space="preserve"> DeAngelis,</w:t>
      </w:r>
      <w:r>
        <w:rPr>
          <w:rFonts w:cstheme="minorHAnsi"/>
          <w:sz w:val="24"/>
          <w:szCs w:val="24"/>
        </w:rPr>
        <w:t xml:space="preserve"> P. L., </w:t>
      </w:r>
      <w:r w:rsidRPr="00644C4B">
        <w:rPr>
          <w:rFonts w:cstheme="minorHAnsi"/>
          <w:sz w:val="24"/>
          <w:szCs w:val="24"/>
        </w:rPr>
        <w:t>Wilhelm</w:t>
      </w:r>
      <w:r>
        <w:rPr>
          <w:rFonts w:cstheme="minorHAnsi"/>
          <w:sz w:val="24"/>
          <w:szCs w:val="24"/>
        </w:rPr>
        <w:t xml:space="preserve">, S. (2021). </w:t>
      </w:r>
      <w:r w:rsidRPr="00644C4B">
        <w:rPr>
          <w:rFonts w:cstheme="minorHAnsi"/>
          <w:sz w:val="24"/>
          <w:szCs w:val="24"/>
        </w:rPr>
        <w:t>Nanoparticle toxicology</w:t>
      </w:r>
      <w:r>
        <w:rPr>
          <w:rFonts w:cstheme="minorHAnsi"/>
          <w:sz w:val="24"/>
          <w:szCs w:val="24"/>
        </w:rPr>
        <w:t xml:space="preserve">, </w:t>
      </w:r>
      <w:r w:rsidRPr="00644C4B">
        <w:rPr>
          <w:rFonts w:cstheme="minorHAnsi"/>
          <w:i/>
          <w:iCs/>
          <w:sz w:val="24"/>
          <w:szCs w:val="24"/>
        </w:rPr>
        <w:t>Annual Review of Pharmacology and Toxicology</w:t>
      </w:r>
      <w:r>
        <w:rPr>
          <w:rFonts w:cstheme="minorHAnsi"/>
          <w:sz w:val="24"/>
          <w:szCs w:val="24"/>
        </w:rPr>
        <w:t xml:space="preserve">,  61, 268-289. </w:t>
      </w:r>
      <w:hyperlink r:id="rId51" w:history="1">
        <w:r w:rsidRPr="00852704">
          <w:rPr>
            <w:rStyle w:val="Hyperlink"/>
            <w:rFonts w:cstheme="minorHAnsi"/>
            <w:sz w:val="24"/>
            <w:szCs w:val="24"/>
          </w:rPr>
          <w:t>https://doi.org/10.1146/annurev-pharmtox-032320-110338</w:t>
        </w:r>
      </w:hyperlink>
      <w:r>
        <w:rPr>
          <w:rFonts w:cstheme="minorHAnsi"/>
          <w:sz w:val="24"/>
          <w:szCs w:val="24"/>
        </w:rPr>
        <w:t xml:space="preserve"> </w:t>
      </w:r>
    </w:p>
    <w:p w14:paraId="3C84D3FA" w14:textId="77777777" w:rsidR="00644C4B" w:rsidRDefault="00644C4B" w:rsidP="004755C5">
      <w:pPr>
        <w:pStyle w:val="EndnoteText"/>
        <w:rPr>
          <w:rFonts w:cstheme="minorHAnsi"/>
          <w:sz w:val="24"/>
          <w:szCs w:val="24"/>
        </w:rPr>
      </w:pPr>
    </w:p>
    <w:p w14:paraId="6BC4B67E" w14:textId="3F6EFAC9" w:rsidR="004755C5" w:rsidRPr="004755C5" w:rsidRDefault="004755C5" w:rsidP="004755C5">
      <w:pPr>
        <w:pStyle w:val="EndnoteText"/>
        <w:rPr>
          <w:rFonts w:cstheme="minorHAnsi"/>
          <w:sz w:val="24"/>
          <w:szCs w:val="24"/>
        </w:rPr>
      </w:pPr>
      <w:r w:rsidRPr="004755C5">
        <w:rPr>
          <w:rFonts w:cstheme="minorHAnsi"/>
          <w:sz w:val="24"/>
          <w:szCs w:val="24"/>
        </w:rPr>
        <w:t xml:space="preserve">Weinhold. B. (2006) Epigenetics: The science of change. </w:t>
      </w:r>
      <w:r w:rsidRPr="004755C5">
        <w:rPr>
          <w:rFonts w:cstheme="minorHAnsi"/>
          <w:i/>
          <w:iCs/>
          <w:sz w:val="24"/>
          <w:szCs w:val="24"/>
        </w:rPr>
        <w:t>Environmental Health Perspectives</w:t>
      </w:r>
      <w:r w:rsidRPr="004755C5">
        <w:rPr>
          <w:rFonts w:cstheme="minorHAnsi"/>
          <w:sz w:val="24"/>
          <w:szCs w:val="24"/>
        </w:rPr>
        <w:t xml:space="preserve">, 114(3). </w:t>
      </w:r>
      <w:hyperlink r:id="rId52" w:history="1">
        <w:r w:rsidRPr="004755C5">
          <w:rPr>
            <w:rStyle w:val="Hyperlink"/>
            <w:rFonts w:cstheme="minorHAnsi"/>
            <w:sz w:val="24"/>
            <w:szCs w:val="24"/>
          </w:rPr>
          <w:t>https://doi.org/10.1289/ehp.114-a160</w:t>
        </w:r>
      </w:hyperlink>
      <w:r w:rsidRPr="004755C5">
        <w:rPr>
          <w:rFonts w:cstheme="minorHAnsi"/>
          <w:sz w:val="24"/>
          <w:szCs w:val="24"/>
        </w:rPr>
        <w:t xml:space="preserve"> </w:t>
      </w:r>
    </w:p>
    <w:p w14:paraId="7499EDEA" w14:textId="77777777" w:rsidR="004755C5" w:rsidRPr="004755C5" w:rsidRDefault="004755C5" w:rsidP="004755C5">
      <w:pPr>
        <w:pStyle w:val="EndnoteText"/>
        <w:rPr>
          <w:rFonts w:cstheme="minorHAnsi"/>
          <w:sz w:val="24"/>
          <w:szCs w:val="24"/>
        </w:rPr>
      </w:pPr>
    </w:p>
    <w:p w14:paraId="50492ACF"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Wiegel, S., Aulinger, A., Brockmeyer, R., Harms, H., Löffler, J., Reincke, H., Schmidt, R., Stachel, B., von Tümpling, W., Wanke, A. (2004). Pharmaceuticals in the river Elbe and its tributaries, </w:t>
      </w:r>
      <w:r w:rsidRPr="004755C5">
        <w:rPr>
          <w:rFonts w:cstheme="minorHAnsi"/>
          <w:i/>
          <w:iCs/>
          <w:sz w:val="24"/>
          <w:szCs w:val="24"/>
        </w:rPr>
        <w:t>Chemosphere</w:t>
      </w:r>
      <w:r w:rsidRPr="004755C5">
        <w:rPr>
          <w:rFonts w:cstheme="minorHAnsi"/>
          <w:sz w:val="24"/>
          <w:szCs w:val="24"/>
        </w:rPr>
        <w:t xml:space="preserve">, 57(2), 107-126. </w:t>
      </w:r>
      <w:hyperlink r:id="rId53" w:history="1">
        <w:r w:rsidRPr="004755C5">
          <w:rPr>
            <w:rStyle w:val="Hyperlink"/>
            <w:rFonts w:cstheme="minorHAnsi"/>
            <w:sz w:val="24"/>
            <w:szCs w:val="24"/>
          </w:rPr>
          <w:t>https://doi.org/10.1016/j.chemosphere.2004.05.017</w:t>
        </w:r>
      </w:hyperlink>
    </w:p>
    <w:p w14:paraId="21FC2A55" w14:textId="77777777" w:rsidR="004755C5" w:rsidRPr="004755C5" w:rsidRDefault="004755C5" w:rsidP="004755C5">
      <w:pPr>
        <w:pStyle w:val="EndnoteText"/>
        <w:rPr>
          <w:rFonts w:cstheme="minorHAnsi"/>
          <w:sz w:val="24"/>
          <w:szCs w:val="24"/>
        </w:rPr>
      </w:pPr>
    </w:p>
    <w:p w14:paraId="29DF27E3" w14:textId="6F253D63" w:rsidR="001B059B" w:rsidRPr="001B059B" w:rsidRDefault="001B059B" w:rsidP="001B059B">
      <w:pPr>
        <w:pStyle w:val="EndnoteText"/>
        <w:rPr>
          <w:rFonts w:cstheme="minorHAnsi"/>
          <w:sz w:val="24"/>
          <w:szCs w:val="24"/>
        </w:rPr>
      </w:pPr>
      <w:r>
        <w:rPr>
          <w:rFonts w:cstheme="minorHAnsi"/>
          <w:sz w:val="24"/>
          <w:szCs w:val="24"/>
        </w:rPr>
        <w:t xml:space="preserve">Whitehead, H.D., Venier, M. et al. (2021). </w:t>
      </w:r>
      <w:r w:rsidRPr="001B059B">
        <w:rPr>
          <w:rFonts w:cstheme="minorHAnsi"/>
          <w:sz w:val="24"/>
          <w:szCs w:val="24"/>
        </w:rPr>
        <w:t>Fluorinated Compounds in North American Cosmetics</w:t>
      </w:r>
      <w:r>
        <w:rPr>
          <w:rFonts w:cstheme="minorHAnsi"/>
          <w:sz w:val="24"/>
          <w:szCs w:val="24"/>
        </w:rPr>
        <w:t xml:space="preserve">. </w:t>
      </w:r>
      <w:r w:rsidRPr="001B059B">
        <w:rPr>
          <w:rFonts w:cstheme="minorHAnsi"/>
          <w:sz w:val="24"/>
          <w:szCs w:val="24"/>
        </w:rPr>
        <w:t>Environ. Sci. Technol. Lett. 2021, XXXX, XXX, XXX-XXX</w:t>
      </w:r>
      <w:r>
        <w:rPr>
          <w:rFonts w:cstheme="minorHAnsi"/>
          <w:sz w:val="24"/>
          <w:szCs w:val="24"/>
        </w:rPr>
        <w:t>.</w:t>
      </w:r>
    </w:p>
    <w:p w14:paraId="64BFF0A8" w14:textId="7109FCDD" w:rsidR="001B059B" w:rsidRDefault="001B059B" w:rsidP="001B059B">
      <w:pPr>
        <w:pStyle w:val="EndnoteText"/>
        <w:rPr>
          <w:rFonts w:cstheme="minorHAnsi"/>
          <w:sz w:val="24"/>
          <w:szCs w:val="24"/>
        </w:rPr>
      </w:pPr>
      <w:r w:rsidRPr="001B059B">
        <w:rPr>
          <w:rFonts w:cstheme="minorHAnsi"/>
          <w:sz w:val="24"/>
          <w:szCs w:val="24"/>
        </w:rPr>
        <w:t>https://doi.org/10.1021/acs.estlett.1c00240</w:t>
      </w:r>
    </w:p>
    <w:p w14:paraId="509D791A" w14:textId="77777777" w:rsidR="001B059B" w:rsidRDefault="001B059B" w:rsidP="004755C5">
      <w:pPr>
        <w:pStyle w:val="EndnoteText"/>
        <w:rPr>
          <w:rFonts w:cstheme="minorHAnsi"/>
          <w:sz w:val="24"/>
          <w:szCs w:val="24"/>
        </w:rPr>
      </w:pPr>
    </w:p>
    <w:p w14:paraId="61F0BE44" w14:textId="5FE4B9FC" w:rsidR="004755C5" w:rsidRPr="004755C5" w:rsidRDefault="004755C5" w:rsidP="004755C5">
      <w:pPr>
        <w:pStyle w:val="EndnoteText"/>
        <w:rPr>
          <w:rFonts w:cstheme="minorHAnsi"/>
          <w:sz w:val="24"/>
          <w:szCs w:val="24"/>
        </w:rPr>
      </w:pPr>
      <w:r w:rsidRPr="004755C5">
        <w:rPr>
          <w:rFonts w:cstheme="minorHAnsi"/>
          <w:sz w:val="24"/>
          <w:szCs w:val="24"/>
        </w:rPr>
        <w:t xml:space="preserve">WHO. (2006, June 16). </w:t>
      </w:r>
      <w:r w:rsidRPr="004755C5">
        <w:rPr>
          <w:rFonts w:cstheme="minorHAnsi"/>
          <w:i/>
          <w:iCs/>
          <w:sz w:val="24"/>
          <w:szCs w:val="24"/>
        </w:rPr>
        <w:t>Almost a quarter of all disease caused by environmental exposure.</w:t>
      </w:r>
      <w:r w:rsidRPr="004755C5">
        <w:rPr>
          <w:rFonts w:cstheme="minorHAnsi"/>
          <w:sz w:val="24"/>
          <w:szCs w:val="24"/>
        </w:rPr>
        <w:t xml:space="preserve"> World Health Organization Media Centre. Retrieved March 9, 2021 from </w:t>
      </w:r>
      <w:hyperlink r:id="rId54" w:history="1">
        <w:r w:rsidRPr="004755C5">
          <w:rPr>
            <w:rStyle w:val="Hyperlink"/>
            <w:rFonts w:cstheme="minorHAnsi"/>
            <w:sz w:val="24"/>
            <w:szCs w:val="24"/>
          </w:rPr>
          <w:t>https://www.who.int/mediacentre/news/releases/2006/pr32/en/</w:t>
        </w:r>
      </w:hyperlink>
      <w:r w:rsidRPr="004755C5">
        <w:rPr>
          <w:rFonts w:cstheme="minorHAnsi"/>
          <w:sz w:val="24"/>
          <w:szCs w:val="24"/>
        </w:rPr>
        <w:t xml:space="preserve"> </w:t>
      </w:r>
    </w:p>
    <w:p w14:paraId="6BC02A2A" w14:textId="77777777" w:rsidR="004755C5" w:rsidRPr="004755C5" w:rsidRDefault="004755C5" w:rsidP="004755C5">
      <w:pPr>
        <w:pStyle w:val="EndnoteText"/>
        <w:rPr>
          <w:rFonts w:cstheme="minorHAnsi"/>
          <w:sz w:val="24"/>
          <w:szCs w:val="24"/>
        </w:rPr>
      </w:pPr>
    </w:p>
    <w:p w14:paraId="461E89F0"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WHO. (2010). </w:t>
      </w:r>
      <w:r w:rsidRPr="004755C5">
        <w:rPr>
          <w:rFonts w:cstheme="minorHAnsi"/>
          <w:i/>
          <w:iCs/>
          <w:sz w:val="24"/>
          <w:szCs w:val="24"/>
        </w:rPr>
        <w:t>Childhood lead poisoning</w:t>
      </w:r>
      <w:r w:rsidRPr="004755C5">
        <w:rPr>
          <w:rFonts w:cstheme="minorHAnsi"/>
          <w:sz w:val="24"/>
          <w:szCs w:val="24"/>
        </w:rPr>
        <w:t xml:space="preserve">. Geneva, Switzerland: World Health Organisation. Retrieved March 18, 2021 from </w:t>
      </w:r>
      <w:hyperlink r:id="rId55" w:history="1">
        <w:r w:rsidRPr="004755C5">
          <w:rPr>
            <w:rStyle w:val="Hyperlink"/>
            <w:rFonts w:cstheme="minorHAnsi"/>
            <w:sz w:val="24"/>
            <w:szCs w:val="24"/>
          </w:rPr>
          <w:t>http://www.who.int/ceh/publications/leadguidance.pdf</w:t>
        </w:r>
      </w:hyperlink>
      <w:r w:rsidRPr="004755C5">
        <w:rPr>
          <w:rFonts w:cstheme="minorHAnsi"/>
          <w:sz w:val="24"/>
          <w:szCs w:val="24"/>
        </w:rPr>
        <w:t xml:space="preserve"> </w:t>
      </w:r>
    </w:p>
    <w:p w14:paraId="1C9E9F9F" w14:textId="77777777" w:rsidR="004755C5" w:rsidRPr="004755C5" w:rsidRDefault="004755C5" w:rsidP="004755C5">
      <w:pPr>
        <w:pStyle w:val="EndnoteText"/>
        <w:rPr>
          <w:rFonts w:cstheme="minorHAnsi"/>
          <w:sz w:val="24"/>
          <w:szCs w:val="24"/>
        </w:rPr>
      </w:pPr>
    </w:p>
    <w:p w14:paraId="0C5E4BAA" w14:textId="77777777" w:rsidR="004755C5" w:rsidRPr="004755C5" w:rsidRDefault="004755C5" w:rsidP="004755C5">
      <w:pPr>
        <w:pStyle w:val="EndnoteText"/>
        <w:rPr>
          <w:rStyle w:val="Hyperlink"/>
          <w:rFonts w:cstheme="minorHAnsi"/>
          <w:sz w:val="24"/>
          <w:szCs w:val="24"/>
        </w:rPr>
      </w:pPr>
      <w:r w:rsidRPr="004755C5">
        <w:rPr>
          <w:rFonts w:cstheme="minorHAnsi"/>
          <w:sz w:val="24"/>
          <w:szCs w:val="24"/>
        </w:rPr>
        <w:t xml:space="preserve">WHO. (2013). </w:t>
      </w:r>
      <w:r w:rsidRPr="004755C5">
        <w:rPr>
          <w:rFonts w:cstheme="minorHAnsi"/>
          <w:i/>
          <w:iCs/>
          <w:sz w:val="24"/>
          <w:szCs w:val="24"/>
        </w:rPr>
        <w:t>Health Effects of Particulate matter: Policy implications for countries in eastern Europe, Caucasus and central Asia</w:t>
      </w:r>
      <w:r w:rsidRPr="004755C5">
        <w:rPr>
          <w:rFonts w:cstheme="minorHAnsi"/>
          <w:sz w:val="24"/>
          <w:szCs w:val="24"/>
        </w:rPr>
        <w:t xml:space="preserve">. World Health Organization. Retrieved March 9, 2021 from </w:t>
      </w:r>
      <w:hyperlink r:id="rId56" w:history="1">
        <w:r w:rsidRPr="004755C5">
          <w:rPr>
            <w:rStyle w:val="Hyperlink"/>
            <w:rFonts w:cstheme="minorHAnsi"/>
            <w:sz w:val="24"/>
            <w:szCs w:val="24"/>
          </w:rPr>
          <w:t>https://intranet.euro.who.int/__data/assets/pdf_file/0006/189051/Health-effects-of-particulate-matter-final-Eng.pdf</w:t>
        </w:r>
      </w:hyperlink>
    </w:p>
    <w:p w14:paraId="18897561" w14:textId="77777777" w:rsidR="004755C5" w:rsidRPr="004755C5" w:rsidRDefault="004755C5" w:rsidP="004755C5">
      <w:pPr>
        <w:pStyle w:val="EndnoteText"/>
        <w:rPr>
          <w:rStyle w:val="Hyperlink"/>
          <w:rFonts w:cstheme="minorHAnsi"/>
          <w:sz w:val="24"/>
          <w:szCs w:val="24"/>
        </w:rPr>
      </w:pPr>
    </w:p>
    <w:p w14:paraId="6C68BBB0" w14:textId="77777777" w:rsidR="004755C5" w:rsidRPr="004755C5" w:rsidRDefault="004755C5" w:rsidP="004755C5">
      <w:pPr>
        <w:pStyle w:val="EndnoteText"/>
        <w:rPr>
          <w:rFonts w:cstheme="minorHAnsi"/>
          <w:sz w:val="24"/>
          <w:szCs w:val="24"/>
        </w:rPr>
      </w:pPr>
      <w:r w:rsidRPr="004755C5">
        <w:rPr>
          <w:rStyle w:val="Hyperlink"/>
          <w:rFonts w:cstheme="minorHAnsi"/>
          <w:color w:val="auto"/>
          <w:sz w:val="24"/>
          <w:szCs w:val="24"/>
          <w:u w:val="none"/>
        </w:rPr>
        <w:t xml:space="preserve">WHO. (2015). </w:t>
      </w:r>
      <w:r w:rsidRPr="004755C5">
        <w:rPr>
          <w:rStyle w:val="Hyperlink"/>
          <w:rFonts w:cstheme="minorHAnsi"/>
          <w:i/>
          <w:iCs/>
          <w:color w:val="auto"/>
          <w:sz w:val="24"/>
          <w:szCs w:val="24"/>
          <w:u w:val="none"/>
        </w:rPr>
        <w:t>Waste and human health: Evidence and needs.</w:t>
      </w:r>
      <w:r w:rsidRPr="004755C5">
        <w:rPr>
          <w:rStyle w:val="Hyperlink"/>
          <w:rFonts w:cstheme="minorHAnsi"/>
          <w:color w:val="auto"/>
          <w:sz w:val="24"/>
          <w:szCs w:val="24"/>
          <w:u w:val="none"/>
        </w:rPr>
        <w:t xml:space="preserve"> World Health Organization. WHO meeting report, 5-6 November 2015, Bonn, Germany. Retrieved March 17, 2021 from </w:t>
      </w:r>
      <w:hyperlink r:id="rId57" w:history="1">
        <w:r w:rsidRPr="004755C5">
          <w:rPr>
            <w:rStyle w:val="Hyperlink"/>
            <w:rFonts w:cstheme="minorHAnsi"/>
            <w:sz w:val="24"/>
            <w:szCs w:val="24"/>
          </w:rPr>
          <w:t>https://www.euro.who.int/__data/assets/pdf_file/0003/317226/Waste-human-health-Evidence-needs-mtg-report.pdf</w:t>
        </w:r>
      </w:hyperlink>
      <w:r w:rsidRPr="004755C5">
        <w:rPr>
          <w:rStyle w:val="Hyperlink"/>
          <w:rFonts w:cstheme="minorHAnsi"/>
          <w:sz w:val="24"/>
          <w:szCs w:val="24"/>
        </w:rPr>
        <w:t xml:space="preserve"> </w:t>
      </w:r>
    </w:p>
    <w:p w14:paraId="08F54AA6" w14:textId="77777777" w:rsidR="004755C5" w:rsidRPr="004755C5" w:rsidRDefault="004755C5" w:rsidP="004755C5">
      <w:pPr>
        <w:pStyle w:val="EndnoteText"/>
        <w:rPr>
          <w:rFonts w:cstheme="minorHAnsi"/>
          <w:sz w:val="24"/>
          <w:szCs w:val="24"/>
        </w:rPr>
      </w:pPr>
    </w:p>
    <w:p w14:paraId="453D7196" w14:textId="77777777" w:rsidR="004755C5" w:rsidRPr="004755C5" w:rsidRDefault="004755C5" w:rsidP="004755C5">
      <w:pPr>
        <w:pStyle w:val="EndnoteText"/>
        <w:rPr>
          <w:rStyle w:val="Hyperlink"/>
          <w:rFonts w:cstheme="minorHAnsi"/>
          <w:sz w:val="24"/>
          <w:szCs w:val="24"/>
        </w:rPr>
      </w:pPr>
      <w:r w:rsidRPr="004755C5">
        <w:rPr>
          <w:rFonts w:cstheme="minorHAnsi"/>
          <w:sz w:val="24"/>
          <w:szCs w:val="24"/>
        </w:rPr>
        <w:t xml:space="preserve">WHO. (2017, September 21). </w:t>
      </w:r>
      <w:r w:rsidRPr="004755C5">
        <w:rPr>
          <w:rFonts w:cstheme="minorHAnsi"/>
          <w:i/>
          <w:iCs/>
          <w:sz w:val="24"/>
          <w:szCs w:val="24"/>
        </w:rPr>
        <w:t>What is</w:t>
      </w:r>
      <w:r w:rsidRPr="004755C5">
        <w:rPr>
          <w:rFonts w:cstheme="minorHAnsi"/>
          <w:sz w:val="24"/>
          <w:szCs w:val="24"/>
        </w:rPr>
        <w:t xml:space="preserve"> </w:t>
      </w:r>
      <w:r w:rsidRPr="004755C5">
        <w:rPr>
          <w:rFonts w:cstheme="minorHAnsi"/>
          <w:i/>
          <w:iCs/>
          <w:sz w:val="24"/>
          <w:szCs w:val="24"/>
        </w:rPr>
        <w:t xml:space="preserve">‘One Health’? </w:t>
      </w:r>
      <w:r w:rsidRPr="004755C5">
        <w:rPr>
          <w:rFonts w:cstheme="minorHAnsi"/>
          <w:sz w:val="24"/>
          <w:szCs w:val="24"/>
        </w:rPr>
        <w:t xml:space="preserve">One Health. World Health Organization. Retrieved March 8, 2021 from </w:t>
      </w:r>
      <w:hyperlink r:id="rId58" w:history="1">
        <w:r w:rsidRPr="004755C5">
          <w:rPr>
            <w:rStyle w:val="Hyperlink"/>
            <w:rFonts w:cstheme="minorHAnsi"/>
            <w:sz w:val="24"/>
            <w:szCs w:val="24"/>
          </w:rPr>
          <w:t>https://www.who.int/news-room/q-a-detail/one-health</w:t>
        </w:r>
      </w:hyperlink>
    </w:p>
    <w:p w14:paraId="613B5292" w14:textId="77777777" w:rsidR="004755C5" w:rsidRPr="004755C5" w:rsidRDefault="004755C5" w:rsidP="004755C5">
      <w:pPr>
        <w:pStyle w:val="EndnoteText"/>
        <w:rPr>
          <w:rFonts w:cstheme="minorHAnsi"/>
          <w:sz w:val="24"/>
          <w:szCs w:val="24"/>
        </w:rPr>
      </w:pPr>
    </w:p>
    <w:p w14:paraId="3BDB8507"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WHO. (2020). </w:t>
      </w:r>
      <w:r w:rsidRPr="004755C5">
        <w:rPr>
          <w:rFonts w:cstheme="minorHAnsi"/>
          <w:i/>
          <w:iCs/>
          <w:sz w:val="24"/>
          <w:szCs w:val="24"/>
        </w:rPr>
        <w:t>Antimicrobial Resistance</w:t>
      </w:r>
      <w:r w:rsidRPr="004755C5">
        <w:rPr>
          <w:rFonts w:cstheme="minorHAnsi"/>
          <w:sz w:val="24"/>
          <w:szCs w:val="24"/>
        </w:rPr>
        <w:t xml:space="preserve">. World Health Organization. WHO Africa. Retrieved March 17, 2021 from </w:t>
      </w:r>
      <w:hyperlink r:id="rId59" w:history="1">
        <w:r w:rsidRPr="004755C5">
          <w:rPr>
            <w:rStyle w:val="Hyperlink"/>
            <w:rFonts w:cstheme="minorHAnsi"/>
            <w:sz w:val="24"/>
            <w:szCs w:val="24"/>
          </w:rPr>
          <w:t>https://www.afro.who.int/health-topics/antimicrobial-resistance</w:t>
        </w:r>
      </w:hyperlink>
      <w:r w:rsidRPr="004755C5">
        <w:rPr>
          <w:rFonts w:cstheme="minorHAnsi"/>
          <w:sz w:val="24"/>
          <w:szCs w:val="24"/>
        </w:rPr>
        <w:t xml:space="preserve"> </w:t>
      </w:r>
    </w:p>
    <w:p w14:paraId="6F8B3D26" w14:textId="77777777" w:rsidR="004755C5" w:rsidRPr="004755C5" w:rsidRDefault="004755C5" w:rsidP="004755C5">
      <w:pPr>
        <w:pStyle w:val="EndnoteText"/>
        <w:rPr>
          <w:rFonts w:cstheme="minorHAnsi"/>
          <w:sz w:val="24"/>
          <w:szCs w:val="24"/>
        </w:rPr>
      </w:pPr>
    </w:p>
    <w:p w14:paraId="4BB5D251"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WHO. (2021). </w:t>
      </w:r>
      <w:r w:rsidRPr="004755C5">
        <w:rPr>
          <w:rFonts w:cstheme="minorHAnsi"/>
          <w:i/>
          <w:iCs/>
          <w:sz w:val="24"/>
          <w:szCs w:val="24"/>
        </w:rPr>
        <w:t xml:space="preserve">Antimicrobial resistance. </w:t>
      </w:r>
      <w:r w:rsidRPr="004755C5">
        <w:rPr>
          <w:rFonts w:cstheme="minorHAnsi"/>
          <w:sz w:val="24"/>
          <w:szCs w:val="24"/>
        </w:rPr>
        <w:t xml:space="preserve">World Health Organization. Retrieved March 18, 2021 from </w:t>
      </w:r>
      <w:hyperlink r:id="rId60" w:history="1">
        <w:r w:rsidRPr="004755C5">
          <w:rPr>
            <w:rStyle w:val="Hyperlink"/>
            <w:rFonts w:cstheme="minorHAnsi"/>
            <w:sz w:val="24"/>
            <w:szCs w:val="24"/>
          </w:rPr>
          <w:t>https://www.who.int/health-topics/antimicrobial-resistance</w:t>
        </w:r>
      </w:hyperlink>
      <w:r w:rsidRPr="004755C5">
        <w:rPr>
          <w:rFonts w:cstheme="minorHAnsi"/>
          <w:sz w:val="24"/>
          <w:szCs w:val="24"/>
        </w:rPr>
        <w:t xml:space="preserve"> </w:t>
      </w:r>
    </w:p>
    <w:p w14:paraId="19523C7A" w14:textId="77777777" w:rsidR="004755C5" w:rsidRPr="004755C5" w:rsidRDefault="004755C5" w:rsidP="004755C5">
      <w:pPr>
        <w:pStyle w:val="EndnoteText"/>
        <w:rPr>
          <w:rFonts w:cstheme="minorHAnsi"/>
          <w:sz w:val="24"/>
          <w:szCs w:val="24"/>
        </w:rPr>
      </w:pPr>
    </w:p>
    <w:p w14:paraId="02E6E000"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Yang, Z., Song, Q., Li, J., Zhang, Y. (2019). Air Pollution as a Cause of Obesity: Micro-Level Evidence from Chinese Cities. </w:t>
      </w:r>
      <w:r w:rsidRPr="004755C5">
        <w:rPr>
          <w:rFonts w:cstheme="minorHAnsi"/>
          <w:i/>
          <w:iCs/>
          <w:sz w:val="24"/>
          <w:szCs w:val="24"/>
        </w:rPr>
        <w:t>Int. J. Environ. Res. Public Health</w:t>
      </w:r>
      <w:r w:rsidRPr="004755C5">
        <w:rPr>
          <w:rFonts w:cstheme="minorHAnsi"/>
          <w:sz w:val="24"/>
          <w:szCs w:val="24"/>
        </w:rPr>
        <w:t xml:space="preserve">, 16, 4296. </w:t>
      </w:r>
      <w:hyperlink r:id="rId61" w:history="1">
        <w:r w:rsidRPr="004755C5">
          <w:rPr>
            <w:rStyle w:val="Hyperlink"/>
            <w:rFonts w:cstheme="minorHAnsi"/>
            <w:sz w:val="24"/>
            <w:szCs w:val="24"/>
          </w:rPr>
          <w:t>https://doi.org/10.3390/ijerph16214296</w:t>
        </w:r>
      </w:hyperlink>
      <w:r w:rsidRPr="004755C5">
        <w:rPr>
          <w:rFonts w:cstheme="minorHAnsi"/>
          <w:sz w:val="24"/>
          <w:szCs w:val="24"/>
        </w:rPr>
        <w:t xml:space="preserve"> </w:t>
      </w:r>
    </w:p>
    <w:p w14:paraId="6E2C2502" w14:textId="77777777" w:rsidR="004755C5" w:rsidRPr="004755C5" w:rsidRDefault="004755C5" w:rsidP="004755C5">
      <w:pPr>
        <w:pStyle w:val="EndnoteText"/>
        <w:rPr>
          <w:rFonts w:cstheme="minorHAnsi"/>
          <w:sz w:val="24"/>
          <w:szCs w:val="24"/>
        </w:rPr>
      </w:pPr>
    </w:p>
    <w:p w14:paraId="2E94A2BC" w14:textId="77777777" w:rsidR="004755C5" w:rsidRPr="004755C5" w:rsidRDefault="004755C5" w:rsidP="004755C5">
      <w:pPr>
        <w:pStyle w:val="EndnoteText"/>
        <w:rPr>
          <w:rFonts w:cstheme="minorHAnsi"/>
          <w:sz w:val="24"/>
          <w:szCs w:val="24"/>
        </w:rPr>
      </w:pPr>
      <w:r w:rsidRPr="004755C5">
        <w:rPr>
          <w:rFonts w:cstheme="minorHAnsi"/>
          <w:sz w:val="24"/>
          <w:szCs w:val="24"/>
        </w:rPr>
        <w:t xml:space="preserve">de Zwart, F. (2015). Unintended but not unanticipated consequences. </w:t>
      </w:r>
      <w:r w:rsidRPr="004755C5">
        <w:rPr>
          <w:rFonts w:cstheme="minorHAnsi"/>
          <w:i/>
          <w:iCs/>
          <w:sz w:val="24"/>
          <w:szCs w:val="24"/>
        </w:rPr>
        <w:t>Theor Soc</w:t>
      </w:r>
      <w:r w:rsidRPr="004755C5">
        <w:rPr>
          <w:rFonts w:cstheme="minorHAnsi"/>
          <w:sz w:val="24"/>
          <w:szCs w:val="24"/>
        </w:rPr>
        <w:t xml:space="preserve">. 44, 283–297.  </w:t>
      </w:r>
      <w:hyperlink r:id="rId62" w:history="1">
        <w:r w:rsidRPr="004755C5">
          <w:rPr>
            <w:rStyle w:val="Hyperlink"/>
            <w:rFonts w:cstheme="minorHAnsi"/>
            <w:sz w:val="24"/>
            <w:szCs w:val="24"/>
          </w:rPr>
          <w:t>https://doi.org/10.1007/s11186-015-9247-6</w:t>
        </w:r>
      </w:hyperlink>
      <w:r w:rsidRPr="004755C5">
        <w:rPr>
          <w:rFonts w:cstheme="minorHAnsi"/>
          <w:sz w:val="24"/>
          <w:szCs w:val="24"/>
        </w:rPr>
        <w:t xml:space="preserve"> </w:t>
      </w:r>
    </w:p>
    <w:p w14:paraId="4EBF0AE2" w14:textId="77777777" w:rsidR="004755C5" w:rsidRDefault="004755C5" w:rsidP="00095ED3"/>
    <w:p w14:paraId="7B1000C8" w14:textId="77777777" w:rsidR="00CD12F6" w:rsidRDefault="00CD12F6" w:rsidP="00095ED3"/>
    <w:p w14:paraId="197C8CA1" w14:textId="77777777" w:rsidR="00A25C52" w:rsidRDefault="00A25C52">
      <w:pPr>
        <w:rPr>
          <w:b/>
        </w:rPr>
      </w:pPr>
      <w:r>
        <w:rPr>
          <w:b/>
        </w:rPr>
        <w:br w:type="page"/>
      </w:r>
    </w:p>
    <w:p w14:paraId="6A98DCF0" w14:textId="3B5373B6" w:rsidR="00A43B4C" w:rsidRDefault="00CD12F6" w:rsidP="00095ED3">
      <w:pPr>
        <w:rPr>
          <w:b/>
        </w:rPr>
      </w:pPr>
      <w:r w:rsidRPr="00A25C52">
        <w:rPr>
          <w:b/>
        </w:rPr>
        <w:lastRenderedPageBreak/>
        <w:t>Figures</w:t>
      </w:r>
    </w:p>
    <w:p w14:paraId="0B8AD115" w14:textId="77777777" w:rsidR="00A25C52" w:rsidRPr="00A25C52" w:rsidRDefault="00A25C52" w:rsidP="00095ED3">
      <w:pPr>
        <w:rPr>
          <w:b/>
        </w:rPr>
      </w:pPr>
    </w:p>
    <w:p w14:paraId="46876A0C" w14:textId="19F37451" w:rsidR="004755C5" w:rsidRDefault="00256AB6" w:rsidP="00095ED3">
      <w:r w:rsidRPr="00256AB6">
        <w:rPr>
          <w:noProof/>
          <w:lang w:eastAsia="en-GB"/>
        </w:rPr>
        <w:drawing>
          <wp:inline distT="0" distB="0" distL="0" distR="0" wp14:anchorId="2BC20BD6" wp14:editId="1F589D53">
            <wp:extent cx="5213000" cy="7305675"/>
            <wp:effectExtent l="0" t="0" r="6985" b="0"/>
            <wp:docPr id="1026" name="Picture 2"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ig.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216704" cy="7310866"/>
                    </a:xfrm>
                    <a:prstGeom prst="rect">
                      <a:avLst/>
                    </a:prstGeom>
                    <a:noFill/>
                  </pic:spPr>
                </pic:pic>
              </a:graphicData>
            </a:graphic>
          </wp:inline>
        </w:drawing>
      </w:r>
    </w:p>
    <w:p w14:paraId="72180415" w14:textId="77777777" w:rsidR="004755C5" w:rsidRDefault="004755C5" w:rsidP="00095ED3"/>
    <w:p w14:paraId="3364DB22" w14:textId="4A030D0A" w:rsidR="005A4A97" w:rsidRDefault="0014501C" w:rsidP="00095ED3">
      <w:r>
        <w:t>Figure 1. Integrated Public health risk assessment and response. a) Outline risk assessment. b) Application: questions to help the practical application.</w:t>
      </w:r>
      <w:r w:rsidR="00E51BCA">
        <w:t xml:space="preserve"> Source</w:t>
      </w:r>
      <w:r>
        <w:t>: Mahoney et al., 2015; used with permission</w:t>
      </w:r>
    </w:p>
    <w:p w14:paraId="6E8EAB79" w14:textId="108A621C" w:rsidR="005A4A97" w:rsidRDefault="005A4A97" w:rsidP="00095ED3"/>
    <w:p w14:paraId="27E28100" w14:textId="3213238D" w:rsidR="004755C5" w:rsidRDefault="004755C5">
      <w:pPr>
        <w:rPr>
          <w:noProof/>
          <w:lang w:eastAsia="en-GB"/>
        </w:rPr>
      </w:pPr>
      <w:r>
        <w:rPr>
          <w:noProof/>
          <w:lang w:eastAsia="en-GB"/>
        </w:rPr>
        <w:br w:type="page"/>
      </w:r>
    </w:p>
    <w:p w14:paraId="2347B74F" w14:textId="29DEB787" w:rsidR="005A4A97" w:rsidRDefault="005A4A97" w:rsidP="00095ED3"/>
    <w:p w14:paraId="5B78E901" w14:textId="6B8D6D27" w:rsidR="008F41E2" w:rsidRDefault="008F41E2" w:rsidP="00095ED3">
      <w:r>
        <w:rPr>
          <w:noProof/>
          <w:lang w:eastAsia="en-GB"/>
        </w:rPr>
        <w:drawing>
          <wp:inline distT="0" distB="0" distL="0" distR="0" wp14:anchorId="2BA163A9" wp14:editId="3A2521BB">
            <wp:extent cx="5731510" cy="389001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5731510" cy="3890010"/>
                    </a:xfrm>
                    <a:prstGeom prst="rect">
                      <a:avLst/>
                    </a:prstGeom>
                  </pic:spPr>
                </pic:pic>
              </a:graphicData>
            </a:graphic>
          </wp:inline>
        </w:drawing>
      </w:r>
    </w:p>
    <w:p w14:paraId="621C9A46" w14:textId="527932CC" w:rsidR="00A43B4C" w:rsidRDefault="003B032F" w:rsidP="00095ED3">
      <w:r>
        <w:t>Figure 2. The evaluation of the impact on health from strategic decision making, through planning, to operational control and decommissioning. Gibson, G. Author, this paper.</w:t>
      </w:r>
    </w:p>
    <w:p w14:paraId="0DCA206F" w14:textId="77777777" w:rsidR="00A43B4C" w:rsidRDefault="00A43B4C" w:rsidP="00095ED3"/>
    <w:p w14:paraId="276D70AB" w14:textId="47877695" w:rsidR="00A43B4C" w:rsidRDefault="00A43B4C" w:rsidP="00095ED3"/>
    <w:p w14:paraId="32DCFCFC" w14:textId="71697A78" w:rsidR="00A43B4C" w:rsidRDefault="004755C5" w:rsidP="00095ED3">
      <w:r>
        <w:rPr>
          <w:noProof/>
          <w:lang w:eastAsia="en-GB"/>
        </w:rPr>
        <w:drawing>
          <wp:inline distT="0" distB="0" distL="0" distR="0" wp14:anchorId="768C53F0" wp14:editId="5507B63D">
            <wp:extent cx="3390900" cy="3294179"/>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405774" cy="3308629"/>
                    </a:xfrm>
                    <a:prstGeom prst="rect">
                      <a:avLst/>
                    </a:prstGeom>
                  </pic:spPr>
                </pic:pic>
              </a:graphicData>
            </a:graphic>
          </wp:inline>
        </w:drawing>
      </w:r>
    </w:p>
    <w:p w14:paraId="79FC30F2" w14:textId="77777777" w:rsidR="004755C5" w:rsidRDefault="004755C5" w:rsidP="00D32B5D"/>
    <w:p w14:paraId="4D64A7A7" w14:textId="4A0A3A8F" w:rsidR="00637E46" w:rsidRDefault="00D32B5D" w:rsidP="00095ED3">
      <w:r>
        <w:t>Figure 3. Determinants of health and well being from the individual level to the global (Barton and Grant, 2005, reproduced with permission).</w:t>
      </w:r>
    </w:p>
    <w:p w14:paraId="285E249B" w14:textId="77777777" w:rsidR="0067362E" w:rsidRDefault="0067362E"/>
    <w:sectPr w:rsidR="0067362E" w:rsidSect="00E773FE">
      <w:footerReference w:type="default" r:id="rId66"/>
      <w:pgSz w:w="11906" w:h="16838"/>
      <w:pgMar w:top="1440" w:right="1440" w:bottom="1440" w:left="1440"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5F3D2" w16cex:dateUtc="2021-06-17T15:16:00Z"/>
  <w16cex:commentExtensible w16cex:durableId="247B05B3" w16cex:dateUtc="2021-06-21T11:33:00Z"/>
  <w16cex:commentExtensible w16cex:durableId="247B09F1" w16cex:dateUtc="2021-06-21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7AB23B" w16cid:durableId="2475DA67"/>
  <w16cid:commentId w16cid:paraId="7E0399AA" w16cid:durableId="2475F3D2"/>
  <w16cid:commentId w16cid:paraId="7B0FBE2B" w16cid:durableId="2475DA68"/>
  <w16cid:commentId w16cid:paraId="073C0A2B" w16cid:durableId="2475DE2F"/>
  <w16cid:commentId w16cid:paraId="6946765C" w16cid:durableId="247B05B3"/>
  <w16cid:commentId w16cid:paraId="17BC941A" w16cid:durableId="2475DA69"/>
  <w16cid:commentId w16cid:paraId="05661C57" w16cid:durableId="2475E718"/>
  <w16cid:commentId w16cid:paraId="48ACDF0E" w16cid:durableId="247B09F1"/>
  <w16cid:commentId w16cid:paraId="28B51A18" w16cid:durableId="2475DA6A"/>
  <w16cid:commentId w16cid:paraId="050CA6B3" w16cid:durableId="2475DC63"/>
  <w16cid:commentId w16cid:paraId="79504BF8" w16cid:durableId="2475DA6B"/>
  <w16cid:commentId w16cid:paraId="0C43EBA0" w16cid:durableId="2475EB0B"/>
  <w16cid:commentId w16cid:paraId="2D281A1E" w16cid:durableId="2475EB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D5F9E" w14:textId="77777777" w:rsidR="00C32857" w:rsidRDefault="00C32857" w:rsidP="00BA0486">
      <w:r>
        <w:separator/>
      </w:r>
    </w:p>
  </w:endnote>
  <w:endnote w:type="continuationSeparator" w:id="0">
    <w:p w14:paraId="47126959" w14:textId="77777777" w:rsidR="00C32857" w:rsidRDefault="00C32857" w:rsidP="00BA0486">
      <w:r>
        <w:continuationSeparator/>
      </w:r>
    </w:p>
  </w:endnote>
  <w:endnote w:type="continuationNotice" w:id="1">
    <w:p w14:paraId="158D49AE" w14:textId="77777777" w:rsidR="00C32857" w:rsidRDefault="00C32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764943"/>
      <w:docPartObj>
        <w:docPartGallery w:val="Page Numbers (Bottom of Page)"/>
        <w:docPartUnique/>
      </w:docPartObj>
    </w:sdtPr>
    <w:sdtEndPr>
      <w:rPr>
        <w:noProof/>
      </w:rPr>
    </w:sdtEndPr>
    <w:sdtContent>
      <w:p w14:paraId="2F02A1D6" w14:textId="1CE65DA0" w:rsidR="00644C4B" w:rsidRDefault="00644C4B">
        <w:pPr>
          <w:pStyle w:val="Footer"/>
          <w:jc w:val="center"/>
        </w:pPr>
        <w:r>
          <w:fldChar w:fldCharType="begin"/>
        </w:r>
        <w:r>
          <w:instrText xml:space="preserve"> PAGE   \* MERGEFORMAT </w:instrText>
        </w:r>
        <w:r>
          <w:fldChar w:fldCharType="separate"/>
        </w:r>
        <w:r w:rsidR="00965EEA">
          <w:rPr>
            <w:noProof/>
          </w:rPr>
          <w:t>2</w:t>
        </w:r>
        <w:r>
          <w:rPr>
            <w:noProof/>
          </w:rPr>
          <w:fldChar w:fldCharType="end"/>
        </w:r>
      </w:p>
    </w:sdtContent>
  </w:sdt>
  <w:p w14:paraId="6CECEC41" w14:textId="77777777" w:rsidR="00644C4B" w:rsidRDefault="00644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1FB47" w14:textId="77777777" w:rsidR="00C32857" w:rsidRDefault="00C32857" w:rsidP="00BA0486">
      <w:r>
        <w:separator/>
      </w:r>
    </w:p>
  </w:footnote>
  <w:footnote w:type="continuationSeparator" w:id="0">
    <w:p w14:paraId="591B9FE7" w14:textId="77777777" w:rsidR="00C32857" w:rsidRDefault="00C32857" w:rsidP="00BA0486">
      <w:r>
        <w:continuationSeparator/>
      </w:r>
    </w:p>
  </w:footnote>
  <w:footnote w:type="continuationNotice" w:id="1">
    <w:p w14:paraId="05B458AA" w14:textId="77777777" w:rsidR="00C32857" w:rsidRDefault="00C3285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529"/>
    <w:multiLevelType w:val="multilevel"/>
    <w:tmpl w:val="B878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35BD8"/>
    <w:multiLevelType w:val="hybridMultilevel"/>
    <w:tmpl w:val="17BE3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5144D0"/>
    <w:multiLevelType w:val="multilevel"/>
    <w:tmpl w:val="46661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B7"/>
    <w:rsid w:val="00006AF5"/>
    <w:rsid w:val="00011C36"/>
    <w:rsid w:val="00012360"/>
    <w:rsid w:val="00012803"/>
    <w:rsid w:val="00016201"/>
    <w:rsid w:val="00024B35"/>
    <w:rsid w:val="00025734"/>
    <w:rsid w:val="000300AA"/>
    <w:rsid w:val="00036527"/>
    <w:rsid w:val="00037D7C"/>
    <w:rsid w:val="00044BE1"/>
    <w:rsid w:val="000474B0"/>
    <w:rsid w:val="00050EEB"/>
    <w:rsid w:val="00054108"/>
    <w:rsid w:val="000563C7"/>
    <w:rsid w:val="00061C81"/>
    <w:rsid w:val="00061F02"/>
    <w:rsid w:val="000622CA"/>
    <w:rsid w:val="00065FA9"/>
    <w:rsid w:val="000705B6"/>
    <w:rsid w:val="00077DC2"/>
    <w:rsid w:val="000801C3"/>
    <w:rsid w:val="0008288D"/>
    <w:rsid w:val="00083099"/>
    <w:rsid w:val="00090DCD"/>
    <w:rsid w:val="00090F7B"/>
    <w:rsid w:val="000933C0"/>
    <w:rsid w:val="000958AB"/>
    <w:rsid w:val="00095ED3"/>
    <w:rsid w:val="000A4C8A"/>
    <w:rsid w:val="000A6A68"/>
    <w:rsid w:val="000B098E"/>
    <w:rsid w:val="000B213E"/>
    <w:rsid w:val="000B4F4A"/>
    <w:rsid w:val="000B557A"/>
    <w:rsid w:val="000C0661"/>
    <w:rsid w:val="000D08A3"/>
    <w:rsid w:val="000D401C"/>
    <w:rsid w:val="000E10B5"/>
    <w:rsid w:val="000E57C1"/>
    <w:rsid w:val="000E642C"/>
    <w:rsid w:val="000F0186"/>
    <w:rsid w:val="000F697A"/>
    <w:rsid w:val="000F6C1C"/>
    <w:rsid w:val="001049B7"/>
    <w:rsid w:val="001156D2"/>
    <w:rsid w:val="001208D2"/>
    <w:rsid w:val="0012122A"/>
    <w:rsid w:val="0012200D"/>
    <w:rsid w:val="00125241"/>
    <w:rsid w:val="001402D0"/>
    <w:rsid w:val="001430A9"/>
    <w:rsid w:val="00144D40"/>
    <w:rsid w:val="0014501C"/>
    <w:rsid w:val="00150028"/>
    <w:rsid w:val="00150422"/>
    <w:rsid w:val="001504BC"/>
    <w:rsid w:val="0015244C"/>
    <w:rsid w:val="00154F18"/>
    <w:rsid w:val="001575E8"/>
    <w:rsid w:val="001720D2"/>
    <w:rsid w:val="00177486"/>
    <w:rsid w:val="00190D59"/>
    <w:rsid w:val="00191509"/>
    <w:rsid w:val="001975EA"/>
    <w:rsid w:val="001A279F"/>
    <w:rsid w:val="001A27F7"/>
    <w:rsid w:val="001B059B"/>
    <w:rsid w:val="001B26C8"/>
    <w:rsid w:val="001B38AF"/>
    <w:rsid w:val="001B3C9B"/>
    <w:rsid w:val="001B488A"/>
    <w:rsid w:val="001B7DB8"/>
    <w:rsid w:val="001C1445"/>
    <w:rsid w:val="001C234E"/>
    <w:rsid w:val="001C7D4F"/>
    <w:rsid w:val="001D071F"/>
    <w:rsid w:val="001D0D3D"/>
    <w:rsid w:val="001D3D2B"/>
    <w:rsid w:val="001E3958"/>
    <w:rsid w:val="001E4589"/>
    <w:rsid w:val="001E5644"/>
    <w:rsid w:val="001E66AA"/>
    <w:rsid w:val="001F1474"/>
    <w:rsid w:val="001F311F"/>
    <w:rsid w:val="001F616E"/>
    <w:rsid w:val="001F65EF"/>
    <w:rsid w:val="0020271C"/>
    <w:rsid w:val="002027B8"/>
    <w:rsid w:val="0020370C"/>
    <w:rsid w:val="002039F8"/>
    <w:rsid w:val="00204321"/>
    <w:rsid w:val="00221E32"/>
    <w:rsid w:val="00223168"/>
    <w:rsid w:val="00227EE3"/>
    <w:rsid w:val="002321DB"/>
    <w:rsid w:val="002333DE"/>
    <w:rsid w:val="00235771"/>
    <w:rsid w:val="00236A3E"/>
    <w:rsid w:val="002432CE"/>
    <w:rsid w:val="002452AB"/>
    <w:rsid w:val="00250B68"/>
    <w:rsid w:val="00251B22"/>
    <w:rsid w:val="00252BEF"/>
    <w:rsid w:val="00252ED8"/>
    <w:rsid w:val="00255D58"/>
    <w:rsid w:val="00256AB6"/>
    <w:rsid w:val="00262492"/>
    <w:rsid w:val="00266449"/>
    <w:rsid w:val="002672A9"/>
    <w:rsid w:val="002742DD"/>
    <w:rsid w:val="002753E5"/>
    <w:rsid w:val="00277B32"/>
    <w:rsid w:val="00277B4D"/>
    <w:rsid w:val="00280319"/>
    <w:rsid w:val="00281161"/>
    <w:rsid w:val="0028153A"/>
    <w:rsid w:val="00290E1A"/>
    <w:rsid w:val="00291ADC"/>
    <w:rsid w:val="00294588"/>
    <w:rsid w:val="00295079"/>
    <w:rsid w:val="002A15B5"/>
    <w:rsid w:val="002A3BDC"/>
    <w:rsid w:val="002A57F0"/>
    <w:rsid w:val="002A758F"/>
    <w:rsid w:val="002B33A8"/>
    <w:rsid w:val="002B4E99"/>
    <w:rsid w:val="002C4BFA"/>
    <w:rsid w:val="002C79FA"/>
    <w:rsid w:val="002D496E"/>
    <w:rsid w:val="002D69E3"/>
    <w:rsid w:val="002E65CA"/>
    <w:rsid w:val="002E7A97"/>
    <w:rsid w:val="002F559E"/>
    <w:rsid w:val="003042C9"/>
    <w:rsid w:val="003164E4"/>
    <w:rsid w:val="00324FA8"/>
    <w:rsid w:val="0032520A"/>
    <w:rsid w:val="00326E84"/>
    <w:rsid w:val="003271E6"/>
    <w:rsid w:val="00330BA4"/>
    <w:rsid w:val="00342311"/>
    <w:rsid w:val="003433C8"/>
    <w:rsid w:val="00345033"/>
    <w:rsid w:val="003464AE"/>
    <w:rsid w:val="003520B4"/>
    <w:rsid w:val="003520E6"/>
    <w:rsid w:val="00355969"/>
    <w:rsid w:val="003622AD"/>
    <w:rsid w:val="00362568"/>
    <w:rsid w:val="00364409"/>
    <w:rsid w:val="00366329"/>
    <w:rsid w:val="003749D4"/>
    <w:rsid w:val="00380A85"/>
    <w:rsid w:val="003822D7"/>
    <w:rsid w:val="003835EC"/>
    <w:rsid w:val="00385D62"/>
    <w:rsid w:val="00385FC5"/>
    <w:rsid w:val="00393F5B"/>
    <w:rsid w:val="003A13E2"/>
    <w:rsid w:val="003A16F6"/>
    <w:rsid w:val="003A559F"/>
    <w:rsid w:val="003A6A67"/>
    <w:rsid w:val="003B032F"/>
    <w:rsid w:val="003C2EEC"/>
    <w:rsid w:val="003C5291"/>
    <w:rsid w:val="003D0EC1"/>
    <w:rsid w:val="003D1DE4"/>
    <w:rsid w:val="003E344B"/>
    <w:rsid w:val="003F3FF1"/>
    <w:rsid w:val="003F7B7D"/>
    <w:rsid w:val="00417CE6"/>
    <w:rsid w:val="004258A4"/>
    <w:rsid w:val="00430A90"/>
    <w:rsid w:val="00434750"/>
    <w:rsid w:val="00435151"/>
    <w:rsid w:val="00437729"/>
    <w:rsid w:val="00437CF1"/>
    <w:rsid w:val="00445504"/>
    <w:rsid w:val="00445902"/>
    <w:rsid w:val="00452EAF"/>
    <w:rsid w:val="004602D4"/>
    <w:rsid w:val="0046216C"/>
    <w:rsid w:val="00465C3F"/>
    <w:rsid w:val="00470A45"/>
    <w:rsid w:val="0047336D"/>
    <w:rsid w:val="00475205"/>
    <w:rsid w:val="004755C5"/>
    <w:rsid w:val="0047688A"/>
    <w:rsid w:val="00477347"/>
    <w:rsid w:val="004800D8"/>
    <w:rsid w:val="0048354C"/>
    <w:rsid w:val="00484C4F"/>
    <w:rsid w:val="00486957"/>
    <w:rsid w:val="00493802"/>
    <w:rsid w:val="004954ED"/>
    <w:rsid w:val="004A7514"/>
    <w:rsid w:val="004E156C"/>
    <w:rsid w:val="004E5729"/>
    <w:rsid w:val="004F0975"/>
    <w:rsid w:val="004F3392"/>
    <w:rsid w:val="00503C7E"/>
    <w:rsid w:val="00504FCB"/>
    <w:rsid w:val="0050528D"/>
    <w:rsid w:val="0050660E"/>
    <w:rsid w:val="00507FF8"/>
    <w:rsid w:val="00517861"/>
    <w:rsid w:val="005308F4"/>
    <w:rsid w:val="00531FE7"/>
    <w:rsid w:val="00533CDA"/>
    <w:rsid w:val="0053407F"/>
    <w:rsid w:val="00543778"/>
    <w:rsid w:val="0054464D"/>
    <w:rsid w:val="00546175"/>
    <w:rsid w:val="00552F46"/>
    <w:rsid w:val="00554B64"/>
    <w:rsid w:val="00562AC6"/>
    <w:rsid w:val="0056397D"/>
    <w:rsid w:val="00576673"/>
    <w:rsid w:val="005830FD"/>
    <w:rsid w:val="00587EDB"/>
    <w:rsid w:val="00593D4F"/>
    <w:rsid w:val="0059726E"/>
    <w:rsid w:val="00597D00"/>
    <w:rsid w:val="005A33EC"/>
    <w:rsid w:val="005A3DE1"/>
    <w:rsid w:val="005A4A97"/>
    <w:rsid w:val="005C1401"/>
    <w:rsid w:val="005D064A"/>
    <w:rsid w:val="005F22BE"/>
    <w:rsid w:val="005F34C5"/>
    <w:rsid w:val="005F5D1D"/>
    <w:rsid w:val="005F6FC8"/>
    <w:rsid w:val="00603833"/>
    <w:rsid w:val="00606035"/>
    <w:rsid w:val="00614DE1"/>
    <w:rsid w:val="0062767A"/>
    <w:rsid w:val="00627B2A"/>
    <w:rsid w:val="00631143"/>
    <w:rsid w:val="00631DDA"/>
    <w:rsid w:val="006370C5"/>
    <w:rsid w:val="00637E46"/>
    <w:rsid w:val="00644C4B"/>
    <w:rsid w:val="006465DE"/>
    <w:rsid w:val="006503B7"/>
    <w:rsid w:val="006555C0"/>
    <w:rsid w:val="00657170"/>
    <w:rsid w:val="00661471"/>
    <w:rsid w:val="0067362E"/>
    <w:rsid w:val="00673CF7"/>
    <w:rsid w:val="00681FAA"/>
    <w:rsid w:val="00682324"/>
    <w:rsid w:val="0068488B"/>
    <w:rsid w:val="006A3923"/>
    <w:rsid w:val="006B3C54"/>
    <w:rsid w:val="006C4390"/>
    <w:rsid w:val="006D0F13"/>
    <w:rsid w:val="006D2C65"/>
    <w:rsid w:val="006D5F9D"/>
    <w:rsid w:val="006D660E"/>
    <w:rsid w:val="006D77B7"/>
    <w:rsid w:val="006E75CB"/>
    <w:rsid w:val="006F37E4"/>
    <w:rsid w:val="006F70C8"/>
    <w:rsid w:val="007043AB"/>
    <w:rsid w:val="007073FA"/>
    <w:rsid w:val="00710328"/>
    <w:rsid w:val="007109DF"/>
    <w:rsid w:val="0071143C"/>
    <w:rsid w:val="0071299A"/>
    <w:rsid w:val="00712D9B"/>
    <w:rsid w:val="00721573"/>
    <w:rsid w:val="00726A3D"/>
    <w:rsid w:val="00745495"/>
    <w:rsid w:val="00745999"/>
    <w:rsid w:val="00747934"/>
    <w:rsid w:val="00747D0C"/>
    <w:rsid w:val="007502D1"/>
    <w:rsid w:val="00753885"/>
    <w:rsid w:val="00754B75"/>
    <w:rsid w:val="00773C1F"/>
    <w:rsid w:val="00774DDC"/>
    <w:rsid w:val="00777F68"/>
    <w:rsid w:val="0078582E"/>
    <w:rsid w:val="007915B1"/>
    <w:rsid w:val="00793590"/>
    <w:rsid w:val="00796A51"/>
    <w:rsid w:val="007A21BF"/>
    <w:rsid w:val="007A3B73"/>
    <w:rsid w:val="007A3DEF"/>
    <w:rsid w:val="007B0D3A"/>
    <w:rsid w:val="007B1E5D"/>
    <w:rsid w:val="007B3542"/>
    <w:rsid w:val="007B4C12"/>
    <w:rsid w:val="007B64A8"/>
    <w:rsid w:val="007E2DC4"/>
    <w:rsid w:val="007E7550"/>
    <w:rsid w:val="007F0165"/>
    <w:rsid w:val="007F222E"/>
    <w:rsid w:val="007F2C0E"/>
    <w:rsid w:val="007F4368"/>
    <w:rsid w:val="007F7A6C"/>
    <w:rsid w:val="00806BAE"/>
    <w:rsid w:val="00810EB4"/>
    <w:rsid w:val="00813B94"/>
    <w:rsid w:val="00814950"/>
    <w:rsid w:val="008158AF"/>
    <w:rsid w:val="0082376A"/>
    <w:rsid w:val="00826266"/>
    <w:rsid w:val="00837C60"/>
    <w:rsid w:val="008435B3"/>
    <w:rsid w:val="00845C2E"/>
    <w:rsid w:val="00855D2A"/>
    <w:rsid w:val="00855D94"/>
    <w:rsid w:val="00862C84"/>
    <w:rsid w:val="0086365E"/>
    <w:rsid w:val="00881D01"/>
    <w:rsid w:val="00887122"/>
    <w:rsid w:val="0089020B"/>
    <w:rsid w:val="00893486"/>
    <w:rsid w:val="00893925"/>
    <w:rsid w:val="0089395A"/>
    <w:rsid w:val="00895200"/>
    <w:rsid w:val="008A0AFA"/>
    <w:rsid w:val="008A3800"/>
    <w:rsid w:val="008A484A"/>
    <w:rsid w:val="008B1474"/>
    <w:rsid w:val="008B4E27"/>
    <w:rsid w:val="008C04C9"/>
    <w:rsid w:val="008C24E0"/>
    <w:rsid w:val="008C67E1"/>
    <w:rsid w:val="008D1814"/>
    <w:rsid w:val="008E0DB5"/>
    <w:rsid w:val="008E5BEB"/>
    <w:rsid w:val="008E68E1"/>
    <w:rsid w:val="008F2542"/>
    <w:rsid w:val="008F41E2"/>
    <w:rsid w:val="008F48EF"/>
    <w:rsid w:val="0090285B"/>
    <w:rsid w:val="00905051"/>
    <w:rsid w:val="009073E5"/>
    <w:rsid w:val="00910507"/>
    <w:rsid w:val="00913939"/>
    <w:rsid w:val="0092512E"/>
    <w:rsid w:val="00934D07"/>
    <w:rsid w:val="00934E48"/>
    <w:rsid w:val="0093545E"/>
    <w:rsid w:val="00940EF1"/>
    <w:rsid w:val="009431A8"/>
    <w:rsid w:val="009449B8"/>
    <w:rsid w:val="009547F7"/>
    <w:rsid w:val="00955380"/>
    <w:rsid w:val="00962071"/>
    <w:rsid w:val="00962B10"/>
    <w:rsid w:val="00965EEA"/>
    <w:rsid w:val="00967222"/>
    <w:rsid w:val="00977492"/>
    <w:rsid w:val="009857B7"/>
    <w:rsid w:val="009866EC"/>
    <w:rsid w:val="00995E93"/>
    <w:rsid w:val="009A53C4"/>
    <w:rsid w:val="009A5A96"/>
    <w:rsid w:val="009B640E"/>
    <w:rsid w:val="009B6FBF"/>
    <w:rsid w:val="009B73BF"/>
    <w:rsid w:val="009C368D"/>
    <w:rsid w:val="009C58DA"/>
    <w:rsid w:val="009D41A1"/>
    <w:rsid w:val="009D465E"/>
    <w:rsid w:val="009E3EBD"/>
    <w:rsid w:val="00A04D87"/>
    <w:rsid w:val="00A158D5"/>
    <w:rsid w:val="00A21BC3"/>
    <w:rsid w:val="00A22F84"/>
    <w:rsid w:val="00A25C52"/>
    <w:rsid w:val="00A26CBA"/>
    <w:rsid w:val="00A270D0"/>
    <w:rsid w:val="00A30EDE"/>
    <w:rsid w:val="00A376DC"/>
    <w:rsid w:val="00A43B4C"/>
    <w:rsid w:val="00A52D45"/>
    <w:rsid w:val="00A535CE"/>
    <w:rsid w:val="00A61CD5"/>
    <w:rsid w:val="00A62A48"/>
    <w:rsid w:val="00A62F2F"/>
    <w:rsid w:val="00A67436"/>
    <w:rsid w:val="00A67B2B"/>
    <w:rsid w:val="00A75DA1"/>
    <w:rsid w:val="00A932BF"/>
    <w:rsid w:val="00A94BC9"/>
    <w:rsid w:val="00A95998"/>
    <w:rsid w:val="00A96A70"/>
    <w:rsid w:val="00A9755F"/>
    <w:rsid w:val="00AA1008"/>
    <w:rsid w:val="00AA1598"/>
    <w:rsid w:val="00AB50C4"/>
    <w:rsid w:val="00AC303D"/>
    <w:rsid w:val="00AC5776"/>
    <w:rsid w:val="00AD1562"/>
    <w:rsid w:val="00AD5766"/>
    <w:rsid w:val="00AD665B"/>
    <w:rsid w:val="00AF05F6"/>
    <w:rsid w:val="00AF7D1D"/>
    <w:rsid w:val="00B0057D"/>
    <w:rsid w:val="00B113AF"/>
    <w:rsid w:val="00B11E75"/>
    <w:rsid w:val="00B12F5D"/>
    <w:rsid w:val="00B17022"/>
    <w:rsid w:val="00B24113"/>
    <w:rsid w:val="00B27CD6"/>
    <w:rsid w:val="00B32020"/>
    <w:rsid w:val="00B35A61"/>
    <w:rsid w:val="00B36AF3"/>
    <w:rsid w:val="00B4602D"/>
    <w:rsid w:val="00B54FDA"/>
    <w:rsid w:val="00B56518"/>
    <w:rsid w:val="00B56961"/>
    <w:rsid w:val="00B60E14"/>
    <w:rsid w:val="00B6127D"/>
    <w:rsid w:val="00B6676F"/>
    <w:rsid w:val="00B668BD"/>
    <w:rsid w:val="00B66FA8"/>
    <w:rsid w:val="00B674F4"/>
    <w:rsid w:val="00B72071"/>
    <w:rsid w:val="00B733E6"/>
    <w:rsid w:val="00B74FEB"/>
    <w:rsid w:val="00B77E41"/>
    <w:rsid w:val="00B8058A"/>
    <w:rsid w:val="00B825DD"/>
    <w:rsid w:val="00B8487C"/>
    <w:rsid w:val="00B90E37"/>
    <w:rsid w:val="00B96987"/>
    <w:rsid w:val="00BA03FB"/>
    <w:rsid w:val="00BA0486"/>
    <w:rsid w:val="00BA1959"/>
    <w:rsid w:val="00BA3DE7"/>
    <w:rsid w:val="00BA554E"/>
    <w:rsid w:val="00BA6C00"/>
    <w:rsid w:val="00BB011B"/>
    <w:rsid w:val="00BB279B"/>
    <w:rsid w:val="00BB2F6A"/>
    <w:rsid w:val="00BB7A79"/>
    <w:rsid w:val="00BC19BF"/>
    <w:rsid w:val="00BC24C7"/>
    <w:rsid w:val="00BC516C"/>
    <w:rsid w:val="00BD60F4"/>
    <w:rsid w:val="00BE45C6"/>
    <w:rsid w:val="00BF1480"/>
    <w:rsid w:val="00BF4B1D"/>
    <w:rsid w:val="00C06028"/>
    <w:rsid w:val="00C144F8"/>
    <w:rsid w:val="00C14B74"/>
    <w:rsid w:val="00C14D77"/>
    <w:rsid w:val="00C17148"/>
    <w:rsid w:val="00C24295"/>
    <w:rsid w:val="00C3213E"/>
    <w:rsid w:val="00C32857"/>
    <w:rsid w:val="00C35A86"/>
    <w:rsid w:val="00C40B22"/>
    <w:rsid w:val="00C47E4C"/>
    <w:rsid w:val="00C5047B"/>
    <w:rsid w:val="00C50AC8"/>
    <w:rsid w:val="00C55222"/>
    <w:rsid w:val="00C6668A"/>
    <w:rsid w:val="00C76322"/>
    <w:rsid w:val="00C77549"/>
    <w:rsid w:val="00C776C4"/>
    <w:rsid w:val="00C81C7B"/>
    <w:rsid w:val="00C82C9F"/>
    <w:rsid w:val="00C84171"/>
    <w:rsid w:val="00C86D04"/>
    <w:rsid w:val="00C903B8"/>
    <w:rsid w:val="00C947F4"/>
    <w:rsid w:val="00C96FE6"/>
    <w:rsid w:val="00CA4861"/>
    <w:rsid w:val="00CB0378"/>
    <w:rsid w:val="00CB584C"/>
    <w:rsid w:val="00CB780D"/>
    <w:rsid w:val="00CC1066"/>
    <w:rsid w:val="00CC413B"/>
    <w:rsid w:val="00CC46A2"/>
    <w:rsid w:val="00CC6F3F"/>
    <w:rsid w:val="00CC7158"/>
    <w:rsid w:val="00CD12F6"/>
    <w:rsid w:val="00CD67C4"/>
    <w:rsid w:val="00CD7AC5"/>
    <w:rsid w:val="00CE05B8"/>
    <w:rsid w:val="00CE0A6E"/>
    <w:rsid w:val="00CE7FB2"/>
    <w:rsid w:val="00D04849"/>
    <w:rsid w:val="00D0568A"/>
    <w:rsid w:val="00D1710D"/>
    <w:rsid w:val="00D26F8A"/>
    <w:rsid w:val="00D323CB"/>
    <w:rsid w:val="00D32844"/>
    <w:rsid w:val="00D32B5D"/>
    <w:rsid w:val="00D37346"/>
    <w:rsid w:val="00D3792F"/>
    <w:rsid w:val="00D41A26"/>
    <w:rsid w:val="00D42BD7"/>
    <w:rsid w:val="00D465E4"/>
    <w:rsid w:val="00D50823"/>
    <w:rsid w:val="00D52403"/>
    <w:rsid w:val="00D55D7D"/>
    <w:rsid w:val="00D67F3C"/>
    <w:rsid w:val="00D76B74"/>
    <w:rsid w:val="00D77E66"/>
    <w:rsid w:val="00D801C2"/>
    <w:rsid w:val="00D9051D"/>
    <w:rsid w:val="00D93BBF"/>
    <w:rsid w:val="00D94F2D"/>
    <w:rsid w:val="00DA02DF"/>
    <w:rsid w:val="00DA37E9"/>
    <w:rsid w:val="00DB289F"/>
    <w:rsid w:val="00DB38D4"/>
    <w:rsid w:val="00DC3C4A"/>
    <w:rsid w:val="00DD1D56"/>
    <w:rsid w:val="00DD5EB8"/>
    <w:rsid w:val="00DE24FB"/>
    <w:rsid w:val="00DE5F89"/>
    <w:rsid w:val="00DF4F01"/>
    <w:rsid w:val="00E161D5"/>
    <w:rsid w:val="00E23B80"/>
    <w:rsid w:val="00E24DE1"/>
    <w:rsid w:val="00E27A66"/>
    <w:rsid w:val="00E42510"/>
    <w:rsid w:val="00E43107"/>
    <w:rsid w:val="00E45BF1"/>
    <w:rsid w:val="00E45CC1"/>
    <w:rsid w:val="00E4683A"/>
    <w:rsid w:val="00E51BCA"/>
    <w:rsid w:val="00E53AAF"/>
    <w:rsid w:val="00E552A9"/>
    <w:rsid w:val="00E61CDE"/>
    <w:rsid w:val="00E66DBF"/>
    <w:rsid w:val="00E72B02"/>
    <w:rsid w:val="00E72F93"/>
    <w:rsid w:val="00E773FE"/>
    <w:rsid w:val="00E775E2"/>
    <w:rsid w:val="00E82929"/>
    <w:rsid w:val="00E865CB"/>
    <w:rsid w:val="00E9158C"/>
    <w:rsid w:val="00E925DE"/>
    <w:rsid w:val="00E943F3"/>
    <w:rsid w:val="00EA2720"/>
    <w:rsid w:val="00EA4EFE"/>
    <w:rsid w:val="00EA534B"/>
    <w:rsid w:val="00EB48F9"/>
    <w:rsid w:val="00EB5D8B"/>
    <w:rsid w:val="00EC4DDE"/>
    <w:rsid w:val="00EC5B61"/>
    <w:rsid w:val="00ED163D"/>
    <w:rsid w:val="00ED271B"/>
    <w:rsid w:val="00EF63F0"/>
    <w:rsid w:val="00F028E4"/>
    <w:rsid w:val="00F037F4"/>
    <w:rsid w:val="00F0498A"/>
    <w:rsid w:val="00F120DC"/>
    <w:rsid w:val="00F15762"/>
    <w:rsid w:val="00F15A75"/>
    <w:rsid w:val="00F1645B"/>
    <w:rsid w:val="00F17C1A"/>
    <w:rsid w:val="00F212E5"/>
    <w:rsid w:val="00F214F4"/>
    <w:rsid w:val="00F262DC"/>
    <w:rsid w:val="00F27506"/>
    <w:rsid w:val="00F32FC2"/>
    <w:rsid w:val="00F359EE"/>
    <w:rsid w:val="00F369D2"/>
    <w:rsid w:val="00F66A77"/>
    <w:rsid w:val="00F801A7"/>
    <w:rsid w:val="00F826A6"/>
    <w:rsid w:val="00F85350"/>
    <w:rsid w:val="00F91CEE"/>
    <w:rsid w:val="00FA3CEC"/>
    <w:rsid w:val="00FA6BA8"/>
    <w:rsid w:val="00FB5A08"/>
    <w:rsid w:val="00FB73CD"/>
    <w:rsid w:val="00FC2216"/>
    <w:rsid w:val="00FD4761"/>
    <w:rsid w:val="00FE21BE"/>
    <w:rsid w:val="00FE2EE4"/>
    <w:rsid w:val="00FE3A6B"/>
    <w:rsid w:val="00FE759F"/>
    <w:rsid w:val="00FF51A6"/>
    <w:rsid w:val="00FF6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BA6DC"/>
  <w15:chartTrackingRefBased/>
  <w15:docId w15:val="{95A96A0C-8713-49E6-929C-6FF2814E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A0486"/>
    <w:rPr>
      <w:sz w:val="20"/>
      <w:szCs w:val="20"/>
    </w:rPr>
  </w:style>
  <w:style w:type="character" w:customStyle="1" w:styleId="FootnoteTextChar">
    <w:name w:val="Footnote Text Char"/>
    <w:basedOn w:val="DefaultParagraphFont"/>
    <w:link w:val="FootnoteText"/>
    <w:uiPriority w:val="99"/>
    <w:rsid w:val="00BA0486"/>
    <w:rPr>
      <w:sz w:val="20"/>
      <w:szCs w:val="20"/>
    </w:rPr>
  </w:style>
  <w:style w:type="character" w:styleId="FootnoteReference">
    <w:name w:val="footnote reference"/>
    <w:basedOn w:val="DefaultParagraphFont"/>
    <w:uiPriority w:val="99"/>
    <w:semiHidden/>
    <w:unhideWhenUsed/>
    <w:rsid w:val="00BA0486"/>
    <w:rPr>
      <w:vertAlign w:val="superscript"/>
    </w:rPr>
  </w:style>
  <w:style w:type="character" w:styleId="CommentReference">
    <w:name w:val="annotation reference"/>
    <w:basedOn w:val="DefaultParagraphFont"/>
    <w:uiPriority w:val="99"/>
    <w:semiHidden/>
    <w:unhideWhenUsed/>
    <w:rsid w:val="00AA1008"/>
    <w:rPr>
      <w:sz w:val="16"/>
      <w:szCs w:val="16"/>
    </w:rPr>
  </w:style>
  <w:style w:type="paragraph" w:styleId="CommentText">
    <w:name w:val="annotation text"/>
    <w:basedOn w:val="Normal"/>
    <w:link w:val="CommentTextChar"/>
    <w:uiPriority w:val="99"/>
    <w:unhideWhenUsed/>
    <w:rsid w:val="00AA1008"/>
    <w:rPr>
      <w:sz w:val="20"/>
      <w:szCs w:val="20"/>
    </w:rPr>
  </w:style>
  <w:style w:type="character" w:customStyle="1" w:styleId="CommentTextChar">
    <w:name w:val="Comment Text Char"/>
    <w:basedOn w:val="DefaultParagraphFont"/>
    <w:link w:val="CommentText"/>
    <w:uiPriority w:val="99"/>
    <w:rsid w:val="00AA1008"/>
    <w:rPr>
      <w:sz w:val="20"/>
      <w:szCs w:val="20"/>
    </w:rPr>
  </w:style>
  <w:style w:type="paragraph" w:styleId="CommentSubject">
    <w:name w:val="annotation subject"/>
    <w:basedOn w:val="CommentText"/>
    <w:next w:val="CommentText"/>
    <w:link w:val="CommentSubjectChar"/>
    <w:uiPriority w:val="99"/>
    <w:semiHidden/>
    <w:unhideWhenUsed/>
    <w:rsid w:val="00AA1008"/>
    <w:rPr>
      <w:b/>
      <w:bCs/>
    </w:rPr>
  </w:style>
  <w:style w:type="character" w:customStyle="1" w:styleId="CommentSubjectChar">
    <w:name w:val="Comment Subject Char"/>
    <w:basedOn w:val="CommentTextChar"/>
    <w:link w:val="CommentSubject"/>
    <w:uiPriority w:val="99"/>
    <w:semiHidden/>
    <w:rsid w:val="00AA1008"/>
    <w:rPr>
      <w:b/>
      <w:bCs/>
      <w:sz w:val="20"/>
      <w:szCs w:val="20"/>
    </w:rPr>
  </w:style>
  <w:style w:type="paragraph" w:styleId="BalloonText">
    <w:name w:val="Balloon Text"/>
    <w:basedOn w:val="Normal"/>
    <w:link w:val="BalloonTextChar"/>
    <w:uiPriority w:val="99"/>
    <w:semiHidden/>
    <w:unhideWhenUsed/>
    <w:rsid w:val="00AA10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008"/>
    <w:rPr>
      <w:rFonts w:ascii="Segoe UI" w:hAnsi="Segoe UI" w:cs="Segoe UI"/>
      <w:sz w:val="18"/>
      <w:szCs w:val="18"/>
    </w:rPr>
  </w:style>
  <w:style w:type="character" w:styleId="Hyperlink">
    <w:name w:val="Hyperlink"/>
    <w:basedOn w:val="DefaultParagraphFont"/>
    <w:uiPriority w:val="99"/>
    <w:unhideWhenUsed/>
    <w:rsid w:val="00CD67C4"/>
    <w:rPr>
      <w:color w:val="0563C1" w:themeColor="hyperlink"/>
      <w:u w:val="single"/>
    </w:rPr>
  </w:style>
  <w:style w:type="character" w:customStyle="1" w:styleId="UnresolvedMention1">
    <w:name w:val="Unresolved Mention1"/>
    <w:basedOn w:val="DefaultParagraphFont"/>
    <w:uiPriority w:val="99"/>
    <w:semiHidden/>
    <w:unhideWhenUsed/>
    <w:rsid w:val="00CD67C4"/>
    <w:rPr>
      <w:color w:val="605E5C"/>
      <w:shd w:val="clear" w:color="auto" w:fill="E1DFDD"/>
    </w:rPr>
  </w:style>
  <w:style w:type="character" w:styleId="LineNumber">
    <w:name w:val="line number"/>
    <w:basedOn w:val="DefaultParagraphFont"/>
    <w:uiPriority w:val="99"/>
    <w:semiHidden/>
    <w:unhideWhenUsed/>
    <w:rsid w:val="00016201"/>
  </w:style>
  <w:style w:type="paragraph" w:styleId="Revision">
    <w:name w:val="Revision"/>
    <w:hidden/>
    <w:uiPriority w:val="99"/>
    <w:semiHidden/>
    <w:rsid w:val="00125241"/>
  </w:style>
  <w:style w:type="character" w:styleId="FollowedHyperlink">
    <w:name w:val="FollowedHyperlink"/>
    <w:basedOn w:val="DefaultParagraphFont"/>
    <w:uiPriority w:val="99"/>
    <w:semiHidden/>
    <w:unhideWhenUsed/>
    <w:rsid w:val="00C14B74"/>
    <w:rPr>
      <w:color w:val="954F72" w:themeColor="followedHyperlink"/>
      <w:u w:val="single"/>
    </w:rPr>
  </w:style>
  <w:style w:type="paragraph" w:styleId="EndnoteText">
    <w:name w:val="endnote text"/>
    <w:basedOn w:val="Normal"/>
    <w:link w:val="EndnoteTextChar"/>
    <w:uiPriority w:val="99"/>
    <w:unhideWhenUsed/>
    <w:rsid w:val="0053407F"/>
    <w:rPr>
      <w:sz w:val="20"/>
      <w:szCs w:val="20"/>
    </w:rPr>
  </w:style>
  <w:style w:type="character" w:customStyle="1" w:styleId="EndnoteTextChar">
    <w:name w:val="Endnote Text Char"/>
    <w:basedOn w:val="DefaultParagraphFont"/>
    <w:link w:val="EndnoteText"/>
    <w:uiPriority w:val="99"/>
    <w:rsid w:val="0053407F"/>
    <w:rPr>
      <w:sz w:val="20"/>
      <w:szCs w:val="20"/>
    </w:rPr>
  </w:style>
  <w:style w:type="character" w:styleId="EndnoteReference">
    <w:name w:val="endnote reference"/>
    <w:basedOn w:val="DefaultParagraphFont"/>
    <w:uiPriority w:val="99"/>
    <w:semiHidden/>
    <w:unhideWhenUsed/>
    <w:rsid w:val="0053407F"/>
    <w:rPr>
      <w:vertAlign w:val="superscript"/>
    </w:rPr>
  </w:style>
  <w:style w:type="character" w:customStyle="1" w:styleId="UnresolvedMention2">
    <w:name w:val="Unresolved Mention2"/>
    <w:basedOn w:val="DefaultParagraphFont"/>
    <w:uiPriority w:val="99"/>
    <w:semiHidden/>
    <w:unhideWhenUsed/>
    <w:rsid w:val="003822D7"/>
    <w:rPr>
      <w:color w:val="605E5C"/>
      <w:shd w:val="clear" w:color="auto" w:fill="E1DFDD"/>
    </w:rPr>
  </w:style>
  <w:style w:type="paragraph" w:styleId="NormalWeb">
    <w:name w:val="Normal (Web)"/>
    <w:basedOn w:val="Normal"/>
    <w:uiPriority w:val="99"/>
    <w:semiHidden/>
    <w:unhideWhenUsed/>
    <w:rsid w:val="009B6FB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9B6FBF"/>
    <w:rPr>
      <w:b/>
      <w:bCs/>
    </w:rPr>
  </w:style>
  <w:style w:type="paragraph" w:styleId="Header">
    <w:name w:val="header"/>
    <w:basedOn w:val="Normal"/>
    <w:link w:val="HeaderChar"/>
    <w:uiPriority w:val="99"/>
    <w:unhideWhenUsed/>
    <w:rsid w:val="009B6FBF"/>
    <w:pPr>
      <w:tabs>
        <w:tab w:val="center" w:pos="4513"/>
        <w:tab w:val="right" w:pos="9026"/>
      </w:tabs>
    </w:pPr>
  </w:style>
  <w:style w:type="character" w:customStyle="1" w:styleId="HeaderChar">
    <w:name w:val="Header Char"/>
    <w:basedOn w:val="DefaultParagraphFont"/>
    <w:link w:val="Header"/>
    <w:uiPriority w:val="99"/>
    <w:rsid w:val="009B6FBF"/>
  </w:style>
  <w:style w:type="paragraph" w:styleId="Footer">
    <w:name w:val="footer"/>
    <w:basedOn w:val="Normal"/>
    <w:link w:val="FooterChar"/>
    <w:uiPriority w:val="99"/>
    <w:unhideWhenUsed/>
    <w:rsid w:val="009B6FBF"/>
    <w:pPr>
      <w:tabs>
        <w:tab w:val="center" w:pos="4513"/>
        <w:tab w:val="right" w:pos="9026"/>
      </w:tabs>
    </w:pPr>
  </w:style>
  <w:style w:type="character" w:customStyle="1" w:styleId="FooterChar">
    <w:name w:val="Footer Char"/>
    <w:basedOn w:val="DefaultParagraphFont"/>
    <w:link w:val="Footer"/>
    <w:uiPriority w:val="99"/>
    <w:rsid w:val="009B6FBF"/>
  </w:style>
  <w:style w:type="paragraph" w:styleId="ListParagraph">
    <w:name w:val="List Paragraph"/>
    <w:basedOn w:val="Normal"/>
    <w:uiPriority w:val="34"/>
    <w:qFormat/>
    <w:rsid w:val="00D42BD7"/>
    <w:pPr>
      <w:ind w:left="720"/>
      <w:contextualSpacing/>
    </w:pPr>
  </w:style>
  <w:style w:type="character" w:customStyle="1" w:styleId="apple-converted-space">
    <w:name w:val="apple-converted-space"/>
    <w:basedOn w:val="DefaultParagraphFont"/>
    <w:rsid w:val="004755C5"/>
  </w:style>
  <w:style w:type="character" w:customStyle="1" w:styleId="UnresolvedMention3">
    <w:name w:val="Unresolved Mention3"/>
    <w:basedOn w:val="DefaultParagraphFont"/>
    <w:uiPriority w:val="99"/>
    <w:semiHidden/>
    <w:unhideWhenUsed/>
    <w:rsid w:val="00644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78610">
      <w:bodyDiv w:val="1"/>
      <w:marLeft w:val="0"/>
      <w:marRight w:val="0"/>
      <w:marTop w:val="0"/>
      <w:marBottom w:val="0"/>
      <w:divBdr>
        <w:top w:val="none" w:sz="0" w:space="0" w:color="auto"/>
        <w:left w:val="none" w:sz="0" w:space="0" w:color="auto"/>
        <w:bottom w:val="none" w:sz="0" w:space="0" w:color="auto"/>
        <w:right w:val="none" w:sz="0" w:space="0" w:color="auto"/>
      </w:divBdr>
    </w:div>
    <w:div w:id="186648726">
      <w:bodyDiv w:val="1"/>
      <w:marLeft w:val="0"/>
      <w:marRight w:val="0"/>
      <w:marTop w:val="0"/>
      <w:marBottom w:val="0"/>
      <w:divBdr>
        <w:top w:val="none" w:sz="0" w:space="0" w:color="auto"/>
        <w:left w:val="none" w:sz="0" w:space="0" w:color="auto"/>
        <w:bottom w:val="none" w:sz="0" w:space="0" w:color="auto"/>
        <w:right w:val="none" w:sz="0" w:space="0" w:color="auto"/>
      </w:divBdr>
    </w:div>
    <w:div w:id="246813606">
      <w:bodyDiv w:val="1"/>
      <w:marLeft w:val="0"/>
      <w:marRight w:val="0"/>
      <w:marTop w:val="0"/>
      <w:marBottom w:val="0"/>
      <w:divBdr>
        <w:top w:val="none" w:sz="0" w:space="0" w:color="auto"/>
        <w:left w:val="none" w:sz="0" w:space="0" w:color="auto"/>
        <w:bottom w:val="none" w:sz="0" w:space="0" w:color="auto"/>
        <w:right w:val="none" w:sz="0" w:space="0" w:color="auto"/>
      </w:divBdr>
      <w:divsChild>
        <w:div w:id="1620532785">
          <w:marLeft w:val="0"/>
          <w:marRight w:val="0"/>
          <w:marTop w:val="0"/>
          <w:marBottom w:val="0"/>
          <w:divBdr>
            <w:top w:val="none" w:sz="0" w:space="0" w:color="auto"/>
            <w:left w:val="none" w:sz="0" w:space="0" w:color="auto"/>
            <w:bottom w:val="none" w:sz="0" w:space="0" w:color="auto"/>
            <w:right w:val="none" w:sz="0" w:space="0" w:color="auto"/>
          </w:divBdr>
        </w:div>
        <w:div w:id="352732064">
          <w:marLeft w:val="0"/>
          <w:marRight w:val="0"/>
          <w:marTop w:val="0"/>
          <w:marBottom w:val="0"/>
          <w:divBdr>
            <w:top w:val="none" w:sz="0" w:space="0" w:color="auto"/>
            <w:left w:val="none" w:sz="0" w:space="0" w:color="auto"/>
            <w:bottom w:val="none" w:sz="0" w:space="0" w:color="auto"/>
            <w:right w:val="none" w:sz="0" w:space="0" w:color="auto"/>
          </w:divBdr>
        </w:div>
        <w:div w:id="1628773745">
          <w:marLeft w:val="0"/>
          <w:marRight w:val="0"/>
          <w:marTop w:val="0"/>
          <w:marBottom w:val="0"/>
          <w:divBdr>
            <w:top w:val="none" w:sz="0" w:space="0" w:color="auto"/>
            <w:left w:val="none" w:sz="0" w:space="0" w:color="auto"/>
            <w:bottom w:val="none" w:sz="0" w:space="0" w:color="auto"/>
            <w:right w:val="none" w:sz="0" w:space="0" w:color="auto"/>
          </w:divBdr>
        </w:div>
      </w:divsChild>
    </w:div>
    <w:div w:id="277303322">
      <w:bodyDiv w:val="1"/>
      <w:marLeft w:val="0"/>
      <w:marRight w:val="0"/>
      <w:marTop w:val="0"/>
      <w:marBottom w:val="0"/>
      <w:divBdr>
        <w:top w:val="none" w:sz="0" w:space="0" w:color="auto"/>
        <w:left w:val="none" w:sz="0" w:space="0" w:color="auto"/>
        <w:bottom w:val="none" w:sz="0" w:space="0" w:color="auto"/>
        <w:right w:val="none" w:sz="0" w:space="0" w:color="auto"/>
      </w:divBdr>
    </w:div>
    <w:div w:id="294071975">
      <w:bodyDiv w:val="1"/>
      <w:marLeft w:val="0"/>
      <w:marRight w:val="0"/>
      <w:marTop w:val="0"/>
      <w:marBottom w:val="0"/>
      <w:divBdr>
        <w:top w:val="none" w:sz="0" w:space="0" w:color="auto"/>
        <w:left w:val="none" w:sz="0" w:space="0" w:color="auto"/>
        <w:bottom w:val="none" w:sz="0" w:space="0" w:color="auto"/>
        <w:right w:val="none" w:sz="0" w:space="0" w:color="auto"/>
      </w:divBdr>
    </w:div>
    <w:div w:id="299655694">
      <w:bodyDiv w:val="1"/>
      <w:marLeft w:val="0"/>
      <w:marRight w:val="0"/>
      <w:marTop w:val="0"/>
      <w:marBottom w:val="0"/>
      <w:divBdr>
        <w:top w:val="none" w:sz="0" w:space="0" w:color="auto"/>
        <w:left w:val="none" w:sz="0" w:space="0" w:color="auto"/>
        <w:bottom w:val="none" w:sz="0" w:space="0" w:color="auto"/>
        <w:right w:val="none" w:sz="0" w:space="0" w:color="auto"/>
      </w:divBdr>
    </w:div>
    <w:div w:id="303852449">
      <w:bodyDiv w:val="1"/>
      <w:marLeft w:val="0"/>
      <w:marRight w:val="0"/>
      <w:marTop w:val="0"/>
      <w:marBottom w:val="0"/>
      <w:divBdr>
        <w:top w:val="none" w:sz="0" w:space="0" w:color="auto"/>
        <w:left w:val="none" w:sz="0" w:space="0" w:color="auto"/>
        <w:bottom w:val="none" w:sz="0" w:space="0" w:color="auto"/>
        <w:right w:val="none" w:sz="0" w:space="0" w:color="auto"/>
      </w:divBdr>
      <w:divsChild>
        <w:div w:id="1572109605">
          <w:marLeft w:val="0"/>
          <w:marRight w:val="0"/>
          <w:marTop w:val="0"/>
          <w:marBottom w:val="0"/>
          <w:divBdr>
            <w:top w:val="none" w:sz="0" w:space="0" w:color="auto"/>
            <w:left w:val="none" w:sz="0" w:space="0" w:color="auto"/>
            <w:bottom w:val="none" w:sz="0" w:space="0" w:color="auto"/>
            <w:right w:val="none" w:sz="0" w:space="0" w:color="auto"/>
          </w:divBdr>
        </w:div>
      </w:divsChild>
    </w:div>
    <w:div w:id="455374112">
      <w:bodyDiv w:val="1"/>
      <w:marLeft w:val="0"/>
      <w:marRight w:val="0"/>
      <w:marTop w:val="0"/>
      <w:marBottom w:val="0"/>
      <w:divBdr>
        <w:top w:val="none" w:sz="0" w:space="0" w:color="auto"/>
        <w:left w:val="none" w:sz="0" w:space="0" w:color="auto"/>
        <w:bottom w:val="none" w:sz="0" w:space="0" w:color="auto"/>
        <w:right w:val="none" w:sz="0" w:space="0" w:color="auto"/>
      </w:divBdr>
      <w:divsChild>
        <w:div w:id="1594824204">
          <w:marLeft w:val="0"/>
          <w:marRight w:val="0"/>
          <w:marTop w:val="0"/>
          <w:marBottom w:val="0"/>
          <w:divBdr>
            <w:top w:val="none" w:sz="0" w:space="0" w:color="auto"/>
            <w:left w:val="none" w:sz="0" w:space="0" w:color="auto"/>
            <w:bottom w:val="none" w:sz="0" w:space="0" w:color="auto"/>
            <w:right w:val="none" w:sz="0" w:space="0" w:color="auto"/>
          </w:divBdr>
        </w:div>
        <w:div w:id="1475289638">
          <w:marLeft w:val="0"/>
          <w:marRight w:val="0"/>
          <w:marTop w:val="0"/>
          <w:marBottom w:val="0"/>
          <w:divBdr>
            <w:top w:val="none" w:sz="0" w:space="0" w:color="auto"/>
            <w:left w:val="none" w:sz="0" w:space="0" w:color="auto"/>
            <w:bottom w:val="none" w:sz="0" w:space="0" w:color="auto"/>
            <w:right w:val="none" w:sz="0" w:space="0" w:color="auto"/>
          </w:divBdr>
        </w:div>
      </w:divsChild>
    </w:div>
    <w:div w:id="474225204">
      <w:bodyDiv w:val="1"/>
      <w:marLeft w:val="0"/>
      <w:marRight w:val="0"/>
      <w:marTop w:val="0"/>
      <w:marBottom w:val="0"/>
      <w:divBdr>
        <w:top w:val="none" w:sz="0" w:space="0" w:color="auto"/>
        <w:left w:val="none" w:sz="0" w:space="0" w:color="auto"/>
        <w:bottom w:val="none" w:sz="0" w:space="0" w:color="auto"/>
        <w:right w:val="none" w:sz="0" w:space="0" w:color="auto"/>
      </w:divBdr>
      <w:divsChild>
        <w:div w:id="615721691">
          <w:marLeft w:val="0"/>
          <w:marRight w:val="0"/>
          <w:marTop w:val="0"/>
          <w:marBottom w:val="0"/>
          <w:divBdr>
            <w:top w:val="none" w:sz="0" w:space="0" w:color="auto"/>
            <w:left w:val="none" w:sz="0" w:space="0" w:color="auto"/>
            <w:bottom w:val="none" w:sz="0" w:space="0" w:color="auto"/>
            <w:right w:val="none" w:sz="0" w:space="0" w:color="auto"/>
          </w:divBdr>
        </w:div>
      </w:divsChild>
    </w:div>
    <w:div w:id="519389576">
      <w:bodyDiv w:val="1"/>
      <w:marLeft w:val="0"/>
      <w:marRight w:val="0"/>
      <w:marTop w:val="0"/>
      <w:marBottom w:val="0"/>
      <w:divBdr>
        <w:top w:val="none" w:sz="0" w:space="0" w:color="auto"/>
        <w:left w:val="none" w:sz="0" w:space="0" w:color="auto"/>
        <w:bottom w:val="none" w:sz="0" w:space="0" w:color="auto"/>
        <w:right w:val="none" w:sz="0" w:space="0" w:color="auto"/>
      </w:divBdr>
    </w:div>
    <w:div w:id="593437408">
      <w:bodyDiv w:val="1"/>
      <w:marLeft w:val="0"/>
      <w:marRight w:val="0"/>
      <w:marTop w:val="0"/>
      <w:marBottom w:val="0"/>
      <w:divBdr>
        <w:top w:val="none" w:sz="0" w:space="0" w:color="auto"/>
        <w:left w:val="none" w:sz="0" w:space="0" w:color="auto"/>
        <w:bottom w:val="none" w:sz="0" w:space="0" w:color="auto"/>
        <w:right w:val="none" w:sz="0" w:space="0" w:color="auto"/>
      </w:divBdr>
      <w:divsChild>
        <w:div w:id="666131904">
          <w:marLeft w:val="0"/>
          <w:marRight w:val="0"/>
          <w:marTop w:val="0"/>
          <w:marBottom w:val="0"/>
          <w:divBdr>
            <w:top w:val="none" w:sz="0" w:space="0" w:color="auto"/>
            <w:left w:val="none" w:sz="0" w:space="0" w:color="auto"/>
            <w:bottom w:val="none" w:sz="0" w:space="0" w:color="auto"/>
            <w:right w:val="none" w:sz="0" w:space="0" w:color="auto"/>
          </w:divBdr>
        </w:div>
      </w:divsChild>
    </w:div>
    <w:div w:id="699933728">
      <w:bodyDiv w:val="1"/>
      <w:marLeft w:val="0"/>
      <w:marRight w:val="0"/>
      <w:marTop w:val="0"/>
      <w:marBottom w:val="0"/>
      <w:divBdr>
        <w:top w:val="none" w:sz="0" w:space="0" w:color="auto"/>
        <w:left w:val="none" w:sz="0" w:space="0" w:color="auto"/>
        <w:bottom w:val="none" w:sz="0" w:space="0" w:color="auto"/>
        <w:right w:val="none" w:sz="0" w:space="0" w:color="auto"/>
      </w:divBdr>
    </w:div>
    <w:div w:id="727340208">
      <w:bodyDiv w:val="1"/>
      <w:marLeft w:val="0"/>
      <w:marRight w:val="0"/>
      <w:marTop w:val="0"/>
      <w:marBottom w:val="0"/>
      <w:divBdr>
        <w:top w:val="none" w:sz="0" w:space="0" w:color="auto"/>
        <w:left w:val="none" w:sz="0" w:space="0" w:color="auto"/>
        <w:bottom w:val="none" w:sz="0" w:space="0" w:color="auto"/>
        <w:right w:val="none" w:sz="0" w:space="0" w:color="auto"/>
      </w:divBdr>
    </w:div>
    <w:div w:id="752626147">
      <w:bodyDiv w:val="1"/>
      <w:marLeft w:val="0"/>
      <w:marRight w:val="0"/>
      <w:marTop w:val="0"/>
      <w:marBottom w:val="0"/>
      <w:divBdr>
        <w:top w:val="none" w:sz="0" w:space="0" w:color="auto"/>
        <w:left w:val="none" w:sz="0" w:space="0" w:color="auto"/>
        <w:bottom w:val="none" w:sz="0" w:space="0" w:color="auto"/>
        <w:right w:val="none" w:sz="0" w:space="0" w:color="auto"/>
      </w:divBdr>
    </w:div>
    <w:div w:id="788667553">
      <w:bodyDiv w:val="1"/>
      <w:marLeft w:val="0"/>
      <w:marRight w:val="0"/>
      <w:marTop w:val="0"/>
      <w:marBottom w:val="0"/>
      <w:divBdr>
        <w:top w:val="none" w:sz="0" w:space="0" w:color="auto"/>
        <w:left w:val="none" w:sz="0" w:space="0" w:color="auto"/>
        <w:bottom w:val="none" w:sz="0" w:space="0" w:color="auto"/>
        <w:right w:val="none" w:sz="0" w:space="0" w:color="auto"/>
      </w:divBdr>
    </w:div>
    <w:div w:id="862131508">
      <w:bodyDiv w:val="1"/>
      <w:marLeft w:val="0"/>
      <w:marRight w:val="0"/>
      <w:marTop w:val="0"/>
      <w:marBottom w:val="0"/>
      <w:divBdr>
        <w:top w:val="none" w:sz="0" w:space="0" w:color="auto"/>
        <w:left w:val="none" w:sz="0" w:space="0" w:color="auto"/>
        <w:bottom w:val="none" w:sz="0" w:space="0" w:color="auto"/>
        <w:right w:val="none" w:sz="0" w:space="0" w:color="auto"/>
      </w:divBdr>
    </w:div>
    <w:div w:id="867529086">
      <w:bodyDiv w:val="1"/>
      <w:marLeft w:val="0"/>
      <w:marRight w:val="0"/>
      <w:marTop w:val="0"/>
      <w:marBottom w:val="0"/>
      <w:divBdr>
        <w:top w:val="none" w:sz="0" w:space="0" w:color="auto"/>
        <w:left w:val="none" w:sz="0" w:space="0" w:color="auto"/>
        <w:bottom w:val="none" w:sz="0" w:space="0" w:color="auto"/>
        <w:right w:val="none" w:sz="0" w:space="0" w:color="auto"/>
      </w:divBdr>
    </w:div>
    <w:div w:id="898320896">
      <w:bodyDiv w:val="1"/>
      <w:marLeft w:val="0"/>
      <w:marRight w:val="0"/>
      <w:marTop w:val="0"/>
      <w:marBottom w:val="0"/>
      <w:divBdr>
        <w:top w:val="none" w:sz="0" w:space="0" w:color="auto"/>
        <w:left w:val="none" w:sz="0" w:space="0" w:color="auto"/>
        <w:bottom w:val="none" w:sz="0" w:space="0" w:color="auto"/>
        <w:right w:val="none" w:sz="0" w:space="0" w:color="auto"/>
      </w:divBdr>
    </w:div>
    <w:div w:id="909147474">
      <w:bodyDiv w:val="1"/>
      <w:marLeft w:val="0"/>
      <w:marRight w:val="0"/>
      <w:marTop w:val="0"/>
      <w:marBottom w:val="0"/>
      <w:divBdr>
        <w:top w:val="none" w:sz="0" w:space="0" w:color="auto"/>
        <w:left w:val="none" w:sz="0" w:space="0" w:color="auto"/>
        <w:bottom w:val="none" w:sz="0" w:space="0" w:color="auto"/>
        <w:right w:val="none" w:sz="0" w:space="0" w:color="auto"/>
      </w:divBdr>
      <w:divsChild>
        <w:div w:id="532621183">
          <w:marLeft w:val="0"/>
          <w:marRight w:val="0"/>
          <w:marTop w:val="0"/>
          <w:marBottom w:val="0"/>
          <w:divBdr>
            <w:top w:val="none" w:sz="0" w:space="0" w:color="auto"/>
            <w:left w:val="none" w:sz="0" w:space="0" w:color="auto"/>
            <w:bottom w:val="none" w:sz="0" w:space="0" w:color="auto"/>
            <w:right w:val="none" w:sz="0" w:space="0" w:color="auto"/>
          </w:divBdr>
          <w:divsChild>
            <w:div w:id="91737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33612">
      <w:bodyDiv w:val="1"/>
      <w:marLeft w:val="0"/>
      <w:marRight w:val="0"/>
      <w:marTop w:val="0"/>
      <w:marBottom w:val="0"/>
      <w:divBdr>
        <w:top w:val="none" w:sz="0" w:space="0" w:color="auto"/>
        <w:left w:val="none" w:sz="0" w:space="0" w:color="auto"/>
        <w:bottom w:val="none" w:sz="0" w:space="0" w:color="auto"/>
        <w:right w:val="none" w:sz="0" w:space="0" w:color="auto"/>
      </w:divBdr>
    </w:div>
    <w:div w:id="944262696">
      <w:bodyDiv w:val="1"/>
      <w:marLeft w:val="0"/>
      <w:marRight w:val="0"/>
      <w:marTop w:val="0"/>
      <w:marBottom w:val="0"/>
      <w:divBdr>
        <w:top w:val="none" w:sz="0" w:space="0" w:color="auto"/>
        <w:left w:val="none" w:sz="0" w:space="0" w:color="auto"/>
        <w:bottom w:val="none" w:sz="0" w:space="0" w:color="auto"/>
        <w:right w:val="none" w:sz="0" w:space="0" w:color="auto"/>
      </w:divBdr>
      <w:divsChild>
        <w:div w:id="920915433">
          <w:marLeft w:val="0"/>
          <w:marRight w:val="0"/>
          <w:marTop w:val="0"/>
          <w:marBottom w:val="0"/>
          <w:divBdr>
            <w:top w:val="none" w:sz="0" w:space="0" w:color="auto"/>
            <w:left w:val="none" w:sz="0" w:space="0" w:color="auto"/>
            <w:bottom w:val="none" w:sz="0" w:space="0" w:color="auto"/>
            <w:right w:val="none" w:sz="0" w:space="0" w:color="auto"/>
          </w:divBdr>
        </w:div>
      </w:divsChild>
    </w:div>
    <w:div w:id="960064748">
      <w:bodyDiv w:val="1"/>
      <w:marLeft w:val="0"/>
      <w:marRight w:val="0"/>
      <w:marTop w:val="0"/>
      <w:marBottom w:val="0"/>
      <w:divBdr>
        <w:top w:val="none" w:sz="0" w:space="0" w:color="auto"/>
        <w:left w:val="none" w:sz="0" w:space="0" w:color="auto"/>
        <w:bottom w:val="none" w:sz="0" w:space="0" w:color="auto"/>
        <w:right w:val="none" w:sz="0" w:space="0" w:color="auto"/>
      </w:divBdr>
    </w:div>
    <w:div w:id="1022242969">
      <w:bodyDiv w:val="1"/>
      <w:marLeft w:val="0"/>
      <w:marRight w:val="0"/>
      <w:marTop w:val="0"/>
      <w:marBottom w:val="0"/>
      <w:divBdr>
        <w:top w:val="none" w:sz="0" w:space="0" w:color="auto"/>
        <w:left w:val="none" w:sz="0" w:space="0" w:color="auto"/>
        <w:bottom w:val="none" w:sz="0" w:space="0" w:color="auto"/>
        <w:right w:val="none" w:sz="0" w:space="0" w:color="auto"/>
      </w:divBdr>
      <w:divsChild>
        <w:div w:id="1269047652">
          <w:marLeft w:val="0"/>
          <w:marRight w:val="0"/>
          <w:marTop w:val="0"/>
          <w:marBottom w:val="0"/>
          <w:divBdr>
            <w:top w:val="none" w:sz="0" w:space="0" w:color="auto"/>
            <w:left w:val="none" w:sz="0" w:space="0" w:color="auto"/>
            <w:bottom w:val="none" w:sz="0" w:space="0" w:color="auto"/>
            <w:right w:val="none" w:sz="0" w:space="0" w:color="auto"/>
          </w:divBdr>
          <w:divsChild>
            <w:div w:id="1405493115">
              <w:marLeft w:val="0"/>
              <w:marRight w:val="0"/>
              <w:marTop w:val="0"/>
              <w:marBottom w:val="0"/>
              <w:divBdr>
                <w:top w:val="none" w:sz="0" w:space="0" w:color="auto"/>
                <w:left w:val="none" w:sz="0" w:space="0" w:color="auto"/>
                <w:bottom w:val="none" w:sz="0" w:space="0" w:color="auto"/>
                <w:right w:val="none" w:sz="0" w:space="0" w:color="auto"/>
              </w:divBdr>
              <w:divsChild>
                <w:div w:id="992877510">
                  <w:marLeft w:val="0"/>
                  <w:marRight w:val="0"/>
                  <w:marTop w:val="0"/>
                  <w:marBottom w:val="0"/>
                  <w:divBdr>
                    <w:top w:val="none" w:sz="0" w:space="0" w:color="auto"/>
                    <w:left w:val="none" w:sz="0" w:space="0" w:color="auto"/>
                    <w:bottom w:val="none" w:sz="0" w:space="0" w:color="auto"/>
                    <w:right w:val="none" w:sz="0" w:space="0" w:color="auto"/>
                  </w:divBdr>
                  <w:divsChild>
                    <w:div w:id="868642658">
                      <w:marLeft w:val="0"/>
                      <w:marRight w:val="0"/>
                      <w:marTop w:val="0"/>
                      <w:marBottom w:val="0"/>
                      <w:divBdr>
                        <w:top w:val="none" w:sz="0" w:space="0" w:color="auto"/>
                        <w:left w:val="none" w:sz="0" w:space="0" w:color="auto"/>
                        <w:bottom w:val="none" w:sz="0" w:space="0" w:color="auto"/>
                        <w:right w:val="none" w:sz="0" w:space="0" w:color="auto"/>
                      </w:divBdr>
                    </w:div>
                  </w:divsChild>
                </w:div>
                <w:div w:id="190337872">
                  <w:marLeft w:val="0"/>
                  <w:marRight w:val="0"/>
                  <w:marTop w:val="0"/>
                  <w:marBottom w:val="0"/>
                  <w:divBdr>
                    <w:top w:val="none" w:sz="0" w:space="0" w:color="auto"/>
                    <w:left w:val="none" w:sz="0" w:space="0" w:color="auto"/>
                    <w:bottom w:val="none" w:sz="0" w:space="0" w:color="auto"/>
                    <w:right w:val="none" w:sz="0" w:space="0" w:color="auto"/>
                  </w:divBdr>
                  <w:divsChild>
                    <w:div w:id="1325548349">
                      <w:marLeft w:val="0"/>
                      <w:marRight w:val="0"/>
                      <w:marTop w:val="0"/>
                      <w:marBottom w:val="0"/>
                      <w:divBdr>
                        <w:top w:val="none" w:sz="0" w:space="0" w:color="auto"/>
                        <w:left w:val="none" w:sz="0" w:space="0" w:color="auto"/>
                        <w:bottom w:val="none" w:sz="0" w:space="0" w:color="auto"/>
                        <w:right w:val="none" w:sz="0" w:space="0" w:color="auto"/>
                      </w:divBdr>
                      <w:divsChild>
                        <w:div w:id="1125848664">
                          <w:marLeft w:val="0"/>
                          <w:marRight w:val="0"/>
                          <w:marTop w:val="0"/>
                          <w:marBottom w:val="0"/>
                          <w:divBdr>
                            <w:top w:val="none" w:sz="0" w:space="0" w:color="auto"/>
                            <w:left w:val="none" w:sz="0" w:space="0" w:color="auto"/>
                            <w:bottom w:val="none" w:sz="0" w:space="0" w:color="auto"/>
                            <w:right w:val="none" w:sz="0" w:space="0" w:color="auto"/>
                          </w:divBdr>
                          <w:divsChild>
                            <w:div w:id="1541240939">
                              <w:marLeft w:val="0"/>
                              <w:marRight w:val="0"/>
                              <w:marTop w:val="0"/>
                              <w:marBottom w:val="0"/>
                              <w:divBdr>
                                <w:top w:val="none" w:sz="0" w:space="0" w:color="auto"/>
                                <w:left w:val="none" w:sz="0" w:space="0" w:color="auto"/>
                                <w:bottom w:val="none" w:sz="0" w:space="0" w:color="auto"/>
                                <w:right w:val="none" w:sz="0" w:space="0" w:color="auto"/>
                              </w:divBdr>
                              <w:divsChild>
                                <w:div w:id="2112703646">
                                  <w:marLeft w:val="0"/>
                                  <w:marRight w:val="0"/>
                                  <w:marTop w:val="0"/>
                                  <w:marBottom w:val="0"/>
                                  <w:divBdr>
                                    <w:top w:val="none" w:sz="0" w:space="0" w:color="auto"/>
                                    <w:left w:val="none" w:sz="0" w:space="0" w:color="auto"/>
                                    <w:bottom w:val="none" w:sz="0" w:space="0" w:color="auto"/>
                                    <w:right w:val="none" w:sz="0" w:space="0" w:color="auto"/>
                                  </w:divBdr>
                                  <w:divsChild>
                                    <w:div w:id="994842547">
                                      <w:marLeft w:val="0"/>
                                      <w:marRight w:val="0"/>
                                      <w:marTop w:val="0"/>
                                      <w:marBottom w:val="0"/>
                                      <w:divBdr>
                                        <w:top w:val="none" w:sz="0" w:space="0" w:color="auto"/>
                                        <w:left w:val="none" w:sz="0" w:space="0" w:color="auto"/>
                                        <w:bottom w:val="none" w:sz="0" w:space="0" w:color="auto"/>
                                        <w:right w:val="none" w:sz="0" w:space="0" w:color="auto"/>
                                      </w:divBdr>
                                    </w:div>
                                    <w:div w:id="819424029">
                                      <w:marLeft w:val="0"/>
                                      <w:marRight w:val="0"/>
                                      <w:marTop w:val="0"/>
                                      <w:marBottom w:val="0"/>
                                      <w:divBdr>
                                        <w:top w:val="none" w:sz="0" w:space="0" w:color="auto"/>
                                        <w:left w:val="none" w:sz="0" w:space="0" w:color="auto"/>
                                        <w:bottom w:val="none" w:sz="0" w:space="0" w:color="auto"/>
                                        <w:right w:val="none" w:sz="0" w:space="0" w:color="auto"/>
                                      </w:divBdr>
                                    </w:div>
                                    <w:div w:id="1862430626">
                                      <w:marLeft w:val="0"/>
                                      <w:marRight w:val="0"/>
                                      <w:marTop w:val="0"/>
                                      <w:marBottom w:val="0"/>
                                      <w:divBdr>
                                        <w:top w:val="none" w:sz="0" w:space="0" w:color="auto"/>
                                        <w:left w:val="none" w:sz="0" w:space="0" w:color="auto"/>
                                        <w:bottom w:val="none" w:sz="0" w:space="0" w:color="auto"/>
                                        <w:right w:val="none" w:sz="0" w:space="0" w:color="auto"/>
                                      </w:divBdr>
                                    </w:div>
                                    <w:div w:id="1136411876">
                                      <w:marLeft w:val="0"/>
                                      <w:marRight w:val="0"/>
                                      <w:marTop w:val="0"/>
                                      <w:marBottom w:val="0"/>
                                      <w:divBdr>
                                        <w:top w:val="none" w:sz="0" w:space="0" w:color="auto"/>
                                        <w:left w:val="none" w:sz="0" w:space="0" w:color="auto"/>
                                        <w:bottom w:val="none" w:sz="0" w:space="0" w:color="auto"/>
                                        <w:right w:val="none" w:sz="0" w:space="0" w:color="auto"/>
                                      </w:divBdr>
                                      <w:divsChild>
                                        <w:div w:id="138170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707437">
          <w:marLeft w:val="0"/>
          <w:marRight w:val="0"/>
          <w:marTop w:val="0"/>
          <w:marBottom w:val="0"/>
          <w:divBdr>
            <w:top w:val="none" w:sz="0" w:space="0" w:color="auto"/>
            <w:left w:val="none" w:sz="0" w:space="0" w:color="auto"/>
            <w:bottom w:val="none" w:sz="0" w:space="0" w:color="auto"/>
            <w:right w:val="none" w:sz="0" w:space="0" w:color="auto"/>
          </w:divBdr>
          <w:divsChild>
            <w:div w:id="281114948">
              <w:marLeft w:val="0"/>
              <w:marRight w:val="0"/>
              <w:marTop w:val="0"/>
              <w:marBottom w:val="0"/>
              <w:divBdr>
                <w:top w:val="none" w:sz="0" w:space="0" w:color="auto"/>
                <w:left w:val="none" w:sz="0" w:space="0" w:color="auto"/>
                <w:bottom w:val="none" w:sz="0" w:space="0" w:color="auto"/>
                <w:right w:val="none" w:sz="0" w:space="0" w:color="auto"/>
              </w:divBdr>
            </w:div>
            <w:div w:id="1461531082">
              <w:marLeft w:val="0"/>
              <w:marRight w:val="0"/>
              <w:marTop w:val="0"/>
              <w:marBottom w:val="0"/>
              <w:divBdr>
                <w:top w:val="none" w:sz="0" w:space="0" w:color="auto"/>
                <w:left w:val="none" w:sz="0" w:space="0" w:color="auto"/>
                <w:bottom w:val="none" w:sz="0" w:space="0" w:color="auto"/>
                <w:right w:val="none" w:sz="0" w:space="0" w:color="auto"/>
              </w:divBdr>
            </w:div>
            <w:div w:id="959654606">
              <w:marLeft w:val="0"/>
              <w:marRight w:val="0"/>
              <w:marTop w:val="0"/>
              <w:marBottom w:val="0"/>
              <w:divBdr>
                <w:top w:val="none" w:sz="0" w:space="0" w:color="auto"/>
                <w:left w:val="none" w:sz="0" w:space="0" w:color="auto"/>
                <w:bottom w:val="none" w:sz="0" w:space="0" w:color="auto"/>
                <w:right w:val="none" w:sz="0" w:space="0" w:color="auto"/>
              </w:divBdr>
            </w:div>
            <w:div w:id="1069229923">
              <w:marLeft w:val="0"/>
              <w:marRight w:val="0"/>
              <w:marTop w:val="0"/>
              <w:marBottom w:val="0"/>
              <w:divBdr>
                <w:top w:val="none" w:sz="0" w:space="0" w:color="auto"/>
                <w:left w:val="none" w:sz="0" w:space="0" w:color="auto"/>
                <w:bottom w:val="none" w:sz="0" w:space="0" w:color="auto"/>
                <w:right w:val="none" w:sz="0" w:space="0" w:color="auto"/>
              </w:divBdr>
            </w:div>
            <w:div w:id="480117612">
              <w:marLeft w:val="0"/>
              <w:marRight w:val="0"/>
              <w:marTop w:val="0"/>
              <w:marBottom w:val="0"/>
              <w:divBdr>
                <w:top w:val="none" w:sz="0" w:space="0" w:color="auto"/>
                <w:left w:val="none" w:sz="0" w:space="0" w:color="auto"/>
                <w:bottom w:val="none" w:sz="0" w:space="0" w:color="auto"/>
                <w:right w:val="none" w:sz="0" w:space="0" w:color="auto"/>
              </w:divBdr>
            </w:div>
            <w:div w:id="11565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8547">
      <w:bodyDiv w:val="1"/>
      <w:marLeft w:val="0"/>
      <w:marRight w:val="0"/>
      <w:marTop w:val="0"/>
      <w:marBottom w:val="0"/>
      <w:divBdr>
        <w:top w:val="none" w:sz="0" w:space="0" w:color="auto"/>
        <w:left w:val="none" w:sz="0" w:space="0" w:color="auto"/>
        <w:bottom w:val="none" w:sz="0" w:space="0" w:color="auto"/>
        <w:right w:val="none" w:sz="0" w:space="0" w:color="auto"/>
      </w:divBdr>
    </w:div>
    <w:div w:id="1091707123">
      <w:bodyDiv w:val="1"/>
      <w:marLeft w:val="0"/>
      <w:marRight w:val="0"/>
      <w:marTop w:val="0"/>
      <w:marBottom w:val="0"/>
      <w:divBdr>
        <w:top w:val="none" w:sz="0" w:space="0" w:color="auto"/>
        <w:left w:val="none" w:sz="0" w:space="0" w:color="auto"/>
        <w:bottom w:val="none" w:sz="0" w:space="0" w:color="auto"/>
        <w:right w:val="none" w:sz="0" w:space="0" w:color="auto"/>
      </w:divBdr>
    </w:div>
    <w:div w:id="1192768094">
      <w:bodyDiv w:val="1"/>
      <w:marLeft w:val="0"/>
      <w:marRight w:val="0"/>
      <w:marTop w:val="0"/>
      <w:marBottom w:val="0"/>
      <w:divBdr>
        <w:top w:val="none" w:sz="0" w:space="0" w:color="auto"/>
        <w:left w:val="none" w:sz="0" w:space="0" w:color="auto"/>
        <w:bottom w:val="none" w:sz="0" w:space="0" w:color="auto"/>
        <w:right w:val="none" w:sz="0" w:space="0" w:color="auto"/>
      </w:divBdr>
    </w:div>
    <w:div w:id="1239750376">
      <w:bodyDiv w:val="1"/>
      <w:marLeft w:val="0"/>
      <w:marRight w:val="0"/>
      <w:marTop w:val="0"/>
      <w:marBottom w:val="0"/>
      <w:divBdr>
        <w:top w:val="none" w:sz="0" w:space="0" w:color="auto"/>
        <w:left w:val="none" w:sz="0" w:space="0" w:color="auto"/>
        <w:bottom w:val="none" w:sz="0" w:space="0" w:color="auto"/>
        <w:right w:val="none" w:sz="0" w:space="0" w:color="auto"/>
      </w:divBdr>
    </w:div>
    <w:div w:id="1362897170">
      <w:bodyDiv w:val="1"/>
      <w:marLeft w:val="0"/>
      <w:marRight w:val="0"/>
      <w:marTop w:val="0"/>
      <w:marBottom w:val="0"/>
      <w:divBdr>
        <w:top w:val="none" w:sz="0" w:space="0" w:color="auto"/>
        <w:left w:val="none" w:sz="0" w:space="0" w:color="auto"/>
        <w:bottom w:val="none" w:sz="0" w:space="0" w:color="auto"/>
        <w:right w:val="none" w:sz="0" w:space="0" w:color="auto"/>
      </w:divBdr>
      <w:divsChild>
        <w:div w:id="1194341315">
          <w:marLeft w:val="0"/>
          <w:marRight w:val="0"/>
          <w:marTop w:val="0"/>
          <w:marBottom w:val="0"/>
          <w:divBdr>
            <w:top w:val="none" w:sz="0" w:space="0" w:color="auto"/>
            <w:left w:val="none" w:sz="0" w:space="0" w:color="auto"/>
            <w:bottom w:val="none" w:sz="0" w:space="0" w:color="auto"/>
            <w:right w:val="none" w:sz="0" w:space="0" w:color="auto"/>
          </w:divBdr>
        </w:div>
      </w:divsChild>
    </w:div>
    <w:div w:id="1369181298">
      <w:bodyDiv w:val="1"/>
      <w:marLeft w:val="0"/>
      <w:marRight w:val="0"/>
      <w:marTop w:val="0"/>
      <w:marBottom w:val="0"/>
      <w:divBdr>
        <w:top w:val="none" w:sz="0" w:space="0" w:color="auto"/>
        <w:left w:val="none" w:sz="0" w:space="0" w:color="auto"/>
        <w:bottom w:val="none" w:sz="0" w:space="0" w:color="auto"/>
        <w:right w:val="none" w:sz="0" w:space="0" w:color="auto"/>
      </w:divBdr>
    </w:div>
    <w:div w:id="1376273411">
      <w:bodyDiv w:val="1"/>
      <w:marLeft w:val="0"/>
      <w:marRight w:val="0"/>
      <w:marTop w:val="0"/>
      <w:marBottom w:val="0"/>
      <w:divBdr>
        <w:top w:val="none" w:sz="0" w:space="0" w:color="auto"/>
        <w:left w:val="none" w:sz="0" w:space="0" w:color="auto"/>
        <w:bottom w:val="none" w:sz="0" w:space="0" w:color="auto"/>
        <w:right w:val="none" w:sz="0" w:space="0" w:color="auto"/>
      </w:divBdr>
    </w:div>
    <w:div w:id="1598710928">
      <w:bodyDiv w:val="1"/>
      <w:marLeft w:val="0"/>
      <w:marRight w:val="0"/>
      <w:marTop w:val="0"/>
      <w:marBottom w:val="0"/>
      <w:divBdr>
        <w:top w:val="none" w:sz="0" w:space="0" w:color="auto"/>
        <w:left w:val="none" w:sz="0" w:space="0" w:color="auto"/>
        <w:bottom w:val="none" w:sz="0" w:space="0" w:color="auto"/>
        <w:right w:val="none" w:sz="0" w:space="0" w:color="auto"/>
      </w:divBdr>
    </w:div>
    <w:div w:id="1659768675">
      <w:bodyDiv w:val="1"/>
      <w:marLeft w:val="0"/>
      <w:marRight w:val="0"/>
      <w:marTop w:val="0"/>
      <w:marBottom w:val="0"/>
      <w:divBdr>
        <w:top w:val="none" w:sz="0" w:space="0" w:color="auto"/>
        <w:left w:val="none" w:sz="0" w:space="0" w:color="auto"/>
        <w:bottom w:val="none" w:sz="0" w:space="0" w:color="auto"/>
        <w:right w:val="none" w:sz="0" w:space="0" w:color="auto"/>
      </w:divBdr>
    </w:div>
    <w:div w:id="1854489501">
      <w:bodyDiv w:val="1"/>
      <w:marLeft w:val="0"/>
      <w:marRight w:val="0"/>
      <w:marTop w:val="0"/>
      <w:marBottom w:val="0"/>
      <w:divBdr>
        <w:top w:val="none" w:sz="0" w:space="0" w:color="auto"/>
        <w:left w:val="none" w:sz="0" w:space="0" w:color="auto"/>
        <w:bottom w:val="none" w:sz="0" w:space="0" w:color="auto"/>
        <w:right w:val="none" w:sz="0" w:space="0" w:color="auto"/>
      </w:divBdr>
      <w:divsChild>
        <w:div w:id="1134981648">
          <w:marLeft w:val="0"/>
          <w:marRight w:val="0"/>
          <w:marTop w:val="0"/>
          <w:marBottom w:val="0"/>
          <w:divBdr>
            <w:top w:val="none" w:sz="0" w:space="0" w:color="auto"/>
            <w:left w:val="none" w:sz="0" w:space="0" w:color="auto"/>
            <w:bottom w:val="none" w:sz="0" w:space="0" w:color="auto"/>
            <w:right w:val="none" w:sz="0" w:space="0" w:color="auto"/>
          </w:divBdr>
          <w:divsChild>
            <w:div w:id="551384134">
              <w:marLeft w:val="0"/>
              <w:marRight w:val="0"/>
              <w:marTop w:val="0"/>
              <w:marBottom w:val="0"/>
              <w:divBdr>
                <w:top w:val="none" w:sz="0" w:space="0" w:color="auto"/>
                <w:left w:val="none" w:sz="0" w:space="0" w:color="auto"/>
                <w:bottom w:val="none" w:sz="0" w:space="0" w:color="auto"/>
                <w:right w:val="none" w:sz="0" w:space="0" w:color="auto"/>
              </w:divBdr>
              <w:divsChild>
                <w:div w:id="1453287739">
                  <w:marLeft w:val="0"/>
                  <w:marRight w:val="0"/>
                  <w:marTop w:val="0"/>
                  <w:marBottom w:val="0"/>
                  <w:divBdr>
                    <w:top w:val="none" w:sz="0" w:space="0" w:color="auto"/>
                    <w:left w:val="none" w:sz="0" w:space="0" w:color="auto"/>
                    <w:bottom w:val="none" w:sz="0" w:space="0" w:color="auto"/>
                    <w:right w:val="none" w:sz="0" w:space="0" w:color="auto"/>
                  </w:divBdr>
                  <w:divsChild>
                    <w:div w:id="887184056">
                      <w:marLeft w:val="0"/>
                      <w:marRight w:val="0"/>
                      <w:marTop w:val="0"/>
                      <w:marBottom w:val="0"/>
                      <w:divBdr>
                        <w:top w:val="none" w:sz="0" w:space="0" w:color="auto"/>
                        <w:left w:val="none" w:sz="0" w:space="0" w:color="auto"/>
                        <w:bottom w:val="none" w:sz="0" w:space="0" w:color="auto"/>
                        <w:right w:val="none" w:sz="0" w:space="0" w:color="auto"/>
                      </w:divBdr>
                    </w:div>
                  </w:divsChild>
                </w:div>
                <w:div w:id="1184631496">
                  <w:marLeft w:val="0"/>
                  <w:marRight w:val="0"/>
                  <w:marTop w:val="0"/>
                  <w:marBottom w:val="0"/>
                  <w:divBdr>
                    <w:top w:val="none" w:sz="0" w:space="0" w:color="auto"/>
                    <w:left w:val="none" w:sz="0" w:space="0" w:color="auto"/>
                    <w:bottom w:val="none" w:sz="0" w:space="0" w:color="auto"/>
                    <w:right w:val="none" w:sz="0" w:space="0" w:color="auto"/>
                  </w:divBdr>
                  <w:divsChild>
                    <w:div w:id="803815407">
                      <w:marLeft w:val="0"/>
                      <w:marRight w:val="0"/>
                      <w:marTop w:val="0"/>
                      <w:marBottom w:val="0"/>
                      <w:divBdr>
                        <w:top w:val="none" w:sz="0" w:space="0" w:color="auto"/>
                        <w:left w:val="none" w:sz="0" w:space="0" w:color="auto"/>
                        <w:bottom w:val="none" w:sz="0" w:space="0" w:color="auto"/>
                        <w:right w:val="none" w:sz="0" w:space="0" w:color="auto"/>
                      </w:divBdr>
                      <w:divsChild>
                        <w:div w:id="367687723">
                          <w:marLeft w:val="0"/>
                          <w:marRight w:val="0"/>
                          <w:marTop w:val="0"/>
                          <w:marBottom w:val="0"/>
                          <w:divBdr>
                            <w:top w:val="none" w:sz="0" w:space="0" w:color="auto"/>
                            <w:left w:val="none" w:sz="0" w:space="0" w:color="auto"/>
                            <w:bottom w:val="none" w:sz="0" w:space="0" w:color="auto"/>
                            <w:right w:val="none" w:sz="0" w:space="0" w:color="auto"/>
                          </w:divBdr>
                          <w:divsChild>
                            <w:div w:id="892500944">
                              <w:marLeft w:val="0"/>
                              <w:marRight w:val="0"/>
                              <w:marTop w:val="0"/>
                              <w:marBottom w:val="0"/>
                              <w:divBdr>
                                <w:top w:val="none" w:sz="0" w:space="0" w:color="auto"/>
                                <w:left w:val="none" w:sz="0" w:space="0" w:color="auto"/>
                                <w:bottom w:val="none" w:sz="0" w:space="0" w:color="auto"/>
                                <w:right w:val="none" w:sz="0" w:space="0" w:color="auto"/>
                              </w:divBdr>
                              <w:divsChild>
                                <w:div w:id="220099927">
                                  <w:marLeft w:val="0"/>
                                  <w:marRight w:val="0"/>
                                  <w:marTop w:val="0"/>
                                  <w:marBottom w:val="0"/>
                                  <w:divBdr>
                                    <w:top w:val="none" w:sz="0" w:space="0" w:color="auto"/>
                                    <w:left w:val="none" w:sz="0" w:space="0" w:color="auto"/>
                                    <w:bottom w:val="none" w:sz="0" w:space="0" w:color="auto"/>
                                    <w:right w:val="none" w:sz="0" w:space="0" w:color="auto"/>
                                  </w:divBdr>
                                  <w:divsChild>
                                    <w:div w:id="1155495161">
                                      <w:marLeft w:val="0"/>
                                      <w:marRight w:val="0"/>
                                      <w:marTop w:val="0"/>
                                      <w:marBottom w:val="0"/>
                                      <w:divBdr>
                                        <w:top w:val="none" w:sz="0" w:space="0" w:color="auto"/>
                                        <w:left w:val="none" w:sz="0" w:space="0" w:color="auto"/>
                                        <w:bottom w:val="none" w:sz="0" w:space="0" w:color="auto"/>
                                        <w:right w:val="none" w:sz="0" w:space="0" w:color="auto"/>
                                      </w:divBdr>
                                    </w:div>
                                    <w:div w:id="608783698">
                                      <w:marLeft w:val="0"/>
                                      <w:marRight w:val="0"/>
                                      <w:marTop w:val="0"/>
                                      <w:marBottom w:val="0"/>
                                      <w:divBdr>
                                        <w:top w:val="none" w:sz="0" w:space="0" w:color="auto"/>
                                        <w:left w:val="none" w:sz="0" w:space="0" w:color="auto"/>
                                        <w:bottom w:val="none" w:sz="0" w:space="0" w:color="auto"/>
                                        <w:right w:val="none" w:sz="0" w:space="0" w:color="auto"/>
                                      </w:divBdr>
                                    </w:div>
                                    <w:div w:id="1484541524">
                                      <w:marLeft w:val="0"/>
                                      <w:marRight w:val="0"/>
                                      <w:marTop w:val="0"/>
                                      <w:marBottom w:val="0"/>
                                      <w:divBdr>
                                        <w:top w:val="none" w:sz="0" w:space="0" w:color="auto"/>
                                        <w:left w:val="none" w:sz="0" w:space="0" w:color="auto"/>
                                        <w:bottom w:val="none" w:sz="0" w:space="0" w:color="auto"/>
                                        <w:right w:val="none" w:sz="0" w:space="0" w:color="auto"/>
                                      </w:divBdr>
                                    </w:div>
                                    <w:div w:id="1226066212">
                                      <w:marLeft w:val="0"/>
                                      <w:marRight w:val="0"/>
                                      <w:marTop w:val="0"/>
                                      <w:marBottom w:val="0"/>
                                      <w:divBdr>
                                        <w:top w:val="none" w:sz="0" w:space="0" w:color="auto"/>
                                        <w:left w:val="none" w:sz="0" w:space="0" w:color="auto"/>
                                        <w:bottom w:val="none" w:sz="0" w:space="0" w:color="auto"/>
                                        <w:right w:val="none" w:sz="0" w:space="0" w:color="auto"/>
                                      </w:divBdr>
                                      <w:divsChild>
                                        <w:div w:id="352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21880">
          <w:marLeft w:val="0"/>
          <w:marRight w:val="0"/>
          <w:marTop w:val="0"/>
          <w:marBottom w:val="0"/>
          <w:divBdr>
            <w:top w:val="none" w:sz="0" w:space="0" w:color="auto"/>
            <w:left w:val="none" w:sz="0" w:space="0" w:color="auto"/>
            <w:bottom w:val="none" w:sz="0" w:space="0" w:color="auto"/>
            <w:right w:val="none" w:sz="0" w:space="0" w:color="auto"/>
          </w:divBdr>
          <w:divsChild>
            <w:div w:id="529801360">
              <w:marLeft w:val="0"/>
              <w:marRight w:val="0"/>
              <w:marTop w:val="0"/>
              <w:marBottom w:val="0"/>
              <w:divBdr>
                <w:top w:val="none" w:sz="0" w:space="0" w:color="auto"/>
                <w:left w:val="none" w:sz="0" w:space="0" w:color="auto"/>
                <w:bottom w:val="none" w:sz="0" w:space="0" w:color="auto"/>
                <w:right w:val="none" w:sz="0" w:space="0" w:color="auto"/>
              </w:divBdr>
            </w:div>
            <w:div w:id="1076241977">
              <w:marLeft w:val="0"/>
              <w:marRight w:val="0"/>
              <w:marTop w:val="0"/>
              <w:marBottom w:val="0"/>
              <w:divBdr>
                <w:top w:val="none" w:sz="0" w:space="0" w:color="auto"/>
                <w:left w:val="none" w:sz="0" w:space="0" w:color="auto"/>
                <w:bottom w:val="none" w:sz="0" w:space="0" w:color="auto"/>
                <w:right w:val="none" w:sz="0" w:space="0" w:color="auto"/>
              </w:divBdr>
            </w:div>
            <w:div w:id="1603142575">
              <w:marLeft w:val="0"/>
              <w:marRight w:val="0"/>
              <w:marTop w:val="0"/>
              <w:marBottom w:val="0"/>
              <w:divBdr>
                <w:top w:val="none" w:sz="0" w:space="0" w:color="auto"/>
                <w:left w:val="none" w:sz="0" w:space="0" w:color="auto"/>
                <w:bottom w:val="none" w:sz="0" w:space="0" w:color="auto"/>
                <w:right w:val="none" w:sz="0" w:space="0" w:color="auto"/>
              </w:divBdr>
            </w:div>
            <w:div w:id="1232084789">
              <w:marLeft w:val="0"/>
              <w:marRight w:val="0"/>
              <w:marTop w:val="0"/>
              <w:marBottom w:val="0"/>
              <w:divBdr>
                <w:top w:val="none" w:sz="0" w:space="0" w:color="auto"/>
                <w:left w:val="none" w:sz="0" w:space="0" w:color="auto"/>
                <w:bottom w:val="none" w:sz="0" w:space="0" w:color="auto"/>
                <w:right w:val="none" w:sz="0" w:space="0" w:color="auto"/>
              </w:divBdr>
            </w:div>
            <w:div w:id="1216773794">
              <w:marLeft w:val="0"/>
              <w:marRight w:val="0"/>
              <w:marTop w:val="0"/>
              <w:marBottom w:val="0"/>
              <w:divBdr>
                <w:top w:val="none" w:sz="0" w:space="0" w:color="auto"/>
                <w:left w:val="none" w:sz="0" w:space="0" w:color="auto"/>
                <w:bottom w:val="none" w:sz="0" w:space="0" w:color="auto"/>
                <w:right w:val="none" w:sz="0" w:space="0" w:color="auto"/>
              </w:divBdr>
            </w:div>
            <w:div w:id="11137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mars.2019.00447" TargetMode="External"/><Relationship Id="rId21" Type="http://schemas.openxmlformats.org/officeDocument/2006/relationships/hyperlink" Target="https://doi.org/10.1007/s10654-017-0303-6" TargetMode="External"/><Relationship Id="rId42" Type="http://schemas.openxmlformats.org/officeDocument/2006/relationships/hyperlink" Target="https://doi.org/10.1021/acs.est.6b02816" TargetMode="External"/><Relationship Id="rId47" Type="http://schemas.openxmlformats.org/officeDocument/2006/relationships/hyperlink" Target="https://www.unglobalcompact.org/what-is-gc/mission/principles" TargetMode="External"/><Relationship Id="rId63" Type="http://schemas.openxmlformats.org/officeDocument/2006/relationships/image" Target="media/image1.png"/><Relationship Id="rId68" Type="http://schemas.openxmlformats.org/officeDocument/2006/relationships/theme" Target="theme/theme1.xml"/><Relationship Id="rId7" Type="http://schemas.openxmlformats.org/officeDocument/2006/relationships/endnotes" Target="endnotes.xml"/><Relationship Id="rId71"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doi.org/10.1016/j.procir.2015.02.122" TargetMode="External"/><Relationship Id="rId29" Type="http://schemas.openxmlformats.org/officeDocument/2006/relationships/hyperlink" Target="https://doi.org/10.5194/egusphere-egu2020-22175" TargetMode="External"/><Relationship Id="rId11" Type="http://schemas.openxmlformats.org/officeDocument/2006/relationships/hyperlink" Target="https://doi.org/10.3389/fmicb.2020.00068" TargetMode="External"/><Relationship Id="rId24" Type="http://schemas.openxmlformats.org/officeDocument/2006/relationships/hyperlink" Target="https://doi.org/10.1016/S0140-6736(17)32345-0" TargetMode="External"/><Relationship Id="rId32" Type="http://schemas.openxmlformats.org/officeDocument/2006/relationships/hyperlink" Target="https://purl.fdlp.gov/GPO/LPS100339" TargetMode="External"/><Relationship Id="rId37" Type="http://schemas.openxmlformats.org/officeDocument/2006/relationships/hyperlink" Target="https://doi.org/10.1016/j.envint.2020.106274" TargetMode="External"/><Relationship Id="rId40" Type="http://schemas.openxmlformats.org/officeDocument/2006/relationships/hyperlink" Target="https://doi.org/10.1007/s10653-019-00367-7" TargetMode="External"/><Relationship Id="rId45" Type="http://schemas.openxmlformats.org/officeDocument/2006/relationships/hyperlink" Target="https://doi.org/10.1016/j.scitotenv.2021.145405" TargetMode="External"/><Relationship Id="rId53" Type="http://schemas.openxmlformats.org/officeDocument/2006/relationships/hyperlink" Target="https://doi.org/10.1016/j.chemosphere.2004.05.017" TargetMode="External"/><Relationship Id="rId58" Type="http://schemas.openxmlformats.org/officeDocument/2006/relationships/hyperlink" Target="https://www.who.int/news-room/q-a-detail/one-health"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oi.org/10.3390/ijerph16214296" TargetMode="External"/><Relationship Id="rId19" Type="http://schemas.openxmlformats.org/officeDocument/2006/relationships/hyperlink" Target="https://ec.europa.eu/environment/chemicals/reach/reach_en.htm" TargetMode="External"/><Relationship Id="rId14" Type="http://schemas.openxmlformats.org/officeDocument/2006/relationships/hyperlink" Target="https://blogs.ei.columbia.edu/2017/10/23/the-human-and-financial-cost-of-pollution/" TargetMode="External"/><Relationship Id="rId22" Type="http://schemas.openxmlformats.org/officeDocument/2006/relationships/hyperlink" Target="https://doi.org/10.1016/j.chemosphere.2009.12.048" TargetMode="External"/><Relationship Id="rId27" Type="http://schemas.openxmlformats.org/officeDocument/2006/relationships/hyperlink" Target="https://doi.org/10.1021/acs.est.0c08126" TargetMode="External"/><Relationship Id="rId30" Type="http://schemas.openxmlformats.org/officeDocument/2006/relationships/hyperlink" Target="http://www.oecd.org/officialdocuments/publicdisplaydocumentpdf/?cote=OCDE/GD%2892%2981&amp;docLanguage=En" TargetMode="External"/><Relationship Id="rId35" Type="http://schemas.openxmlformats.org/officeDocument/2006/relationships/hyperlink" Target="https://www.gov.uk/government/publications/pfos-and-pfoa-properties-incident-management-and-toxicology" TargetMode="External"/><Relationship Id="rId43" Type="http://schemas.openxmlformats.org/officeDocument/2006/relationships/hyperlink" Target="https://www.who.int/tdr/capacity/strengthening/sort/en/" TargetMode="External"/><Relationship Id="rId48" Type="http://schemas.openxmlformats.org/officeDocument/2006/relationships/hyperlink" Target="http://www.pops.int/TheConvention/TheConvention/Overview/tabid/3351/Default.aspx" TargetMode="External"/><Relationship Id="rId56" Type="http://schemas.openxmlformats.org/officeDocument/2006/relationships/hyperlink" Target="https://intranet.euro.who.int/__data/assets/pdf_file/0006/189051/Health-effects-of-particulate-matter-final-Eng.pdf" TargetMode="External"/><Relationship Id="rId64" Type="http://schemas.openxmlformats.org/officeDocument/2006/relationships/image" Target="media/image2.png"/><Relationship Id="rId8" Type="http://schemas.openxmlformats.org/officeDocument/2006/relationships/hyperlink" Target="https://apua.org/gates-foundation-project/" TargetMode="External"/><Relationship Id="rId51" Type="http://schemas.openxmlformats.org/officeDocument/2006/relationships/hyperlink" Target="https://doi.org/10.1146/annurev-pharmtox-032320-110338" TargetMode="External"/><Relationship Id="rId3" Type="http://schemas.openxmlformats.org/officeDocument/2006/relationships/styles" Target="styles.xml"/><Relationship Id="rId12" Type="http://schemas.openxmlformats.org/officeDocument/2006/relationships/hyperlink" Target="http://citris-uc.org/wp-content/uploads/2019/10/Health-Wildfires-and-Climate-Change-in-California_October-2019.pdf" TargetMode="External"/><Relationship Id="rId17" Type="http://schemas.openxmlformats.org/officeDocument/2006/relationships/hyperlink" Target="https://doi.org/10.1007/s40726-019-00108-5" TargetMode="External"/><Relationship Id="rId25" Type="http://schemas.openxmlformats.org/officeDocument/2006/relationships/hyperlink" Target="https://doi.org/10.1007/s10653-015-9717-9" TargetMode="External"/><Relationship Id="rId33" Type="http://schemas.openxmlformats.org/officeDocument/2006/relationships/hyperlink" Target="https://doi.org/10.1021/acs.chemrestox.0c00007" TargetMode="External"/><Relationship Id="rId38" Type="http://schemas.openxmlformats.org/officeDocument/2006/relationships/hyperlink" Target="https://doi.org/10.1016/B978-0-12-809665-9.09990-0" TargetMode="External"/><Relationship Id="rId46" Type="http://schemas.openxmlformats.org/officeDocument/2006/relationships/hyperlink" Target="https://www.cop21paris.org/" TargetMode="External"/><Relationship Id="rId59" Type="http://schemas.openxmlformats.org/officeDocument/2006/relationships/hyperlink" Target="https://www.afro.who.int/health-topics/antimicrobial-resistance" TargetMode="External"/><Relationship Id="rId67" Type="http://schemas.openxmlformats.org/officeDocument/2006/relationships/fontTable" Target="fontTable.xml"/><Relationship Id="rId20" Type="http://schemas.openxmlformats.org/officeDocument/2006/relationships/hyperlink" Target="https://www.vepachedu.org/TSJ/vultures.htm" TargetMode="External"/><Relationship Id="rId41" Type="http://schemas.openxmlformats.org/officeDocument/2006/relationships/hyperlink" Target="http://www.brsmeas.org/Decisionmaking/JointBureaux/JointBureauxMeetings/JointBureauxMeeting2018/Overview2018/tabid/7516/language/en-US/Default.aspx" TargetMode="External"/><Relationship Id="rId54" Type="http://schemas.openxmlformats.org/officeDocument/2006/relationships/hyperlink" Target="https://www.who.int/mediacentre/news/releases/2006/pr32/en/" TargetMode="External"/><Relationship Id="rId62" Type="http://schemas.openxmlformats.org/officeDocument/2006/relationships/hyperlink" Target="https://doi.org/10.1007/s11186-015-9247-6" TargetMode="External"/><Relationship Id="rId7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26/science.aat1953" TargetMode="External"/><Relationship Id="rId23" Type="http://schemas.openxmlformats.org/officeDocument/2006/relationships/hyperlink" Target="https://meridian.allenpress.com/rapt/article-abstract/doi/10.3356/JRR-20-30/451685/Non-Steroidal-Anti-Inflammatory-Drugs-Nsaids-and" TargetMode="External"/><Relationship Id="rId28" Type="http://schemas.openxmlformats.org/officeDocument/2006/relationships/hyperlink" Target="https://doi.org/10.1007/s11783-019-1129-0" TargetMode="External"/><Relationship Id="rId36" Type="http://schemas.openxmlformats.org/officeDocument/2006/relationships/hyperlink" Target="https://www.gov.uk/government/news/new-tool-calculates-nhs-and-social-care-costs-of-air-pollution" TargetMode="External"/><Relationship Id="rId49" Type="http://schemas.openxmlformats.org/officeDocument/2006/relationships/hyperlink" Target="https://sdgs.un.org/goals" TargetMode="External"/><Relationship Id="rId57" Type="http://schemas.openxmlformats.org/officeDocument/2006/relationships/hyperlink" Target="https://www.euro.who.int/__data/assets/pdf_file/0003/317226/Waste-human-health-Evidence-needs-mtg-report.pdf" TargetMode="External"/><Relationship Id="rId10" Type="http://schemas.openxmlformats.org/officeDocument/2006/relationships/hyperlink" Target="https://fokt.pw/file-selected-essays-on-political-economy.pdf%20Accessed%2029/1/2021" TargetMode="External"/><Relationship Id="rId31" Type="http://schemas.openxmlformats.org/officeDocument/2006/relationships/hyperlink" Target="https://energypost.eu/grid-switchgear-uses-sf6-the-worlds-most-potent-greenhouse-gas-how-do-we-regulate-it/" TargetMode="External"/><Relationship Id="rId44" Type="http://schemas.openxmlformats.org/officeDocument/2006/relationships/hyperlink" Target="https://www.theguardian.com/environment/gallery/2014/feb/27/agbogbloshie-worlds-largest-e-waste-dump-in-pictures" TargetMode="External"/><Relationship Id="rId52" Type="http://schemas.openxmlformats.org/officeDocument/2006/relationships/hyperlink" Target="https://doi.org/10.1289/ehp.114-a160" TargetMode="External"/><Relationship Id="rId60" Type="http://schemas.openxmlformats.org/officeDocument/2006/relationships/hyperlink" Target="https://www.who.int/health-topics/antimicrobial-resistance" TargetMode="External"/><Relationship Id="rId65"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doi.org/10.1177/1466424006070466" TargetMode="External"/><Relationship Id="rId13" Type="http://schemas.openxmlformats.org/officeDocument/2006/relationships/hyperlink" Target="https://doi.org/10.1016/j.envint.2014.04.022" TargetMode="External"/><Relationship Id="rId18" Type="http://schemas.openxmlformats.org/officeDocument/2006/relationships/hyperlink" Target="https://www.epa.gov/clean-air-act-overview/benefits-and-costs-clean-air-act-1990-2020-second-prospective-study" TargetMode="External"/><Relationship Id="rId39" Type="http://schemas.openxmlformats.org/officeDocument/2006/relationships/hyperlink" Target="https://doi.org/10.1016/j.ecoenv.2014.11.008" TargetMode="External"/><Relationship Id="rId34" Type="http://schemas.openxmlformats.org/officeDocument/2006/relationships/hyperlink" Target="https://www.researchgate.net/publication/257836928_Ecological_effect_of_airborne_particulate_matter_on_plants" TargetMode="External"/><Relationship Id="rId50" Type="http://schemas.openxmlformats.org/officeDocument/2006/relationships/hyperlink" Target="https://www.hull.ac.uk/work-with-us/more/media-centre/news/2019/high-levels-of-pharmaceuticals-found-in-humber-estuary" TargetMode="External"/><Relationship Id="rId55" Type="http://schemas.openxmlformats.org/officeDocument/2006/relationships/hyperlink" Target="http://www.who.int/ceh/publications/lead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D802F-61F0-4634-9B8A-8F2F8C5D2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8427</Words>
  <Characters>48040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Gibson</dc:creator>
  <cp:keywords/>
  <dc:description/>
  <cp:lastModifiedBy>Andrew Cundy</cp:lastModifiedBy>
  <cp:revision>2</cp:revision>
  <dcterms:created xsi:type="dcterms:W3CDTF">2021-08-02T17:05:00Z</dcterms:created>
  <dcterms:modified xsi:type="dcterms:W3CDTF">2021-08-02T17:05:00Z</dcterms:modified>
</cp:coreProperties>
</file>