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C7C5" w14:textId="77777777" w:rsidR="00892CD4" w:rsidRDefault="00892CD4" w:rsidP="00892CD4">
      <w:pPr>
        <w:suppressLineNumbers/>
        <w:spacing w:line="480" w:lineRule="auto"/>
        <w:rPr>
          <w:b/>
          <w:sz w:val="32"/>
          <w:szCs w:val="32"/>
        </w:rPr>
      </w:pPr>
      <w:r>
        <w:rPr>
          <w:b/>
          <w:sz w:val="32"/>
          <w:szCs w:val="32"/>
        </w:rPr>
        <w:t>SARS-CoV-2 Viral load at presentation to hospital is independently associated with the risk of death</w:t>
      </w:r>
    </w:p>
    <w:p w14:paraId="28978518" w14:textId="65342AA6" w:rsidR="00892CD4" w:rsidRPr="00326396" w:rsidRDefault="00892CD4" w:rsidP="00892CD4">
      <w:pPr>
        <w:suppressLineNumbers/>
        <w:spacing w:line="480" w:lineRule="auto"/>
        <w:rPr>
          <w:sz w:val="24"/>
          <w:szCs w:val="24"/>
        </w:rPr>
      </w:pPr>
      <w:r w:rsidRPr="00326396">
        <w:rPr>
          <w:sz w:val="24"/>
          <w:szCs w:val="24"/>
        </w:rPr>
        <w:t>Alex R Tanner</w:t>
      </w:r>
      <w:r w:rsidRPr="00326396">
        <w:rPr>
          <w:sz w:val="24"/>
          <w:szCs w:val="24"/>
          <w:vertAlign w:val="superscript"/>
        </w:rPr>
        <w:t>1*</w:t>
      </w:r>
      <w:r w:rsidRPr="00326396">
        <w:rPr>
          <w:sz w:val="24"/>
          <w:szCs w:val="24"/>
        </w:rPr>
        <w:t>, Hang Phan</w:t>
      </w:r>
      <w:r w:rsidRPr="00326396">
        <w:rPr>
          <w:sz w:val="24"/>
          <w:szCs w:val="24"/>
          <w:vertAlign w:val="superscript"/>
        </w:rPr>
        <w:t>2,3</w:t>
      </w:r>
      <w:r>
        <w:rPr>
          <w:sz w:val="24"/>
          <w:szCs w:val="24"/>
          <w:vertAlign w:val="superscript"/>
        </w:rPr>
        <w:t>*</w:t>
      </w:r>
      <w:r w:rsidRPr="00326396">
        <w:rPr>
          <w:sz w:val="24"/>
          <w:szCs w:val="24"/>
        </w:rPr>
        <w:t>,</w:t>
      </w:r>
      <w:r w:rsidRPr="004B3355">
        <w:rPr>
          <w:sz w:val="24"/>
          <w:szCs w:val="24"/>
        </w:rPr>
        <w:t xml:space="preserve"> </w:t>
      </w:r>
      <w:r w:rsidRPr="00326396">
        <w:rPr>
          <w:sz w:val="24"/>
          <w:szCs w:val="24"/>
        </w:rPr>
        <w:t>Nathan J Brendish</w:t>
      </w:r>
      <w:r w:rsidRPr="00326396">
        <w:rPr>
          <w:sz w:val="24"/>
          <w:szCs w:val="24"/>
          <w:vertAlign w:val="superscript"/>
        </w:rPr>
        <w:t>1</w:t>
      </w:r>
      <w:r>
        <w:rPr>
          <w:sz w:val="24"/>
          <w:szCs w:val="24"/>
          <w:vertAlign w:val="superscript"/>
        </w:rPr>
        <w:t>,2,4*</w:t>
      </w:r>
      <w:r w:rsidRPr="00326396">
        <w:rPr>
          <w:sz w:val="24"/>
          <w:szCs w:val="24"/>
        </w:rPr>
        <w:t xml:space="preserve">, </w:t>
      </w:r>
      <w:r>
        <w:rPr>
          <w:sz w:val="24"/>
          <w:szCs w:val="24"/>
        </w:rPr>
        <w:t>Florina Borca</w:t>
      </w:r>
      <w:r>
        <w:rPr>
          <w:sz w:val="24"/>
          <w:szCs w:val="24"/>
          <w:vertAlign w:val="superscript"/>
        </w:rPr>
        <w:t>2,3</w:t>
      </w:r>
      <w:r>
        <w:rPr>
          <w:sz w:val="24"/>
          <w:szCs w:val="24"/>
        </w:rPr>
        <w:t xml:space="preserve">, </w:t>
      </w:r>
      <w:r w:rsidRPr="00326396">
        <w:rPr>
          <w:sz w:val="24"/>
          <w:szCs w:val="24"/>
        </w:rPr>
        <w:t>Kate R Beard</w:t>
      </w:r>
      <w:r w:rsidRPr="00326396">
        <w:rPr>
          <w:sz w:val="24"/>
          <w:szCs w:val="24"/>
          <w:vertAlign w:val="superscript"/>
        </w:rPr>
        <w:t>1,2</w:t>
      </w:r>
      <w:r>
        <w:rPr>
          <w:sz w:val="24"/>
          <w:szCs w:val="24"/>
          <w:vertAlign w:val="superscript"/>
        </w:rPr>
        <w:t>,4</w:t>
      </w:r>
      <w:r w:rsidRPr="00326396">
        <w:rPr>
          <w:sz w:val="24"/>
          <w:szCs w:val="24"/>
        </w:rPr>
        <w:t>, Stephen Poole</w:t>
      </w:r>
      <w:r w:rsidRPr="00326396">
        <w:rPr>
          <w:sz w:val="24"/>
          <w:szCs w:val="24"/>
          <w:vertAlign w:val="superscript"/>
        </w:rPr>
        <w:t>1,2,</w:t>
      </w:r>
      <w:proofErr w:type="gramStart"/>
      <w:r>
        <w:rPr>
          <w:sz w:val="24"/>
          <w:szCs w:val="24"/>
          <w:vertAlign w:val="superscript"/>
        </w:rPr>
        <w:t>4</w:t>
      </w:r>
      <w:proofErr w:type="gramEnd"/>
      <w:r w:rsidRPr="00326396">
        <w:rPr>
          <w:sz w:val="24"/>
          <w:szCs w:val="24"/>
          <w:vertAlign w:val="superscript"/>
        </w:rPr>
        <w:t xml:space="preserve"> </w:t>
      </w:r>
      <w:r w:rsidRPr="00326396">
        <w:rPr>
          <w:sz w:val="24"/>
          <w:szCs w:val="24"/>
        </w:rPr>
        <w:t>and Tristan W Clark</w:t>
      </w:r>
      <w:r w:rsidRPr="00326396">
        <w:rPr>
          <w:sz w:val="24"/>
          <w:szCs w:val="24"/>
          <w:vertAlign w:val="superscript"/>
        </w:rPr>
        <w:t>1,2,4,5</w:t>
      </w:r>
      <w:r w:rsidRPr="00326396">
        <w:rPr>
          <w:rFonts w:cstheme="minorHAnsi"/>
          <w:sz w:val="24"/>
          <w:szCs w:val="24"/>
          <w:vertAlign w:val="superscript"/>
        </w:rPr>
        <w:t>**</w:t>
      </w:r>
    </w:p>
    <w:p w14:paraId="57D9A9DB" w14:textId="77777777" w:rsidR="00892CD4" w:rsidRPr="00326396" w:rsidRDefault="00892CD4" w:rsidP="00892CD4">
      <w:pPr>
        <w:suppressLineNumbers/>
        <w:spacing w:line="480" w:lineRule="auto"/>
      </w:pPr>
      <w:r w:rsidRPr="00326396">
        <w:t xml:space="preserve">*These authors contributed equally </w:t>
      </w:r>
    </w:p>
    <w:p w14:paraId="545622FB" w14:textId="77777777" w:rsidR="00892CD4" w:rsidRPr="00326396" w:rsidRDefault="00892CD4" w:rsidP="00892CD4">
      <w:pPr>
        <w:suppressLineNumbers/>
        <w:spacing w:line="480" w:lineRule="auto"/>
        <w:rPr>
          <w:sz w:val="24"/>
          <w:szCs w:val="24"/>
        </w:rPr>
      </w:pPr>
      <w:r w:rsidRPr="00326396">
        <w:rPr>
          <w:sz w:val="24"/>
          <w:szCs w:val="24"/>
        </w:rPr>
        <w:t>1. Department of Infection, University Hospital Southampton NHS Foundation Trust, Southampton, UK.</w:t>
      </w:r>
    </w:p>
    <w:p w14:paraId="0788CAA8" w14:textId="77777777" w:rsidR="00892CD4" w:rsidRPr="00326396" w:rsidRDefault="00892CD4" w:rsidP="00892CD4">
      <w:pPr>
        <w:suppressLineNumbers/>
        <w:spacing w:line="480" w:lineRule="auto"/>
        <w:rPr>
          <w:sz w:val="24"/>
          <w:szCs w:val="24"/>
        </w:rPr>
      </w:pPr>
      <w:r w:rsidRPr="00326396">
        <w:rPr>
          <w:sz w:val="24"/>
          <w:szCs w:val="24"/>
        </w:rPr>
        <w:t>2. NIHR Southampton Biomedical Research Centre, University Hospital Southampton NHS Foundation Trust, Southampton, UK</w:t>
      </w:r>
    </w:p>
    <w:p w14:paraId="25D34FD9" w14:textId="77777777" w:rsidR="00892CD4" w:rsidRPr="00326396" w:rsidRDefault="00892CD4" w:rsidP="00892CD4">
      <w:pPr>
        <w:suppressLineNumbers/>
        <w:spacing w:line="480" w:lineRule="auto"/>
        <w:rPr>
          <w:sz w:val="24"/>
          <w:szCs w:val="24"/>
        </w:rPr>
      </w:pPr>
      <w:r w:rsidRPr="00326396">
        <w:rPr>
          <w:sz w:val="24"/>
          <w:szCs w:val="24"/>
        </w:rPr>
        <w:t>3. Clinical Informatics Research Unit, University of Southampton, Southampton, UK</w:t>
      </w:r>
    </w:p>
    <w:p w14:paraId="36AAEFE1" w14:textId="77777777" w:rsidR="00892CD4" w:rsidRPr="00326396" w:rsidRDefault="00892CD4" w:rsidP="00892CD4">
      <w:pPr>
        <w:suppressLineNumbers/>
        <w:spacing w:line="480" w:lineRule="auto"/>
        <w:rPr>
          <w:sz w:val="24"/>
          <w:szCs w:val="24"/>
        </w:rPr>
      </w:pPr>
      <w:r w:rsidRPr="00326396">
        <w:rPr>
          <w:sz w:val="24"/>
          <w:szCs w:val="24"/>
        </w:rPr>
        <w:t>4. School of Clinical and Experimental Sciences, Faculty of Medicine, University of Southampton, Southampton, UK</w:t>
      </w:r>
    </w:p>
    <w:p w14:paraId="56C15F7B" w14:textId="77777777" w:rsidR="00892CD4" w:rsidRPr="00326396" w:rsidRDefault="00892CD4" w:rsidP="00892CD4">
      <w:pPr>
        <w:suppressLineNumbers/>
        <w:spacing w:line="480" w:lineRule="auto"/>
        <w:rPr>
          <w:sz w:val="24"/>
          <w:szCs w:val="24"/>
        </w:rPr>
      </w:pPr>
      <w:r w:rsidRPr="00326396">
        <w:rPr>
          <w:sz w:val="24"/>
          <w:szCs w:val="24"/>
        </w:rPr>
        <w:t>5. NIHR Post Doctoral Fellowship Programme, UK</w:t>
      </w:r>
    </w:p>
    <w:p w14:paraId="5378DC3B" w14:textId="77777777" w:rsidR="00892CD4" w:rsidRPr="00326396" w:rsidRDefault="00892CD4" w:rsidP="00892CD4">
      <w:pPr>
        <w:suppressLineNumbers/>
        <w:rPr>
          <w:sz w:val="24"/>
          <w:szCs w:val="24"/>
        </w:rPr>
      </w:pPr>
    </w:p>
    <w:p w14:paraId="5EA5A883" w14:textId="77777777" w:rsidR="00892CD4" w:rsidRPr="00326396" w:rsidRDefault="00892CD4" w:rsidP="00892CD4">
      <w:pPr>
        <w:suppressLineNumbers/>
        <w:rPr>
          <w:sz w:val="24"/>
          <w:szCs w:val="24"/>
        </w:rPr>
      </w:pPr>
      <w:r w:rsidRPr="00326396">
        <w:rPr>
          <w:sz w:val="24"/>
          <w:szCs w:val="24"/>
        </w:rPr>
        <w:t>**Corresponding author</w:t>
      </w:r>
    </w:p>
    <w:p w14:paraId="143E84B5" w14:textId="77777777" w:rsidR="00892CD4" w:rsidRPr="00326396" w:rsidRDefault="00892CD4" w:rsidP="00892CD4">
      <w:pPr>
        <w:suppressLineNumbers/>
        <w:rPr>
          <w:sz w:val="24"/>
          <w:szCs w:val="24"/>
        </w:rPr>
      </w:pPr>
      <w:r w:rsidRPr="00326396">
        <w:rPr>
          <w:sz w:val="24"/>
          <w:szCs w:val="24"/>
        </w:rPr>
        <w:t xml:space="preserve">Dr Tristan William Clark, Associate Professor and Consultant in Infectious Diseases. </w:t>
      </w:r>
    </w:p>
    <w:p w14:paraId="3D75C26F" w14:textId="77777777" w:rsidR="00892CD4" w:rsidRPr="00326396" w:rsidRDefault="00892CD4" w:rsidP="00892CD4">
      <w:pPr>
        <w:suppressLineNumbers/>
        <w:rPr>
          <w:sz w:val="24"/>
          <w:szCs w:val="24"/>
        </w:rPr>
      </w:pPr>
      <w:r w:rsidRPr="00326396">
        <w:rPr>
          <w:sz w:val="24"/>
          <w:szCs w:val="24"/>
        </w:rPr>
        <w:t xml:space="preserve">NIHR Post Doctoral Fellow. </w:t>
      </w:r>
    </w:p>
    <w:p w14:paraId="69B0FC61" w14:textId="77777777" w:rsidR="00892CD4" w:rsidRPr="00326396" w:rsidRDefault="00892CD4" w:rsidP="00892CD4">
      <w:pPr>
        <w:suppressLineNumbers/>
        <w:rPr>
          <w:sz w:val="24"/>
          <w:szCs w:val="24"/>
        </w:rPr>
      </w:pPr>
      <w:r w:rsidRPr="00326396">
        <w:rPr>
          <w:sz w:val="24"/>
          <w:szCs w:val="24"/>
        </w:rPr>
        <w:t>Address: LF101, South Academic block, Southampton General Hospital, Southampton, SO16 6YD.</w:t>
      </w:r>
    </w:p>
    <w:p w14:paraId="45CF1032" w14:textId="77777777" w:rsidR="00892CD4" w:rsidRPr="00326396" w:rsidRDefault="00892CD4" w:rsidP="00892CD4">
      <w:pPr>
        <w:suppressLineNumbers/>
        <w:rPr>
          <w:sz w:val="24"/>
          <w:szCs w:val="24"/>
        </w:rPr>
      </w:pPr>
      <w:r w:rsidRPr="00326396">
        <w:rPr>
          <w:sz w:val="24"/>
          <w:szCs w:val="24"/>
        </w:rPr>
        <w:t>Tel: 0044(0)23818410</w:t>
      </w:r>
      <w:r w:rsidRPr="00326396">
        <w:rPr>
          <w:sz w:val="24"/>
          <w:szCs w:val="24"/>
        </w:rPr>
        <w:tab/>
        <w:t xml:space="preserve">E-mail address: </w:t>
      </w:r>
      <w:hyperlink r:id="rId6" w:history="1">
        <w:r w:rsidRPr="00326396">
          <w:rPr>
            <w:rStyle w:val="Hyperlink"/>
            <w:sz w:val="24"/>
            <w:szCs w:val="24"/>
          </w:rPr>
          <w:t>T.W.Clark@soton.ac.uk</w:t>
        </w:r>
      </w:hyperlink>
    </w:p>
    <w:p w14:paraId="33AD2AC7" w14:textId="77777777" w:rsidR="00892CD4" w:rsidRPr="00326396" w:rsidRDefault="00892CD4" w:rsidP="00892CD4">
      <w:pPr>
        <w:suppressLineNumbers/>
        <w:rPr>
          <w:sz w:val="24"/>
          <w:szCs w:val="24"/>
        </w:rPr>
      </w:pPr>
    </w:p>
    <w:p w14:paraId="154EDB41" w14:textId="77777777" w:rsidR="00892CD4" w:rsidRPr="00326396" w:rsidRDefault="00892CD4" w:rsidP="00892CD4">
      <w:pPr>
        <w:suppressLineNumbers/>
        <w:spacing w:line="480" w:lineRule="auto"/>
        <w:rPr>
          <w:sz w:val="24"/>
          <w:szCs w:val="24"/>
        </w:rPr>
      </w:pPr>
      <w:r w:rsidRPr="00326396">
        <w:rPr>
          <w:b/>
          <w:sz w:val="24"/>
          <w:szCs w:val="24"/>
        </w:rPr>
        <w:t xml:space="preserve">Key words </w:t>
      </w:r>
      <w:r w:rsidRPr="00326396">
        <w:rPr>
          <w:sz w:val="24"/>
          <w:szCs w:val="24"/>
        </w:rPr>
        <w:t>Viral load, SARS-CoV-2, COVID-19, prognosis, antibodies</w:t>
      </w:r>
    </w:p>
    <w:p w14:paraId="2F8F0FA4" w14:textId="1EAA6320" w:rsidR="00892CD4" w:rsidRPr="00892CD4" w:rsidRDefault="00892CD4" w:rsidP="00892CD4">
      <w:pPr>
        <w:suppressLineNumbers/>
        <w:spacing w:line="480" w:lineRule="auto"/>
        <w:rPr>
          <w:sz w:val="24"/>
          <w:szCs w:val="24"/>
        </w:rPr>
      </w:pPr>
      <w:r w:rsidRPr="00326396">
        <w:rPr>
          <w:b/>
          <w:sz w:val="24"/>
          <w:szCs w:val="24"/>
        </w:rPr>
        <w:t>Running header</w:t>
      </w:r>
      <w:r w:rsidRPr="00326396">
        <w:rPr>
          <w:sz w:val="24"/>
          <w:szCs w:val="24"/>
        </w:rPr>
        <w:t xml:space="preserve"> SARS-CoV-2 Viral load predicts death </w:t>
      </w:r>
      <w:r>
        <w:rPr>
          <w:b/>
          <w:sz w:val="32"/>
          <w:szCs w:val="32"/>
        </w:rPr>
        <w:br w:type="page"/>
      </w:r>
    </w:p>
    <w:p w14:paraId="047CF08F" w14:textId="113168D3" w:rsidR="00391A54" w:rsidRPr="00C00D8F" w:rsidRDefault="00391A54" w:rsidP="00391A54">
      <w:pPr>
        <w:suppressLineNumbers/>
        <w:rPr>
          <w:b/>
          <w:sz w:val="32"/>
          <w:szCs w:val="32"/>
        </w:rPr>
      </w:pPr>
      <w:r w:rsidRPr="00C00D8F">
        <w:rPr>
          <w:b/>
          <w:sz w:val="32"/>
          <w:szCs w:val="32"/>
        </w:rPr>
        <w:lastRenderedPageBreak/>
        <w:t>Abstract</w:t>
      </w:r>
      <w:r>
        <w:rPr>
          <w:b/>
          <w:sz w:val="32"/>
          <w:szCs w:val="32"/>
        </w:rPr>
        <w:t xml:space="preserve"> </w:t>
      </w:r>
    </w:p>
    <w:p w14:paraId="7952FE11" w14:textId="77777777" w:rsidR="00470EDB" w:rsidRDefault="00470EDB" w:rsidP="00391A54">
      <w:pPr>
        <w:suppressLineNumbers/>
        <w:spacing w:after="0" w:line="480" w:lineRule="auto"/>
        <w:rPr>
          <w:b/>
          <w:sz w:val="24"/>
          <w:szCs w:val="24"/>
        </w:rPr>
      </w:pPr>
      <w:r>
        <w:rPr>
          <w:b/>
          <w:sz w:val="24"/>
          <w:szCs w:val="24"/>
        </w:rPr>
        <w:t>Objectives</w:t>
      </w:r>
    </w:p>
    <w:p w14:paraId="482552C6" w14:textId="0BC87CEF" w:rsidR="00391A54" w:rsidRDefault="00391A54" w:rsidP="00391A54">
      <w:pPr>
        <w:suppressLineNumbers/>
        <w:spacing w:after="0" w:line="480" w:lineRule="auto"/>
        <w:rPr>
          <w:sz w:val="24"/>
          <w:szCs w:val="24"/>
        </w:rPr>
      </w:pPr>
      <w:r>
        <w:rPr>
          <w:sz w:val="24"/>
          <w:szCs w:val="24"/>
        </w:rPr>
        <w:t>Previous s</w:t>
      </w:r>
      <w:r w:rsidRPr="00326396">
        <w:rPr>
          <w:sz w:val="24"/>
          <w:szCs w:val="24"/>
        </w:rPr>
        <w:t>tudies have suggested that SARS-CoV-2 viral load, measured on upper respiratory tract samples at presentation to hospital</w:t>
      </w:r>
      <w:r w:rsidR="00233097" w:rsidRPr="00233097">
        <w:t xml:space="preserve"> </w:t>
      </w:r>
      <w:r w:rsidR="00233097" w:rsidRPr="00233097">
        <w:rPr>
          <w:sz w:val="24"/>
          <w:szCs w:val="24"/>
        </w:rPr>
        <w:t xml:space="preserve">using </w:t>
      </w:r>
      <w:r w:rsidR="00233097">
        <w:rPr>
          <w:sz w:val="24"/>
          <w:szCs w:val="24"/>
        </w:rPr>
        <w:t xml:space="preserve">PCR </w:t>
      </w:r>
      <w:r w:rsidR="00233097" w:rsidRPr="00233097">
        <w:rPr>
          <w:sz w:val="24"/>
          <w:szCs w:val="24"/>
        </w:rPr>
        <w:t>Cycle threshold (Ct) value</w:t>
      </w:r>
      <w:r w:rsidRPr="00326396">
        <w:rPr>
          <w:sz w:val="24"/>
          <w:szCs w:val="24"/>
        </w:rPr>
        <w:t>, has prognostic utility. However, t</w:t>
      </w:r>
      <w:r>
        <w:rPr>
          <w:sz w:val="24"/>
          <w:szCs w:val="24"/>
        </w:rPr>
        <w:t>hese studies have not comprehensively</w:t>
      </w:r>
      <w:r w:rsidRPr="00326396">
        <w:rPr>
          <w:sz w:val="24"/>
          <w:szCs w:val="24"/>
        </w:rPr>
        <w:t xml:space="preserve"> adjusted for factors</w:t>
      </w:r>
      <w:r w:rsidR="004C5E70">
        <w:rPr>
          <w:sz w:val="24"/>
          <w:szCs w:val="24"/>
        </w:rPr>
        <w:t xml:space="preserve"> known to be</w:t>
      </w:r>
      <w:r w:rsidRPr="00326396">
        <w:rPr>
          <w:sz w:val="24"/>
          <w:szCs w:val="24"/>
        </w:rPr>
        <w:t xml:space="preserve"> intimately related to viral load</w:t>
      </w:r>
      <w:r w:rsidR="002851A3" w:rsidRPr="00326396">
        <w:rPr>
          <w:sz w:val="24"/>
          <w:szCs w:val="24"/>
        </w:rPr>
        <w:t>.</w:t>
      </w:r>
      <w:r w:rsidR="002851A3">
        <w:rPr>
          <w:sz w:val="24"/>
          <w:szCs w:val="24"/>
        </w:rPr>
        <w:t xml:space="preserve"> We aimed</w:t>
      </w:r>
      <w:r w:rsidR="002851A3" w:rsidRPr="00326396">
        <w:rPr>
          <w:sz w:val="24"/>
          <w:szCs w:val="24"/>
        </w:rPr>
        <w:t xml:space="preserve"> </w:t>
      </w:r>
      <w:r w:rsidR="002851A3">
        <w:rPr>
          <w:sz w:val="24"/>
          <w:szCs w:val="24"/>
        </w:rPr>
        <w:t xml:space="preserve">to evaluate the association between Ct value at admission and </w:t>
      </w:r>
      <w:r w:rsidR="00233097">
        <w:rPr>
          <w:sz w:val="24"/>
          <w:szCs w:val="24"/>
        </w:rPr>
        <w:t xml:space="preserve">patient </w:t>
      </w:r>
      <w:r w:rsidR="002851A3">
        <w:rPr>
          <w:sz w:val="24"/>
          <w:szCs w:val="24"/>
        </w:rPr>
        <w:t>outcome</w:t>
      </w:r>
      <w:r w:rsidR="002173E9">
        <w:rPr>
          <w:sz w:val="24"/>
          <w:szCs w:val="24"/>
        </w:rPr>
        <w:t xml:space="preserve"> whilst</w:t>
      </w:r>
      <w:r w:rsidR="002851A3">
        <w:rPr>
          <w:sz w:val="24"/>
          <w:szCs w:val="24"/>
        </w:rPr>
        <w:t xml:space="preserve"> adjusting </w:t>
      </w:r>
      <w:r w:rsidR="00233097">
        <w:rPr>
          <w:sz w:val="24"/>
          <w:szCs w:val="24"/>
        </w:rPr>
        <w:t xml:space="preserve">carefully </w:t>
      </w:r>
      <w:r w:rsidR="002851A3">
        <w:rPr>
          <w:sz w:val="24"/>
          <w:szCs w:val="24"/>
        </w:rPr>
        <w:t>for covariates.</w:t>
      </w:r>
      <w:r w:rsidRPr="00326396">
        <w:rPr>
          <w:sz w:val="24"/>
          <w:szCs w:val="24"/>
        </w:rPr>
        <w:t xml:space="preserve"> </w:t>
      </w:r>
    </w:p>
    <w:p w14:paraId="5E6E4BDD" w14:textId="70721AD0" w:rsidR="00470EDB" w:rsidRDefault="00470EDB" w:rsidP="00391A54">
      <w:pPr>
        <w:suppressLineNumbers/>
        <w:spacing w:after="0" w:line="480" w:lineRule="auto"/>
        <w:jc w:val="both"/>
        <w:rPr>
          <w:b/>
          <w:sz w:val="24"/>
          <w:szCs w:val="24"/>
        </w:rPr>
      </w:pPr>
      <w:r>
        <w:rPr>
          <w:b/>
          <w:sz w:val="24"/>
          <w:szCs w:val="24"/>
        </w:rPr>
        <w:t>Methods</w:t>
      </w:r>
    </w:p>
    <w:p w14:paraId="5AE551F1" w14:textId="095C3296" w:rsidR="00391A54" w:rsidRDefault="00391A54" w:rsidP="00391A54">
      <w:pPr>
        <w:suppressLineNumbers/>
        <w:spacing w:after="0" w:line="480" w:lineRule="auto"/>
        <w:jc w:val="both"/>
        <w:rPr>
          <w:sz w:val="24"/>
          <w:szCs w:val="24"/>
        </w:rPr>
      </w:pPr>
      <w:r w:rsidRPr="00326396">
        <w:rPr>
          <w:sz w:val="24"/>
          <w:szCs w:val="24"/>
        </w:rPr>
        <w:t xml:space="preserve">We evaluated the </w:t>
      </w:r>
      <w:r w:rsidR="004C5E70">
        <w:rPr>
          <w:sz w:val="24"/>
          <w:szCs w:val="24"/>
        </w:rPr>
        <w:t xml:space="preserve">association between </w:t>
      </w:r>
      <w:r w:rsidR="002851A3">
        <w:rPr>
          <w:sz w:val="24"/>
          <w:szCs w:val="24"/>
        </w:rPr>
        <w:t xml:space="preserve">Ct value </w:t>
      </w:r>
      <w:r w:rsidR="004C5E70">
        <w:rPr>
          <w:sz w:val="24"/>
          <w:szCs w:val="24"/>
        </w:rPr>
        <w:t xml:space="preserve">at presentation </w:t>
      </w:r>
      <w:r w:rsidRPr="00326396">
        <w:rPr>
          <w:sz w:val="24"/>
          <w:szCs w:val="24"/>
        </w:rPr>
        <w:t>and the outcomes of ICU admission and death</w:t>
      </w:r>
      <w:r>
        <w:rPr>
          <w:sz w:val="24"/>
          <w:szCs w:val="24"/>
        </w:rPr>
        <w:t>,</w:t>
      </w:r>
      <w:r w:rsidRPr="00326396">
        <w:rPr>
          <w:sz w:val="24"/>
          <w:szCs w:val="24"/>
        </w:rPr>
        <w:t xml:space="preserve"> in patients hospitalised during the first wave of the pandemic in Southampton, UK. We adjusted for covariates including age, durat</w:t>
      </w:r>
      <w:r w:rsidR="00BF5C39">
        <w:rPr>
          <w:sz w:val="24"/>
          <w:szCs w:val="24"/>
        </w:rPr>
        <w:t xml:space="preserve">ion of illness </w:t>
      </w:r>
      <w:r w:rsidRPr="00326396">
        <w:rPr>
          <w:sz w:val="24"/>
          <w:szCs w:val="24"/>
        </w:rPr>
        <w:t xml:space="preserve">and antibody </w:t>
      </w:r>
      <w:proofErr w:type="spellStart"/>
      <w:r>
        <w:rPr>
          <w:sz w:val="24"/>
          <w:szCs w:val="24"/>
        </w:rPr>
        <w:t>sero</w:t>
      </w:r>
      <w:proofErr w:type="spellEnd"/>
      <w:r>
        <w:rPr>
          <w:sz w:val="24"/>
          <w:szCs w:val="24"/>
        </w:rPr>
        <w:t>-</w:t>
      </w:r>
      <w:r w:rsidRPr="00326396">
        <w:rPr>
          <w:sz w:val="24"/>
          <w:szCs w:val="24"/>
        </w:rPr>
        <w:t xml:space="preserve">status, measured by neutralisation assay. </w:t>
      </w:r>
    </w:p>
    <w:p w14:paraId="35219EBD" w14:textId="647B9166" w:rsidR="00470EDB" w:rsidRDefault="00470EDB" w:rsidP="00391A54">
      <w:pPr>
        <w:suppressLineNumbers/>
        <w:spacing w:after="0" w:line="480" w:lineRule="auto"/>
        <w:jc w:val="both"/>
        <w:rPr>
          <w:b/>
          <w:sz w:val="24"/>
          <w:szCs w:val="24"/>
        </w:rPr>
      </w:pPr>
      <w:r>
        <w:rPr>
          <w:b/>
          <w:sz w:val="24"/>
          <w:szCs w:val="24"/>
        </w:rPr>
        <w:t>Results</w:t>
      </w:r>
    </w:p>
    <w:p w14:paraId="2A85667D" w14:textId="3BA1B828" w:rsidR="00391A54" w:rsidRPr="00C77156" w:rsidRDefault="00391A54" w:rsidP="00391A54">
      <w:pPr>
        <w:suppressLineNumbers/>
        <w:spacing w:after="0" w:line="480" w:lineRule="auto"/>
        <w:jc w:val="both"/>
        <w:rPr>
          <w:sz w:val="24"/>
          <w:szCs w:val="24"/>
        </w:rPr>
      </w:pPr>
      <w:r w:rsidRPr="00C77156">
        <w:rPr>
          <w:bCs/>
          <w:sz w:val="24"/>
          <w:szCs w:val="24"/>
        </w:rPr>
        <w:t>185 patients were analysed, with a median</w:t>
      </w:r>
      <w:r w:rsidR="004C5E70" w:rsidRPr="00C77156">
        <w:rPr>
          <w:bCs/>
          <w:sz w:val="24"/>
          <w:szCs w:val="24"/>
        </w:rPr>
        <w:t xml:space="preserve"> [IQR]</w:t>
      </w:r>
      <w:r w:rsidRPr="00C77156">
        <w:rPr>
          <w:bCs/>
          <w:sz w:val="24"/>
          <w:szCs w:val="24"/>
        </w:rPr>
        <w:t xml:space="preserve"> Ct value of 27.9 </w:t>
      </w:r>
      <w:r w:rsidR="00AC3072" w:rsidRPr="00C77156">
        <w:rPr>
          <w:bCs/>
          <w:sz w:val="24"/>
          <w:szCs w:val="24"/>
        </w:rPr>
        <w:t>[</w:t>
      </w:r>
      <w:r w:rsidRPr="00C77156">
        <w:rPr>
          <w:bCs/>
          <w:sz w:val="24"/>
          <w:szCs w:val="24"/>
        </w:rPr>
        <w:t>22.6-32.1</w:t>
      </w:r>
      <w:r w:rsidR="00AC3072" w:rsidRPr="00C77156">
        <w:rPr>
          <w:bCs/>
          <w:sz w:val="24"/>
          <w:szCs w:val="24"/>
        </w:rPr>
        <w:t>]</w:t>
      </w:r>
      <w:r w:rsidRPr="00C77156">
        <w:rPr>
          <w:bCs/>
          <w:sz w:val="24"/>
          <w:szCs w:val="24"/>
        </w:rPr>
        <w:t xml:space="preserve">. </w:t>
      </w:r>
      <w:r w:rsidRPr="00C77156">
        <w:rPr>
          <w:sz w:val="24"/>
          <w:szCs w:val="24"/>
        </w:rPr>
        <w:t>On univariate analysis</w:t>
      </w:r>
      <w:r w:rsidR="00EA2647" w:rsidRPr="00C77156">
        <w:rPr>
          <w:sz w:val="24"/>
          <w:szCs w:val="24"/>
        </w:rPr>
        <w:t xml:space="preserve"> </w:t>
      </w:r>
      <w:r w:rsidR="00233097" w:rsidRPr="00C77156">
        <w:rPr>
          <w:sz w:val="24"/>
          <w:szCs w:val="24"/>
        </w:rPr>
        <w:t xml:space="preserve">the Ct value at presentation was associated with the risk of both ICU admission and death. In addition, Ct value significantly differed according to age, the duration of illness at presentation and antibody </w:t>
      </w:r>
      <w:proofErr w:type="spellStart"/>
      <w:r w:rsidR="00233097" w:rsidRPr="00C77156">
        <w:rPr>
          <w:sz w:val="24"/>
          <w:szCs w:val="24"/>
        </w:rPr>
        <w:t>sero</w:t>
      </w:r>
      <w:proofErr w:type="spellEnd"/>
      <w:r w:rsidR="00233097" w:rsidRPr="00C77156">
        <w:rPr>
          <w:sz w:val="24"/>
          <w:szCs w:val="24"/>
        </w:rPr>
        <w:t xml:space="preserve">-status. </w:t>
      </w:r>
      <w:r w:rsidRPr="00C77156">
        <w:rPr>
          <w:sz w:val="24"/>
          <w:szCs w:val="24"/>
        </w:rPr>
        <w:t xml:space="preserve">On multivariate analysis, </w:t>
      </w:r>
      <w:r w:rsidR="002851A3" w:rsidRPr="00C77156">
        <w:rPr>
          <w:sz w:val="24"/>
          <w:szCs w:val="24"/>
        </w:rPr>
        <w:t>Ct value</w:t>
      </w:r>
      <w:r w:rsidRPr="00C77156">
        <w:rPr>
          <w:sz w:val="24"/>
          <w:szCs w:val="24"/>
        </w:rPr>
        <w:t xml:space="preserve"> was independently associated with risk of death (</w:t>
      </w:r>
      <w:proofErr w:type="spellStart"/>
      <w:r w:rsidRPr="00C77156">
        <w:rPr>
          <w:sz w:val="24"/>
          <w:szCs w:val="24"/>
        </w:rPr>
        <w:t>aOR</w:t>
      </w:r>
      <w:proofErr w:type="spellEnd"/>
      <w:r w:rsidRPr="00C77156">
        <w:rPr>
          <w:sz w:val="24"/>
          <w:szCs w:val="24"/>
        </w:rPr>
        <w:t xml:space="preserve"> 0.84, 95% CI 0.7</w:t>
      </w:r>
      <w:r w:rsidR="00AC2A9F" w:rsidRPr="00C77156">
        <w:rPr>
          <w:sz w:val="24"/>
          <w:szCs w:val="24"/>
        </w:rPr>
        <w:t>2</w:t>
      </w:r>
      <w:r w:rsidRPr="00C77156">
        <w:rPr>
          <w:sz w:val="24"/>
          <w:szCs w:val="24"/>
        </w:rPr>
        <w:t xml:space="preserve">-0.96; </w:t>
      </w:r>
      <w:r w:rsidR="004C5E70" w:rsidRPr="00C77156">
        <w:rPr>
          <w:sz w:val="24"/>
          <w:szCs w:val="24"/>
        </w:rPr>
        <w:t>p=0.011) but not ICU admission (</w:t>
      </w:r>
      <w:proofErr w:type="spellStart"/>
      <w:r w:rsidRPr="00C77156">
        <w:rPr>
          <w:sz w:val="24"/>
          <w:szCs w:val="24"/>
        </w:rPr>
        <w:t>aOR</w:t>
      </w:r>
      <w:proofErr w:type="spellEnd"/>
      <w:r w:rsidRPr="00C77156">
        <w:rPr>
          <w:sz w:val="24"/>
          <w:szCs w:val="24"/>
        </w:rPr>
        <w:t xml:space="preserve"> </w:t>
      </w:r>
      <w:r w:rsidR="004C5E70" w:rsidRPr="00C77156">
        <w:rPr>
          <w:sz w:val="24"/>
          <w:szCs w:val="24"/>
        </w:rPr>
        <w:t>1.04, 95%</w:t>
      </w:r>
      <w:r w:rsidR="006F2F33" w:rsidRPr="00C77156">
        <w:rPr>
          <w:sz w:val="24"/>
          <w:szCs w:val="24"/>
        </w:rPr>
        <w:t xml:space="preserve"> </w:t>
      </w:r>
      <w:r w:rsidR="004C5E70" w:rsidRPr="00C77156">
        <w:rPr>
          <w:sz w:val="24"/>
          <w:szCs w:val="24"/>
        </w:rPr>
        <w:t xml:space="preserve">CI 0.93-1.16; </w:t>
      </w:r>
      <w:r w:rsidRPr="00C77156">
        <w:rPr>
          <w:sz w:val="24"/>
          <w:szCs w:val="24"/>
        </w:rPr>
        <w:t>p=0.507). Neutralising antibody status at presentation was not associated with mortality or ICU admission (</w:t>
      </w:r>
      <w:proofErr w:type="spellStart"/>
      <w:r w:rsidRPr="00C77156">
        <w:rPr>
          <w:sz w:val="24"/>
          <w:szCs w:val="24"/>
        </w:rPr>
        <w:t>aOR</w:t>
      </w:r>
      <w:proofErr w:type="spellEnd"/>
      <w:r w:rsidRPr="00C77156">
        <w:rPr>
          <w:sz w:val="24"/>
          <w:szCs w:val="24"/>
        </w:rPr>
        <w:t xml:space="preserve"> 10.62, 95% CI 0.47-889; p=0.199 and </w:t>
      </w:r>
      <w:proofErr w:type="spellStart"/>
      <w:r w:rsidRPr="00C77156">
        <w:rPr>
          <w:sz w:val="24"/>
          <w:szCs w:val="24"/>
        </w:rPr>
        <w:t>aOR</w:t>
      </w:r>
      <w:proofErr w:type="spellEnd"/>
      <w:r w:rsidRPr="00C77156">
        <w:rPr>
          <w:sz w:val="24"/>
          <w:szCs w:val="24"/>
        </w:rPr>
        <w:t xml:space="preserve"> 0.46, 95% CI 0.</w:t>
      </w:r>
      <w:r w:rsidR="006F2F33" w:rsidRPr="00C77156">
        <w:rPr>
          <w:sz w:val="24"/>
          <w:szCs w:val="24"/>
        </w:rPr>
        <w:t>10</w:t>
      </w:r>
      <w:r w:rsidRPr="00C77156">
        <w:rPr>
          <w:sz w:val="24"/>
          <w:szCs w:val="24"/>
        </w:rPr>
        <w:t xml:space="preserve">-2.00; p=0.302, respectively). </w:t>
      </w:r>
    </w:p>
    <w:p w14:paraId="7E868173" w14:textId="7385EF5C" w:rsidR="00470EDB" w:rsidRDefault="00470EDB" w:rsidP="00391A54">
      <w:pPr>
        <w:suppressLineNumbers/>
        <w:spacing w:after="0" w:line="480" w:lineRule="auto"/>
        <w:jc w:val="both"/>
        <w:rPr>
          <w:b/>
          <w:sz w:val="24"/>
          <w:szCs w:val="24"/>
        </w:rPr>
      </w:pPr>
      <w:r>
        <w:rPr>
          <w:b/>
          <w:sz w:val="24"/>
          <w:szCs w:val="24"/>
        </w:rPr>
        <w:t>Conclusions</w:t>
      </w:r>
    </w:p>
    <w:p w14:paraId="5AB99E61" w14:textId="4622A488" w:rsidR="00391A54" w:rsidRDefault="00391A54" w:rsidP="00391A54">
      <w:pPr>
        <w:suppressLineNumbers/>
        <w:spacing w:after="0" w:line="480" w:lineRule="auto"/>
        <w:jc w:val="both"/>
        <w:rPr>
          <w:bCs/>
          <w:sz w:val="24"/>
          <w:szCs w:val="24"/>
        </w:rPr>
      </w:pPr>
      <w:r w:rsidRPr="00326396">
        <w:rPr>
          <w:bCs/>
          <w:sz w:val="24"/>
          <w:szCs w:val="24"/>
        </w:rPr>
        <w:t xml:space="preserve">SARS-CoV-2 </w:t>
      </w:r>
      <w:r w:rsidR="002851A3">
        <w:rPr>
          <w:bCs/>
          <w:sz w:val="24"/>
          <w:szCs w:val="24"/>
        </w:rPr>
        <w:t>Ct value</w:t>
      </w:r>
      <w:r w:rsidRPr="00326396">
        <w:rPr>
          <w:bCs/>
          <w:sz w:val="24"/>
          <w:szCs w:val="24"/>
        </w:rPr>
        <w:t xml:space="preserve"> on admission to hospital was independently associated with mortality</w:t>
      </w:r>
      <w:r w:rsidR="004C5E70">
        <w:rPr>
          <w:bCs/>
          <w:sz w:val="24"/>
          <w:szCs w:val="24"/>
        </w:rPr>
        <w:t>,</w:t>
      </w:r>
      <w:r w:rsidRPr="00326396">
        <w:rPr>
          <w:bCs/>
          <w:sz w:val="24"/>
          <w:szCs w:val="24"/>
        </w:rPr>
        <w:t xml:space="preserve"> when </w:t>
      </w:r>
      <w:r w:rsidR="00BF5C39">
        <w:rPr>
          <w:bCs/>
          <w:sz w:val="24"/>
          <w:szCs w:val="24"/>
        </w:rPr>
        <w:t xml:space="preserve">comprehensively </w:t>
      </w:r>
      <w:r w:rsidRPr="00326396">
        <w:rPr>
          <w:bCs/>
          <w:sz w:val="24"/>
          <w:szCs w:val="24"/>
        </w:rPr>
        <w:t xml:space="preserve">adjusting for </w:t>
      </w:r>
      <w:r w:rsidR="00233097">
        <w:rPr>
          <w:bCs/>
          <w:sz w:val="24"/>
          <w:szCs w:val="24"/>
        </w:rPr>
        <w:t xml:space="preserve">other </w:t>
      </w:r>
      <w:r w:rsidRPr="00326396">
        <w:rPr>
          <w:bCs/>
          <w:sz w:val="24"/>
          <w:szCs w:val="24"/>
        </w:rPr>
        <w:t xml:space="preserve">factors </w:t>
      </w:r>
      <w:r w:rsidR="00BF5C39">
        <w:rPr>
          <w:bCs/>
          <w:sz w:val="24"/>
          <w:szCs w:val="24"/>
        </w:rPr>
        <w:t xml:space="preserve">and could be used for risk stratification. </w:t>
      </w:r>
    </w:p>
    <w:p w14:paraId="6AC93648" w14:textId="686836A0" w:rsidR="00614B32" w:rsidRDefault="00FD79CE" w:rsidP="00391A54">
      <w:pPr>
        <w:suppressLineNumbers/>
        <w:spacing w:after="0" w:line="480" w:lineRule="auto"/>
        <w:jc w:val="both"/>
        <w:rPr>
          <w:bCs/>
          <w:sz w:val="24"/>
          <w:szCs w:val="24"/>
        </w:rPr>
      </w:pPr>
      <w:r w:rsidRPr="00FD79CE">
        <w:rPr>
          <w:b/>
          <w:bCs/>
          <w:sz w:val="24"/>
          <w:szCs w:val="24"/>
        </w:rPr>
        <w:lastRenderedPageBreak/>
        <w:t>Trial registration</w:t>
      </w:r>
      <w:r w:rsidRPr="00FD79CE">
        <w:rPr>
          <w:bCs/>
          <w:sz w:val="24"/>
          <w:szCs w:val="24"/>
        </w:rPr>
        <w:t>: ISRCTN14966673</w:t>
      </w:r>
    </w:p>
    <w:p w14:paraId="0104769D" w14:textId="77777777" w:rsidR="00614B32" w:rsidRDefault="00614B32">
      <w:pPr>
        <w:rPr>
          <w:bCs/>
          <w:sz w:val="24"/>
          <w:szCs w:val="24"/>
        </w:rPr>
      </w:pPr>
      <w:r>
        <w:rPr>
          <w:bCs/>
          <w:sz w:val="24"/>
          <w:szCs w:val="24"/>
        </w:rPr>
        <w:br w:type="page"/>
      </w:r>
    </w:p>
    <w:p w14:paraId="1DC4FB5A" w14:textId="1B8C4CFC" w:rsidR="00391A54" w:rsidRPr="00C00D8F" w:rsidRDefault="00391A54" w:rsidP="00391A54">
      <w:pPr>
        <w:spacing w:after="0" w:line="480" w:lineRule="auto"/>
        <w:rPr>
          <w:b/>
          <w:sz w:val="32"/>
          <w:szCs w:val="32"/>
        </w:rPr>
      </w:pPr>
      <w:r w:rsidRPr="00C00D8F">
        <w:rPr>
          <w:b/>
          <w:sz w:val="32"/>
          <w:szCs w:val="32"/>
        </w:rPr>
        <w:lastRenderedPageBreak/>
        <w:t xml:space="preserve">Introduction </w:t>
      </w:r>
    </w:p>
    <w:p w14:paraId="28EB646B" w14:textId="3A0ED29E" w:rsidR="00391A54" w:rsidRDefault="00391A54" w:rsidP="00391A54">
      <w:pPr>
        <w:spacing w:after="0" w:line="480" w:lineRule="auto"/>
        <w:jc w:val="both"/>
        <w:rPr>
          <w:sz w:val="24"/>
          <w:szCs w:val="24"/>
        </w:rPr>
      </w:pPr>
      <w:r w:rsidRPr="00326396">
        <w:rPr>
          <w:sz w:val="24"/>
          <w:szCs w:val="24"/>
        </w:rPr>
        <w:t xml:space="preserve">Severe acute respiratory syndrome coronavirus 2 (SARS-CoV-2) emerged in 2019 as </w:t>
      </w:r>
      <w:r w:rsidR="00531CFC">
        <w:rPr>
          <w:sz w:val="24"/>
          <w:szCs w:val="24"/>
        </w:rPr>
        <w:t xml:space="preserve">a </w:t>
      </w:r>
      <w:r w:rsidRPr="00326396">
        <w:rPr>
          <w:sz w:val="24"/>
          <w:szCs w:val="24"/>
        </w:rPr>
        <w:t>novel respiratory pathogen</w:t>
      </w:r>
      <w:r w:rsidR="00AC3072">
        <w:rPr>
          <w:sz w:val="24"/>
          <w:szCs w:val="24"/>
        </w:rPr>
        <w:t>.</w:t>
      </w:r>
      <w:r w:rsidRPr="00326396">
        <w:rPr>
          <w:sz w:val="24"/>
          <w:szCs w:val="24"/>
        </w:rPr>
        <w:fldChar w:fldCharType="begin" w:fldLock="1"/>
      </w:r>
      <w:r w:rsidRPr="00326396">
        <w:rPr>
          <w:sz w:val="24"/>
          <w:szCs w:val="24"/>
        </w:rPr>
        <w:instrText>ADDIN CSL_CITATION {"citationItems":[{"id":"ITEM-1","itemData":{"DOI":"10.1080/22221751.2020.1719902","ISSN":"22221751","PMID":"31987001","abstract":"A mysterious outbreak of atypical pneumonia in late 2019 was traced to a seafood wholesale market in Wuhan of China. Within a few weeks, a novel coronavirus tentatively named as 2019 novel coronavirus (2019-nCoV) was announced by the World Health Organization. We performed bioinformatics analysis on a virus genome from a patient with 2019-nCoV infection and compared it with other related coronavirus genomes. Overall, the genome of 2019-nCoV has 89% nucleotide identity with bat SARS-like-CoVZXC21 and 82% with that of human SARS-CoV. The phylogenetic trees of their orf1a/b, Spike, Envelope, Membrane and Nucleoprotein also clustered closely with those of the bat, civet and human SARS coronaviruses. However, the external subdomain of Spike’s receptor binding domain of 2019-nCoV shares only 40% amino acid identity with other SARS-related coronaviruses. Remarkably, its orf3b encodes a completely novel short protein. Furthermore, its new orf8 likely encodes a secreted protein with an alpha-helix, following with a beta-sheet(s) containing six strands. Learning from the roles of civet in SARS and camel in MERS, hunting for the animal source of 2019-nCoV and its more ancestral virus would be important for understanding the origin and evolution of this novel lineage B betacoronavirus. These findings provide the basis for starting further studies on the pathogenesis, and optimizing the design of diagnostic, antiviral and vaccination strategies for this emerging infection.","author":[{"dropping-particle":"","family":"Chan","given":"Jasper Fuk Woo","non-dropping-particle":"","parse-names":false,"suffix":""},{"dropping-particle":"","family":"Kok","given":"Kin Hang","non-dropping-particle":"","parse-names":false,"suffix":""},{"dropping-particle":"","family":"Zhu","given":"Zheng","non-dropping-particle":"","parse-names":false,"suffix":""},{"dropping-particle":"","family":"Chu","given":"Hin","non-dropping-particle":"","parse-names":false,"suffix":""},{"dropping-particle":"","family":"To","given":"Kelvin Kai Wang","non-dropping-particle":"","parse-names":false,"suffix":""},{"dropping-particle":"","family":"Yuan","given":"Shuofeng","non-dropping-particle":"","parse-names":false,"suffix":""},{"dropping-particle":"","family":"Yuen","given":"Kwok Yung","non-dropping-particle":"","parse-names":false,"suffix":""}],"container-title":"Emerging Microbes and Infections","id":"ITEM-1","issue":"1","issued":{"date-parts":[["2020"]]},"page":"221-236","title":"Genomic characterization of the 2019 novel human-pathogenic coronavirus isolated from a patient with atypical pneumonia after visiting Wuhan","type":"article-journal","volume":"9"},"uris":["http://www.mendeley.com/documents/?uuid=652391ce-515a-4907-a1ae-c4c6b88c3d93"]}],"mendeley":{"formattedCitation":"&lt;sup&gt;1&lt;/sup&gt;","plainTextFormattedCitation":"1","previouslyFormattedCitation":"&lt;sup&gt;1&lt;/sup&gt;"},"properties":{"noteIndex":0},"schema":"https://github.com/citation-style-language/schema/raw/master/csl-citation.json"}</w:instrText>
      </w:r>
      <w:r w:rsidRPr="00326396">
        <w:rPr>
          <w:sz w:val="24"/>
          <w:szCs w:val="24"/>
        </w:rPr>
        <w:fldChar w:fldCharType="separate"/>
      </w:r>
      <w:r w:rsidRPr="00326396">
        <w:rPr>
          <w:noProof/>
          <w:sz w:val="24"/>
          <w:szCs w:val="24"/>
          <w:vertAlign w:val="superscript"/>
        </w:rPr>
        <w:t>1</w:t>
      </w:r>
      <w:r w:rsidRPr="00326396">
        <w:rPr>
          <w:sz w:val="24"/>
          <w:szCs w:val="24"/>
        </w:rPr>
        <w:fldChar w:fldCharType="end"/>
      </w:r>
      <w:r w:rsidR="00AC3072">
        <w:rPr>
          <w:sz w:val="24"/>
          <w:szCs w:val="24"/>
        </w:rPr>
        <w:t xml:space="preserve"> </w:t>
      </w:r>
      <w:r w:rsidRPr="00326396">
        <w:rPr>
          <w:sz w:val="24"/>
          <w:szCs w:val="24"/>
        </w:rPr>
        <w:t>In the 13 months since, it has spread around the world causing over 100 million confirmed cases and over 2.5 million deaths</w:t>
      </w:r>
      <w:r w:rsidR="00AC3072">
        <w:rPr>
          <w:sz w:val="24"/>
          <w:szCs w:val="24"/>
        </w:rPr>
        <w:t>.</w:t>
      </w:r>
      <w:r w:rsidRPr="00326396">
        <w:rPr>
          <w:sz w:val="24"/>
          <w:szCs w:val="24"/>
        </w:rPr>
        <w:fldChar w:fldCharType="begin" w:fldLock="1"/>
      </w:r>
      <w:r w:rsidRPr="00326396">
        <w:rPr>
          <w:sz w:val="24"/>
          <w:szCs w:val="24"/>
        </w:rPr>
        <w:instrText>ADDIN CSL_CITATION {"citationItems":[{"id":"ITEM-1","itemData":{"URL":"https://covid19.who.int/table","accessed":{"date-parts":[["2021","1","30"]]},"author":[{"dropping-particle":"","family":"Organisation","given":"World Health","non-dropping-particle":"","parse-names":false,"suffix":""}],"id":"ITEM-1","issued":{"date-parts":[["2021"]]},"title":"WHO Coronavirus Disease (COVID-19) Dashboard","type":"webpage"},"uris":["http://www.mendeley.com/documents/?uuid=ecf6d27f-51b9-4409-b6d4-9e7ec8f7f324"]}],"mendeley":{"formattedCitation":"&lt;sup&gt;2&lt;/sup&gt;","plainTextFormattedCitation":"2","previouslyFormattedCitation":"&lt;sup&gt;2&lt;/sup&gt;"},"properties":{"noteIndex":0},"schema":"https://github.com/citation-style-language/schema/raw/master/csl-citation.json"}</w:instrText>
      </w:r>
      <w:r w:rsidRPr="00326396">
        <w:rPr>
          <w:sz w:val="24"/>
          <w:szCs w:val="24"/>
        </w:rPr>
        <w:fldChar w:fldCharType="separate"/>
      </w:r>
      <w:r w:rsidRPr="00326396">
        <w:rPr>
          <w:noProof/>
          <w:sz w:val="24"/>
          <w:szCs w:val="24"/>
          <w:vertAlign w:val="superscript"/>
        </w:rPr>
        <w:t>2</w:t>
      </w:r>
      <w:r w:rsidRPr="00326396">
        <w:rPr>
          <w:sz w:val="24"/>
          <w:szCs w:val="24"/>
        </w:rPr>
        <w:fldChar w:fldCharType="end"/>
      </w:r>
      <w:r w:rsidRPr="00326396">
        <w:rPr>
          <w:sz w:val="24"/>
          <w:szCs w:val="24"/>
        </w:rPr>
        <w:t xml:space="preserve"> The spectrum of disease associated with COVID-19 ranges from asymptomatic carriage to life threatening pneumonia and multi-organ failure. A number of socio-demographic factors, patient co-morbidities, clinical signs, and laboratory results have been identified as risk factors for severe disease and </w:t>
      </w:r>
      <w:r>
        <w:rPr>
          <w:sz w:val="24"/>
          <w:szCs w:val="24"/>
        </w:rPr>
        <w:t xml:space="preserve">subsequent </w:t>
      </w:r>
      <w:r w:rsidRPr="00326396">
        <w:rPr>
          <w:sz w:val="24"/>
          <w:szCs w:val="24"/>
        </w:rPr>
        <w:t>mortality</w:t>
      </w:r>
      <w:r w:rsidR="00AC3072">
        <w:rPr>
          <w:sz w:val="24"/>
          <w:szCs w:val="24"/>
        </w:rPr>
        <w:t>.</w:t>
      </w:r>
      <w:r w:rsidRPr="00326396">
        <w:rPr>
          <w:sz w:val="24"/>
          <w:szCs w:val="24"/>
        </w:rPr>
        <w:fldChar w:fldCharType="begin" w:fldLock="1"/>
      </w:r>
      <w:r w:rsidR="000829B8">
        <w:rPr>
          <w:sz w:val="24"/>
          <w:szCs w:val="24"/>
        </w:rPr>
        <w:instrText>ADDIN CSL_CITATION {"citationItems":[{"id":"ITEM-1","itemData":{"DOI":"10.1016/s2213-2600(20)30559-2","ISSN":"22132600","PMID":"33444539","abstract":"BACKGROUND Prognostic models to predict the risk of clinical deterioration in acute COVID-19 cases are urgently required to inform clinical management decisions. METHODS We developed and validated a multivariable logistic regression model for in-hospital clinical deterioration (defined as any requirement of ventilatory support or critical care, or death) among consecutively hospitalised adults with highly suspected or confirmed COVID-19 who were prospectively recruited to the International Severe Acute Respiratory and Emerging Infections Consortium Coronavirus Clinical Characterisation Consortium (ISARIC4C) study across 260 hospitals in England, Scotland, and Wales. Candidate predictors that were specified a priori were considered for inclusion in the model on the basis of previous prognostic scores and emerging literature describing routinely measured biomarkers associated with COVID-19 prognosis. We used internal-external cross-validation to evaluate discrimination, calibration, and clinical utility across eight National Health Service (NHS) regions in the development cohort. We further validated the final model in held-out data from an additional NHS region (London). FINDINGS 74 944 participants (recruited between Feb 6 and Aug 26, 2020) were included, of whom 31 924 (43·2%) of 73 948 with available outcomes met the composite clinical deterioration outcome. In internal-external cross-validation in the development cohort of 66 705 participants, the selected model (comprising 11 predictors routinely measured at the point of hospital admission) showed consistent discrimination, calibration, and clinical utility across all eight NHS regions. In held-out data from London (n=8239), the model showed a similarly consistent performance (C-statistic 0·77 [95% CI 0·76 to 0·78]; calibration-in-the-large 0·00 [-0·05 to 0·05]); calibration slope 0·96 [0·91 to 1·01]), and greater net benefit than any other reproducible prognostic model. INTERPRETATION The 4C Deterioration model has strong potential for clinical utility and generalisability to predict clinical deterioration and inform decision making among adults hospitalised with COVID-19. FUNDING National Institute for Health Research (NIHR), UK Medical Research Council, Wellcome Trust, Department for International Development, Bill &amp; Melinda Gates Foundation, EU Platform for European Preparedness Against (Re-)emerging Epidemics, NIHR Health Protection Research Unit (HPRU) in Emerging and Zoonotic Infections at Un…","author":[{"dropping-particle":"","family":"Gupta","given":"Rishi K","non-dropping-particle":"","parse-names":false,"suffix":""},{"dropping-particle":"","family":"Harrison","given":"Ewen M","non-dropping-particle":"","parse-names":false,"suffix":""},{"dropping-particle":"","family":"Ho","given":"Antonia","non-dropping-particle":"","parse-names":false,"suffix":""},{"dropping-particle":"","family":"Docherty","given":"Annemarie B","non-dropping-particle":"","parse-names":false,"suffix":""},{"dropping-particle":"","family":"Knight","given":"Stephen R","non-dropping-particle":"","parse-names":false,"suffix":""},{"dropping-particle":"","family":"Smeden","given":"Maarten","non-dropping-particle":"van","parse-names":false,"suffix":""},{"dropping-particle":"","family":"Abubakar","given":"Ibrahim","non-dropping-particle":"","parse-names":false,"suffix":""},{"dropping-particle":"","family":"Lipman","given":"Marc","non-dropping-particle":"","parse-names":false,"suffix":""},{"dropping-particle":"","family":"Quartagno","given":"Matteo","non-dropping-particle":"","parse-names":false,"suffix":""},{"dropping-particle":"","family":"Pius","given":"Riinu","non-dropping-particle":"","parse-names":false,"suffix":""},{"dropping-particle":"","family":"Buchan","given":"Iain","non-dropping-particle":"","parse-names":false,"suffix":""},{"dropping-particle":"","family":"Carson","given":"Gail","non-dropping-particle":"","parse-names":false,"suffix":""},{"dropping-particle":"","family":"Drake","given":"Thomas M","non-dropping-particle":"","parse-names":false,"suffix":""},{"dropping-particle":"","family":"Dunning","given":"Jake","non-dropping-particle":"","parse-names":false,"suffix":""},{"dropping-particle":"","family":"Fairfield","given":"Cameron J","non-dropping-particle":"","parse-names":false,"suffix":""},{"dropping-particle":"","family":"Gamble","given":"Carrol","non-dropping-particle":"","parse-names":false,"suffix":""},{"dropping-particle":"","family":"Green","given":"Christopher A","non-dropping-particle":"","parse-names":false,"suffix":""},{"dropping-particle":"","family":"Halpin","given":"Sophie","non-dropping-particle":"","parse-names":false,"suffix":""},{"dropping-particle":"","family":"Hardwick","given":"Hayley E","non-dropping-particle":"","parse-names":false,"suffix":""},{"dropping-particle":"","family":"Holden","given":"Karl A","non-dropping-particle":"","parse-names":false,"suffix":""},{"dropping-particle":"","family":"Horby","given":"Peter W","non-dropping-particle":"","parse-names":false,"suffix":""},{"dropping-particle":"","family":"Jackson","given":"Clare","non-dropping-particle":"","parse-names":false,"suffix":""},{"dropping-particle":"","family":"Mclean","given":"Kenneth A","non-dropping-particle":"","parse-names":false,"suffix":""},{"dropping-particle":"","family":"Merson","given":"Laura","non-dropping-particle":"","parse-names":false,"suffix":""},{"dropping-particle":"","family":"Nguyen-Van-Tam","given":"Jonathan S","non-dropping-particle":"","parse-names":false,"suffix":""},{"dropping-particle":"","family":"Norman","given":"Lisa","non-dropping-particle":"","parse-names":false,"suffix":""},{"dropping-particle":"","family":"Olliaro","given":"Piero L","non-dropping-particle":"","parse-names":false,"suffix":""},{"dropping-particle":"","family":"Pritchard","given":"Mark G","non-dropping-particle":"","parse-names":false,"suffix":""},{"dropping-particle":"","family":"Russell","given":"Clark D","non-dropping-particle":"","parse-names":false,"suffix":""},{"dropping-particle":"","family":"Scott-Brown","given":"James","non-dropping-particle":"","parse-names":false,"suffix":""},{"dropping-particle":"","family":"Shaw","given":"Catherine A","non-dropping-particle":"","parse-names":false,"suffix":""},{"dropping-particle":"","family":"Sheikh","given":"Aziz","non-dropping-particle":"","parse-names":false,"suffix":""},{"dropping-particle":"","family":"Solomon","given":"Tom","non-dropping-particle":"","parse-names":false,"suffix":""},{"dropping-particle":"","family":"Sudlow","given":"Cathie","non-dropping-particle":"","parse-names":false,"suffix":""},{"dropping-particle":"V","family":"Swann","given":"Olivia","non-dropping-particle":"","parse-names":false,"suffix":""},{"dropping-particle":"","family":"Turtle","given":"Lance","non-dropping-particle":"","parse-names":false,"suffix":""},{"dropping-particle":"","family":"Openshaw","given":"Peter J M","non-dropping-particle":"","parse-names":false,"suffix":""},{"dropping-particle":"","family":"Baillie","given":"J Kenneth","non-dropping-particle":"","parse-names":false,"suffix":""},{"dropping-particle":"","family":"Semple","given":"Malcolm G","non-dropping-particle":"","parse-names":false,"suffix":""},{"dropping-particle":"","family":"Noursadeghi","given":"Mahdad","non-dropping-particle":"","parse-names":false,"suffix":""},{"dropping-particle":"","family":"Baillie","given":"J Kenneth","non-dropping-particle":"","parse-names":false,"suffix":""},{"dropping-particle":"","family":"Semple","given":"Malcolm G","non-dropping-particle":"","parse-names":false,"suffix":""},{"dropping-particle":"","family":"Openshaw","given":"Peter JM","non-dropping-particle":"","parse-names":false,"suffix":""},{"dropping-particle":"","family":"Carson","given":"Gail","non-dropping-particle":"","parse-names":false,"suffix":""},{"dropping-particle":"","family":"Alex","given":"Beatrice","non-dropping-particle":"","parse-names":false,"suffix":""},{"dropping-particle":"","family":"Bach","given":"Benjamin","non-dropping-particle":"","parse-names":false,"suffix":""},{"dropping-particle":"","family":"Barclay","given":"Wendy S","non-dropping-particle":"","parse-names":false,"suffix":""},{"dropping-particle":"","family":"Bogaert","given":"Debby","non-dropping-particle":"","parse-names":false,"suffix":""},{"dropping-particle":"","family":"Chand","given":"Meera","non-dropping-particle":"","parse-names":false,"suffix":""},{"dropping-particle":"","family":"Cooke","given":"Graham S","non-dropping-particle":"","parse-names":false,"suffix":""},{"dropping-particle":"","family":"Docherty","given":"Annemarie B","non-dropping-particle":"","parse-names":false,"suffix":""},{"dropping-particle":"","family":"Dunning","given":"Jake","non-dropping-particle":"","parse-names":false,"suffix":""},{"dropping-particle":"","family":"Filipe","given":"Ana da Silva","non-dropping-particle":"","parse-names":false,"suffix":""},{"dropping-particle":"","family":"Fletcher","given":"Tom","non-dropping-particle":"","parse-names":false,"suffix":""},{"dropping-particle":"","family":"Green","given":"Christopher A","non-dropping-particle":"","parse-names":false,"suffix":""},{"dropping-particle":"","family":"Harrison","given":"Ewen M","non-dropping-particle":"","parse-names":false,"suffix":""},{"dropping-particle":"","family":"Hiscox","given":"Julian A","non-dropping-particle":"","parse-names":false,"suffix":""},{"dropping-particle":"","family":"Ho","given":"Antonia Ying Wai","non-dropping-particle":"","parse-names":false,"suffix":""},{"dropping-particle":"","family":"Horby","given":"Peter W","non-dropping-particle":"","parse-names":false,"suffix":""},{"dropping-particle":"","family":"Ijaz","given":"Samreen","non-dropping-particle":"","parse-names":false,"suffix":""},{"dropping-particle":"","family":"Khoo","given":"Saye","non-dropping-particle":"","parse-names":false,"suffix":""},{"dropping-particle":"","family":"Klenerman","given":"Paul","non-dropping-particle":"","parse-names":false,"suffix":""},{"dropping-particle":"","family":"Law","given":"Andrew","non-dropping-particle":"","parse-names":false,"suffix":""},{"dropping-particle":"","family":"Lim","given":"Wei Shen","non-dropping-particle":"","parse-names":false,"suffix":""},{"dropping-particle":"","family":"Mentzer","given":"Alexander J","non-dropping-particle":"","parse-names":false,"suffix":""},{"dropping-particle":"","family":"Merson","given":"Laura","non-dropping-particle":"","parse-names":false,"suffix":""},{"dropping-particle":"","family":"Meynert","given":"Alison M","non-dropping-particle":"","parse-names":false,"suffix":""},{"dropping-particle":"","family":"Noursadeghi","given":"Mahdad","non-dropping-particle":"","parse-names":false,"suffix":""},{"dropping-particle":"","family":"Moore","given":"Shona C","non-dropping-particle":"","parse-names":false,"suffix":""},{"dropping-particle":"","family":"Palmarini","given":"Massimo","non-dropping-particle":"","parse-names":false,"suffix":""},{"dropping-particle":"","family":"Paxton","given":"William A","non-dropping-particle":"","parse-names":false,"suffix":""},{"dropping-particle":"","family":"Pollakis","given":"Georgios","non-dropping-particle":"","parse-names":false,"suffix":""},{"dropping-particle":"","family":"Price","given":"Nicholas","non-dropping-particle":"","parse-names":false,"suffix":""},{"dropping-particle":"","family":"Rambaut","given":"Andrew","non-dropping-particle":"","parse-names":false,"suffix":""},{"dropping-particle":"","family":"Robertson","given":"David L","non-dropping-particle":"","parse-names":false,"suffix":""},{"dropping-particle":"","family":"Russell","given":"Clark D","non-dropping-particle":"","parse-names":false,"suffix":""},{"dropping-particle":"","family":"Sancho-Shimizu","given":"Vanessa","non-dropping-particle":"","parse-names":false,"suffix":""},{"dropping-particle":"","family":"Scott","given":"Janet T","non-dropping-particle":"","parse-names":false,"suffix":""},{"dropping-particle":"","family":"Silva","given":"Thushan","non-dropping-particle":"de","parse-names":false,"suffix":""},{"dropping-particle":"","family":"Sigfrid","given":"Louise","non-dropping-particle":"","parse-names":false,"suffix":""},{"dropping-particle":"","family":"Solomon","given":"Tom","non-dropping-particle":"","parse-names":false,"suffix":""},{"dropping-particle":"","family":"Sriskandan","given":"Shiranee","non-dropping-particle":"","parse-names":false,"suffix":""},{"dropping-particle":"","family":"Stuart","given":"David","non-dropping-particle":"","parse-names":false,"suffix":""},{"dropping-particle":"","family":"Summers","given":"Charlotte","non-dropping-particle":"","parse-names":false,"suffix":""},{"dropping-particle":"","family":"Tedder","given":"Richard S","non-dropping-particle":"","parse-names":false,"suffix":""},{"dropping-particle":"","family":"Thomson","given":"Emma C","non-dropping-particle":"","parse-names":false,"suffix":""},{"dropping-particle":"","family":"Thompson","given":"AA Roger","non-dropping-particle":"","parse-names":false,"suffix":""},{"dropping-particle":"","family":"Thwaites","given":"Ryan S","non-dropping-particle":"","parse-names":false,"suffix":""},{"dropping-particle":"","family":"Turtle","given":"Lance CW","non-dropping-particle":"","parse-names":false,"suffix":""},{"dropping-particle":"","family":"Zambon","given":"Maria","non-dropping-particle":"","parse-names":false,"suffix":""},{"dropping-particle":"","family":"Hardwick","given":"Hayley","non-dropping-particle":"","parse-names":false,"suffix":""},{"dropping-particle":"","family":"Donohue","given":"Chloe","non-dropping-particle":"","parse-names":false,"suffix":""},{"dropping-particle":"","family":"Lyons","given":"Ruth","non-dropping-particle":"","parse-names":false,"suffix":""},{"dropping-particle":"","family":"Griffiths","given":"Fiona","non-dropping-particle":"","parse-names":false,"suffix":""},{"dropping-particle":"","family":"Oosthuyzen","given":"Wilna","non-dropping-particle":"","parse-names":false,"suffix":""},{"dropping-particle":"","family":"Norman","given":"Lisa","non-dropping-particle":"","parse-names":false,"suffix":""},{"dropping-particle":"","family":"Pius","given":"Riinu","non-dropping-particle":"","parse-names":false,"suffix":""},{"dropping-particle":"","family":"Drake","given":"Tom M","non-dropping-particle":"","parse-names":false,"suffix":""},{"dropping-particle":"","family":"Fairfield","given":"Cameron J","non-dropping-particle":"","parse-names":false,"suffix":""},{"dropping-particle":"","family":"Knight","given":"Stephen","non-dropping-particle":"","parse-names":false,"suffix":""},{"dropping-particle":"","family":"Mclean","given":"Kenneth A","non-dropping-particle":"","parse-names":false,"suffix":""},{"dropping-particle":"","family":"Murphy","given":"Derek","non-dropping-particle":"","parse-names":false,"suffix":""},{"dropping-particle":"","family":"Shaw","given":"Catherine A","non-dropping-particle":"","parse-names":false,"suffix":""},{"dropping-particle":"","family":"Dalton","given":"Jo","non-dropping-particle":"","parse-names":false,"suffix":""},{"dropping-particle":"","family":"Lee","given":"James","non-dropping-particle":"","parse-names":false,"suffix":""},{"dropping-particle":"","family":"Plotkin","given":"Daniel","non-dropping-particle":"","parse-names":false,"suffix":""},{"dropping-particle":"","family":"Girvan","given":"Michelle","non-dropping-particle":"","parse-names":false,"suffix":""},{"dropping-particle":"","family":"Mullaney","given":"Scott","non-dropping-particle":"","parse-names":false,"suffix":""},{"dropping-particle":"","family":"Petersen","given":"Claire","non-dropping-particle":"","parse-names":false,"suffix":""},{"dropping-particle":"","family":"Saviciute","given":"Egle","non-dropping-particle":"","parse-names":false,"suffix":""},{"dropping-particle":"","family":"Roberts","given":"Stephanie","non-dropping-particle":"","parse-names":false,"suffix":""},{"dropping-particle":"","family":"Harrison","given":"Janet","non-dropping-particle":"","parse-names":false,"suffix":""},{"dropping-particle":"","family":"Marsh","given":"Laura","non-dropping-particle":"","parse-names":false,"suffix":""},{"dropping-particle":"","family":"Connor","given":"Marie","non-dropping-particle":"","parse-names":false,"suffix":""},{"dropping-particle":"","family":"Halpin","given":"Sophie","non-dropping-particle":"","parse-names":false,"suffix":""},{"dropping-particle":"","family":"Jackson","given":"Clare","non-dropping-particle":"","parse-names":false,"suffix":""},{"dropping-particle":"","family":"Gamble","given":"Carrol","non-dropping-particle":"","parse-names":false,"suffix":""},{"dropping-particle":"","family":"Leeming","given":"Gary","non-dropping-particle":"","parse-names":false,"suffix":""},{"dropping-particle":"","family":"Law","given":"Andrew","non-dropping-particle":"","parse-names":false,"suffix":""},{"dropping-particle":"","family":"Wham","given":"Murray","non-dropping-particle":"","parse-names":false,"suffix":""},{"dropping-particle":"","family":"Clohisey","given":"Sara","non-dropping-particle":"","parse-names":false,"suffix":""},{"dropping-particle":"","family":"Hendry","given":"Ross","non-dropping-particle":"","parse-names":false,"suffix":""},{"dropping-particle":"","family":"Scott-Brown","given":"James","non-dropping-particle":"","parse-names":false,"suffix":""},{"dropping-particle":"","family":"Greenhalf","given":"William","non-dropping-particle":"","parse-names":false,"suffix":""},{"dropping-particle":"","family":"Shaw","given":"Victoria","non-dropping-particle":"","parse-names":false,"suffix":""},{"dropping-particle":"","family":"McDonald","given":"Sarah","non-dropping-particle":"","parse-names":false,"suffix":""},{"dropping-particle":"","family":"Keating","given":"Seán","non-dropping-particle":"","parse-names":false,"suffix":""},{"dropping-particle":"","family":"Ahmed","given":"Katie A.","non-dropping-particle":"","parse-names":false,"suffix":""},{"dropping-particle":"","family":"Armstrong","given":"Jane A","non-dropping-particle":"","parse-names":false,"suffix":""},{"dropping-particle":"","family":"Ashworth","given":"Milton","non-dropping-particle":"","parse-names":false,"suffix":""},{"dropping-particle":"","family":"Asiimwe","given":"Innocent G","non-dropping-particle":"","parse-names":false,"suffix":""},{"dropping-particle":"","family":"Bakshi","given":"Siddharth","non-dropping-particle":"","parse-names":false,"suffix":""},{"dropping-particle":"","family":"Barlow","given":"Samantha L","non-dropping-particle":"","parse-names":false,"suffix":""},{"dropping-particle":"","family":"Booth","given":"Laura","non-dropping-particle":"","parse-names":false,"suffix":""},{"dropping-particle":"","family":"Brennan","given":"Benjamin","non-dropping-particle":"","parse-names":false,"suffix":""},{"dropping-particle":"","family":"Bullock","given":"Katie","non-dropping-particle":"","parse-names":false,"suffix":""},{"dropping-particle":"","family":"Catterall","given":"Benjamin WA","non-dropping-particle":"","parse-names":false,"suffix":""},{"dropping-particle":"","family":"Clark","given":"Jordan J","non-dropping-particle":"","parse-names":false,"suffix":""},{"dropping-particle":"","family":"Clarke","given":"Emily A","non-dropping-particle":"","parse-names":false,"suffix":""},{"dropping-particle":"","family":"Cole","given":"Sarah","non-dropping-particle":"","parse-names":false,"suffix":""},{"dropping-particle":"","family":"Cooper","given":"Louise","non-dropping-particle":"","parse-names":false,"suffix":""},{"dropping-particle":"","family":"Cox","given":"Helen","non-dropping-particle":"","parse-names":false,"suffix":""},{"dropping-particle":"","family":"Davis","given":"Christopher","non-dropping-particle":"","parse-names":false,"suffix":""},{"dropping-particle":"","family":"Dincarslan","given":"Oslem","non-dropping-particle":"","parse-names":false,"suffix":""},{"dropping-particle":"","family":"Dunn","given":"Chris","non-dropping-particle":"","parse-names":false,"suffix":""},{"dropping-particle":"","family":"Dyer","given":"Philip","non-dropping-particle":"","parse-names":false,"suffix":""},{"dropping-particle":"","family":"Elliott","given":"Angela","non-dropping-particle":"","parse-names":false,"suffix":""},{"dropping-particle":"","family":"Evans","given":"Anthony","non-dropping-particle":"","parse-names":false,"suffix":""},{"dropping-particle":"","family":"Finch","given":"Lorna","non-dropping-particle":"","parse-names":false,"suffix":""},{"dropping-particle":"","family":"Fisher","given":"Lewis WS","non-dropping-particle":"","parse-names":false,"suffix":""},{"dropping-particle":"","family":"Foster","given":"Terry","non-dropping-particle":"","parse-names":false,"suffix":""},{"dropping-particle":"","family":"Garcia-Dorival","given":"Isabel","non-dropping-particle":"","parse-names":false,"suffix":""},{"dropping-particle":"","family":"Greenhalf","given":"Willliam","non-dropping-particle":"","parse-names":false,"suffix":""},{"dropping-particle":"","family":"Gunning","given":"Philip","non-dropping-particle":"","parse-names":false,"suffix":""},{"dropping-particle":"","family":"Hartley","given":"Catherine","non-dropping-particle":"","parse-names":false,"suffix":""},{"dropping-particle":"","family":"Ho","given":"Antonia","non-dropping-particle":"","parse-names":false,"suffix":""},{"dropping-particle":"","family":"Jensen","given":"Rebecca L","non-dropping-particle":"","parse-names":false,"suffix":""},{"dropping-particle":"","family":"Jones","given":"Christopher B","non-dropping-particle":"","parse-names":false,"suffix":""},{"dropping-particle":"","family":"Jones","given":"Trevor R","non-dropping-particle":"","parse-names":false,"suffix":""},{"dropping-particle":"","family":"Khandaker","given":"Shadia","non-dropping-particle":"","parse-names":false,"suffix":""},{"dropping-particle":"","family":"King","given":"Katharine","non-dropping-particle":"","parse-names":false,"suffix":""},{"dropping-particle":"","family":"Kiy","given":"Robyn T.","non-dropping-particle":"","parse-names":false,"suffix":""},{"dropping-particle":"","family":"Koukorava","given":"Chrysa","non-dropping-particle":"","parse-names":false,"suffix":""},{"dropping-particle":"","family":"Lake","given":"Annette","non-dropping-particle":"","parse-names":false,"suffix":""},{"dropping-particle":"","family":"Lant","given":"Suzannah","non-dropping-particle":"","parse-names":false,"suffix":""},{"dropping-particle":"","family":"Latawiec","given":"Diane","non-dropping-particle":"","parse-names":false,"suffix":""},{"dropping-particle":"","family":"Lavelle-Langham","given":"L","non-dropping-particle":"","parse-names":false,"suffix":""},{"dropping-particle":"","family":"Lefteri","given":"Daniella","non-dropping-particle":"","parse-names":false,"suffix":""},{"dropping-particle":"","family":"Lett","given":"Lauren","non-dropping-particle":"","parse-names":false,"suffix":""},{"dropping-particle":"","family":"Livoti","given":"Lucia A","non-dropping-particle":"","parse-names":false,"suffix":""},{"dropping-particle":"","family":"Mancini","given":"Maria","non-dropping-particle":"","parse-names":false,"suffix":""},{"dropping-particle":"","family":"McDonald","given":"Sarah","non-dropping-particle":"","parse-names":false,"suffix":""},{"dropping-particle":"","family":"McEvoy","given":"Laurence","non-dropping-particle":"","parse-names":false,"suffix":""},{"dropping-particle":"","family":"McLauchlan","given":"John","non-dropping-particle":"","parse-names":false,"suffix":""},{"dropping-particle":"","family":"Metelmann","given":"Soeren","non-dropping-particle":"","parse-names":false,"suffix":""},{"dropping-particle":"","family":"Miah","given":"Nahida S","non-dropping-particle":"","parse-names":false,"suffix":""},{"dropping-particle":"","family":"Middleton","given":"Joanna","non-dropping-particle":"","parse-names":false,"suffix":""},{"dropping-particle":"","family":"Mitchell","given":"Joyce","non-dropping-particle":"","parse-names":false,"suffix":""},{"dropping-particle":"","family":"Moore","given":"Shona C","non-dropping-particle":"","parse-names":false,"suffix":""},{"dropping-particle":"","family":"Murphy","given":"Ellen G","non-dropping-particle":"","parse-names":false,"suffix":""},{"dropping-particle":"","family":"Penrice-Randal","given":"Rebekah","non-dropping-particle":"","parse-names":false,"suffix":""},{"dropping-particle":"","family":"Pilgrim","given":"Jack","non-dropping-particle":"","parse-names":false,"suffix":""},{"dropping-particle":"","family":"Prince","given":"Tessa","non-dropping-particle":"","parse-names":false,"suffix":""},{"dropping-particle":"","family":"Reynolds","given":"Will","non-dropping-particle":"","parse-names":false,"suffix":""},{"dropping-particle":"","family":"Ridley","given":"P. Matthew","non-dropping-particle":"","parse-names":false,"suffix":""},{"dropping-particle":"","family":"Sales","given":"Debby","non-dropping-particle":"","parse-names":false,"suffix":""},{"dropping-particle":"","family":"Shaw","given":"Victoria E","non-dropping-particle":"","parse-names":false,"suffix":""},{"dropping-particle":"","family":"Shears","given":"Rebecca K","non-dropping-particle":"","parse-names":false,"suffix":""},{"dropping-particle":"","family":"Small","given":"Benjamin","non-dropping-particle":"","parse-names":false,"suffix":""},{"dropping-particle":"","family":"Subramaniam","given":"Krishanthi S","non-dropping-particle":"","parse-names":false,"suffix":""},{"dropping-particle":"","family":"Szemiel","given":"Agnieska","non-dropping-particle":"","parse-names":false,"suffix":""},{"dropping-particle":"","family":"Taggart","given":"Aislynn","non-dropping-particle":"","parse-names":false,"suffix":""},{"dropping-particle":"","family":"Tanianis-Hughes","given":"Jolanta","non-dropping-particle":"","parse-names":false,"suffix":""},{"dropping-particle":"","family":"Thomas","given":"Jordan","non-dropping-particle":"","parse-names":false,"suffix":""},{"dropping-particle":"","family":"Trochu","given":"Erwan","non-dropping-particle":"","parse-names":false,"suffix":""},{"dropping-particle":"","family":"Tonder","given":"Libby","non-dropping-particle":"van","parse-names":false,"suffix":""},{"dropping-particle":"","family":"Wilcock","given":"Eve","non-dropping-particle":"","parse-names":false,"suffix":""},{"dropping-particle":"","family":"Zhang","given":"J. Eunice","non-dropping-particle":"","parse-names":false,"suffix":""},{"dropping-particle":"","family":"Adeniji","given":"Kayode","non-dropping-particle":"","parse-names":false,"suffix":""},{"dropping-particle":"","family":"Agranoff","given":"Daniel","non-dropping-particle":"","parse-names":false,"suffix":""},{"dropping-particle":"","family":"Agwuh","given":"Ken","non-dropping-particle":"","parse-names":false,"suffix":""},{"dropping-particle":"","family":"Ail","given":"Dhiraj","non-dropping-particle":"","parse-names":false,"suffix":""},{"dropping-particle":"","family":"Alegria","given":"Ana","non-dropping-particle":"","parse-names":false,"suffix":""},{"dropping-particle":"","family":"Angus","given":"Brian","non-dropping-particle":"","parse-names":false,"suffix":""},{"dropping-particle":"","family":"Ashish","given":"Abdul","non-dropping-particle":"","parse-names":false,"suffix":""},{"dropping-particle":"","family":"Atkinson","given":"Dougal","non-dropping-particle":"","parse-names":false,"suffix":""},{"dropping-particle":"","family":"Bari","given":"Shahedal","non-dropping-particle":"","parse-names":false,"suffix":""},{"dropping-particle":"","family":"Barlow","given":"Gavin","non-dropping-particle":"","parse-names":false,"suffix":""},{"dropping-particle":"","family":"Barnass","given":"Stella","non-dropping-particle":"","parse-names":false,"suffix":""},{"dropping-particle":"","family":"Barrett","given":"Nicholas","non-dropping-particle":"","parse-names":false,"suffix":""},{"dropping-particle":"","family":"Bassford","given":"Christopher","non-dropping-particle":"","parse-names":false,"suffix":""},{"dropping-particle":"","family":"Baxter","given":"David","non-dropping-particle":"","parse-names":false,"suffix":""},{"dropping-particle":"","family":"Beadsworth","given":"Michael","non-dropping-particle":"","parse-names":false,"suffix":""},{"dropping-particle":"","family":"Bernatoniene","given":"Jolanta","non-dropping-particle":"","parse-names":false,"suffix":""},{"dropping-particle":"","family":"Berridge","given":"John","non-dropping-particle":"","parse-names":false,"suffix":""},{"dropping-particle":"","family":"Best","given":"Nicola","non-dropping-particle":"","parse-names":false,"suffix":""},{"dropping-particle":"","family":"Bothma","given":"Pieter","non-dropping-particle":"","parse-names":false,"suffix":""},{"dropping-particle":"","family":"Brealey","given":"David","non-dropping-particle":"","parse-names":false,"suffix":""},{"dropping-particle":"","family":"Brittain-Long","given":"Robin","non-dropping-particle":"","parse-names":false,"suffix":""},{"dropping-particle":"","family":"Bulteel","given":"Naomi","non-dropping-particle":"","parse-names":false,"suffix":""},{"dropping-particle":"","family":"Burden","given":"Tom","non-dropping-particle":"","parse-names":false,"suffix":""},{"dropping-particle":"","family":"Burtenshaw","given":"Andrew","non-dropping-particle":"","parse-names":false,"suffix":""},{"dropping-particle":"","family":"Caruth","given":"Vikki","non-dropping-particle":"","parse-names":false,"suffix":""},{"dropping-particle":"","family":"Chadwick","given":"David","non-dropping-particle":"","parse-names":false,"suffix":""},{"dropping-particle":"","family":"Chambler","given":"Duncan","non-dropping-particle":"","parse-names":false,"suffix":""},{"dropping-particle":"","family":"Chee","given":"Nigel","non-dropping-particle":"","parse-names":false,"suffix":""},{"dropping-particle":"","family":"Child","given":"Jenny","non-dropping-particle":"","parse-names":false,"suffix":""},{"dropping-particle":"","family":"Chukkambotla","given":"Srikanth","non-dropping-particle":"","parse-names":false,"suffix":""},{"dropping-particle":"","family":"Clark","given":"Tom","non-dropping-particle":"","parse-names":false,"suffix":""},{"dropping-particle":"","family":"Collini","given":"Paul","non-dropping-particle":"","parse-names":false,"suffix":""},{"dropping-particle":"","family":"Cosgrove","given":"Catherine","non-dropping-particle":"","parse-names":false,"suffix":""},{"dropping-particle":"","family":"Cupitt","given":"Jason","non-dropping-particle":"","parse-names":false,"suffix":""},{"dropping-particle":"","family":"Cutino-Moguel","given":"Maria-Teresa","non-dropping-particle":"","parse-names":false,"suffix":""},{"dropping-particle":"","family":"Dark","given":"Paul","non-dropping-particle":"","parse-names":false,"suffix":""},{"dropping-particle":"","family":"Dawson","given":"Chris","non-dropping-particle":"","parse-names":false,"suffix":""},{"dropping-particle":"","family":"Dervisevic","given":"Samir","non-dropping-particle":"","parse-names":false,"suffix":""},{"dropping-particle":"","family":"Donnison","given":"Phil","non-dropping-particle":"","parse-names":false,"suffix":""},{"dropping-particle":"","family":"Douthwaite","given":"Sam","non-dropping-particle":"","parse-names":false,"suffix":""},{"dropping-particle":"","family":"DuRand","given":"Ingrid","non-dropping-particle":"","parse-names":false,"suffix":""},{"dropping-particle":"","family":"Dushianthan","given":"Ahilanadan","non-dropping-particle":"","parse-names":false,"suffix":""},{"dropping-particle":"","family":"Dyer","given":"Tristan","non-dropping-particle":"","parse-names":false,"suffix":""},{"dropping-particle":"","family":"Evans","given":"Cariad","non-dropping-particle":"","parse-names":false,"suffix":""},{"dropping-particle":"","family":"Eziefula","given":"Chi","non-dropping-particle":"","parse-names":false,"suffix":""},{"dropping-particle":"","family":"Fegan","given":"Chrisopher","non-dropping-particle":"","parse-names":false,"suffix":""},{"dropping-particle":"","family":"Finn","given":"Adam","non-dropping-particle":"","parse-names":false,"suffix":""},{"dropping-particle":"","family":"Fullerton","given":"Duncan","non-dropping-particle":"","parse-names":false,"suffix":""},{"dropping-particle":"","family":"Garg","given":"Sanjeev","non-dropping-particle":"","parse-names":false,"suffix":""},{"dropping-particle":"","family":"Garg","given":"Sanjeev","non-dropping-particle":"","parse-names":false,"suffix":""},{"dropping-particle":"","family":"Garg","given":"Atul","non-dropping-particle":"","parse-names":false,"suffix":""},{"dropping-particle":"","family":"Gkrania-Klotsas","given":"Effrossyni","non-dropping-particle":"","parse-names":false,"suffix":""},{"dropping-particle":"","family":"Godden","given":"Jo","non-dropping-particle":"","parse-names":false,"suffix":""},{"dropping-particle":"","family":"Goldsmith","given":"Arthur","non-dropping-particle":"","parse-names":false,"suffix":""},{"dropping-particle":"","family":"Graham","given":"Clive","non-dropping-particle":"","parse-names":false,"suffix":""},{"dropping-particle":"","family":"Hardy","given":"Elaine","non-dropping-particle":"","parse-names":false,"suffix":""},{"dropping-particle":"","family":"Hartshorn","given":"Stuart","non-dropping-particle":"","parse-names":false,"suffix":""},{"dropping-particle":"","family":"Harvey","given":"Daniel","non-dropping-particle":"","parse-names":false,"suffix":""},{"dropping-particle":"","family":"Havalda","given":"Peter","non-dropping-particle":"","parse-names":false,"suffix":""},{"dropping-particle":"","family":"Hawcutt","given":"Daniel B","non-dropping-particle":"","parse-names":false,"suffix":""},{"dropping-particle":"","family":"Hobrok","given":"Maria","non-dropping-particle":"","parse-names":false,"suffix":""},{"dropping-particle":"","family":"Hodgson","given":"Luke","non-dropping-particle":"","parse-names":false,"suffix":""},{"dropping-particle":"","family":"Hormis","given":"Anil","non-dropping-particle":"","parse-names":false,"suffix":""},{"dropping-particle":"","family":"Jacobs","given":"Michael","non-dropping-particle":"","parse-names":false,"suffix":""},{"dropping-particle":"","family":"Jain","given":"Susan","non-dropping-particle":"","parse-names":false,"suffix":""},{"dropping-particle":"","family":"Jennings","given":"Paul","non-dropping-particle":"","parse-names":false,"suffix":""},{"dropping-particle":"","family":"Kaliappan","given":"Agilan","non-dropping-particle":"","parse-names":false,"suffix":""},{"dropping-particle":"","family":"Kasipandian","given":"Vidya","non-dropping-particle":"","parse-names":false,"suffix":""},{"dropping-particle":"","family":"Kegg","given":"Stephen","non-dropping-particle":"","parse-names":false,"suffix":""},{"dropping-particle":"","family":"Kelsey","given":"Michael","non-dropping-particle":"","parse-names":false,"suffix":""},{"dropping-particle":"","family":"Kendall","given":"Jason","non-dropping-particle":"","parse-names":false,"suffix":""},{"dropping-particle":"","family":"Kerrison","given":"Caroline","non-dropping-particle":"","parse-names":false,"suffix":""},{"dropping-particle":"","family":"Kerslake","given":"Ian","non-dropping-particle":"","parse-names":false,"suffix":""},{"dropping-particle":"","family":"Koch","given":"Oliver","non-dropping-particle":"","parse-names":false,"suffix":""},{"dropping-particle":"","family":"Koduri","given":"Gouri","non-dropping-particle":"","parse-names":false,"suffix":""},{"dropping-particle":"","family":"Koshy","given":"George","non-dropping-particle":"","parse-names":false,"suffix":""},{"dropping-particle":"","family":"Laha","given":"Shondipon","non-dropping-particle":"","parse-names":false,"suffix":""},{"dropping-particle":"","family":"Laird","given":"Steven","non-dropping-particle":"","parse-names":false,"suffix":""},{"dropping-particle":"","family":"Larkin","given":"Susan","non-dropping-particle":"","parse-names":false,"suffix":""},{"dropping-particle":"","family":"Leiner","given":"Tamas","non-dropping-particle":"","parse-names":false,"suffix":""},{"dropping-particle":"","family":"Lillie","given":"Patrick","non-dropping-particle":"","parse-names":false,"suffix":""},{"dropping-particle":"","family":"Limb","given":"James","non-dropping-particle":"","parse-names":false,"suffix":""},{"dropping-particle":"","family":"Linnett","given":"Vanessa","non-dropping-particle":"","parse-names":false,"suffix":""},{"dropping-particle":"","family":"Little","given":"Jeff","non-dropping-particle":"","parse-names":false,"suffix":""},{"dropping-particle":"","family":"MacMahon","given":"Michael","non-dropping-particle":"","parse-names":false,"suffix":""},{"dropping-particle":"","family":"MacNaughton","given":"Emily","non-dropping-particle":"","parse-names":false,"suffix":""},{"dropping-particle":"","family":"Mankregod","given":"Ravish","non-dropping-particle":"","parse-names":false,"suffix":""},{"dropping-particle":"","family":"Masson","given":"Huw","non-dropping-particle":"","parse-names":false,"suffix":""},{"dropping-particle":"","family":"Matovu","given":"Elijah","non-dropping-particle":"","parse-names":false,"suffix":""},{"dropping-particle":"","family":"McCullough","given":"Katherine","non-dropping-particle":"","parse-names":false,"suffix":""},{"dropping-particle":"","family":"McEwen","given":"Ruth","non-dropping-particle":"","parse-names":false,"suffix":""},{"dropping-particle":"","family":"Meda","given":"Manjula","non-dropping-particle":"","parse-names":false,"suffix":""},{"dropping-particle":"","family":"Mills","given":"Gary","non-dropping-particle":"","parse-names":false,"suffix":""},{"dropping-particle":"","family":"Minton","given":"Jane","non-dropping-particle":"","parse-names":false,"suffix":""},{"dropping-particle":"","family":"Mirfenderesky","given":"Mariyam","non-dropping-particle":"","parse-names":false,"suffix":""},{"dropping-particle":"","family":"Mohandas","given":"Kavya","non-dropping-particle":"","parse-names":false,"suffix":""},{"dropping-particle":"","family":"Mok","given":"Quen","non-dropping-particle":"","parse-names":false,"suffix":""},{"dropping-particle":"","family":"Moon","given":"James","non-dropping-particle":"","parse-names":false,"suffix":""},{"dropping-particle":"","family":"Moore","given":"Elinoor","non-dropping-particle":"","parse-names":false,"suffix":""},{"dropping-particle":"","family":"Morgan","given":"Patrick","non-dropping-particle":"","parse-names":false,"suffix":""},{"dropping-particle":"","family":"Morris","given":"Craig","non-dropping-particle":"","parse-names":false,"suffix":""},{"dropping-particle":"","family":"Mortimore","given":"Katherine","non-dropping-particle":"","parse-names":false,"suffix":""},{"dropping-particle":"","family":"Moses","given":"Samuel","non-dropping-particle":"","parse-names":false,"suffix":""},{"dropping-particle":"","family":"Mpenge","given":"Mbiye","non-dropping-particle":"","parse-names":false,"suffix":""},{"dropping-particle":"","family":"Mulla","given":"Rohinton","non-dropping-particle":"","parse-names":false,"suffix":""},{"dropping-particle":"","family":"Murphy","given":"Michael","non-dropping-particle":"","parse-names":false,"suffix":""},{"dropping-particle":"","family":"Nagel","given":"Megan","non-dropping-particle":"","parse-names":false,"suffix":""},{"dropping-particle":"","family":"Nagarajan","given":"Thapas","non-dropping-particle":"","parse-names":false,"suffix":""},{"dropping-particle":"","family":"Nelson","given":"Mark","non-dropping-particle":"","parse-names":false,"suffix":""},{"dropping-particle":"","family":"Otahal","given":"Igor","non-dropping-particle":"","parse-names":false,"suffix":""},{"dropping-particle":"","family":"Pais","given":"Mark","non-dropping-particle":"","parse-names":false,"suffix":""},{"dropping-particle":"","family":"Panchatsharam","given":"Selva","non-dropping-particle":"","parse-names":false,"suffix":""},{"dropping-particle":"","family":"Paraiso","given":"Hassan","non-dropping-particle":"","parse-names":false,"suffix":""},{"dropping-particle":"","family":"Patel","given":"Brij","non-dropping-particle":"","parse-names":false,"suffix":""},{"dropping-particle":"","family":"Pattison","given":"Natalie","non-dropping-particle":"","parse-names":false,"suffix":""},{"dropping-particle":"","family":"Pepperell","given":"Justin","non-dropping-particle":"","parse-names":false,"suffix":""},{"dropping-particle":"","family":"Peters","given":"Mark","non-dropping-particle":"","parse-names":false,"suffix":""},{"dropping-particle":"","family":"Phull","given":"Mandeep","non-dropping-particle":"","parse-names":false,"suffix":""},{"dropping-particle":"","family":"Pintus","given":"Stefania","non-dropping-particle":"","parse-names":false,"suffix":""},{"dropping-particle":"","family":"Pooni","given":"Jagtur Singh","non-dropping-particle":"","parse-names":false,"suffix":""},{"dropping-particle":"","family":"Post","given":"Frank","non-dropping-particle":"","parse-names":false,"suffix":""},{"dropping-particle":"","family":"Price","given":"David","non-dropping-particle":"","parse-names":false,"suffix":""},{"dropping-particle":"","family":"Prout","given":"Rachel","non-dropping-particle":"","parse-names":false,"suffix":""},{"dropping-particle":"","family":"Rae","given":"Nikolas","non-dropping-particle":"","parse-names":false,"suffix":""},{"dropping-particle":"","family":"Reschreiter","given":"Henrik","non-dropping-particle":"","parse-names":false,"suffix":""},{"dropping-particle":"","family":"Reynolds","given":"Tim","non-dropping-particle":"","parse-names":false,"suffix":""},{"dropping-particle":"","family":"Richardson","given":"Neil","non-dropping-particle":"","parse-names":false,"suffix":""},{"dropping-particle":"","family":"Roberts","given":"Mark","non-dropping-particle":"","parse-names":false,"suffix":""},{"dropping-particle":"","family":"Roberts","given":"Devender","non-dropping-particle":"","parse-names":false,"suffix":""},{"dropping-particle":"","family":"Rose","given":"Alistair","non-dropping-particle":"","parse-names":false,"suffix":""},{"dropping-particle":"","family":"Rousseau","given":"Guy","non-dropping-particle":"","parse-names":false,"suffix":""},{"dropping-particle":"","family":"Ryan","given":"Brendan","non-dropping-particle":"","parse-names":false,"suffix":""},{"dropping-particle":"","family":"Saluja","given":"Taranprit","non-dropping-particle":"","parse-names":false,"suffix":""},{"dropping-particle":"","family":"Shah","given":"Aarti","non-dropping-particle":"","parse-names":false,"suffix":""},{"dropping-particle":"","family":"Shanmuga","given":"Prad","non-dropping-particle":"","parse-names":false,"suffix":""},{"dropping-particle":"","family":"Sharma","given":"Anil","non-dropping-particle":"","parse-names":false,"suffix":""},{"dropping-particle":"","family":"Shawcross","given":"Anna","non-dropping-particle":"","parse-names":false,"suffix":""},{"dropping-particle":"","family":"Sizer","given":"Jeremy","non-dropping-particle":"","parse-names":false,"suffix":""},{"dropping-particle":"","family":"Shankar-Hari","given":"Manu","non-dropping-particle":"","parse-names":false,"suffix":""},{"dropping-particle":"","family":"Smith","given":"Richard","non-dropping-particle":"","parse-names":false,"suffix":""},{"dropping-particle":"","family":"Snelson","given":"Catherine","non-dropping-particle":"","parse-names":false,"suffix":""},{"dropping-particle":"","family":"Spittle","given":"Nick","non-dropping-particle":"","parse-names":false,"suffix":""},{"dropping-particle":"","family":"Staines","given":"Nikki","non-dropping-particle":"","parse-names":false,"suffix":""},{"dropping-particle":"","family":"Stambach","given":"Tom","non-dropping-particle":"","parse-names":false,"suffix":""},{"dropping-particle":"","family":"Stewart","given":"Richard","non-dropping-particle":"","parse-names":false,"suffix":""},{"dropping-particle":"","family":"Subudhi","given":"Pradeep","non-dropping-particle":"","parse-names":false,"suffix":""},{"dropping-particle":"","family":"Szakmany","given":"Tamas","non-dropping-particle":"","parse-names":false,"suffix":""},{"dropping-particle":"","family":"Tatham","given":"Kate","non-dropping-particle":"","parse-names":false,"suffix":""},{"dropping-particle":"","family":"Thomas","given":"Jo","non-dropping-particle":"","parse-names":false,"suffix":""},{"dropping-particle":"","family":"Thompson","given":"Chris","non-dropping-particle":"","parse-names":false,"suffix":""},{"dropping-particle":"","family":"Thompson","given":"Robert","non-dropping-particle":"","parse-names":false,"suffix":""},{"dropping-particle":"","family":"Tridente","given":"Ascanio","non-dropping-particle":"","parse-names":false,"suffix":""},{"dropping-particle":"","family":"Tupper-Carey","given":"Darell","non-dropping-particle":"","parse-names":false,"suffix":""},{"dropping-particle":"","family":"Twagira","given":"Mary","non-dropping-particle":"","parse-names":false,"suffix":""},{"dropping-particle":"","family":"Ustianowski","given":"Andrew","non-dropping-particle":"","parse-names":false,"suffix":""},{"dropping-particle":"","family":"Vallotton","given":"Nick","non-dropping-particle":"","parse-names":false,"suffix":""},{"dropping-particle":"","family":"Vincent-Smith","given":"Lisa","non-dropping-particle":"","parse-names":false,"suffix":""},{"dropping-particle":"","family":"Visuvanathan","given":"Shico","non-dropping-particle":"","parse-names":false,"suffix":""},{"dropping-particle":"","family":"Vuylsteke","given":"Alan","non-dropping-particle":"","parse-names":false,"suffix":""},{"dropping-particle":"","family":"Waddy","given":"Sam","non-dropping-particle":"","parse-names":false,"suffix":""},{"dropping-particle":"","family":"Wake","given":"Rachel","non-dropping-particle":"","parse-names":false,"suffix":""},{"dropping-particle":"","family":"Walden","given":"Andrew","non-dropping-particle":"","parse-names":false,"suffix":""},{"dropping-particle":"","family":"Welters","given":"Ingeborg","non-dropping-particle":"","parse-names":false,"suffix":""},{"dropping-particle":"","family":"Whitehouse","given":"Tony","non-dropping-particle":"","parse-names":false,"suffix":""},{"dropping-particle":"","family":"Whittaker","given":"Paul","non-dropping-particle":"","parse-names":false,"suffix":""},{"dropping-particle":"","family":"Whittington","given":"Ashley","non-dropping-particle":"","parse-names":false,"suffix":""},{"dropping-particle":"","family":"Wijesinghe","given":"Meme","non-dropping-particle":"","parse-names":false,"suffix":""},{"dropping-particle":"","family":"Williams","given":"Martin","non-dropping-particle":"","parse-names":false,"suffix":""},{"dropping-particle":"","family":"Wilson","given":"Lawrence","non-dropping-particle":"","parse-names":false,"suffix":""},{"dropping-particle":"","family":"Wilson","given":"Sarah","non-dropping-particle":"","parse-names":false,"suffix":""},{"dropping-particle":"","family":"Winchester","given":"Stephen","non-dropping-particle":"","parse-names":false,"suffix":""},{"dropping-particle":"","family":"Wiselka","given":"Martin","non-dropping-particle":"","parse-names":false,"suffix":""},{"dropping-particle":"","family":"Wolverson","given":"Adam","non-dropping-particle":"","parse-names":false,"suffix":""},{"dropping-particle":"","family":"Wooton","given":"Daniel G","non-dropping-particle":"","parse-names":false,"suffix":""},{"dropping-particle":"","family":"Workman","given":"Andrew","non-dropping-particle":"","parse-names":false,"suffix":""},{"dropping-particle":"","family":"Yates","given":"Bryan","non-dropping-particle":"","parse-names":false,"suffix":""},{"dropping-particle":"","family":"Young","given":"Peter","non-dropping-particle":"","parse-names":false,"suffix":""}],"container-title":"The Lancet Respiratory Medicine","id":"ITEM-1","issue":"20","issued":{"date-parts":[["2021"]]},"title":"Development and validation of the ISARIC 4C Deterioration model for adults hospitalised with COVID-19: a prospective cohort study","type":"article-journal","volume":"2600"},"uris":["http://www.mendeley.com/documents/?uuid=d580d92d-63f9-4503-a821-aa1d38d6e925"]},{"id":"ITEM-2","itemData":{"DOI":"10.1001/jama.2020.5394","ISSN":"0098-7484","abstract":"Importance In December 2019, a novel coronavirus (severe acute respiratory syndrome coronavirus 2 [SARS-CoV-2]) emerged in China and has spread globally, creating a pandemic. Information about the clinical characteristics of infected patients who require intensive care is limited. Objective To characterize patients with coronavirus disease 2019 (COVID-19) requiring treatment in an intensive care unit (ICU) in the Lombardy region of Italy. Design, Setting, and Participants Retrospective case series of 1591 consecutive patients with laboratory-confirmed COVID-19 referred for ICU admission to the coordinator center (Fondazione IRCCS Ca’ Granda Ospedale Maggiore Policlinico, Milan, Italy) of the COVID-19 Lombardy ICU Network and treated at one of the ICUs of the 72 hospitals in this network between February 20 and March 18, 2020. Date of final follow-up was March 25, 2020. Exposures SARS-CoV-2 infection confirmed by real-time reverse transcriptase–polymerase chain reaction (RT-PCR) assay of nasal and pharyngeal swabs. Main Outcomes and Measures Demographic and clinical data were collected, including data on clinical management, respiratory failure, and patient mortality. Data were recorded by the coordinator center on an electronic worksheet during telephone calls by the staff of the COVID-19 Lombardy ICU Network. Results Of the 1591 patients included in the study, the median (IQR) age was 63 (56-70) years and 1304 (82%) were male. Of the 1043 patients with available data, 709 (68%) had at least 1 comorbidity and 509 (49%) had hypertension. Among 1300 patients with available respiratory support data, 1287 (99% [95% CI, 98%-99%]) needed respiratory support, including 1150 (88% [95% CI, 87%-90%]) who received mechanical ventilation and 137 (11% [95% CI, 9%-12%]) who received noninvasive ventilation. The median positive end-expiratory pressure (PEEP) was 14 (IQR, 12-16) cm H2O, and Fio2 was greater than 50% in 89% of patients. The median Pao2/Fio2 was 160 (IQR, 114-220). The median PEEP level was not different between younger patients (n = 503 aged ≤63 years) and older patients (n = 514 aged ≥64 years) (14 [IQR, 12-15] vs 14 [IQR, 12-16] cm H2O, respectively; median difference, 0 [95% CI, 0-0]; P = .94). Median Fio2 was lower in younger patients: 60% (IQR, 50%-80%) vs 70% (IQR, 50%-80%) (median difference, −10% [95% CI, −14% to 6%]; P = .006), and median Pao2/Fio2 was higher in younger patients: 163.5 (IQR, 120-230) vs 156 (IQR, 110-205) (median difference, 7 …","author":[{"dropping-particle":"","family":"Grasselli","given":"Giacomo","non-dropping-particle":"","parse-names":false,"suffix":""},{"dropping-particle":"","family":"Zangrillo","given":"Alberto","non-dropping-particle":"","parse-names":false,"suffix":""},{"dropping-particle":"","family":"Zanella","given":"Alberto","non-dropping-particle":"","parse-names":false,"suffix":""},{"dropping-particle":"","family":"Antonelli","given":"Massimo","non-dropping-particle":"","parse-names":false,"suffix":""},{"dropping-particle":"","family":"Cabrini","given":"Luca","non-dropping-particle":"","parse-names":false,"suffix":""},{"dropping-particle":"","family":"Castelli","given":"Antonio","non-dropping-particle":"","parse-names":false,"suffix":""},{"dropping-particle":"","family":"Cereda","given":"Danilo","non-dropping-particle":"","parse-names":false,"suffix":""},{"dropping-particle":"","family":"Coluccello","given":"Antonio","non-dropping-particle":"","parse-names":false,"suffix":""},{"dropping-particle":"","family":"Foti","given":"Giuseppe","non-dropping-particle":"","parse-names":false,"suffix":""},{"dropping-particle":"","family":"Fumagalli","given":"Roberto","non-dropping-particle":"","parse-names":false,"suffix":""},{"dropping-particle":"","family":"Iotti","given":"Giorgio","non-dropping-particle":"","parse-names":false,"suffix":""},{"dropping-particle":"","family":"Latronico","given":"Nicola","non-dropping-particle":"","parse-names":false,"suffix":""},{"dropping-particle":"","family":"Lorini","given":"Luca","non-dropping-particle":"","parse-names":false,"suffix":""},{"dropping-particle":"","family":"Merler","given":"Stefano","non-dropping-particle":"","parse-names":false,"suffix":""},{"dropping-particle":"","family":"Natalini","given":"Giuseppe","non-dropping-particle":"","parse-names":false,"suffix":""},{"dropping-particle":"","family":"Piatti","given":"Alessandra","non-dropping-particle":"","parse-names":false,"suffix":""},{"dropping-particle":"","family":"Ranieri","given":"Marco Vito","non-dropping-particle":"","parse-names":false,"suffix":""},{"dropping-particle":"","family":"Scandroglio","given":"Anna Mara","non-dropping-particle":"","parse-names":false,"suffix":""},{"dropping-particle":"","family":"Storti","given":"Enrico","non-dropping-particle":"","parse-names":false,"suffix":""},{"dropping-particle":"","family":"Cecconi","given":"Maurizio","non-dropping-particle":"","parse-names":false,"suffix":""},{"dropping-particle":"","family":"Pesenti","given":"Antonio","non-dropping-particle":"","parse-names":false,"suffix":""}],"container-title":"JAMA","id":"ITEM-2","issue":"16","issued":{"date-parts":[["2020","4","28"]]},"page":"1574","title":"Baseline Characteristics and Outcomes of 1591 Patients Infected With SARS-CoV-2 Admitted to ICUs of the Lombardy Region, Italy","type":"article-journal","volume":"323"},"uris":["http://www.mendeley.com/documents/?uuid=e8037bc3-4407-4371-8fb3-0b43ec50224f"]},{"id":"ITEM-3","itemData":{"DOI":"10.1016/j.jinf.2020.09.033","ISSN":"15322742","PMID":"32998038","abstract":"Objectives: Most reports describing the characteristics of patients hospitalised with COVID-19 lack a comparator group. We compared clinical characteristics, symptoms, and outcomes of adults presenting to hospital during the pandemic first wave, who tested positive and negative for SARS-CoV-2. Methods: Detailed patient data was obtained from a large, controlled, non-randomised trial of molecular point-of-care testing versus laboratory RT-PCR for SARS-CoV-2 in adults presenting to a large UK hospital with suspected COVID-19. Results: 1054 patients were included: 352 (33.4%) tested positive and 702 (66.6%) negative. 13.4% (47/352) COVID-19-positive patients had COPD versus 18.7% (131/702) of COVID-19-negative patients (difference=5.3% [95%CI −9.7% to −0.5%], p = 0.0297). 5.7% (20/352) of COVID-19-positive patients were smokers versus 16.5% (116/702) of negative patients (difference=−10.8% [−14.4% to −7.0%], p = 0.0001). 70.5% (248/352) of COVID-19-positive patients were White-British versus 85.5% (600/702) of negative patients (difference=−15.0% [−20.5% to −9.7%], p&lt;0.0001). 20.9% (39/187) of COVID-19-positive patients were healthcare workers versus 5.2% (15/287) of negative patients (p&lt;0.0001). Anosmia was reported in 33.1% (47/142) versus 8.8% (19/216) of COVID-19-positive and negative patients respectively (p&lt;0.0001). Non-SARS-CoV-2 respiratory viruses or atypical bacteria were detected in 2.5% (5/197) of COVID-19 patients versus 7.9% (24/302) of COVID-19-negative patients (p = 0.0109). Hospitalisation duration and 30-day-mortality were higher in COVID-19 patients and invasive ventilation was more frequent (11.1% vs 2.8%, p&lt;0.0001), and longer (14.5 vs 4.7 days, p = 0.0015). Conclusions: There were substantial differences between patients with and without COVID-19 in terms of ethnicity, healthcare worker-status, comorbidities, symptoms, and outcomes. These data can inform healthcare planning for the next phase of the pandemic.","author":[{"dropping-particle":"","family":"Brendish","given":"Nathan J.","non-dropping-particle":"","parse-names":false,"suffix":""},{"dropping-particle":"","family":"Poole","given":"Stephen","non-dropping-particle":"","parse-names":false,"suffix":""},{"dropping-particle":"V.","family":"Naidu","given":"Vasanth","non-dropping-particle":"","parse-names":false,"suffix":""},{"dropping-particle":"","family":"Mansbridge","given":"Christopher T.","non-dropping-particle":"","parse-names":false,"suffix":""},{"dropping-particle":"","family":"Norton","given":"Nicholas","non-dropping-particle":"","parse-names":false,"suffix":""},{"dropping-particle":"","family":"Borca","given":"Florina","non-dropping-particle":"","parse-names":false,"suffix":""},{"dropping-particle":"","family":"Phan","given":"Hang TT","non-dropping-particle":"","parse-names":false,"suffix":""},{"dropping-particle":"","family":"Wheeler","given":"Helen","non-dropping-particle":"","parse-names":false,"suffix":""},{"dropping-particle":"","family":"Harvey","given":"Matthew","non-dropping-particle":"","parse-names":false,"suffix":""},{"dropping-particle":"","family":"Presland","given":"Laura","non-dropping-particle":"","parse-names":false,"suffix":""},{"dropping-particle":"","family":"Clark","given":"Tristan W.","non-dropping-particle":"","parse-names":false,"suffix":""}],"container-title":"Journal of Infection","id":"ITEM-3","issue":"6","issued":{"date-parts":[["2020"]]},"page":"937-943","publisher":"Elsevier Ltd","title":"Clinical characteristics, symptoms and outcomes of 1054 adults presenting to hospital with suspected COVID-19: A comparison of patients with and without SARS-CoV-2 infection","type":"article-journal","volume":"81"},"uris":["http://www.mendeley.com/documents/?uuid=96440eb9-5c40-4005-adaa-71b6840d670c"]},{"id":"ITEM-4","itemData":{"DOI":"10.1371/journal.pone.0241955","ISBN":"1111111111","ISSN":"19326203","PMID":"33201896","abstract":"Background and purpose The objective of our systematic review is to identify prognostic factors that may be used in decision-making related to the care of patients infected with COVID-19. Data sources We conducted highly sensitive searches in PubMed/MEDLINE, the Cochrane Central Register of Controlled Trials (CENTRAL) and Embase. The searches covered the period from the inception date of each database until April 28, 2020. No study design, publication status or language restriction were applied. Study selection and data extraction We included studies that assessed patients with confirmed or suspected SARS-CoV-2 infectious disease and examined one or more prognostic factors for mortality or disease severity. Reviewers working in pairs independently screened studies for eligibility, extracted data and assessed the risk of bias. We performed meta-analyses and used GRADE to assess the certainty of the evidence for each prognostic factor and outcome. Results We included 207 studies and found high or moderate certainty that the following 49 variables provide valuable prognostic information on mortality and/or severe disease in patients with COVID-19 infectious disease: Demographic factors (age, male sex, smoking), patient history factors (comorbidities, cerebrovascular disease, chronic obstructive pulmonary disease, chronic kidney disease, cardiovascular disease, cardiac arrhythmia, arterial hypertension, diabetes, dementia, cancer and dyslipidemia), physical examination factors (respiratory failure, low blood pressure, hypoxemia, tachycardia, dyspnea, anorexia, tachypnea, haemoptysis, abdominal pain, fatigue, fever and myalgia or arthralgia), laboratory factors (high blood procalcitonin, myocardial injury markers, high blood White Blood Cell count (WBC), high blood lactate, low blood platelet count, plasma creatinine increase, high blood D-dimer, high blood lactate dehydrogenase (LDH), high blood C-reactive protein (CRP), decrease in lymphocyte count, high blood aspartate aminotransferase (AST), decrease in blood albumin, high blood interleukin-6 (IL-6), high blood neutrophil count, high blood B-type natriuretic peptide (BNP), high blood urea nitrogen (BUN), high blood creatine kinase (CK), high blood bilirubin and high erythrocyte sedimentation rate (ESR)), radiological factors (consolidative infiltrate and pleural effusion) and high SOFA score (sequential organ failure assessment score). Conclusion Identified prognostic factors can help clinicians and poli…","author":[{"dropping-particle":"","family":"Izcovich","given":"Ariel","non-dropping-particle":"","parse-names":false,"suffix":""},{"dropping-particle":"","family":"Ragusa","given":"Martín Alberto","non-dropping-particle":"","parse-names":false,"suffix":""},{"dropping-particle":"","family":"Tortosa","given":"Fernando","non-dropping-particle":"","parse-names":false,"suffix":""},{"dropping-particle":"","family":"Marzio","given":"María Andrea Lavena","non-dropping-particle":"","parse-names":false,"suffix":""},{"dropping-particle":"","family":"Agnoletti","given":"Camila","non-dropping-particle":"","parse-names":false,"suffix":""},{"dropping-particle":"","family":"Bengolea","given":"Agustín","non-dropping-particle":"","parse-names":false,"suffix":""},{"dropping-particle":"","family":"Ceirano","given":"Agustina","non-dropping-particle":"","parse-names":false,"suffix":""},{"dropping-particle":"","family":"Espinosa","given":"Federico","non-dropping-particle":"","parse-names":false,"suffix":""},{"dropping-particle":"","family":"Saavedra","given":"Ezequiel","non-dropping-particle":"","parse-names":false,"suffix":""},{"dropping-particle":"","family":"Sanguine","given":"Verónica","non-dropping-particle":"","parse-names":false,"suffix":""},{"dropping-particle":"","family":"Tassara","given":"Alfredo","non-dropping-particle":"","parse-names":false,"suffix":""},{"dropping-particle":"","family":"Cid","given":"Candelaria","non-dropping-particle":"","parse-names":false,"suffix":""},{"dropping-particle":"","family":"Catalano","given":"Hugo Norberto","non-dropping-particle":"","parse-names":false,"suffix":""},{"dropping-particle":"","family":"Agarwal","given":"Arnav","non-dropping-particle":"","parse-names":false,"suffix":""},{"dropping-particle":"","family":"Foroutan","given":"Farid","non-dropping-particle":"","parse-names":false,"suffix":""},{"dropping-particle":"","family":"Rada","given":"Gabriel","non-dropping-particle":"","parse-names":false,"suffix":""}],"container-title":"PLoS ONE","id":"ITEM-4","issue":"11 November","issued":{"date-parts":[["2020"]]},"page":"1-30","title":"Prognostic factors for severity and mortality in patients infected with COVID-19: A systematic review","type":"article-journal","volume":"15"},"uris":["http://www.mendeley.com/documents/?uuid=97aacd3c-a598-4e74-9f6d-a0616f7e6892"]},{"id":"ITEM-5","itemData":{"DOI":"10.1007/s10096-020-04150-w","ISBN":"1009602004","ISSN":"14354373","abstract":"The aim of our study was to elucidate if SARS-CoV-2 viral load on admission, measured by real-time reverse transcriptase–polymerase chain reaction (rRT-PCR) cycle threshold (Ct) value on nasopharyngeal samples, was a marker of disease severity. All hospitalized adult patients with a diagnosis of SARS-CoV-2 infection by rRT-PCR performed on a nasopharingeal sample from March 1 to March 18 in our institution were included. The study population was divided according to the Ct value obtained upon admission in patients with high viral load (Ct &lt; 25), intermediate viral load (Ct: 25–30) and low viral load (Ct &gt; 30). Demographic, clinical and laboratory variables of the different groups were analyzed to assess the influence of viral load on the development of respiratory failure during admission. Overall, 455 sequential patients were included. The median Ct value was 28 (IQR: 24–32). One hundred and thirty patients (28.6%) had a high viral load, 175 (38.5%) an intermediate viral load and 150 (33%) a low viral load. Advanced age, male sex, presence of cardiovascular disease and laboratory markers such as lactate dehydrogenase, lymphocyte count and C-reactive protein, as well as a high viral load on admission, were predictive of respiratory failure. A Ct value &lt; 25 was associated with a higher risk of respiratory failure during admission (OR: 2.99, 95%IC: 1.57–5.69). SARS-CoV-2 viral load, measured through the Ct value on admission, is a valuable tool to predict the development of respiratory failure in COVID-19 inpatients.","author":[{"dropping-particle":"","family":"la Calle","given":"Cristina","non-dropping-particle":"de","parse-names":false,"suffix":""},{"dropping-particle":"","family":"Lalueza","given":"Antonio","non-dropping-particle":"","parse-names":false,"suffix":""},{"dropping-particle":"","family":"Mancheño-Losa","given":"Mikel","non-dropping-particle":"","parse-names":false,"suffix":""},{"dropping-particle":"","family":"Maestro-de la Calle","given":"Guillermo","non-dropping-particle":"","parse-names":false,"suffix":""},{"dropping-particle":"","family":"Lora-Tamayo","given":"Jaime","non-dropping-particle":"","parse-names":false,"suffix":""},{"dropping-particle":"","family":"Arrieta","given":"Estibaliz","non-dropping-particle":"","parse-names":false,"suffix":""},{"dropping-particle":"","family":"García-Reyne","given":"Ana","non-dropping-particle":"","parse-names":false,"suffix":""},{"dropping-particle":"","family":"Losada","given":"Irene","non-dropping-particle":"","parse-names":false,"suffix":""},{"dropping-particle":"","family":"Miguel","given":"Borja","non-dropping-particle":"de","parse-names":false,"suffix":""},{"dropping-particle":"","family":"Díaz-Simón","given":"Raquel","non-dropping-particle":"","parse-names":false,"suffix":""},{"dropping-particle":"","family":"López-Medrano","given":"Francisco","non-dropping-particle":"","parse-names":false,"suffix":""},{"dropping-particle":"","family":"Fernández-Ruiz","given":"Mario","non-dropping-particle":"","parse-names":false,"suffix":""},{"dropping-particle":"","family":"Carretero","given":"Octavio","non-dropping-particle":"","parse-names":false,"suffix":""},{"dropping-particle":"","family":"San Juan","given":"Rafael","non-dropping-particle":"","parse-names":false,"suffix":""},{"dropping-particle":"","family":"Aguado","given":"José María","non-dropping-particle":"","parse-names":false,"suffix":""},{"dropping-particle":"","family":"Lumbreras","given":"Carlos","non-dropping-particle":"","parse-names":false,"suffix":""}],"container-title":"European Journal of Clinical Microbiology and Infectious Diseases","id":"ITEM-5","issue":"Il","issued":{"date-parts":[["2021"]]},"publisher":"European Journal of Clinical Microbiology &amp; Infectious Diseases","title":"Impact of viral load at admission on the development of respiratory failure in hospitalized patients with SARS-CoV-2 infection","type":"article-journal"},"uris":["http://www.mendeley.com/documents/?uuid=e667144e-d438-45ce-a079-29c364e60d85"]}],"mendeley":{"formattedCitation":"&lt;sup&gt;3–7&lt;/sup&gt;","plainTextFormattedCitation":"3–7","previouslyFormattedCitation":"&lt;sup&gt;3–7&lt;/sup&gt;"},"properties":{"noteIndex":0},"schema":"https://github.com/citation-style-language/schema/raw/master/csl-citation.json"}</w:instrText>
      </w:r>
      <w:r w:rsidRPr="00326396">
        <w:rPr>
          <w:sz w:val="24"/>
          <w:szCs w:val="24"/>
        </w:rPr>
        <w:fldChar w:fldCharType="separate"/>
      </w:r>
      <w:r w:rsidR="00CC6532" w:rsidRPr="00CC6532">
        <w:rPr>
          <w:noProof/>
          <w:sz w:val="24"/>
          <w:szCs w:val="24"/>
          <w:vertAlign w:val="superscript"/>
        </w:rPr>
        <w:t>3–7</w:t>
      </w:r>
      <w:r w:rsidRPr="00326396">
        <w:rPr>
          <w:sz w:val="24"/>
          <w:szCs w:val="24"/>
        </w:rPr>
        <w:fldChar w:fldCharType="end"/>
      </w:r>
      <w:r w:rsidRPr="00326396">
        <w:rPr>
          <w:sz w:val="24"/>
          <w:szCs w:val="24"/>
        </w:rPr>
        <w:t xml:space="preserve"> The utility of early </w:t>
      </w:r>
      <w:r>
        <w:rPr>
          <w:sz w:val="24"/>
          <w:szCs w:val="24"/>
        </w:rPr>
        <w:t xml:space="preserve">risk </w:t>
      </w:r>
      <w:r w:rsidRPr="00326396">
        <w:rPr>
          <w:sz w:val="24"/>
          <w:szCs w:val="24"/>
        </w:rPr>
        <w:t xml:space="preserve">stratification of patients may </w:t>
      </w:r>
      <w:r w:rsidRPr="00C77156">
        <w:rPr>
          <w:sz w:val="24"/>
          <w:szCs w:val="24"/>
        </w:rPr>
        <w:t xml:space="preserve">include </w:t>
      </w:r>
      <w:r w:rsidR="002851A3" w:rsidRPr="00C77156">
        <w:rPr>
          <w:sz w:val="24"/>
          <w:szCs w:val="24"/>
        </w:rPr>
        <w:t xml:space="preserve">the optimisation of </w:t>
      </w:r>
      <w:r w:rsidRPr="00C77156">
        <w:rPr>
          <w:sz w:val="24"/>
          <w:szCs w:val="24"/>
        </w:rPr>
        <w:t>resource allocation</w:t>
      </w:r>
      <w:r w:rsidR="00470EDB" w:rsidRPr="00C77156">
        <w:rPr>
          <w:sz w:val="24"/>
          <w:szCs w:val="24"/>
        </w:rPr>
        <w:t xml:space="preserve"> </w:t>
      </w:r>
      <w:r w:rsidR="002851A3" w:rsidRPr="00C77156">
        <w:rPr>
          <w:sz w:val="24"/>
          <w:szCs w:val="24"/>
        </w:rPr>
        <w:t>for</w:t>
      </w:r>
      <w:r w:rsidR="00470EDB" w:rsidRPr="00C77156">
        <w:rPr>
          <w:sz w:val="24"/>
          <w:szCs w:val="24"/>
        </w:rPr>
        <w:t xml:space="preserve"> clinical management</w:t>
      </w:r>
      <w:r w:rsidRPr="00C77156">
        <w:rPr>
          <w:sz w:val="24"/>
          <w:szCs w:val="24"/>
        </w:rPr>
        <w:t>. As treatments that</w:t>
      </w:r>
      <w:r w:rsidRPr="00326396">
        <w:rPr>
          <w:sz w:val="24"/>
          <w:szCs w:val="24"/>
        </w:rPr>
        <w:t xml:space="preserve"> are more effective become available</w:t>
      </w:r>
      <w:r>
        <w:rPr>
          <w:sz w:val="24"/>
          <w:szCs w:val="24"/>
        </w:rPr>
        <w:t xml:space="preserve">, </w:t>
      </w:r>
      <w:r w:rsidR="00470EDB">
        <w:rPr>
          <w:sz w:val="24"/>
          <w:szCs w:val="24"/>
        </w:rPr>
        <w:t xml:space="preserve">risk stratification </w:t>
      </w:r>
      <w:r>
        <w:rPr>
          <w:sz w:val="24"/>
          <w:szCs w:val="24"/>
        </w:rPr>
        <w:t>may</w:t>
      </w:r>
      <w:r w:rsidRPr="00326396">
        <w:rPr>
          <w:sz w:val="24"/>
          <w:szCs w:val="24"/>
        </w:rPr>
        <w:t xml:space="preserve"> aid targeted therapeutic intervention</w:t>
      </w:r>
      <w:r>
        <w:rPr>
          <w:sz w:val="24"/>
          <w:szCs w:val="24"/>
        </w:rPr>
        <w:t>s</w:t>
      </w:r>
      <w:r w:rsidRPr="00326396">
        <w:rPr>
          <w:sz w:val="24"/>
          <w:szCs w:val="24"/>
        </w:rPr>
        <w:t xml:space="preserve">. </w:t>
      </w:r>
    </w:p>
    <w:p w14:paraId="6978239A" w14:textId="77777777" w:rsidR="00391A54" w:rsidRPr="00326396" w:rsidRDefault="00391A54" w:rsidP="00391A54">
      <w:pPr>
        <w:spacing w:after="0" w:line="480" w:lineRule="auto"/>
        <w:jc w:val="both"/>
        <w:rPr>
          <w:sz w:val="24"/>
          <w:szCs w:val="24"/>
        </w:rPr>
      </w:pPr>
    </w:p>
    <w:p w14:paraId="40FAB6C4" w14:textId="39D5C900" w:rsidR="00391A54" w:rsidRDefault="00391A54" w:rsidP="00391A54">
      <w:pPr>
        <w:spacing w:after="0" w:line="480" w:lineRule="auto"/>
        <w:jc w:val="both"/>
        <w:rPr>
          <w:sz w:val="24"/>
          <w:szCs w:val="24"/>
        </w:rPr>
      </w:pPr>
      <w:r w:rsidRPr="00326396">
        <w:rPr>
          <w:sz w:val="24"/>
          <w:szCs w:val="24"/>
        </w:rPr>
        <w:t xml:space="preserve">The use of upper respiratory tract viral load as a prognostic marker </w:t>
      </w:r>
      <w:r>
        <w:rPr>
          <w:sz w:val="24"/>
          <w:szCs w:val="24"/>
        </w:rPr>
        <w:t xml:space="preserve">in patients admitted to hospital </w:t>
      </w:r>
      <w:r w:rsidRPr="00326396">
        <w:rPr>
          <w:sz w:val="24"/>
          <w:szCs w:val="24"/>
        </w:rPr>
        <w:t>has previously been explored for respiratory viruses such as influenza and RSV, with studies showing conflicting results</w:t>
      </w:r>
      <w:r>
        <w:rPr>
          <w:sz w:val="24"/>
          <w:szCs w:val="24"/>
        </w:rPr>
        <w:t>.</w:t>
      </w:r>
      <w:r w:rsidRPr="00326396">
        <w:rPr>
          <w:sz w:val="24"/>
          <w:szCs w:val="24"/>
        </w:rPr>
        <w:fldChar w:fldCharType="begin" w:fldLock="1"/>
      </w:r>
      <w:r w:rsidR="000829B8">
        <w:rPr>
          <w:sz w:val="24"/>
          <w:szCs w:val="24"/>
        </w:rPr>
        <w:instrText>ADDIN CSL_CITATION {"citationItems":[{"id":"ITEM-1","itemData":{"DOI":"10.1093/infdis/jiv248","ISSN":"15376613","PMID":"25904604","abstract":"A prospective study among adults hospitalized for polymerase chain reaction-confirmed respiratory syncytial virus infections (n = 123) showed frequent occurrence of lower respiratory-tract complications causing respiratory insufficiency (52.8%), requirement for assisted ventilation (16.3%), and intensive care unit admission/death (12.2%). High viral RNA concentration was detected at time of hospitalization, including in patients who presented later than 2 days of illness (day 1-2, 7.29 ± 1.47; day 3-4, 7.28 ± 1.41; day 5-8, 6.66 ± 1.87 log10 copies/mL). RNA concentration was independently associated with risk of complications and respiratory insufficiency (adjusted odds ratio 1.40 per log10 copies/mL increase, 95% confidence interval, 1.03-1.90; P =. 034). Our data indicate the need and provide a basis for clinical research on antiviral therapy in this population.","author":[{"dropping-particle":"","family":"Lee","given":"Nelson","non-dropping-particle":"","parse-names":false,"suffix":""},{"dropping-particle":"","family":"Chan","given":"Martin C.W.","non-dropping-particle":"","parse-names":false,"suffix":""},{"dropping-particle":"","family":"Lui","given":"Grace C.Y.","non-dropping-particle":"","parse-names":false,"suffix":""},{"dropping-particle":"","family":"Li","given":"Ran","non-dropping-particle":"","parse-names":false,"suffix":""},{"dropping-particle":"","family":"Wong","given":"Rity Y.K.","non-dropping-particle":"","parse-names":false,"suffix":""},{"dropping-particle":"","family":"Yung","given":"Irene M.H.","non-dropping-particle":"","parse-names":false,"suffix":""},{"dropping-particle":"","family":"Cheung","given":"Catherine S.K.","non-dropping-particle":"","parse-names":false,"suffix":""},{"dropping-particle":"","family":"Chan","given":"Eugenia C.Y.","non-dropping-particle":"","parse-names":false,"suffix":""},{"dropping-particle":"","family":"Hui","given":"David S.C.","non-dropping-particle":"","parse-names":false,"suffix":""},{"dropping-particle":"","family":"Chan","given":"Paul K.S.","non-dropping-particle":"","parse-names":false,"suffix":""}],"container-title":"Journal of Infectious Diseases","id":"ITEM-1","issue":"8","issued":{"date-parts":[["2015"]]},"page":"1237-1240","title":"High viral load and respiratory failure in adults hospitalized for respiratory syncytial virus infections","type":"article-journal","volume":"212"},"uris":["http://www.mendeley.com/documents/?uuid=b39cc4e0-dd6c-4355-ac0e-2725ccb2444f"]},{"id":"ITEM-2","itemData":{"DOI":"10.1086/600383","ISSN":"00221899","PMID":"19591575","abstract":"Background. The goal of this study was to characterize viral loads and factors affecting viral clearance in persons with severe influenza. Methods. This was a 1-year prospective, observational study involving consecutive adults hospitalized with influenza. Nasal and throat swabs were collected at presentation, then daily until 1 week after symptom onset. Real-time reverse-transcriptase polymerase chain reaction to determine viral RNA concentration and virus isolation were performed. Viral RNA concentration was analyzed using multiple linear or logistic regressions or mixedeffect models. Results. One hundred forty-seven inpatients with influenza A (H3N2) infection were studied (mean age ± standard deviation, 72 ± 16 years). Viral RNA concentration at presentation positively correlated with symptom scores and was significantly higher than that among time-matched outpatients (control subjects). Patients with major comorbidities had high viral RNA concentration even when presenting &gt;2 days after symptom onset (mean ± standard deviation, 5.06 ± 1.85 vs 3.62 ± 2.13 log10 copies/mL; P = .005; β, +0.86 [95% confidence interval, +0.03 to +1.68]). Viral RNA concentration demonstrated a nonlinear decrease with time; 26% of oseltamivirtreated and 57% of untreated patients had RNA detected at 1 week after symptom onset. Oseltamivir started on or before symptom day 4 was independently associated with an accelerated decrease in viral RNA concentration (mean β [standard error], -1.19 [0.43] and -0.68 [0.33] log10 copies/mL for patients treated on day 1 and days 2-3, respectively; P&lt;.05) and viral RNA clearance at 1 week (odds ratio, 0.10 [95% confidence interval, 0.030.35] and 0.30 [0.10-0.90] for patients treated on day 1-2 and day 3-4, respectively). Conversely, major comorbidities and systemic corticosteroid use for asthma or chronic obstructive pulmonary disease exacerbations were associated with slower viral clearance. Viral RNA clearance was associated with a shorter hospital stay (7.0 vs 13.5 days; P = .001). Conclusion. Patients hospitalized with severe influenza have more active and prolonged viral replication. Weakened host defenses slow viral clearance, whereas antivirals started within the first 4 days of illness enhance viral clearance. © 2009 by the Infectious Diseases Society of America. All rights reserved.","author":[{"dropping-particle":"","family":"Lee","given":"Nelson","non-dropping-particle":"","parse-names":false,"suffix":""},{"dropping-particle":"","family":"Chan","given":"Paul K.S.","non-dropping-particle":"","parse-names":false,"suffix":""},{"dropping-particle":"","family":"Hui","given":"David S.C.","non-dropping-particle":"","parse-names":false,"suffix":""},{"dropping-particle":"","family":"Rainer","given":"Timothy H.","non-dropping-particle":"","parse-names":false,"suffix":""},{"dropping-particle":"","family":"Wong","given":"Eric","non-dropping-particle":"","parse-names":false,"suffix":""},{"dropping-particle":"","family":"Choi","given":"Kin Wing","non-dropping-particle":"","parse-names":false,"suffix":""},{"dropping-particle":"","family":"Lui","given":"Grace C.Y.","non-dropping-particle":"","parse-names":false,"suffix":""},{"dropping-particle":"","family":"Wong","given":"Bonnie C.K.","non-dropping-particle":"","parse-names":false,"suffix":""},{"dropping-particle":"","family":"Wong","given":"Rita Y.K.","non-dropping-particle":"","parse-names":false,"suffix":""},{"dropping-particle":"","family":"Lam","given":"Wai Yip","non-dropping-particle":"","parse-names":false,"suffix":""},{"dropping-particle":"","family":"Chu","given":"Ida M.T.","non-dropping-particle":"","parse-names":false,"suffix":""},{"dropping-particle":"","family":"Lai","given":"Raymond W.M.","non-dropping-particle":"","parse-names":false,"suffix":""},{"dropping-particle":"","family":"Cockram","given":"Clive S.","non-dropping-particle":"","parse-names":false,"suffix":""},{"dropping-particle":"","family":"Sung","given":"Joseph J.Y.","non-dropping-particle":"","parse-names":false,"suffix":""}],"container-title":"Journal of Infectious Diseases","id":"ITEM-2","issue":"4","issued":{"date-parts":[["2009"]]},"page":"492-500","title":"Viral loads and duration of viral shedding in adult patients hospitalized with influenza","type":"article-journal","volume":"200"},"uris":["http://www.mendeley.com/documents/?uuid=837d731b-c060-4dc2-8e49-fdaadc9928fd"]},{"id":"ITEM-3","itemData":{"DOI":"10.1007/s10096-019-03514-1","ISBN":"1009601903","ISSN":"14354373","PMID":"30820840","abstract":"The role of viral load in the outcome of patients requiring hospital admission due to influenza is not well established. We aim to assess if there is an association between the viral load and the outcome in hospitalized patients with a confirmed influenza virus infection. A retrospective observational study including all adult patients who were hospitalized in our center with a confirmed influenza virus infection from January to May 2016. Viral load was measured by real-time reverse-transcriptase–polymerase chain reaction (rRT-PCR) cycle threshold (Ct) value on upper respiratory tract samples. Its value was categorized into three groups (low Ct, ≤ 20; intermediate Ct, &gt; 20–30; and high Ct, &gt; 30). Two hundred thirty-nine patients were included. Influenza A/H1N1pdm09 was isolated in 207 cases (86.6%). The mean Ct value was 26.69 ± 5.81. The viral load was higher in the unvaccinated group when compared with the vaccinated patients (Ct 25.17 ± 5.55 vs. 27.58 ± 4.97, p = 0.004). Only 27 patients (11.29%) presented a high viral load. Patients with a high viral load more often showed abnormal findings on chest X-ray (p = 0.015) and lymphopenia (p = 0.097). By contrast, there were no differences between the three groups (according to viral load), in associated pneumonia, respiratory failure, need for mechanical ventilation, sepsis, or in-hospital mortality. Our findings suggest that in patients admitted to the hospital with confirmed influenza virus infection (mostly A/H1N1pdm09), a high viral load is associated with a higher presence of abnormal findings on chest X-ray but not with a significant worse prognosis. In these cases, standardized quantitative PCR could be useful.","author":[{"dropping-particle":"","family":"Lalueza","given":"Antonio","non-dropping-particle":"","parse-names":false,"suffix":""},{"dropping-particle":"","family":"Folgueira","given":"Dolores","non-dropping-particle":"","parse-names":false,"suffix":""},{"dropping-particle":"","family":"Muñoz-Gallego","given":"Irene","non-dropping-particle":"","parse-names":false,"suffix":""},{"dropping-particle":"","family":"Trujillo","given":"Hernando","non-dropping-particle":"","parse-names":false,"suffix":""},{"dropping-particle":"","family":"Laureiro","given":"Jaime","non-dropping-particle":"","parse-names":false,"suffix":""},{"dropping-particle":"","family":"Hernández-Jiménez","given":"Pilar","non-dropping-particle":"","parse-names":false,"suffix":""},{"dropping-particle":"","family":"Moral-Jiménez","given":"Noelia","non-dropping-particle":"","parse-names":false,"suffix":""},{"dropping-particle":"","family":"Castillo","given":"Cristina","non-dropping-particle":"","parse-names":false,"suffix":""},{"dropping-particle":"","family":"Ayuso","given":"Blanca","non-dropping-particle":"","parse-names":false,"suffix":""},{"dropping-particle":"","family":"Díaz-Pedroche","given":"Carmen","non-dropping-particle":"","parse-names":false,"suffix":""},{"dropping-particle":"","family":"Torres","given":"Marta","non-dropping-particle":"","parse-names":false,"suffix":""},{"dropping-particle":"","family":"Arrieta","given":"Estibaliz","non-dropping-particle":"","parse-names":false,"suffix":""},{"dropping-particle":"","family":"Arévalo-Cañas","given":"Coral","non-dropping-particle":"","parse-names":false,"suffix":""},{"dropping-particle":"","family":"Madrid","given":"Olaya","non-dropping-particle":"","parse-names":false,"suffix":""},{"dropping-particle":"","family":"Lumbreras","given":"Carlos","non-dropping-particle":"","parse-names":false,"suffix":""}],"container-title":"European Journal of Clinical Microbiology and Infectious Diseases","id":"ITEM-3","issue":"4","issued":{"date-parts":[["2019"]]},"page":"667-673","publisher":"European Journal of Clinical Microbiology &amp; Infectious Diseases","title":"Influence of viral load in the outcome of hospitalized patients with influenza virus infection","type":"article-journal","volume":"38"},"uris":["http://www.mendeley.com/documents/?uuid=4be26036-d061-4202-8dec-23bea09d10c7"]}],"mendeley":{"formattedCitation":"&lt;sup&gt;8–10&lt;/sup&gt;","plainTextFormattedCitation":"8–10","previouslyFormattedCitation":"&lt;sup&gt;8–10&lt;/sup&gt;"},"properties":{"noteIndex":0},"schema":"https://github.com/citation-style-language/schema/raw/master/csl-citation.json"}</w:instrText>
      </w:r>
      <w:r w:rsidRPr="00326396">
        <w:rPr>
          <w:sz w:val="24"/>
          <w:szCs w:val="24"/>
        </w:rPr>
        <w:fldChar w:fldCharType="separate"/>
      </w:r>
      <w:r w:rsidR="00CC6532" w:rsidRPr="00CC6532">
        <w:rPr>
          <w:noProof/>
          <w:sz w:val="24"/>
          <w:szCs w:val="24"/>
          <w:vertAlign w:val="superscript"/>
        </w:rPr>
        <w:t>8–10</w:t>
      </w:r>
      <w:r w:rsidRPr="00326396">
        <w:rPr>
          <w:sz w:val="24"/>
          <w:szCs w:val="24"/>
        </w:rPr>
        <w:fldChar w:fldCharType="end"/>
      </w:r>
      <w:r w:rsidRPr="00326396">
        <w:rPr>
          <w:sz w:val="24"/>
          <w:szCs w:val="24"/>
        </w:rPr>
        <w:t xml:space="preserve"> Studies undertaken during the first wave of the SARS-CoV-2 pandemic have suggested that the magnitude of viral load at presentation may be  associated with clinical outcomes in hospitalised patients, leading to consideration for its use as a prognostic tool in this setting.</w:t>
      </w:r>
      <w:r w:rsidRPr="00326396">
        <w:rPr>
          <w:sz w:val="24"/>
          <w:szCs w:val="24"/>
        </w:rPr>
        <w:fldChar w:fldCharType="begin" w:fldLock="1"/>
      </w:r>
      <w:r w:rsidR="000829B8">
        <w:rPr>
          <w:sz w:val="24"/>
          <w:szCs w:val="24"/>
        </w:rPr>
        <w:instrText>ADDIN CSL_CITATION {"citationItems":[{"id":"ITEM-1","itemData":{"DOI":"10.1093/cid/ciaa851","ISSN":"1537-6591","PMID":"32603425","abstract":"BACKGROUND Patients hospitalized with coronavirus disease 2019 (COVID-19) frequently require mechanical ventilation and have high mortality rates, but the impact of viral burden on these outcomes is unknown. METHODS We conducted a retrospective cohort study of patients hospitalized with COVID-19 from March 30 to April 30, 2020 at two hospitals in New York City. SARS-CoV-2 viral load was assessed using cycle threshold (Ct) values from a reverse transcription-polymerase chain reaction assay applied to nasopharyngeal swab samples. We compared patient characteristics and outcomes among patients with high, medium, and low admission viral loads and assessed whether viral load was independently associated with risk of intubation and in-hospital mortality. RESULTS We evaluated 678 patients with COVID-19. Higher viral load was associated with increased age, comorbidities, smoking status, and recent chemotherapy. In-hospital mortality was 35.0% with a high viral load (Ct&lt;25; n=220), 17.6% with a medium viral load (Ct 25-30; n=216), and 6.2% with a low viral load (Ct&gt;30; n=242; P&lt;0.001). The risk of intubation was also higher in patients with a high viral load (29.1%), compared to those with a medium (20.8%) or low viral load (14.9%; P&lt;0.001). High viral load was independently associated with mortality (adjusted odds ratio [aOR] 6.05; 95% confidence interval [CI]: 2.92-12.52; P&lt;0.001) and intubation (aOR 2.73; 95% CI: 1.68-4.44; P&lt;0.001) in multivariate models. CONCLUSIONS Admission SARS-CoV-2 viral load among hospitalized patients with COVID-19 independently correlates with the risk of intubation and in-hospital mortality. Providing this information to clinicians could potentially be used to guide patient care.","author":[{"dropping-particle":"","family":"Magleby","given":"Reed","non-dropping-particle":"","parse-names":false,"suffix":""},{"dropping-particle":"","family":"Westblade","given":"Lars F","non-dropping-particle":"","parse-names":false,"suffix":""},{"dropping-particle":"","family":"Trzebucki","given":"Alex","non-dropping-particle":"","parse-names":false,"suffix":""},{"dropping-particle":"","family":"Simon","given":"Matthew S","non-dropping-particle":"","parse-names":false,"suffix":""},{"dropping-particle":"","family":"Rajan","given":"Mangala","non-dropping-particle":"","parse-names":false,"suffix":""},{"dropping-particle":"","family":"Park","given":"Joel","non-dropping-particle":"","parse-names":false,"suffix":""},{"dropping-particle":"","family":"Goyal","given":"Parag","non-dropping-particle":"","parse-names":false,"suffix":""},{"dropping-particle":"","family":"Safford","given":"Monika M","non-dropping-particle":"","parse-names":false,"suffix":""},{"dropping-particle":"","family":"Satlin","given":"Michael J","non-dropping-particle":"","parse-names":false,"suffix":""}],"container-title":"Clinical infectious diseases : an official publication of the Infectious Diseases Society of America","id":"ITEM-1","issued":{"date-parts":[["2020","6","30"]]},"page":"1-14","title":"Impact of SARS-CoV-2 Viral Load on Risk of Intubation and Mortality Among Hospitalized Patients with Coronavirus Disease 2019.","type":"article-journal"},"uris":["http://www.mendeley.com/documents/?uuid=5917cbaa-cd8a-4666-9a19-179418d6c184"]},{"id":"ITEM-2","itemData":{"DOI":"10.1016/S2213-2600(20)30354-4","ISSN":"22132600","author":[{"dropping-particle":"","family":"Pujadas","given":"Elisabet","non-dropping-particle":"","parse-names":false,"suffix":""},{"dropping-particle":"","family":"Chaudhry","given":"Fayzan","non-dropping-particle":"","parse-names":false,"suffix":""},{"dropping-particle":"","family":"McBride","given":"Russell","non-dropping-particle":"","parse-names":false,"suffix":""},{"dropping-particle":"","family":"Richter","given":"Felix","non-dropping-particle":"","parse-names":false,"suffix":""},{"dropping-particle":"","family":"Zhao","given":"Shan","non-dropping-particle":"","parse-names":false,"suffix":""},{"dropping-particle":"","family":"Wajnberg","given":"Ania","non-dropping-particle":"","parse-names":false,"suffix":""},{"dropping-particle":"","family":"Nadkarni","given":"Girish","non-dropping-particle":"","parse-names":false,"suffix":""},{"dropping-particle":"","family":"Glicksberg","given":"Benjamin S","non-dropping-particle":"","parse-names":false,"suffix":""},{"dropping-particle":"","family":"Houldsworth","given":"Jane","non-dropping-particle":"","parse-names":false,"suffix":""},{"dropping-particle":"","family":"Cordon-Cardo","given":"Carlos","non-dropping-particle":"","parse-names":false,"suffix":""}],"container-title":"The Lancet Respiratory Medicine","id":"ITEM-2","issued":{"date-parts":[["2020","8"]]},"page":"2","publisher":"Elsevier Ltd","title":"SARS-CoV-2 viral load predicts COVID-19 mortality","type":"article-journal","volume":"2"},"uris":["http://www.mendeley.com/documents/?uuid=880e4cdc-864a-4869-9157-19c1d89248bb"]}],"mendeley":{"formattedCitation":"&lt;sup&gt;11,12&lt;/sup&gt;","plainTextFormattedCitation":"11,12","previouslyFormattedCitation":"&lt;sup&gt;11,12&lt;/sup&gt;"},"properties":{"noteIndex":0},"schema":"https://github.com/citation-style-language/schema/raw/master/csl-citation.json"}</w:instrText>
      </w:r>
      <w:r w:rsidRPr="00326396">
        <w:rPr>
          <w:sz w:val="24"/>
          <w:szCs w:val="24"/>
        </w:rPr>
        <w:fldChar w:fldCharType="separate"/>
      </w:r>
      <w:r w:rsidR="00CC6532" w:rsidRPr="00CC6532">
        <w:rPr>
          <w:noProof/>
          <w:sz w:val="24"/>
          <w:szCs w:val="24"/>
          <w:vertAlign w:val="superscript"/>
        </w:rPr>
        <w:t>11,12</w:t>
      </w:r>
      <w:r w:rsidRPr="00326396">
        <w:rPr>
          <w:sz w:val="24"/>
          <w:szCs w:val="24"/>
        </w:rPr>
        <w:fldChar w:fldCharType="end"/>
      </w:r>
      <w:r w:rsidRPr="00326396">
        <w:rPr>
          <w:sz w:val="24"/>
          <w:szCs w:val="24"/>
        </w:rPr>
        <w:t xml:space="preserve"> However, several confounding patient factors have been identified which strongly influence SARS-CoV-2 viral load at the point of admission and have not alwa</w:t>
      </w:r>
      <w:r w:rsidR="00BF5C39">
        <w:rPr>
          <w:sz w:val="24"/>
          <w:szCs w:val="24"/>
        </w:rPr>
        <w:t>ys been considered or comprehensively</w:t>
      </w:r>
      <w:r w:rsidRPr="00326396">
        <w:rPr>
          <w:sz w:val="24"/>
          <w:szCs w:val="24"/>
        </w:rPr>
        <w:t xml:space="preserve"> controlled for in these early studies. These factors include</w:t>
      </w:r>
      <w:r>
        <w:rPr>
          <w:sz w:val="24"/>
          <w:szCs w:val="24"/>
        </w:rPr>
        <w:t xml:space="preserve"> patient age, duration of illness, and </w:t>
      </w:r>
      <w:r w:rsidRPr="00326396">
        <w:rPr>
          <w:sz w:val="24"/>
          <w:szCs w:val="24"/>
        </w:rPr>
        <w:t xml:space="preserve">antibody </w:t>
      </w:r>
      <w:proofErr w:type="spellStart"/>
      <w:r w:rsidRPr="00326396">
        <w:rPr>
          <w:sz w:val="24"/>
          <w:szCs w:val="24"/>
        </w:rPr>
        <w:t>sero</w:t>
      </w:r>
      <w:proofErr w:type="spellEnd"/>
      <w:r>
        <w:rPr>
          <w:sz w:val="24"/>
          <w:szCs w:val="24"/>
        </w:rPr>
        <w:t>-</w:t>
      </w:r>
      <w:r w:rsidRPr="00326396">
        <w:rPr>
          <w:sz w:val="24"/>
          <w:szCs w:val="24"/>
        </w:rPr>
        <w:t>status at the point of presentation.</w:t>
      </w:r>
      <w:r w:rsidRPr="00326396">
        <w:rPr>
          <w:sz w:val="24"/>
          <w:szCs w:val="24"/>
        </w:rPr>
        <w:fldChar w:fldCharType="begin" w:fldLock="1"/>
      </w:r>
      <w:r w:rsidR="000829B8">
        <w:rPr>
          <w:sz w:val="24"/>
          <w:szCs w:val="24"/>
        </w:rPr>
        <w:instrText>ADDIN CSL_CITATION {"citationItems":[{"id":"ITEM-1","itemData":{"DOI":"10.1016/s2666-5247(20)30172-5","ISSN":"26665247","abstract":"Background Viral load kinetics and duration of viral shedding are important determinants for disease transmission. We aimed to characterise viral load dynamics, duration of viral RNA shedding, and viable virus shedding of severe acute respiratory syndrome coronavirus 2 (SARS-CoV-2) in various body fluids, and to compare SARS-CoV-2, SARS-CoV, and Middle East respiratory syndrome coronavirus (MERS-CoV) viral dynamics.","author":[{"dropping-particle":"","family":"Cevik","given":"Muge","non-dropping-particle":"","parse-names":false,"suffix":""},{"dropping-particle":"","family":"Tate","given":"Matthew","non-dropping-particle":"","parse-names":false,"suffix":""},{"dropping-particle":"","family":"Lloyd","given":"Ollie","non-dropping-particle":"","parse-names":false,"suffix":""},{"dropping-particle":"","family":"Maraolo","given":"Alberto Enrico","non-dropping-particle":"","parse-names":false,"suffix":""},{"dropping-particle":"","family":"Schafers","given":"Jenna","non-dropping-particle":"","parse-names":false,"suffix":""},{"dropping-particle":"","family":"Ho","given":"Antonia","non-dropping-particle":"","parse-names":false,"suffix":""}],"container-title":"The Lancet Microbe","id":"ITEM-1","issue":"1","issued":{"date-parts":[["2021"]]},"page":"e13-e22","publisher":"The Author(s). Published by Elsevier Ltd. This is an Open Access article under the CC BY-NC-ND 4.0 license","title":"SARS-CoV-2, SARS-CoV, and MERS-CoV viral load dynamics, duration of viral shedding, and infectiousness: a systematic review and meta-analysis","type":"article-journal","volume":"2"},"uris":["http://www.mendeley.com/documents/?uuid=433c7849-4cc8-4236-9ae8-77400785b826"]},{"id":"ITEM-2","itemData":{"DOI":"10.1101/2021.01.15.21249691","abstract":"Objective To describe the SARS-CoV-2 viral load distribution in different patient groups and age categories.Methods All SARS-CoV-2 RT-PCR results from nasopharyngeal (NP) and oropharyngeal (OP) swabs (first PCR from unique patients only) that were collected between January 1 and December 1, 2020, predominantly in the Public Health Services regions Kennemerland and Hollands Noorden, province of North Holland, the Netherlands were included in this study. Swabs were derived from patients with respiratory symptoms who were presented at the general practitioner (GP), hospital, or hospital health care workers (HCWs) of four regional hospitals, nursing home residents and HCWs of multiple nursing homes, and in majority (&amp;amp;gt;75%) from Public Health testing facilities of the two Public Health Services. SARS-CoV-2 PCR crossing point (Cp) values were used to estimate viral loads (higher Cp-values indicate lower viral loads).Results In total, 278.455 unique patients were tested of whom 9·1% (n=25.374) were SARS-CoV-2 positive. As there were differences in viral load distribution between tested populations, further analyses focused on PCRs performed by public health services (n=211.914) where sampling and inclusion were uniform. These data reveal a clear relation between age and SARS-CoV-2 viral load, with especially children aged&amp;amp;lt;12 years showing lower viral loads than shown in adults (β: −0·03, 95CI% −0·03 to −0·02, p&amp;amp;lt;0·001), independent of sex and/or symptom duration. Interestingly, the median Cp-values between the oldest (&amp;amp;gt;79 years) and youngest (&amp;amp;lt;12 years) population differed by over 4 PCR cycles, suggesting approximately a 16-fold difference in viral load. In addition, the proportion of children aged &amp;amp;lt;12 years with a low load (Cp-value &amp;amp;gt;30) was significantly higher compared to the other patients (31·1% vs. 17·2%, p-value&amp;amp;lt;0.001).Conclusion We observed that in patients tested by Public Health Services, SARS-CoV2 viral load increases significantly with age. Previous studies suggest that young children (&amp;amp;lt;12 years) play a limited role in SARS-CoV-2 transmission. Currently, the relation between viral load and infectivity is not yet well understood, and further studies should elucidate whether the lower viral load in children is indeed related to their suggested limited role in SARS-CoV-2 transmission. Moreover, as rapid antigen tests are less sensitive than PCR, these results suggest that SARS-CoV-2 antigen …","author":[{"dropping-particle":"","family":"Euser","given":"Sjoerd","non-dropping-particle":"","parse-names":false,"suffix":""},{"dropping-particle":"","family":"Aronson","given":"Sem","non-dropping-particle":"","parse-names":false,"suffix":""},{"dropping-particle":"","family":"Manders","given":"Irene","non-dropping-particle":"","parse-names":false,"suffix":""},{"dropping-particle":"","family":"Lelyveld","given":"Steven","non-dropping-particle":"van","parse-names":false,"suffix":""},{"dropping-particle":"","family":"Herpers","given":"Bjorn","non-dropping-particle":"","parse-names":false,"suffix":""},{"dropping-particle":"","family":"Sinnige","given":"Jan","non-dropping-particle":"","parse-names":false,"suffix":""},{"dropping-particle":"","family":"Kalpoe","given":"Jayant","non-dropping-particle":"","parse-names":false,"suffix":""},{"dropping-particle":"","family":"Gemeren","given":"Claudia","non-dropping-particle":"van","parse-names":false,"suffix":""},{"dropping-particle":"","family":"Snijders","given":"Dominic","non-dropping-particle":"","parse-names":false,"suffix":""},{"dropping-particle":"","family":"Jansen","given":"Ruud","non-dropping-particle":"","parse-names":false,"suffix":""},{"dropping-particle":"","family":"Stekhoven","given":"Sophie Schuurmans","non-dropping-particle":"","parse-names":false,"suffix":""},{"dropping-particle":"","family":"Houten","given":"Marlies","non-dropping-particle":"van","parse-names":false,"suffix":""},{"dropping-particle":"","family":"Lede","given":"Ivar","non-dropping-particle":"","parse-names":false,"suffix":""},{"dropping-particle":"","family":"Stuart","given":"James Cohen","non-dropping-particle":"","parse-names":false,"suffix":""},{"dropping-particle":"","family":"Megelink","given":"Fred Slijkerman","non-dropping-particle":"","parse-names":false,"suffix":""},{"dropping-particle":"","family":"Kapteijns","given":"Erik","non-dropping-particle":"","parse-names":false,"suffix":""},{"dropping-particle":"","family":"Boer","given":"Jeroen","non-dropping-particle":"den","parse-names":false,"suffix":""},{"dropping-particle":"","family":"Sanders","given":"Elisabeth","non-dropping-particle":"","parse-names":false,"suffix":""},{"dropping-particle":"","family":"Wagemakers","given":"Alex","non-dropping-particle":"","parse-names":false,"suffix":""},{"dropping-particle":"","family":"Souverein","given":"Dennis","non-dropping-particle":"","parse-names":false,"suffix":""}],"container-title":"medRxiv","id":"ITEM-2","issued":{"date-parts":[["2021","1","1"]]},"page":"2021.01.15.21249691","title":"SARS-CoV-2 viral load distribution reveals that viral loads increase with age: a retrospective cross-sectional cohort study","type":"article-journal"},"uris":["http://www.mendeley.com/documents/?uuid=79d52a3f-4bef-4c81-9423-7e0d1ee12742"]},{"id":"ITEM-3","itemData":{"DOI":"10.1056/nejmoa2029849","ISSN":"0028-4793","PMID":"33113295","abstract":"BACKGROUND Severe acute respiratory syndrome coronavirus 2 (SARS-CoV-2) causes coronavirus disease 2019 (Covid-19), which is most frequently mild yet can be severe and life-threatening. Virus-neutralizing monoclonal antibodies are predicted to reduce viral load, ameliorate symptoms, and prevent hospitalization. METHODS In this ongoing phase 2 trial involving outpatients with recently diagnosed mild or moderate Covid-19, we randomly assigned 452 patients to receive a single intravenous infusion of neutralizing antibody LY-CoV555 in one of three doses (700 mg, 2800 mg, or 7000 mg) or placebo and evaluated the quantitative virologic end points and clinical outcomes. The primary outcome was the change from baseline in the viral load at day 11. The results of a preplanned interim analysis as of September 5, 2020, are reported here. RESULTS At the time of the interim analysis, the observed mean decrease from baseline in the log viral load for the entire population was -3.81, for an elimination of more than 99.97% of viral RNA. For patients who received the 2800-mg dose of LY-CoV555, the difference from placebo in the decrease from baseline was -0.53 (95% confidence interval [CI], -0.98 to -0.08; P = 0.02), for a viral load that was lower by a factor of 3.4. Smaller differences from placebo in the change from baseline were observed among the patients who received the 700-mg dose (-0.20; 95% CI, -0.66 to 0.25; P = 0.38) or the 7000-mg dose (0.09; 95% CI, -0.37 to 0.55; P = 0.70). On days 2 to 6, the patients who received LY-CoV555 had a slightly lower severity of symptoms than those who received placebo. The percentage of patients who had a Covid-19-related hospitalization or visit to an emergency department was 1.6% in the LY-CoV555 group and 6.3% in the placebo group. CONCLUSIONS In this interim analysis of a phase 2 trial, one of three doses of neutralizing antibody LY-CoV555 appeared to accelerate the natural decline in viral load over time, whereas the other doses had not by day 11. (Funded by Eli Lilly; BLAZE-1 ClinicalTrials.gov number, NCT04427501.).","author":[{"dropping-particle":"","family":"Chen","given":"Peter","non-dropping-particle":"","parse-names":false,"suffix":""},{"dropping-particle":"","family":"Nirula","given":"Ajay","non-dropping-particle":"","parse-names":false,"suffix":""},{"dropping-particle":"","family":"Heller","given":"Barry","non-dropping-particle":"","parse-names":false,"suffix":""},{"dropping-particle":"","family":"Gottlieb","given":"Robert L.","non-dropping-particle":"","parse-names":false,"suffix":""},{"dropping-particle":"","family":"Boscia","given":"Joseph","non-dropping-particle":"","parse-names":false,"suffix":""},{"dropping-particle":"","family":"Morris","given":"Jason","non-dropping-particle":"","parse-names":false,"suffix":""},{"dropping-particle":"","family":"Huhn","given":"Gregory","non-dropping-particle":"","parse-names":false,"suffix":""},{"dropping-particle":"","family":"Cardona","given":"Jose","non-dropping-particle":"","parse-names":false,"suffix":""},{"dropping-particle":"","family":"Mocherla","given":"Bharat","non-dropping-particle":"","parse-names":false,"suffix":""},{"dropping-particle":"","family":"Stosor","given":"Valentina","non-dropping-particle":"","parse-names":false,"suffix":""},{"dropping-particle":"","family":"Shawa","given":"Imad","non-dropping-particle":"","parse-names":false,"suffix":""},{"dropping-particle":"","family":"Adams","given":"Andrew C.","non-dropping-particle":"","parse-names":false,"suffix":""},{"dropping-particle":"","family":"Naarden","given":"Jacob","non-dropping-particle":"Van","parse-names":false,"suffix":""},{"dropping-particle":"","family":"Custer","given":"Kenneth L.","non-dropping-particle":"","parse-names":false,"suffix":""},{"dropping-particle":"","family":"Shen","given":"Lei","non-dropping-particle":"","parse-names":false,"suffix":""},{"dropping-particle":"","family":"Durante","given":"Michael","non-dropping-particle":"","parse-names":false,"suffix":""},{"dropping-particle":"","family":"Oakley","given":"Gerard","non-dropping-particle":"","parse-names":false,"suffix":""},{"dropping-particle":"","family":"Schade","given":"Andrew E.","non-dropping-particle":"","parse-names":false,"suffix":""},{"dropping-particle":"","family":"Sabo","given":"Janelle","non-dropping-particle":"","parse-names":false,"suffix":""},{"dropping-particle":"","family":"Patel","given":"Dipak R.","non-dropping-particle":"","parse-names":false,"suffix":""},{"dropping-particle":"","family":"Klekotka","given":"Paul","non-dropping-particle":"","parse-names":false,"suffix":""},{"dropping-particle":"","family":"Skovronsky","given":"Daniel M.","non-dropping-particle":"","parse-names":false,"suffix":""}],"container-title":"New England Journal of Medicine","id":"ITEM-3","issue":"3","issued":{"date-parts":[["2021"]]},"page":"229-237","title":"SARS-CoV-2 Neutralizing Antibody LY-CoV555 in Outpatients with Covid-19","type":"article-journal","volume":"384"},"uris":["http://www.mendeley.com/documents/?uuid=7f1324f6-37e6-4d75-be31-e3325fb191c5"]}],"mendeley":{"formattedCitation":"&lt;sup&gt;13–15&lt;/sup&gt;","plainTextFormattedCitation":"13–15","previouslyFormattedCitation":"&lt;sup&gt;13–15&lt;/sup&gt;"},"properties":{"noteIndex":0},"schema":"https://github.com/citation-style-language/schema/raw/master/csl-citation.json"}</w:instrText>
      </w:r>
      <w:r w:rsidRPr="00326396">
        <w:rPr>
          <w:sz w:val="24"/>
          <w:szCs w:val="24"/>
        </w:rPr>
        <w:fldChar w:fldCharType="separate"/>
      </w:r>
      <w:r w:rsidR="00CC6532" w:rsidRPr="00CC6532">
        <w:rPr>
          <w:noProof/>
          <w:sz w:val="24"/>
          <w:szCs w:val="24"/>
          <w:vertAlign w:val="superscript"/>
        </w:rPr>
        <w:t>13–15</w:t>
      </w:r>
      <w:r w:rsidRPr="00326396">
        <w:rPr>
          <w:sz w:val="24"/>
          <w:szCs w:val="24"/>
        </w:rPr>
        <w:fldChar w:fldCharType="end"/>
      </w:r>
    </w:p>
    <w:p w14:paraId="166C35C4" w14:textId="77777777" w:rsidR="00BF5C39" w:rsidRDefault="00BF5C39" w:rsidP="00391A54">
      <w:pPr>
        <w:spacing w:after="0" w:line="480" w:lineRule="auto"/>
        <w:jc w:val="both"/>
        <w:rPr>
          <w:sz w:val="24"/>
          <w:szCs w:val="24"/>
        </w:rPr>
      </w:pPr>
    </w:p>
    <w:p w14:paraId="6F494E86" w14:textId="0CCB7A68" w:rsidR="00D56D72" w:rsidRDefault="00391A54" w:rsidP="00D56D72">
      <w:pPr>
        <w:spacing w:after="0" w:line="480" w:lineRule="auto"/>
        <w:jc w:val="both"/>
        <w:rPr>
          <w:sz w:val="24"/>
          <w:szCs w:val="24"/>
        </w:rPr>
      </w:pPr>
      <w:r w:rsidRPr="00326396">
        <w:rPr>
          <w:sz w:val="24"/>
          <w:szCs w:val="24"/>
        </w:rPr>
        <w:lastRenderedPageBreak/>
        <w:t xml:space="preserve"> We hypothesised that the association between viral load and clinical outcome seen in early s</w:t>
      </w:r>
      <w:r w:rsidR="00BF5C39">
        <w:rPr>
          <w:sz w:val="24"/>
          <w:szCs w:val="24"/>
        </w:rPr>
        <w:t>tudies may be dependent on other</w:t>
      </w:r>
      <w:r w:rsidRPr="00326396">
        <w:rPr>
          <w:sz w:val="24"/>
          <w:szCs w:val="24"/>
        </w:rPr>
        <w:t xml:space="preserve"> factors rather than independently associated. The aim of the study was therefore to evaluate the association between viral load, as measured by real</w:t>
      </w:r>
      <w:r w:rsidR="00AC3072">
        <w:rPr>
          <w:sz w:val="24"/>
          <w:szCs w:val="24"/>
        </w:rPr>
        <w:t>-</w:t>
      </w:r>
      <w:r w:rsidRPr="00326396">
        <w:rPr>
          <w:sz w:val="24"/>
          <w:szCs w:val="24"/>
        </w:rPr>
        <w:t xml:space="preserve">time PCR cycle threshold (Ct) value, </w:t>
      </w:r>
      <w:r>
        <w:rPr>
          <w:sz w:val="24"/>
          <w:szCs w:val="24"/>
        </w:rPr>
        <w:t xml:space="preserve">and outcome </w:t>
      </w:r>
      <w:r w:rsidRPr="00326396">
        <w:rPr>
          <w:sz w:val="24"/>
          <w:szCs w:val="24"/>
        </w:rPr>
        <w:t xml:space="preserve">whilst carefully adjusting for covariates including age, duration of illness and antibody </w:t>
      </w:r>
      <w:proofErr w:type="spellStart"/>
      <w:r w:rsidRPr="00326396">
        <w:rPr>
          <w:sz w:val="24"/>
          <w:szCs w:val="24"/>
        </w:rPr>
        <w:t>sero</w:t>
      </w:r>
      <w:proofErr w:type="spellEnd"/>
      <w:r w:rsidRPr="00326396">
        <w:rPr>
          <w:sz w:val="24"/>
          <w:szCs w:val="24"/>
        </w:rPr>
        <w:t xml:space="preserve">-status. </w:t>
      </w:r>
    </w:p>
    <w:p w14:paraId="75239A48" w14:textId="77777777" w:rsidR="00D56D72" w:rsidRDefault="00D56D72" w:rsidP="00D56D72">
      <w:pPr>
        <w:spacing w:after="0" w:line="480" w:lineRule="auto"/>
        <w:jc w:val="both"/>
        <w:rPr>
          <w:sz w:val="24"/>
          <w:szCs w:val="24"/>
        </w:rPr>
      </w:pPr>
    </w:p>
    <w:p w14:paraId="71E2A654" w14:textId="77777777" w:rsidR="00D56D72" w:rsidRDefault="00D56D72" w:rsidP="00D56D72">
      <w:pPr>
        <w:spacing w:after="0" w:line="480" w:lineRule="auto"/>
        <w:jc w:val="both"/>
        <w:rPr>
          <w:sz w:val="24"/>
          <w:szCs w:val="24"/>
        </w:rPr>
      </w:pPr>
    </w:p>
    <w:p w14:paraId="6611E0E6" w14:textId="7E7FB5F7" w:rsidR="00391A54" w:rsidRPr="00576184" w:rsidRDefault="00391A54" w:rsidP="00391A54">
      <w:pPr>
        <w:spacing w:line="480" w:lineRule="auto"/>
        <w:rPr>
          <w:b/>
          <w:sz w:val="32"/>
          <w:szCs w:val="32"/>
        </w:rPr>
      </w:pPr>
      <w:r w:rsidRPr="00C00D8F">
        <w:rPr>
          <w:b/>
          <w:sz w:val="32"/>
          <w:szCs w:val="32"/>
        </w:rPr>
        <w:t>M</w:t>
      </w:r>
      <w:r>
        <w:rPr>
          <w:b/>
          <w:sz w:val="32"/>
          <w:szCs w:val="32"/>
        </w:rPr>
        <w:t>e</w:t>
      </w:r>
      <w:r w:rsidRPr="00C00D8F">
        <w:rPr>
          <w:b/>
          <w:sz w:val="32"/>
          <w:szCs w:val="32"/>
        </w:rPr>
        <w:t>thods</w:t>
      </w:r>
    </w:p>
    <w:p w14:paraId="56EDBA16" w14:textId="77777777" w:rsidR="00391A54" w:rsidRPr="00326396" w:rsidRDefault="00391A54" w:rsidP="00391A54">
      <w:pPr>
        <w:spacing w:after="0" w:line="480" w:lineRule="auto"/>
        <w:rPr>
          <w:b/>
          <w:sz w:val="24"/>
          <w:szCs w:val="24"/>
        </w:rPr>
      </w:pPr>
      <w:r w:rsidRPr="00326396">
        <w:rPr>
          <w:b/>
          <w:sz w:val="24"/>
          <w:szCs w:val="24"/>
        </w:rPr>
        <w:t>Setting, study design and participants</w:t>
      </w:r>
    </w:p>
    <w:p w14:paraId="7908B25C" w14:textId="6A391ED2" w:rsidR="00391A54" w:rsidRPr="00326396" w:rsidRDefault="00391A54" w:rsidP="00391A54">
      <w:pPr>
        <w:spacing w:after="0" w:line="480" w:lineRule="auto"/>
        <w:jc w:val="both"/>
        <w:rPr>
          <w:sz w:val="24"/>
          <w:szCs w:val="24"/>
        </w:rPr>
      </w:pPr>
      <w:r w:rsidRPr="00326396">
        <w:rPr>
          <w:sz w:val="24"/>
          <w:szCs w:val="24"/>
        </w:rPr>
        <w:t>Study data were collated from all SARS-CoV-2 positive patients in the point-of-care</w:t>
      </w:r>
      <w:r w:rsidR="00AC3072">
        <w:rPr>
          <w:sz w:val="24"/>
          <w:szCs w:val="24"/>
        </w:rPr>
        <w:t xml:space="preserve"> testing</w:t>
      </w:r>
      <w:r w:rsidRPr="00326396">
        <w:rPr>
          <w:sz w:val="24"/>
          <w:szCs w:val="24"/>
        </w:rPr>
        <w:t xml:space="preserve"> (POC</w:t>
      </w:r>
      <w:r w:rsidR="00AC3072">
        <w:rPr>
          <w:sz w:val="24"/>
          <w:szCs w:val="24"/>
        </w:rPr>
        <w:t>T</w:t>
      </w:r>
      <w:r w:rsidRPr="00326396">
        <w:rPr>
          <w:sz w:val="24"/>
          <w:szCs w:val="24"/>
        </w:rPr>
        <w:t>) arm of the CoV-19POC trial</w:t>
      </w:r>
      <w:r w:rsidR="00BF5C39">
        <w:rPr>
          <w:sz w:val="24"/>
          <w:szCs w:val="24"/>
        </w:rPr>
        <w:t>, a single centre study evaluating the impact of</w:t>
      </w:r>
      <w:r w:rsidRPr="00326396">
        <w:rPr>
          <w:sz w:val="24"/>
          <w:szCs w:val="24"/>
        </w:rPr>
        <w:t xml:space="preserve"> molecular POCT for SARS-CoV-2</w:t>
      </w:r>
      <w:r>
        <w:rPr>
          <w:sz w:val="24"/>
          <w:szCs w:val="24"/>
        </w:rPr>
        <w:t xml:space="preserve"> in hospital</w:t>
      </w:r>
      <w:r w:rsidRPr="00326396">
        <w:rPr>
          <w:sz w:val="24"/>
          <w:szCs w:val="24"/>
        </w:rPr>
        <w:t>.</w:t>
      </w:r>
      <w:r w:rsidR="00AC3072" w:rsidRPr="00326396">
        <w:rPr>
          <w:sz w:val="24"/>
          <w:szCs w:val="24"/>
        </w:rPr>
        <w:fldChar w:fldCharType="begin" w:fldLock="1"/>
      </w:r>
      <w:r w:rsidR="000829B8">
        <w:rPr>
          <w:sz w:val="24"/>
          <w:szCs w:val="24"/>
        </w:rPr>
        <w:instrText>ADDIN CSL_CITATION {"citationItems":[{"id":"ITEM-1","itemData":{"DOI":"10.1016/S2213-2600(20)30454-9","ISSN":"22132619","PMID":"33038974","abstract":"Background: The management of the COVID-19 pandemic is hampered by long delays associated with centralised laboratory PCR testing. In hospitals, these delays lead to poor patient flow and nosocomial transmission. Rapid, accurate tests are therefore urgently needed in preparation for the next wave of the pandemic. Methods: We did a prospective, interventional, non-randomised, controlled study of molecular point-of-care testing in patients aged 18 years or older presenting with suspected COVID-19 to the emergency department or other acute areas of Southampton General Hospital during the first wave of the pandemic in the UK. Nose and throat swab samples taken at admission from patients in the point-of-care testing group were tested with the QIAstat-Dx Respiratory SARS-CoV-2 Panel. Samples taken from patients in a contemporaneous control group were tested by laboratory PCR. The primary outcome was time to results in the full cohort. This study is registered with ISRCTN (ISRCTN14966673) and is completed. Findings: Between March 20 and April 29, 2020, 517 patients were assessed for eligibility, of whom 499 were recruited to the point-of-care testing group and tested by the QIAstat-Dx Respiratory SARS-CoV-2 Panel. 555 contemporaneously identified patients were included in the control group and tested by laboratory PCR. The two groups were similar with regard to the distribution of sex, age, and ethnicity. 197 (39%) patients in the point-of-care testing group and 155 (28%) in the control group tested positive for COVID-19 (difference 11·5% [95% CI 5·8–17·2], p=0·0001). Median time to results was 1·7 h (IQR 1·6–1·9) in the point-of-care testing group and 21·3 h (16·0–27·9) in the control group (difference 19·6 h [19·0–20·3], p&lt;0·0001). A Cox proportional hazards regression model controlling for age, sex, time of presentation, and severity of illness also showed that time to results was significantly shorter in the point-of-care testing group than in the control group (hazard ratio 4023 [95% CI 545–29 696], p&lt;0·0001). Interpretation: Point-of-care testing is associated with large reductions in time to results and could lead to improvements in infection control measures and patient flow compared with centralised laboratory PCR testing. Funding: University Hospitals Southampton NHS Foundation Trust.","author":[{"dropping-particle":"","family":"Brendish","given":"Nathan J.","non-dropping-particle":"","parse-names":false,"suffix":""},{"dropping-particle":"","family":"Poole","given":"Stephen","non-dropping-particle":"","parse-names":false,"suffix":""},{"dropping-particle":"V.","family":"Naidu","given":"Vasanth","non-dropping-particle":"","parse-names":false,"suffix":""},{"dropping-particle":"","family":"Mansbridge","given":"Christopher T.","non-dropping-particle":"","parse-names":false,"suffix":""},{"dropping-particle":"","family":"Norton","given":"Nicholas J.","non-dropping-particle":"","parse-names":false,"suffix":""},{"dropping-particle":"","family":"Wheeler","given":"Helen","non-dropping-particle":"","parse-names":false,"suffix":""},{"dropping-particle":"","family":"Presland","given":"Laura","non-dropping-particle":"","parse-names":false,"suffix":""},{"dropping-particle":"","family":"Kidd","given":"Stephen","non-dropping-particle":"","parse-names":false,"suffix":""},{"dropping-particle":"","family":"Cortes","given":"Nicholas J.","non-dropping-particle":"","parse-names":false,"suffix":""},{"dropping-particle":"","family":"Borca","given":"Florina","non-dropping-particle":"","parse-names":false,"suffix":""},{"dropping-particle":"","family":"Phan","given":"Hang","non-dropping-particle":"","parse-names":false,"suffix":""},{"dropping-particle":"","family":"Babbage","given":"Gavin","non-dropping-particle":"","parse-names":false,"suffix":""},{"dropping-particle":"","family":"Visseaux","given":"Benoit","non-dropping-particle":"","parse-names":false,"suffix":""},{"dropping-particle":"","family":"Ewings","given":"Sean","non-dropping-particle":"","parse-names":false,"suffix":""},{"dropping-particle":"","family":"Clark","given":"Tristan W.","non-dropping-particle":"","parse-names":false,"suffix":""}],"container-title":"The Lancet Respiratory Medicine","id":"ITEM-1","issue":"12","issued":{"date-parts":[["2020"]]},"page":"1192-1200","publisher":"Elsevier Ltd","title":"Clinical impact of molecular point-of-care testing for suspected COVID-19 in hospital (COV-19POC): a prospective, interventional, non-randomised, controlled study","type":"article-journal","volume":"8"},"uris":["http://www.mendeley.com/documents/?uuid=beab02b0-4e00-4954-a852-e1b07f8aa2cc"]}],"mendeley":{"formattedCitation":"&lt;sup&gt;16&lt;/sup&gt;","plainTextFormattedCitation":"16","previouslyFormattedCitation":"&lt;sup&gt;16&lt;/sup&gt;"},"properties":{"noteIndex":0},"schema":"https://github.com/citation-style-language/schema/raw/master/csl-citation.json"}</w:instrText>
      </w:r>
      <w:r w:rsidR="00AC3072" w:rsidRPr="00326396">
        <w:rPr>
          <w:sz w:val="24"/>
          <w:szCs w:val="24"/>
        </w:rPr>
        <w:fldChar w:fldCharType="separate"/>
      </w:r>
      <w:r w:rsidR="00CC6532" w:rsidRPr="00CC6532">
        <w:rPr>
          <w:noProof/>
          <w:sz w:val="24"/>
          <w:szCs w:val="24"/>
          <w:vertAlign w:val="superscript"/>
        </w:rPr>
        <w:t>16</w:t>
      </w:r>
      <w:r w:rsidR="00AC3072" w:rsidRPr="00326396">
        <w:rPr>
          <w:sz w:val="24"/>
          <w:szCs w:val="24"/>
        </w:rPr>
        <w:fldChar w:fldCharType="end"/>
      </w:r>
      <w:r w:rsidRPr="00326396">
        <w:rPr>
          <w:sz w:val="24"/>
          <w:szCs w:val="24"/>
        </w:rPr>
        <w:t xml:space="preserve"> Inclusion criteria for these patients required that they were adults (&gt;18 years) in the Emergency </w:t>
      </w:r>
      <w:r w:rsidR="00AC3072">
        <w:rPr>
          <w:sz w:val="24"/>
          <w:szCs w:val="24"/>
        </w:rPr>
        <w:t>D</w:t>
      </w:r>
      <w:r w:rsidRPr="00326396">
        <w:rPr>
          <w:sz w:val="24"/>
          <w:szCs w:val="24"/>
        </w:rPr>
        <w:t xml:space="preserve">epartment (ED) or </w:t>
      </w:r>
      <w:r w:rsidR="00AC3072">
        <w:rPr>
          <w:sz w:val="24"/>
          <w:szCs w:val="24"/>
        </w:rPr>
        <w:t>A</w:t>
      </w:r>
      <w:r w:rsidRPr="00326396">
        <w:rPr>
          <w:sz w:val="24"/>
          <w:szCs w:val="24"/>
        </w:rPr>
        <w:t xml:space="preserve">cute </w:t>
      </w:r>
      <w:r w:rsidR="00AC3072">
        <w:rPr>
          <w:sz w:val="24"/>
          <w:szCs w:val="24"/>
        </w:rPr>
        <w:t>M</w:t>
      </w:r>
      <w:r w:rsidRPr="00326396">
        <w:rPr>
          <w:sz w:val="24"/>
          <w:szCs w:val="24"/>
        </w:rPr>
        <w:t xml:space="preserve">edical </w:t>
      </w:r>
      <w:r w:rsidR="00AC3072">
        <w:rPr>
          <w:sz w:val="24"/>
          <w:szCs w:val="24"/>
        </w:rPr>
        <w:t>U</w:t>
      </w:r>
      <w:r w:rsidRPr="00326396">
        <w:rPr>
          <w:sz w:val="24"/>
          <w:szCs w:val="24"/>
        </w:rPr>
        <w:t>nit (AMU) with suspected COVID-19 who were recruited within 24 hours of admission. The study was prospectively registered and approved, full details including inclusion/ exclusion criteria are available in the protocol</w:t>
      </w:r>
      <w:r w:rsidR="00AC3072">
        <w:rPr>
          <w:sz w:val="24"/>
          <w:szCs w:val="24"/>
        </w:rPr>
        <w:t>.</w:t>
      </w:r>
      <w:r w:rsidRPr="00326396">
        <w:rPr>
          <w:sz w:val="24"/>
          <w:szCs w:val="24"/>
        </w:rPr>
        <w:fldChar w:fldCharType="begin" w:fldLock="1"/>
      </w:r>
      <w:r w:rsidR="000829B8">
        <w:rPr>
          <w:sz w:val="24"/>
          <w:szCs w:val="24"/>
        </w:rPr>
        <w:instrText>ADDIN CSL_CITATION {"citationItems":[{"id":"ITEM-1","itemData":{"URL":"https://eprints.soton.ac.uk/439309/2/CoV_19POC_Protocol_v2_0_eprints.pdf.","accessed":{"date-parts":[["2021","2","7"]]},"author":[{"dropping-particle":"","family":"Clark","given":"Tristan W. N","non-dropping-particle":"","parse-names":false,"suffix":""}],"id":"ITEM-1","issued":{"date-parts":[["2020"]]},"title":"Evaluating the clinical impact of routine molecular point-of-care testing for COVID-19 in adults presenting to hospital: A prospective, interventional, non-randomised, controlled study (CoV-19POC) [Protocol]","type":"webpage"},"uris":["http://www.mendeley.com/documents/?uuid=7b00eacc-f68c-4c88-8e7c-f46d325d7868"]}],"mendeley":{"formattedCitation":"&lt;sup&gt;17&lt;/sup&gt;","plainTextFormattedCitation":"17","previouslyFormattedCitation":"&lt;sup&gt;17&lt;/sup&gt;"},"properties":{"noteIndex":0},"schema":"https://github.com/citation-style-language/schema/raw/master/csl-citation.json"}</w:instrText>
      </w:r>
      <w:r w:rsidRPr="00326396">
        <w:rPr>
          <w:sz w:val="24"/>
          <w:szCs w:val="24"/>
        </w:rPr>
        <w:fldChar w:fldCharType="separate"/>
      </w:r>
      <w:r w:rsidR="00CC6532" w:rsidRPr="00CC6532">
        <w:rPr>
          <w:noProof/>
          <w:sz w:val="24"/>
          <w:szCs w:val="24"/>
          <w:vertAlign w:val="superscript"/>
        </w:rPr>
        <w:t>17</w:t>
      </w:r>
      <w:r w:rsidRPr="00326396">
        <w:rPr>
          <w:sz w:val="24"/>
          <w:szCs w:val="24"/>
        </w:rPr>
        <w:fldChar w:fldCharType="end"/>
      </w:r>
    </w:p>
    <w:p w14:paraId="5DAF617D" w14:textId="77777777" w:rsidR="00391A54" w:rsidRPr="000A5D43" w:rsidRDefault="00391A54" w:rsidP="00391A54">
      <w:pPr>
        <w:spacing w:after="0" w:line="480" w:lineRule="auto"/>
        <w:rPr>
          <w:rStyle w:val="Hyperlink"/>
          <w:sz w:val="24"/>
          <w:szCs w:val="24"/>
        </w:rPr>
      </w:pPr>
    </w:p>
    <w:p w14:paraId="2C3BF22C" w14:textId="2CA70DC0" w:rsidR="00391A54" w:rsidRPr="00326396" w:rsidRDefault="00391A54" w:rsidP="00391A54">
      <w:pPr>
        <w:spacing w:after="0" w:line="480" w:lineRule="auto"/>
        <w:jc w:val="both"/>
        <w:rPr>
          <w:sz w:val="24"/>
          <w:szCs w:val="24"/>
        </w:rPr>
      </w:pPr>
      <w:r w:rsidRPr="00326396">
        <w:rPr>
          <w:sz w:val="24"/>
          <w:szCs w:val="24"/>
        </w:rPr>
        <w:t>A combined nasal and pharyngeal swab was obtained from all participants and tested on the QIAstat-Dx PCR platform using the Respiratory SARS-CoV-2 Panel</w:t>
      </w:r>
      <w:r w:rsidR="00AC3072">
        <w:rPr>
          <w:sz w:val="24"/>
          <w:szCs w:val="24"/>
        </w:rPr>
        <w:t>.</w:t>
      </w:r>
      <w:r w:rsidRPr="00326396">
        <w:rPr>
          <w:sz w:val="24"/>
          <w:szCs w:val="24"/>
        </w:rPr>
        <w:fldChar w:fldCharType="begin" w:fldLock="1"/>
      </w:r>
      <w:r w:rsidR="000829B8">
        <w:rPr>
          <w:sz w:val="24"/>
          <w:szCs w:val="24"/>
        </w:rPr>
        <w:instrText>ADDIN CSL_CITATION {"citationItems":[{"id":"ITEM-1","itemData":{"DOI":"10.1371/journal.pone.0230183","ISBN":"1111111111","ISSN":"19326203","PMID":"32163484","abstract":"Acute respiratory tract infections (ARTI), including the common cold, pharyngitis, sinusitis, otitis media, bronchiolitis and pneumonia are the most common diagnoses among patients seeking medical care in western countries, and account for most antibiotic prescriptions. While a confirmed and fast ARTI diagnosis is key for antibiotic prescribing, empiric antimicrobial treatment remains common, because viral symptoms are often clinically similar and difficult to distinguish from those caused by bacteria. As a result, inappropriate antibiotic prescriptions are high and in certain settings likely higher than the commonly estimated 30%. The QIAstat Respiratory Panel® assay (QIAstat RP) is a multiplexed in vitro diagnostics test for the rapid simultaneous detection of 21 pathogens directly from respiratory samples, including human mastadenovirus A-G, primate bocaparvovirus 1+2, human coronavirus (HKU1, NL63, OC43, 229E), human metapneumovirus A/B, rhinovirus/enterovirus, influenza A virus (no subtype, subtype H1, H1N1/2009, H3), influenza B virus, human respirovirus 1+3, human orthorubulavirus 2+4, human orthopneumovirus, Bordetella pertussis, Chlamydia pneumoniae, Mycoplasma pneumoniae and Legionella pneumophila. We describe the first multicenter study of 445 respiratory samples, collected through the 2016–2017 and 2018 respiratory seasons, with performance compared against BioFire FilmArray RP v1.7 and discrepancy testing by Seegene Allplex RP. The QIAstat RP demonstrated a positive percentage of agreement of 98.0% (95% CI: 96.0–99.1%) and a negative percentage agreement of 99.8% (95% CI: 99.6–99.9%). With use of this comprehensive and rapid test, improved patient outcomes and antimicrobial stewardship may potentially be achieved.","author":[{"dropping-particle":"","family":"Parčina","given":"Marijo","non-dropping-particle":"","parse-names":false,"suffix":""},{"dropping-particle":"","family":"Schneider","given":"Uffe Vest","non-dropping-particle":"","parse-names":false,"suffix":""},{"dropping-particle":"","family":"Visseaux","given":"Benoit","non-dropping-particle":"","parse-names":false,"suffix":""},{"dropping-particle":"","family":"Jozić","given":"Robert","non-dropping-particle":"","parse-names":false,"suffix":""},{"dropping-particle":"","family":"Hannet","given":"Irene","non-dropping-particle":"","parse-names":false,"suffix":""},{"dropping-particle":"","family":"Lisby","given":"Jan Gorm","non-dropping-particle":"","parse-names":false,"suffix":""}],"container-title":"PLoS ONE","id":"ITEM-1","issue":"3","issued":{"date-parts":[["2020"]]},"page":"1-12","title":"Multicenter evaluation of the QIAstat Respiratory Panel—A new rapid highly multiplexed PCR based assay for diagnosis of acute respiratory tract infections","type":"article-journal","volume":"15"},"uris":["http://www.mendeley.com/documents/?uuid=178722e8-b0d6-4d83-aee5-d933bec29936"]},{"id":"ITEM-2","itemData":{"DOI":"10.1128/JCM.00630-20","ISSN":"1098660X","PMID":"32341142","abstract":"In the race to contain severe acute respiratory syndrome coronavirus 2 (SARS-CoV-2), efficient detection and triage of infected patients must rely on rapid and reliable testing. In this work, we performed the first evaluation of the QIAstat-Dx respiratory SARS-CoV-2 panel (QIAstat-SARS) for SARS-CoV-2 detection. This assay is the first rapid multiplex PCR (mPCR) assay, including SARS-CoV-2 detection, and is fully compatible with a non-PCR-trained laboratory or point-of-care (PoC) testing. This evaluation was performed using 69 primary clinical samples (66 nasopharyngeal swabs [NPS], 1 bronchoalveolar lavage fluid sample [BAL], 1 tracheal aspirate sample, and 1 bronchial aspirate sample) comparing SARS-CoV-2 detection with the currently WHO-recommended reverse transcription-PCR (RT-PCR) (WHO-RT-PCR) workflow. Additionally, a comparative limit of detection (LoD) assessment was performed for QIAstat-SARS and WHO-RT-PCR using a quantified clinical sample. Compatibility of sample pretreatment for viral neutralization or viscous samples with the QIAstat-SARS system were also tested. The QIAstat-Dx respiratory SARS-CoV-2 panel demonstrated a sensitivity comparable to that of the WHO-recommended assay with a limit of detection at 1,000 copies/ml. The overall percent agreement between QIAstat-Dx SARS and WHO-RT-PCR on 69 clinical samples was 97% with a sensitivity of 100% (40/40) and specificity at 93% (27/29). No cross-reaction was encountered for any other respiratory viruses or bacteria included in the panel. The QIAstat-SARS rapid multiplex PCR panel provides a highly sensitive, robust, and accurate assay for rapid detection of SARS-CoV-2. This assay allows rapid decisions even in non-PCR-trained laboratory or point-of-care testing, allowing innovative organization.","author":[{"dropping-particle":"","family":"Visseaux","given":"Benoit","non-dropping-particle":"","parse-names":false,"suffix":""},{"dropping-particle":"","family":"Hingrat","given":"Quentin","non-dropping-particle":"Le","parse-names":false,"suffix":""},{"dropping-particle":"","family":"Collin","given":"Gilles","non-dropping-particle":"","parse-names":false,"suffix":""},{"dropping-particle":"","family":"Bouzid","given":"Donia","non-dropping-particle":"","parse-names":false,"suffix":""},{"dropping-particle":"","family":"Lebourgeois","given":"Samuel","non-dropping-particle":"","parse-names":false,"suffix":""},{"dropping-particle":"","family":"Pluart","given":"Diane","non-dropping-particle":"Le","parse-names":false,"suffix":""},{"dropping-particle":"","family":"Deconinck","given":"Laurène","non-dropping-particle":"","parse-names":false,"suffix":""},{"dropping-particle":"","family":"Lescure","given":"François Xavier","non-dropping-particle":"","parse-names":false,"suffix":""},{"dropping-particle":"","family":"Lucet","given":"Jean Christophe","non-dropping-particle":"","parse-names":false,"suffix":""},{"dropping-particle":"","family":"Bouadma","given":"Lila","non-dropping-particle":"","parse-names":false,"suffix":""},{"dropping-particle":"","family":"Timsit","given":"Jean François","non-dropping-particle":"","parse-names":false,"suffix":""},{"dropping-particle":"","family":"Descamps","given":"Diane","non-dropping-particle":"","parse-names":false,"suffix":""},{"dropping-particle":"","family":"Yazdanpanah","given":"Yazdan","non-dropping-particle":"","parse-names":false,"suffix":""},{"dropping-particle":"","family":"Casalino","given":"Enrique","non-dropping-particle":"","parse-names":false,"suffix":""},{"dropping-particle":"","family":"Houhou-Fidouh","given":"Nadhira","non-dropping-particle":"","parse-names":false,"suffix":""}],"container-title":"Journal of Clinical Microbiology","id":"ITEM-2","issue":"8","issued":{"date-parts":[["2020"]]},"page":"1-5","title":"Evaluation of the qiastat-dx respiratory sars-cov-2 panel, the first rapid multiplex PCR commercial assay for sars-cov-2 detection","type":"article-journal","volume":"58"},"uris":["http://www.mendeley.com/documents/?uuid=c9c318a7-1fb1-4e01-a7d7-f95feaeaafcd"]}],"mendeley":{"formattedCitation":"&lt;sup&gt;18,19&lt;/sup&gt;","plainTextFormattedCitation":"18,19","previouslyFormattedCitation":"&lt;sup&gt;18,19&lt;/sup&gt;"},"properties":{"noteIndex":0},"schema":"https://github.com/citation-style-language/schema/raw/master/csl-citation.json"}</w:instrText>
      </w:r>
      <w:r w:rsidRPr="00326396">
        <w:rPr>
          <w:sz w:val="24"/>
          <w:szCs w:val="24"/>
        </w:rPr>
        <w:fldChar w:fldCharType="separate"/>
      </w:r>
      <w:r w:rsidR="00CC6532" w:rsidRPr="00CC6532">
        <w:rPr>
          <w:noProof/>
          <w:sz w:val="24"/>
          <w:szCs w:val="24"/>
          <w:vertAlign w:val="superscript"/>
        </w:rPr>
        <w:t>18,19</w:t>
      </w:r>
      <w:r w:rsidRPr="00326396">
        <w:rPr>
          <w:sz w:val="24"/>
          <w:szCs w:val="24"/>
        </w:rPr>
        <w:fldChar w:fldCharType="end"/>
      </w:r>
      <w:r w:rsidRPr="00326396">
        <w:rPr>
          <w:sz w:val="24"/>
          <w:szCs w:val="24"/>
        </w:rPr>
        <w:t xml:space="preserve"> The QIAstat</w:t>
      </w:r>
      <w:r w:rsidR="00EF6177">
        <w:rPr>
          <w:sz w:val="24"/>
          <w:szCs w:val="24"/>
        </w:rPr>
        <w:t>-Dx</w:t>
      </w:r>
      <w:r w:rsidRPr="00326396">
        <w:rPr>
          <w:sz w:val="24"/>
          <w:szCs w:val="24"/>
        </w:rPr>
        <w:t xml:space="preserve"> analyser uses multiplexed real-time PCR. The SARS-CoV-2 gene targets in the panel are the ORF1b and E gene, with detection of either gene reported as a positive result. The lowest Ct value (i.e. highest viral load) for either target detected is displayed on the analyser. </w:t>
      </w:r>
    </w:p>
    <w:p w14:paraId="12C63BD5" w14:textId="77777777" w:rsidR="00391A54" w:rsidRPr="00326396" w:rsidRDefault="00391A54" w:rsidP="00391A54">
      <w:pPr>
        <w:spacing w:after="0" w:line="480" w:lineRule="auto"/>
        <w:jc w:val="both"/>
        <w:rPr>
          <w:sz w:val="24"/>
          <w:szCs w:val="24"/>
        </w:rPr>
      </w:pPr>
    </w:p>
    <w:p w14:paraId="59F2168C" w14:textId="2472E842" w:rsidR="00391A54" w:rsidRDefault="00391A54" w:rsidP="00391A54">
      <w:pPr>
        <w:spacing w:after="0" w:line="480" w:lineRule="auto"/>
        <w:jc w:val="both"/>
        <w:rPr>
          <w:sz w:val="24"/>
          <w:szCs w:val="24"/>
        </w:rPr>
      </w:pPr>
      <w:r w:rsidRPr="00326396">
        <w:rPr>
          <w:sz w:val="24"/>
          <w:szCs w:val="24"/>
        </w:rPr>
        <w:lastRenderedPageBreak/>
        <w:t xml:space="preserve">All patients who were PCR positive after recruitment and remained in </w:t>
      </w:r>
      <w:r>
        <w:rPr>
          <w:sz w:val="24"/>
          <w:szCs w:val="24"/>
        </w:rPr>
        <w:t xml:space="preserve">hospital were approached for a </w:t>
      </w:r>
      <w:r w:rsidRPr="00326396">
        <w:rPr>
          <w:sz w:val="24"/>
          <w:szCs w:val="24"/>
        </w:rPr>
        <w:t xml:space="preserve">blood test within 24 hours. Serum was </w:t>
      </w:r>
      <w:r w:rsidR="00BF5C39">
        <w:rPr>
          <w:sz w:val="24"/>
          <w:szCs w:val="24"/>
        </w:rPr>
        <w:t xml:space="preserve">separated </w:t>
      </w:r>
      <w:r w:rsidRPr="00326396">
        <w:rPr>
          <w:sz w:val="24"/>
          <w:szCs w:val="24"/>
        </w:rPr>
        <w:t>on the day of collection and frozen at -80</w:t>
      </w:r>
      <w:r w:rsidRPr="00326396">
        <w:rPr>
          <w:rFonts w:cstheme="minorHAnsi"/>
          <w:sz w:val="24"/>
          <w:szCs w:val="24"/>
        </w:rPr>
        <w:t>°</w:t>
      </w:r>
      <w:r w:rsidRPr="00326396">
        <w:rPr>
          <w:sz w:val="24"/>
          <w:szCs w:val="24"/>
        </w:rPr>
        <w:t xml:space="preserve">C. </w:t>
      </w:r>
    </w:p>
    <w:p w14:paraId="3757CD3B" w14:textId="77777777" w:rsidR="00391A54" w:rsidRDefault="00391A54" w:rsidP="00391A54">
      <w:pPr>
        <w:spacing w:after="0" w:line="480" w:lineRule="auto"/>
        <w:jc w:val="both"/>
        <w:rPr>
          <w:sz w:val="24"/>
          <w:szCs w:val="24"/>
        </w:rPr>
      </w:pPr>
    </w:p>
    <w:p w14:paraId="3E691824" w14:textId="4DB23EA7" w:rsidR="00391A54" w:rsidRPr="00576184" w:rsidRDefault="00391A54" w:rsidP="00391A54">
      <w:pPr>
        <w:spacing w:after="0" w:line="480" w:lineRule="auto"/>
        <w:jc w:val="both"/>
        <w:rPr>
          <w:b/>
          <w:sz w:val="24"/>
          <w:szCs w:val="24"/>
        </w:rPr>
      </w:pPr>
      <w:r w:rsidRPr="00576184">
        <w:rPr>
          <w:b/>
          <w:sz w:val="24"/>
          <w:szCs w:val="24"/>
        </w:rPr>
        <w:t xml:space="preserve">Measurement of </w:t>
      </w:r>
      <w:r w:rsidR="00F362E1">
        <w:rPr>
          <w:b/>
          <w:sz w:val="24"/>
          <w:szCs w:val="24"/>
        </w:rPr>
        <w:t xml:space="preserve">serum </w:t>
      </w:r>
      <w:r w:rsidRPr="00576184">
        <w:rPr>
          <w:b/>
          <w:sz w:val="24"/>
          <w:szCs w:val="24"/>
        </w:rPr>
        <w:t xml:space="preserve">neutralising antibodies </w:t>
      </w:r>
    </w:p>
    <w:p w14:paraId="60CFF066" w14:textId="7A006676" w:rsidR="00391A54" w:rsidRDefault="00F362E1" w:rsidP="00391A54">
      <w:pPr>
        <w:spacing w:after="0" w:line="480" w:lineRule="auto"/>
        <w:jc w:val="both"/>
        <w:rPr>
          <w:sz w:val="24"/>
          <w:szCs w:val="24"/>
        </w:rPr>
      </w:pPr>
      <w:r>
        <w:rPr>
          <w:sz w:val="24"/>
          <w:szCs w:val="24"/>
        </w:rPr>
        <w:t xml:space="preserve">Measurement of antibodies was performed at the </w:t>
      </w:r>
      <w:r w:rsidRPr="00F362E1">
        <w:rPr>
          <w:sz w:val="24"/>
          <w:szCs w:val="24"/>
        </w:rPr>
        <w:t>Animal and Plant Health A</w:t>
      </w:r>
      <w:r>
        <w:rPr>
          <w:sz w:val="24"/>
          <w:szCs w:val="24"/>
        </w:rPr>
        <w:t xml:space="preserve">gency (APHA), Weybridge, Surrey. </w:t>
      </w:r>
      <w:r w:rsidR="00391A54" w:rsidRPr="00120F3F">
        <w:rPr>
          <w:sz w:val="24"/>
          <w:szCs w:val="24"/>
        </w:rPr>
        <w:t xml:space="preserve">Human blood samples were </w:t>
      </w:r>
      <w:r w:rsidR="00AC3072" w:rsidRPr="00120F3F">
        <w:rPr>
          <w:sz w:val="24"/>
          <w:szCs w:val="24"/>
        </w:rPr>
        <w:t>centrifuged,</w:t>
      </w:r>
      <w:r w:rsidR="00391A54" w:rsidRPr="00120F3F">
        <w:rPr>
          <w:sz w:val="24"/>
          <w:szCs w:val="24"/>
        </w:rPr>
        <w:t xml:space="preserve"> </w:t>
      </w:r>
      <w:r w:rsidR="00391A54">
        <w:rPr>
          <w:sz w:val="24"/>
          <w:szCs w:val="24"/>
        </w:rPr>
        <w:t xml:space="preserve">and the </w:t>
      </w:r>
      <w:r w:rsidR="00391A54" w:rsidRPr="00120F3F">
        <w:rPr>
          <w:sz w:val="24"/>
          <w:szCs w:val="24"/>
        </w:rPr>
        <w:t xml:space="preserve">serum fraction was transferred to </w:t>
      </w:r>
      <w:r w:rsidR="00BF5C39">
        <w:rPr>
          <w:sz w:val="24"/>
          <w:szCs w:val="24"/>
        </w:rPr>
        <w:t>fresh tubes within a</w:t>
      </w:r>
      <w:r w:rsidR="00391A54">
        <w:rPr>
          <w:sz w:val="24"/>
          <w:szCs w:val="24"/>
        </w:rPr>
        <w:t xml:space="preserve"> medical safety cabinet </w:t>
      </w:r>
      <w:r w:rsidR="00391A54" w:rsidRPr="00120F3F">
        <w:rPr>
          <w:sz w:val="24"/>
          <w:szCs w:val="24"/>
        </w:rPr>
        <w:t>and inactivated by heat at 56</w:t>
      </w:r>
      <w:r w:rsidR="00391A54" w:rsidRPr="00120F3F">
        <w:rPr>
          <w:sz w:val="24"/>
          <w:szCs w:val="24"/>
          <w:vertAlign w:val="superscript"/>
        </w:rPr>
        <w:t>o</w:t>
      </w:r>
      <w:r w:rsidR="00391A54" w:rsidRPr="00120F3F">
        <w:rPr>
          <w:sz w:val="24"/>
          <w:szCs w:val="24"/>
        </w:rPr>
        <w:t>C for 30 minutes.</w:t>
      </w:r>
      <w:r w:rsidR="00391A54">
        <w:rPr>
          <w:sz w:val="24"/>
          <w:szCs w:val="24"/>
        </w:rPr>
        <w:t xml:space="preserve"> The virus neutralisation test</w:t>
      </w:r>
      <w:r w:rsidR="00391A54" w:rsidRPr="00120F3F">
        <w:rPr>
          <w:sz w:val="24"/>
          <w:szCs w:val="24"/>
        </w:rPr>
        <w:t xml:space="preserve"> was adapted from </w:t>
      </w:r>
      <w:proofErr w:type="spellStart"/>
      <w:r w:rsidR="00391A54" w:rsidRPr="00120F3F">
        <w:rPr>
          <w:sz w:val="24"/>
          <w:szCs w:val="24"/>
        </w:rPr>
        <w:t>Loeffen</w:t>
      </w:r>
      <w:proofErr w:type="spellEnd"/>
      <w:r w:rsidR="00391A54" w:rsidRPr="00120F3F">
        <w:rPr>
          <w:sz w:val="24"/>
          <w:szCs w:val="24"/>
        </w:rPr>
        <w:t>, et al</w:t>
      </w:r>
      <w:r w:rsidR="00391A54">
        <w:rPr>
          <w:sz w:val="24"/>
          <w:szCs w:val="24"/>
        </w:rPr>
        <w:t>.</w:t>
      </w:r>
      <w:r w:rsidR="00391A54">
        <w:rPr>
          <w:sz w:val="24"/>
          <w:szCs w:val="24"/>
        </w:rPr>
        <w:fldChar w:fldCharType="begin" w:fldLock="1"/>
      </w:r>
      <w:r w:rsidR="000829B8">
        <w:rPr>
          <w:sz w:val="24"/>
          <w:szCs w:val="24"/>
        </w:rPr>
        <w:instrText>ADDIN CSL_CITATION {"citationItems":[{"id":"ITEM-1","itemData":{"DOI":"10.1186/1751-0147-54-44","ISSN":"17510147","PMID":"22871162","abstract":"At the end of 2011, a new orthobunyavirus, tentatively named Schmallenberg virus (SBV), was discovered in Germany. This virus has since been associated with clinical signs of decreased milk production, watery diarrhoea and fever in dairy cows, and subsequently also with congenital malformations in calves, lambs and goat kids. In affected countries, initial surveillance for the infection was based on examination of malformed progeny. These suspicions were followed up by real-time reverse transcription polymerase chain reaction (RT-PCR) on brain tissue. For epidemiological purposes, a serological assay was, however, needed. A virus neutralisation test (VNT) was developed and optimized, and subsequently evaluated. This VNT has a specificity of &gt;99% and the sensitivity is likely also very close to 100%. The assay is highly repeatable and reproducible. The final assay was used to test for antibodies in cows, ewes and does from herds known to be infected or suspected to be so. Targets for sampling in these herds were the mothers of malformed offspring. In herds with an RT-PCR confirmed SBV infection, more than 94% (190 out of 201) of the ewes and 99% (145 out of 146) of the cows were seropositive. In herds with suspicion of SBV infection based on birth of malformed offspring only (no or negative RT-PCR), more than 90% (231 out of 255) of the ewes and 95% (795 out of 834) of the cows were seropositive. In goats, on the other hand, only a low number of seropositives was found: overall 36.4%, being 16 out of 44 goats tested. Given the characteristics of this VNT, it can be used at a relative high throughput for testing of animals for export, surveillance, screening and research purposes, but can also be used as a confirmation test for commercially available enzyme-linked immunosorbent assays (ELISA's) and for (relative) quantification of antibodies.Suspicions of SBV infections that were confirmed by RT-PCR were almost always confirmed by serology in cows. Due to individual registration and identification of cows and calves, affected offspring could almost always be traced back to the mother. Ewes on the other hand were not always the mothers of affected lambs, but were in many cases herd mates with unaffected lambs. This indicated a high within-herd seroprevalence of antibodies against SBV.","author":[{"dropping-particle":"","family":"Loeffen","given":"Willie","non-dropping-particle":"","parse-names":false,"suffix":""},{"dropping-particle":"","family":"Quak","given":"Sjaak","non-dropping-particle":"","parse-names":false,"suffix":""},{"dropping-particle":"","family":"Boer-Luijtze","given":"Els","non-dropping-particle":"de","parse-names":false,"suffix":""},{"dropping-particle":"","family":"Hulst","given":"Marcel","non-dropping-particle":"","parse-names":false,"suffix":""},{"dropping-particle":"","family":"Poel","given":"Wim","non-dropping-particle":"van der","parse-names":false,"suffix":""},{"dropping-particle":"","family":"Bouwstra","given":"Ruth","non-dropping-particle":"","parse-names":false,"suffix":""},{"dropping-particle":"","family":"Maas","given":"Riks","non-dropping-particle":"","parse-names":false,"suffix":""}],"container-title":"Acta veterinaria Scandinavica","id":"ITEM-1","issued":{"date-parts":[["2012"]]},"page":"44","title":"Development of a virus neutralisation test to detect antibodies against Schmallenberg virus and serological results in suspect and infected herds.","type":"article-journal","volume":"54"},"uris":["http://www.mendeley.com/documents/?uuid=e6b98213-383f-4860-949e-cd9f8768eaf0"]}],"mendeley":{"formattedCitation":"&lt;sup&gt;20&lt;/sup&gt;","plainTextFormattedCitation":"20","previouslyFormattedCitation":"&lt;sup&gt;20&lt;/sup&gt;"},"properties":{"noteIndex":0},"schema":"https://github.com/citation-style-language/schema/raw/master/csl-citation.json"}</w:instrText>
      </w:r>
      <w:r w:rsidR="00391A54">
        <w:rPr>
          <w:sz w:val="24"/>
          <w:szCs w:val="24"/>
        </w:rPr>
        <w:fldChar w:fldCharType="separate"/>
      </w:r>
      <w:r w:rsidR="00CC6532" w:rsidRPr="00CC6532">
        <w:rPr>
          <w:noProof/>
          <w:sz w:val="24"/>
          <w:szCs w:val="24"/>
          <w:vertAlign w:val="superscript"/>
        </w:rPr>
        <w:t>20</w:t>
      </w:r>
      <w:r w:rsidR="00391A54">
        <w:rPr>
          <w:sz w:val="24"/>
          <w:szCs w:val="24"/>
        </w:rPr>
        <w:fldChar w:fldCharType="end"/>
      </w:r>
      <w:r w:rsidR="00391A54" w:rsidRPr="00120F3F">
        <w:rPr>
          <w:sz w:val="24"/>
          <w:szCs w:val="24"/>
        </w:rPr>
        <w:t xml:space="preserve"> In 96 well plate format, in quadruplicate, two-fold dilutions were made of the serum sample in virus growth media</w:t>
      </w:r>
      <w:r w:rsidR="00391A54">
        <w:rPr>
          <w:sz w:val="24"/>
          <w:szCs w:val="24"/>
        </w:rPr>
        <w:t xml:space="preserve">. </w:t>
      </w:r>
      <w:r w:rsidR="00391A54" w:rsidRPr="00120F3F">
        <w:rPr>
          <w:sz w:val="24"/>
          <w:szCs w:val="24"/>
        </w:rPr>
        <w:t>100 TCID</w:t>
      </w:r>
      <w:r w:rsidR="00391A54" w:rsidRPr="00120F3F">
        <w:rPr>
          <w:sz w:val="24"/>
          <w:szCs w:val="24"/>
          <w:vertAlign w:val="subscript"/>
        </w:rPr>
        <w:t>50</w:t>
      </w:r>
      <w:r w:rsidR="00391A54" w:rsidRPr="00120F3F">
        <w:rPr>
          <w:sz w:val="24"/>
          <w:szCs w:val="24"/>
        </w:rPr>
        <w:t xml:space="preserve"> of SARS-CoV-2 virus (2019-nCoV/Italy - INMI 1 [GISAID ID EPI_ISL_410545]) was added to each well. Plates were se</w:t>
      </w:r>
      <w:r w:rsidR="00BF5C39">
        <w:rPr>
          <w:sz w:val="24"/>
          <w:szCs w:val="24"/>
        </w:rPr>
        <w:t>aled and incubated at 37 °C with 5</w:t>
      </w:r>
      <w:r w:rsidR="00391A54" w:rsidRPr="00120F3F">
        <w:rPr>
          <w:sz w:val="24"/>
          <w:szCs w:val="24"/>
        </w:rPr>
        <w:t>% CO</w:t>
      </w:r>
      <w:r w:rsidR="00391A54" w:rsidRPr="00120F3F">
        <w:rPr>
          <w:sz w:val="24"/>
          <w:szCs w:val="24"/>
          <w:vertAlign w:val="subscript"/>
        </w:rPr>
        <w:t>2</w:t>
      </w:r>
      <w:r w:rsidR="00391A54" w:rsidRPr="00120F3F">
        <w:rPr>
          <w:sz w:val="24"/>
          <w:szCs w:val="24"/>
        </w:rPr>
        <w:t xml:space="preserve"> for 1 hour. Back titration of input virus was performed for each aliquot used by two-fold serial dilution in virus growth media. A negative control plate was also included. After incubation, a suspension of 5x10</w:t>
      </w:r>
      <w:r w:rsidR="00391A54" w:rsidRPr="00120F3F">
        <w:rPr>
          <w:sz w:val="24"/>
          <w:szCs w:val="24"/>
          <w:vertAlign w:val="superscript"/>
        </w:rPr>
        <w:t>4</w:t>
      </w:r>
      <w:r w:rsidR="00391A54" w:rsidRPr="00120F3F">
        <w:rPr>
          <w:sz w:val="24"/>
          <w:szCs w:val="24"/>
        </w:rPr>
        <w:t xml:space="preserve"> Vero E6 cells were added to each well. Plates were sealed and </w:t>
      </w:r>
      <w:r w:rsidR="00391A54">
        <w:rPr>
          <w:sz w:val="24"/>
          <w:szCs w:val="24"/>
        </w:rPr>
        <w:t>incubated for 5 days at 37°C with</w:t>
      </w:r>
      <w:r w:rsidR="00391A54" w:rsidRPr="00120F3F">
        <w:rPr>
          <w:sz w:val="24"/>
          <w:szCs w:val="24"/>
        </w:rPr>
        <w:t xml:space="preserve"> 5% CO</w:t>
      </w:r>
      <w:r w:rsidR="00391A54" w:rsidRPr="00120F3F">
        <w:rPr>
          <w:sz w:val="24"/>
          <w:szCs w:val="24"/>
          <w:vertAlign w:val="subscript"/>
        </w:rPr>
        <w:t>2</w:t>
      </w:r>
      <w:r w:rsidR="00391A54" w:rsidRPr="00120F3F">
        <w:rPr>
          <w:sz w:val="24"/>
          <w:szCs w:val="24"/>
        </w:rPr>
        <w:t>. Each well was visuali</w:t>
      </w:r>
      <w:r w:rsidR="00BF5C39">
        <w:rPr>
          <w:sz w:val="24"/>
          <w:szCs w:val="24"/>
        </w:rPr>
        <w:t xml:space="preserve">sed for cytopathic effect </w:t>
      </w:r>
      <w:r w:rsidR="00391A54" w:rsidRPr="00120F3F">
        <w:rPr>
          <w:sz w:val="24"/>
          <w:szCs w:val="24"/>
        </w:rPr>
        <w:t>under a microscope. The titre of the virus and the samples were calculated using Spe</w:t>
      </w:r>
      <w:r w:rsidR="005B5BE3">
        <w:rPr>
          <w:sz w:val="24"/>
          <w:szCs w:val="24"/>
        </w:rPr>
        <w:t>a</w:t>
      </w:r>
      <w:r w:rsidR="00391A54" w:rsidRPr="00120F3F">
        <w:rPr>
          <w:sz w:val="24"/>
          <w:szCs w:val="24"/>
        </w:rPr>
        <w:t>rman-</w:t>
      </w:r>
      <w:proofErr w:type="spellStart"/>
      <w:r w:rsidR="00391A54" w:rsidRPr="00120F3F">
        <w:rPr>
          <w:sz w:val="24"/>
          <w:szCs w:val="24"/>
        </w:rPr>
        <w:t>Karber</w:t>
      </w:r>
      <w:proofErr w:type="spellEnd"/>
      <w:r w:rsidR="00391A54" w:rsidRPr="00120F3F">
        <w:rPr>
          <w:sz w:val="24"/>
          <w:szCs w:val="24"/>
        </w:rPr>
        <w:t xml:space="preserve"> method and displayed as inhibitory concentration 50% (IC</w:t>
      </w:r>
      <w:r w:rsidR="00391A54" w:rsidRPr="00120F3F">
        <w:rPr>
          <w:sz w:val="24"/>
          <w:szCs w:val="24"/>
          <w:vertAlign w:val="subscript"/>
        </w:rPr>
        <w:t>50</w:t>
      </w:r>
      <w:r w:rsidR="00391A54" w:rsidRPr="00120F3F">
        <w:rPr>
          <w:sz w:val="24"/>
          <w:szCs w:val="24"/>
        </w:rPr>
        <w:t>). The limit of detection was 2.82 IC</w:t>
      </w:r>
      <w:r w:rsidR="00391A54" w:rsidRPr="00120F3F">
        <w:rPr>
          <w:sz w:val="24"/>
          <w:szCs w:val="24"/>
          <w:vertAlign w:val="subscript"/>
        </w:rPr>
        <w:t>50</w:t>
      </w:r>
      <w:r w:rsidR="00391A54">
        <w:rPr>
          <w:sz w:val="24"/>
          <w:szCs w:val="24"/>
        </w:rPr>
        <w:t xml:space="preserve"> with all titre above this being considered positive. </w:t>
      </w:r>
    </w:p>
    <w:p w14:paraId="7A8605D6" w14:textId="77777777" w:rsidR="00681A42" w:rsidRDefault="00681A42" w:rsidP="00391A54">
      <w:pPr>
        <w:spacing w:after="0" w:line="480" w:lineRule="auto"/>
        <w:jc w:val="both"/>
        <w:rPr>
          <w:sz w:val="24"/>
          <w:szCs w:val="24"/>
        </w:rPr>
      </w:pPr>
    </w:p>
    <w:p w14:paraId="38CFEDE6" w14:textId="77777777" w:rsidR="00391A54" w:rsidRPr="00326396" w:rsidRDefault="00391A54" w:rsidP="00391A54">
      <w:pPr>
        <w:spacing w:after="0" w:line="480" w:lineRule="auto"/>
        <w:jc w:val="both"/>
        <w:rPr>
          <w:b/>
          <w:sz w:val="24"/>
          <w:szCs w:val="24"/>
        </w:rPr>
      </w:pPr>
      <w:r w:rsidRPr="00326396">
        <w:rPr>
          <w:b/>
          <w:sz w:val="24"/>
          <w:szCs w:val="24"/>
        </w:rPr>
        <w:t>Comparison of Viral load (Ct value)</w:t>
      </w:r>
    </w:p>
    <w:p w14:paraId="1BE6648D" w14:textId="65B2CFBD" w:rsidR="00391A54" w:rsidRDefault="00391A54" w:rsidP="00391A54">
      <w:pPr>
        <w:spacing w:after="0" w:line="480" w:lineRule="auto"/>
        <w:jc w:val="both"/>
        <w:rPr>
          <w:sz w:val="24"/>
          <w:szCs w:val="24"/>
          <w:vertAlign w:val="superscript"/>
        </w:rPr>
      </w:pPr>
      <w:r w:rsidRPr="00326396">
        <w:rPr>
          <w:sz w:val="24"/>
          <w:szCs w:val="24"/>
        </w:rPr>
        <w:t xml:space="preserve">Cycle threshold (Ct) value is derived from the number of amplification cycles needed during real time PCR for sufficient gene amplification to produce a probe-based fluorescent signal that crosses a predefined threshold. The Ct value is inversely correlated to the quantitative </w:t>
      </w:r>
      <w:r w:rsidRPr="00326396">
        <w:rPr>
          <w:sz w:val="24"/>
          <w:szCs w:val="24"/>
        </w:rPr>
        <w:lastRenderedPageBreak/>
        <w:t>viral load i.e</w:t>
      </w:r>
      <w:r w:rsidR="00EF6177">
        <w:rPr>
          <w:sz w:val="24"/>
          <w:szCs w:val="24"/>
        </w:rPr>
        <w:t>.</w:t>
      </w:r>
      <w:r w:rsidRPr="00326396">
        <w:rPr>
          <w:sz w:val="24"/>
          <w:szCs w:val="24"/>
        </w:rPr>
        <w:t xml:space="preserve"> a low Ct value corresponds with a high viral load. For this study, viral load (Ct values) was categorised into three groups</w:t>
      </w:r>
      <w:r w:rsidR="002A24BE">
        <w:rPr>
          <w:sz w:val="24"/>
          <w:szCs w:val="24"/>
        </w:rPr>
        <w:t>:</w:t>
      </w:r>
      <w:r w:rsidRPr="00326396">
        <w:rPr>
          <w:sz w:val="24"/>
          <w:szCs w:val="24"/>
        </w:rPr>
        <w:t xml:space="preserve"> high (Ct value </w:t>
      </w:r>
      <w:r w:rsidRPr="00326396">
        <w:rPr>
          <w:rFonts w:cstheme="minorHAnsi"/>
          <w:sz w:val="24"/>
          <w:szCs w:val="24"/>
        </w:rPr>
        <w:t>≤</w:t>
      </w:r>
      <w:r w:rsidRPr="00326396">
        <w:rPr>
          <w:sz w:val="24"/>
          <w:szCs w:val="24"/>
        </w:rPr>
        <w:t xml:space="preserve">20), moderate (Ct value of </w:t>
      </w:r>
      <w:r w:rsidRPr="00326396">
        <w:rPr>
          <w:rFonts w:cstheme="minorHAnsi"/>
          <w:sz w:val="24"/>
          <w:szCs w:val="24"/>
        </w:rPr>
        <w:t>≥20.1 to 29.9</w:t>
      </w:r>
      <w:r w:rsidRPr="00326396">
        <w:rPr>
          <w:sz w:val="24"/>
          <w:szCs w:val="24"/>
        </w:rPr>
        <w:t xml:space="preserve">) and low (Ct value of </w:t>
      </w:r>
      <w:r w:rsidRPr="00326396">
        <w:rPr>
          <w:rFonts w:cstheme="minorHAnsi"/>
          <w:sz w:val="24"/>
          <w:szCs w:val="24"/>
        </w:rPr>
        <w:t>≥</w:t>
      </w:r>
      <w:r w:rsidRPr="00326396">
        <w:rPr>
          <w:sz w:val="24"/>
          <w:szCs w:val="24"/>
        </w:rPr>
        <w:t xml:space="preserve">30). </w:t>
      </w:r>
      <w:r w:rsidR="005B4FA9">
        <w:rPr>
          <w:sz w:val="24"/>
          <w:szCs w:val="24"/>
        </w:rPr>
        <w:t xml:space="preserve">These Ct value categories are </w:t>
      </w:r>
      <w:proofErr w:type="gramStart"/>
      <w:r w:rsidR="005B4FA9">
        <w:rPr>
          <w:sz w:val="24"/>
          <w:szCs w:val="24"/>
        </w:rPr>
        <w:t>similar to</w:t>
      </w:r>
      <w:proofErr w:type="gramEnd"/>
      <w:r w:rsidR="005B4FA9">
        <w:rPr>
          <w:sz w:val="24"/>
          <w:szCs w:val="24"/>
        </w:rPr>
        <w:t xml:space="preserve"> </w:t>
      </w:r>
      <w:r w:rsidR="000055BB">
        <w:rPr>
          <w:sz w:val="24"/>
          <w:szCs w:val="24"/>
        </w:rPr>
        <w:t xml:space="preserve">categories </w:t>
      </w:r>
      <w:r w:rsidR="005B4FA9">
        <w:rPr>
          <w:sz w:val="24"/>
          <w:szCs w:val="24"/>
        </w:rPr>
        <w:t xml:space="preserve">used in </w:t>
      </w:r>
      <w:r w:rsidR="00233097">
        <w:rPr>
          <w:sz w:val="24"/>
          <w:szCs w:val="24"/>
        </w:rPr>
        <w:t xml:space="preserve">published </w:t>
      </w:r>
      <w:r w:rsidR="005B4FA9">
        <w:rPr>
          <w:sz w:val="24"/>
          <w:szCs w:val="24"/>
        </w:rPr>
        <w:t>studies.</w:t>
      </w:r>
      <w:r w:rsidR="005B4FA9" w:rsidRPr="005B4FA9">
        <w:rPr>
          <w:sz w:val="24"/>
          <w:szCs w:val="24"/>
          <w:vertAlign w:val="superscript"/>
        </w:rPr>
        <w:t>10,11</w:t>
      </w:r>
    </w:p>
    <w:p w14:paraId="0DD230C4" w14:textId="77777777" w:rsidR="00233097" w:rsidRPr="00326396" w:rsidRDefault="00233097" w:rsidP="00391A54">
      <w:pPr>
        <w:spacing w:after="0" w:line="480" w:lineRule="auto"/>
        <w:jc w:val="both"/>
        <w:rPr>
          <w:sz w:val="24"/>
          <w:szCs w:val="24"/>
        </w:rPr>
      </w:pPr>
    </w:p>
    <w:p w14:paraId="1B3163B5" w14:textId="5132CB41" w:rsidR="00391A54" w:rsidRPr="00326396" w:rsidRDefault="00391A54" w:rsidP="00391A54">
      <w:pPr>
        <w:spacing w:after="0" w:line="480" w:lineRule="auto"/>
        <w:jc w:val="both"/>
        <w:rPr>
          <w:b/>
          <w:sz w:val="24"/>
          <w:szCs w:val="24"/>
        </w:rPr>
      </w:pPr>
      <w:r w:rsidRPr="00326396">
        <w:rPr>
          <w:b/>
          <w:sz w:val="24"/>
          <w:szCs w:val="24"/>
        </w:rPr>
        <w:t>Data collection and outcome measures</w:t>
      </w:r>
    </w:p>
    <w:p w14:paraId="2FC2DE81" w14:textId="24AC4E5D" w:rsidR="00AC3072" w:rsidRDefault="00391A54" w:rsidP="00AC3072">
      <w:pPr>
        <w:spacing w:after="0" w:line="480" w:lineRule="auto"/>
        <w:jc w:val="both"/>
        <w:rPr>
          <w:sz w:val="24"/>
          <w:szCs w:val="24"/>
        </w:rPr>
      </w:pPr>
      <w:r w:rsidRPr="00326396">
        <w:rPr>
          <w:sz w:val="24"/>
          <w:szCs w:val="24"/>
        </w:rPr>
        <w:t xml:space="preserve">Baseline data were collected prospectively at enrolment and outcome data collected retrospectively from patient case-notes and hospital information systems.  </w:t>
      </w:r>
    </w:p>
    <w:p w14:paraId="0146FFC9" w14:textId="77777777" w:rsidR="00233097" w:rsidRDefault="00233097" w:rsidP="00AC3072">
      <w:pPr>
        <w:spacing w:after="0" w:line="480" w:lineRule="auto"/>
        <w:jc w:val="both"/>
        <w:rPr>
          <w:sz w:val="24"/>
          <w:szCs w:val="24"/>
        </w:rPr>
      </w:pPr>
    </w:p>
    <w:p w14:paraId="3C92A7B3" w14:textId="001138F6" w:rsidR="00391A54" w:rsidRPr="00AC3072" w:rsidRDefault="00391A54" w:rsidP="00AC3072">
      <w:pPr>
        <w:spacing w:after="0" w:line="480" w:lineRule="auto"/>
        <w:jc w:val="both"/>
        <w:rPr>
          <w:sz w:val="24"/>
          <w:szCs w:val="24"/>
        </w:rPr>
      </w:pPr>
      <w:r w:rsidRPr="00326396">
        <w:rPr>
          <w:b/>
          <w:sz w:val="24"/>
          <w:szCs w:val="24"/>
        </w:rPr>
        <w:t>Statistical analysis</w:t>
      </w:r>
    </w:p>
    <w:p w14:paraId="61384043" w14:textId="1F82C53D" w:rsidR="00391A54" w:rsidRDefault="00391A54" w:rsidP="00391A54">
      <w:pPr>
        <w:spacing w:after="0" w:line="480" w:lineRule="auto"/>
        <w:jc w:val="both"/>
        <w:rPr>
          <w:sz w:val="24"/>
          <w:szCs w:val="24"/>
        </w:rPr>
      </w:pPr>
      <w:r w:rsidRPr="00326396">
        <w:rPr>
          <w:sz w:val="24"/>
          <w:szCs w:val="24"/>
        </w:rPr>
        <w:t>Statistical analysis was performed using GraphPad Prism version 9.0.1 (GraphPad Software, La Jolla, CA, USA), Python version 3.7 and R version</w:t>
      </w:r>
      <w:r>
        <w:rPr>
          <w:sz w:val="24"/>
          <w:szCs w:val="24"/>
        </w:rPr>
        <w:t xml:space="preserve"> 4.0.3. </w:t>
      </w:r>
      <w:r w:rsidRPr="00326396">
        <w:rPr>
          <w:sz w:val="24"/>
          <w:szCs w:val="24"/>
        </w:rPr>
        <w:t xml:space="preserve">We compared baseline characteristics and outcomes of hospitalised patients with SARS-CoV-2 who had high (Ct &lt;20), medium (Ct 20.1-29.9), and low (Ct &gt;30) initial viral loads. For categorical variables difference in proportions were analysed using Fisher’s exact test or Chi-squared test as appropriate. Continuous variables were analysed using Mann-Whitney U or </w:t>
      </w:r>
      <w:proofErr w:type="spellStart"/>
      <w:r w:rsidRPr="00326396">
        <w:rPr>
          <w:sz w:val="24"/>
          <w:szCs w:val="24"/>
        </w:rPr>
        <w:t>Kruskall</w:t>
      </w:r>
      <w:proofErr w:type="spellEnd"/>
      <w:r w:rsidRPr="00326396">
        <w:rPr>
          <w:sz w:val="24"/>
          <w:szCs w:val="24"/>
        </w:rPr>
        <w:t xml:space="preserve">-Wallis test and are expressed as median and interquartile range [IQR]. Correlations between two continuous variables were analysed using a two-tail Spearman’s rank correlation coefficient. A two-sided p-value of &lt;0.05 was used for defining significance. 95% confidence intervals (CI) were calculated using the Clopper-Pearson exact method. Missing data is </w:t>
      </w:r>
      <w:r w:rsidRPr="00326396">
        <w:rPr>
          <w:rFonts w:cstheme="minorHAnsi"/>
          <w:sz w:val="24"/>
          <w:szCs w:val="24"/>
        </w:rPr>
        <w:t>≤</w:t>
      </w:r>
      <w:r w:rsidRPr="00326396">
        <w:rPr>
          <w:sz w:val="24"/>
          <w:szCs w:val="24"/>
        </w:rPr>
        <w:t xml:space="preserve">3% unless </w:t>
      </w:r>
      <w:r w:rsidR="00AC3072">
        <w:rPr>
          <w:sz w:val="24"/>
          <w:szCs w:val="24"/>
        </w:rPr>
        <w:t xml:space="preserve">otherwise </w:t>
      </w:r>
      <w:r w:rsidRPr="00326396">
        <w:rPr>
          <w:sz w:val="24"/>
          <w:szCs w:val="24"/>
        </w:rPr>
        <w:t xml:space="preserve">stated in all analyses. </w:t>
      </w:r>
    </w:p>
    <w:p w14:paraId="46063A0F" w14:textId="77777777" w:rsidR="00391A54" w:rsidRPr="00326396" w:rsidRDefault="00391A54" w:rsidP="00391A54">
      <w:pPr>
        <w:spacing w:after="0" w:line="480" w:lineRule="auto"/>
        <w:jc w:val="both"/>
        <w:rPr>
          <w:sz w:val="24"/>
          <w:szCs w:val="24"/>
        </w:rPr>
      </w:pPr>
    </w:p>
    <w:p w14:paraId="05FFB312" w14:textId="17D8656C" w:rsidR="00391A54" w:rsidRPr="00391A54" w:rsidRDefault="00391A54" w:rsidP="00F91298">
      <w:pPr>
        <w:pStyle w:val="NormalWeb"/>
        <w:spacing w:after="0" w:line="480" w:lineRule="auto"/>
        <w:jc w:val="both"/>
        <w:rPr>
          <w:rFonts w:asciiTheme="minorHAnsi" w:hAnsiTheme="minorHAnsi" w:cstheme="minorHAnsi"/>
          <w:color w:val="000000" w:themeColor="text1"/>
        </w:rPr>
      </w:pPr>
      <w:r w:rsidRPr="00326396">
        <w:rPr>
          <w:rFonts w:asciiTheme="minorHAnsi" w:hAnsiTheme="minorHAnsi" w:cstheme="minorHAnsi"/>
          <w:color w:val="000000" w:themeColor="text1"/>
        </w:rPr>
        <w:lastRenderedPageBreak/>
        <w:t>Multivariate logistic regression model</w:t>
      </w:r>
      <w:r w:rsidR="00BF5C39">
        <w:rPr>
          <w:rFonts w:asciiTheme="minorHAnsi" w:hAnsiTheme="minorHAnsi" w:cstheme="minorHAnsi"/>
          <w:color w:val="000000" w:themeColor="text1"/>
        </w:rPr>
        <w:t>ling was performed</w:t>
      </w:r>
      <w:r w:rsidRPr="00326396">
        <w:rPr>
          <w:rFonts w:asciiTheme="minorHAnsi" w:hAnsiTheme="minorHAnsi" w:cstheme="minorHAnsi"/>
          <w:color w:val="000000" w:themeColor="text1"/>
        </w:rPr>
        <w:t xml:space="preserve"> for outcome</w:t>
      </w:r>
      <w:r w:rsidR="00BF5C39">
        <w:rPr>
          <w:rFonts w:asciiTheme="minorHAnsi" w:hAnsiTheme="minorHAnsi" w:cstheme="minorHAnsi"/>
          <w:color w:val="000000" w:themeColor="text1"/>
        </w:rPr>
        <w:t>s</w:t>
      </w:r>
      <w:r w:rsidRPr="00326396">
        <w:rPr>
          <w:rFonts w:asciiTheme="minorHAnsi" w:hAnsiTheme="minorHAnsi" w:cstheme="minorHAnsi"/>
          <w:color w:val="000000" w:themeColor="text1"/>
        </w:rPr>
        <w:t xml:space="preserve"> of in-hospital mortality and ICU admission, </w:t>
      </w:r>
      <w:r w:rsidR="00BF5C39">
        <w:rPr>
          <w:rFonts w:asciiTheme="minorHAnsi" w:hAnsiTheme="minorHAnsi" w:cstheme="minorHAnsi"/>
          <w:color w:val="000000" w:themeColor="text1"/>
        </w:rPr>
        <w:t xml:space="preserve">considering </w:t>
      </w:r>
      <w:r w:rsidRPr="00326396">
        <w:rPr>
          <w:rFonts w:asciiTheme="minorHAnsi" w:hAnsiTheme="minorHAnsi" w:cstheme="minorHAnsi"/>
          <w:color w:val="000000" w:themeColor="text1"/>
        </w:rPr>
        <w:t>the pairwise interactions between Ct values, symptom duration and age</w:t>
      </w:r>
      <w:r w:rsidR="00BF5C39">
        <w:rPr>
          <w:rFonts w:asciiTheme="minorHAnsi" w:hAnsiTheme="minorHAnsi" w:cstheme="minorHAnsi"/>
          <w:color w:val="000000" w:themeColor="text1"/>
        </w:rPr>
        <w:t xml:space="preserve"> in addition to other variables</w:t>
      </w:r>
      <w:r w:rsidRPr="00326396">
        <w:rPr>
          <w:rFonts w:asciiTheme="minorHAnsi" w:hAnsiTheme="minorHAnsi" w:cstheme="minorHAnsi"/>
          <w:color w:val="000000" w:themeColor="text1"/>
        </w:rPr>
        <w:t xml:space="preserve">. </w:t>
      </w:r>
      <w:r w:rsidR="00BF5C39">
        <w:rPr>
          <w:rFonts w:asciiTheme="minorHAnsi" w:hAnsiTheme="minorHAnsi" w:cstheme="minorHAnsi"/>
          <w:color w:val="000000" w:themeColor="text1"/>
        </w:rPr>
        <w:t xml:space="preserve">For pairwise interactions, </w:t>
      </w:r>
      <w:r w:rsidRPr="00326396">
        <w:rPr>
          <w:rFonts w:asciiTheme="minorHAnsi" w:hAnsiTheme="minorHAnsi" w:cstheme="minorHAnsi"/>
          <w:color w:val="000000" w:themeColor="text1"/>
        </w:rPr>
        <w:t>Ct values, age and symptom duration were centred around their means</w:t>
      </w:r>
      <w:r>
        <w:rPr>
          <w:rFonts w:asciiTheme="minorHAnsi" w:hAnsiTheme="minorHAnsi" w:cstheme="minorHAnsi"/>
          <w:color w:val="000000" w:themeColor="text1"/>
        </w:rPr>
        <w:t xml:space="preserve"> </w:t>
      </w:r>
      <w:r w:rsidRPr="00326396">
        <w:rPr>
          <w:rFonts w:asciiTheme="minorHAnsi" w:hAnsiTheme="minorHAnsi" w:cstheme="minorHAnsi"/>
          <w:color w:val="000000" w:themeColor="text1"/>
        </w:rPr>
        <w:t>before computing the interaction term</w:t>
      </w:r>
      <w:r w:rsidR="00B1283A">
        <w:rPr>
          <w:rFonts w:asciiTheme="minorHAnsi" w:hAnsiTheme="minorHAnsi" w:cstheme="minorHAnsi"/>
          <w:color w:val="000000" w:themeColor="text1"/>
        </w:rPr>
        <w:t>s</w:t>
      </w:r>
      <w:r w:rsidR="00AC3072">
        <w:rPr>
          <w:rFonts w:asciiTheme="minorHAnsi" w:hAnsiTheme="minorHAnsi" w:cstheme="minorHAnsi"/>
          <w:color w:val="000000" w:themeColor="text1"/>
        </w:rPr>
        <w:t>.</w:t>
      </w:r>
      <w:r>
        <w:rPr>
          <w:rFonts w:asciiTheme="minorHAnsi" w:hAnsiTheme="minorHAnsi" w:cstheme="minorHAnsi"/>
          <w:color w:val="000000" w:themeColor="text1"/>
        </w:rPr>
        <w:fldChar w:fldCharType="begin" w:fldLock="1"/>
      </w:r>
      <w:r w:rsidR="000829B8">
        <w:rPr>
          <w:rFonts w:asciiTheme="minorHAnsi" w:hAnsiTheme="minorHAnsi" w:cstheme="minorHAnsi"/>
          <w:color w:val="000000" w:themeColor="text1"/>
        </w:rPr>
        <w:instrText>ADDIN CSL_CITATION {"citationItems":[{"id":"ITEM-1","itemData":{"ISBN":"0803936052","author":[{"dropping-particle":"","family":"Aiken, Leona S; West, Stephen G; Reno","given":"Raymond R.","non-dropping-particle":"","parse-names":false,"suffix":""}],"id":"ITEM-1","issued":{"date-parts":[["1991"]]},"publisher":"Newbury Park (Calif.): Sage publications","title":"Multiple regression : testing and interpreting interactions","type":"book"},"uris":["http://www.mendeley.com/documents/?uuid=cbb125fd-09d6-4df7-8d32-ff9fa7bc1ef7"]}],"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000000" w:themeColor="text1"/>
        </w:rPr>
        <w:fldChar w:fldCharType="separate"/>
      </w:r>
      <w:r w:rsidR="00CC6532" w:rsidRPr="00CC6532">
        <w:rPr>
          <w:rFonts w:asciiTheme="minorHAnsi" w:hAnsiTheme="minorHAnsi" w:cstheme="minorHAnsi"/>
          <w:noProof/>
          <w:color w:val="000000" w:themeColor="text1"/>
          <w:vertAlign w:val="superscript"/>
        </w:rPr>
        <w:t>21</w:t>
      </w:r>
      <w:r>
        <w:rPr>
          <w:rFonts w:asciiTheme="minorHAnsi" w:hAnsiTheme="minorHAnsi" w:cstheme="minorHAnsi"/>
          <w:color w:val="000000" w:themeColor="text1"/>
        </w:rPr>
        <w:fldChar w:fldCharType="end"/>
      </w:r>
      <w:r w:rsidRPr="00326396">
        <w:rPr>
          <w:rFonts w:asciiTheme="minorHAnsi" w:hAnsiTheme="minorHAnsi" w:cstheme="minorHAnsi"/>
          <w:color w:val="000000" w:themeColor="text1"/>
        </w:rPr>
        <w:t xml:space="preserve"> </w:t>
      </w:r>
      <w:r w:rsidR="00763167">
        <w:rPr>
          <w:rFonts w:asciiTheme="minorHAnsi" w:hAnsiTheme="minorHAnsi" w:cstheme="minorHAnsi"/>
          <w:color w:val="000000" w:themeColor="text1"/>
        </w:rPr>
        <w:t xml:space="preserve">The covariates </w:t>
      </w:r>
      <w:r w:rsidR="007D5B61">
        <w:rPr>
          <w:rFonts w:asciiTheme="minorHAnsi" w:hAnsiTheme="minorHAnsi" w:cstheme="minorHAnsi"/>
          <w:color w:val="000000" w:themeColor="text1"/>
        </w:rPr>
        <w:t xml:space="preserve">for all hospitalised COVID-19 patients </w:t>
      </w:r>
      <w:r w:rsidR="00763167">
        <w:rPr>
          <w:rFonts w:asciiTheme="minorHAnsi" w:hAnsiTheme="minorHAnsi" w:cstheme="minorHAnsi"/>
          <w:color w:val="000000" w:themeColor="text1"/>
        </w:rPr>
        <w:t>were: a</w:t>
      </w:r>
      <w:r w:rsidR="00763167" w:rsidRPr="00D56D72">
        <w:rPr>
          <w:rFonts w:asciiTheme="minorHAnsi" w:hAnsiTheme="minorHAnsi" w:cstheme="minorHAnsi"/>
          <w:color w:val="000000" w:themeColor="text1"/>
        </w:rPr>
        <w:t>ge</w:t>
      </w:r>
      <w:r w:rsidR="00763167">
        <w:rPr>
          <w:rFonts w:asciiTheme="minorHAnsi" w:hAnsiTheme="minorHAnsi" w:cstheme="minorHAnsi"/>
          <w:color w:val="000000" w:themeColor="text1"/>
        </w:rPr>
        <w:t xml:space="preserve">, </w:t>
      </w:r>
      <w:r w:rsidR="00763167" w:rsidRPr="00D56D72">
        <w:rPr>
          <w:rFonts w:asciiTheme="minorHAnsi" w:hAnsiTheme="minorHAnsi" w:cstheme="minorHAnsi"/>
          <w:color w:val="000000" w:themeColor="text1"/>
        </w:rPr>
        <w:t xml:space="preserve">BAME </w:t>
      </w:r>
      <w:r w:rsidR="00763167">
        <w:rPr>
          <w:rFonts w:asciiTheme="minorHAnsi" w:hAnsiTheme="minorHAnsi" w:cstheme="minorHAnsi"/>
          <w:color w:val="000000" w:themeColor="text1"/>
        </w:rPr>
        <w:t>e</w:t>
      </w:r>
      <w:r w:rsidR="00763167" w:rsidRPr="00D56D72">
        <w:rPr>
          <w:rFonts w:asciiTheme="minorHAnsi" w:hAnsiTheme="minorHAnsi" w:cstheme="minorHAnsi"/>
          <w:color w:val="000000" w:themeColor="text1"/>
        </w:rPr>
        <w:t>thnicity</w:t>
      </w:r>
      <w:r w:rsidR="00763167">
        <w:rPr>
          <w:rFonts w:asciiTheme="minorHAnsi" w:hAnsiTheme="minorHAnsi" w:cstheme="minorHAnsi"/>
          <w:color w:val="000000" w:themeColor="text1"/>
        </w:rPr>
        <w:t>, c</w:t>
      </w:r>
      <w:r w:rsidR="00763167" w:rsidRPr="00D56D72">
        <w:rPr>
          <w:rFonts w:asciiTheme="minorHAnsi" w:hAnsiTheme="minorHAnsi" w:cstheme="minorHAnsi"/>
          <w:color w:val="000000" w:themeColor="text1"/>
        </w:rPr>
        <w:t>ardiovascular disease</w:t>
      </w:r>
      <w:r w:rsidR="00763167">
        <w:rPr>
          <w:rFonts w:asciiTheme="minorHAnsi" w:hAnsiTheme="minorHAnsi" w:cstheme="minorHAnsi"/>
          <w:color w:val="000000" w:themeColor="text1"/>
        </w:rPr>
        <w:t>, a</w:t>
      </w:r>
      <w:r w:rsidR="00763167" w:rsidRPr="00D56D72">
        <w:rPr>
          <w:rFonts w:asciiTheme="minorHAnsi" w:hAnsiTheme="minorHAnsi" w:cstheme="minorHAnsi"/>
          <w:color w:val="000000" w:themeColor="text1"/>
        </w:rPr>
        <w:t>sthma</w:t>
      </w:r>
      <w:r w:rsidR="00763167">
        <w:rPr>
          <w:rFonts w:asciiTheme="minorHAnsi" w:hAnsiTheme="minorHAnsi" w:cstheme="minorHAnsi"/>
          <w:color w:val="000000" w:themeColor="text1"/>
        </w:rPr>
        <w:t>, C</w:t>
      </w:r>
      <w:r w:rsidR="00763167" w:rsidRPr="00D56D72">
        <w:rPr>
          <w:rFonts w:asciiTheme="minorHAnsi" w:hAnsiTheme="minorHAnsi" w:cstheme="minorHAnsi"/>
          <w:color w:val="000000" w:themeColor="text1"/>
        </w:rPr>
        <w:t>OPD</w:t>
      </w:r>
      <w:r w:rsidR="00763167">
        <w:rPr>
          <w:rFonts w:asciiTheme="minorHAnsi" w:hAnsiTheme="minorHAnsi" w:cstheme="minorHAnsi"/>
          <w:color w:val="000000" w:themeColor="text1"/>
        </w:rPr>
        <w:t>, c</w:t>
      </w:r>
      <w:r w:rsidR="00763167" w:rsidRPr="00D56D72">
        <w:rPr>
          <w:rFonts w:asciiTheme="minorHAnsi" w:hAnsiTheme="minorHAnsi" w:cstheme="minorHAnsi"/>
          <w:color w:val="000000" w:themeColor="text1"/>
        </w:rPr>
        <w:t xml:space="preserve">hronic </w:t>
      </w:r>
      <w:r w:rsidR="00763167">
        <w:rPr>
          <w:rFonts w:asciiTheme="minorHAnsi" w:hAnsiTheme="minorHAnsi" w:cstheme="minorHAnsi"/>
          <w:color w:val="000000" w:themeColor="text1"/>
        </w:rPr>
        <w:t>k</w:t>
      </w:r>
      <w:r w:rsidR="00763167" w:rsidRPr="00D56D72">
        <w:rPr>
          <w:rFonts w:asciiTheme="minorHAnsi" w:hAnsiTheme="minorHAnsi" w:cstheme="minorHAnsi"/>
          <w:color w:val="000000" w:themeColor="text1"/>
        </w:rPr>
        <w:t xml:space="preserve">idney </w:t>
      </w:r>
      <w:r w:rsidR="00763167">
        <w:rPr>
          <w:rFonts w:asciiTheme="minorHAnsi" w:hAnsiTheme="minorHAnsi" w:cstheme="minorHAnsi"/>
          <w:color w:val="000000" w:themeColor="text1"/>
        </w:rPr>
        <w:t>d</w:t>
      </w:r>
      <w:r w:rsidR="00763167" w:rsidRPr="00D56D72">
        <w:rPr>
          <w:rFonts w:asciiTheme="minorHAnsi" w:hAnsiTheme="minorHAnsi" w:cstheme="minorHAnsi"/>
          <w:color w:val="000000" w:themeColor="text1"/>
        </w:rPr>
        <w:t>isease</w:t>
      </w:r>
      <w:r w:rsidR="00763167">
        <w:rPr>
          <w:rFonts w:asciiTheme="minorHAnsi" w:hAnsiTheme="minorHAnsi" w:cstheme="minorHAnsi"/>
          <w:color w:val="000000" w:themeColor="text1"/>
        </w:rPr>
        <w:t>, d</w:t>
      </w:r>
      <w:r w:rsidR="00763167" w:rsidRPr="00D56D72">
        <w:rPr>
          <w:rFonts w:asciiTheme="minorHAnsi" w:hAnsiTheme="minorHAnsi" w:cstheme="minorHAnsi"/>
          <w:color w:val="000000" w:themeColor="text1"/>
        </w:rPr>
        <w:t>iabetes</w:t>
      </w:r>
      <w:r w:rsidR="00763167">
        <w:rPr>
          <w:rFonts w:asciiTheme="minorHAnsi" w:hAnsiTheme="minorHAnsi" w:cstheme="minorHAnsi"/>
          <w:color w:val="000000" w:themeColor="text1"/>
        </w:rPr>
        <w:t>, National Early Warning Score 2, s</w:t>
      </w:r>
      <w:r w:rsidR="00763167" w:rsidRPr="00D56D72">
        <w:rPr>
          <w:rFonts w:asciiTheme="minorHAnsi" w:hAnsiTheme="minorHAnsi" w:cstheme="minorHAnsi"/>
          <w:color w:val="000000" w:themeColor="text1"/>
        </w:rPr>
        <w:t>ymptoms duration prior to admission</w:t>
      </w:r>
      <w:r w:rsidR="00763167">
        <w:rPr>
          <w:rFonts w:asciiTheme="minorHAnsi" w:hAnsiTheme="minorHAnsi" w:cstheme="minorHAnsi"/>
          <w:color w:val="000000" w:themeColor="text1"/>
        </w:rPr>
        <w:t>, the presence of i</w:t>
      </w:r>
      <w:r w:rsidR="00763167" w:rsidRPr="00D56D72">
        <w:rPr>
          <w:rFonts w:asciiTheme="minorHAnsi" w:hAnsiTheme="minorHAnsi" w:cstheme="minorHAnsi"/>
          <w:color w:val="000000" w:themeColor="text1"/>
        </w:rPr>
        <w:t xml:space="preserve">nfiltrates on </w:t>
      </w:r>
      <w:r w:rsidR="00763167">
        <w:rPr>
          <w:rFonts w:asciiTheme="minorHAnsi" w:hAnsiTheme="minorHAnsi" w:cstheme="minorHAnsi"/>
          <w:color w:val="000000" w:themeColor="text1"/>
        </w:rPr>
        <w:t>chest x-ray, w</w:t>
      </w:r>
      <w:r w:rsidR="00763167" w:rsidRPr="00D56D72">
        <w:rPr>
          <w:rFonts w:asciiTheme="minorHAnsi" w:hAnsiTheme="minorHAnsi" w:cstheme="minorHAnsi"/>
          <w:color w:val="000000" w:themeColor="text1"/>
        </w:rPr>
        <w:t>hite cell count</w:t>
      </w:r>
      <w:r w:rsidR="00763167">
        <w:rPr>
          <w:rFonts w:asciiTheme="minorHAnsi" w:hAnsiTheme="minorHAnsi" w:cstheme="minorHAnsi"/>
          <w:color w:val="000000" w:themeColor="text1"/>
        </w:rPr>
        <w:t xml:space="preserve">, </w:t>
      </w:r>
      <w:r w:rsidR="00763167" w:rsidRPr="00D56D72">
        <w:rPr>
          <w:rFonts w:asciiTheme="minorHAnsi" w:hAnsiTheme="minorHAnsi" w:cstheme="minorHAnsi"/>
          <w:color w:val="000000" w:themeColor="text1"/>
        </w:rPr>
        <w:t>CRP</w:t>
      </w:r>
      <w:r w:rsidR="00763167">
        <w:rPr>
          <w:rFonts w:asciiTheme="minorHAnsi" w:hAnsiTheme="minorHAnsi" w:cstheme="minorHAnsi"/>
          <w:color w:val="000000" w:themeColor="text1"/>
        </w:rPr>
        <w:t>, l</w:t>
      </w:r>
      <w:r w:rsidR="00763167" w:rsidRPr="00D56D72">
        <w:rPr>
          <w:rFonts w:asciiTheme="minorHAnsi" w:hAnsiTheme="minorHAnsi" w:cstheme="minorHAnsi"/>
          <w:color w:val="000000" w:themeColor="text1"/>
        </w:rPr>
        <w:t>ymphocyte count</w:t>
      </w:r>
      <w:r w:rsidR="00763167">
        <w:rPr>
          <w:rFonts w:asciiTheme="minorHAnsi" w:hAnsiTheme="minorHAnsi" w:cstheme="minorHAnsi"/>
          <w:color w:val="000000" w:themeColor="text1"/>
        </w:rPr>
        <w:t>, c</w:t>
      </w:r>
      <w:r w:rsidR="00763167" w:rsidRPr="00D56D72">
        <w:rPr>
          <w:rFonts w:asciiTheme="minorHAnsi" w:hAnsiTheme="minorHAnsi" w:cstheme="minorHAnsi"/>
          <w:color w:val="000000" w:themeColor="text1"/>
        </w:rPr>
        <w:t>reatinine</w:t>
      </w:r>
      <w:r w:rsidR="00763167">
        <w:rPr>
          <w:rFonts w:asciiTheme="minorHAnsi" w:hAnsiTheme="minorHAnsi" w:cstheme="minorHAnsi"/>
          <w:color w:val="000000" w:themeColor="text1"/>
        </w:rPr>
        <w:t>, u</w:t>
      </w:r>
      <w:r w:rsidR="00763167" w:rsidRPr="00D56D72">
        <w:rPr>
          <w:rFonts w:asciiTheme="minorHAnsi" w:hAnsiTheme="minorHAnsi" w:cstheme="minorHAnsi"/>
          <w:color w:val="000000" w:themeColor="text1"/>
        </w:rPr>
        <w:t>rea</w:t>
      </w:r>
      <w:r w:rsidR="00763167">
        <w:rPr>
          <w:rFonts w:asciiTheme="minorHAnsi" w:hAnsiTheme="minorHAnsi" w:cstheme="minorHAnsi"/>
          <w:color w:val="000000" w:themeColor="text1"/>
        </w:rPr>
        <w:t xml:space="preserve">, </w:t>
      </w:r>
      <w:r w:rsidR="00763167" w:rsidRPr="00D56D72">
        <w:rPr>
          <w:rFonts w:asciiTheme="minorHAnsi" w:hAnsiTheme="minorHAnsi" w:cstheme="minorHAnsi"/>
          <w:color w:val="000000" w:themeColor="text1"/>
        </w:rPr>
        <w:t>LDH</w:t>
      </w:r>
      <w:r w:rsidR="00763167">
        <w:rPr>
          <w:rFonts w:asciiTheme="minorHAnsi" w:hAnsiTheme="minorHAnsi" w:cstheme="minorHAnsi"/>
          <w:color w:val="000000" w:themeColor="text1"/>
        </w:rPr>
        <w:t>, D-</w:t>
      </w:r>
      <w:r w:rsidR="00763167" w:rsidRPr="00D56D72">
        <w:rPr>
          <w:rFonts w:asciiTheme="minorHAnsi" w:hAnsiTheme="minorHAnsi" w:cstheme="minorHAnsi"/>
          <w:color w:val="000000" w:themeColor="text1"/>
        </w:rPr>
        <w:t>dimer</w:t>
      </w:r>
      <w:r w:rsidR="00763167">
        <w:rPr>
          <w:rFonts w:asciiTheme="minorHAnsi" w:hAnsiTheme="minorHAnsi" w:cstheme="minorHAnsi"/>
          <w:color w:val="000000" w:themeColor="text1"/>
        </w:rPr>
        <w:t>, p</w:t>
      </w:r>
      <w:r w:rsidR="00763167" w:rsidRPr="00D56D72">
        <w:rPr>
          <w:rFonts w:asciiTheme="minorHAnsi" w:hAnsiTheme="minorHAnsi" w:cstheme="minorHAnsi"/>
          <w:color w:val="000000" w:themeColor="text1"/>
        </w:rPr>
        <w:t>latelet</w:t>
      </w:r>
      <w:r w:rsidR="00763167">
        <w:rPr>
          <w:rFonts w:asciiTheme="minorHAnsi" w:hAnsiTheme="minorHAnsi" w:cstheme="minorHAnsi"/>
          <w:color w:val="000000" w:themeColor="text1"/>
        </w:rPr>
        <w:t>s, f</w:t>
      </w:r>
      <w:r w:rsidR="00763167" w:rsidRPr="00D56D72">
        <w:rPr>
          <w:rFonts w:asciiTheme="minorHAnsi" w:hAnsiTheme="minorHAnsi" w:cstheme="minorHAnsi"/>
          <w:color w:val="000000" w:themeColor="text1"/>
        </w:rPr>
        <w:t>erritin</w:t>
      </w:r>
      <w:r w:rsidR="00763167">
        <w:rPr>
          <w:rFonts w:asciiTheme="minorHAnsi" w:hAnsiTheme="minorHAnsi" w:cstheme="minorHAnsi"/>
          <w:color w:val="000000" w:themeColor="text1"/>
        </w:rPr>
        <w:t>, t</w:t>
      </w:r>
      <w:r w:rsidR="00763167" w:rsidRPr="00D56D72">
        <w:rPr>
          <w:rFonts w:asciiTheme="minorHAnsi" w:hAnsiTheme="minorHAnsi" w:cstheme="minorHAnsi"/>
          <w:color w:val="000000" w:themeColor="text1"/>
        </w:rPr>
        <w:t>roponin</w:t>
      </w:r>
      <w:r w:rsidR="00763167">
        <w:rPr>
          <w:rFonts w:asciiTheme="minorHAnsi" w:hAnsiTheme="minorHAnsi" w:cstheme="minorHAnsi"/>
          <w:color w:val="000000" w:themeColor="text1"/>
        </w:rPr>
        <w:t xml:space="preserve">, and </w:t>
      </w:r>
      <w:r w:rsidR="00763167" w:rsidRPr="00D56D72">
        <w:rPr>
          <w:rFonts w:asciiTheme="minorHAnsi" w:hAnsiTheme="minorHAnsi" w:cstheme="minorHAnsi"/>
          <w:color w:val="000000" w:themeColor="text1"/>
        </w:rPr>
        <w:t>Ct value</w:t>
      </w:r>
      <w:r w:rsidR="00763167">
        <w:rPr>
          <w:rFonts w:asciiTheme="minorHAnsi" w:hAnsiTheme="minorHAnsi" w:cstheme="minorHAnsi"/>
          <w:color w:val="000000" w:themeColor="text1"/>
        </w:rPr>
        <w:t>.</w:t>
      </w:r>
      <w:r w:rsidR="00763167" w:rsidRPr="00D56D72">
        <w:rPr>
          <w:rFonts w:asciiTheme="minorHAnsi" w:hAnsiTheme="minorHAnsi" w:cstheme="minorHAnsi"/>
          <w:color w:val="000000" w:themeColor="text1"/>
        </w:rPr>
        <w:t xml:space="preserve"> </w:t>
      </w:r>
      <w:r w:rsidRPr="00326396">
        <w:rPr>
          <w:rFonts w:asciiTheme="minorHAnsi" w:hAnsiTheme="minorHAnsi" w:cstheme="minorHAnsi"/>
          <w:color w:val="000000" w:themeColor="text1"/>
        </w:rPr>
        <w:t xml:space="preserve">Most of the variables considered for investigation </w:t>
      </w:r>
      <w:r w:rsidR="00914DDF">
        <w:rPr>
          <w:rFonts w:asciiTheme="minorHAnsi" w:hAnsiTheme="minorHAnsi" w:cstheme="minorHAnsi"/>
          <w:color w:val="000000" w:themeColor="text1"/>
        </w:rPr>
        <w:t xml:space="preserve">were </w:t>
      </w:r>
      <w:r>
        <w:rPr>
          <w:rFonts w:asciiTheme="minorHAnsi" w:hAnsiTheme="minorHAnsi" w:cstheme="minorHAnsi"/>
          <w:color w:val="000000" w:themeColor="text1"/>
        </w:rPr>
        <w:t>complete or near complete (&gt;96%</w:t>
      </w:r>
      <w:r w:rsidRPr="00326396">
        <w:rPr>
          <w:rFonts w:asciiTheme="minorHAnsi" w:hAnsiTheme="minorHAnsi" w:cstheme="minorHAnsi"/>
          <w:color w:val="000000" w:themeColor="text1"/>
        </w:rPr>
        <w:t xml:space="preserve"> data completeness) </w:t>
      </w:r>
      <w:proofErr w:type="gramStart"/>
      <w:r w:rsidRPr="00326396">
        <w:rPr>
          <w:rFonts w:asciiTheme="minorHAnsi" w:hAnsiTheme="minorHAnsi" w:cstheme="minorHAnsi"/>
          <w:color w:val="000000" w:themeColor="text1"/>
        </w:rPr>
        <w:t>with the exception of</w:t>
      </w:r>
      <w:proofErr w:type="gramEnd"/>
      <w:r w:rsidRPr="00326396">
        <w:rPr>
          <w:rFonts w:asciiTheme="minorHAnsi" w:hAnsiTheme="minorHAnsi" w:cstheme="minorHAnsi"/>
          <w:color w:val="000000" w:themeColor="text1"/>
        </w:rPr>
        <w:t xml:space="preserve"> LDH (62%), D-dimer (74%) and </w:t>
      </w:r>
      <w:r w:rsidR="00763167">
        <w:rPr>
          <w:rFonts w:asciiTheme="minorHAnsi" w:hAnsiTheme="minorHAnsi" w:cstheme="minorHAnsi"/>
          <w:color w:val="000000" w:themeColor="text1"/>
        </w:rPr>
        <w:t>t</w:t>
      </w:r>
      <w:r w:rsidRPr="00326396">
        <w:rPr>
          <w:rFonts w:asciiTheme="minorHAnsi" w:hAnsiTheme="minorHAnsi" w:cstheme="minorHAnsi"/>
          <w:color w:val="000000" w:themeColor="text1"/>
        </w:rPr>
        <w:t xml:space="preserve">roponin (75%).  Missing data were imputed using K-nearest neighbour using the </w:t>
      </w:r>
      <w:proofErr w:type="spellStart"/>
      <w:r w:rsidRPr="00326396">
        <w:rPr>
          <w:rFonts w:asciiTheme="minorHAnsi" w:hAnsiTheme="minorHAnsi" w:cstheme="minorHAnsi"/>
          <w:i/>
          <w:iCs/>
          <w:color w:val="000000" w:themeColor="text1"/>
        </w:rPr>
        <w:t>KNNImpute</w:t>
      </w:r>
      <w:proofErr w:type="spellEnd"/>
      <w:r w:rsidRPr="00326396">
        <w:rPr>
          <w:rFonts w:asciiTheme="minorHAnsi" w:hAnsiTheme="minorHAnsi" w:cstheme="minorHAnsi"/>
          <w:color w:val="000000" w:themeColor="text1"/>
        </w:rPr>
        <w:t xml:space="preserve"> module of </w:t>
      </w:r>
      <w:r w:rsidRPr="00326396">
        <w:rPr>
          <w:rFonts w:asciiTheme="minorHAnsi" w:hAnsiTheme="minorHAnsi" w:cstheme="minorHAnsi"/>
          <w:i/>
          <w:iCs/>
          <w:color w:val="000000" w:themeColor="text1"/>
        </w:rPr>
        <w:t xml:space="preserve">scikit-learn, </w:t>
      </w:r>
      <w:r w:rsidRPr="00326396">
        <w:rPr>
          <w:rFonts w:asciiTheme="minorHAnsi" w:hAnsiTheme="minorHAnsi" w:cstheme="minorHAnsi"/>
          <w:color w:val="000000" w:themeColor="text1"/>
        </w:rPr>
        <w:t>Python 3.7. Multivariate logistic regression modelling and the calculation of adjusted odd ratios (</w:t>
      </w:r>
      <w:proofErr w:type="spellStart"/>
      <w:r w:rsidRPr="00326396">
        <w:rPr>
          <w:rFonts w:asciiTheme="minorHAnsi" w:hAnsiTheme="minorHAnsi" w:cstheme="minorHAnsi"/>
          <w:color w:val="000000" w:themeColor="text1"/>
        </w:rPr>
        <w:t>aOR</w:t>
      </w:r>
      <w:proofErr w:type="spellEnd"/>
      <w:r w:rsidRPr="00326396">
        <w:rPr>
          <w:rFonts w:asciiTheme="minorHAnsi" w:hAnsiTheme="minorHAnsi" w:cstheme="minorHAnsi"/>
          <w:color w:val="000000" w:themeColor="text1"/>
        </w:rPr>
        <w:t>), their 95% c</w:t>
      </w:r>
      <w:r w:rsidR="00B1283A">
        <w:rPr>
          <w:rFonts w:asciiTheme="minorHAnsi" w:hAnsiTheme="minorHAnsi" w:cstheme="minorHAnsi"/>
          <w:color w:val="000000" w:themeColor="text1"/>
        </w:rPr>
        <w:t xml:space="preserve">onfidence interval and p-values, </w:t>
      </w:r>
      <w:r w:rsidRPr="00326396">
        <w:rPr>
          <w:rFonts w:asciiTheme="minorHAnsi" w:hAnsiTheme="minorHAnsi" w:cstheme="minorHAnsi"/>
          <w:color w:val="000000" w:themeColor="text1"/>
        </w:rPr>
        <w:t>were performed using R</w:t>
      </w:r>
      <w:r w:rsidR="000909B9">
        <w:rPr>
          <w:rFonts w:asciiTheme="minorHAnsi" w:hAnsiTheme="minorHAnsi" w:cstheme="minorHAnsi"/>
          <w:color w:val="000000" w:themeColor="text1"/>
        </w:rPr>
        <w:t>-studio version 1.4.1103</w:t>
      </w:r>
      <w:r w:rsidRPr="00326396">
        <w:rPr>
          <w:rFonts w:asciiTheme="minorHAnsi" w:hAnsiTheme="minorHAnsi" w:cstheme="minorHAnsi"/>
          <w:color w:val="000000" w:themeColor="text1"/>
        </w:rPr>
        <w:t xml:space="preserve">. Interaction probing of significant interaction terms was performed using the </w:t>
      </w:r>
      <w:r w:rsidRPr="00326396">
        <w:rPr>
          <w:rFonts w:asciiTheme="minorHAnsi" w:hAnsiTheme="minorHAnsi" w:cstheme="minorHAnsi"/>
          <w:i/>
          <w:iCs/>
          <w:color w:val="000000" w:themeColor="text1"/>
        </w:rPr>
        <w:t xml:space="preserve">interactions </w:t>
      </w:r>
      <w:r w:rsidRPr="00326396">
        <w:rPr>
          <w:rFonts w:asciiTheme="minorHAnsi" w:hAnsiTheme="minorHAnsi" w:cstheme="minorHAnsi"/>
          <w:color w:val="000000" w:themeColor="text1"/>
        </w:rPr>
        <w:t xml:space="preserve">package of R. Additionally, Cox proportional hazard model to investigate cumulative risks of in-hospital admission by Ct values adjusted for age and other variables was performed using </w:t>
      </w:r>
      <w:r w:rsidRPr="00326396">
        <w:rPr>
          <w:rFonts w:asciiTheme="minorHAnsi" w:hAnsiTheme="minorHAnsi" w:cstheme="minorHAnsi"/>
          <w:i/>
          <w:iCs/>
          <w:color w:val="000000" w:themeColor="text1"/>
        </w:rPr>
        <w:t>lifelines</w:t>
      </w:r>
      <w:r w:rsidRPr="00326396">
        <w:rPr>
          <w:rFonts w:asciiTheme="minorHAnsi" w:hAnsiTheme="minorHAnsi" w:cstheme="minorHAnsi"/>
          <w:color w:val="000000" w:themeColor="text1"/>
        </w:rPr>
        <w:t xml:space="preserve"> library of Python</w:t>
      </w:r>
      <w:r w:rsidR="000909B9">
        <w:rPr>
          <w:rFonts w:asciiTheme="minorHAnsi" w:hAnsiTheme="minorHAnsi" w:cstheme="minorHAnsi"/>
          <w:color w:val="000000" w:themeColor="text1"/>
        </w:rPr>
        <w:t xml:space="preserve"> 3.7</w:t>
      </w:r>
      <w:r w:rsidRPr="00326396">
        <w:rPr>
          <w:rFonts w:asciiTheme="minorHAnsi" w:hAnsiTheme="minorHAnsi" w:cstheme="minorHAnsi"/>
          <w:color w:val="000000" w:themeColor="text1"/>
        </w:rPr>
        <w:t xml:space="preserve">. </w:t>
      </w:r>
    </w:p>
    <w:p w14:paraId="78C98575" w14:textId="6538F065" w:rsidR="00391A54" w:rsidRDefault="00391A54" w:rsidP="00391A54">
      <w:pPr>
        <w:spacing w:after="0" w:line="480" w:lineRule="auto"/>
        <w:jc w:val="both"/>
        <w:rPr>
          <w:sz w:val="24"/>
          <w:szCs w:val="24"/>
        </w:rPr>
      </w:pPr>
      <w:r w:rsidRPr="00391A54">
        <w:rPr>
          <w:rFonts w:cstheme="minorHAnsi"/>
          <w:color w:val="000000" w:themeColor="text1"/>
          <w:sz w:val="24"/>
          <w:szCs w:val="24"/>
        </w:rPr>
        <w:t xml:space="preserve">Neutralising </w:t>
      </w:r>
      <w:r w:rsidR="00B1283A">
        <w:rPr>
          <w:rFonts w:cstheme="minorHAnsi"/>
          <w:color w:val="000000" w:themeColor="text1"/>
          <w:sz w:val="24"/>
          <w:szCs w:val="24"/>
        </w:rPr>
        <w:t xml:space="preserve">antibody </w:t>
      </w:r>
      <w:proofErr w:type="spellStart"/>
      <w:r w:rsidR="00B1283A">
        <w:rPr>
          <w:rFonts w:cstheme="minorHAnsi"/>
          <w:color w:val="000000" w:themeColor="text1"/>
          <w:sz w:val="24"/>
          <w:szCs w:val="24"/>
        </w:rPr>
        <w:t>sero</w:t>
      </w:r>
      <w:proofErr w:type="spellEnd"/>
      <w:r w:rsidR="00B1283A">
        <w:rPr>
          <w:rFonts w:cstheme="minorHAnsi"/>
          <w:color w:val="000000" w:themeColor="text1"/>
          <w:sz w:val="24"/>
          <w:szCs w:val="24"/>
        </w:rPr>
        <w:t>-status results were</w:t>
      </w:r>
      <w:r w:rsidRPr="00391A54">
        <w:rPr>
          <w:rFonts w:cstheme="minorHAnsi"/>
          <w:color w:val="000000" w:themeColor="text1"/>
          <w:sz w:val="24"/>
          <w:szCs w:val="24"/>
        </w:rPr>
        <w:t xml:space="preserve"> available for a subset of 99 patients. This subgroup was analysed using multivariate logistic regression, also testing for the three pairs of interaction of Ct-values, duration of illness in days and age. As the number of subjects of this sub-cohort was small, variable selection was performed based on univariable logistic </w:t>
      </w:r>
      <w:r w:rsidRPr="00391A54">
        <w:rPr>
          <w:rFonts w:cstheme="minorHAnsi"/>
          <w:color w:val="000000" w:themeColor="text1"/>
          <w:sz w:val="24"/>
          <w:szCs w:val="24"/>
        </w:rPr>
        <w:lastRenderedPageBreak/>
        <w:t>regression to pick the top ten significant variables for multivariate logistic regression analysis in R</w:t>
      </w:r>
      <w:r w:rsidR="000909B9">
        <w:rPr>
          <w:rFonts w:cstheme="minorHAnsi"/>
          <w:color w:val="000000" w:themeColor="text1"/>
          <w:sz w:val="24"/>
          <w:szCs w:val="24"/>
        </w:rPr>
        <w:t>-studio version 1.4.1103</w:t>
      </w:r>
      <w:r w:rsidRPr="00391A54">
        <w:rPr>
          <w:rFonts w:cstheme="minorHAnsi"/>
          <w:color w:val="000000" w:themeColor="text1"/>
          <w:sz w:val="24"/>
          <w:szCs w:val="24"/>
        </w:rPr>
        <w:t>.</w:t>
      </w:r>
      <w:r>
        <w:br w:type="page"/>
      </w:r>
    </w:p>
    <w:p w14:paraId="5BDD5919" w14:textId="77777777" w:rsidR="00391A54" w:rsidRPr="002A22D5" w:rsidRDefault="00391A54" w:rsidP="00391A54">
      <w:pPr>
        <w:spacing w:after="0" w:line="480" w:lineRule="auto"/>
        <w:rPr>
          <w:b/>
          <w:sz w:val="32"/>
          <w:szCs w:val="32"/>
        </w:rPr>
      </w:pPr>
      <w:r w:rsidRPr="002A22D5">
        <w:rPr>
          <w:b/>
          <w:sz w:val="32"/>
          <w:szCs w:val="32"/>
        </w:rPr>
        <w:lastRenderedPageBreak/>
        <w:t>Results</w:t>
      </w:r>
    </w:p>
    <w:p w14:paraId="55AFFBA2" w14:textId="7A373305" w:rsidR="00391A54" w:rsidRPr="00326396" w:rsidRDefault="00BE2758" w:rsidP="00391A54">
      <w:pPr>
        <w:spacing w:after="0" w:line="480" w:lineRule="auto"/>
        <w:jc w:val="both"/>
        <w:rPr>
          <w:sz w:val="24"/>
          <w:szCs w:val="24"/>
        </w:rPr>
      </w:pPr>
      <w:r w:rsidRPr="00914DDF">
        <w:rPr>
          <w:sz w:val="24"/>
          <w:szCs w:val="24"/>
        </w:rPr>
        <w:t xml:space="preserve">Patients were enrolled between 20th March and 29th April 2020. </w:t>
      </w:r>
      <w:r w:rsidR="002851A3">
        <w:rPr>
          <w:sz w:val="24"/>
          <w:szCs w:val="24"/>
        </w:rPr>
        <w:t xml:space="preserve">We identified </w:t>
      </w:r>
      <w:r w:rsidR="00391A54" w:rsidRPr="00326396">
        <w:rPr>
          <w:sz w:val="24"/>
          <w:szCs w:val="24"/>
        </w:rPr>
        <w:t xml:space="preserve">185 </w:t>
      </w:r>
      <w:r w:rsidR="00233097">
        <w:rPr>
          <w:sz w:val="24"/>
          <w:szCs w:val="24"/>
        </w:rPr>
        <w:t xml:space="preserve">patients </w:t>
      </w:r>
      <w:r w:rsidR="00391A54" w:rsidRPr="00326396">
        <w:rPr>
          <w:sz w:val="24"/>
          <w:szCs w:val="24"/>
        </w:rPr>
        <w:t xml:space="preserve">hospitalised </w:t>
      </w:r>
      <w:r w:rsidR="00233097">
        <w:rPr>
          <w:sz w:val="24"/>
          <w:szCs w:val="24"/>
        </w:rPr>
        <w:t>with COVID-19</w:t>
      </w:r>
      <w:r w:rsidR="00391A54" w:rsidRPr="00326396">
        <w:rPr>
          <w:sz w:val="24"/>
          <w:szCs w:val="24"/>
        </w:rPr>
        <w:t xml:space="preserve"> </w:t>
      </w:r>
      <w:r w:rsidR="00B1283A">
        <w:rPr>
          <w:sz w:val="24"/>
          <w:szCs w:val="24"/>
        </w:rPr>
        <w:t>(F</w:t>
      </w:r>
      <w:r w:rsidR="00391A54">
        <w:rPr>
          <w:sz w:val="24"/>
          <w:szCs w:val="24"/>
        </w:rPr>
        <w:t>igure 1)</w:t>
      </w:r>
      <w:r w:rsidR="00193E42">
        <w:rPr>
          <w:sz w:val="24"/>
          <w:szCs w:val="24"/>
        </w:rPr>
        <w:t>. These patients had</w:t>
      </w:r>
      <w:r w:rsidR="00391A54">
        <w:rPr>
          <w:sz w:val="24"/>
          <w:szCs w:val="24"/>
        </w:rPr>
        <w:t xml:space="preserve"> </w:t>
      </w:r>
      <w:r w:rsidR="00391A54" w:rsidRPr="00326396">
        <w:rPr>
          <w:sz w:val="24"/>
          <w:szCs w:val="24"/>
        </w:rPr>
        <w:t xml:space="preserve">a median </w:t>
      </w:r>
      <w:r w:rsidR="00391A54">
        <w:rPr>
          <w:sz w:val="24"/>
          <w:szCs w:val="24"/>
        </w:rPr>
        <w:t>[IQR]</w:t>
      </w:r>
      <w:r w:rsidR="00193E42">
        <w:rPr>
          <w:sz w:val="24"/>
          <w:szCs w:val="24"/>
        </w:rPr>
        <w:t xml:space="preserve"> SARS-CoV-2</w:t>
      </w:r>
      <w:r w:rsidR="00391A54">
        <w:rPr>
          <w:sz w:val="24"/>
          <w:szCs w:val="24"/>
        </w:rPr>
        <w:t xml:space="preserve"> </w:t>
      </w:r>
      <w:r w:rsidR="00391A54" w:rsidRPr="00326396">
        <w:rPr>
          <w:sz w:val="24"/>
          <w:szCs w:val="24"/>
        </w:rPr>
        <w:t xml:space="preserve">Ct value of 27.9 [22.6-32.1]. </w:t>
      </w:r>
      <w:r w:rsidR="002851A3">
        <w:rPr>
          <w:sz w:val="24"/>
          <w:szCs w:val="24"/>
        </w:rPr>
        <w:t xml:space="preserve">Of these 185 patients, </w:t>
      </w:r>
      <w:r w:rsidR="00391A54" w:rsidRPr="00326396">
        <w:rPr>
          <w:sz w:val="24"/>
          <w:szCs w:val="24"/>
        </w:rPr>
        <w:t xml:space="preserve">28 (15%) had a </w:t>
      </w:r>
      <w:r w:rsidR="002851A3">
        <w:rPr>
          <w:sz w:val="24"/>
          <w:szCs w:val="24"/>
        </w:rPr>
        <w:t xml:space="preserve">low Ct value </w:t>
      </w:r>
      <w:r w:rsidR="00193E42">
        <w:rPr>
          <w:sz w:val="24"/>
          <w:szCs w:val="24"/>
        </w:rPr>
        <w:t>(</w:t>
      </w:r>
      <w:r w:rsidR="00391A54" w:rsidRPr="00326396">
        <w:rPr>
          <w:sz w:val="24"/>
          <w:szCs w:val="24"/>
        </w:rPr>
        <w:t>high viral load</w:t>
      </w:r>
      <w:r w:rsidR="00193E42">
        <w:rPr>
          <w:sz w:val="24"/>
          <w:szCs w:val="24"/>
        </w:rPr>
        <w:t>)</w:t>
      </w:r>
      <w:r w:rsidR="00391A54" w:rsidRPr="00326396">
        <w:rPr>
          <w:sz w:val="24"/>
          <w:szCs w:val="24"/>
        </w:rPr>
        <w:t xml:space="preserve">, 79 (43%) of 185 had a moderate </w:t>
      </w:r>
      <w:r w:rsidR="002851A3">
        <w:rPr>
          <w:sz w:val="24"/>
          <w:szCs w:val="24"/>
        </w:rPr>
        <w:t>Ct value</w:t>
      </w:r>
      <w:r w:rsidR="00193E42">
        <w:rPr>
          <w:sz w:val="24"/>
          <w:szCs w:val="24"/>
        </w:rPr>
        <w:t xml:space="preserve"> (moderate </w:t>
      </w:r>
      <w:r w:rsidR="00391A54" w:rsidRPr="00326396">
        <w:rPr>
          <w:sz w:val="24"/>
          <w:szCs w:val="24"/>
        </w:rPr>
        <w:t>viral load</w:t>
      </w:r>
      <w:r w:rsidR="00193E42">
        <w:rPr>
          <w:sz w:val="24"/>
          <w:szCs w:val="24"/>
        </w:rPr>
        <w:t>)</w:t>
      </w:r>
      <w:r w:rsidR="00391A54" w:rsidRPr="00326396">
        <w:rPr>
          <w:sz w:val="24"/>
          <w:szCs w:val="24"/>
        </w:rPr>
        <w:t xml:space="preserve"> and 78 (42%) of 185 had a </w:t>
      </w:r>
      <w:r w:rsidR="002851A3">
        <w:rPr>
          <w:sz w:val="24"/>
          <w:szCs w:val="24"/>
        </w:rPr>
        <w:t>high Ct value</w:t>
      </w:r>
      <w:r w:rsidR="00193E42">
        <w:rPr>
          <w:sz w:val="24"/>
          <w:szCs w:val="24"/>
        </w:rPr>
        <w:t xml:space="preserve"> (</w:t>
      </w:r>
      <w:r w:rsidR="00391A54" w:rsidRPr="00326396">
        <w:rPr>
          <w:sz w:val="24"/>
          <w:szCs w:val="24"/>
        </w:rPr>
        <w:t>low viral load</w:t>
      </w:r>
      <w:r w:rsidR="00193E42">
        <w:rPr>
          <w:sz w:val="24"/>
          <w:szCs w:val="24"/>
        </w:rPr>
        <w:t>)</w:t>
      </w:r>
      <w:r w:rsidR="00391A54" w:rsidRPr="00326396">
        <w:rPr>
          <w:sz w:val="24"/>
          <w:szCs w:val="24"/>
        </w:rPr>
        <w:t>. Baseline characteristics and</w:t>
      </w:r>
      <w:r w:rsidR="00B1283A">
        <w:rPr>
          <w:sz w:val="24"/>
          <w:szCs w:val="24"/>
        </w:rPr>
        <w:t xml:space="preserve"> clinical outcome are shown in T</w:t>
      </w:r>
      <w:r w:rsidR="00391A54" w:rsidRPr="00326396">
        <w:rPr>
          <w:sz w:val="24"/>
          <w:szCs w:val="24"/>
        </w:rPr>
        <w:t xml:space="preserve">able 1 for all patients and according to </w:t>
      </w:r>
      <w:r w:rsidR="002851A3">
        <w:rPr>
          <w:sz w:val="24"/>
          <w:szCs w:val="24"/>
        </w:rPr>
        <w:t>Ct value</w:t>
      </w:r>
      <w:r w:rsidR="00391A54" w:rsidRPr="00326396">
        <w:rPr>
          <w:sz w:val="24"/>
          <w:szCs w:val="24"/>
        </w:rPr>
        <w:t xml:space="preserve"> category</w:t>
      </w:r>
      <w:r>
        <w:rPr>
          <w:sz w:val="24"/>
          <w:szCs w:val="24"/>
        </w:rPr>
        <w:t>.</w:t>
      </w:r>
      <w:r w:rsidR="002851A3">
        <w:rPr>
          <w:sz w:val="24"/>
          <w:szCs w:val="24"/>
        </w:rPr>
        <w:t xml:space="preserve"> </w:t>
      </w:r>
    </w:p>
    <w:p w14:paraId="5B5550BD" w14:textId="77777777" w:rsidR="00391A54" w:rsidRDefault="00391A54" w:rsidP="00391A54">
      <w:pPr>
        <w:spacing w:after="0" w:line="480" w:lineRule="auto"/>
        <w:jc w:val="both"/>
      </w:pPr>
    </w:p>
    <w:p w14:paraId="110BAA66" w14:textId="3EDF48B6" w:rsidR="00391A54" w:rsidRPr="00A75D88" w:rsidRDefault="00391A54" w:rsidP="00391A54">
      <w:pPr>
        <w:spacing w:after="0" w:line="480" w:lineRule="auto"/>
        <w:jc w:val="both"/>
        <w:rPr>
          <w:sz w:val="24"/>
          <w:szCs w:val="24"/>
        </w:rPr>
      </w:pPr>
      <w:r w:rsidRPr="00326396">
        <w:rPr>
          <w:sz w:val="24"/>
          <w:szCs w:val="24"/>
        </w:rPr>
        <w:t xml:space="preserve">The median [IQR] age of all patients was 65 [50-80] years and differed by </w:t>
      </w:r>
      <w:r w:rsidR="002851A3">
        <w:rPr>
          <w:sz w:val="24"/>
          <w:szCs w:val="24"/>
        </w:rPr>
        <w:t>Ct value</w:t>
      </w:r>
      <w:r w:rsidRPr="00326396">
        <w:rPr>
          <w:sz w:val="24"/>
          <w:szCs w:val="24"/>
        </w:rPr>
        <w:t>; 82 [5</w:t>
      </w:r>
      <w:r w:rsidR="00551888">
        <w:rPr>
          <w:sz w:val="24"/>
          <w:szCs w:val="24"/>
        </w:rPr>
        <w:t>1</w:t>
      </w:r>
      <w:r w:rsidRPr="00326396">
        <w:rPr>
          <w:sz w:val="24"/>
          <w:szCs w:val="24"/>
        </w:rPr>
        <w:t xml:space="preserve">-92] in those with a </w:t>
      </w:r>
      <w:r w:rsidR="002851A3">
        <w:rPr>
          <w:sz w:val="24"/>
          <w:szCs w:val="24"/>
        </w:rPr>
        <w:t>low Ct value</w:t>
      </w:r>
      <w:r w:rsidRPr="00326396">
        <w:rPr>
          <w:sz w:val="24"/>
          <w:szCs w:val="24"/>
        </w:rPr>
        <w:t xml:space="preserve">, 69 [56-81] in those with a moderate </w:t>
      </w:r>
      <w:r w:rsidR="002851A3">
        <w:rPr>
          <w:sz w:val="24"/>
          <w:szCs w:val="24"/>
        </w:rPr>
        <w:t>Ct value</w:t>
      </w:r>
      <w:r w:rsidRPr="00326396">
        <w:rPr>
          <w:sz w:val="24"/>
          <w:szCs w:val="24"/>
        </w:rPr>
        <w:t xml:space="preserve"> and 59 [48-73] in those with a </w:t>
      </w:r>
      <w:r w:rsidR="002851A3">
        <w:rPr>
          <w:sz w:val="24"/>
          <w:szCs w:val="24"/>
        </w:rPr>
        <w:t>high Ct value</w:t>
      </w:r>
      <w:r w:rsidRPr="00326396">
        <w:rPr>
          <w:sz w:val="24"/>
          <w:szCs w:val="24"/>
        </w:rPr>
        <w:t xml:space="preserve">, p=0.002. Ct value was inversely correlated with age, (Spearman’s rank correlation, r=-0.26; p=0.0003).  A  higher proportion of patients in the </w:t>
      </w:r>
      <w:r w:rsidR="002851A3">
        <w:rPr>
          <w:sz w:val="24"/>
          <w:szCs w:val="24"/>
        </w:rPr>
        <w:t>low Ct value</w:t>
      </w:r>
      <w:r w:rsidRPr="00326396">
        <w:rPr>
          <w:sz w:val="24"/>
          <w:szCs w:val="24"/>
        </w:rPr>
        <w:t xml:space="preserve"> group were of White British ethnicity compared with the moderate and </w:t>
      </w:r>
      <w:r w:rsidR="002851A3">
        <w:rPr>
          <w:sz w:val="24"/>
          <w:szCs w:val="24"/>
        </w:rPr>
        <w:t>high Ct value</w:t>
      </w:r>
      <w:r w:rsidRPr="00326396">
        <w:rPr>
          <w:sz w:val="24"/>
          <w:szCs w:val="24"/>
        </w:rPr>
        <w:t xml:space="preserve"> groups; 24 (92%) of 26 versus 57 (74%) of 73 and 48 (66%) of 73 respectively, p=0.0</w:t>
      </w:r>
      <w:r w:rsidR="00EE3C9D">
        <w:rPr>
          <w:sz w:val="24"/>
          <w:szCs w:val="24"/>
        </w:rPr>
        <w:t>31</w:t>
      </w:r>
      <w:r w:rsidRPr="00326396">
        <w:rPr>
          <w:sz w:val="24"/>
          <w:szCs w:val="24"/>
        </w:rPr>
        <w:t xml:space="preserve">). </w:t>
      </w:r>
      <w:r w:rsidRPr="00A75D88">
        <w:rPr>
          <w:sz w:val="24"/>
          <w:szCs w:val="24"/>
        </w:rPr>
        <w:t xml:space="preserve">The median [IQR] duration of symptoms prior to hospitalisation </w:t>
      </w:r>
      <w:r>
        <w:rPr>
          <w:sz w:val="24"/>
          <w:szCs w:val="24"/>
        </w:rPr>
        <w:t xml:space="preserve">was </w:t>
      </w:r>
      <w:r w:rsidRPr="00D6367F">
        <w:rPr>
          <w:sz w:val="24"/>
          <w:szCs w:val="24"/>
        </w:rPr>
        <w:t>6 [2-</w:t>
      </w:r>
      <w:r w:rsidR="00551888">
        <w:rPr>
          <w:sz w:val="24"/>
          <w:szCs w:val="24"/>
        </w:rPr>
        <w:t>10</w:t>
      </w:r>
      <w:r w:rsidRPr="00D6367F">
        <w:rPr>
          <w:sz w:val="24"/>
          <w:szCs w:val="24"/>
        </w:rPr>
        <w:t>]</w:t>
      </w:r>
      <w:r>
        <w:rPr>
          <w:sz w:val="24"/>
          <w:szCs w:val="24"/>
        </w:rPr>
        <w:t xml:space="preserve"> </w:t>
      </w:r>
      <w:r w:rsidRPr="00A75D88">
        <w:rPr>
          <w:sz w:val="24"/>
          <w:szCs w:val="24"/>
        </w:rPr>
        <w:t xml:space="preserve">days for all patients and differed by </w:t>
      </w:r>
      <w:r w:rsidR="002851A3">
        <w:rPr>
          <w:sz w:val="24"/>
          <w:szCs w:val="24"/>
        </w:rPr>
        <w:t>Ct value</w:t>
      </w:r>
      <w:r w:rsidRPr="00A75D88">
        <w:rPr>
          <w:sz w:val="24"/>
          <w:szCs w:val="24"/>
        </w:rPr>
        <w:t xml:space="preserve">; 2 days [0-7], 6 days [2-8] and 7 days [3-10] for </w:t>
      </w:r>
      <w:r w:rsidR="002851A3">
        <w:rPr>
          <w:sz w:val="24"/>
          <w:szCs w:val="24"/>
        </w:rPr>
        <w:t>low</w:t>
      </w:r>
      <w:r w:rsidRPr="00A75D88">
        <w:rPr>
          <w:sz w:val="24"/>
          <w:szCs w:val="24"/>
        </w:rPr>
        <w:t xml:space="preserve">, medium and </w:t>
      </w:r>
      <w:r w:rsidR="002851A3">
        <w:rPr>
          <w:sz w:val="24"/>
          <w:szCs w:val="24"/>
        </w:rPr>
        <w:t xml:space="preserve">high Ct </w:t>
      </w:r>
      <w:r w:rsidR="002851A3" w:rsidRPr="00EF6177">
        <w:rPr>
          <w:sz w:val="24"/>
          <w:szCs w:val="24"/>
        </w:rPr>
        <w:t>value</w:t>
      </w:r>
      <w:r w:rsidRPr="00EF6177">
        <w:rPr>
          <w:sz w:val="24"/>
          <w:szCs w:val="24"/>
        </w:rPr>
        <w:t xml:space="preserve"> groups respectively, p=0.005. Ct value (i.e. the inverse of viral load) was</w:t>
      </w:r>
      <w:r w:rsidRPr="00A75D88">
        <w:rPr>
          <w:sz w:val="24"/>
          <w:szCs w:val="24"/>
        </w:rPr>
        <w:t xml:space="preserve"> positively correlated with duration of illness, (Spearman’s rank correlation, r=+0.25, p=0.0005).</w:t>
      </w:r>
      <w:r w:rsidR="00F67AAC">
        <w:rPr>
          <w:sz w:val="24"/>
          <w:szCs w:val="24"/>
        </w:rPr>
        <w:t xml:space="preserve"> </w:t>
      </w:r>
      <w:r w:rsidRPr="00A75D88">
        <w:rPr>
          <w:sz w:val="24"/>
          <w:szCs w:val="24"/>
        </w:rPr>
        <w:t>Renal function</w:t>
      </w:r>
      <w:r w:rsidR="00B76F5B">
        <w:rPr>
          <w:sz w:val="24"/>
          <w:szCs w:val="24"/>
        </w:rPr>
        <w:t xml:space="preserve">, </w:t>
      </w:r>
      <w:proofErr w:type="gramStart"/>
      <w:r w:rsidR="00B76F5B">
        <w:rPr>
          <w:sz w:val="24"/>
          <w:szCs w:val="24"/>
        </w:rPr>
        <w:t>troponin</w:t>
      </w:r>
      <w:proofErr w:type="gramEnd"/>
      <w:r w:rsidR="00B76F5B">
        <w:rPr>
          <w:sz w:val="24"/>
          <w:szCs w:val="24"/>
        </w:rPr>
        <w:t xml:space="preserve"> and lactate dehydrogenase (LDH)</w:t>
      </w:r>
      <w:r w:rsidRPr="00A75D88">
        <w:rPr>
          <w:sz w:val="24"/>
          <w:szCs w:val="24"/>
        </w:rPr>
        <w:t xml:space="preserve"> on </w:t>
      </w:r>
      <w:r w:rsidR="00233097">
        <w:rPr>
          <w:sz w:val="24"/>
          <w:szCs w:val="24"/>
        </w:rPr>
        <w:t>admission were</w:t>
      </w:r>
      <w:r>
        <w:rPr>
          <w:sz w:val="24"/>
          <w:szCs w:val="24"/>
        </w:rPr>
        <w:t xml:space="preserve"> </w:t>
      </w:r>
      <w:r w:rsidRPr="00A75D88">
        <w:rPr>
          <w:sz w:val="24"/>
          <w:szCs w:val="24"/>
        </w:rPr>
        <w:t>significantly different across the three groups with median urea</w:t>
      </w:r>
      <w:r w:rsidR="00B76F5B">
        <w:rPr>
          <w:sz w:val="24"/>
          <w:szCs w:val="24"/>
        </w:rPr>
        <w:t>,</w:t>
      </w:r>
      <w:r w:rsidRPr="00A75D88">
        <w:rPr>
          <w:sz w:val="24"/>
          <w:szCs w:val="24"/>
        </w:rPr>
        <w:t xml:space="preserve"> creatinine</w:t>
      </w:r>
      <w:r w:rsidR="00B76F5B">
        <w:rPr>
          <w:sz w:val="24"/>
          <w:szCs w:val="24"/>
        </w:rPr>
        <w:t>, troponin and LDH</w:t>
      </w:r>
      <w:r w:rsidRPr="00A75D88">
        <w:rPr>
          <w:sz w:val="24"/>
          <w:szCs w:val="24"/>
        </w:rPr>
        <w:t xml:space="preserve"> levels being higher in</w:t>
      </w:r>
      <w:r w:rsidR="00B1283A">
        <w:rPr>
          <w:sz w:val="24"/>
          <w:szCs w:val="24"/>
        </w:rPr>
        <w:t xml:space="preserve"> those with </w:t>
      </w:r>
      <w:r w:rsidR="002851A3">
        <w:rPr>
          <w:sz w:val="24"/>
          <w:szCs w:val="24"/>
        </w:rPr>
        <w:t>lower Ct values</w:t>
      </w:r>
      <w:r w:rsidR="00B1283A">
        <w:rPr>
          <w:sz w:val="24"/>
          <w:szCs w:val="24"/>
        </w:rPr>
        <w:t xml:space="preserve"> (T</w:t>
      </w:r>
      <w:r w:rsidRPr="00A75D88">
        <w:rPr>
          <w:sz w:val="24"/>
          <w:szCs w:val="24"/>
        </w:rPr>
        <w:t xml:space="preserve">able 1). </w:t>
      </w:r>
      <w:r w:rsidR="00B1283A">
        <w:rPr>
          <w:sz w:val="24"/>
          <w:szCs w:val="24"/>
        </w:rPr>
        <w:t>M</w:t>
      </w:r>
      <w:r w:rsidRPr="00A75D88">
        <w:rPr>
          <w:sz w:val="24"/>
          <w:szCs w:val="24"/>
        </w:rPr>
        <w:t xml:space="preserve">ortality was 41 (22%) of 185 overall. 14 (50%) of 28 patients died in the </w:t>
      </w:r>
      <w:r w:rsidR="002851A3">
        <w:rPr>
          <w:sz w:val="24"/>
          <w:szCs w:val="24"/>
        </w:rPr>
        <w:t>low Ct value</w:t>
      </w:r>
      <w:r w:rsidRPr="00A75D88">
        <w:rPr>
          <w:sz w:val="24"/>
          <w:szCs w:val="24"/>
        </w:rPr>
        <w:t xml:space="preserve"> group compared with 21 (27%) of 79 in </w:t>
      </w:r>
      <w:r w:rsidR="005014A8">
        <w:rPr>
          <w:sz w:val="24"/>
          <w:szCs w:val="24"/>
        </w:rPr>
        <w:t xml:space="preserve">the </w:t>
      </w:r>
      <w:r w:rsidRPr="00A75D88">
        <w:rPr>
          <w:sz w:val="24"/>
          <w:szCs w:val="24"/>
        </w:rPr>
        <w:t xml:space="preserve">medium </w:t>
      </w:r>
      <w:r w:rsidR="009E7D74">
        <w:rPr>
          <w:sz w:val="24"/>
          <w:szCs w:val="24"/>
        </w:rPr>
        <w:t>Ct value</w:t>
      </w:r>
      <w:r w:rsidRPr="00A75D88">
        <w:rPr>
          <w:sz w:val="24"/>
          <w:szCs w:val="24"/>
        </w:rPr>
        <w:t xml:space="preserve"> group and 6 (8%) of 78 in the </w:t>
      </w:r>
      <w:r w:rsidR="002851A3">
        <w:rPr>
          <w:sz w:val="24"/>
          <w:szCs w:val="24"/>
        </w:rPr>
        <w:t>high Ct value</w:t>
      </w:r>
      <w:r w:rsidRPr="00A75D88">
        <w:rPr>
          <w:sz w:val="24"/>
          <w:szCs w:val="24"/>
        </w:rPr>
        <w:t xml:space="preserve"> group, p&lt;0.0001. 36 (</w:t>
      </w:r>
      <w:r w:rsidR="006F2F33">
        <w:rPr>
          <w:sz w:val="24"/>
          <w:szCs w:val="24"/>
        </w:rPr>
        <w:t>20</w:t>
      </w:r>
      <w:r w:rsidRPr="00A75D88">
        <w:rPr>
          <w:sz w:val="24"/>
          <w:szCs w:val="24"/>
        </w:rPr>
        <w:t xml:space="preserve">%) of 185 patients were admitted to ICU overall. 2 (7%) of 28 in the </w:t>
      </w:r>
      <w:r w:rsidR="002851A3">
        <w:rPr>
          <w:sz w:val="24"/>
          <w:szCs w:val="24"/>
        </w:rPr>
        <w:t>low Ct value group</w:t>
      </w:r>
      <w:r w:rsidRPr="00A75D88">
        <w:rPr>
          <w:sz w:val="24"/>
          <w:szCs w:val="24"/>
        </w:rPr>
        <w:t xml:space="preserve"> were admitted to ICU versus 22(2</w:t>
      </w:r>
      <w:r w:rsidR="00551888">
        <w:rPr>
          <w:sz w:val="24"/>
          <w:szCs w:val="24"/>
        </w:rPr>
        <w:t>8</w:t>
      </w:r>
      <w:r w:rsidRPr="00A75D88">
        <w:rPr>
          <w:sz w:val="24"/>
          <w:szCs w:val="24"/>
        </w:rPr>
        <w:t xml:space="preserve">%) of </w:t>
      </w:r>
      <w:r w:rsidRPr="00A75D88">
        <w:rPr>
          <w:sz w:val="24"/>
          <w:szCs w:val="24"/>
        </w:rPr>
        <w:lastRenderedPageBreak/>
        <w:t xml:space="preserve">79 in the medium </w:t>
      </w:r>
      <w:r w:rsidR="009E7D74">
        <w:rPr>
          <w:sz w:val="24"/>
          <w:szCs w:val="24"/>
        </w:rPr>
        <w:t>Ct value</w:t>
      </w:r>
      <w:r w:rsidRPr="00A75D88">
        <w:rPr>
          <w:sz w:val="24"/>
          <w:szCs w:val="24"/>
        </w:rPr>
        <w:t xml:space="preserve"> group and 12 (15%) of 78 in the </w:t>
      </w:r>
      <w:r w:rsidR="009E7D74">
        <w:rPr>
          <w:sz w:val="24"/>
          <w:szCs w:val="24"/>
        </w:rPr>
        <w:t xml:space="preserve">high Ct </w:t>
      </w:r>
      <w:proofErr w:type="gramStart"/>
      <w:r w:rsidR="009E7D74">
        <w:rPr>
          <w:sz w:val="24"/>
          <w:szCs w:val="24"/>
        </w:rPr>
        <w:t xml:space="preserve">value </w:t>
      </w:r>
      <w:r w:rsidRPr="00A75D88">
        <w:rPr>
          <w:sz w:val="24"/>
          <w:szCs w:val="24"/>
        </w:rPr>
        <w:t xml:space="preserve"> group</w:t>
      </w:r>
      <w:proofErr w:type="gramEnd"/>
      <w:r w:rsidRPr="00A75D88">
        <w:rPr>
          <w:sz w:val="24"/>
          <w:szCs w:val="24"/>
        </w:rPr>
        <w:t xml:space="preserve">, p=0.029. </w:t>
      </w:r>
      <w:r w:rsidR="00DF160C">
        <w:rPr>
          <w:sz w:val="24"/>
          <w:szCs w:val="24"/>
        </w:rPr>
        <w:t>No patient received an</w:t>
      </w:r>
      <w:r w:rsidR="00433D57">
        <w:rPr>
          <w:sz w:val="24"/>
          <w:szCs w:val="24"/>
        </w:rPr>
        <w:t>y SARS-CoV-2</w:t>
      </w:r>
      <w:r w:rsidR="00DF160C">
        <w:rPr>
          <w:sz w:val="24"/>
          <w:szCs w:val="24"/>
        </w:rPr>
        <w:t xml:space="preserve"> vaccine, immunomodulatory </w:t>
      </w:r>
      <w:r w:rsidR="00FB74FA">
        <w:rPr>
          <w:sz w:val="24"/>
          <w:szCs w:val="24"/>
        </w:rPr>
        <w:t xml:space="preserve">COVID-19 </w:t>
      </w:r>
      <w:r w:rsidR="00DF160C">
        <w:rPr>
          <w:sz w:val="24"/>
          <w:szCs w:val="24"/>
        </w:rPr>
        <w:t>therapy, or antiviral for COVID-19 prior to collection of the nose and throat swab</w:t>
      </w:r>
      <w:r w:rsidR="00914DDF">
        <w:rPr>
          <w:sz w:val="24"/>
          <w:szCs w:val="24"/>
        </w:rPr>
        <w:t>s</w:t>
      </w:r>
      <w:r w:rsidR="00DF160C">
        <w:rPr>
          <w:sz w:val="24"/>
          <w:szCs w:val="24"/>
        </w:rPr>
        <w:t>.</w:t>
      </w:r>
    </w:p>
    <w:p w14:paraId="1FC38FF0" w14:textId="77777777" w:rsidR="00B01895" w:rsidRDefault="00B01895" w:rsidP="00391A54">
      <w:pPr>
        <w:spacing w:after="0" w:line="480" w:lineRule="auto"/>
        <w:jc w:val="both"/>
        <w:rPr>
          <w:b/>
          <w:bCs/>
          <w:sz w:val="24"/>
          <w:szCs w:val="24"/>
        </w:rPr>
      </w:pPr>
    </w:p>
    <w:p w14:paraId="70165C4F" w14:textId="7FE2181A" w:rsidR="00391A54" w:rsidRPr="00A75D88" w:rsidRDefault="00B1283A" w:rsidP="00391A54">
      <w:pPr>
        <w:spacing w:after="0" w:line="480" w:lineRule="auto"/>
        <w:jc w:val="both"/>
        <w:rPr>
          <w:sz w:val="24"/>
          <w:szCs w:val="24"/>
        </w:rPr>
      </w:pPr>
      <w:r>
        <w:rPr>
          <w:b/>
          <w:bCs/>
          <w:sz w:val="24"/>
          <w:szCs w:val="24"/>
        </w:rPr>
        <w:t>Neutralising a</w:t>
      </w:r>
      <w:r w:rsidR="00391A54" w:rsidRPr="00A75D88">
        <w:rPr>
          <w:b/>
          <w:bCs/>
          <w:sz w:val="24"/>
          <w:szCs w:val="24"/>
        </w:rPr>
        <w:t>ntibody subgroup data</w:t>
      </w:r>
      <w:r w:rsidR="00391A54" w:rsidRPr="00A75D88">
        <w:rPr>
          <w:sz w:val="24"/>
          <w:szCs w:val="24"/>
        </w:rPr>
        <w:t xml:space="preserve"> </w:t>
      </w:r>
    </w:p>
    <w:p w14:paraId="24E03664" w14:textId="16F551B3" w:rsidR="00391A54" w:rsidRPr="00A75D88" w:rsidRDefault="00391A54" w:rsidP="00391A54">
      <w:pPr>
        <w:spacing w:after="0" w:line="480" w:lineRule="auto"/>
        <w:jc w:val="both"/>
        <w:rPr>
          <w:sz w:val="24"/>
          <w:szCs w:val="24"/>
        </w:rPr>
      </w:pPr>
      <w:r w:rsidRPr="00A75D88">
        <w:rPr>
          <w:sz w:val="24"/>
          <w:szCs w:val="24"/>
        </w:rPr>
        <w:t xml:space="preserve">99 (54%) of 185 patients consented to </w:t>
      </w:r>
      <w:r w:rsidR="00914DDF">
        <w:rPr>
          <w:sz w:val="24"/>
          <w:szCs w:val="24"/>
        </w:rPr>
        <w:t xml:space="preserve">venesection </w:t>
      </w:r>
      <w:r w:rsidRPr="00A75D88">
        <w:rPr>
          <w:sz w:val="24"/>
          <w:szCs w:val="24"/>
        </w:rPr>
        <w:t xml:space="preserve">and had a serum sample taken. 56 (57%) of 99 patients had detectable neutralising antibodies against SARS-CoV-2. The baseline characteristics of patients who had serum neutralising antibodies </w:t>
      </w:r>
      <w:r w:rsidR="00B1283A">
        <w:rPr>
          <w:sz w:val="24"/>
          <w:szCs w:val="24"/>
        </w:rPr>
        <w:t>measured are summarised in T</w:t>
      </w:r>
      <w:r w:rsidRPr="00A75D88">
        <w:rPr>
          <w:sz w:val="24"/>
          <w:szCs w:val="24"/>
        </w:rPr>
        <w:t xml:space="preserve">able 2. </w:t>
      </w:r>
    </w:p>
    <w:p w14:paraId="48935F30" w14:textId="77777777" w:rsidR="00391A54" w:rsidRPr="00A75D88" w:rsidRDefault="00391A54" w:rsidP="00391A54">
      <w:pPr>
        <w:spacing w:after="0" w:line="480" w:lineRule="auto"/>
        <w:jc w:val="both"/>
        <w:rPr>
          <w:sz w:val="24"/>
          <w:szCs w:val="24"/>
        </w:rPr>
      </w:pPr>
    </w:p>
    <w:p w14:paraId="3AF7CF32" w14:textId="6C6E517B" w:rsidR="00AC3072" w:rsidRPr="00B01895" w:rsidRDefault="00391A54" w:rsidP="00B1283A">
      <w:pPr>
        <w:spacing w:after="0" w:line="480" w:lineRule="auto"/>
        <w:jc w:val="both"/>
        <w:rPr>
          <w:sz w:val="24"/>
          <w:szCs w:val="24"/>
        </w:rPr>
      </w:pPr>
      <w:r w:rsidRPr="00A75D88">
        <w:rPr>
          <w:sz w:val="24"/>
          <w:szCs w:val="24"/>
        </w:rPr>
        <w:t xml:space="preserve">The median [IQR] age for those with neutralising antibodies detected was 58 [45-70] years compared to 68 [52-82] years in those without detectable antibodies (difference of 10 years, 95% CI 4-19; p=0.002). A higher proportion of patients in the antibody negative group were </w:t>
      </w:r>
      <w:r>
        <w:rPr>
          <w:sz w:val="24"/>
          <w:szCs w:val="24"/>
        </w:rPr>
        <w:t>of W</w:t>
      </w:r>
      <w:r w:rsidRPr="00A75D88">
        <w:rPr>
          <w:sz w:val="24"/>
          <w:szCs w:val="24"/>
        </w:rPr>
        <w:t xml:space="preserve">hite British </w:t>
      </w:r>
      <w:r>
        <w:rPr>
          <w:sz w:val="24"/>
          <w:szCs w:val="24"/>
        </w:rPr>
        <w:t xml:space="preserve">ethnicity </w:t>
      </w:r>
      <w:r w:rsidRPr="00A75D88">
        <w:rPr>
          <w:sz w:val="24"/>
          <w:szCs w:val="24"/>
        </w:rPr>
        <w:t>compared with the antibody positive group, 34 (81%) of 96 versus 29 (54%) 96 (difference of -27%, 95%CI -46% to -8%; p=0.009). There was a higher proportion of patients with underlying co-morbidity in the antibody negative group, included those with any pre-existing chronic respirato</w:t>
      </w:r>
      <w:r w:rsidR="00B1283A">
        <w:rPr>
          <w:sz w:val="24"/>
          <w:szCs w:val="24"/>
        </w:rPr>
        <w:t xml:space="preserve">ry disease, </w:t>
      </w:r>
      <w:proofErr w:type="gramStart"/>
      <w:r w:rsidR="00B1283A">
        <w:rPr>
          <w:sz w:val="24"/>
          <w:szCs w:val="24"/>
        </w:rPr>
        <w:t>COPD</w:t>
      </w:r>
      <w:proofErr w:type="gramEnd"/>
      <w:r w:rsidR="00B1283A">
        <w:rPr>
          <w:sz w:val="24"/>
          <w:szCs w:val="24"/>
        </w:rPr>
        <w:t xml:space="preserve"> and dementia (T</w:t>
      </w:r>
      <w:r w:rsidR="00F67AAC">
        <w:rPr>
          <w:sz w:val="24"/>
          <w:szCs w:val="24"/>
        </w:rPr>
        <w:t xml:space="preserve">able 2). </w:t>
      </w:r>
      <w:r w:rsidRPr="00A75D88">
        <w:rPr>
          <w:sz w:val="24"/>
          <w:szCs w:val="24"/>
        </w:rPr>
        <w:t>Median [IQR] duration of symptoms prior to admiss</w:t>
      </w:r>
      <w:r w:rsidR="00B1283A">
        <w:rPr>
          <w:sz w:val="24"/>
          <w:szCs w:val="24"/>
        </w:rPr>
        <w:t>ion was longer in those with detect</w:t>
      </w:r>
      <w:r w:rsidRPr="00A75D88">
        <w:rPr>
          <w:sz w:val="24"/>
          <w:szCs w:val="24"/>
        </w:rPr>
        <w:t>able neutralising antibodies, 9 [6-11] versus 6 [2-7] days (difference of 3 days, 95% CI 1-5; p=0.001). The median neutrophil count on admission was significantly higher in the antibody positive group compared with the negative, 6.6 [4.4-9.7] vs 4.5</w:t>
      </w:r>
      <w:r>
        <w:rPr>
          <w:sz w:val="24"/>
          <w:szCs w:val="24"/>
        </w:rPr>
        <w:t xml:space="preserve"> [3.5-7.6] (difference of 2.1, 95% CI 0.3 to 2.7</w:t>
      </w:r>
      <w:r w:rsidRPr="00A75D88">
        <w:rPr>
          <w:sz w:val="24"/>
          <w:szCs w:val="24"/>
        </w:rPr>
        <w:t>; p=0.010). Median [IQR] Ct value on admission was higher (i.e</w:t>
      </w:r>
      <w:r w:rsidR="00EF6177">
        <w:rPr>
          <w:sz w:val="24"/>
          <w:szCs w:val="24"/>
        </w:rPr>
        <w:t>.</w:t>
      </w:r>
      <w:r w:rsidRPr="00A75D88">
        <w:rPr>
          <w:sz w:val="24"/>
          <w:szCs w:val="24"/>
        </w:rPr>
        <w:t xml:space="preserve"> viral load lower) in those with neutralising antibody detected, 31.8 [28-33</w:t>
      </w:r>
      <w:r w:rsidR="006F2F33">
        <w:rPr>
          <w:sz w:val="24"/>
          <w:szCs w:val="24"/>
        </w:rPr>
        <w:t>.3</w:t>
      </w:r>
      <w:r w:rsidRPr="00A75D88">
        <w:rPr>
          <w:sz w:val="24"/>
          <w:szCs w:val="24"/>
        </w:rPr>
        <w:t>] compared with those without, 24 [19</w:t>
      </w:r>
      <w:r w:rsidR="006F2F33">
        <w:rPr>
          <w:sz w:val="24"/>
          <w:szCs w:val="24"/>
        </w:rPr>
        <w:t>.4</w:t>
      </w:r>
      <w:r w:rsidRPr="00A75D88">
        <w:rPr>
          <w:sz w:val="24"/>
          <w:szCs w:val="24"/>
        </w:rPr>
        <w:t>-</w:t>
      </w:r>
      <w:r w:rsidR="006F2F33">
        <w:rPr>
          <w:sz w:val="24"/>
          <w:szCs w:val="24"/>
        </w:rPr>
        <w:t>29.4</w:t>
      </w:r>
      <w:r w:rsidRPr="00A75D88">
        <w:rPr>
          <w:sz w:val="24"/>
          <w:szCs w:val="24"/>
        </w:rPr>
        <w:t xml:space="preserve">] (difference of </w:t>
      </w:r>
      <w:r>
        <w:rPr>
          <w:sz w:val="24"/>
          <w:szCs w:val="24"/>
        </w:rPr>
        <w:t xml:space="preserve">7.8, </w:t>
      </w:r>
      <w:r w:rsidRPr="00A75D88">
        <w:rPr>
          <w:sz w:val="24"/>
          <w:szCs w:val="24"/>
        </w:rPr>
        <w:t xml:space="preserve">95% CI 3.5 to 8.2; p&lt;0.0001). </w:t>
      </w:r>
      <w:r w:rsidR="00B1283A">
        <w:rPr>
          <w:sz w:val="24"/>
          <w:szCs w:val="24"/>
        </w:rPr>
        <w:t>M</w:t>
      </w:r>
      <w:r w:rsidRPr="00A75D88">
        <w:rPr>
          <w:sz w:val="24"/>
          <w:szCs w:val="24"/>
        </w:rPr>
        <w:t xml:space="preserve">ortality was lower in those with detectable </w:t>
      </w:r>
      <w:r w:rsidRPr="00A75D88">
        <w:rPr>
          <w:sz w:val="24"/>
          <w:szCs w:val="24"/>
        </w:rPr>
        <w:lastRenderedPageBreak/>
        <w:t>neutralising antibodies, 3 (5%) of 56 compared to those without detectable antibody 13 (30%</w:t>
      </w:r>
      <w:r>
        <w:rPr>
          <w:sz w:val="24"/>
          <w:szCs w:val="24"/>
        </w:rPr>
        <w:t xml:space="preserve">) of 43 (difference of -25%, </w:t>
      </w:r>
      <w:r w:rsidRPr="00A75D88">
        <w:rPr>
          <w:sz w:val="24"/>
          <w:szCs w:val="24"/>
        </w:rPr>
        <w:t>95% CI -40% to -10%; p=0.002</w:t>
      </w:r>
      <w:r>
        <w:rPr>
          <w:sz w:val="24"/>
          <w:szCs w:val="24"/>
        </w:rPr>
        <w:t>).</w:t>
      </w:r>
    </w:p>
    <w:p w14:paraId="3A533038" w14:textId="77777777" w:rsidR="00B01895" w:rsidRDefault="00B01895" w:rsidP="00B1283A">
      <w:pPr>
        <w:spacing w:after="0" w:line="480" w:lineRule="auto"/>
        <w:jc w:val="both"/>
        <w:rPr>
          <w:b/>
          <w:bCs/>
          <w:sz w:val="24"/>
          <w:szCs w:val="24"/>
        </w:rPr>
      </w:pPr>
    </w:p>
    <w:p w14:paraId="2E3CD777" w14:textId="2C75B2A5" w:rsidR="00391A54" w:rsidRPr="00A75D88" w:rsidRDefault="00391A54" w:rsidP="00B1283A">
      <w:pPr>
        <w:spacing w:after="0" w:line="480" w:lineRule="auto"/>
        <w:jc w:val="both"/>
        <w:rPr>
          <w:b/>
          <w:bCs/>
          <w:sz w:val="24"/>
          <w:szCs w:val="24"/>
        </w:rPr>
      </w:pPr>
      <w:r w:rsidRPr="00A75D88">
        <w:rPr>
          <w:b/>
          <w:bCs/>
          <w:sz w:val="24"/>
          <w:szCs w:val="24"/>
        </w:rPr>
        <w:t xml:space="preserve">Multivariate analysis </w:t>
      </w:r>
    </w:p>
    <w:p w14:paraId="1646058E" w14:textId="49521FEA" w:rsidR="00125C6B" w:rsidRDefault="00391A54" w:rsidP="00391A54">
      <w:pPr>
        <w:spacing w:after="0" w:line="480" w:lineRule="auto"/>
        <w:jc w:val="both"/>
        <w:rPr>
          <w:rFonts w:cstheme="minorHAnsi"/>
          <w:color w:val="000000"/>
          <w:sz w:val="24"/>
          <w:szCs w:val="24"/>
        </w:rPr>
      </w:pPr>
      <w:r>
        <w:rPr>
          <w:sz w:val="24"/>
          <w:szCs w:val="24"/>
        </w:rPr>
        <w:t>Multiple l</w:t>
      </w:r>
      <w:r w:rsidRPr="00A75D88">
        <w:rPr>
          <w:sz w:val="24"/>
          <w:szCs w:val="24"/>
        </w:rPr>
        <w:t xml:space="preserve">ogistic regression </w:t>
      </w:r>
      <w:r>
        <w:rPr>
          <w:sz w:val="24"/>
          <w:szCs w:val="24"/>
        </w:rPr>
        <w:t xml:space="preserve">analysis </w:t>
      </w:r>
      <w:r w:rsidRPr="00A75D88">
        <w:rPr>
          <w:sz w:val="24"/>
          <w:szCs w:val="24"/>
        </w:rPr>
        <w:t>fo</w:t>
      </w:r>
      <w:r>
        <w:rPr>
          <w:sz w:val="24"/>
          <w:szCs w:val="24"/>
        </w:rPr>
        <w:t xml:space="preserve">r in-hospital mortality </w:t>
      </w:r>
      <w:r w:rsidR="00CB52A6">
        <w:rPr>
          <w:sz w:val="24"/>
          <w:szCs w:val="24"/>
        </w:rPr>
        <w:t xml:space="preserve">with 21 dependent covariates and three pairs of interaction terms </w:t>
      </w:r>
      <w:r>
        <w:rPr>
          <w:sz w:val="24"/>
          <w:szCs w:val="24"/>
        </w:rPr>
        <w:t>(</w:t>
      </w:r>
      <w:r w:rsidR="00AC3072">
        <w:rPr>
          <w:sz w:val="24"/>
          <w:szCs w:val="24"/>
        </w:rPr>
        <w:t>T</w:t>
      </w:r>
      <w:r>
        <w:rPr>
          <w:sz w:val="24"/>
          <w:szCs w:val="24"/>
        </w:rPr>
        <w:t>able 3</w:t>
      </w:r>
      <w:r w:rsidRPr="00A75D88">
        <w:rPr>
          <w:sz w:val="24"/>
          <w:szCs w:val="24"/>
        </w:rPr>
        <w:t xml:space="preserve">) showed </w:t>
      </w:r>
      <w:r>
        <w:rPr>
          <w:sz w:val="24"/>
          <w:szCs w:val="24"/>
        </w:rPr>
        <w:t xml:space="preserve">that </w:t>
      </w:r>
      <w:r w:rsidR="009E7D74">
        <w:rPr>
          <w:sz w:val="24"/>
          <w:szCs w:val="24"/>
        </w:rPr>
        <w:t>low Ct value</w:t>
      </w:r>
      <w:r w:rsidR="00F478CC">
        <w:rPr>
          <w:sz w:val="24"/>
          <w:szCs w:val="24"/>
        </w:rPr>
        <w:t xml:space="preserve"> (</w:t>
      </w:r>
      <w:r w:rsidRPr="00A75D88">
        <w:rPr>
          <w:sz w:val="24"/>
          <w:szCs w:val="24"/>
        </w:rPr>
        <w:t>high viral load</w:t>
      </w:r>
      <w:r w:rsidR="00F478CC">
        <w:rPr>
          <w:sz w:val="24"/>
          <w:szCs w:val="24"/>
        </w:rPr>
        <w:t>)</w:t>
      </w:r>
      <w:r w:rsidRPr="00A75D88">
        <w:rPr>
          <w:sz w:val="24"/>
          <w:szCs w:val="24"/>
        </w:rPr>
        <w:t xml:space="preserve"> at admission </w:t>
      </w:r>
      <w:r w:rsidR="00B1283A">
        <w:rPr>
          <w:sz w:val="24"/>
          <w:szCs w:val="24"/>
        </w:rPr>
        <w:t xml:space="preserve">was associated with </w:t>
      </w:r>
      <w:r w:rsidR="00914DDF">
        <w:rPr>
          <w:sz w:val="24"/>
          <w:szCs w:val="24"/>
        </w:rPr>
        <w:t xml:space="preserve">higher </w:t>
      </w:r>
      <w:r>
        <w:rPr>
          <w:sz w:val="24"/>
          <w:szCs w:val="24"/>
        </w:rPr>
        <w:t>in-hospital mortality (adjusted odds ratio (</w:t>
      </w:r>
      <w:proofErr w:type="spellStart"/>
      <w:r w:rsidRPr="00A75D88">
        <w:rPr>
          <w:sz w:val="24"/>
          <w:szCs w:val="24"/>
        </w:rPr>
        <w:t>aOR</w:t>
      </w:r>
      <w:proofErr w:type="spellEnd"/>
      <w:r w:rsidRPr="00A75D88">
        <w:rPr>
          <w:sz w:val="24"/>
          <w:szCs w:val="24"/>
        </w:rPr>
        <w:t>) of 0.</w:t>
      </w:r>
      <w:r>
        <w:rPr>
          <w:sz w:val="24"/>
          <w:szCs w:val="24"/>
        </w:rPr>
        <w:t xml:space="preserve">84, 95% </w:t>
      </w:r>
      <w:r w:rsidRPr="00A75D88">
        <w:rPr>
          <w:sz w:val="24"/>
          <w:szCs w:val="24"/>
        </w:rPr>
        <w:t>CI 0.72-0.96</w:t>
      </w:r>
      <w:r>
        <w:rPr>
          <w:sz w:val="24"/>
          <w:szCs w:val="24"/>
        </w:rPr>
        <w:t xml:space="preserve">; </w:t>
      </w:r>
      <w:r w:rsidRPr="00A75D88">
        <w:rPr>
          <w:sz w:val="24"/>
          <w:szCs w:val="24"/>
        </w:rPr>
        <w:t xml:space="preserve">p=0.011). Longer duration of </w:t>
      </w:r>
      <w:r>
        <w:rPr>
          <w:sz w:val="24"/>
          <w:szCs w:val="24"/>
        </w:rPr>
        <w:t>symptoms prior to admission was associated with lower in-hospital mortality (</w:t>
      </w:r>
      <w:proofErr w:type="spellStart"/>
      <w:r>
        <w:rPr>
          <w:sz w:val="24"/>
          <w:szCs w:val="24"/>
        </w:rPr>
        <w:t>aOR</w:t>
      </w:r>
      <w:proofErr w:type="spellEnd"/>
      <w:r>
        <w:rPr>
          <w:sz w:val="24"/>
          <w:szCs w:val="24"/>
        </w:rPr>
        <w:t xml:space="preserve"> 0.7</w:t>
      </w:r>
      <w:r w:rsidR="00115FC5">
        <w:rPr>
          <w:sz w:val="24"/>
          <w:szCs w:val="24"/>
        </w:rPr>
        <w:t>1</w:t>
      </w:r>
      <w:r>
        <w:rPr>
          <w:sz w:val="24"/>
          <w:szCs w:val="24"/>
        </w:rPr>
        <w:t xml:space="preserve">, 95% </w:t>
      </w:r>
      <w:r w:rsidRPr="00A75D88">
        <w:rPr>
          <w:sz w:val="24"/>
          <w:szCs w:val="24"/>
        </w:rPr>
        <w:t>CI 0.5</w:t>
      </w:r>
      <w:r w:rsidR="00115FC5">
        <w:rPr>
          <w:sz w:val="24"/>
          <w:szCs w:val="24"/>
        </w:rPr>
        <w:t>1</w:t>
      </w:r>
      <w:r w:rsidRPr="00A75D88">
        <w:rPr>
          <w:sz w:val="24"/>
          <w:szCs w:val="24"/>
        </w:rPr>
        <w:t>-0.89</w:t>
      </w:r>
      <w:r>
        <w:rPr>
          <w:sz w:val="24"/>
          <w:szCs w:val="24"/>
        </w:rPr>
        <w:t>; p=</w:t>
      </w:r>
      <w:r w:rsidRPr="00A75D88">
        <w:rPr>
          <w:sz w:val="24"/>
          <w:szCs w:val="24"/>
        </w:rPr>
        <w:t>0.011).</w:t>
      </w:r>
      <w:r>
        <w:rPr>
          <w:sz w:val="24"/>
          <w:szCs w:val="24"/>
        </w:rPr>
        <w:t xml:space="preserve"> Increasing age (</w:t>
      </w:r>
      <w:proofErr w:type="spellStart"/>
      <w:r w:rsidRPr="00A75D88">
        <w:rPr>
          <w:sz w:val="24"/>
          <w:szCs w:val="24"/>
        </w:rPr>
        <w:t>aOR</w:t>
      </w:r>
      <w:proofErr w:type="spellEnd"/>
      <w:r w:rsidRPr="00A75D88">
        <w:rPr>
          <w:sz w:val="24"/>
          <w:szCs w:val="24"/>
        </w:rPr>
        <w:t xml:space="preserve"> 1.16</w:t>
      </w:r>
      <w:r>
        <w:rPr>
          <w:sz w:val="24"/>
          <w:szCs w:val="24"/>
        </w:rPr>
        <w:t xml:space="preserve">, 95% </w:t>
      </w:r>
      <w:r w:rsidRPr="00A75D88">
        <w:rPr>
          <w:sz w:val="24"/>
          <w:szCs w:val="24"/>
        </w:rPr>
        <w:t>CI 1.07-1.28</w:t>
      </w:r>
      <w:r>
        <w:rPr>
          <w:sz w:val="24"/>
          <w:szCs w:val="24"/>
        </w:rPr>
        <w:t xml:space="preserve">; </w:t>
      </w:r>
      <w:r w:rsidRPr="00A75D88">
        <w:rPr>
          <w:sz w:val="24"/>
          <w:szCs w:val="24"/>
        </w:rPr>
        <w:t>p=0.001)</w:t>
      </w:r>
      <w:r>
        <w:rPr>
          <w:sz w:val="24"/>
          <w:szCs w:val="24"/>
        </w:rPr>
        <w:t xml:space="preserve"> and</w:t>
      </w:r>
      <w:r w:rsidRPr="00A75D88">
        <w:rPr>
          <w:sz w:val="24"/>
          <w:szCs w:val="24"/>
        </w:rPr>
        <w:t xml:space="preserve"> the presence of cardiovascular and diabetes as co-morbidities were </w:t>
      </w:r>
      <w:r>
        <w:rPr>
          <w:sz w:val="24"/>
          <w:szCs w:val="24"/>
        </w:rPr>
        <w:t>also associated with higher in-patient mortality</w:t>
      </w:r>
      <w:r w:rsidRPr="00A75D88">
        <w:rPr>
          <w:sz w:val="24"/>
          <w:szCs w:val="24"/>
        </w:rPr>
        <w:t xml:space="preserve"> </w:t>
      </w:r>
      <w:r>
        <w:rPr>
          <w:sz w:val="24"/>
          <w:szCs w:val="24"/>
        </w:rPr>
        <w:t>(</w:t>
      </w:r>
      <w:proofErr w:type="spellStart"/>
      <w:r>
        <w:rPr>
          <w:sz w:val="24"/>
          <w:szCs w:val="24"/>
        </w:rPr>
        <w:t>aOR</w:t>
      </w:r>
      <w:proofErr w:type="spellEnd"/>
      <w:r>
        <w:rPr>
          <w:sz w:val="24"/>
          <w:szCs w:val="24"/>
        </w:rPr>
        <w:t xml:space="preserve"> 4.80, 95%</w:t>
      </w:r>
      <w:r w:rsidRPr="00A75D88">
        <w:rPr>
          <w:sz w:val="24"/>
          <w:szCs w:val="24"/>
        </w:rPr>
        <w:t>CI 1.4</w:t>
      </w:r>
      <w:r w:rsidR="00115FC5">
        <w:rPr>
          <w:sz w:val="24"/>
          <w:szCs w:val="24"/>
        </w:rPr>
        <w:t>4</w:t>
      </w:r>
      <w:r w:rsidR="00125C6B">
        <w:rPr>
          <w:sz w:val="24"/>
          <w:szCs w:val="24"/>
        </w:rPr>
        <w:t>-18.52, p=</w:t>
      </w:r>
      <w:r>
        <w:rPr>
          <w:sz w:val="24"/>
          <w:szCs w:val="24"/>
        </w:rPr>
        <w:t>0.014 and</w:t>
      </w:r>
      <w:r w:rsidRPr="00A75D88">
        <w:rPr>
          <w:sz w:val="24"/>
          <w:szCs w:val="24"/>
        </w:rPr>
        <w:t xml:space="preserve"> </w:t>
      </w:r>
      <w:proofErr w:type="spellStart"/>
      <w:r w:rsidRPr="00A75D88">
        <w:rPr>
          <w:sz w:val="24"/>
          <w:szCs w:val="24"/>
        </w:rPr>
        <w:t>aOR</w:t>
      </w:r>
      <w:proofErr w:type="spellEnd"/>
      <w:r w:rsidRPr="00A75D88">
        <w:rPr>
          <w:sz w:val="24"/>
          <w:szCs w:val="24"/>
        </w:rPr>
        <w:t xml:space="preserve"> 4.93</w:t>
      </w:r>
      <w:r>
        <w:rPr>
          <w:sz w:val="24"/>
          <w:szCs w:val="24"/>
        </w:rPr>
        <w:t>, 95%</w:t>
      </w:r>
      <w:r w:rsidRPr="00A75D88">
        <w:rPr>
          <w:sz w:val="24"/>
          <w:szCs w:val="24"/>
        </w:rPr>
        <w:t>CI 1.22-23.29</w:t>
      </w:r>
      <w:r>
        <w:rPr>
          <w:sz w:val="24"/>
          <w:szCs w:val="24"/>
        </w:rPr>
        <w:t>; p=0.031,</w:t>
      </w:r>
      <w:r w:rsidRPr="00A75D88">
        <w:rPr>
          <w:sz w:val="24"/>
          <w:szCs w:val="24"/>
        </w:rPr>
        <w:t xml:space="preserve"> respectively</w:t>
      </w:r>
      <w:r>
        <w:rPr>
          <w:sz w:val="24"/>
          <w:szCs w:val="24"/>
        </w:rPr>
        <w:t>)</w:t>
      </w:r>
      <w:r w:rsidRPr="00A75D88">
        <w:rPr>
          <w:sz w:val="24"/>
          <w:szCs w:val="24"/>
        </w:rPr>
        <w:t xml:space="preserve">. </w:t>
      </w:r>
      <w:r w:rsidRPr="00A75D88">
        <w:rPr>
          <w:rFonts w:cstheme="minorHAnsi"/>
          <w:sz w:val="24"/>
          <w:szCs w:val="24"/>
        </w:rPr>
        <w:t xml:space="preserve">The results also indicated a significant interaction of the two </w:t>
      </w:r>
      <w:r w:rsidR="00914DDF">
        <w:rPr>
          <w:rFonts w:cstheme="minorHAnsi"/>
          <w:sz w:val="24"/>
          <w:szCs w:val="24"/>
        </w:rPr>
        <w:t>variables</w:t>
      </w:r>
      <w:r w:rsidR="00BE2758">
        <w:rPr>
          <w:rFonts w:cstheme="minorHAnsi"/>
          <w:sz w:val="24"/>
          <w:szCs w:val="24"/>
        </w:rPr>
        <w:t xml:space="preserve">: </w:t>
      </w:r>
      <w:r w:rsidRPr="00A75D88">
        <w:rPr>
          <w:rFonts w:cstheme="minorHAnsi"/>
          <w:sz w:val="24"/>
          <w:szCs w:val="24"/>
        </w:rPr>
        <w:t>s</w:t>
      </w:r>
      <w:r w:rsidR="00125C6B">
        <w:rPr>
          <w:rFonts w:cstheme="minorHAnsi"/>
          <w:sz w:val="24"/>
          <w:szCs w:val="24"/>
        </w:rPr>
        <w:t>ymptom duration and age (</w:t>
      </w:r>
      <w:proofErr w:type="spellStart"/>
      <w:r w:rsidR="00125C6B">
        <w:rPr>
          <w:rFonts w:cstheme="minorHAnsi"/>
          <w:sz w:val="24"/>
          <w:szCs w:val="24"/>
        </w:rPr>
        <w:t>aOR</w:t>
      </w:r>
      <w:proofErr w:type="spellEnd"/>
      <w:r w:rsidR="00125C6B">
        <w:rPr>
          <w:rFonts w:cstheme="minorHAnsi"/>
          <w:sz w:val="24"/>
          <w:szCs w:val="24"/>
        </w:rPr>
        <w:t xml:space="preserve"> </w:t>
      </w:r>
      <w:r w:rsidRPr="00A75D88">
        <w:rPr>
          <w:rFonts w:cstheme="minorHAnsi"/>
          <w:sz w:val="24"/>
          <w:szCs w:val="24"/>
        </w:rPr>
        <w:t xml:space="preserve">1.02, </w:t>
      </w:r>
      <w:r>
        <w:rPr>
          <w:rFonts w:cstheme="minorHAnsi"/>
          <w:sz w:val="24"/>
          <w:szCs w:val="24"/>
        </w:rPr>
        <w:t xml:space="preserve">95% CI </w:t>
      </w:r>
      <w:r w:rsidRPr="00A75D88">
        <w:rPr>
          <w:rFonts w:cstheme="minorHAnsi"/>
          <w:color w:val="000000"/>
          <w:sz w:val="24"/>
          <w:szCs w:val="24"/>
        </w:rPr>
        <w:t>1.01-1.04</w:t>
      </w:r>
      <w:r>
        <w:rPr>
          <w:rFonts w:cstheme="minorHAnsi"/>
          <w:color w:val="000000"/>
          <w:sz w:val="24"/>
          <w:szCs w:val="24"/>
        </w:rPr>
        <w:t>;</w:t>
      </w:r>
      <w:r w:rsidRPr="00A75D88">
        <w:rPr>
          <w:rFonts w:cstheme="minorHAnsi"/>
          <w:color w:val="000000"/>
          <w:sz w:val="24"/>
          <w:szCs w:val="24"/>
        </w:rPr>
        <w:t xml:space="preserve"> </w:t>
      </w:r>
      <w:r w:rsidR="00115FC5">
        <w:rPr>
          <w:rFonts w:cstheme="minorHAnsi"/>
          <w:color w:val="000000"/>
          <w:sz w:val="24"/>
          <w:szCs w:val="24"/>
        </w:rPr>
        <w:t>p=0.001</w:t>
      </w:r>
      <w:r w:rsidR="00125C6B">
        <w:rPr>
          <w:rFonts w:cstheme="minorHAnsi"/>
          <w:color w:val="000000"/>
          <w:sz w:val="24"/>
          <w:szCs w:val="24"/>
        </w:rPr>
        <w:t>)</w:t>
      </w:r>
      <w:r w:rsidR="007814BD">
        <w:rPr>
          <w:rFonts w:cstheme="minorHAnsi"/>
          <w:color w:val="000000"/>
          <w:sz w:val="24"/>
          <w:szCs w:val="24"/>
        </w:rPr>
        <w:t>,</w:t>
      </w:r>
      <w:r w:rsidR="00125C6B">
        <w:rPr>
          <w:rFonts w:cstheme="minorHAnsi"/>
          <w:color w:val="000000"/>
          <w:sz w:val="24"/>
          <w:szCs w:val="24"/>
        </w:rPr>
        <w:t xml:space="preserve"> </w:t>
      </w:r>
      <w:r w:rsidRPr="00A75D88">
        <w:rPr>
          <w:rFonts w:cstheme="minorHAnsi"/>
          <w:color w:val="000000"/>
          <w:sz w:val="24"/>
          <w:szCs w:val="24"/>
        </w:rPr>
        <w:t xml:space="preserve">for in-hospital mortality outcome. The interaction probing results </w:t>
      </w:r>
      <w:r w:rsidRPr="001712E2">
        <w:rPr>
          <w:rFonts w:cstheme="minorHAnsi"/>
          <w:color w:val="000000"/>
          <w:sz w:val="24"/>
          <w:szCs w:val="24"/>
        </w:rPr>
        <w:t>(</w:t>
      </w:r>
      <w:r w:rsidR="00125C6B" w:rsidRPr="001712E2">
        <w:rPr>
          <w:rFonts w:cstheme="minorHAnsi"/>
          <w:color w:val="000000"/>
          <w:sz w:val="24"/>
          <w:szCs w:val="24"/>
        </w:rPr>
        <w:t>Figure S1</w:t>
      </w:r>
      <w:r w:rsidRPr="001712E2">
        <w:rPr>
          <w:rFonts w:cstheme="minorHAnsi"/>
          <w:color w:val="000000"/>
          <w:sz w:val="24"/>
          <w:szCs w:val="24"/>
        </w:rPr>
        <w:t>a and b, supplementary appendix) demonstrated that symptom duration ha</w:t>
      </w:r>
      <w:r w:rsidR="00233097" w:rsidRPr="001712E2">
        <w:rPr>
          <w:rFonts w:cstheme="minorHAnsi"/>
          <w:color w:val="000000"/>
          <w:sz w:val="24"/>
          <w:szCs w:val="24"/>
        </w:rPr>
        <w:t>d</w:t>
      </w:r>
      <w:r w:rsidRPr="001712E2">
        <w:rPr>
          <w:rFonts w:cstheme="minorHAnsi"/>
          <w:color w:val="000000"/>
          <w:sz w:val="24"/>
          <w:szCs w:val="24"/>
        </w:rPr>
        <w:t xml:space="preserve"> a significantly different relationship to in-hospital mortality risk depending on the age of the patient, w</w:t>
      </w:r>
      <w:r w:rsidR="007814BD">
        <w:rPr>
          <w:rFonts w:cstheme="minorHAnsi"/>
          <w:color w:val="000000"/>
          <w:sz w:val="24"/>
          <w:szCs w:val="24"/>
        </w:rPr>
        <w:t>ith</w:t>
      </w:r>
      <w:r w:rsidRPr="001712E2">
        <w:rPr>
          <w:rFonts w:cstheme="minorHAnsi"/>
          <w:color w:val="000000"/>
          <w:sz w:val="24"/>
          <w:szCs w:val="24"/>
        </w:rPr>
        <w:t xml:space="preserve"> younger patients hav</w:t>
      </w:r>
      <w:r w:rsidR="007814BD">
        <w:rPr>
          <w:rFonts w:cstheme="minorHAnsi"/>
          <w:color w:val="000000"/>
          <w:sz w:val="24"/>
          <w:szCs w:val="24"/>
        </w:rPr>
        <w:t>ing</w:t>
      </w:r>
      <w:r w:rsidRPr="001712E2">
        <w:rPr>
          <w:rFonts w:cstheme="minorHAnsi"/>
          <w:color w:val="000000"/>
          <w:sz w:val="24"/>
          <w:szCs w:val="24"/>
        </w:rPr>
        <w:t xml:space="preserve"> less probability of dying with increased duration of symptoms whil</w:t>
      </w:r>
      <w:r w:rsidR="007814BD">
        <w:rPr>
          <w:rFonts w:cstheme="minorHAnsi"/>
          <w:color w:val="000000"/>
          <w:sz w:val="24"/>
          <w:szCs w:val="24"/>
        </w:rPr>
        <w:t>st</w:t>
      </w:r>
      <w:r w:rsidRPr="001712E2">
        <w:rPr>
          <w:rFonts w:cstheme="minorHAnsi"/>
          <w:color w:val="000000"/>
          <w:sz w:val="24"/>
          <w:szCs w:val="24"/>
        </w:rPr>
        <w:t xml:space="preserve"> the older age group has an increased risk of in-hospital mortality with longer symptom duration</w:t>
      </w:r>
      <w:r w:rsidRPr="001712E2">
        <w:rPr>
          <w:rFonts w:cstheme="minorHAnsi"/>
          <w:sz w:val="24"/>
          <w:szCs w:val="24"/>
        </w:rPr>
        <w:t>.</w:t>
      </w:r>
      <w:r w:rsidRPr="00A75D88">
        <w:rPr>
          <w:rFonts w:cstheme="minorHAnsi"/>
          <w:color w:val="000000"/>
          <w:sz w:val="24"/>
          <w:szCs w:val="24"/>
        </w:rPr>
        <w:t xml:space="preserve"> </w:t>
      </w:r>
    </w:p>
    <w:p w14:paraId="6DF4F538" w14:textId="77777777" w:rsidR="00125C6B" w:rsidRDefault="00125C6B" w:rsidP="00391A54">
      <w:pPr>
        <w:spacing w:after="0" w:line="480" w:lineRule="auto"/>
        <w:jc w:val="both"/>
        <w:rPr>
          <w:rFonts w:cstheme="minorHAnsi"/>
          <w:color w:val="000000"/>
          <w:sz w:val="24"/>
          <w:szCs w:val="24"/>
        </w:rPr>
      </w:pPr>
    </w:p>
    <w:p w14:paraId="6F22C413" w14:textId="6E9F1DF6" w:rsidR="00391A54" w:rsidRDefault="00391A54" w:rsidP="00391A54">
      <w:pPr>
        <w:spacing w:after="0" w:line="480" w:lineRule="auto"/>
        <w:jc w:val="both"/>
        <w:rPr>
          <w:sz w:val="24"/>
          <w:szCs w:val="24"/>
        </w:rPr>
      </w:pPr>
      <w:r w:rsidRPr="00A75D88">
        <w:rPr>
          <w:sz w:val="24"/>
          <w:szCs w:val="24"/>
        </w:rPr>
        <w:t xml:space="preserve">The time-based analysis using Cox proportional hazard model </w:t>
      </w:r>
      <w:r w:rsidRPr="00125C6B">
        <w:rPr>
          <w:sz w:val="24"/>
          <w:szCs w:val="24"/>
        </w:rPr>
        <w:t>(</w:t>
      </w:r>
      <w:r w:rsidR="00125C6B" w:rsidRPr="00125C6B">
        <w:rPr>
          <w:sz w:val="24"/>
          <w:szCs w:val="24"/>
        </w:rPr>
        <w:t>F</w:t>
      </w:r>
      <w:r w:rsidR="00125C6B">
        <w:rPr>
          <w:sz w:val="24"/>
          <w:szCs w:val="24"/>
        </w:rPr>
        <w:t>igure S2, T</w:t>
      </w:r>
      <w:r w:rsidRPr="00125C6B">
        <w:rPr>
          <w:sz w:val="24"/>
          <w:szCs w:val="24"/>
        </w:rPr>
        <w:t>able S1, supplementary appendix)</w:t>
      </w:r>
      <w:r w:rsidRPr="00A75D88">
        <w:rPr>
          <w:sz w:val="24"/>
          <w:szCs w:val="24"/>
        </w:rPr>
        <w:t xml:space="preserve"> revealed a higher viral load </w:t>
      </w:r>
      <w:r>
        <w:rPr>
          <w:sz w:val="24"/>
          <w:szCs w:val="24"/>
        </w:rPr>
        <w:t xml:space="preserve">(i.e. lower Ct value) </w:t>
      </w:r>
      <w:r w:rsidRPr="00A75D88">
        <w:rPr>
          <w:sz w:val="24"/>
          <w:szCs w:val="24"/>
        </w:rPr>
        <w:t>to be independently associated with higher</w:t>
      </w:r>
      <w:r>
        <w:rPr>
          <w:sz w:val="24"/>
          <w:szCs w:val="24"/>
        </w:rPr>
        <w:t xml:space="preserve"> risk of in-hospital mortality (</w:t>
      </w:r>
      <w:r w:rsidRPr="00A75D88">
        <w:rPr>
          <w:sz w:val="24"/>
          <w:szCs w:val="24"/>
        </w:rPr>
        <w:t xml:space="preserve">hazard ratio (HR) </w:t>
      </w:r>
      <w:r>
        <w:rPr>
          <w:sz w:val="24"/>
          <w:szCs w:val="24"/>
        </w:rPr>
        <w:t xml:space="preserve">of 0.89, 95% </w:t>
      </w:r>
      <w:r w:rsidRPr="00A75D88">
        <w:rPr>
          <w:sz w:val="24"/>
          <w:szCs w:val="24"/>
        </w:rPr>
        <w:t>CI 0.84-0.96</w:t>
      </w:r>
      <w:r>
        <w:rPr>
          <w:sz w:val="24"/>
          <w:szCs w:val="24"/>
        </w:rPr>
        <w:t xml:space="preserve">; </w:t>
      </w:r>
      <w:r w:rsidRPr="00A75D88">
        <w:rPr>
          <w:sz w:val="24"/>
          <w:szCs w:val="24"/>
        </w:rPr>
        <w:t>p=0.001)</w:t>
      </w:r>
      <w:r>
        <w:rPr>
          <w:sz w:val="24"/>
          <w:szCs w:val="24"/>
        </w:rPr>
        <w:t>. Additionally, increasing age (</w:t>
      </w:r>
      <w:r w:rsidRPr="00A75D88">
        <w:rPr>
          <w:sz w:val="24"/>
          <w:szCs w:val="24"/>
        </w:rPr>
        <w:t>HR 1.06</w:t>
      </w:r>
      <w:r>
        <w:rPr>
          <w:sz w:val="24"/>
          <w:szCs w:val="24"/>
        </w:rPr>
        <w:t xml:space="preserve">, 95% </w:t>
      </w:r>
      <w:r w:rsidRPr="00A75D88">
        <w:rPr>
          <w:sz w:val="24"/>
          <w:szCs w:val="24"/>
        </w:rPr>
        <w:t>CI 1.02-</w:t>
      </w:r>
      <w:r>
        <w:rPr>
          <w:sz w:val="24"/>
          <w:szCs w:val="24"/>
        </w:rPr>
        <w:t xml:space="preserve">1.10; </w:t>
      </w:r>
      <w:r w:rsidRPr="00A75D88">
        <w:rPr>
          <w:sz w:val="24"/>
          <w:szCs w:val="24"/>
        </w:rPr>
        <w:t>p=0.006</w:t>
      </w:r>
      <w:r>
        <w:rPr>
          <w:sz w:val="24"/>
          <w:szCs w:val="24"/>
        </w:rPr>
        <w:t xml:space="preserve">), NEWS2 </w:t>
      </w:r>
      <w:r>
        <w:rPr>
          <w:sz w:val="24"/>
          <w:szCs w:val="24"/>
        </w:rPr>
        <w:lastRenderedPageBreak/>
        <w:t>score (HR 1.1</w:t>
      </w:r>
      <w:r w:rsidR="00115FC5">
        <w:rPr>
          <w:sz w:val="24"/>
          <w:szCs w:val="24"/>
        </w:rPr>
        <w:t>8</w:t>
      </w:r>
      <w:r>
        <w:rPr>
          <w:sz w:val="24"/>
          <w:szCs w:val="24"/>
        </w:rPr>
        <w:t>, 95%</w:t>
      </w:r>
      <w:r w:rsidRPr="00A75D88">
        <w:rPr>
          <w:sz w:val="24"/>
          <w:szCs w:val="24"/>
        </w:rPr>
        <w:t>CI 1.02-1.36</w:t>
      </w:r>
      <w:r>
        <w:rPr>
          <w:sz w:val="24"/>
          <w:szCs w:val="24"/>
        </w:rPr>
        <w:t>; p=0.028), creatinine</w:t>
      </w:r>
      <w:r w:rsidRPr="00A75D88">
        <w:rPr>
          <w:sz w:val="24"/>
          <w:szCs w:val="24"/>
        </w:rPr>
        <w:t xml:space="preserve"> </w:t>
      </w:r>
      <w:r>
        <w:rPr>
          <w:sz w:val="24"/>
          <w:szCs w:val="24"/>
        </w:rPr>
        <w:t xml:space="preserve">(HR 1.00, 95% </w:t>
      </w:r>
      <w:r w:rsidRPr="00A75D88">
        <w:rPr>
          <w:sz w:val="24"/>
          <w:szCs w:val="24"/>
        </w:rPr>
        <w:t>CI 1.00-1.01</w:t>
      </w:r>
      <w:r>
        <w:rPr>
          <w:sz w:val="24"/>
          <w:szCs w:val="24"/>
        </w:rPr>
        <w:t xml:space="preserve">; </w:t>
      </w:r>
      <w:r w:rsidRPr="00A75D88">
        <w:rPr>
          <w:sz w:val="24"/>
          <w:szCs w:val="24"/>
        </w:rPr>
        <w:t>p=0.035) and the presence of</w:t>
      </w:r>
      <w:r>
        <w:rPr>
          <w:sz w:val="24"/>
          <w:szCs w:val="24"/>
        </w:rPr>
        <w:t xml:space="preserve"> cardiovascular co-morbidities (HR 3.38, 95% CI 1.46-7.81; </w:t>
      </w:r>
      <w:r w:rsidRPr="00A75D88">
        <w:rPr>
          <w:sz w:val="24"/>
          <w:szCs w:val="24"/>
        </w:rPr>
        <w:t xml:space="preserve">p=0.004) were all associated with </w:t>
      </w:r>
      <w:r w:rsidR="007814BD">
        <w:rPr>
          <w:sz w:val="24"/>
          <w:szCs w:val="24"/>
        </w:rPr>
        <w:t xml:space="preserve">higher </w:t>
      </w:r>
      <w:r w:rsidRPr="00A75D88">
        <w:rPr>
          <w:sz w:val="24"/>
          <w:szCs w:val="24"/>
        </w:rPr>
        <w:t xml:space="preserve">in-hospital mortality. </w:t>
      </w:r>
      <w:r w:rsidRPr="002E4960">
        <w:rPr>
          <w:sz w:val="24"/>
          <w:szCs w:val="24"/>
        </w:rPr>
        <w:t>Figure 2 shows partial effects Kaplan</w:t>
      </w:r>
      <w:r w:rsidR="00A33CDA">
        <w:rPr>
          <w:sz w:val="24"/>
          <w:szCs w:val="24"/>
        </w:rPr>
        <w:t>-</w:t>
      </w:r>
      <w:r w:rsidRPr="002E4960">
        <w:rPr>
          <w:sz w:val="24"/>
          <w:szCs w:val="24"/>
        </w:rPr>
        <w:t>Meier graphs of age and viral load at admission and the probability of survival outcomes</w:t>
      </w:r>
      <w:r w:rsidR="00125C6B">
        <w:rPr>
          <w:sz w:val="24"/>
          <w:szCs w:val="24"/>
        </w:rPr>
        <w:t>,</w:t>
      </w:r>
      <w:r w:rsidRPr="002E4960">
        <w:rPr>
          <w:sz w:val="24"/>
          <w:szCs w:val="24"/>
        </w:rPr>
        <w:t xml:space="preserve"> for all hospitalised patients.</w:t>
      </w:r>
    </w:p>
    <w:p w14:paraId="23C8F08F" w14:textId="77777777" w:rsidR="00391A54" w:rsidRDefault="00391A54" w:rsidP="00391A54">
      <w:pPr>
        <w:spacing w:after="0" w:line="480" w:lineRule="auto"/>
        <w:jc w:val="both"/>
        <w:rPr>
          <w:sz w:val="24"/>
          <w:szCs w:val="24"/>
        </w:rPr>
      </w:pPr>
    </w:p>
    <w:p w14:paraId="6EC167E7" w14:textId="5AB58569" w:rsidR="00391A54" w:rsidRDefault="00CB52A6" w:rsidP="00391A54">
      <w:pPr>
        <w:spacing w:after="0" w:line="480" w:lineRule="auto"/>
        <w:jc w:val="both"/>
        <w:rPr>
          <w:sz w:val="24"/>
          <w:szCs w:val="24"/>
        </w:rPr>
      </w:pPr>
      <w:r>
        <w:rPr>
          <w:sz w:val="24"/>
          <w:szCs w:val="24"/>
        </w:rPr>
        <w:t>Multivariate l</w:t>
      </w:r>
      <w:r w:rsidR="00391A54" w:rsidRPr="00A75D88">
        <w:rPr>
          <w:sz w:val="24"/>
          <w:szCs w:val="24"/>
        </w:rPr>
        <w:t>ogistic regre</w:t>
      </w:r>
      <w:r w:rsidR="00391A54">
        <w:rPr>
          <w:sz w:val="24"/>
          <w:szCs w:val="24"/>
        </w:rPr>
        <w:t>ssion for</w:t>
      </w:r>
      <w:r w:rsidR="00125C6B">
        <w:rPr>
          <w:sz w:val="24"/>
          <w:szCs w:val="24"/>
        </w:rPr>
        <w:t xml:space="preserve"> the outcome of ICU admission</w:t>
      </w:r>
      <w:r>
        <w:rPr>
          <w:sz w:val="24"/>
          <w:szCs w:val="24"/>
        </w:rPr>
        <w:t xml:space="preserve"> on the same set of covariates</w:t>
      </w:r>
      <w:r w:rsidR="00125C6B">
        <w:rPr>
          <w:sz w:val="24"/>
          <w:szCs w:val="24"/>
        </w:rPr>
        <w:t xml:space="preserve"> (T</w:t>
      </w:r>
      <w:r w:rsidR="00391A54">
        <w:rPr>
          <w:sz w:val="24"/>
          <w:szCs w:val="24"/>
        </w:rPr>
        <w:t xml:space="preserve">able </w:t>
      </w:r>
      <w:r w:rsidR="00115FC5">
        <w:rPr>
          <w:sz w:val="24"/>
          <w:szCs w:val="24"/>
        </w:rPr>
        <w:t>3</w:t>
      </w:r>
      <w:r w:rsidR="00391A54" w:rsidRPr="00A75D88">
        <w:rPr>
          <w:sz w:val="24"/>
          <w:szCs w:val="24"/>
        </w:rPr>
        <w:t xml:space="preserve">) showed that younger </w:t>
      </w:r>
      <w:r w:rsidR="00391A54">
        <w:rPr>
          <w:rFonts w:cstheme="minorHAnsi"/>
          <w:sz w:val="24"/>
          <w:szCs w:val="24"/>
        </w:rPr>
        <w:t>age (</w:t>
      </w:r>
      <w:proofErr w:type="spellStart"/>
      <w:r w:rsidR="00391A54">
        <w:rPr>
          <w:rFonts w:cstheme="minorHAnsi"/>
          <w:sz w:val="24"/>
          <w:szCs w:val="24"/>
        </w:rPr>
        <w:t>aOR</w:t>
      </w:r>
      <w:proofErr w:type="spellEnd"/>
      <w:r w:rsidR="00391A54">
        <w:rPr>
          <w:rFonts w:cstheme="minorHAnsi"/>
          <w:sz w:val="24"/>
          <w:szCs w:val="24"/>
        </w:rPr>
        <w:t xml:space="preserve"> </w:t>
      </w:r>
      <w:r w:rsidR="00391A54" w:rsidRPr="00A75D88">
        <w:rPr>
          <w:rFonts w:cstheme="minorHAnsi"/>
          <w:color w:val="000000"/>
          <w:sz w:val="24"/>
          <w:szCs w:val="24"/>
        </w:rPr>
        <w:t>0.96</w:t>
      </w:r>
      <w:r w:rsidR="00391A54">
        <w:rPr>
          <w:rFonts w:cstheme="minorHAnsi"/>
          <w:color w:val="000000"/>
          <w:sz w:val="24"/>
          <w:szCs w:val="24"/>
        </w:rPr>
        <w:t xml:space="preserve">, 95% CI </w:t>
      </w:r>
      <w:r w:rsidR="00391A54" w:rsidRPr="00A75D88">
        <w:rPr>
          <w:rFonts w:cstheme="minorHAnsi"/>
          <w:color w:val="000000"/>
          <w:sz w:val="24"/>
          <w:szCs w:val="24"/>
        </w:rPr>
        <w:t>0.92-1.00</w:t>
      </w:r>
      <w:r w:rsidR="00391A54">
        <w:rPr>
          <w:rFonts w:cstheme="minorHAnsi"/>
          <w:color w:val="000000"/>
          <w:sz w:val="24"/>
          <w:szCs w:val="24"/>
        </w:rPr>
        <w:t xml:space="preserve">; </w:t>
      </w:r>
      <w:r w:rsidR="00391A54" w:rsidRPr="00A75D88">
        <w:rPr>
          <w:rFonts w:cstheme="minorHAnsi"/>
          <w:color w:val="000000"/>
          <w:sz w:val="24"/>
          <w:szCs w:val="24"/>
        </w:rPr>
        <w:t>p=</w:t>
      </w:r>
      <w:r w:rsidR="00391A54" w:rsidRPr="00A75D88">
        <w:rPr>
          <w:rFonts w:cstheme="minorHAnsi"/>
          <w:sz w:val="24"/>
          <w:szCs w:val="24"/>
        </w:rPr>
        <w:t>0.042)</w:t>
      </w:r>
      <w:r w:rsidR="00391A54" w:rsidRPr="00A75D88">
        <w:rPr>
          <w:sz w:val="24"/>
          <w:szCs w:val="24"/>
        </w:rPr>
        <w:t xml:space="preserve"> </w:t>
      </w:r>
      <w:r w:rsidR="00391A54">
        <w:rPr>
          <w:sz w:val="24"/>
          <w:szCs w:val="24"/>
        </w:rPr>
        <w:t>and higher CRP (</w:t>
      </w:r>
      <w:proofErr w:type="spellStart"/>
      <w:r w:rsidR="00391A54">
        <w:rPr>
          <w:sz w:val="24"/>
          <w:szCs w:val="24"/>
        </w:rPr>
        <w:t>aOR</w:t>
      </w:r>
      <w:proofErr w:type="spellEnd"/>
      <w:r w:rsidR="00391A54">
        <w:rPr>
          <w:sz w:val="24"/>
          <w:szCs w:val="24"/>
        </w:rPr>
        <w:t xml:space="preserve"> </w:t>
      </w:r>
      <w:r w:rsidR="00391A54" w:rsidRPr="00A75D88">
        <w:rPr>
          <w:rFonts w:ascii="Calibri" w:hAnsi="Calibri" w:cs="Calibri"/>
          <w:color w:val="000000"/>
          <w:sz w:val="24"/>
          <w:szCs w:val="24"/>
        </w:rPr>
        <w:t>1.01</w:t>
      </w:r>
      <w:r w:rsidR="00391A54">
        <w:rPr>
          <w:rFonts w:ascii="Calibri" w:hAnsi="Calibri" w:cs="Calibri"/>
          <w:color w:val="000000"/>
          <w:sz w:val="24"/>
          <w:szCs w:val="24"/>
        </w:rPr>
        <w:t xml:space="preserve">, 95%CI </w:t>
      </w:r>
      <w:r w:rsidR="00391A54" w:rsidRPr="00A75D88">
        <w:rPr>
          <w:rFonts w:ascii="Calibri" w:hAnsi="Calibri" w:cs="Calibri"/>
          <w:color w:val="000000"/>
          <w:sz w:val="24"/>
          <w:szCs w:val="24"/>
        </w:rPr>
        <w:t>1.00-1.02</w:t>
      </w:r>
      <w:r w:rsidR="00391A54">
        <w:rPr>
          <w:rFonts w:ascii="Calibri" w:hAnsi="Calibri" w:cs="Calibri"/>
          <w:color w:val="000000"/>
          <w:sz w:val="24"/>
          <w:szCs w:val="24"/>
        </w:rPr>
        <w:t>;</w:t>
      </w:r>
      <w:r w:rsidR="00391A54" w:rsidRPr="00A75D88">
        <w:rPr>
          <w:rFonts w:ascii="Calibri" w:hAnsi="Calibri" w:cs="Calibri"/>
          <w:color w:val="000000"/>
          <w:sz w:val="24"/>
          <w:szCs w:val="24"/>
        </w:rPr>
        <w:t xml:space="preserve"> p=0.012)</w:t>
      </w:r>
      <w:r w:rsidR="00391A54" w:rsidRPr="00A75D88">
        <w:rPr>
          <w:sz w:val="24"/>
          <w:szCs w:val="24"/>
        </w:rPr>
        <w:t xml:space="preserve"> were independently associated with </w:t>
      </w:r>
      <w:r w:rsidR="007814BD">
        <w:rPr>
          <w:sz w:val="24"/>
          <w:szCs w:val="24"/>
        </w:rPr>
        <w:t xml:space="preserve">higher </w:t>
      </w:r>
      <w:r w:rsidR="00391A54" w:rsidRPr="00A75D88">
        <w:rPr>
          <w:sz w:val="24"/>
          <w:szCs w:val="24"/>
        </w:rPr>
        <w:t xml:space="preserve">risk of ICU admission. </w:t>
      </w:r>
      <w:r w:rsidR="00391A54" w:rsidRPr="00A75D88">
        <w:rPr>
          <w:rFonts w:cstheme="minorHAnsi"/>
          <w:sz w:val="24"/>
          <w:szCs w:val="24"/>
        </w:rPr>
        <w:t xml:space="preserve">The results also indicated a significant interaction of the two </w:t>
      </w:r>
      <w:r w:rsidR="007814BD">
        <w:rPr>
          <w:rFonts w:cstheme="minorHAnsi"/>
          <w:sz w:val="24"/>
          <w:szCs w:val="24"/>
        </w:rPr>
        <w:t>covariates;</w:t>
      </w:r>
      <w:r w:rsidR="00391A54" w:rsidRPr="00A75D88">
        <w:rPr>
          <w:rFonts w:cstheme="minorHAnsi"/>
          <w:sz w:val="24"/>
          <w:szCs w:val="24"/>
        </w:rPr>
        <w:t xml:space="preserve"> </w:t>
      </w:r>
      <w:r w:rsidR="00391A54" w:rsidRPr="00A75D88">
        <w:rPr>
          <w:rFonts w:cstheme="minorHAnsi"/>
          <w:color w:val="000000"/>
          <w:sz w:val="24"/>
          <w:szCs w:val="24"/>
        </w:rPr>
        <w:t>Ct value and age</w:t>
      </w:r>
      <w:r w:rsidR="007814BD">
        <w:rPr>
          <w:rFonts w:cstheme="minorHAnsi"/>
          <w:color w:val="000000"/>
          <w:sz w:val="24"/>
          <w:szCs w:val="24"/>
        </w:rPr>
        <w:t>,</w:t>
      </w:r>
      <w:r w:rsidR="00391A54" w:rsidRPr="00A75D88">
        <w:rPr>
          <w:rFonts w:cstheme="minorHAnsi"/>
          <w:color w:val="000000"/>
          <w:sz w:val="24"/>
          <w:szCs w:val="24"/>
        </w:rPr>
        <w:t xml:space="preserve"> for ICU admission </w:t>
      </w:r>
      <w:r w:rsidR="00391A54">
        <w:rPr>
          <w:rFonts w:cstheme="minorHAnsi"/>
          <w:color w:val="000000"/>
          <w:sz w:val="24"/>
          <w:szCs w:val="24"/>
        </w:rPr>
        <w:t>outcome (</w:t>
      </w:r>
      <w:proofErr w:type="spellStart"/>
      <w:r w:rsidR="00391A54">
        <w:rPr>
          <w:rFonts w:cstheme="minorHAnsi"/>
          <w:color w:val="000000"/>
          <w:sz w:val="24"/>
          <w:szCs w:val="24"/>
        </w:rPr>
        <w:t>aOR</w:t>
      </w:r>
      <w:proofErr w:type="spellEnd"/>
      <w:r w:rsidR="00391A54">
        <w:rPr>
          <w:rFonts w:cstheme="minorHAnsi"/>
          <w:color w:val="000000"/>
          <w:sz w:val="24"/>
          <w:szCs w:val="24"/>
        </w:rPr>
        <w:t xml:space="preserve"> </w:t>
      </w:r>
      <w:r w:rsidR="00391A54" w:rsidRPr="00A75D88">
        <w:rPr>
          <w:rFonts w:cstheme="minorHAnsi"/>
          <w:color w:val="000000"/>
          <w:sz w:val="24"/>
          <w:szCs w:val="24"/>
        </w:rPr>
        <w:t>1.01</w:t>
      </w:r>
      <w:r w:rsidR="00391A54">
        <w:rPr>
          <w:rFonts w:cstheme="minorHAnsi"/>
          <w:color w:val="000000"/>
          <w:sz w:val="24"/>
          <w:szCs w:val="24"/>
        </w:rPr>
        <w:t>, 95</w:t>
      </w:r>
      <w:r w:rsidR="00391A54" w:rsidRPr="00125C6B">
        <w:rPr>
          <w:rFonts w:cstheme="minorHAnsi"/>
          <w:color w:val="000000"/>
          <w:sz w:val="24"/>
          <w:szCs w:val="24"/>
        </w:rPr>
        <w:t>%CI 1.00-1.01; p=0.040). The interaction probing results (</w:t>
      </w:r>
      <w:r w:rsidR="00125C6B">
        <w:rPr>
          <w:rFonts w:cstheme="minorHAnsi"/>
          <w:color w:val="000000"/>
          <w:sz w:val="24"/>
          <w:szCs w:val="24"/>
        </w:rPr>
        <w:t>Figure S1</w:t>
      </w:r>
      <w:r w:rsidR="00391A54" w:rsidRPr="00125C6B">
        <w:rPr>
          <w:rFonts w:cstheme="minorHAnsi"/>
          <w:color w:val="000000"/>
          <w:sz w:val="24"/>
          <w:szCs w:val="24"/>
        </w:rPr>
        <w:t>c and d, supplementary appendix)</w:t>
      </w:r>
      <w:r w:rsidR="00391A54" w:rsidRPr="00A75D88">
        <w:rPr>
          <w:rFonts w:cstheme="minorHAnsi"/>
          <w:color w:val="000000"/>
          <w:sz w:val="24"/>
          <w:szCs w:val="24"/>
        </w:rPr>
        <w:t xml:space="preserve"> indicated that </w:t>
      </w:r>
      <w:r w:rsidR="00391A54" w:rsidRPr="00A75D88">
        <w:rPr>
          <w:rFonts w:cstheme="minorHAnsi"/>
          <w:sz w:val="24"/>
          <w:szCs w:val="24"/>
        </w:rPr>
        <w:t>Ct values ha</w:t>
      </w:r>
      <w:r w:rsidR="007814BD">
        <w:rPr>
          <w:rFonts w:cstheme="minorHAnsi"/>
          <w:sz w:val="24"/>
          <w:szCs w:val="24"/>
        </w:rPr>
        <w:t>d</w:t>
      </w:r>
      <w:r w:rsidR="00391A54" w:rsidRPr="00A75D88">
        <w:rPr>
          <w:rFonts w:cstheme="minorHAnsi"/>
          <w:sz w:val="24"/>
          <w:szCs w:val="24"/>
        </w:rPr>
        <w:t xml:space="preserve"> slightly different effect</w:t>
      </w:r>
      <w:r w:rsidR="007814BD">
        <w:rPr>
          <w:rFonts w:cstheme="minorHAnsi"/>
          <w:sz w:val="24"/>
          <w:szCs w:val="24"/>
        </w:rPr>
        <w:t>s</w:t>
      </w:r>
      <w:r w:rsidR="00391A54" w:rsidRPr="00A75D88">
        <w:rPr>
          <w:rFonts w:cstheme="minorHAnsi"/>
          <w:sz w:val="24"/>
          <w:szCs w:val="24"/>
        </w:rPr>
        <w:t xml:space="preserve"> on ICU admission depending on the age of the patients, but the magnitude of the increased risk or decreased risk associated with Ct values </w:t>
      </w:r>
      <w:r w:rsidR="00391A54">
        <w:rPr>
          <w:rFonts w:cstheme="minorHAnsi"/>
          <w:sz w:val="24"/>
          <w:szCs w:val="24"/>
        </w:rPr>
        <w:t xml:space="preserve">was </w:t>
      </w:r>
      <w:r w:rsidR="00391A54" w:rsidRPr="00A75D88">
        <w:rPr>
          <w:rFonts w:cstheme="minorHAnsi"/>
          <w:sz w:val="24"/>
          <w:szCs w:val="24"/>
        </w:rPr>
        <w:t>minimal</w:t>
      </w:r>
      <w:r w:rsidR="00391A54">
        <w:rPr>
          <w:rFonts w:cstheme="minorHAnsi"/>
          <w:color w:val="000000"/>
          <w:sz w:val="24"/>
          <w:szCs w:val="24"/>
        </w:rPr>
        <w:t xml:space="preserve">. </w:t>
      </w:r>
    </w:p>
    <w:p w14:paraId="0CBBED7A" w14:textId="77777777" w:rsidR="00391A54" w:rsidRDefault="00391A54" w:rsidP="00391A54">
      <w:pPr>
        <w:spacing w:after="0" w:line="480" w:lineRule="auto"/>
        <w:jc w:val="both"/>
        <w:rPr>
          <w:sz w:val="24"/>
          <w:szCs w:val="24"/>
        </w:rPr>
      </w:pPr>
    </w:p>
    <w:p w14:paraId="16B12E39" w14:textId="5DFC44ED" w:rsidR="00B01895" w:rsidRDefault="00391A54" w:rsidP="007C4EE8">
      <w:pPr>
        <w:spacing w:after="0" w:line="480" w:lineRule="auto"/>
        <w:jc w:val="both"/>
        <w:rPr>
          <w:b/>
          <w:sz w:val="32"/>
          <w:szCs w:val="32"/>
        </w:rPr>
      </w:pPr>
      <w:r w:rsidRPr="00A75D88">
        <w:rPr>
          <w:sz w:val="24"/>
          <w:szCs w:val="24"/>
        </w:rPr>
        <w:t xml:space="preserve">In the </w:t>
      </w:r>
      <w:r>
        <w:rPr>
          <w:sz w:val="24"/>
          <w:szCs w:val="24"/>
        </w:rPr>
        <w:t xml:space="preserve">subset of patients with known neutralising </w:t>
      </w:r>
      <w:r w:rsidRPr="00A75D88">
        <w:rPr>
          <w:sz w:val="24"/>
          <w:szCs w:val="24"/>
        </w:rPr>
        <w:t xml:space="preserve">antibody </w:t>
      </w:r>
      <w:proofErr w:type="spellStart"/>
      <w:r>
        <w:rPr>
          <w:sz w:val="24"/>
          <w:szCs w:val="24"/>
        </w:rPr>
        <w:t>sero</w:t>
      </w:r>
      <w:proofErr w:type="spellEnd"/>
      <w:r>
        <w:rPr>
          <w:sz w:val="24"/>
          <w:szCs w:val="24"/>
        </w:rPr>
        <w:t>-</w:t>
      </w:r>
      <w:r w:rsidRPr="00A75D88">
        <w:rPr>
          <w:sz w:val="24"/>
          <w:szCs w:val="24"/>
        </w:rPr>
        <w:t>status (n=99), the presence of antibodies was found not to be significantly protective against in-hospital mortality in both the multivariat</w:t>
      </w:r>
      <w:r>
        <w:rPr>
          <w:sz w:val="24"/>
          <w:szCs w:val="24"/>
        </w:rPr>
        <w:t xml:space="preserve">e logistic regression analysis </w:t>
      </w:r>
      <w:r w:rsidR="00CB52A6">
        <w:rPr>
          <w:sz w:val="24"/>
          <w:szCs w:val="24"/>
        </w:rPr>
        <w:t xml:space="preserve">on covariates listed in Table 4 </w:t>
      </w:r>
      <w:r>
        <w:rPr>
          <w:sz w:val="24"/>
          <w:szCs w:val="24"/>
        </w:rPr>
        <w:t>(</w:t>
      </w:r>
      <w:proofErr w:type="spellStart"/>
      <w:r>
        <w:rPr>
          <w:sz w:val="24"/>
          <w:szCs w:val="24"/>
        </w:rPr>
        <w:t>aOR</w:t>
      </w:r>
      <w:proofErr w:type="spellEnd"/>
      <w:r>
        <w:rPr>
          <w:sz w:val="24"/>
          <w:szCs w:val="24"/>
        </w:rPr>
        <w:t xml:space="preserve"> </w:t>
      </w:r>
      <w:r>
        <w:rPr>
          <w:rFonts w:ascii="Calibri" w:hAnsi="Calibri" w:cs="Calibri"/>
          <w:color w:val="000000"/>
          <w:sz w:val="24"/>
          <w:szCs w:val="24"/>
        </w:rPr>
        <w:t xml:space="preserve">10.62, 95% CI </w:t>
      </w:r>
      <w:r w:rsidRPr="00A75D88">
        <w:rPr>
          <w:rFonts w:ascii="Calibri" w:hAnsi="Calibri" w:cs="Calibri"/>
          <w:color w:val="000000"/>
          <w:sz w:val="24"/>
          <w:szCs w:val="24"/>
        </w:rPr>
        <w:t>0.47-889</w:t>
      </w:r>
      <w:r>
        <w:rPr>
          <w:rFonts w:ascii="Calibri" w:hAnsi="Calibri" w:cs="Calibri"/>
          <w:color w:val="000000"/>
          <w:sz w:val="24"/>
          <w:szCs w:val="24"/>
        </w:rPr>
        <w:t xml:space="preserve">; </w:t>
      </w:r>
      <w:r w:rsidRPr="00A75D88">
        <w:rPr>
          <w:rFonts w:ascii="Calibri" w:hAnsi="Calibri" w:cs="Calibri"/>
          <w:color w:val="000000"/>
          <w:sz w:val="24"/>
          <w:szCs w:val="24"/>
        </w:rPr>
        <w:t>p=0.199</w:t>
      </w:r>
      <w:r>
        <w:rPr>
          <w:sz w:val="24"/>
          <w:szCs w:val="24"/>
        </w:rPr>
        <w:t>) and the time-</w:t>
      </w:r>
      <w:r w:rsidRPr="00125C6B">
        <w:rPr>
          <w:sz w:val="24"/>
          <w:szCs w:val="24"/>
        </w:rPr>
        <w:t xml:space="preserve">based analysis (HR </w:t>
      </w:r>
      <w:r w:rsidRPr="00125C6B">
        <w:rPr>
          <w:rFonts w:ascii="Calibri" w:hAnsi="Calibri" w:cs="Calibri"/>
          <w:color w:val="000000"/>
          <w:sz w:val="24"/>
          <w:szCs w:val="24"/>
        </w:rPr>
        <w:t xml:space="preserve">0.93, 95% CI 0.14-5.99; </w:t>
      </w:r>
      <w:r w:rsidR="00125C6B" w:rsidRPr="00125C6B">
        <w:rPr>
          <w:rFonts w:ascii="Calibri" w:hAnsi="Calibri" w:cs="Calibri"/>
          <w:color w:val="000000"/>
          <w:sz w:val="24"/>
          <w:szCs w:val="24"/>
        </w:rPr>
        <w:t>p=0.936), shown in T</w:t>
      </w:r>
      <w:r w:rsidR="00125C6B">
        <w:rPr>
          <w:rFonts w:ascii="Calibri" w:hAnsi="Calibri" w:cs="Calibri"/>
          <w:color w:val="000000"/>
          <w:sz w:val="24"/>
          <w:szCs w:val="24"/>
        </w:rPr>
        <w:t>able 4 and T</w:t>
      </w:r>
      <w:r w:rsidRPr="00125C6B">
        <w:rPr>
          <w:rFonts w:ascii="Calibri" w:hAnsi="Calibri" w:cs="Calibri"/>
          <w:color w:val="000000"/>
          <w:sz w:val="24"/>
          <w:szCs w:val="24"/>
        </w:rPr>
        <w:t>able S2, supplementary appendix.</w:t>
      </w:r>
      <w:r w:rsidR="00125C6B">
        <w:rPr>
          <w:rFonts w:ascii="Calibri" w:hAnsi="Calibri" w:cs="Calibri"/>
          <w:color w:val="000000"/>
          <w:sz w:val="24"/>
          <w:szCs w:val="24"/>
        </w:rPr>
        <w:t xml:space="preserve"> Increasing </w:t>
      </w:r>
      <w:r w:rsidRPr="00A75D88">
        <w:rPr>
          <w:rFonts w:ascii="Calibri" w:hAnsi="Calibri" w:cs="Calibri"/>
          <w:color w:val="000000"/>
          <w:sz w:val="24"/>
          <w:szCs w:val="24"/>
        </w:rPr>
        <w:t>age (</w:t>
      </w:r>
      <w:proofErr w:type="spellStart"/>
      <w:r>
        <w:rPr>
          <w:rFonts w:ascii="Calibri" w:hAnsi="Calibri" w:cs="Calibri"/>
          <w:color w:val="000000"/>
          <w:sz w:val="24"/>
          <w:szCs w:val="24"/>
        </w:rPr>
        <w:t>aOR</w:t>
      </w:r>
      <w:proofErr w:type="spellEnd"/>
      <w:r>
        <w:rPr>
          <w:rFonts w:ascii="Calibri" w:hAnsi="Calibri" w:cs="Calibri"/>
          <w:color w:val="000000"/>
          <w:sz w:val="24"/>
          <w:szCs w:val="24"/>
        </w:rPr>
        <w:t xml:space="preserve"> 1.52, 95%CI </w:t>
      </w:r>
      <w:r w:rsidRPr="00A75D88">
        <w:rPr>
          <w:rFonts w:ascii="Calibri" w:hAnsi="Calibri" w:cs="Calibri"/>
          <w:color w:val="000000"/>
          <w:sz w:val="24"/>
          <w:szCs w:val="24"/>
        </w:rPr>
        <w:t>1.15</w:t>
      </w:r>
      <w:r>
        <w:rPr>
          <w:rFonts w:ascii="Calibri" w:hAnsi="Calibri" w:cs="Calibri"/>
          <w:color w:val="000000"/>
          <w:sz w:val="24"/>
          <w:szCs w:val="24"/>
        </w:rPr>
        <w:t xml:space="preserve">-2.64; </w:t>
      </w:r>
      <w:r w:rsidRPr="00A75D88">
        <w:rPr>
          <w:rFonts w:ascii="Calibri" w:hAnsi="Calibri" w:cs="Calibri"/>
          <w:color w:val="000000"/>
          <w:sz w:val="24"/>
          <w:szCs w:val="24"/>
        </w:rPr>
        <w:t xml:space="preserve">p=0.041) and CRP </w:t>
      </w:r>
      <w:r>
        <w:rPr>
          <w:rFonts w:ascii="Calibri" w:hAnsi="Calibri" w:cs="Calibri"/>
          <w:color w:val="000000"/>
          <w:sz w:val="24"/>
          <w:szCs w:val="24"/>
        </w:rPr>
        <w:t>(</w:t>
      </w:r>
      <w:proofErr w:type="spellStart"/>
      <w:r>
        <w:rPr>
          <w:rFonts w:ascii="Calibri" w:hAnsi="Calibri" w:cs="Calibri"/>
          <w:color w:val="000000"/>
          <w:sz w:val="24"/>
          <w:szCs w:val="24"/>
        </w:rPr>
        <w:t>aOR</w:t>
      </w:r>
      <w:proofErr w:type="spellEnd"/>
      <w:r>
        <w:rPr>
          <w:rFonts w:ascii="Calibri" w:hAnsi="Calibri" w:cs="Calibri"/>
          <w:color w:val="000000"/>
          <w:sz w:val="24"/>
          <w:szCs w:val="24"/>
        </w:rPr>
        <w:t xml:space="preserve"> </w:t>
      </w:r>
      <w:r w:rsidRPr="00A75D88">
        <w:rPr>
          <w:rFonts w:ascii="Calibri" w:hAnsi="Calibri" w:cs="Calibri"/>
          <w:color w:val="000000"/>
          <w:sz w:val="24"/>
          <w:szCs w:val="24"/>
        </w:rPr>
        <w:t>1.03</w:t>
      </w:r>
      <w:r>
        <w:rPr>
          <w:rFonts w:ascii="Calibri" w:hAnsi="Calibri" w:cs="Calibri"/>
          <w:color w:val="000000"/>
          <w:sz w:val="24"/>
          <w:szCs w:val="24"/>
        </w:rPr>
        <w:t xml:space="preserve">, 95%CI </w:t>
      </w:r>
      <w:r w:rsidRPr="00A75D88">
        <w:rPr>
          <w:rFonts w:ascii="Calibri" w:hAnsi="Calibri" w:cs="Calibri"/>
          <w:color w:val="000000"/>
          <w:sz w:val="24"/>
          <w:szCs w:val="24"/>
        </w:rPr>
        <w:t>1.01-1.06</w:t>
      </w:r>
      <w:r>
        <w:rPr>
          <w:rFonts w:ascii="Calibri" w:hAnsi="Calibri" w:cs="Calibri"/>
          <w:color w:val="000000"/>
          <w:sz w:val="24"/>
          <w:szCs w:val="24"/>
        </w:rPr>
        <w:t xml:space="preserve">; </w:t>
      </w:r>
      <w:r w:rsidRPr="00A75D88">
        <w:rPr>
          <w:rFonts w:ascii="Calibri" w:hAnsi="Calibri" w:cs="Calibri"/>
          <w:color w:val="000000"/>
          <w:sz w:val="24"/>
          <w:szCs w:val="24"/>
        </w:rPr>
        <w:t xml:space="preserve">p=0.047) showed </w:t>
      </w:r>
      <w:r w:rsidR="00125C6B">
        <w:rPr>
          <w:rFonts w:ascii="Calibri" w:hAnsi="Calibri" w:cs="Calibri"/>
          <w:color w:val="000000"/>
          <w:sz w:val="24"/>
          <w:szCs w:val="24"/>
        </w:rPr>
        <w:t xml:space="preserve">a </w:t>
      </w:r>
      <w:r w:rsidRPr="00A75D88">
        <w:rPr>
          <w:rFonts w:ascii="Calibri" w:hAnsi="Calibri" w:cs="Calibri"/>
          <w:color w:val="000000"/>
          <w:sz w:val="24"/>
          <w:szCs w:val="24"/>
        </w:rPr>
        <w:t xml:space="preserve">significant association with </w:t>
      </w:r>
      <w:r w:rsidR="007814BD">
        <w:rPr>
          <w:rFonts w:ascii="Calibri" w:hAnsi="Calibri" w:cs="Calibri"/>
          <w:color w:val="000000"/>
          <w:sz w:val="24"/>
          <w:szCs w:val="24"/>
        </w:rPr>
        <w:t xml:space="preserve">higher </w:t>
      </w:r>
      <w:r w:rsidRPr="00A75D88">
        <w:rPr>
          <w:rFonts w:ascii="Calibri" w:hAnsi="Calibri" w:cs="Calibri"/>
          <w:color w:val="000000"/>
          <w:sz w:val="24"/>
          <w:szCs w:val="24"/>
        </w:rPr>
        <w:t>risk of in-hospital morta</w:t>
      </w:r>
      <w:r>
        <w:rPr>
          <w:rFonts w:ascii="Calibri" w:hAnsi="Calibri" w:cs="Calibri"/>
          <w:color w:val="000000"/>
          <w:sz w:val="24"/>
          <w:szCs w:val="24"/>
        </w:rPr>
        <w:t>lity for this sub-group</w:t>
      </w:r>
      <w:r w:rsidR="00433D57">
        <w:rPr>
          <w:rFonts w:ascii="Calibri" w:hAnsi="Calibri" w:cs="Calibri"/>
          <w:color w:val="000000"/>
          <w:sz w:val="24"/>
          <w:szCs w:val="24"/>
        </w:rPr>
        <w:t>.</w:t>
      </w:r>
      <w:r w:rsidRPr="00A75D88">
        <w:rPr>
          <w:rFonts w:ascii="Calibri" w:hAnsi="Calibri" w:cs="Calibri"/>
          <w:color w:val="000000"/>
          <w:sz w:val="24"/>
          <w:szCs w:val="24"/>
        </w:rPr>
        <w:t xml:space="preserve"> </w:t>
      </w:r>
      <w:r>
        <w:rPr>
          <w:rFonts w:ascii="Calibri" w:hAnsi="Calibri" w:cs="Calibri"/>
          <w:color w:val="000000"/>
          <w:sz w:val="24"/>
          <w:szCs w:val="24"/>
        </w:rPr>
        <w:t>T</w:t>
      </w:r>
      <w:r w:rsidRPr="00A75D88">
        <w:rPr>
          <w:rFonts w:ascii="Calibri" w:hAnsi="Calibri" w:cs="Calibri"/>
          <w:color w:val="000000"/>
          <w:sz w:val="24"/>
          <w:szCs w:val="24"/>
        </w:rPr>
        <w:t xml:space="preserve">he presence of </w:t>
      </w:r>
      <w:r>
        <w:rPr>
          <w:rFonts w:ascii="Calibri" w:hAnsi="Calibri" w:cs="Calibri"/>
          <w:color w:val="000000"/>
          <w:sz w:val="24"/>
          <w:szCs w:val="24"/>
        </w:rPr>
        <w:t xml:space="preserve">neutralising </w:t>
      </w:r>
      <w:r w:rsidRPr="00A75D88">
        <w:rPr>
          <w:rFonts w:ascii="Calibri" w:hAnsi="Calibri" w:cs="Calibri"/>
          <w:color w:val="000000"/>
          <w:sz w:val="24"/>
          <w:szCs w:val="24"/>
        </w:rPr>
        <w:t>antibodies was found not to be protective against ICU admission (</w:t>
      </w:r>
      <w:proofErr w:type="spellStart"/>
      <w:r>
        <w:rPr>
          <w:rFonts w:ascii="Calibri" w:hAnsi="Calibri" w:cs="Calibri"/>
          <w:color w:val="000000"/>
          <w:sz w:val="24"/>
          <w:szCs w:val="24"/>
        </w:rPr>
        <w:t>aOR</w:t>
      </w:r>
      <w:proofErr w:type="spellEnd"/>
      <w:r>
        <w:rPr>
          <w:rFonts w:ascii="Calibri" w:hAnsi="Calibri" w:cs="Calibri"/>
          <w:color w:val="000000"/>
          <w:sz w:val="24"/>
          <w:szCs w:val="24"/>
        </w:rPr>
        <w:t xml:space="preserve"> </w:t>
      </w:r>
      <w:r w:rsidRPr="00A75D88">
        <w:rPr>
          <w:rFonts w:ascii="Calibri" w:hAnsi="Calibri" w:cs="Calibri"/>
          <w:color w:val="000000"/>
          <w:sz w:val="24"/>
          <w:szCs w:val="24"/>
        </w:rPr>
        <w:t xml:space="preserve">0.46, </w:t>
      </w:r>
      <w:r>
        <w:rPr>
          <w:rFonts w:ascii="Calibri" w:hAnsi="Calibri" w:cs="Calibri"/>
          <w:color w:val="000000"/>
          <w:sz w:val="24"/>
          <w:szCs w:val="24"/>
        </w:rPr>
        <w:t xml:space="preserve">95% CI </w:t>
      </w:r>
      <w:r w:rsidRPr="00A75D88">
        <w:rPr>
          <w:rFonts w:ascii="Calibri" w:hAnsi="Calibri" w:cs="Calibri"/>
          <w:color w:val="000000"/>
          <w:sz w:val="24"/>
          <w:szCs w:val="24"/>
        </w:rPr>
        <w:t>0.10</w:t>
      </w:r>
      <w:r>
        <w:rPr>
          <w:rFonts w:ascii="Calibri" w:hAnsi="Calibri" w:cs="Calibri"/>
          <w:color w:val="000000"/>
          <w:sz w:val="24"/>
          <w:szCs w:val="24"/>
        </w:rPr>
        <w:t xml:space="preserve">-2.00; </w:t>
      </w:r>
      <w:r w:rsidRPr="00A75D88">
        <w:rPr>
          <w:rFonts w:ascii="Calibri" w:hAnsi="Calibri" w:cs="Calibri"/>
          <w:color w:val="000000"/>
          <w:sz w:val="24"/>
          <w:szCs w:val="24"/>
        </w:rPr>
        <w:t xml:space="preserve">p=0.302). </w:t>
      </w:r>
      <w:r w:rsidR="004216B8">
        <w:rPr>
          <w:b/>
          <w:sz w:val="32"/>
          <w:szCs w:val="32"/>
        </w:rPr>
        <w:br w:type="page"/>
      </w:r>
    </w:p>
    <w:p w14:paraId="0857A57C" w14:textId="136DBA7A" w:rsidR="00391A54" w:rsidRPr="00357BD7" w:rsidRDefault="00391A54" w:rsidP="00391A54">
      <w:pPr>
        <w:spacing w:after="0" w:line="480" w:lineRule="auto"/>
        <w:rPr>
          <w:b/>
          <w:sz w:val="32"/>
          <w:szCs w:val="32"/>
        </w:rPr>
      </w:pPr>
      <w:r w:rsidRPr="00357BD7">
        <w:rPr>
          <w:b/>
          <w:sz w:val="32"/>
          <w:szCs w:val="32"/>
        </w:rPr>
        <w:lastRenderedPageBreak/>
        <w:t>Discussion</w:t>
      </w:r>
    </w:p>
    <w:p w14:paraId="257439AD" w14:textId="66987A26" w:rsidR="00391A54" w:rsidRDefault="00125C6B" w:rsidP="00391A54">
      <w:pPr>
        <w:spacing w:after="0" w:line="480" w:lineRule="auto"/>
        <w:jc w:val="both"/>
        <w:rPr>
          <w:sz w:val="24"/>
          <w:szCs w:val="24"/>
        </w:rPr>
      </w:pPr>
      <w:r>
        <w:rPr>
          <w:sz w:val="24"/>
          <w:szCs w:val="24"/>
        </w:rPr>
        <w:t>Our study demonstrates</w:t>
      </w:r>
      <w:r w:rsidR="00391A54" w:rsidRPr="00A75D88">
        <w:rPr>
          <w:sz w:val="24"/>
          <w:szCs w:val="24"/>
        </w:rPr>
        <w:t xml:space="preserve"> </w:t>
      </w:r>
      <w:r w:rsidR="00391A54">
        <w:rPr>
          <w:sz w:val="24"/>
          <w:szCs w:val="24"/>
        </w:rPr>
        <w:t xml:space="preserve">that </w:t>
      </w:r>
      <w:r w:rsidR="00391A54" w:rsidRPr="00A75D88">
        <w:rPr>
          <w:sz w:val="24"/>
          <w:szCs w:val="24"/>
        </w:rPr>
        <w:t xml:space="preserve">in a large cohort </w:t>
      </w:r>
      <w:r>
        <w:rPr>
          <w:sz w:val="24"/>
          <w:szCs w:val="24"/>
        </w:rPr>
        <w:t xml:space="preserve">of </w:t>
      </w:r>
      <w:r w:rsidR="00BF0802" w:rsidRPr="00BF0802">
        <w:rPr>
          <w:sz w:val="24"/>
          <w:szCs w:val="24"/>
        </w:rPr>
        <w:t xml:space="preserve">hospitalised </w:t>
      </w:r>
      <w:r w:rsidR="00BF0802">
        <w:rPr>
          <w:sz w:val="24"/>
          <w:szCs w:val="24"/>
        </w:rPr>
        <w:t xml:space="preserve">COVID-19 </w:t>
      </w:r>
      <w:r>
        <w:rPr>
          <w:sz w:val="24"/>
          <w:szCs w:val="24"/>
        </w:rPr>
        <w:t>patients,</w:t>
      </w:r>
      <w:r w:rsidR="00391A54" w:rsidRPr="00A75D88">
        <w:rPr>
          <w:sz w:val="24"/>
          <w:szCs w:val="24"/>
        </w:rPr>
        <w:t xml:space="preserve"> SARS-CoV-2 viral load at presentation was independently associated with mortality,</w:t>
      </w:r>
      <w:r w:rsidR="00391A54">
        <w:rPr>
          <w:sz w:val="24"/>
          <w:szCs w:val="24"/>
        </w:rPr>
        <w:t xml:space="preserve"> even when comprehensively adjusting </w:t>
      </w:r>
      <w:r w:rsidR="00391A54" w:rsidRPr="00A75D88">
        <w:rPr>
          <w:sz w:val="24"/>
          <w:szCs w:val="24"/>
        </w:rPr>
        <w:t xml:space="preserve">for other variables. This finding is in keeping with other studies and strengthens the case for </w:t>
      </w:r>
      <w:r w:rsidR="00391A54">
        <w:rPr>
          <w:sz w:val="24"/>
          <w:szCs w:val="24"/>
        </w:rPr>
        <w:t xml:space="preserve">utilising </w:t>
      </w:r>
      <w:r w:rsidR="00391A54" w:rsidRPr="00A75D88">
        <w:rPr>
          <w:sz w:val="24"/>
          <w:szCs w:val="24"/>
        </w:rPr>
        <w:t xml:space="preserve">admission </w:t>
      </w:r>
      <w:r w:rsidR="009E7D74">
        <w:rPr>
          <w:sz w:val="24"/>
          <w:szCs w:val="24"/>
        </w:rPr>
        <w:t>Ct value</w:t>
      </w:r>
      <w:r w:rsidR="00A96D22">
        <w:rPr>
          <w:sz w:val="24"/>
          <w:szCs w:val="24"/>
        </w:rPr>
        <w:t xml:space="preserve"> </w:t>
      </w:r>
      <w:r w:rsidR="00233097">
        <w:rPr>
          <w:sz w:val="24"/>
          <w:szCs w:val="24"/>
        </w:rPr>
        <w:t xml:space="preserve">to assist with </w:t>
      </w:r>
      <w:r w:rsidR="00391A54" w:rsidRPr="00A75D88">
        <w:rPr>
          <w:sz w:val="24"/>
          <w:szCs w:val="24"/>
        </w:rPr>
        <w:t xml:space="preserve">risk stratification </w:t>
      </w:r>
      <w:r w:rsidR="00150B51">
        <w:rPr>
          <w:sz w:val="24"/>
          <w:szCs w:val="24"/>
        </w:rPr>
        <w:t>along</w:t>
      </w:r>
      <w:r w:rsidR="007814BD">
        <w:rPr>
          <w:sz w:val="24"/>
          <w:szCs w:val="24"/>
        </w:rPr>
        <w:t>side</w:t>
      </w:r>
      <w:r w:rsidR="00150B51">
        <w:rPr>
          <w:sz w:val="24"/>
          <w:szCs w:val="24"/>
        </w:rPr>
        <w:t xml:space="preserve"> clinical </w:t>
      </w:r>
      <w:r w:rsidR="00BD78F7">
        <w:rPr>
          <w:sz w:val="24"/>
          <w:szCs w:val="24"/>
        </w:rPr>
        <w:t xml:space="preserve"> </w:t>
      </w:r>
      <w:r w:rsidR="00BD78F7" w:rsidRPr="00CF05D2">
        <w:rPr>
          <w:color w:val="000000" w:themeColor="text1"/>
          <w:sz w:val="24"/>
          <w:szCs w:val="24"/>
        </w:rPr>
        <w:t>judgement</w:t>
      </w:r>
      <w:r w:rsidR="00150B51">
        <w:rPr>
          <w:sz w:val="24"/>
          <w:szCs w:val="24"/>
        </w:rPr>
        <w:t xml:space="preserve">, </w:t>
      </w:r>
      <w:r>
        <w:rPr>
          <w:sz w:val="24"/>
          <w:szCs w:val="24"/>
        </w:rPr>
        <w:t xml:space="preserve">in </w:t>
      </w:r>
      <w:r w:rsidR="00391A54" w:rsidRPr="00A75D88">
        <w:rPr>
          <w:sz w:val="24"/>
          <w:szCs w:val="24"/>
        </w:rPr>
        <w:t>newly hospitalised patients.</w:t>
      </w:r>
      <w:r w:rsidR="00A33CDA" w:rsidRPr="00A75D88">
        <w:rPr>
          <w:sz w:val="24"/>
          <w:szCs w:val="24"/>
        </w:rPr>
        <w:fldChar w:fldCharType="begin" w:fldLock="1"/>
      </w:r>
      <w:r w:rsidR="000829B8">
        <w:rPr>
          <w:sz w:val="24"/>
          <w:szCs w:val="24"/>
        </w:rPr>
        <w:instrText>ADDIN CSL_CITATION {"citationItems":[{"id":"ITEM-1","itemData":{"DOI":"10.1093/cid/ciaa851","ISSN":"1537-6591","PMID":"32603425","abstract":"BACKGROUND Patients hospitalized with coronavirus disease 2019 (COVID-19) frequently require mechanical ventilation and have high mortality rates, but the impact of viral burden on these outcomes is unknown. METHODS We conducted a retrospective cohort study of patients hospitalized with COVID-19 from March 30 to April 30, 2020 at two hospitals in New York City. SARS-CoV-2 viral load was assessed using cycle threshold (Ct) values from a reverse transcription-polymerase chain reaction assay applied to nasopharyngeal swab samples. We compared patient characteristics and outcomes among patients with high, medium, and low admission viral loads and assessed whether viral load was independently associated with risk of intubation and in-hospital mortality. RESULTS We evaluated 678 patients with COVID-19. Higher viral load was associated with increased age, comorbidities, smoking status, and recent chemotherapy. In-hospital mortality was 35.0% with a high viral load (Ct&lt;25; n=220), 17.6% with a medium viral load (Ct 25-30; n=216), and 6.2% with a low viral load (Ct&gt;30; n=242; P&lt;0.001). The risk of intubation was also higher in patients with a high viral load (29.1%), compared to those with a medium (20.8%) or low viral load (14.9%; P&lt;0.001). High viral load was independently associated with mortality (adjusted odds ratio [aOR] 6.05; 95% confidence interval [CI]: 2.92-12.52; P&lt;0.001) and intubation (aOR 2.73; 95% CI: 1.68-4.44; P&lt;0.001) in multivariate models. CONCLUSIONS Admission SARS-CoV-2 viral load among hospitalized patients with COVID-19 independently correlates with the risk of intubation and in-hospital mortality. Providing this information to clinicians could potentially be used to guide patient care.","author":[{"dropping-particle":"","family":"Magleby","given":"Reed","non-dropping-particle":"","parse-names":false,"suffix":""},{"dropping-particle":"","family":"Westblade","given":"Lars F","non-dropping-particle":"","parse-names":false,"suffix":""},{"dropping-particle":"","family":"Trzebucki","given":"Alex","non-dropping-particle":"","parse-names":false,"suffix":""},{"dropping-particle":"","family":"Simon","given":"Matthew S","non-dropping-particle":"","parse-names":false,"suffix":""},{"dropping-particle":"","family":"Rajan","given":"Mangala","non-dropping-particle":"","parse-names":false,"suffix":""},{"dropping-particle":"","family":"Park","given":"Joel","non-dropping-particle":"","parse-names":false,"suffix":""},{"dropping-particle":"","family":"Goyal","given":"Parag","non-dropping-particle":"","parse-names":false,"suffix":""},{"dropping-particle":"","family":"Safford","given":"Monika M","non-dropping-particle":"","parse-names":false,"suffix":""},{"dropping-particle":"","family":"Satlin","given":"Michael J","non-dropping-particle":"","parse-names":false,"suffix":""}],"container-title":"Clinical infectious diseases : an official publication of the Infectious Diseases Society of America","id":"ITEM-1","issued":{"date-parts":[["2020","6","30"]]},"page":"1-14","title":"Impact of SARS-CoV-2 Viral Load on Risk of Intubation and Mortality Among Hospitalized Patients with Coronavirus Disease 2019.","type":"article-journal"},"uris":["http://www.mendeley.com/documents/?uuid=5917cbaa-cd8a-4666-9a19-179418d6c184"]},{"id":"ITEM-2","itemData":{"DOI":"10.1016/S2213-2600(20)30354-4","ISSN":"22132600","author":[{"dropping-particle":"","family":"Pujadas","given":"Elisabet","non-dropping-particle":"","parse-names":false,"suffix":""},{"dropping-particle":"","family":"Chaudhry","given":"Fayzan","non-dropping-particle":"","parse-names":false,"suffix":""},{"dropping-particle":"","family":"McBride","given":"Russell","non-dropping-particle":"","parse-names":false,"suffix":""},{"dropping-particle":"","family":"Richter","given":"Felix","non-dropping-particle":"","parse-names":false,"suffix":""},{"dropping-particle":"","family":"Zhao","given":"Shan","non-dropping-particle":"","parse-names":false,"suffix":""},{"dropping-particle":"","family":"Wajnberg","given":"Ania","non-dropping-particle":"","parse-names":false,"suffix":""},{"dropping-particle":"","family":"Nadkarni","given":"Girish","non-dropping-particle":"","parse-names":false,"suffix":""},{"dropping-particle":"","family":"Glicksberg","given":"Benjamin S","non-dropping-particle":"","parse-names":false,"suffix":""},{"dropping-particle":"","family":"Houldsworth","given":"Jane","non-dropping-particle":"","parse-names":false,"suffix":""},{"dropping-particle":"","family":"Cordon-Cardo","given":"Carlos","non-dropping-particle":"","parse-names":false,"suffix":""}],"container-title":"The Lancet Respiratory Medicine","id":"ITEM-2","issued":{"date-parts":[["2020","8"]]},"page":"2","publisher":"Elsevier Ltd","title":"SARS-CoV-2 viral load predicts COVID-19 mortality","type":"article-journal","volume":"2"},"uris":["http://www.mendeley.com/documents/?uuid=880e4cdc-864a-4869-9157-19c1d89248bb"]}],"mendeley":{"formattedCitation":"&lt;sup&gt;11,12&lt;/sup&gt;","plainTextFormattedCitation":"11,12","previouslyFormattedCitation":"&lt;sup&gt;11,12&lt;/sup&gt;"},"properties":{"noteIndex":0},"schema":"https://github.com/citation-style-language/schema/raw/master/csl-citation.json"}</w:instrText>
      </w:r>
      <w:r w:rsidR="00A33CDA" w:rsidRPr="00A75D88">
        <w:rPr>
          <w:sz w:val="24"/>
          <w:szCs w:val="24"/>
        </w:rPr>
        <w:fldChar w:fldCharType="separate"/>
      </w:r>
      <w:r w:rsidR="00CC6532" w:rsidRPr="00CC6532">
        <w:rPr>
          <w:noProof/>
          <w:sz w:val="24"/>
          <w:szCs w:val="24"/>
          <w:vertAlign w:val="superscript"/>
        </w:rPr>
        <w:t>11,12</w:t>
      </w:r>
      <w:r w:rsidR="00A33CDA" w:rsidRPr="00A75D88">
        <w:rPr>
          <w:sz w:val="24"/>
          <w:szCs w:val="24"/>
        </w:rPr>
        <w:fldChar w:fldCharType="end"/>
      </w:r>
      <w:r w:rsidR="00391A54">
        <w:rPr>
          <w:sz w:val="24"/>
          <w:szCs w:val="24"/>
        </w:rPr>
        <w:t xml:space="preserve"> The clinical course of COVID-19 is unpredictable and utilising </w:t>
      </w:r>
      <w:r w:rsidR="009E7D74">
        <w:rPr>
          <w:sz w:val="24"/>
          <w:szCs w:val="24"/>
        </w:rPr>
        <w:t>Ct value</w:t>
      </w:r>
      <w:r w:rsidR="00391A54">
        <w:rPr>
          <w:sz w:val="24"/>
          <w:szCs w:val="24"/>
        </w:rPr>
        <w:t xml:space="preserve"> measurement </w:t>
      </w:r>
      <w:r w:rsidR="00391A54" w:rsidRPr="00A75D88">
        <w:rPr>
          <w:sz w:val="24"/>
          <w:szCs w:val="24"/>
        </w:rPr>
        <w:t xml:space="preserve">as a predictor of mortality </w:t>
      </w:r>
      <w:r w:rsidR="00391A54">
        <w:rPr>
          <w:sz w:val="24"/>
          <w:szCs w:val="24"/>
        </w:rPr>
        <w:t xml:space="preserve">may </w:t>
      </w:r>
      <w:r w:rsidR="00391A54" w:rsidRPr="00A75D88">
        <w:rPr>
          <w:sz w:val="24"/>
          <w:szCs w:val="24"/>
        </w:rPr>
        <w:t xml:space="preserve">allow </w:t>
      </w:r>
      <w:r w:rsidR="007814BD">
        <w:rPr>
          <w:sz w:val="24"/>
          <w:szCs w:val="24"/>
        </w:rPr>
        <w:t xml:space="preserve">more effective </w:t>
      </w:r>
      <w:r w:rsidR="00391A54">
        <w:rPr>
          <w:sz w:val="24"/>
          <w:szCs w:val="24"/>
        </w:rPr>
        <w:t xml:space="preserve">directed </w:t>
      </w:r>
      <w:r w:rsidR="00391A54" w:rsidRPr="00A75D88">
        <w:rPr>
          <w:sz w:val="24"/>
          <w:szCs w:val="24"/>
        </w:rPr>
        <w:t>escalation to closely monitor</w:t>
      </w:r>
      <w:r w:rsidR="00391A54">
        <w:rPr>
          <w:sz w:val="24"/>
          <w:szCs w:val="24"/>
        </w:rPr>
        <w:t>ed</w:t>
      </w:r>
      <w:r w:rsidR="00391A54" w:rsidRPr="00A75D88">
        <w:rPr>
          <w:sz w:val="24"/>
          <w:szCs w:val="24"/>
        </w:rPr>
        <w:t xml:space="preserve"> clinical areas</w:t>
      </w:r>
      <w:r>
        <w:rPr>
          <w:sz w:val="24"/>
          <w:szCs w:val="24"/>
        </w:rPr>
        <w:t>.</w:t>
      </w:r>
      <w:r w:rsidR="004D465E">
        <w:rPr>
          <w:sz w:val="24"/>
          <w:szCs w:val="24"/>
        </w:rPr>
        <w:t xml:space="preserve"> T</w:t>
      </w:r>
      <w:r w:rsidR="00BD78F7">
        <w:rPr>
          <w:sz w:val="24"/>
          <w:szCs w:val="24"/>
        </w:rPr>
        <w:t xml:space="preserve">he prognostic role of including Ct admission values within </w:t>
      </w:r>
      <w:r w:rsidR="00BF0802">
        <w:rPr>
          <w:sz w:val="24"/>
          <w:szCs w:val="24"/>
        </w:rPr>
        <w:t xml:space="preserve">other validated </w:t>
      </w:r>
      <w:r w:rsidR="00BD78F7">
        <w:rPr>
          <w:sz w:val="24"/>
          <w:szCs w:val="24"/>
        </w:rPr>
        <w:t>severity mortality scoring systems such as ISARIC 4C</w:t>
      </w:r>
      <w:r w:rsidR="00BF0802">
        <w:rPr>
          <w:sz w:val="24"/>
          <w:szCs w:val="24"/>
        </w:rPr>
        <w:t>,</w:t>
      </w:r>
      <w:r w:rsidR="00BD78F7">
        <w:rPr>
          <w:sz w:val="24"/>
          <w:szCs w:val="24"/>
        </w:rPr>
        <w:t xml:space="preserve"> </w:t>
      </w:r>
      <w:r w:rsidR="00BF0802">
        <w:rPr>
          <w:sz w:val="24"/>
          <w:szCs w:val="24"/>
        </w:rPr>
        <w:t xml:space="preserve">is unknown and </w:t>
      </w:r>
      <w:r w:rsidR="00BD78F7">
        <w:rPr>
          <w:sz w:val="24"/>
          <w:szCs w:val="24"/>
        </w:rPr>
        <w:t>would need</w:t>
      </w:r>
      <w:r w:rsidR="00BF0802">
        <w:rPr>
          <w:sz w:val="24"/>
          <w:szCs w:val="24"/>
        </w:rPr>
        <w:t xml:space="preserve"> </w:t>
      </w:r>
      <w:r w:rsidR="00BD78F7">
        <w:rPr>
          <w:sz w:val="24"/>
          <w:szCs w:val="24"/>
        </w:rPr>
        <w:t>further prospective</w:t>
      </w:r>
      <w:r w:rsidR="00A5782A">
        <w:rPr>
          <w:sz w:val="24"/>
          <w:szCs w:val="24"/>
        </w:rPr>
        <w:t xml:space="preserve"> </w:t>
      </w:r>
      <w:r w:rsidR="004D465E">
        <w:rPr>
          <w:sz w:val="24"/>
          <w:szCs w:val="24"/>
        </w:rPr>
        <w:t>studies</w:t>
      </w:r>
      <w:r w:rsidR="00BF0802">
        <w:rPr>
          <w:sz w:val="24"/>
          <w:szCs w:val="24"/>
        </w:rPr>
        <w:t xml:space="preserve"> to evaluate</w:t>
      </w:r>
      <w:r w:rsidR="00E971C7">
        <w:rPr>
          <w:sz w:val="24"/>
          <w:szCs w:val="24"/>
        </w:rPr>
        <w:t>.</w:t>
      </w:r>
      <w:r w:rsidR="00BE5459" w:rsidRPr="00E971C7">
        <w:rPr>
          <w:sz w:val="24"/>
          <w:szCs w:val="24"/>
          <w:vertAlign w:val="superscript"/>
        </w:rPr>
        <w:t>3</w:t>
      </w:r>
      <w:r w:rsidR="00BD78F7">
        <w:rPr>
          <w:sz w:val="24"/>
          <w:szCs w:val="24"/>
        </w:rPr>
        <w:t xml:space="preserve"> </w:t>
      </w:r>
      <w:r w:rsidR="009E7D74">
        <w:rPr>
          <w:sz w:val="24"/>
          <w:szCs w:val="24"/>
        </w:rPr>
        <w:t>Ct value</w:t>
      </w:r>
      <w:r w:rsidR="00BF0802">
        <w:rPr>
          <w:sz w:val="24"/>
          <w:szCs w:val="24"/>
        </w:rPr>
        <w:t>-</w:t>
      </w:r>
      <w:r w:rsidR="00391A54">
        <w:rPr>
          <w:sz w:val="24"/>
          <w:szCs w:val="24"/>
        </w:rPr>
        <w:t xml:space="preserve">based risk stratification may also be useful for therapeutic decisions </w:t>
      </w:r>
      <w:r w:rsidR="007814BD">
        <w:rPr>
          <w:sz w:val="24"/>
          <w:szCs w:val="24"/>
        </w:rPr>
        <w:t xml:space="preserve">particularly </w:t>
      </w:r>
      <w:r w:rsidR="00391A54">
        <w:rPr>
          <w:sz w:val="24"/>
          <w:szCs w:val="24"/>
        </w:rPr>
        <w:t>once more effective antiviral therapies are developed and available</w:t>
      </w:r>
      <w:r w:rsidR="007814BD">
        <w:rPr>
          <w:sz w:val="24"/>
          <w:szCs w:val="24"/>
        </w:rPr>
        <w:t xml:space="preserve">, </w:t>
      </w:r>
      <w:r w:rsidR="009E7D74">
        <w:rPr>
          <w:sz w:val="24"/>
          <w:szCs w:val="24"/>
        </w:rPr>
        <w:t xml:space="preserve">as well as informing patients </w:t>
      </w:r>
      <w:r w:rsidR="007814BD">
        <w:rPr>
          <w:sz w:val="24"/>
          <w:szCs w:val="24"/>
        </w:rPr>
        <w:t xml:space="preserve">and their families </w:t>
      </w:r>
      <w:r w:rsidR="009E7D74">
        <w:rPr>
          <w:sz w:val="24"/>
          <w:szCs w:val="24"/>
        </w:rPr>
        <w:t>of their own potential prognosis</w:t>
      </w:r>
      <w:r w:rsidR="00391A54">
        <w:rPr>
          <w:sz w:val="24"/>
          <w:szCs w:val="24"/>
        </w:rPr>
        <w:t xml:space="preserve">. </w:t>
      </w:r>
    </w:p>
    <w:p w14:paraId="76D55B17" w14:textId="77777777" w:rsidR="00391A54" w:rsidRDefault="00391A54" w:rsidP="00391A54">
      <w:pPr>
        <w:spacing w:after="0" w:line="480" w:lineRule="auto"/>
        <w:jc w:val="both"/>
        <w:rPr>
          <w:sz w:val="24"/>
          <w:szCs w:val="24"/>
        </w:rPr>
      </w:pPr>
    </w:p>
    <w:p w14:paraId="721478DD" w14:textId="0292E54A" w:rsidR="00391A54" w:rsidRDefault="00391A54" w:rsidP="00391A54">
      <w:pPr>
        <w:spacing w:after="0" w:line="480" w:lineRule="auto"/>
        <w:jc w:val="both"/>
        <w:rPr>
          <w:sz w:val="24"/>
          <w:szCs w:val="24"/>
        </w:rPr>
      </w:pPr>
      <w:r w:rsidRPr="00A75D88">
        <w:rPr>
          <w:sz w:val="24"/>
          <w:szCs w:val="24"/>
        </w:rPr>
        <w:t xml:space="preserve">Contrary to previous studies, we found </w:t>
      </w:r>
      <w:r>
        <w:rPr>
          <w:sz w:val="24"/>
          <w:szCs w:val="24"/>
        </w:rPr>
        <w:t xml:space="preserve">that </w:t>
      </w:r>
      <w:r w:rsidRPr="00A75D88">
        <w:rPr>
          <w:sz w:val="24"/>
          <w:szCs w:val="24"/>
        </w:rPr>
        <w:t xml:space="preserve">viral load on admission was not independently associated with </w:t>
      </w:r>
      <w:r w:rsidR="00125C6B">
        <w:rPr>
          <w:sz w:val="24"/>
          <w:szCs w:val="24"/>
        </w:rPr>
        <w:t xml:space="preserve">the risk of </w:t>
      </w:r>
      <w:r w:rsidRPr="00A75D88">
        <w:rPr>
          <w:sz w:val="24"/>
          <w:szCs w:val="24"/>
        </w:rPr>
        <w:t>admission to</w:t>
      </w:r>
      <w:r>
        <w:rPr>
          <w:sz w:val="24"/>
          <w:szCs w:val="24"/>
        </w:rPr>
        <w:t xml:space="preserve"> the</w:t>
      </w:r>
      <w:r w:rsidRPr="00A75D88">
        <w:rPr>
          <w:sz w:val="24"/>
          <w:szCs w:val="24"/>
        </w:rPr>
        <w:t xml:space="preserve"> intensive care</w:t>
      </w:r>
      <w:r>
        <w:rPr>
          <w:sz w:val="24"/>
          <w:szCs w:val="24"/>
        </w:rPr>
        <w:t xml:space="preserve"> unit</w:t>
      </w:r>
      <w:r w:rsidRPr="00A75D88">
        <w:rPr>
          <w:sz w:val="24"/>
          <w:szCs w:val="24"/>
        </w:rPr>
        <w:t xml:space="preserve">. The interaction analysis revealed </w:t>
      </w:r>
      <w:r>
        <w:rPr>
          <w:sz w:val="24"/>
          <w:szCs w:val="24"/>
        </w:rPr>
        <w:t xml:space="preserve">that </w:t>
      </w:r>
      <w:r w:rsidRPr="00A75D88">
        <w:rPr>
          <w:sz w:val="24"/>
          <w:szCs w:val="24"/>
        </w:rPr>
        <w:t>changes in age was the</w:t>
      </w:r>
      <w:r>
        <w:rPr>
          <w:sz w:val="24"/>
          <w:szCs w:val="24"/>
        </w:rPr>
        <w:t xml:space="preserve"> major </w:t>
      </w:r>
      <w:r w:rsidRPr="00A75D88">
        <w:rPr>
          <w:sz w:val="24"/>
          <w:szCs w:val="24"/>
        </w:rPr>
        <w:t>factor</w:t>
      </w:r>
      <w:r>
        <w:rPr>
          <w:sz w:val="24"/>
          <w:szCs w:val="24"/>
        </w:rPr>
        <w:t xml:space="preserve"> influencing </w:t>
      </w:r>
      <w:r w:rsidR="00BF0802">
        <w:rPr>
          <w:sz w:val="24"/>
          <w:szCs w:val="24"/>
        </w:rPr>
        <w:t>admission to ICU</w:t>
      </w:r>
      <w:r>
        <w:rPr>
          <w:sz w:val="24"/>
          <w:szCs w:val="24"/>
        </w:rPr>
        <w:t xml:space="preserve">, suggesting that the decision to be admitted to ICU in COVID-19 patients was </w:t>
      </w:r>
      <w:r w:rsidR="001D1B04">
        <w:rPr>
          <w:sz w:val="24"/>
          <w:szCs w:val="24"/>
        </w:rPr>
        <w:t>strongly influenced by</w:t>
      </w:r>
      <w:r>
        <w:rPr>
          <w:sz w:val="24"/>
          <w:szCs w:val="24"/>
        </w:rPr>
        <w:t xml:space="preserve"> patient factors </w:t>
      </w:r>
      <w:r w:rsidR="001D1B04">
        <w:rPr>
          <w:sz w:val="24"/>
          <w:szCs w:val="24"/>
        </w:rPr>
        <w:t xml:space="preserve">related to </w:t>
      </w:r>
      <w:r>
        <w:rPr>
          <w:sz w:val="24"/>
          <w:szCs w:val="24"/>
        </w:rPr>
        <w:t>age</w:t>
      </w:r>
      <w:r w:rsidR="001D1B04">
        <w:rPr>
          <w:sz w:val="24"/>
          <w:szCs w:val="24"/>
        </w:rPr>
        <w:t xml:space="preserve">, such as comorbidity and frailty. </w:t>
      </w:r>
    </w:p>
    <w:p w14:paraId="2D52D4EB" w14:textId="5DBF0579" w:rsidR="009E7D74" w:rsidRDefault="009E7D74" w:rsidP="00391A54">
      <w:pPr>
        <w:spacing w:after="0" w:line="480" w:lineRule="auto"/>
        <w:jc w:val="both"/>
        <w:rPr>
          <w:sz w:val="24"/>
          <w:szCs w:val="24"/>
        </w:rPr>
      </w:pPr>
    </w:p>
    <w:p w14:paraId="6F0C353B" w14:textId="6CEC630D" w:rsidR="009E7D74" w:rsidRDefault="009E7D74" w:rsidP="009E7D74">
      <w:pPr>
        <w:spacing w:after="0" w:line="480" w:lineRule="auto"/>
        <w:jc w:val="both"/>
        <w:rPr>
          <w:sz w:val="24"/>
          <w:szCs w:val="24"/>
        </w:rPr>
      </w:pPr>
      <w:r>
        <w:rPr>
          <w:sz w:val="24"/>
          <w:szCs w:val="24"/>
        </w:rPr>
        <w:t>The interaction effect of age on outcomes and duration of illness could be hypothesised to be due to older patients having less physiological reserves, and therefore being admitted earlier in their duration of illness and having higher viral loads in the upper respiratory tract</w:t>
      </w:r>
      <w:r w:rsidR="000829B8">
        <w:rPr>
          <w:sz w:val="24"/>
          <w:szCs w:val="24"/>
        </w:rPr>
        <w:fldChar w:fldCharType="begin" w:fldLock="1"/>
      </w:r>
      <w:r w:rsidR="000829B8">
        <w:rPr>
          <w:sz w:val="24"/>
          <w:szCs w:val="24"/>
        </w:rPr>
        <w:instrText>ADDIN CSL_CITATION {"citationItems":[{"id":"ITEM-1","itemData":{"DOI":"10.1136/bmj.m3862","ISSN":"1756-1833","author":[{"dropping-particle":"","family":"Cevik","given":"Muge","non-dropping-particle":"","parse-names":false,"suffix":""},{"dropping-particle":"","family":"Kuppalli","given":"Krutika","non-dropping-particle":"","parse-names":false,"suffix":""},{"dropping-particle":"","family":"Kindrachuk","given":"Jason","non-dropping-particle":"","parse-names":false,"suffix":""},{"dropping-particle":"","family":"Peiris","given":"Malik","non-dropping-particle":"","parse-names":false,"suffix":""}],"container-title":"BMJ","id":"ITEM-1","issued":{"date-parts":[["2020","10","23"]]},"page":"m3862","title":"Virology, transmission, and pathogenesis of SARS-CoV-2","type":"article-journal"},"uris":["http://www.mendeley.com/documents/?uuid=31804b2c-8fcf-43e5-ab37-3257f84ac598"]}],"mendeley":{"formattedCitation":"&lt;sup&gt;22&lt;/sup&gt;","plainTextFormattedCitation":"22","previouslyFormattedCitation":"&lt;sup&gt;22&lt;/sup&gt;"},"properties":{"noteIndex":0},"schema":"https://github.com/citation-style-language/schema/raw/master/csl-citation.json"}</w:instrText>
      </w:r>
      <w:r w:rsidR="000829B8">
        <w:rPr>
          <w:sz w:val="24"/>
          <w:szCs w:val="24"/>
        </w:rPr>
        <w:fldChar w:fldCharType="separate"/>
      </w:r>
      <w:r w:rsidR="000829B8" w:rsidRPr="000829B8">
        <w:rPr>
          <w:noProof/>
          <w:sz w:val="24"/>
          <w:szCs w:val="24"/>
          <w:vertAlign w:val="superscript"/>
        </w:rPr>
        <w:t>22</w:t>
      </w:r>
      <w:r w:rsidR="000829B8">
        <w:rPr>
          <w:sz w:val="24"/>
          <w:szCs w:val="24"/>
        </w:rPr>
        <w:fldChar w:fldCharType="end"/>
      </w:r>
      <w:r>
        <w:rPr>
          <w:sz w:val="24"/>
          <w:szCs w:val="24"/>
        </w:rPr>
        <w:t xml:space="preserve">. Older </w:t>
      </w:r>
      <w:r>
        <w:rPr>
          <w:sz w:val="24"/>
          <w:szCs w:val="24"/>
        </w:rPr>
        <w:lastRenderedPageBreak/>
        <w:t>age is a known</w:t>
      </w:r>
      <w:r w:rsidR="00BF0802">
        <w:rPr>
          <w:sz w:val="24"/>
          <w:szCs w:val="24"/>
        </w:rPr>
        <w:t xml:space="preserve"> strong</w:t>
      </w:r>
      <w:r>
        <w:rPr>
          <w:sz w:val="24"/>
          <w:szCs w:val="24"/>
        </w:rPr>
        <w:t xml:space="preserve"> risk factor in predicting mortality</w:t>
      </w:r>
      <w:r w:rsidR="000829B8">
        <w:rPr>
          <w:sz w:val="24"/>
          <w:szCs w:val="24"/>
        </w:rPr>
        <w:fldChar w:fldCharType="begin" w:fldLock="1"/>
      </w:r>
      <w:r w:rsidR="00B01895">
        <w:rPr>
          <w:sz w:val="24"/>
          <w:szCs w:val="24"/>
        </w:rPr>
        <w:instrText>ADDIN CSL_CITATION {"citationItems":[{"id":"ITEM-1","itemData":{"DOI":"10.1136/bmj.m3339","ISSN":"1756-1833","author":[{"dropping-particle":"","family":"Knight","given":"Stephen R","non-dropping-particle":"","parse-names":false,"suffix":""},{"dropping-particle":"","family":"Ho","given":"Antonia","non-dropping-particle":"","parse-names":false,"suffix":""},{"dropping-particle":"","family":"Pius","given":"Riinu","non-dropping-particle":"","parse-names":false,"suffix":""},{"dropping-particle":"","family":"Buchan","given":"Iain","non-dropping-particle":"","parse-names":false,"suffix":""},{"dropping-particle":"","family":"Carson","given":"Gail","non-dropping-particle":"","parse-names":false,"suffix":""},{"dropping-particle":"","family":"Drake","given":"Thomas M","non-dropping-particle":"","parse-names":false,"suffix":""},{"dropping-particle":"","family":"Dunning","given":"Jake","non-dropping-particle":"","parse-names":false,"suffix":""},{"dropping-particle":"","family":"Fairfield","given":"Cameron J","non-dropping-particle":"","parse-names":false,"suffix":""},{"dropping-particle":"","family":"Gamble","given":"Carrol","non-dropping-particle":"","parse-names":false,"suffix":""},{"dropping-particle":"","family":"Green","given":"Christopher A","non-dropping-particle":"","parse-names":false,"suffix":""},{"dropping-particle":"","family":"Gupta","given":"Rishi","non-dropping-particle":"","parse-names":false,"suffix":""},{"dropping-particle":"","family":"Halpin","given":"Sophie","non-dropping-particle":"","parse-names":false,"suffix":""},{"dropping-particle":"","family":"Hardwick","given":"Hayley E","non-dropping-particle":"","parse-names":false,"suffix":""},{"dropping-particle":"","family":"Holden","given":"Karl A","non-dropping-particle":"","parse-names":false,"suffix":""},{"dropping-particle":"","family":"Horby","given":"Peter W","non-dropping-particle":"","parse-names":false,"suffix":""},{"dropping-particle":"","family":"Jackson","given":"Clare","non-dropping-particle":"","parse-names":false,"suffix":""},{"dropping-particle":"","family":"Mclean","given":"Kenneth A","non-dropping-particle":"","parse-names":false,"suffix":""},{"dropping-particle":"","family":"Merson","given":"Laura","non-dropping-particle":"","parse-names":false,"suffix":""},{"dropping-particle":"","family":"Nguyen-Van-Tam","given":"Jonathan S","non-dropping-particle":"","parse-names":false,"suffix":""},{"dropping-particle":"","family":"Norman","given":"Lisa","non-dropping-particle":"","parse-names":false,"suffix":""},{"dropping-particle":"","family":"Noursadeghi","given":"Mahdad","non-dropping-particle":"","parse-names":false,"suffix":""},{"dropping-particle":"","family":"Olliaro","given":"Piero L","non-dropping-particle":"","parse-names":false,"suffix":""},{"dropping-particle":"","family":"Pritchard","given":"Mark G","non-dropping-particle":"","parse-names":false,"suffix":""},{"dropping-particle":"","family":"Russell","given":"Clark D","non-dropping-particle":"","parse-names":false,"suffix":""},{"dropping-particle":"","family":"Shaw","given":"Catherine A","non-dropping-particle":"","parse-names":false,"suffix":""},{"dropping-particle":"","family":"Sheikh","given":"Aziz","non-dropping-particle":"","parse-names":false,"suffix":""},{"dropping-particle":"","family":"Solomon","given":"Tom","non-dropping-particle":"","parse-names":false,"suffix":""},{"dropping-particle":"","family":"Sudlow","given":"Cathie","non-dropping-particle":"","parse-names":false,"suffix":""},{"dropping-particle":"V","family":"Swann","given":"Olivia","non-dropping-particle":"","parse-names":false,"suffix":""},{"dropping-particle":"","family":"Turtle","given":"Lance CW","non-dropping-particle":"","parse-names":false,"suffix":""},{"dropping-particle":"","family":"Openshaw","given":"Peter JM","non-dropping-particle":"","parse-names":false,"suffix":""},{"dropping-particle":"","family":"Baillie","given":"J Kenneth","non-dropping-particle":"","parse-names":false,"suffix":""},{"dropping-particle":"","family":"Semple","given":"Malcolm G","non-dropping-particle":"","parse-names":false,"suffix":""},{"dropping-particle":"","family":"Docherty","given":"Annemarie B","non-dropping-particle":"","parse-names":false,"suffix":""},{"dropping-particle":"","family":"Harrison","given":"Ewen M","non-dropping-particle":"","parse-names":false,"suffix":""}],"container-title":"BMJ","id":"ITEM-1","issued":{"date-parts":[["2020","9","9"]]},"page":"m3339","title":"Risk stratification of patients admitted to hospital with covid-19 using the ISARIC WHO Clinical Characterisation Protocol: development and validation of the 4C Mortality Score","type":"article-journal"},"uris":["http://www.mendeley.com/documents/?uuid=81f49763-245d-4001-8ed6-da985acf1903"]}],"mendeley":{"formattedCitation":"&lt;sup&gt;23&lt;/sup&gt;","plainTextFormattedCitation":"23","previouslyFormattedCitation":"&lt;sup&gt;23&lt;/sup&gt;"},"properties":{"noteIndex":0},"schema":"https://github.com/citation-style-language/schema/raw/master/csl-citation.json"}</w:instrText>
      </w:r>
      <w:r w:rsidR="000829B8">
        <w:rPr>
          <w:sz w:val="24"/>
          <w:szCs w:val="24"/>
        </w:rPr>
        <w:fldChar w:fldCharType="separate"/>
      </w:r>
      <w:r w:rsidR="000829B8" w:rsidRPr="000829B8">
        <w:rPr>
          <w:noProof/>
          <w:sz w:val="24"/>
          <w:szCs w:val="24"/>
          <w:vertAlign w:val="superscript"/>
        </w:rPr>
        <w:t>23</w:t>
      </w:r>
      <w:r w:rsidR="000829B8">
        <w:rPr>
          <w:sz w:val="24"/>
          <w:szCs w:val="24"/>
        </w:rPr>
        <w:fldChar w:fldCharType="end"/>
      </w:r>
      <w:r w:rsidR="00BF0802">
        <w:rPr>
          <w:sz w:val="24"/>
          <w:szCs w:val="24"/>
        </w:rPr>
        <w:t xml:space="preserve"> and t</w:t>
      </w:r>
      <w:r>
        <w:rPr>
          <w:sz w:val="24"/>
          <w:szCs w:val="24"/>
        </w:rPr>
        <w:t xml:space="preserve">herefore, age, duration of symptoms, </w:t>
      </w:r>
      <w:r w:rsidR="00150B51">
        <w:rPr>
          <w:sz w:val="24"/>
          <w:szCs w:val="24"/>
        </w:rPr>
        <w:t xml:space="preserve">and </w:t>
      </w:r>
      <w:r w:rsidR="00F478CC">
        <w:rPr>
          <w:sz w:val="24"/>
          <w:szCs w:val="24"/>
        </w:rPr>
        <w:t>viral load</w:t>
      </w:r>
      <w:r>
        <w:rPr>
          <w:sz w:val="24"/>
          <w:szCs w:val="24"/>
        </w:rPr>
        <w:t xml:space="preserve"> are </w:t>
      </w:r>
      <w:r w:rsidR="00150B51">
        <w:rPr>
          <w:sz w:val="24"/>
          <w:szCs w:val="24"/>
        </w:rPr>
        <w:t xml:space="preserve">all likely to be strongly </w:t>
      </w:r>
      <w:r>
        <w:rPr>
          <w:sz w:val="24"/>
          <w:szCs w:val="24"/>
        </w:rPr>
        <w:t>inter</w:t>
      </w:r>
      <w:r w:rsidR="00150B51">
        <w:rPr>
          <w:sz w:val="24"/>
          <w:szCs w:val="24"/>
        </w:rPr>
        <w:t>-related</w:t>
      </w:r>
      <w:r>
        <w:rPr>
          <w:sz w:val="24"/>
          <w:szCs w:val="24"/>
        </w:rPr>
        <w:t>.</w:t>
      </w:r>
    </w:p>
    <w:p w14:paraId="0441E574" w14:textId="77777777" w:rsidR="009E7D74" w:rsidRDefault="009E7D74" w:rsidP="00391A54">
      <w:pPr>
        <w:spacing w:after="0" w:line="480" w:lineRule="auto"/>
        <w:jc w:val="both"/>
        <w:rPr>
          <w:sz w:val="24"/>
          <w:szCs w:val="24"/>
        </w:rPr>
      </w:pPr>
    </w:p>
    <w:p w14:paraId="166DABB3" w14:textId="77777777" w:rsidR="00391A54" w:rsidRDefault="00391A54" w:rsidP="00391A54">
      <w:pPr>
        <w:spacing w:after="0" w:line="480" w:lineRule="auto"/>
        <w:jc w:val="both"/>
        <w:rPr>
          <w:sz w:val="24"/>
          <w:szCs w:val="24"/>
        </w:rPr>
      </w:pPr>
    </w:p>
    <w:p w14:paraId="0860BDC9" w14:textId="0C101691" w:rsidR="00391A54" w:rsidRPr="00A75D88" w:rsidRDefault="00391A54" w:rsidP="00391A54">
      <w:pPr>
        <w:spacing w:after="0" w:line="480" w:lineRule="auto"/>
        <w:jc w:val="both"/>
        <w:rPr>
          <w:sz w:val="24"/>
          <w:szCs w:val="24"/>
        </w:rPr>
      </w:pPr>
      <w:r>
        <w:rPr>
          <w:sz w:val="24"/>
          <w:szCs w:val="24"/>
        </w:rPr>
        <w:t xml:space="preserve">In addition to the benefits of clinical risk stratification, measurement of </w:t>
      </w:r>
      <w:r w:rsidR="009E7D74">
        <w:rPr>
          <w:sz w:val="24"/>
          <w:szCs w:val="24"/>
        </w:rPr>
        <w:t>Ct value</w:t>
      </w:r>
      <w:r>
        <w:rPr>
          <w:sz w:val="24"/>
          <w:szCs w:val="24"/>
        </w:rPr>
        <w:t xml:space="preserve"> at presentation </w:t>
      </w:r>
      <w:r w:rsidRPr="00A75D88">
        <w:rPr>
          <w:sz w:val="24"/>
          <w:szCs w:val="24"/>
        </w:rPr>
        <w:t xml:space="preserve">may </w:t>
      </w:r>
      <w:r>
        <w:rPr>
          <w:sz w:val="24"/>
          <w:szCs w:val="24"/>
        </w:rPr>
        <w:t xml:space="preserve">be useful to guide </w:t>
      </w:r>
      <w:r w:rsidRPr="00A75D88">
        <w:rPr>
          <w:sz w:val="24"/>
          <w:szCs w:val="24"/>
        </w:rPr>
        <w:t>infection prevention</w:t>
      </w:r>
      <w:r>
        <w:rPr>
          <w:sz w:val="24"/>
          <w:szCs w:val="24"/>
        </w:rPr>
        <w:t xml:space="preserve"> </w:t>
      </w:r>
      <w:r w:rsidRPr="00A75D88">
        <w:rPr>
          <w:sz w:val="24"/>
          <w:szCs w:val="24"/>
        </w:rPr>
        <w:t>measures and prevent nosocomial outbreaks.</w:t>
      </w:r>
      <w:r>
        <w:rPr>
          <w:sz w:val="24"/>
          <w:szCs w:val="24"/>
        </w:rPr>
        <w:t xml:space="preserve"> Although direct evidence for the risk of transmissibility according to viral load (as measured by real time PCR) is lacking, several studies have demonstrated that the ability to culture SARS-CoV-2 diminishes with reduc</w:t>
      </w:r>
      <w:r w:rsidR="001D1B04">
        <w:rPr>
          <w:sz w:val="24"/>
          <w:szCs w:val="24"/>
        </w:rPr>
        <w:t xml:space="preserve">ing viral load suggesting that </w:t>
      </w:r>
      <w:r>
        <w:rPr>
          <w:sz w:val="24"/>
          <w:szCs w:val="24"/>
        </w:rPr>
        <w:t xml:space="preserve">patients presenting with low viral loads </w:t>
      </w:r>
      <w:r w:rsidR="001D1B04">
        <w:rPr>
          <w:sz w:val="24"/>
          <w:szCs w:val="24"/>
        </w:rPr>
        <w:t xml:space="preserve"> </w:t>
      </w:r>
      <w:r>
        <w:rPr>
          <w:sz w:val="24"/>
          <w:szCs w:val="24"/>
        </w:rPr>
        <w:t>are unlikely to be infectious to others.</w:t>
      </w:r>
      <w:r>
        <w:rPr>
          <w:sz w:val="24"/>
          <w:szCs w:val="24"/>
        </w:rPr>
        <w:fldChar w:fldCharType="begin" w:fldLock="1"/>
      </w:r>
      <w:r w:rsidR="00B01895">
        <w:rPr>
          <w:sz w:val="24"/>
          <w:szCs w:val="24"/>
        </w:rPr>
        <w:instrText>ADDIN CSL_CITATION {"citationItems":[{"id":"ITEM-1","itemData":{"DOI":"10.1093/cid/ciaa638","ISSN":"1058-4838","PMID":"32442256","abstract":"BACKGROUND RT-PCR has become the primary method to diagnose viral diseases, including SARS-CoV-2. RT-PCR detects RNA, not infectious virus, thus its ability to determine duration of infectivity of patients is limited. Infectivity is a critical determinant in informing public health guidelines/interventions. Our goal was to determine the relationship between E gene SARS-CoV-2 RT-PCR cycle threshold (Ct) values from respiratory samples, symptom onset to test (STT) and infectivity in cell culture. METHODS In this retrospective cross-sectional study, we took SARS-CoV-2 RT-PCR confirmed positive samples and determined their ability to infect Vero cell lines. RESULTS Ninety RT-PCR SARS-CoV-2 positive samples were incubated on Vero cells. Twenty-six samples (28.9%) demonstrated viral growth. Median TCID50/ml was 1780 (282-8511). There was no growth in samples with a Ct &gt; 24 or STT &gt; 8 days. Multivariate logistic regression using positive viral culture as a binary predictor variable, STT and Ct demonstrated an odds ratio for positive viral culture of 0.64 (95% CI 0.49-0.84, p&lt;0.001) for every one unit increase in Ct. Area under the receiver operating characteristic curve for Ct vs. positive culture was OR 0.91 (95% CI 0.85-0.97, p&lt;0.001), with 97% specificity obtained at a Ct of &gt;24. CONCLUSIONS SARS-CoV-2 Vero cell infectivity was only observed for RT-PCR Ct &lt; 24 and STT &lt; 8 days. Infectivity of patients with Ct &gt;24 and duration of symptoms &gt;8 days may be low. This information can inform public health policy and guide clinical, infection control and occupational health decisions. Further studies of larger size are needed.","author":[{"dropping-particle":"","family":"Bullard","given":"Jared","non-dropping-particle":"","parse-names":false,"suffix":""},{"dropping-particle":"","family":"Dust","given":"Kerry","non-dropping-particle":"","parse-names":false,"suffix":""},{"dropping-particle":"","family":"Funk","given":"Duane","non-dropping-particle":"","parse-names":false,"suffix":""},{"dropping-particle":"","family":"Strong","given":"James E","non-dropping-particle":"","parse-names":false,"suffix":""},{"dropping-particle":"","family":"Alexander","given":"David","non-dropping-particle":"","parse-names":false,"suffix":""},{"dropping-particle":"","family":"Garnett","given":"Lauren","non-dropping-particle":"","parse-names":false,"suffix":""},{"dropping-particle":"","family":"Boodman","given":"Carl","non-dropping-particle":"","parse-names":false,"suffix":""},{"dropping-particle":"","family":"Bello","given":"Alexander","non-dropping-particle":"","parse-names":false,"suffix":""},{"dropping-particle":"","family":"Hedley","given":"Adam","non-dropping-particle":"","parse-names":false,"suffix":""},{"dropping-particle":"","family":"Schiffman","given":"Zachary","non-dropping-particle":"","parse-names":false,"suffix":""},{"dropping-particle":"","family":"Doan","given":"Kaylie","non-dropping-particle":"","parse-names":false,"suffix":""},{"dropping-particle":"","family":"Bastien","given":"Nathalie","non-dropping-particle":"","parse-names":false,"suffix":""},{"dropping-particle":"","family":"Li","given":"Yan","non-dropping-particle":"","parse-names":false,"suffix":""},{"dropping-particle":"","family":"Caeseele","given":"Paul G","non-dropping-particle":"Van","parse-names":false,"suffix":""},{"dropping-particle":"","family":"Poliquin","given":"Guillaume","non-dropping-particle":"","parse-names":false,"suffix":""}],"container-title":"Clinical Infectious Diseases","id":"ITEM-1","issue":"10","issued":{"date-parts":[["2020"]]},"page":"2663-2666","title":"Predicting Infectious Severe Acute Respiratory Syndrome Coronavirus 2 From Diagnostic Samples","type":"article-journal","volume":"71"},"uris":["http://www.mendeley.com/documents/?uuid=92df0ea9-b777-49f2-96b9-45bcac208f69"]},{"id":"ITEM-2","itemData":{"DOI":"10.1016/j.jinf.2020.06.067","ISSN":"01634453","abstract":"Summary Objectives To summarise the evidence on the detection pattern and viral load of SARS-CoV-2 over the course of an infection (including any asymptomatic or pre-symptomatic phase), and the duration of infectivity. Methods A systematic literature search was undertaken in PubMed, Europe PubMed Central and EMBASE from 30 December 2019 to 12 May 2020. Results We identified 113 studies conducted in 17 countries. The evidence from upper respiratory tract samples suggests that the viral load of SARS-CoV-2 peaks around symptom onset or a few days thereafter, and becomes undetectable about two weeks after symptom onset; however, viral loads from sputum samples may be higher, peak later and persist for longer. There is evidence of prolonged virus detection in stool samples, with unclear clinical significance. No study was found that definitively measured the duration of infectivity; however, patients may not be infectious for the entire duration of virus detection, as the presence of viral ribonucleic acid may not represent transmissible live virus. Conclusion There is a relatively consistent trajectory of SARS-CoV-2 viral load over the course of COVID-19 from respiratory tract samples, however the duration of infectivity remains uncertain.","author":[{"dropping-particle":"","family":"Walsh","given":"Kieran A.","non-dropping-particle":"","parse-names":false,"suffix":""},{"dropping-particle":"","family":"Jordan","given":"Karen","non-dropping-particle":"","parse-names":false,"suffix":""},{"dropping-particle":"","family":"Clyne","given":"Barbara","non-dropping-particle":"","parse-names":false,"suffix":""},{"dropping-particle":"","family":"Rohde","given":"Daniela","non-dropping-particle":"","parse-names":false,"suffix":""},{"dropping-particle":"","family":"Drummond","given":"Linda","non-dropping-particle":"","parse-names":false,"suffix":""},{"dropping-particle":"","family":"Byrne","given":"Paula","non-dropping-particle":"","parse-names":false,"suffix":""},{"dropping-particle":"","family":"Ahern","given":"Susan","non-dropping-particle":"","parse-names":false,"suffix":""},{"dropping-particle":"","family":"Carty","given":"Paul G.","non-dropping-particle":"","parse-names":false,"suffix":""},{"dropping-particle":"","family":"O'Brien","given":"Kirsty K.","non-dropping-particle":"","parse-names":false,"suffix":""},{"dropping-particle":"","family":"O'Murchu","given":"Eamon","non-dropping-particle":"","parse-names":false,"suffix":""},{"dropping-particle":"","family":"O'Neill","given":"Michelle","non-dropping-particle":"","parse-names":false,"suffix":""},{"dropping-particle":"","family":"Smith","given":"Susan M.","non-dropping-particle":"","parse-names":false,"suffix":""},{"dropping-particle":"","family":"Ryan","given":"Máirín","non-dropping-particle":"","parse-names":false,"suffix":""},{"dropping-particle":"","family":"Harrington","given":"Patricia","non-dropping-particle":"","parse-names":false,"suffix":""}],"container-title":"Journal of Infection","id":"ITEM-2","issue":"3","issued":{"date-parts":[["2020","9"]]},"page":"357-371","title":"SARS-CoV-2 detection, viral load and infectivity over the course of an infection","type":"article-journal","volume":"81"},"uris":["http://www.mendeley.com/documents/?uuid=9cb372c3-1987-4a74-a4db-dd1a497101d3"]},{"id":"ITEM-3","itemData":{"DOI":"10.1007/s10096-020-03913-9","ISBN":"1009602003913","ISSN":"14354373","PMID":"32342252","abstract":"In a preliminary clinical study, we observed that the combination of hydroxychloroquine and azithromycin was effective against SARS-CoV-2 by shortening the duration of viral load in Covid-19 patients. It is of paramount importance to define when a treated patient can be considered as no longer contagious. Correlation between successful isolation of virus in cell culture and Ct value of quantitative RT-PCR targeting E gene suggests that patients with Ct above 33–34 using our RT-PCR system are not contagious and thus can be discharged from hospital care or strict confinement for non-hospitalized patients.","author":[{"dropping-particle":"","family":"Scola","given":"Bernard","non-dropping-particle":"La","parse-names":false,"suffix":""},{"dropping-particle":"","family":"Bideau","given":"Marion","non-dropping-particle":"Le","parse-names":false,"suffix":""},{"dropping-particle":"","family":"Andreani","given":"Julien","non-dropping-particle":"","parse-names":false,"suffix":""},{"dropping-particle":"","family":"Hoang","given":"Van Thuan","non-dropping-particle":"","parse-names":false,"suffix":""},{"dropping-particle":"","family":"Grimaldier","given":"Clio","non-dropping-particle":"","parse-names":false,"suffix":""},{"dropping-particle":"","family":"Colson","given":"Philippe","non-dropping-particle":"","parse-names":false,"suffix":""},{"dropping-particle":"","family":"Gautret","given":"Philippe","non-dropping-particle":"","parse-names":false,"suffix":""},{"dropping-particle":"","family":"Raoult","given":"Didier","non-dropping-particle":"","parse-names":false,"suffix":""}],"container-title":"European Journal of Clinical Microbiology and Infectious Diseases","id":"ITEM-3","issue":"6","issued":{"date-parts":[["2020"]]},"page":"1059-1061","publisher":"European Journal of Clinical Microbiology &amp; Infectious Diseases","title":"Viral RNA load as determined by cell culture as a management tool for discharge of SARS-CoV-2 patients from infectious disease wards","type":"article-journal","volume":"39"},"uris":["http://www.mendeley.com/documents/?uuid=364a56cd-3231-4f69-b42a-dffddf30e993"]}],"mendeley":{"formattedCitation":"&lt;sup&gt;24–26&lt;/sup&gt;","plainTextFormattedCitation":"24–26","previouslyFormattedCitation":"&lt;sup&gt;24–26&lt;/sup&gt;"},"properties":{"noteIndex":0},"schema":"https://github.com/citation-style-language/schema/raw/master/csl-citation.json"}</w:instrText>
      </w:r>
      <w:r>
        <w:rPr>
          <w:sz w:val="24"/>
          <w:szCs w:val="24"/>
        </w:rPr>
        <w:fldChar w:fldCharType="separate"/>
      </w:r>
      <w:r w:rsidR="000829B8" w:rsidRPr="000829B8">
        <w:rPr>
          <w:noProof/>
          <w:sz w:val="24"/>
          <w:szCs w:val="24"/>
          <w:vertAlign w:val="superscript"/>
        </w:rPr>
        <w:t>24–26</w:t>
      </w:r>
      <w:r>
        <w:rPr>
          <w:sz w:val="24"/>
          <w:szCs w:val="24"/>
        </w:rPr>
        <w:fldChar w:fldCharType="end"/>
      </w:r>
      <w:r>
        <w:rPr>
          <w:sz w:val="24"/>
          <w:szCs w:val="24"/>
        </w:rPr>
        <w:t xml:space="preserve"> </w:t>
      </w:r>
      <w:r w:rsidR="009E7D74">
        <w:rPr>
          <w:sz w:val="24"/>
          <w:szCs w:val="24"/>
        </w:rPr>
        <w:t xml:space="preserve">For example, a patient who presents to hospital with a very high SARS-CoV-2 Ct value, may be judged in the right clinical circumstances to have </w:t>
      </w:r>
      <w:r w:rsidR="00150B51">
        <w:rPr>
          <w:sz w:val="24"/>
          <w:szCs w:val="24"/>
        </w:rPr>
        <w:t xml:space="preserve">resolving infection </w:t>
      </w:r>
      <w:r w:rsidR="009E7D74">
        <w:rPr>
          <w:sz w:val="24"/>
          <w:szCs w:val="24"/>
        </w:rPr>
        <w:t xml:space="preserve">and </w:t>
      </w:r>
      <w:r w:rsidR="00150B51">
        <w:rPr>
          <w:sz w:val="24"/>
          <w:szCs w:val="24"/>
        </w:rPr>
        <w:t xml:space="preserve">to </w:t>
      </w:r>
      <w:r w:rsidR="009E7D74">
        <w:rPr>
          <w:sz w:val="24"/>
          <w:szCs w:val="24"/>
        </w:rPr>
        <w:t xml:space="preserve">no longer </w:t>
      </w:r>
      <w:r w:rsidR="00150B51">
        <w:rPr>
          <w:sz w:val="24"/>
          <w:szCs w:val="24"/>
        </w:rPr>
        <w:t xml:space="preserve">represent a high risk of </w:t>
      </w:r>
      <w:r w:rsidR="009E7D74">
        <w:rPr>
          <w:sz w:val="24"/>
          <w:szCs w:val="24"/>
        </w:rPr>
        <w:t>infecti</w:t>
      </w:r>
      <w:r w:rsidR="00150B51">
        <w:rPr>
          <w:sz w:val="24"/>
          <w:szCs w:val="24"/>
        </w:rPr>
        <w:t>on to others</w:t>
      </w:r>
      <w:r w:rsidR="00455002">
        <w:rPr>
          <w:sz w:val="24"/>
          <w:szCs w:val="24"/>
        </w:rPr>
        <w:t xml:space="preserve">. </w:t>
      </w:r>
      <w:r>
        <w:rPr>
          <w:sz w:val="24"/>
          <w:szCs w:val="24"/>
        </w:rPr>
        <w:t xml:space="preserve">PCR-based point-of-care </w:t>
      </w:r>
      <w:r w:rsidRPr="00A75D88">
        <w:rPr>
          <w:sz w:val="24"/>
          <w:szCs w:val="24"/>
        </w:rPr>
        <w:t>testing</w:t>
      </w:r>
      <w:r>
        <w:rPr>
          <w:sz w:val="24"/>
          <w:szCs w:val="24"/>
        </w:rPr>
        <w:t xml:space="preserve"> (POCT)</w:t>
      </w:r>
      <w:r w:rsidRPr="00A75D88">
        <w:rPr>
          <w:sz w:val="24"/>
          <w:szCs w:val="24"/>
        </w:rPr>
        <w:t xml:space="preserve"> has already been shown to </w:t>
      </w:r>
      <w:r>
        <w:rPr>
          <w:sz w:val="24"/>
          <w:szCs w:val="24"/>
        </w:rPr>
        <w:t xml:space="preserve">improve infection control measures in hospitals </w:t>
      </w:r>
      <w:r w:rsidR="001D1B04">
        <w:rPr>
          <w:sz w:val="24"/>
          <w:szCs w:val="24"/>
        </w:rPr>
        <w:t xml:space="preserve">by </w:t>
      </w:r>
      <w:r>
        <w:rPr>
          <w:sz w:val="24"/>
          <w:szCs w:val="24"/>
        </w:rPr>
        <w:t>reducing the number of bed moves and improving</w:t>
      </w:r>
      <w:r w:rsidRPr="00A75D88">
        <w:rPr>
          <w:sz w:val="24"/>
          <w:szCs w:val="24"/>
        </w:rPr>
        <w:t xml:space="preserve"> time to arrival in </w:t>
      </w:r>
      <w:r w:rsidR="001D1B04">
        <w:rPr>
          <w:sz w:val="24"/>
          <w:szCs w:val="24"/>
        </w:rPr>
        <w:t xml:space="preserve">definitive </w:t>
      </w:r>
      <w:r w:rsidRPr="00A75D88">
        <w:rPr>
          <w:sz w:val="24"/>
          <w:szCs w:val="24"/>
        </w:rPr>
        <w:t xml:space="preserve">SARS-CoV-2 </w:t>
      </w:r>
      <w:r w:rsidR="001D1B04">
        <w:rPr>
          <w:sz w:val="24"/>
          <w:szCs w:val="24"/>
        </w:rPr>
        <w:t xml:space="preserve">positive or negative </w:t>
      </w:r>
      <w:r w:rsidRPr="00A75D88">
        <w:rPr>
          <w:sz w:val="24"/>
          <w:szCs w:val="24"/>
        </w:rPr>
        <w:t>areas</w:t>
      </w:r>
      <w:r w:rsidR="00A33CDA">
        <w:rPr>
          <w:sz w:val="24"/>
          <w:szCs w:val="24"/>
        </w:rPr>
        <w:t>.</w:t>
      </w:r>
      <w:r w:rsidRPr="00A75D88">
        <w:rPr>
          <w:sz w:val="24"/>
          <w:szCs w:val="24"/>
        </w:rPr>
        <w:fldChar w:fldCharType="begin" w:fldLock="1"/>
      </w:r>
      <w:r w:rsidR="000829B8">
        <w:rPr>
          <w:sz w:val="24"/>
          <w:szCs w:val="24"/>
        </w:rPr>
        <w:instrText>ADDIN CSL_CITATION {"citationItems":[{"id":"ITEM-1","itemData":{"DOI":"10.1016/S2213-2600(20)30454-9","ISSN":"22132619","PMID":"33038974","abstract":"Background: The management of the COVID-19 pandemic is hampered by long delays associated with centralised laboratory PCR testing. In hospitals, these delays lead to poor patient flow and nosocomial transmission. Rapid, accurate tests are therefore urgently needed in preparation for the next wave of the pandemic. Methods: We did a prospective, interventional, non-randomised, controlled study of molecular point-of-care testing in patients aged 18 years or older presenting with suspected COVID-19 to the emergency department or other acute areas of Southampton General Hospital during the first wave of the pandemic in the UK. Nose and throat swab samples taken at admission from patients in the point-of-care testing group were tested with the QIAstat-Dx Respiratory SARS-CoV-2 Panel. Samples taken from patients in a contemporaneous control group were tested by laboratory PCR. The primary outcome was time to results in the full cohort. This study is registered with ISRCTN (ISRCTN14966673) and is completed. Findings: Between March 20 and April 29, 2020, 517 patients were assessed for eligibility, of whom 499 were recruited to the point-of-care testing group and tested by the QIAstat-Dx Respiratory SARS-CoV-2 Panel. 555 contemporaneously identified patients were included in the control group and tested by laboratory PCR. The two groups were similar with regard to the distribution of sex, age, and ethnicity. 197 (39%) patients in the point-of-care testing group and 155 (28%) in the control group tested positive for COVID-19 (difference 11·5% [95% CI 5·8–17·2], p=0·0001). Median time to results was 1·7 h (IQR 1·6–1·9) in the point-of-care testing group and 21·3 h (16·0–27·9) in the control group (difference 19·6 h [19·0–20·3], p&lt;0·0001). A Cox proportional hazards regression model controlling for age, sex, time of presentation, and severity of illness also showed that time to results was significantly shorter in the point-of-care testing group than in the control group (hazard ratio 4023 [95% CI 545–29 696], p&lt;0·0001). Interpretation: Point-of-care testing is associated with large reductions in time to results and could lead to improvements in infection control measures and patient flow compared with centralised laboratory PCR testing. Funding: University Hospitals Southampton NHS Foundation Trust.","author":[{"dropping-particle":"","family":"Brendish","given":"Nathan J.","non-dropping-particle":"","parse-names":false,"suffix":""},{"dropping-particle":"","family":"Poole","given":"Stephen","non-dropping-particle":"","parse-names":false,"suffix":""},{"dropping-particle":"V.","family":"Naidu","given":"Vasanth","non-dropping-particle":"","parse-names":false,"suffix":""},{"dropping-particle":"","family":"Mansbridge","given":"Christopher T.","non-dropping-particle":"","parse-names":false,"suffix":""},{"dropping-particle":"","family":"Norton","given":"Nicholas J.","non-dropping-particle":"","parse-names":false,"suffix":""},{"dropping-particle":"","family":"Wheeler","given":"Helen","non-dropping-particle":"","parse-names":false,"suffix":""},{"dropping-particle":"","family":"Presland","given":"Laura","non-dropping-particle":"","parse-names":false,"suffix":""},{"dropping-particle":"","family":"Kidd","given":"Stephen","non-dropping-particle":"","parse-names":false,"suffix":""},{"dropping-particle":"","family":"Cortes","given":"Nicholas J.","non-dropping-particle":"","parse-names":false,"suffix":""},{"dropping-particle":"","family":"Borca","given":"Florina","non-dropping-particle":"","parse-names":false,"suffix":""},{"dropping-particle":"","family":"Phan","given":"Hang","non-dropping-particle":"","parse-names":false,"suffix":""},{"dropping-particle":"","family":"Babbage","given":"Gavin","non-dropping-particle":"","parse-names":false,"suffix":""},{"dropping-particle":"","family":"Visseaux","given":"Benoit","non-dropping-particle":"","parse-names":false,"suffix":""},{"dropping-particle":"","family":"Ewings","given":"Sean","non-dropping-particle":"","parse-names":false,"suffix":""},{"dropping-particle":"","family":"Clark","given":"Tristan W.","non-dropping-particle":"","parse-names":false,"suffix":""}],"container-title":"The Lancet Respiratory Medicine","id":"ITEM-1","issue":"12","issued":{"date-parts":[["2020"]]},"page":"1192-1200","publisher":"Elsevier Ltd","title":"Clinical impact of molecular point-of-care testing for suspected COVID-19 in hospital (COV-19POC): a prospective, interventional, non-randomised, controlled study","type":"article-journal","volume":"8"},"uris":["http://www.mendeley.com/documents/?uuid=beab02b0-4e00-4954-a852-e1b07f8aa2cc"]}],"mendeley":{"formattedCitation":"&lt;sup&gt;16&lt;/sup&gt;","plainTextFormattedCitation":"16","previouslyFormattedCitation":"&lt;sup&gt;16&lt;/sup&gt;"},"properties":{"noteIndex":0},"schema":"https://github.com/citation-style-language/schema/raw/master/csl-citation.json"}</w:instrText>
      </w:r>
      <w:r w:rsidRPr="00A75D88">
        <w:rPr>
          <w:sz w:val="24"/>
          <w:szCs w:val="24"/>
        </w:rPr>
        <w:fldChar w:fldCharType="separate"/>
      </w:r>
      <w:r w:rsidR="00CC6532" w:rsidRPr="00CC6532">
        <w:rPr>
          <w:noProof/>
          <w:sz w:val="24"/>
          <w:szCs w:val="24"/>
          <w:vertAlign w:val="superscript"/>
        </w:rPr>
        <w:t>16</w:t>
      </w:r>
      <w:r w:rsidRPr="00A75D88">
        <w:rPr>
          <w:sz w:val="24"/>
          <w:szCs w:val="24"/>
        </w:rPr>
        <w:fldChar w:fldCharType="end"/>
      </w:r>
      <w:r w:rsidRPr="00A75D88">
        <w:rPr>
          <w:sz w:val="24"/>
          <w:szCs w:val="24"/>
        </w:rPr>
        <w:t xml:space="preserve"> </w:t>
      </w:r>
    </w:p>
    <w:p w14:paraId="025D6DA3" w14:textId="77777777" w:rsidR="00391A54" w:rsidRPr="00A75D88" w:rsidRDefault="00391A54" w:rsidP="00391A54">
      <w:pPr>
        <w:spacing w:line="480" w:lineRule="auto"/>
        <w:jc w:val="both"/>
        <w:rPr>
          <w:sz w:val="24"/>
          <w:szCs w:val="24"/>
        </w:rPr>
      </w:pPr>
    </w:p>
    <w:p w14:paraId="5543C0BC" w14:textId="43A68C0B" w:rsidR="00391A54" w:rsidRDefault="00391A54" w:rsidP="00391A54">
      <w:pPr>
        <w:spacing w:after="0" w:line="480" w:lineRule="auto"/>
        <w:jc w:val="both"/>
        <w:rPr>
          <w:sz w:val="24"/>
          <w:szCs w:val="24"/>
        </w:rPr>
      </w:pPr>
      <w:r>
        <w:rPr>
          <w:sz w:val="24"/>
          <w:szCs w:val="24"/>
        </w:rPr>
        <w:t>Analysis of the subgroup</w:t>
      </w:r>
      <w:r w:rsidRPr="00A75D88">
        <w:rPr>
          <w:sz w:val="24"/>
          <w:szCs w:val="24"/>
        </w:rPr>
        <w:t xml:space="preserve"> of patients </w:t>
      </w:r>
      <w:r>
        <w:rPr>
          <w:sz w:val="24"/>
          <w:szCs w:val="24"/>
        </w:rPr>
        <w:t>who were tested for the presence of neutralising antibodies did not</w:t>
      </w:r>
      <w:r w:rsidRPr="00A75D88">
        <w:rPr>
          <w:sz w:val="24"/>
          <w:szCs w:val="24"/>
        </w:rPr>
        <w:t xml:space="preserve"> </w:t>
      </w:r>
      <w:r>
        <w:rPr>
          <w:sz w:val="24"/>
          <w:szCs w:val="24"/>
        </w:rPr>
        <w:t>demonstrate</w:t>
      </w:r>
      <w:r w:rsidRPr="00A75D88">
        <w:rPr>
          <w:sz w:val="24"/>
          <w:szCs w:val="24"/>
        </w:rPr>
        <w:t xml:space="preserve"> </w:t>
      </w:r>
      <w:r w:rsidR="001D1B04">
        <w:rPr>
          <w:sz w:val="24"/>
          <w:szCs w:val="24"/>
        </w:rPr>
        <w:t xml:space="preserve">a </w:t>
      </w:r>
      <w:r w:rsidRPr="00A75D88">
        <w:rPr>
          <w:sz w:val="24"/>
          <w:szCs w:val="24"/>
        </w:rPr>
        <w:t>sig</w:t>
      </w:r>
      <w:r w:rsidR="001D1B04">
        <w:rPr>
          <w:sz w:val="24"/>
          <w:szCs w:val="24"/>
        </w:rPr>
        <w:t>nificant protective benefit against</w:t>
      </w:r>
      <w:r w:rsidRPr="00A75D88">
        <w:rPr>
          <w:sz w:val="24"/>
          <w:szCs w:val="24"/>
        </w:rPr>
        <w:t xml:space="preserve"> mortality</w:t>
      </w:r>
      <w:r w:rsidR="001D1B04">
        <w:rPr>
          <w:sz w:val="24"/>
          <w:szCs w:val="24"/>
        </w:rPr>
        <w:t xml:space="preserve"> in those with detectable </w:t>
      </w:r>
      <w:r>
        <w:rPr>
          <w:sz w:val="24"/>
          <w:szCs w:val="24"/>
        </w:rPr>
        <w:t>antibodies at presentation</w:t>
      </w:r>
      <w:r w:rsidRPr="00A75D88">
        <w:rPr>
          <w:sz w:val="24"/>
          <w:szCs w:val="24"/>
        </w:rPr>
        <w:t>.</w:t>
      </w:r>
      <w:r>
        <w:rPr>
          <w:sz w:val="24"/>
          <w:szCs w:val="24"/>
        </w:rPr>
        <w:t xml:space="preserve"> This is consistent with the results of a </w:t>
      </w:r>
      <w:r w:rsidRPr="00A75D88">
        <w:rPr>
          <w:sz w:val="24"/>
          <w:szCs w:val="24"/>
        </w:rPr>
        <w:t xml:space="preserve">previous study </w:t>
      </w:r>
      <w:r>
        <w:rPr>
          <w:sz w:val="24"/>
          <w:szCs w:val="24"/>
        </w:rPr>
        <w:t xml:space="preserve">evaluating </w:t>
      </w:r>
      <w:r w:rsidRPr="00A75D88">
        <w:rPr>
          <w:sz w:val="24"/>
          <w:szCs w:val="24"/>
        </w:rPr>
        <w:t xml:space="preserve">antibody </w:t>
      </w:r>
      <w:proofErr w:type="spellStart"/>
      <w:r>
        <w:rPr>
          <w:sz w:val="24"/>
          <w:szCs w:val="24"/>
        </w:rPr>
        <w:t>sero</w:t>
      </w:r>
      <w:proofErr w:type="spellEnd"/>
      <w:r>
        <w:rPr>
          <w:sz w:val="24"/>
          <w:szCs w:val="24"/>
        </w:rPr>
        <w:t>-</w:t>
      </w:r>
      <w:r w:rsidRPr="00A75D88">
        <w:rPr>
          <w:sz w:val="24"/>
          <w:szCs w:val="24"/>
        </w:rPr>
        <w:t>status, viral load and 30 day mortality</w:t>
      </w:r>
      <w:r w:rsidR="00A33CDA">
        <w:rPr>
          <w:sz w:val="24"/>
          <w:szCs w:val="24"/>
        </w:rPr>
        <w:t>.</w:t>
      </w:r>
      <w:r w:rsidRPr="00A75D88">
        <w:rPr>
          <w:sz w:val="24"/>
          <w:szCs w:val="24"/>
        </w:rPr>
        <w:fldChar w:fldCharType="begin" w:fldLock="1"/>
      </w:r>
      <w:r w:rsidR="00B01895">
        <w:rPr>
          <w:sz w:val="24"/>
          <w:szCs w:val="24"/>
        </w:rPr>
        <w:instrText>ADDIN CSL_CITATION {"citationItems":[{"id":"ITEM-1","itemData":{"DOI":"10.1093/ofid/ofaa535","ISSN":"2328-8957","abstract":"Severe acute respiratory syndrome coronavirus 2 (SARS-CoV-2) viral load on admission was associated with a significantly increased 30-day mortality (odds ratio [OR], 4.20; 95% CI, 1.62–10.86), and anti-SARS-CoV-2 nucleocapisid IgG seropositivity on admission trended toward a reduced 30-day mortality (OR, 0.43; 95% CI, 0.15–1.26). Reporting of quantitative SARS-CoV-2 viral load and serologic assays may offer prognostic clinical information.","author":[{"dropping-particle":"","family":"Bryan","given":"Andrew","non-dropping-particle":"","parse-names":false,"suffix":""},{"dropping-particle":"","family":"Fink","given":"Susan L","non-dropping-particle":"","parse-names":false,"suffix":""},{"dropping-particle":"","family":"Gattuso","given":"Meghan A","non-dropping-particle":"","parse-names":false,"suffix":""},{"dropping-particle":"","family":"Pepper","given":"Gregory","non-dropping-particle":"","parse-names":false,"suffix":""},{"dropping-particle":"","family":"Chaudhary","given":"Anu","non-dropping-particle":"","parse-names":false,"suffix":""},{"dropping-particle":"","family":"Wener","given":"Mark H","non-dropping-particle":"","parse-names":false,"suffix":""},{"dropping-particle":"","family":"Morishima","given":"Chihiro","non-dropping-particle":"","parse-names":false,"suffix":""},{"dropping-particle":"","family":"Jerome","given":"Keith R","non-dropping-particle":"","parse-names":false,"suffix":""},{"dropping-particle":"","family":"Mathias","given":"Patrick C","non-dropping-particle":"","parse-names":false,"suffix":""},{"dropping-particle":"","family":"Greninger","given":"Alexander L","non-dropping-particle":"","parse-names":false,"suffix":""}],"container-title":"Open Forum Infectious Diseases","id":"ITEM-1","issue":"12","issued":{"date-parts":[["2020"]]},"page":"1-5","title":"SARS-CoV-2 Viral Load on Admission Is Associated With 30-Day Mortality","type":"article-journal","volume":"7"},"uris":["http://www.mendeley.com/documents/?uuid=53c729be-ad2a-4409-ba46-893cee5ac052"]}],"mendeley":{"formattedCitation":"&lt;sup&gt;27&lt;/sup&gt;","plainTextFormattedCitation":"27","previouslyFormattedCitation":"&lt;sup&gt;27&lt;/sup&gt;"},"properties":{"noteIndex":0},"schema":"https://github.com/citation-style-language/schema/raw/master/csl-citation.json"}</w:instrText>
      </w:r>
      <w:r w:rsidRPr="00A75D88">
        <w:rPr>
          <w:sz w:val="24"/>
          <w:szCs w:val="24"/>
        </w:rPr>
        <w:fldChar w:fldCharType="separate"/>
      </w:r>
      <w:r w:rsidR="000829B8" w:rsidRPr="000829B8">
        <w:rPr>
          <w:noProof/>
          <w:sz w:val="24"/>
          <w:szCs w:val="24"/>
          <w:vertAlign w:val="superscript"/>
        </w:rPr>
        <w:t>27</w:t>
      </w:r>
      <w:r w:rsidRPr="00A75D88">
        <w:rPr>
          <w:sz w:val="24"/>
          <w:szCs w:val="24"/>
        </w:rPr>
        <w:fldChar w:fldCharType="end"/>
      </w:r>
      <w:r w:rsidRPr="00A75D88">
        <w:rPr>
          <w:sz w:val="24"/>
          <w:szCs w:val="24"/>
        </w:rPr>
        <w:t xml:space="preserve"> </w:t>
      </w:r>
      <w:r>
        <w:rPr>
          <w:sz w:val="24"/>
          <w:szCs w:val="24"/>
        </w:rPr>
        <w:t xml:space="preserve">This suggests that the measurement of neutralising antibodies at presentation to hospital is not helpful for prognostication. </w:t>
      </w:r>
    </w:p>
    <w:p w14:paraId="2345C0D2" w14:textId="77777777" w:rsidR="00391A54" w:rsidRDefault="00391A54" w:rsidP="00391A54">
      <w:pPr>
        <w:spacing w:after="0" w:line="480" w:lineRule="auto"/>
        <w:jc w:val="both"/>
        <w:rPr>
          <w:sz w:val="24"/>
          <w:szCs w:val="24"/>
        </w:rPr>
      </w:pPr>
    </w:p>
    <w:p w14:paraId="4602FE92" w14:textId="09B68F09" w:rsidR="00391A54" w:rsidRDefault="00391A54" w:rsidP="00391A54">
      <w:pPr>
        <w:spacing w:after="0" w:line="480" w:lineRule="auto"/>
        <w:jc w:val="both"/>
        <w:rPr>
          <w:sz w:val="24"/>
          <w:szCs w:val="24"/>
        </w:rPr>
      </w:pPr>
      <w:r w:rsidRPr="00A75D88">
        <w:rPr>
          <w:sz w:val="24"/>
          <w:szCs w:val="24"/>
        </w:rPr>
        <w:lastRenderedPageBreak/>
        <w:t xml:space="preserve">The strengths of this study include the robust statistical methodology, which </w:t>
      </w:r>
      <w:r w:rsidR="001D1B04">
        <w:rPr>
          <w:sz w:val="24"/>
          <w:szCs w:val="24"/>
        </w:rPr>
        <w:t xml:space="preserve">comprehensively </w:t>
      </w:r>
      <w:r w:rsidRPr="00A75D88">
        <w:rPr>
          <w:sz w:val="24"/>
          <w:szCs w:val="24"/>
        </w:rPr>
        <w:t>adjusted for known variables associated with SARS-CoV-2</w:t>
      </w:r>
      <w:r w:rsidR="001D1B04">
        <w:rPr>
          <w:sz w:val="24"/>
          <w:szCs w:val="24"/>
        </w:rPr>
        <w:t xml:space="preserve"> viral load and clinical outcome</w:t>
      </w:r>
      <w:r w:rsidRPr="00A75D88">
        <w:rPr>
          <w:sz w:val="24"/>
          <w:szCs w:val="24"/>
        </w:rPr>
        <w:t>. The h</w:t>
      </w:r>
      <w:r>
        <w:rPr>
          <w:sz w:val="24"/>
          <w:szCs w:val="24"/>
        </w:rPr>
        <w:t xml:space="preserve">eterogeneity of individuals in our study </w:t>
      </w:r>
      <w:r w:rsidRPr="00A75D88">
        <w:rPr>
          <w:sz w:val="24"/>
          <w:szCs w:val="24"/>
        </w:rPr>
        <w:t xml:space="preserve">allows the results to be widely generalisable to other acute hospitals, due to patients </w:t>
      </w:r>
      <w:r>
        <w:rPr>
          <w:sz w:val="24"/>
          <w:szCs w:val="24"/>
        </w:rPr>
        <w:t xml:space="preserve">presenting with a wide spectrum of COVID-19 illness severity and duration. </w:t>
      </w:r>
      <w:r w:rsidRPr="00A75D88">
        <w:rPr>
          <w:sz w:val="24"/>
          <w:szCs w:val="24"/>
        </w:rPr>
        <w:t>To our knowledge, we</w:t>
      </w:r>
      <w:r>
        <w:rPr>
          <w:sz w:val="24"/>
          <w:szCs w:val="24"/>
        </w:rPr>
        <w:t xml:space="preserve"> are the first study to adjust for neutralising </w:t>
      </w:r>
      <w:r w:rsidRPr="00A75D88">
        <w:rPr>
          <w:sz w:val="24"/>
          <w:szCs w:val="24"/>
        </w:rPr>
        <w:t xml:space="preserve">antibody </w:t>
      </w:r>
      <w:r>
        <w:rPr>
          <w:sz w:val="24"/>
          <w:szCs w:val="24"/>
        </w:rPr>
        <w:t>sero</w:t>
      </w:r>
      <w:r w:rsidR="00BF0802">
        <w:rPr>
          <w:sz w:val="24"/>
          <w:szCs w:val="24"/>
        </w:rPr>
        <w:t xml:space="preserve">logical </w:t>
      </w:r>
      <w:r>
        <w:rPr>
          <w:sz w:val="24"/>
          <w:szCs w:val="24"/>
        </w:rPr>
        <w:t xml:space="preserve">status when evaluating the association between viral load </w:t>
      </w:r>
      <w:r w:rsidRPr="00A75D88">
        <w:rPr>
          <w:sz w:val="24"/>
          <w:szCs w:val="24"/>
        </w:rPr>
        <w:t xml:space="preserve">at admission and </w:t>
      </w:r>
      <w:r>
        <w:rPr>
          <w:sz w:val="24"/>
          <w:szCs w:val="24"/>
        </w:rPr>
        <w:t>clinical outcome</w:t>
      </w:r>
      <w:r w:rsidRPr="00A75D88">
        <w:rPr>
          <w:sz w:val="24"/>
          <w:szCs w:val="24"/>
        </w:rPr>
        <w:t xml:space="preserve">. The limitations </w:t>
      </w:r>
      <w:r>
        <w:rPr>
          <w:sz w:val="24"/>
          <w:szCs w:val="24"/>
        </w:rPr>
        <w:t xml:space="preserve">of our study </w:t>
      </w:r>
      <w:r w:rsidRPr="00A75D88">
        <w:rPr>
          <w:sz w:val="24"/>
          <w:szCs w:val="24"/>
        </w:rPr>
        <w:t>include</w:t>
      </w:r>
      <w:r w:rsidR="00EC50BB">
        <w:rPr>
          <w:sz w:val="24"/>
          <w:szCs w:val="24"/>
        </w:rPr>
        <w:t>:</w:t>
      </w:r>
      <w:r w:rsidRPr="00A75D88">
        <w:rPr>
          <w:sz w:val="24"/>
          <w:szCs w:val="24"/>
        </w:rPr>
        <w:t xml:space="preserve"> the </w:t>
      </w:r>
      <w:r>
        <w:rPr>
          <w:sz w:val="24"/>
          <w:szCs w:val="24"/>
        </w:rPr>
        <w:t xml:space="preserve">relatively </w:t>
      </w:r>
      <w:r w:rsidR="001D1B04">
        <w:rPr>
          <w:sz w:val="24"/>
          <w:szCs w:val="24"/>
        </w:rPr>
        <w:t xml:space="preserve">small </w:t>
      </w:r>
      <w:r w:rsidRPr="00A75D88">
        <w:rPr>
          <w:sz w:val="24"/>
          <w:szCs w:val="24"/>
        </w:rPr>
        <w:t xml:space="preserve">sample size </w:t>
      </w:r>
      <w:r>
        <w:rPr>
          <w:sz w:val="24"/>
          <w:szCs w:val="24"/>
        </w:rPr>
        <w:t>in the antibody subgroup</w:t>
      </w:r>
      <w:r w:rsidR="0077538F">
        <w:rPr>
          <w:sz w:val="24"/>
          <w:szCs w:val="24"/>
        </w:rPr>
        <w:t xml:space="preserve"> which </w:t>
      </w:r>
      <w:r w:rsidR="00ED152B">
        <w:rPr>
          <w:sz w:val="24"/>
          <w:szCs w:val="24"/>
        </w:rPr>
        <w:t xml:space="preserve">may explain </w:t>
      </w:r>
      <w:r w:rsidR="0077538F">
        <w:rPr>
          <w:sz w:val="24"/>
          <w:szCs w:val="24"/>
        </w:rPr>
        <w:t>the non-</w:t>
      </w:r>
      <w:r w:rsidR="00E819BC">
        <w:rPr>
          <w:sz w:val="24"/>
          <w:szCs w:val="24"/>
        </w:rPr>
        <w:t>significant</w:t>
      </w:r>
      <w:r w:rsidR="0077538F">
        <w:rPr>
          <w:sz w:val="24"/>
          <w:szCs w:val="24"/>
        </w:rPr>
        <w:t xml:space="preserve"> association between Ct value and outcome</w:t>
      </w:r>
      <w:r w:rsidR="00B01895">
        <w:rPr>
          <w:sz w:val="24"/>
          <w:szCs w:val="24"/>
        </w:rPr>
        <w:fldChar w:fldCharType="begin" w:fldLock="1"/>
      </w:r>
      <w:r w:rsidR="00B01895">
        <w:rPr>
          <w:sz w:val="24"/>
          <w:szCs w:val="24"/>
        </w:rPr>
        <w:instrText>ADDIN CSL_CITATION {"citationItems":[{"id":"ITEM-1","itemData":{"DOI":"10.1080/01621459.1977.10479969","ISSN":"0162-1459","author":[{"dropping-particle":"","family":"Hauck","given":"Walter W.","non-dropping-particle":"","parse-names":false,"suffix":""},{"dropping-particle":"","family":"Donner","given":"Allan","non-dropping-particle":"","parse-names":false,"suffix":""}],"container-title":"Journal of the American Statistical Association","id":"ITEM-1","issue":"360a","issued":{"date-parts":[["1977","12"]]},"page":"851-853","title":"Wald's Test as Applied to Hypotheses in Logit Analysis","type":"article-journal","volume":"72"},"uris":["http://www.mendeley.com/documents/?uuid=d02e0244-1765-4ede-986d-c3e9a487a231"]}],"mendeley":{"formattedCitation":"&lt;sup&gt;28&lt;/sup&gt;","plainTextFormattedCitation":"28"},"properties":{"noteIndex":0},"schema":"https://github.com/citation-style-language/schema/raw/master/csl-citation.json"}</w:instrText>
      </w:r>
      <w:r w:rsidR="00B01895">
        <w:rPr>
          <w:sz w:val="24"/>
          <w:szCs w:val="24"/>
        </w:rPr>
        <w:fldChar w:fldCharType="separate"/>
      </w:r>
      <w:r w:rsidR="00B01895" w:rsidRPr="00B01895">
        <w:rPr>
          <w:noProof/>
          <w:sz w:val="24"/>
          <w:szCs w:val="24"/>
          <w:vertAlign w:val="superscript"/>
        </w:rPr>
        <w:t>28</w:t>
      </w:r>
      <w:r w:rsidR="00B01895">
        <w:rPr>
          <w:sz w:val="24"/>
          <w:szCs w:val="24"/>
        </w:rPr>
        <w:fldChar w:fldCharType="end"/>
      </w:r>
      <w:r w:rsidR="007F0F13">
        <w:rPr>
          <w:sz w:val="24"/>
          <w:szCs w:val="24"/>
        </w:rPr>
        <w:t xml:space="preserve"> and</w:t>
      </w:r>
      <w:r w:rsidR="00B77457">
        <w:rPr>
          <w:sz w:val="24"/>
          <w:szCs w:val="24"/>
        </w:rPr>
        <w:t xml:space="preserve"> </w:t>
      </w:r>
      <w:r w:rsidR="00EC50BB">
        <w:rPr>
          <w:sz w:val="24"/>
          <w:szCs w:val="24"/>
        </w:rPr>
        <w:t>b</w:t>
      </w:r>
      <w:r w:rsidRPr="00A75D88">
        <w:rPr>
          <w:sz w:val="24"/>
          <w:szCs w:val="24"/>
        </w:rPr>
        <w:t>eing a single centre study</w:t>
      </w:r>
      <w:r w:rsidR="007842D3">
        <w:rPr>
          <w:sz w:val="24"/>
          <w:szCs w:val="24"/>
        </w:rPr>
        <w:t xml:space="preserve">, </w:t>
      </w:r>
      <w:r>
        <w:rPr>
          <w:sz w:val="24"/>
          <w:szCs w:val="24"/>
        </w:rPr>
        <w:t>In addition,</w:t>
      </w:r>
      <w:r w:rsidRPr="00A75D88">
        <w:rPr>
          <w:sz w:val="24"/>
          <w:szCs w:val="24"/>
        </w:rPr>
        <w:t xml:space="preserve"> this study</w:t>
      </w:r>
      <w:r w:rsidR="001D1B04">
        <w:rPr>
          <w:sz w:val="24"/>
          <w:szCs w:val="24"/>
        </w:rPr>
        <w:t xml:space="preserve"> </w:t>
      </w:r>
      <w:r w:rsidRPr="00A75D88">
        <w:rPr>
          <w:sz w:val="24"/>
          <w:szCs w:val="24"/>
        </w:rPr>
        <w:t xml:space="preserve">was performed during the first wave of COVID-19 pandemic before </w:t>
      </w:r>
      <w:r w:rsidR="00ED152B">
        <w:rPr>
          <w:sz w:val="24"/>
          <w:szCs w:val="24"/>
        </w:rPr>
        <w:t xml:space="preserve">antiviral and </w:t>
      </w:r>
      <w:r w:rsidR="001D1B04">
        <w:rPr>
          <w:sz w:val="24"/>
          <w:szCs w:val="24"/>
        </w:rPr>
        <w:t xml:space="preserve">immunomodulatory </w:t>
      </w:r>
      <w:r>
        <w:rPr>
          <w:sz w:val="24"/>
          <w:szCs w:val="24"/>
        </w:rPr>
        <w:t xml:space="preserve">therapies were approved </w:t>
      </w:r>
      <w:r w:rsidRPr="00A75D88">
        <w:rPr>
          <w:sz w:val="24"/>
          <w:szCs w:val="24"/>
        </w:rPr>
        <w:t xml:space="preserve">for use, which may now influence outcomes and </w:t>
      </w:r>
      <w:r>
        <w:rPr>
          <w:sz w:val="24"/>
          <w:szCs w:val="24"/>
        </w:rPr>
        <w:t xml:space="preserve">potentially, viral load. </w:t>
      </w:r>
      <w:r w:rsidR="00333A39">
        <w:rPr>
          <w:sz w:val="24"/>
          <w:szCs w:val="24"/>
        </w:rPr>
        <w:t>Some patients were entered into COVID-19 therapeutics trials, but we do not know what each patient received.</w:t>
      </w:r>
      <w:r w:rsidR="004D465E">
        <w:rPr>
          <w:sz w:val="24"/>
          <w:szCs w:val="24"/>
        </w:rPr>
        <w:t xml:space="preserve"> We acknowledge that SARS-CoV-2 Ct values are an aid to clinical decision making, and do not replace clinical judgement</w:t>
      </w:r>
      <w:r w:rsidR="007F0F13" w:rsidRPr="007F0F13">
        <w:t xml:space="preserve"> </w:t>
      </w:r>
      <w:proofErr w:type="gramStart"/>
      <w:r w:rsidR="007F0F13" w:rsidRPr="007F0F13">
        <w:rPr>
          <w:sz w:val="24"/>
          <w:szCs w:val="24"/>
        </w:rPr>
        <w:t xml:space="preserve">and </w:t>
      </w:r>
      <w:r w:rsidR="007F0F13">
        <w:rPr>
          <w:sz w:val="24"/>
          <w:szCs w:val="24"/>
        </w:rPr>
        <w:t>also</w:t>
      </w:r>
      <w:proofErr w:type="gramEnd"/>
      <w:r w:rsidR="007F0F13">
        <w:rPr>
          <w:sz w:val="24"/>
          <w:szCs w:val="24"/>
        </w:rPr>
        <w:t xml:space="preserve"> </w:t>
      </w:r>
      <w:r w:rsidR="007F0F13" w:rsidRPr="007F0F13">
        <w:rPr>
          <w:sz w:val="24"/>
          <w:szCs w:val="24"/>
        </w:rPr>
        <w:t>that Ct values do not represent a consistent quantity of virus across different PCR assays and gene targets.</w:t>
      </w:r>
      <w:r w:rsidR="00494150">
        <w:rPr>
          <w:sz w:val="24"/>
          <w:szCs w:val="24"/>
        </w:rPr>
        <w:t xml:space="preserve"> </w:t>
      </w:r>
      <w:r>
        <w:rPr>
          <w:sz w:val="24"/>
          <w:szCs w:val="24"/>
        </w:rPr>
        <w:t>Finally,</w:t>
      </w:r>
      <w:r w:rsidRPr="00A75D88">
        <w:rPr>
          <w:sz w:val="24"/>
          <w:szCs w:val="24"/>
        </w:rPr>
        <w:t xml:space="preserve"> this study was completed before the emergence of new variant SARS-CoV-2 strains</w:t>
      </w:r>
      <w:r>
        <w:rPr>
          <w:sz w:val="24"/>
          <w:szCs w:val="24"/>
        </w:rPr>
        <w:t xml:space="preserve"> and before</w:t>
      </w:r>
      <w:r w:rsidRPr="00A75D88">
        <w:rPr>
          <w:sz w:val="24"/>
          <w:szCs w:val="24"/>
        </w:rPr>
        <w:t xml:space="preserve"> vac</w:t>
      </w:r>
      <w:r w:rsidR="001D1B04">
        <w:rPr>
          <w:sz w:val="24"/>
          <w:szCs w:val="24"/>
        </w:rPr>
        <w:t>cination was widely introduced and</w:t>
      </w:r>
      <w:r>
        <w:rPr>
          <w:sz w:val="24"/>
          <w:szCs w:val="24"/>
        </w:rPr>
        <w:t xml:space="preserve"> it is uncertain what effects these factors may have on the relationship between vi</w:t>
      </w:r>
      <w:r w:rsidR="00F478CC">
        <w:rPr>
          <w:sz w:val="24"/>
          <w:szCs w:val="24"/>
        </w:rPr>
        <w:t>r</w:t>
      </w:r>
      <w:r>
        <w:rPr>
          <w:sz w:val="24"/>
          <w:szCs w:val="24"/>
        </w:rPr>
        <w:t xml:space="preserve">al load and outcome. </w:t>
      </w:r>
      <w:r w:rsidR="00150B51">
        <w:rPr>
          <w:sz w:val="24"/>
          <w:szCs w:val="24"/>
        </w:rPr>
        <w:t>Further studies should be undertaken to evaluate this.</w:t>
      </w:r>
    </w:p>
    <w:p w14:paraId="7BED0F69" w14:textId="77777777" w:rsidR="00391A54" w:rsidRPr="00A75D88" w:rsidRDefault="00391A54" w:rsidP="00391A54">
      <w:pPr>
        <w:spacing w:after="0" w:line="480" w:lineRule="auto"/>
        <w:jc w:val="both"/>
        <w:rPr>
          <w:sz w:val="24"/>
          <w:szCs w:val="24"/>
        </w:rPr>
      </w:pPr>
    </w:p>
    <w:p w14:paraId="6D8AFEA3" w14:textId="55198EB8" w:rsidR="002F238D" w:rsidRDefault="00391A54" w:rsidP="004C5E70">
      <w:pPr>
        <w:spacing w:after="0" w:line="480" w:lineRule="auto"/>
        <w:rPr>
          <w:sz w:val="24"/>
          <w:szCs w:val="24"/>
        </w:rPr>
      </w:pPr>
      <w:r>
        <w:rPr>
          <w:sz w:val="24"/>
          <w:szCs w:val="24"/>
        </w:rPr>
        <w:t xml:space="preserve">In conclusion </w:t>
      </w:r>
      <w:r w:rsidRPr="00A75D88">
        <w:rPr>
          <w:sz w:val="24"/>
          <w:szCs w:val="24"/>
        </w:rPr>
        <w:t xml:space="preserve">SARS-CoV-2 </w:t>
      </w:r>
      <w:r w:rsidR="00ED152B">
        <w:rPr>
          <w:sz w:val="24"/>
          <w:szCs w:val="24"/>
        </w:rPr>
        <w:t xml:space="preserve">viral load </w:t>
      </w:r>
      <w:r w:rsidRPr="00A75D88">
        <w:rPr>
          <w:sz w:val="24"/>
          <w:szCs w:val="24"/>
        </w:rPr>
        <w:t xml:space="preserve">measured at the point of hospitalisation was associated with the risk of death even after adjustment for age, duration of illness and neutralising antibody </w:t>
      </w:r>
      <w:proofErr w:type="spellStart"/>
      <w:r w:rsidRPr="00A75D88">
        <w:rPr>
          <w:sz w:val="24"/>
          <w:szCs w:val="24"/>
        </w:rPr>
        <w:t>sero</w:t>
      </w:r>
      <w:proofErr w:type="spellEnd"/>
      <w:r w:rsidRPr="00A75D88">
        <w:rPr>
          <w:sz w:val="24"/>
          <w:szCs w:val="24"/>
        </w:rPr>
        <w:t xml:space="preserve">-status. Measurement of </w:t>
      </w:r>
      <w:r w:rsidR="00A72E73">
        <w:rPr>
          <w:sz w:val="24"/>
          <w:szCs w:val="24"/>
        </w:rPr>
        <w:t>Ct value</w:t>
      </w:r>
      <w:r w:rsidRPr="00A75D88">
        <w:rPr>
          <w:sz w:val="24"/>
          <w:szCs w:val="24"/>
        </w:rPr>
        <w:t xml:space="preserve"> at admission may be useful for risk stratification. </w:t>
      </w:r>
    </w:p>
    <w:p w14:paraId="30C6A0E0" w14:textId="77777777" w:rsidR="002F238D" w:rsidRDefault="002F238D">
      <w:pPr>
        <w:rPr>
          <w:sz w:val="24"/>
          <w:szCs w:val="24"/>
        </w:rPr>
      </w:pPr>
      <w:r>
        <w:rPr>
          <w:sz w:val="24"/>
          <w:szCs w:val="24"/>
        </w:rPr>
        <w:br w:type="page"/>
      </w:r>
    </w:p>
    <w:p w14:paraId="6B7A52B5" w14:textId="1AF07CB6" w:rsidR="00391A54" w:rsidRPr="00A75D88" w:rsidRDefault="00391A54" w:rsidP="00391A54">
      <w:pPr>
        <w:spacing w:after="0" w:line="480" w:lineRule="auto"/>
        <w:jc w:val="both"/>
        <w:rPr>
          <w:b/>
          <w:sz w:val="24"/>
          <w:szCs w:val="24"/>
        </w:rPr>
      </w:pPr>
      <w:r w:rsidRPr="00A75D88">
        <w:rPr>
          <w:b/>
          <w:sz w:val="24"/>
          <w:szCs w:val="24"/>
        </w:rPr>
        <w:lastRenderedPageBreak/>
        <w:t>Declaration of competing interests</w:t>
      </w:r>
    </w:p>
    <w:p w14:paraId="4EC3D966" w14:textId="2BA55D94" w:rsidR="00391A54" w:rsidRPr="00A75D88" w:rsidRDefault="00391A54" w:rsidP="00391A54">
      <w:pPr>
        <w:spacing w:after="0" w:line="480" w:lineRule="auto"/>
        <w:jc w:val="both"/>
        <w:rPr>
          <w:sz w:val="24"/>
          <w:szCs w:val="24"/>
        </w:rPr>
      </w:pPr>
      <w:r w:rsidRPr="00A75D88">
        <w:rPr>
          <w:sz w:val="24"/>
          <w:szCs w:val="24"/>
        </w:rPr>
        <w:t xml:space="preserve">TWC has received speaker fees, honoraria, travel reimbursement, and equipment and consumables free of charge for the purposes of research outside of this submitted study, from BioFire diagnostics LLC and </w:t>
      </w:r>
      <w:proofErr w:type="spellStart"/>
      <w:r w:rsidRPr="00A75D88">
        <w:rPr>
          <w:sz w:val="24"/>
          <w:szCs w:val="24"/>
        </w:rPr>
        <w:t>BioMerieux</w:t>
      </w:r>
      <w:proofErr w:type="spellEnd"/>
      <w:r w:rsidRPr="00A75D88">
        <w:rPr>
          <w:sz w:val="24"/>
          <w:szCs w:val="24"/>
        </w:rPr>
        <w:t xml:space="preserve">. TWC has received consultancy fees from </w:t>
      </w:r>
      <w:proofErr w:type="spellStart"/>
      <w:r w:rsidRPr="00A75D88">
        <w:rPr>
          <w:sz w:val="24"/>
          <w:szCs w:val="24"/>
        </w:rPr>
        <w:t>Synairgen</w:t>
      </w:r>
      <w:proofErr w:type="spellEnd"/>
      <w:r w:rsidRPr="00A75D88">
        <w:rPr>
          <w:sz w:val="24"/>
          <w:szCs w:val="24"/>
        </w:rPr>
        <w:t xml:space="preserve"> research Ltd, </w:t>
      </w:r>
      <w:proofErr w:type="spellStart"/>
      <w:r w:rsidRPr="00A75D88">
        <w:rPr>
          <w:sz w:val="24"/>
          <w:szCs w:val="24"/>
        </w:rPr>
        <w:t>Randox</w:t>
      </w:r>
      <w:proofErr w:type="spellEnd"/>
      <w:r w:rsidRPr="00A75D88">
        <w:rPr>
          <w:sz w:val="24"/>
          <w:szCs w:val="24"/>
        </w:rPr>
        <w:t xml:space="preserve"> laboratories Ltd and </w:t>
      </w:r>
      <w:proofErr w:type="spellStart"/>
      <w:r w:rsidRPr="00A75D88">
        <w:rPr>
          <w:sz w:val="24"/>
          <w:szCs w:val="24"/>
        </w:rPr>
        <w:t>Cidara</w:t>
      </w:r>
      <w:proofErr w:type="spellEnd"/>
      <w:r w:rsidRPr="00A75D88">
        <w:rPr>
          <w:sz w:val="24"/>
          <w:szCs w:val="24"/>
        </w:rPr>
        <w:t xml:space="preserve"> therapeutics. He a member of an advisory board for Roche and a member of two independent data monitoring committees for trials sponsored by Roche. He has acted as the UK chief investigator for an IMP study sponsored by Janssen. </w:t>
      </w:r>
      <w:r w:rsidR="00A33CDA">
        <w:rPr>
          <w:sz w:val="24"/>
          <w:szCs w:val="24"/>
        </w:rPr>
        <w:t xml:space="preserve">KRB has received honoraria from </w:t>
      </w:r>
      <w:proofErr w:type="spellStart"/>
      <w:r w:rsidR="00A33CDA">
        <w:rPr>
          <w:sz w:val="24"/>
          <w:szCs w:val="24"/>
        </w:rPr>
        <w:t>Randox</w:t>
      </w:r>
      <w:proofErr w:type="spellEnd"/>
      <w:r w:rsidR="00A33CDA">
        <w:rPr>
          <w:sz w:val="24"/>
          <w:szCs w:val="24"/>
        </w:rPr>
        <w:t xml:space="preserve"> laboratories Ltd. </w:t>
      </w:r>
      <w:r w:rsidRPr="00A75D88">
        <w:rPr>
          <w:sz w:val="24"/>
          <w:szCs w:val="24"/>
        </w:rPr>
        <w:t xml:space="preserve">All other authors have no competing interests to declare. </w:t>
      </w:r>
    </w:p>
    <w:p w14:paraId="4A77EA68" w14:textId="77777777" w:rsidR="00391A54" w:rsidRPr="00A75D88" w:rsidRDefault="00391A54" w:rsidP="00391A54">
      <w:pPr>
        <w:spacing w:after="0" w:line="480" w:lineRule="auto"/>
        <w:jc w:val="both"/>
        <w:rPr>
          <w:sz w:val="24"/>
          <w:szCs w:val="24"/>
        </w:rPr>
      </w:pPr>
    </w:p>
    <w:p w14:paraId="75687524" w14:textId="77777777" w:rsidR="00391A54" w:rsidRPr="00A75D88" w:rsidRDefault="00391A54" w:rsidP="00391A54">
      <w:pPr>
        <w:spacing w:after="0" w:line="480" w:lineRule="auto"/>
        <w:jc w:val="both"/>
        <w:rPr>
          <w:b/>
          <w:sz w:val="24"/>
          <w:szCs w:val="24"/>
        </w:rPr>
      </w:pPr>
      <w:r w:rsidRPr="00A75D88">
        <w:rPr>
          <w:b/>
          <w:sz w:val="24"/>
          <w:szCs w:val="24"/>
        </w:rPr>
        <w:t>Author contributions</w:t>
      </w:r>
    </w:p>
    <w:p w14:paraId="4362CC5B" w14:textId="26727AF7" w:rsidR="00391A54" w:rsidRPr="00A75D88" w:rsidRDefault="004B3B40" w:rsidP="00391A54">
      <w:pPr>
        <w:spacing w:after="0" w:line="480" w:lineRule="auto"/>
        <w:jc w:val="both"/>
        <w:rPr>
          <w:sz w:val="24"/>
          <w:szCs w:val="24"/>
        </w:rPr>
      </w:pPr>
      <w:r>
        <w:rPr>
          <w:sz w:val="24"/>
          <w:szCs w:val="24"/>
        </w:rPr>
        <w:t xml:space="preserve">ART </w:t>
      </w:r>
      <w:r w:rsidR="00A33CDA">
        <w:rPr>
          <w:sz w:val="24"/>
          <w:szCs w:val="24"/>
        </w:rPr>
        <w:t>co-</w:t>
      </w:r>
      <w:r w:rsidR="001D1B04">
        <w:rPr>
          <w:sz w:val="24"/>
          <w:szCs w:val="24"/>
        </w:rPr>
        <w:t>conceived of the study,</w:t>
      </w:r>
      <w:r w:rsidR="001D1B04" w:rsidRPr="001D1B04">
        <w:rPr>
          <w:sz w:val="24"/>
          <w:szCs w:val="24"/>
        </w:rPr>
        <w:t xml:space="preserve"> </w:t>
      </w:r>
      <w:r w:rsidR="001D1B04">
        <w:rPr>
          <w:sz w:val="24"/>
          <w:szCs w:val="24"/>
        </w:rPr>
        <w:t xml:space="preserve">assisted in the </w:t>
      </w:r>
      <w:r>
        <w:rPr>
          <w:sz w:val="24"/>
          <w:szCs w:val="24"/>
        </w:rPr>
        <w:t xml:space="preserve">statistical analysis, curated the </w:t>
      </w:r>
      <w:proofErr w:type="gramStart"/>
      <w:r>
        <w:rPr>
          <w:sz w:val="24"/>
          <w:szCs w:val="24"/>
        </w:rPr>
        <w:t>data</w:t>
      </w:r>
      <w:proofErr w:type="gramEnd"/>
      <w:r>
        <w:rPr>
          <w:sz w:val="24"/>
          <w:szCs w:val="24"/>
        </w:rPr>
        <w:t xml:space="preserve"> and </w:t>
      </w:r>
      <w:r w:rsidR="00637ABB">
        <w:rPr>
          <w:sz w:val="24"/>
          <w:szCs w:val="24"/>
        </w:rPr>
        <w:t xml:space="preserve">drafted and </w:t>
      </w:r>
      <w:r w:rsidR="001D1B04">
        <w:rPr>
          <w:sz w:val="24"/>
          <w:szCs w:val="24"/>
        </w:rPr>
        <w:t>co-</w:t>
      </w:r>
      <w:r>
        <w:rPr>
          <w:sz w:val="24"/>
          <w:szCs w:val="24"/>
        </w:rPr>
        <w:t xml:space="preserve">wrote the manuscript. HP collected data and </w:t>
      </w:r>
      <w:r w:rsidR="001D1B04">
        <w:rPr>
          <w:sz w:val="24"/>
          <w:szCs w:val="24"/>
        </w:rPr>
        <w:t xml:space="preserve">performed the </w:t>
      </w:r>
      <w:r>
        <w:rPr>
          <w:sz w:val="24"/>
          <w:szCs w:val="24"/>
        </w:rPr>
        <w:t xml:space="preserve">statistical analysis and </w:t>
      </w:r>
      <w:r w:rsidR="00637ABB">
        <w:rPr>
          <w:sz w:val="24"/>
          <w:szCs w:val="24"/>
        </w:rPr>
        <w:t xml:space="preserve">drafted and </w:t>
      </w:r>
      <w:r w:rsidR="001D1B04">
        <w:rPr>
          <w:sz w:val="24"/>
          <w:szCs w:val="24"/>
        </w:rPr>
        <w:t>co-</w:t>
      </w:r>
      <w:r>
        <w:rPr>
          <w:sz w:val="24"/>
          <w:szCs w:val="24"/>
        </w:rPr>
        <w:t xml:space="preserve">wrote the manuscript. FB was responsible for data collection and management. </w:t>
      </w:r>
      <w:r w:rsidR="00A33CDA">
        <w:rPr>
          <w:sz w:val="24"/>
          <w:szCs w:val="24"/>
        </w:rPr>
        <w:t xml:space="preserve">NJB co-conceived the study, screened, and recruited patients, </w:t>
      </w:r>
      <w:proofErr w:type="gramStart"/>
      <w:r w:rsidR="00A33CDA">
        <w:rPr>
          <w:sz w:val="24"/>
          <w:szCs w:val="24"/>
        </w:rPr>
        <w:t>collected</w:t>
      </w:r>
      <w:proofErr w:type="gramEnd"/>
      <w:r w:rsidR="00A33CDA">
        <w:rPr>
          <w:sz w:val="24"/>
          <w:szCs w:val="24"/>
        </w:rPr>
        <w:t xml:space="preserve"> and collated data and assisted with drafting the manuscript. </w:t>
      </w:r>
      <w:r>
        <w:rPr>
          <w:sz w:val="24"/>
          <w:szCs w:val="24"/>
        </w:rPr>
        <w:t>SP</w:t>
      </w:r>
      <w:r w:rsidR="001D1B04">
        <w:rPr>
          <w:sz w:val="24"/>
          <w:szCs w:val="24"/>
        </w:rPr>
        <w:t xml:space="preserve"> </w:t>
      </w:r>
      <w:r>
        <w:rPr>
          <w:sz w:val="24"/>
          <w:szCs w:val="24"/>
        </w:rPr>
        <w:t xml:space="preserve">screened and recruited </w:t>
      </w:r>
      <w:r w:rsidR="001D1B04">
        <w:rPr>
          <w:sz w:val="24"/>
          <w:szCs w:val="24"/>
        </w:rPr>
        <w:t xml:space="preserve">patients, </w:t>
      </w:r>
      <w:proofErr w:type="gramStart"/>
      <w:r>
        <w:rPr>
          <w:sz w:val="24"/>
          <w:szCs w:val="24"/>
        </w:rPr>
        <w:t>collected</w:t>
      </w:r>
      <w:proofErr w:type="gramEnd"/>
      <w:r>
        <w:rPr>
          <w:sz w:val="24"/>
          <w:szCs w:val="24"/>
        </w:rPr>
        <w:t xml:space="preserve"> and collated data</w:t>
      </w:r>
      <w:r w:rsidR="001D1B04">
        <w:rPr>
          <w:sz w:val="24"/>
          <w:szCs w:val="24"/>
        </w:rPr>
        <w:t xml:space="preserve"> and assisted with drafting the manuscript</w:t>
      </w:r>
      <w:r>
        <w:rPr>
          <w:sz w:val="24"/>
          <w:szCs w:val="24"/>
        </w:rPr>
        <w:t xml:space="preserve">. </w:t>
      </w:r>
      <w:r w:rsidR="00637ABB">
        <w:rPr>
          <w:sz w:val="24"/>
          <w:szCs w:val="24"/>
        </w:rPr>
        <w:t xml:space="preserve">KRB reviewed and contributed to the drafting of the manuscript. </w:t>
      </w:r>
      <w:r>
        <w:rPr>
          <w:sz w:val="24"/>
          <w:szCs w:val="24"/>
        </w:rPr>
        <w:t xml:space="preserve">TWC reviewed the medical literature, </w:t>
      </w:r>
      <w:r w:rsidR="00637ABB">
        <w:rPr>
          <w:sz w:val="24"/>
          <w:szCs w:val="24"/>
        </w:rPr>
        <w:t>conceived,</w:t>
      </w:r>
      <w:r>
        <w:rPr>
          <w:sz w:val="24"/>
          <w:szCs w:val="24"/>
        </w:rPr>
        <w:t xml:space="preserve"> and designed the study</w:t>
      </w:r>
      <w:r w:rsidR="00637ABB">
        <w:rPr>
          <w:sz w:val="24"/>
          <w:szCs w:val="24"/>
        </w:rPr>
        <w:t xml:space="preserve"> and oversaw its completion, participated in the interpretation of data, and drafted and </w:t>
      </w:r>
      <w:r w:rsidR="001D1B04">
        <w:rPr>
          <w:sz w:val="24"/>
          <w:szCs w:val="24"/>
        </w:rPr>
        <w:t>co-</w:t>
      </w:r>
      <w:r w:rsidR="00637ABB">
        <w:rPr>
          <w:sz w:val="24"/>
          <w:szCs w:val="24"/>
        </w:rPr>
        <w:t>wrote the manuscript. All authors reviewed and contributed to the manuscript during its development.</w:t>
      </w:r>
    </w:p>
    <w:p w14:paraId="00F99D8B" w14:textId="77777777" w:rsidR="00B01895" w:rsidRDefault="00B01895" w:rsidP="00391A54">
      <w:pPr>
        <w:spacing w:after="0" w:line="480" w:lineRule="auto"/>
        <w:rPr>
          <w:sz w:val="24"/>
          <w:szCs w:val="24"/>
        </w:rPr>
      </w:pPr>
    </w:p>
    <w:p w14:paraId="1D2D7637" w14:textId="77777777" w:rsidR="00B01895" w:rsidRDefault="00B01895" w:rsidP="00391A54">
      <w:pPr>
        <w:spacing w:after="0" w:line="480" w:lineRule="auto"/>
        <w:rPr>
          <w:sz w:val="24"/>
          <w:szCs w:val="24"/>
        </w:rPr>
      </w:pPr>
    </w:p>
    <w:p w14:paraId="11CC550A" w14:textId="77777777" w:rsidR="00B01895" w:rsidRDefault="00B01895" w:rsidP="00391A54">
      <w:pPr>
        <w:spacing w:after="0" w:line="480" w:lineRule="auto"/>
        <w:rPr>
          <w:sz w:val="24"/>
          <w:szCs w:val="24"/>
        </w:rPr>
      </w:pPr>
    </w:p>
    <w:p w14:paraId="6F0E451B" w14:textId="741CD961" w:rsidR="00391A54" w:rsidRPr="00A75D88" w:rsidRDefault="00391A54" w:rsidP="00391A54">
      <w:pPr>
        <w:spacing w:after="0" w:line="480" w:lineRule="auto"/>
        <w:rPr>
          <w:b/>
          <w:sz w:val="24"/>
          <w:szCs w:val="24"/>
        </w:rPr>
      </w:pPr>
      <w:r w:rsidRPr="00A75D88">
        <w:rPr>
          <w:b/>
          <w:sz w:val="24"/>
          <w:szCs w:val="24"/>
        </w:rPr>
        <w:lastRenderedPageBreak/>
        <w:t>Funding</w:t>
      </w:r>
    </w:p>
    <w:p w14:paraId="57056AD9" w14:textId="77777777" w:rsidR="00A33CDA" w:rsidRDefault="00391A54" w:rsidP="00391A54">
      <w:pPr>
        <w:spacing w:after="0" w:line="480" w:lineRule="auto"/>
        <w:rPr>
          <w:sz w:val="24"/>
          <w:szCs w:val="24"/>
        </w:rPr>
      </w:pPr>
      <w:r w:rsidRPr="00A75D88">
        <w:rPr>
          <w:sz w:val="24"/>
          <w:szCs w:val="24"/>
        </w:rPr>
        <w:t>University Hospital Southampton NHS Foundation Trust.</w:t>
      </w:r>
    </w:p>
    <w:p w14:paraId="5A654F45" w14:textId="65A07069" w:rsidR="00391A54" w:rsidRPr="00A33CDA" w:rsidRDefault="00391A54" w:rsidP="00391A54">
      <w:pPr>
        <w:spacing w:after="0" w:line="480" w:lineRule="auto"/>
        <w:rPr>
          <w:sz w:val="24"/>
          <w:szCs w:val="24"/>
        </w:rPr>
      </w:pPr>
      <w:r w:rsidRPr="00A75D88">
        <w:rPr>
          <w:b/>
          <w:sz w:val="24"/>
          <w:szCs w:val="24"/>
        </w:rPr>
        <w:t>Acknowledgements</w:t>
      </w:r>
    </w:p>
    <w:p w14:paraId="20F4AC71" w14:textId="4F167988" w:rsidR="00A33CDA" w:rsidRPr="002F238D" w:rsidRDefault="00F8737B" w:rsidP="002F238D">
      <w:pPr>
        <w:spacing w:line="480" w:lineRule="auto"/>
        <w:jc w:val="both"/>
        <w:rPr>
          <w:sz w:val="24"/>
          <w:szCs w:val="24"/>
        </w:rPr>
      </w:pPr>
      <w:r w:rsidRPr="00F8737B">
        <w:rPr>
          <w:sz w:val="24"/>
          <w:szCs w:val="24"/>
        </w:rPr>
        <w:t xml:space="preserve">We would like to acknowledge and gives thanks to all the patients who kindly participated in this study and to all the clinical staff at University Hospital Southampton who cared for them. We would also like to acknowledge the NIHR Southampton Clinical Research Facility (CRF) laboratory, project and nursing teams; the UHSFT research nursing team; and the NIHR Southampton Biomedical Research Centre staff and project teams for their support in the set-up of this study. </w:t>
      </w:r>
      <w:r w:rsidR="00F362E1" w:rsidRPr="00F362E1">
        <w:rPr>
          <w:sz w:val="24"/>
          <w:szCs w:val="24"/>
        </w:rPr>
        <w:t>We thank Dr Ashley Banyard, Animal</w:t>
      </w:r>
      <w:r w:rsidR="00F362E1" w:rsidRPr="00AC3072">
        <w:rPr>
          <w:sz w:val="24"/>
          <w:szCs w:val="24"/>
        </w:rPr>
        <w:t xml:space="preserve"> and Plant Health Agency (APHA), Weybridge, Surrey, for his </w:t>
      </w:r>
      <w:r w:rsidR="00F362E1">
        <w:rPr>
          <w:sz w:val="24"/>
          <w:szCs w:val="24"/>
        </w:rPr>
        <w:t xml:space="preserve">teams work on the </w:t>
      </w:r>
      <w:r w:rsidR="00F362E1" w:rsidRPr="00F362E1">
        <w:rPr>
          <w:sz w:val="24"/>
          <w:szCs w:val="24"/>
        </w:rPr>
        <w:t xml:space="preserve">serological antibody measurement. </w:t>
      </w:r>
    </w:p>
    <w:p w14:paraId="6CB445F2" w14:textId="46FADCC8" w:rsidR="00391A54" w:rsidRPr="00A75D88" w:rsidRDefault="00391A54" w:rsidP="00391A54">
      <w:pPr>
        <w:rPr>
          <w:b/>
          <w:sz w:val="24"/>
          <w:szCs w:val="24"/>
        </w:rPr>
      </w:pPr>
      <w:r w:rsidRPr="00A75D88">
        <w:rPr>
          <w:b/>
          <w:sz w:val="24"/>
          <w:szCs w:val="24"/>
        </w:rPr>
        <w:t>Data sharing</w:t>
      </w:r>
    </w:p>
    <w:p w14:paraId="75D7A157" w14:textId="0E11C6C3" w:rsidR="00391A54" w:rsidRDefault="00391A54" w:rsidP="001D1B04">
      <w:pPr>
        <w:spacing w:line="480" w:lineRule="auto"/>
        <w:jc w:val="both"/>
        <w:rPr>
          <w:sz w:val="24"/>
          <w:szCs w:val="24"/>
        </w:rPr>
      </w:pPr>
      <w:r w:rsidRPr="00A75D88">
        <w:rPr>
          <w:sz w:val="24"/>
          <w:szCs w:val="24"/>
        </w:rPr>
        <w:t>Following publication of major outputs all anonymised data will be made available on request to the corresponding author for appropriate, ethically approved resea</w:t>
      </w:r>
      <w:r>
        <w:rPr>
          <w:sz w:val="24"/>
          <w:szCs w:val="24"/>
        </w:rPr>
        <w:t>rch.</w:t>
      </w:r>
      <w:r w:rsidR="00656A46">
        <w:rPr>
          <w:sz w:val="24"/>
          <w:szCs w:val="24"/>
        </w:rPr>
        <w:t xml:space="preserve"> </w:t>
      </w:r>
    </w:p>
    <w:p w14:paraId="1A83A26D" w14:textId="77777777" w:rsidR="00A33CDA" w:rsidRDefault="00A33CDA" w:rsidP="001D1B04">
      <w:pPr>
        <w:spacing w:line="480" w:lineRule="auto"/>
        <w:jc w:val="both"/>
        <w:rPr>
          <w:sz w:val="24"/>
          <w:szCs w:val="24"/>
        </w:rPr>
      </w:pPr>
    </w:p>
    <w:p w14:paraId="1500A415" w14:textId="10E41EF0" w:rsidR="00F362E1" w:rsidRDefault="00F362E1" w:rsidP="001D1B04">
      <w:pPr>
        <w:spacing w:line="480" w:lineRule="auto"/>
        <w:jc w:val="both"/>
        <w:rPr>
          <w:sz w:val="24"/>
          <w:szCs w:val="24"/>
        </w:rPr>
      </w:pPr>
      <w:r w:rsidRPr="00F362E1">
        <w:rPr>
          <w:sz w:val="24"/>
          <w:szCs w:val="24"/>
        </w:rPr>
        <w:t xml:space="preserve">This report is independent research supported by the National Institute for Health Research (NIHR Post Doctorial Fellowship, Dr Tristan Clark, PDF 2016-09-061). The views expressed in this publication are those of the author(s) and not necessarily those of the NHS, the National Institute for Health </w:t>
      </w:r>
      <w:proofErr w:type="gramStart"/>
      <w:r w:rsidRPr="00F362E1">
        <w:rPr>
          <w:sz w:val="24"/>
          <w:szCs w:val="24"/>
        </w:rPr>
        <w:t>Research</w:t>
      </w:r>
      <w:proofErr w:type="gramEnd"/>
      <w:r w:rsidRPr="00F362E1">
        <w:rPr>
          <w:sz w:val="24"/>
          <w:szCs w:val="24"/>
        </w:rPr>
        <w:t xml:space="preserve"> or the Department of Health.</w:t>
      </w:r>
    </w:p>
    <w:p w14:paraId="08247ED6" w14:textId="77777777" w:rsidR="00391A54" w:rsidRDefault="00391A54" w:rsidP="00391A54">
      <w:pPr>
        <w:spacing w:line="480" w:lineRule="auto"/>
        <w:rPr>
          <w:sz w:val="24"/>
          <w:szCs w:val="24"/>
        </w:rPr>
      </w:pPr>
      <w:r>
        <w:rPr>
          <w:sz w:val="24"/>
          <w:szCs w:val="24"/>
        </w:rPr>
        <w:br w:type="page"/>
      </w:r>
    </w:p>
    <w:p w14:paraId="42CF2999" w14:textId="792F3EE6" w:rsidR="00391A54" w:rsidRPr="00A75D88" w:rsidRDefault="00391A54" w:rsidP="00391A54">
      <w:pPr>
        <w:spacing w:line="480" w:lineRule="auto"/>
        <w:rPr>
          <w:sz w:val="24"/>
          <w:szCs w:val="24"/>
        </w:rPr>
        <w:sectPr w:rsidR="00391A54" w:rsidRPr="00A75D88" w:rsidSect="00143EF1">
          <w:pgSz w:w="11906" w:h="16838"/>
          <w:pgMar w:top="1440" w:right="1440" w:bottom="1440" w:left="1440" w:header="708" w:footer="708" w:gutter="0"/>
          <w:cols w:space="708"/>
          <w:docGrid w:linePitch="360"/>
        </w:sectPr>
      </w:pPr>
    </w:p>
    <w:p w14:paraId="02BC7537" w14:textId="20A41527" w:rsidR="00391A54" w:rsidRPr="00A75D88" w:rsidRDefault="00391A54" w:rsidP="00391A54">
      <w:pPr>
        <w:pStyle w:val="Heading1"/>
      </w:pPr>
      <w:r w:rsidRPr="00A75D88">
        <w:lastRenderedPageBreak/>
        <w:t xml:space="preserve">Table 1. </w:t>
      </w:r>
      <w:r w:rsidRPr="00A75D88">
        <w:rPr>
          <w:b w:val="0"/>
        </w:rPr>
        <w:t xml:space="preserve">Baseline characteristics, clinical, laboratory features and outcomes for all </w:t>
      </w:r>
      <w:r w:rsidR="000A1C68">
        <w:rPr>
          <w:b w:val="0"/>
        </w:rPr>
        <w:t>COVID-19</w:t>
      </w:r>
      <w:r w:rsidRPr="00A75D88">
        <w:rPr>
          <w:b w:val="0"/>
        </w:rPr>
        <w:t xml:space="preserve"> patients at admission combined (n = 185) and by Ct value (viral load).</w:t>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
        <w:gridCol w:w="1959"/>
        <w:gridCol w:w="1696"/>
        <w:gridCol w:w="1701"/>
        <w:gridCol w:w="1701"/>
        <w:gridCol w:w="1559"/>
        <w:gridCol w:w="1559"/>
      </w:tblGrid>
      <w:tr w:rsidR="00391A54" w:rsidRPr="00B72C17" w14:paraId="326773C7" w14:textId="77777777" w:rsidTr="00143EF1">
        <w:trPr>
          <w:trHeight w:val="300"/>
        </w:trPr>
        <w:tc>
          <w:tcPr>
            <w:tcW w:w="2405" w:type="dxa"/>
            <w:vMerge w:val="restart"/>
            <w:shd w:val="clear" w:color="auto" w:fill="auto"/>
            <w:noWrap/>
            <w:vAlign w:val="bottom"/>
            <w:hideMark/>
          </w:tcPr>
          <w:p w14:paraId="12E97681" w14:textId="77777777" w:rsidR="00391A54" w:rsidRPr="004A61FA" w:rsidRDefault="00391A54" w:rsidP="00143EF1">
            <w:pPr>
              <w:spacing w:after="0" w:line="240" w:lineRule="auto"/>
              <w:rPr>
                <w:rFonts w:eastAsia="Times New Roman" w:cstheme="minorHAnsi"/>
                <w:lang w:eastAsia="en-GB"/>
              </w:rPr>
            </w:pPr>
          </w:p>
        </w:tc>
        <w:tc>
          <w:tcPr>
            <w:tcW w:w="1990" w:type="dxa"/>
            <w:gridSpan w:val="2"/>
            <w:vMerge w:val="restart"/>
            <w:shd w:val="clear" w:color="auto" w:fill="auto"/>
            <w:vAlign w:val="bottom"/>
          </w:tcPr>
          <w:p w14:paraId="2173FD32" w14:textId="77777777" w:rsidR="00391A54" w:rsidRPr="004A61FA" w:rsidRDefault="00391A54" w:rsidP="00143EF1">
            <w:pPr>
              <w:spacing w:after="0" w:line="240" w:lineRule="auto"/>
              <w:rPr>
                <w:rFonts w:eastAsia="Times New Roman" w:cstheme="minorHAnsi"/>
                <w:b/>
                <w:bCs/>
                <w:lang w:eastAsia="en-GB"/>
              </w:rPr>
            </w:pPr>
            <w:r w:rsidRPr="004A61FA">
              <w:rPr>
                <w:rFonts w:eastAsia="Times New Roman" w:cstheme="minorHAnsi"/>
                <w:b/>
                <w:bCs/>
                <w:lang w:eastAsia="en-GB"/>
              </w:rPr>
              <w:t xml:space="preserve">All patients </w:t>
            </w:r>
          </w:p>
          <w:p w14:paraId="79C538D5"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b/>
                <w:bCs/>
                <w:lang w:eastAsia="en-GB"/>
              </w:rPr>
              <w:t>N = 185</w:t>
            </w:r>
          </w:p>
        </w:tc>
        <w:tc>
          <w:tcPr>
            <w:tcW w:w="5098" w:type="dxa"/>
            <w:gridSpan w:val="3"/>
            <w:shd w:val="clear" w:color="auto" w:fill="auto"/>
            <w:noWrap/>
            <w:vAlign w:val="bottom"/>
            <w:hideMark/>
          </w:tcPr>
          <w:p w14:paraId="1E224322" w14:textId="77777777" w:rsidR="00391A54" w:rsidRPr="004A61FA" w:rsidRDefault="00391A54" w:rsidP="00143EF1">
            <w:pPr>
              <w:spacing w:after="0" w:line="240" w:lineRule="auto"/>
              <w:jc w:val="center"/>
              <w:rPr>
                <w:rFonts w:eastAsia="Times New Roman" w:cstheme="minorHAnsi"/>
                <w:b/>
                <w:bCs/>
                <w:lang w:eastAsia="en-GB"/>
              </w:rPr>
            </w:pPr>
            <w:r w:rsidRPr="004A61FA">
              <w:rPr>
                <w:rFonts w:eastAsia="Times New Roman" w:cstheme="minorHAnsi"/>
                <w:b/>
                <w:bCs/>
                <w:color w:val="000000"/>
                <w:lang w:eastAsia="en-GB"/>
              </w:rPr>
              <w:t>Ct Value (viral load)</w:t>
            </w:r>
          </w:p>
        </w:tc>
        <w:tc>
          <w:tcPr>
            <w:tcW w:w="1559" w:type="dxa"/>
            <w:vMerge w:val="restart"/>
            <w:shd w:val="clear" w:color="auto" w:fill="auto"/>
            <w:noWrap/>
            <w:vAlign w:val="bottom"/>
            <w:hideMark/>
          </w:tcPr>
          <w:p w14:paraId="23763DA7" w14:textId="77777777"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 xml:space="preserve">p value </w:t>
            </w:r>
            <w:r w:rsidRPr="004A61FA">
              <w:rPr>
                <w:rFonts w:eastAsia="Times New Roman" w:cstheme="minorHAnsi"/>
                <w:b/>
                <w:bCs/>
                <w:color w:val="000000"/>
                <w:vertAlign w:val="superscript"/>
                <w:lang w:eastAsia="en-GB"/>
              </w:rPr>
              <w:t>a</w:t>
            </w:r>
          </w:p>
          <w:p w14:paraId="0A280264" w14:textId="77777777" w:rsidR="00391A54" w:rsidRPr="004A61FA" w:rsidRDefault="00391A54" w:rsidP="00143EF1">
            <w:pPr>
              <w:spacing w:after="0" w:line="240" w:lineRule="auto"/>
              <w:jc w:val="center"/>
              <w:rPr>
                <w:rFonts w:eastAsia="Times New Roman" w:cstheme="minorHAnsi"/>
                <w:b/>
                <w:bCs/>
                <w:color w:val="000000"/>
                <w:lang w:eastAsia="en-GB"/>
              </w:rPr>
            </w:pPr>
          </w:p>
          <w:p w14:paraId="3BF07E2F" w14:textId="77777777" w:rsidR="00391A54" w:rsidRPr="004A61FA" w:rsidRDefault="00391A54" w:rsidP="00143EF1">
            <w:pPr>
              <w:spacing w:after="0" w:line="240" w:lineRule="auto"/>
              <w:jc w:val="center"/>
              <w:rPr>
                <w:rFonts w:eastAsia="Times New Roman" w:cstheme="minorHAnsi"/>
                <w:b/>
                <w:bCs/>
                <w:color w:val="000000"/>
                <w:lang w:eastAsia="en-GB"/>
              </w:rPr>
            </w:pPr>
          </w:p>
        </w:tc>
        <w:tc>
          <w:tcPr>
            <w:tcW w:w="1559" w:type="dxa"/>
            <w:vMerge w:val="restart"/>
          </w:tcPr>
          <w:p w14:paraId="1425B256" w14:textId="77777777" w:rsidR="00391A54" w:rsidRPr="004A61FA" w:rsidRDefault="00391A54" w:rsidP="00143EF1">
            <w:pPr>
              <w:spacing w:after="0" w:line="240" w:lineRule="auto"/>
              <w:rPr>
                <w:rFonts w:eastAsia="Times New Roman" w:cstheme="minorHAnsi"/>
                <w:b/>
                <w:bCs/>
                <w:color w:val="000000"/>
                <w:lang w:eastAsia="en-GB"/>
              </w:rPr>
            </w:pPr>
          </w:p>
          <w:p w14:paraId="053737E1" w14:textId="77777777" w:rsidR="00391A54" w:rsidRPr="004A61FA" w:rsidRDefault="00391A54" w:rsidP="00143EF1">
            <w:pPr>
              <w:spacing w:after="0" w:line="240" w:lineRule="auto"/>
              <w:rPr>
                <w:rFonts w:eastAsia="Times New Roman" w:cstheme="minorHAnsi"/>
                <w:b/>
                <w:bCs/>
                <w:color w:val="000000"/>
                <w:vertAlign w:val="superscript"/>
                <w:lang w:eastAsia="en-GB"/>
              </w:rPr>
            </w:pPr>
            <w:r w:rsidRPr="004A61FA">
              <w:rPr>
                <w:rFonts w:eastAsia="Times New Roman" w:cstheme="minorHAnsi"/>
                <w:b/>
                <w:bCs/>
                <w:color w:val="000000"/>
                <w:lang w:eastAsia="en-GB"/>
              </w:rPr>
              <w:t xml:space="preserve">p value </w:t>
            </w:r>
            <w:r w:rsidRPr="004A61FA">
              <w:rPr>
                <w:rFonts w:eastAsia="Times New Roman" w:cstheme="minorHAnsi"/>
                <w:b/>
                <w:bCs/>
                <w:color w:val="000000"/>
                <w:vertAlign w:val="superscript"/>
                <w:lang w:eastAsia="en-GB"/>
              </w:rPr>
              <w:t>b</w:t>
            </w:r>
          </w:p>
        </w:tc>
      </w:tr>
      <w:tr w:rsidR="00391A54" w:rsidRPr="00B72C17" w14:paraId="2384FCBA" w14:textId="77777777" w:rsidTr="00143EF1">
        <w:trPr>
          <w:trHeight w:val="300"/>
        </w:trPr>
        <w:tc>
          <w:tcPr>
            <w:tcW w:w="2405" w:type="dxa"/>
            <w:vMerge/>
            <w:shd w:val="clear" w:color="auto" w:fill="auto"/>
            <w:noWrap/>
            <w:vAlign w:val="bottom"/>
            <w:hideMark/>
          </w:tcPr>
          <w:p w14:paraId="45D1663F" w14:textId="77777777" w:rsidR="00391A54" w:rsidRPr="004A61FA" w:rsidRDefault="00391A54" w:rsidP="00143EF1">
            <w:pPr>
              <w:spacing w:after="0" w:line="240" w:lineRule="auto"/>
              <w:rPr>
                <w:rFonts w:eastAsia="Times New Roman" w:cstheme="minorHAnsi"/>
                <w:lang w:eastAsia="en-GB"/>
              </w:rPr>
            </w:pPr>
          </w:p>
        </w:tc>
        <w:tc>
          <w:tcPr>
            <w:tcW w:w="1990" w:type="dxa"/>
            <w:gridSpan w:val="2"/>
            <w:vMerge/>
            <w:shd w:val="clear" w:color="auto" w:fill="auto"/>
            <w:vAlign w:val="bottom"/>
          </w:tcPr>
          <w:p w14:paraId="0D4C4745" w14:textId="77777777" w:rsidR="00391A54" w:rsidRPr="004A61FA" w:rsidRDefault="00391A54" w:rsidP="00143EF1">
            <w:pPr>
              <w:spacing w:after="0" w:line="240" w:lineRule="auto"/>
              <w:rPr>
                <w:rFonts w:eastAsia="Times New Roman" w:cstheme="minorHAnsi"/>
                <w:lang w:eastAsia="en-GB"/>
              </w:rPr>
            </w:pPr>
          </w:p>
        </w:tc>
        <w:tc>
          <w:tcPr>
            <w:tcW w:w="1696" w:type="dxa"/>
            <w:shd w:val="clear" w:color="auto" w:fill="auto"/>
            <w:noWrap/>
            <w:vAlign w:val="bottom"/>
            <w:hideMark/>
          </w:tcPr>
          <w:p w14:paraId="4256E760" w14:textId="77777777"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&lt;20</w:t>
            </w:r>
          </w:p>
          <w:p w14:paraId="1AF72864" w14:textId="40021999"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n=</w:t>
            </w:r>
            <w:r w:rsidR="00551888">
              <w:rPr>
                <w:rFonts w:eastAsia="Times New Roman" w:cstheme="minorHAnsi"/>
                <w:b/>
                <w:bCs/>
                <w:color w:val="000000"/>
                <w:lang w:eastAsia="en-GB"/>
              </w:rPr>
              <w:t>28</w:t>
            </w:r>
            <w:r w:rsidRPr="004A61FA">
              <w:rPr>
                <w:rFonts w:eastAsia="Times New Roman" w:cstheme="minorHAnsi"/>
                <w:b/>
                <w:bCs/>
                <w:color w:val="000000"/>
                <w:lang w:eastAsia="en-GB"/>
              </w:rPr>
              <w:t xml:space="preserve"> </w:t>
            </w:r>
          </w:p>
        </w:tc>
        <w:tc>
          <w:tcPr>
            <w:tcW w:w="1701" w:type="dxa"/>
            <w:shd w:val="clear" w:color="auto" w:fill="auto"/>
            <w:noWrap/>
            <w:vAlign w:val="bottom"/>
            <w:hideMark/>
          </w:tcPr>
          <w:p w14:paraId="16D547FE" w14:textId="77777777"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20.1-29.9</w:t>
            </w:r>
          </w:p>
          <w:p w14:paraId="0F378F94" w14:textId="77777777"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n=79</w:t>
            </w:r>
          </w:p>
        </w:tc>
        <w:tc>
          <w:tcPr>
            <w:tcW w:w="1701" w:type="dxa"/>
            <w:shd w:val="clear" w:color="auto" w:fill="auto"/>
            <w:noWrap/>
            <w:vAlign w:val="bottom"/>
            <w:hideMark/>
          </w:tcPr>
          <w:p w14:paraId="618BCBFF" w14:textId="77777777"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&gt;30</w:t>
            </w:r>
          </w:p>
          <w:p w14:paraId="4B1DEE6C" w14:textId="77777777" w:rsidR="00391A54" w:rsidRPr="004A61FA" w:rsidRDefault="00391A54" w:rsidP="00143EF1">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n=78</w:t>
            </w:r>
          </w:p>
        </w:tc>
        <w:tc>
          <w:tcPr>
            <w:tcW w:w="1559" w:type="dxa"/>
            <w:vMerge/>
            <w:shd w:val="clear" w:color="auto" w:fill="auto"/>
            <w:noWrap/>
            <w:vAlign w:val="bottom"/>
            <w:hideMark/>
          </w:tcPr>
          <w:p w14:paraId="56507794" w14:textId="77777777" w:rsidR="00391A54" w:rsidRPr="004A61FA" w:rsidRDefault="00391A54" w:rsidP="00143EF1">
            <w:pPr>
              <w:spacing w:after="0" w:line="240" w:lineRule="auto"/>
              <w:rPr>
                <w:rFonts w:eastAsia="Times New Roman" w:cstheme="minorHAnsi"/>
                <w:b/>
                <w:bCs/>
                <w:color w:val="000000"/>
                <w:lang w:eastAsia="en-GB"/>
              </w:rPr>
            </w:pPr>
          </w:p>
        </w:tc>
        <w:tc>
          <w:tcPr>
            <w:tcW w:w="1559" w:type="dxa"/>
            <w:vMerge/>
            <w:shd w:val="clear" w:color="auto" w:fill="auto"/>
            <w:vAlign w:val="bottom"/>
          </w:tcPr>
          <w:p w14:paraId="68085A81" w14:textId="77777777" w:rsidR="00391A54" w:rsidRPr="004A61FA" w:rsidRDefault="00391A54" w:rsidP="00143EF1">
            <w:pPr>
              <w:spacing w:after="0" w:line="240" w:lineRule="auto"/>
              <w:rPr>
                <w:rFonts w:eastAsia="Times New Roman" w:cstheme="minorHAnsi"/>
                <w:b/>
                <w:bCs/>
                <w:color w:val="000000"/>
                <w:lang w:eastAsia="en-GB"/>
              </w:rPr>
            </w:pPr>
          </w:p>
        </w:tc>
      </w:tr>
      <w:tr w:rsidR="00391A54" w:rsidRPr="00B72C17" w14:paraId="15B2D1A9" w14:textId="77777777" w:rsidTr="00143EF1">
        <w:trPr>
          <w:trHeight w:val="300"/>
        </w:trPr>
        <w:tc>
          <w:tcPr>
            <w:tcW w:w="9493" w:type="dxa"/>
            <w:gridSpan w:val="6"/>
            <w:shd w:val="clear" w:color="auto" w:fill="auto"/>
            <w:noWrap/>
            <w:vAlign w:val="bottom"/>
            <w:hideMark/>
          </w:tcPr>
          <w:p w14:paraId="3FE03AB2"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b/>
                <w:bCs/>
                <w:color w:val="000000"/>
                <w:lang w:eastAsia="en-GB"/>
              </w:rPr>
              <w:t>Demographics</w:t>
            </w:r>
          </w:p>
        </w:tc>
        <w:tc>
          <w:tcPr>
            <w:tcW w:w="1559" w:type="dxa"/>
            <w:vMerge/>
            <w:shd w:val="clear" w:color="auto" w:fill="auto"/>
            <w:noWrap/>
            <w:vAlign w:val="bottom"/>
            <w:hideMark/>
          </w:tcPr>
          <w:p w14:paraId="18389150" w14:textId="77777777" w:rsidR="00391A54" w:rsidRPr="004A61FA" w:rsidRDefault="00391A54" w:rsidP="00143EF1">
            <w:pPr>
              <w:spacing w:after="0" w:line="240" w:lineRule="auto"/>
              <w:rPr>
                <w:rFonts w:eastAsia="Times New Roman" w:cstheme="minorHAnsi"/>
                <w:color w:val="000000"/>
                <w:lang w:eastAsia="en-GB"/>
              </w:rPr>
            </w:pPr>
          </w:p>
        </w:tc>
        <w:tc>
          <w:tcPr>
            <w:tcW w:w="1559" w:type="dxa"/>
            <w:vMerge/>
            <w:shd w:val="clear" w:color="auto" w:fill="auto"/>
            <w:vAlign w:val="bottom"/>
          </w:tcPr>
          <w:p w14:paraId="4D2B6AF3" w14:textId="77777777" w:rsidR="00391A54" w:rsidRPr="004A61FA" w:rsidRDefault="00391A54" w:rsidP="00143EF1">
            <w:pPr>
              <w:spacing w:after="0" w:line="240" w:lineRule="auto"/>
              <w:rPr>
                <w:rFonts w:eastAsia="Times New Roman" w:cstheme="minorHAnsi"/>
                <w:color w:val="000000"/>
                <w:lang w:eastAsia="en-GB"/>
              </w:rPr>
            </w:pPr>
          </w:p>
        </w:tc>
      </w:tr>
      <w:tr w:rsidR="00391A54" w:rsidRPr="00B72C17" w14:paraId="14F2EA4F" w14:textId="77777777" w:rsidTr="00143EF1">
        <w:trPr>
          <w:trHeight w:val="300"/>
        </w:trPr>
        <w:tc>
          <w:tcPr>
            <w:tcW w:w="2436" w:type="dxa"/>
            <w:gridSpan w:val="2"/>
            <w:shd w:val="clear" w:color="auto" w:fill="auto"/>
            <w:noWrap/>
            <w:vAlign w:val="bottom"/>
            <w:hideMark/>
          </w:tcPr>
          <w:p w14:paraId="0821EAA8"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Age (years)</w:t>
            </w:r>
          </w:p>
        </w:tc>
        <w:tc>
          <w:tcPr>
            <w:tcW w:w="1959" w:type="dxa"/>
            <w:shd w:val="clear" w:color="auto" w:fill="auto"/>
            <w:noWrap/>
            <w:vAlign w:val="bottom"/>
            <w:hideMark/>
          </w:tcPr>
          <w:p w14:paraId="1833F398"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65 [50-80]</w:t>
            </w:r>
          </w:p>
        </w:tc>
        <w:tc>
          <w:tcPr>
            <w:tcW w:w="1696" w:type="dxa"/>
            <w:shd w:val="clear" w:color="auto" w:fill="auto"/>
            <w:noWrap/>
            <w:vAlign w:val="bottom"/>
            <w:hideMark/>
          </w:tcPr>
          <w:p w14:paraId="1C14C96A"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82 [51-92]</w:t>
            </w:r>
          </w:p>
        </w:tc>
        <w:tc>
          <w:tcPr>
            <w:tcW w:w="1701" w:type="dxa"/>
            <w:shd w:val="clear" w:color="auto" w:fill="auto"/>
            <w:noWrap/>
            <w:vAlign w:val="bottom"/>
            <w:hideMark/>
          </w:tcPr>
          <w:p w14:paraId="647FAE03"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69 [56-81]</w:t>
            </w:r>
          </w:p>
        </w:tc>
        <w:tc>
          <w:tcPr>
            <w:tcW w:w="1701" w:type="dxa"/>
            <w:shd w:val="clear" w:color="auto" w:fill="auto"/>
            <w:noWrap/>
            <w:vAlign w:val="bottom"/>
            <w:hideMark/>
          </w:tcPr>
          <w:p w14:paraId="1143A660"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59 [48-73]</w:t>
            </w:r>
          </w:p>
        </w:tc>
        <w:tc>
          <w:tcPr>
            <w:tcW w:w="1559" w:type="dxa"/>
            <w:shd w:val="clear" w:color="auto" w:fill="auto"/>
            <w:noWrap/>
            <w:vAlign w:val="bottom"/>
            <w:hideMark/>
          </w:tcPr>
          <w:p w14:paraId="6B5258F6" w14:textId="77777777" w:rsidR="00391A54" w:rsidRPr="004A61FA" w:rsidRDefault="00391A54" w:rsidP="00143EF1">
            <w:pPr>
              <w:spacing w:after="0" w:line="240" w:lineRule="auto"/>
              <w:jc w:val="center"/>
              <w:rPr>
                <w:rFonts w:eastAsia="Times New Roman" w:cstheme="minorHAnsi"/>
                <w:b/>
                <w:bCs/>
                <w:lang w:eastAsia="en-GB"/>
              </w:rPr>
            </w:pPr>
            <w:r w:rsidRPr="004A61FA">
              <w:rPr>
                <w:rFonts w:eastAsia="Times New Roman" w:cstheme="minorHAnsi"/>
                <w:b/>
                <w:bCs/>
                <w:lang w:eastAsia="en-GB"/>
              </w:rPr>
              <w:t>0.002</w:t>
            </w:r>
          </w:p>
        </w:tc>
        <w:tc>
          <w:tcPr>
            <w:tcW w:w="1559" w:type="dxa"/>
          </w:tcPr>
          <w:p w14:paraId="512BB606" w14:textId="77777777" w:rsidR="00391A54" w:rsidRPr="004A61FA" w:rsidRDefault="00391A54" w:rsidP="00143EF1">
            <w:pPr>
              <w:spacing w:after="0" w:line="240" w:lineRule="auto"/>
              <w:jc w:val="center"/>
              <w:rPr>
                <w:rFonts w:eastAsia="Times New Roman" w:cstheme="minorHAnsi"/>
                <w:b/>
                <w:bCs/>
                <w:lang w:eastAsia="en-GB"/>
              </w:rPr>
            </w:pPr>
            <w:r w:rsidRPr="004A61FA">
              <w:rPr>
                <w:rFonts w:eastAsia="Times New Roman" w:cstheme="minorHAnsi"/>
                <w:b/>
                <w:bCs/>
                <w:lang w:eastAsia="en-GB"/>
              </w:rPr>
              <w:t>0.013</w:t>
            </w:r>
          </w:p>
        </w:tc>
      </w:tr>
      <w:tr w:rsidR="00391A54" w:rsidRPr="00B72C17" w14:paraId="48E9A832" w14:textId="77777777" w:rsidTr="00143EF1">
        <w:trPr>
          <w:trHeight w:val="300"/>
        </w:trPr>
        <w:tc>
          <w:tcPr>
            <w:tcW w:w="2436" w:type="dxa"/>
            <w:gridSpan w:val="2"/>
            <w:shd w:val="clear" w:color="auto" w:fill="auto"/>
            <w:noWrap/>
            <w:vAlign w:val="bottom"/>
            <w:hideMark/>
          </w:tcPr>
          <w:p w14:paraId="4613A247"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Male </w:t>
            </w:r>
          </w:p>
        </w:tc>
        <w:tc>
          <w:tcPr>
            <w:tcW w:w="1959" w:type="dxa"/>
            <w:shd w:val="clear" w:color="auto" w:fill="auto"/>
            <w:noWrap/>
            <w:vAlign w:val="bottom"/>
            <w:hideMark/>
          </w:tcPr>
          <w:p w14:paraId="7A4565DD"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101 (55%)</w:t>
            </w:r>
          </w:p>
        </w:tc>
        <w:tc>
          <w:tcPr>
            <w:tcW w:w="1696" w:type="dxa"/>
            <w:shd w:val="clear" w:color="auto" w:fill="auto"/>
            <w:noWrap/>
            <w:vAlign w:val="bottom"/>
            <w:hideMark/>
          </w:tcPr>
          <w:p w14:paraId="5361DAF3"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16 (57%)</w:t>
            </w:r>
          </w:p>
        </w:tc>
        <w:tc>
          <w:tcPr>
            <w:tcW w:w="1701" w:type="dxa"/>
            <w:shd w:val="clear" w:color="auto" w:fill="auto"/>
            <w:noWrap/>
            <w:vAlign w:val="bottom"/>
            <w:hideMark/>
          </w:tcPr>
          <w:p w14:paraId="6C198C4B"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39 (49%)</w:t>
            </w:r>
          </w:p>
        </w:tc>
        <w:tc>
          <w:tcPr>
            <w:tcW w:w="1701" w:type="dxa"/>
            <w:shd w:val="clear" w:color="auto" w:fill="auto"/>
            <w:noWrap/>
            <w:vAlign w:val="bottom"/>
            <w:hideMark/>
          </w:tcPr>
          <w:p w14:paraId="2B28084B"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46 (59%)</w:t>
            </w:r>
          </w:p>
        </w:tc>
        <w:tc>
          <w:tcPr>
            <w:tcW w:w="1559" w:type="dxa"/>
            <w:shd w:val="clear" w:color="auto" w:fill="auto"/>
            <w:noWrap/>
            <w:vAlign w:val="bottom"/>
            <w:hideMark/>
          </w:tcPr>
          <w:p w14:paraId="39D2E037" w14:textId="77777777" w:rsidR="00391A54" w:rsidRPr="004A61FA" w:rsidRDefault="00391A54" w:rsidP="00143EF1">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0.461</w:t>
            </w:r>
          </w:p>
        </w:tc>
        <w:tc>
          <w:tcPr>
            <w:tcW w:w="1559" w:type="dxa"/>
          </w:tcPr>
          <w:p w14:paraId="69F075F2" w14:textId="77777777" w:rsidR="00391A54" w:rsidRPr="004A61FA" w:rsidRDefault="00391A54" w:rsidP="00143EF1">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0.839</w:t>
            </w:r>
          </w:p>
        </w:tc>
      </w:tr>
      <w:tr w:rsidR="00391A54" w:rsidRPr="00B72C17" w14:paraId="74BF6E46" w14:textId="77777777" w:rsidTr="00143EF1">
        <w:trPr>
          <w:trHeight w:val="300"/>
        </w:trPr>
        <w:tc>
          <w:tcPr>
            <w:tcW w:w="2436" w:type="dxa"/>
            <w:gridSpan w:val="2"/>
            <w:shd w:val="clear" w:color="auto" w:fill="auto"/>
            <w:noWrap/>
            <w:vAlign w:val="bottom"/>
            <w:hideMark/>
          </w:tcPr>
          <w:p w14:paraId="46E6537D"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Current Smoker</w:t>
            </w:r>
          </w:p>
        </w:tc>
        <w:tc>
          <w:tcPr>
            <w:tcW w:w="1959" w:type="dxa"/>
            <w:shd w:val="clear" w:color="auto" w:fill="auto"/>
            <w:noWrap/>
            <w:vAlign w:val="bottom"/>
            <w:hideMark/>
          </w:tcPr>
          <w:p w14:paraId="0D1DCDA3"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7 (4%)</w:t>
            </w:r>
          </w:p>
        </w:tc>
        <w:tc>
          <w:tcPr>
            <w:tcW w:w="1696" w:type="dxa"/>
            <w:shd w:val="clear" w:color="auto" w:fill="auto"/>
            <w:noWrap/>
            <w:vAlign w:val="bottom"/>
            <w:hideMark/>
          </w:tcPr>
          <w:p w14:paraId="4B6696EB"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lang w:eastAsia="en-GB"/>
              </w:rPr>
              <w:t>1 (4%)</w:t>
            </w:r>
          </w:p>
        </w:tc>
        <w:tc>
          <w:tcPr>
            <w:tcW w:w="1701" w:type="dxa"/>
            <w:shd w:val="clear" w:color="auto" w:fill="auto"/>
            <w:noWrap/>
            <w:vAlign w:val="bottom"/>
            <w:hideMark/>
          </w:tcPr>
          <w:p w14:paraId="39B891C2"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lang w:eastAsia="en-GB"/>
              </w:rPr>
              <w:t>2 (3%)</w:t>
            </w:r>
          </w:p>
        </w:tc>
        <w:tc>
          <w:tcPr>
            <w:tcW w:w="1701" w:type="dxa"/>
            <w:shd w:val="clear" w:color="auto" w:fill="auto"/>
            <w:noWrap/>
            <w:vAlign w:val="bottom"/>
            <w:hideMark/>
          </w:tcPr>
          <w:p w14:paraId="78BC97E4"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lang w:eastAsia="en-GB"/>
              </w:rPr>
              <w:t>4 (5%)</w:t>
            </w:r>
          </w:p>
        </w:tc>
        <w:tc>
          <w:tcPr>
            <w:tcW w:w="1559" w:type="dxa"/>
            <w:shd w:val="clear" w:color="auto" w:fill="auto"/>
            <w:noWrap/>
            <w:vAlign w:val="bottom"/>
            <w:hideMark/>
          </w:tcPr>
          <w:p w14:paraId="761BEC8D" w14:textId="77777777" w:rsidR="00391A54" w:rsidRPr="004A61FA" w:rsidRDefault="00391A54" w:rsidP="00143EF1">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0.694</w:t>
            </w:r>
          </w:p>
        </w:tc>
        <w:tc>
          <w:tcPr>
            <w:tcW w:w="1559" w:type="dxa"/>
          </w:tcPr>
          <w:p w14:paraId="284EDEA0" w14:textId="77777777" w:rsidR="00391A54" w:rsidRPr="004A61FA" w:rsidRDefault="00391A54" w:rsidP="00143EF1">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&gt;0.999</w:t>
            </w:r>
          </w:p>
        </w:tc>
      </w:tr>
      <w:tr w:rsidR="00391A54" w:rsidRPr="00B72C17" w14:paraId="25D272E4" w14:textId="77777777" w:rsidTr="00143EF1">
        <w:trPr>
          <w:trHeight w:val="300"/>
        </w:trPr>
        <w:tc>
          <w:tcPr>
            <w:tcW w:w="2436" w:type="dxa"/>
            <w:gridSpan w:val="2"/>
            <w:shd w:val="clear" w:color="auto" w:fill="auto"/>
            <w:noWrap/>
            <w:vAlign w:val="bottom"/>
            <w:hideMark/>
          </w:tcPr>
          <w:p w14:paraId="6EF65E93"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Pregnant</w:t>
            </w:r>
          </w:p>
        </w:tc>
        <w:tc>
          <w:tcPr>
            <w:tcW w:w="1959" w:type="dxa"/>
            <w:shd w:val="clear" w:color="auto" w:fill="auto"/>
            <w:noWrap/>
            <w:vAlign w:val="bottom"/>
            <w:hideMark/>
          </w:tcPr>
          <w:p w14:paraId="7C972403" w14:textId="0EEA6E01"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1 (</w:t>
            </w:r>
            <w:r w:rsidR="00454125">
              <w:rPr>
                <w:rFonts w:eastAsia="Times New Roman" w:cstheme="minorHAnsi"/>
                <w:color w:val="000000"/>
                <w:lang w:eastAsia="en-GB"/>
              </w:rPr>
              <w:t>1</w:t>
            </w:r>
            <w:r w:rsidRPr="004A61FA">
              <w:rPr>
                <w:rFonts w:eastAsia="Times New Roman" w:cstheme="minorHAnsi"/>
                <w:color w:val="000000"/>
                <w:lang w:eastAsia="en-GB"/>
              </w:rPr>
              <w:t>%)</w:t>
            </w:r>
          </w:p>
        </w:tc>
        <w:tc>
          <w:tcPr>
            <w:tcW w:w="1696" w:type="dxa"/>
            <w:shd w:val="clear" w:color="auto" w:fill="auto"/>
            <w:noWrap/>
            <w:vAlign w:val="bottom"/>
            <w:hideMark/>
          </w:tcPr>
          <w:p w14:paraId="4D4D759C"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0 (0%)</w:t>
            </w:r>
          </w:p>
        </w:tc>
        <w:tc>
          <w:tcPr>
            <w:tcW w:w="1701" w:type="dxa"/>
            <w:shd w:val="clear" w:color="auto" w:fill="auto"/>
            <w:noWrap/>
            <w:vAlign w:val="bottom"/>
            <w:hideMark/>
          </w:tcPr>
          <w:p w14:paraId="2FA5B884"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1 (1%)</w:t>
            </w:r>
          </w:p>
        </w:tc>
        <w:tc>
          <w:tcPr>
            <w:tcW w:w="1701" w:type="dxa"/>
            <w:shd w:val="clear" w:color="auto" w:fill="auto"/>
            <w:noWrap/>
            <w:vAlign w:val="bottom"/>
            <w:hideMark/>
          </w:tcPr>
          <w:p w14:paraId="03A46770"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0 (0%)</w:t>
            </w:r>
          </w:p>
        </w:tc>
        <w:tc>
          <w:tcPr>
            <w:tcW w:w="1559" w:type="dxa"/>
            <w:shd w:val="clear" w:color="auto" w:fill="auto"/>
            <w:noWrap/>
            <w:vAlign w:val="bottom"/>
            <w:hideMark/>
          </w:tcPr>
          <w:p w14:paraId="5520F21A" w14:textId="77777777" w:rsidR="00391A54" w:rsidRPr="004A61FA" w:rsidRDefault="00391A54" w:rsidP="00143EF1">
            <w:pPr>
              <w:spacing w:after="0" w:line="240" w:lineRule="auto"/>
              <w:jc w:val="center"/>
              <w:rPr>
                <w:rFonts w:eastAsia="Times New Roman" w:cstheme="minorHAnsi"/>
                <w:lang w:eastAsia="en-GB"/>
              </w:rPr>
            </w:pPr>
            <w:r w:rsidRPr="004A61FA">
              <w:rPr>
                <w:rFonts w:eastAsia="Times New Roman" w:cstheme="minorHAnsi"/>
                <w:lang w:eastAsia="en-GB"/>
              </w:rPr>
              <w:t>0.509</w:t>
            </w:r>
          </w:p>
        </w:tc>
        <w:tc>
          <w:tcPr>
            <w:tcW w:w="1559" w:type="dxa"/>
          </w:tcPr>
          <w:p w14:paraId="6BF4B50C" w14:textId="77777777" w:rsidR="00391A54" w:rsidRPr="004A61FA" w:rsidRDefault="00391A54" w:rsidP="00143EF1">
            <w:pPr>
              <w:spacing w:after="0" w:line="240" w:lineRule="auto"/>
              <w:jc w:val="center"/>
              <w:rPr>
                <w:rFonts w:eastAsia="Times New Roman" w:cstheme="minorHAnsi"/>
                <w:lang w:eastAsia="en-GB"/>
              </w:rPr>
            </w:pPr>
            <w:r w:rsidRPr="004A61FA">
              <w:rPr>
                <w:rFonts w:eastAsia="Times New Roman" w:cstheme="minorHAnsi"/>
                <w:lang w:eastAsia="en-GB"/>
              </w:rPr>
              <w:t>&gt;0.999</w:t>
            </w:r>
          </w:p>
        </w:tc>
      </w:tr>
      <w:tr w:rsidR="00391A54" w:rsidRPr="00B72C17" w14:paraId="5E1DD2C6" w14:textId="77777777" w:rsidTr="00143EF1">
        <w:trPr>
          <w:trHeight w:val="300"/>
        </w:trPr>
        <w:tc>
          <w:tcPr>
            <w:tcW w:w="2436" w:type="dxa"/>
            <w:gridSpan w:val="2"/>
            <w:shd w:val="clear" w:color="auto" w:fill="auto"/>
            <w:noWrap/>
            <w:vAlign w:val="bottom"/>
            <w:hideMark/>
          </w:tcPr>
          <w:p w14:paraId="158E4D1A" w14:textId="77777777" w:rsidR="00391A54" w:rsidRPr="004A61FA" w:rsidRDefault="00391A54" w:rsidP="00143EF1">
            <w:pPr>
              <w:spacing w:after="0" w:line="240" w:lineRule="auto"/>
              <w:rPr>
                <w:rFonts w:eastAsia="Times New Roman" w:cstheme="minorHAnsi"/>
                <w:color w:val="000000"/>
                <w:lang w:eastAsia="en-GB"/>
              </w:rPr>
            </w:pPr>
            <w:r w:rsidRPr="001B4523">
              <w:rPr>
                <w:rFonts w:eastAsia="Times New Roman" w:cstheme="minorHAnsi"/>
                <w:color w:val="000000"/>
                <w:lang w:eastAsia="en-GB"/>
              </w:rPr>
              <w:t xml:space="preserve">White </w:t>
            </w:r>
            <w:proofErr w:type="spellStart"/>
            <w:r w:rsidRPr="001B4523">
              <w:rPr>
                <w:rFonts w:eastAsia="Times New Roman" w:cstheme="minorHAnsi"/>
                <w:color w:val="000000"/>
                <w:lang w:eastAsia="en-GB"/>
              </w:rPr>
              <w:t>British</w:t>
            </w:r>
            <w:r w:rsidRPr="001B4523">
              <w:rPr>
                <w:rFonts w:eastAsia="Times New Roman" w:cstheme="minorHAnsi"/>
                <w:color w:val="000000"/>
                <w:vertAlign w:val="superscript"/>
                <w:lang w:eastAsia="en-GB"/>
              </w:rPr>
              <w:t>c</w:t>
            </w:r>
            <w:proofErr w:type="spellEnd"/>
            <w:r w:rsidRPr="004A61FA">
              <w:rPr>
                <w:rFonts w:eastAsia="Times New Roman" w:cstheme="minorHAnsi"/>
                <w:color w:val="000000"/>
                <w:lang w:eastAsia="en-GB"/>
              </w:rPr>
              <w:t xml:space="preserve"> </w:t>
            </w:r>
          </w:p>
        </w:tc>
        <w:tc>
          <w:tcPr>
            <w:tcW w:w="1959" w:type="dxa"/>
            <w:shd w:val="clear" w:color="auto" w:fill="auto"/>
            <w:noWrap/>
            <w:vAlign w:val="bottom"/>
            <w:hideMark/>
          </w:tcPr>
          <w:p w14:paraId="0F30A1BC" w14:textId="77777777" w:rsidR="00391A54" w:rsidRPr="004A61FA" w:rsidRDefault="00391A54" w:rsidP="00143EF1">
            <w:pPr>
              <w:spacing w:after="0" w:line="240" w:lineRule="auto"/>
              <w:rPr>
                <w:rFonts w:eastAsia="Times New Roman" w:cstheme="minorHAnsi"/>
                <w:color w:val="000000"/>
                <w:lang w:eastAsia="en-GB"/>
              </w:rPr>
            </w:pPr>
            <w:r w:rsidRPr="004A61FA">
              <w:rPr>
                <w:rFonts w:eastAsia="Times New Roman" w:cstheme="minorHAnsi"/>
                <w:color w:val="000000"/>
                <w:lang w:eastAsia="en-GB"/>
              </w:rPr>
              <w:t>129 (73%)</w:t>
            </w:r>
          </w:p>
        </w:tc>
        <w:tc>
          <w:tcPr>
            <w:tcW w:w="1696" w:type="dxa"/>
            <w:shd w:val="clear" w:color="auto" w:fill="auto"/>
            <w:noWrap/>
            <w:vAlign w:val="bottom"/>
            <w:hideMark/>
          </w:tcPr>
          <w:p w14:paraId="57B9611E"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lang w:eastAsia="en-GB"/>
              </w:rPr>
              <w:t>24 (92%)</w:t>
            </w:r>
          </w:p>
        </w:tc>
        <w:tc>
          <w:tcPr>
            <w:tcW w:w="1701" w:type="dxa"/>
            <w:shd w:val="clear" w:color="auto" w:fill="auto"/>
            <w:noWrap/>
            <w:vAlign w:val="bottom"/>
            <w:hideMark/>
          </w:tcPr>
          <w:p w14:paraId="7DCFA219"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lang w:eastAsia="en-GB"/>
              </w:rPr>
              <w:t>57 (74%)</w:t>
            </w:r>
          </w:p>
        </w:tc>
        <w:tc>
          <w:tcPr>
            <w:tcW w:w="1701" w:type="dxa"/>
            <w:shd w:val="clear" w:color="auto" w:fill="auto"/>
            <w:noWrap/>
            <w:vAlign w:val="bottom"/>
            <w:hideMark/>
          </w:tcPr>
          <w:p w14:paraId="218A8FFF" w14:textId="77777777" w:rsidR="00391A54" w:rsidRPr="004A61FA" w:rsidRDefault="00391A54" w:rsidP="00143EF1">
            <w:pPr>
              <w:spacing w:after="0" w:line="240" w:lineRule="auto"/>
              <w:rPr>
                <w:rFonts w:eastAsia="Times New Roman" w:cstheme="minorHAnsi"/>
                <w:lang w:eastAsia="en-GB"/>
              </w:rPr>
            </w:pPr>
            <w:r w:rsidRPr="004A61FA">
              <w:rPr>
                <w:rFonts w:eastAsia="Times New Roman" w:cstheme="minorHAnsi"/>
                <w:lang w:eastAsia="en-GB"/>
              </w:rPr>
              <w:t>48 (66%)</w:t>
            </w:r>
          </w:p>
        </w:tc>
        <w:tc>
          <w:tcPr>
            <w:tcW w:w="1559" w:type="dxa"/>
            <w:shd w:val="clear" w:color="auto" w:fill="auto"/>
            <w:noWrap/>
            <w:vAlign w:val="bottom"/>
            <w:hideMark/>
          </w:tcPr>
          <w:p w14:paraId="5BC2E74D" w14:textId="6DB6BFDB" w:rsidR="00391A54" w:rsidRPr="00EE2CB9" w:rsidRDefault="00391A54" w:rsidP="00143EF1">
            <w:pPr>
              <w:spacing w:after="0" w:line="240" w:lineRule="auto"/>
              <w:jc w:val="center"/>
              <w:rPr>
                <w:rFonts w:eastAsia="Times New Roman" w:cstheme="minorHAnsi"/>
                <w:b/>
                <w:bCs/>
                <w:lang w:eastAsia="en-GB"/>
              </w:rPr>
            </w:pPr>
            <w:r w:rsidRPr="00EE2CB9">
              <w:rPr>
                <w:rFonts w:eastAsia="Times New Roman" w:cstheme="minorHAnsi"/>
                <w:b/>
                <w:bCs/>
                <w:lang w:eastAsia="en-GB"/>
              </w:rPr>
              <w:t>0.0</w:t>
            </w:r>
            <w:r w:rsidR="004A05AD" w:rsidRPr="00EE2CB9">
              <w:rPr>
                <w:rFonts w:eastAsia="Times New Roman" w:cstheme="minorHAnsi"/>
                <w:b/>
                <w:bCs/>
                <w:lang w:eastAsia="en-GB"/>
              </w:rPr>
              <w:t>31</w:t>
            </w:r>
          </w:p>
        </w:tc>
        <w:tc>
          <w:tcPr>
            <w:tcW w:w="1559" w:type="dxa"/>
          </w:tcPr>
          <w:p w14:paraId="5F30619E" w14:textId="66B476F7" w:rsidR="00391A54" w:rsidRPr="00EE2CB9" w:rsidRDefault="00391A54" w:rsidP="00143EF1">
            <w:pPr>
              <w:spacing w:after="0" w:line="240" w:lineRule="auto"/>
              <w:jc w:val="center"/>
              <w:rPr>
                <w:rFonts w:eastAsia="Times New Roman" w:cstheme="minorHAnsi"/>
                <w:b/>
                <w:bCs/>
                <w:lang w:eastAsia="en-GB"/>
              </w:rPr>
            </w:pPr>
            <w:r w:rsidRPr="00EE2CB9">
              <w:rPr>
                <w:rFonts w:eastAsia="Times New Roman" w:cstheme="minorHAnsi"/>
                <w:b/>
                <w:bCs/>
                <w:lang w:eastAsia="en-GB"/>
              </w:rPr>
              <w:t>0.0</w:t>
            </w:r>
            <w:r w:rsidR="004A05AD" w:rsidRPr="00EE2CB9">
              <w:rPr>
                <w:rFonts w:eastAsia="Times New Roman" w:cstheme="minorHAnsi"/>
                <w:b/>
                <w:bCs/>
                <w:lang w:eastAsia="en-GB"/>
              </w:rPr>
              <w:t>16</w:t>
            </w:r>
          </w:p>
        </w:tc>
      </w:tr>
      <w:tr w:rsidR="00391A54" w:rsidRPr="00B72C17" w14:paraId="4EF1CB91" w14:textId="77777777" w:rsidTr="004021AD">
        <w:trPr>
          <w:trHeight w:val="429"/>
        </w:trPr>
        <w:tc>
          <w:tcPr>
            <w:tcW w:w="2436" w:type="dxa"/>
            <w:gridSpan w:val="2"/>
            <w:shd w:val="clear" w:color="auto" w:fill="auto"/>
            <w:noWrap/>
            <w:vAlign w:val="bottom"/>
          </w:tcPr>
          <w:p w14:paraId="392BD0BE" w14:textId="77777777" w:rsidR="00391A54" w:rsidRPr="004A61FA" w:rsidRDefault="00391A54" w:rsidP="00143EF1">
            <w:pPr>
              <w:spacing w:after="0" w:line="240" w:lineRule="auto"/>
              <w:rPr>
                <w:rFonts w:eastAsia="Times New Roman" w:cstheme="minorHAnsi"/>
                <w:color w:val="000000"/>
                <w:highlight w:val="yellow"/>
                <w:lang w:eastAsia="en-GB"/>
              </w:rPr>
            </w:pPr>
            <w:proofErr w:type="spellStart"/>
            <w:r w:rsidRPr="00583534">
              <w:rPr>
                <w:rFonts w:eastAsia="Times New Roman" w:cstheme="minorHAnsi"/>
                <w:color w:val="000000"/>
                <w:lang w:eastAsia="en-GB"/>
              </w:rPr>
              <w:t>BAME</w:t>
            </w:r>
            <w:r w:rsidRPr="008351A8">
              <w:rPr>
                <w:rFonts w:eastAsia="Times New Roman" w:cstheme="minorHAnsi"/>
                <w:color w:val="000000"/>
                <w:vertAlign w:val="superscript"/>
                <w:lang w:eastAsia="en-GB"/>
              </w:rPr>
              <w:t>d</w:t>
            </w:r>
            <w:proofErr w:type="spellEnd"/>
            <w:r>
              <w:rPr>
                <w:rFonts w:eastAsia="Times New Roman" w:cstheme="minorHAnsi"/>
                <w:color w:val="000000"/>
                <w:lang w:eastAsia="en-GB"/>
              </w:rPr>
              <w:t xml:space="preserve"> </w:t>
            </w:r>
          </w:p>
        </w:tc>
        <w:tc>
          <w:tcPr>
            <w:tcW w:w="1959" w:type="dxa"/>
            <w:shd w:val="clear" w:color="auto" w:fill="auto"/>
            <w:noWrap/>
            <w:vAlign w:val="bottom"/>
          </w:tcPr>
          <w:p w14:paraId="60F3E88E" w14:textId="77777777" w:rsidR="00391A54" w:rsidRPr="004A61FA" w:rsidRDefault="00391A54" w:rsidP="00143EF1">
            <w:pPr>
              <w:spacing w:after="0" w:line="240" w:lineRule="auto"/>
              <w:rPr>
                <w:rFonts w:eastAsia="Times New Roman" w:cstheme="minorHAnsi"/>
                <w:color w:val="000000"/>
                <w:lang w:eastAsia="en-GB"/>
              </w:rPr>
            </w:pPr>
            <w:r>
              <w:rPr>
                <w:rFonts w:eastAsia="Times New Roman" w:cstheme="minorHAnsi"/>
                <w:color w:val="000000"/>
                <w:lang w:eastAsia="en-GB"/>
              </w:rPr>
              <w:t>40 (23%)</w:t>
            </w:r>
          </w:p>
        </w:tc>
        <w:tc>
          <w:tcPr>
            <w:tcW w:w="1696" w:type="dxa"/>
            <w:shd w:val="clear" w:color="auto" w:fill="auto"/>
            <w:noWrap/>
            <w:vAlign w:val="bottom"/>
          </w:tcPr>
          <w:p w14:paraId="082D8022" w14:textId="77777777" w:rsidR="00391A54" w:rsidRPr="004A61FA" w:rsidRDefault="00391A54" w:rsidP="00143EF1">
            <w:pPr>
              <w:spacing w:after="0" w:line="240" w:lineRule="auto"/>
              <w:rPr>
                <w:rFonts w:eastAsia="Times New Roman" w:cstheme="minorHAnsi"/>
                <w:lang w:eastAsia="en-GB"/>
              </w:rPr>
            </w:pPr>
            <w:r>
              <w:rPr>
                <w:rFonts w:eastAsia="Times New Roman" w:cstheme="minorHAnsi"/>
                <w:lang w:eastAsia="en-GB"/>
              </w:rPr>
              <w:t>2 (8%)</w:t>
            </w:r>
          </w:p>
        </w:tc>
        <w:tc>
          <w:tcPr>
            <w:tcW w:w="1701" w:type="dxa"/>
            <w:shd w:val="clear" w:color="auto" w:fill="auto"/>
            <w:noWrap/>
            <w:vAlign w:val="bottom"/>
          </w:tcPr>
          <w:p w14:paraId="54994515" w14:textId="77777777" w:rsidR="00391A54" w:rsidRPr="004A61FA" w:rsidRDefault="00391A54" w:rsidP="00143EF1">
            <w:pPr>
              <w:spacing w:after="0" w:line="240" w:lineRule="auto"/>
              <w:rPr>
                <w:rFonts w:eastAsia="Times New Roman" w:cstheme="minorHAnsi"/>
                <w:lang w:eastAsia="en-GB"/>
              </w:rPr>
            </w:pPr>
            <w:r>
              <w:rPr>
                <w:rFonts w:eastAsia="Times New Roman" w:cstheme="minorHAnsi"/>
                <w:lang w:eastAsia="en-GB"/>
              </w:rPr>
              <w:t>18 (24%)</w:t>
            </w:r>
          </w:p>
        </w:tc>
        <w:tc>
          <w:tcPr>
            <w:tcW w:w="1701" w:type="dxa"/>
            <w:shd w:val="clear" w:color="auto" w:fill="auto"/>
            <w:noWrap/>
            <w:vAlign w:val="bottom"/>
          </w:tcPr>
          <w:p w14:paraId="16FC2154" w14:textId="77777777" w:rsidR="00391A54" w:rsidRPr="004A61FA" w:rsidRDefault="00391A54" w:rsidP="00143EF1">
            <w:pPr>
              <w:spacing w:after="0" w:line="240" w:lineRule="auto"/>
              <w:rPr>
                <w:rFonts w:eastAsia="Times New Roman" w:cstheme="minorHAnsi"/>
                <w:lang w:eastAsia="en-GB"/>
              </w:rPr>
            </w:pPr>
            <w:r>
              <w:rPr>
                <w:rFonts w:eastAsia="Times New Roman" w:cstheme="minorHAnsi"/>
                <w:lang w:eastAsia="en-GB"/>
              </w:rPr>
              <w:t>20 (28%)</w:t>
            </w:r>
          </w:p>
        </w:tc>
        <w:tc>
          <w:tcPr>
            <w:tcW w:w="1559" w:type="dxa"/>
            <w:shd w:val="clear" w:color="auto" w:fill="auto"/>
            <w:noWrap/>
            <w:vAlign w:val="bottom"/>
          </w:tcPr>
          <w:p w14:paraId="6197602A" w14:textId="77777777" w:rsidR="00391A54" w:rsidRPr="00583534" w:rsidRDefault="00391A54" w:rsidP="00143EF1">
            <w:pPr>
              <w:spacing w:after="0" w:line="240" w:lineRule="auto"/>
              <w:jc w:val="center"/>
              <w:rPr>
                <w:rFonts w:eastAsia="Times New Roman" w:cstheme="minorHAnsi"/>
                <w:lang w:eastAsia="en-GB"/>
              </w:rPr>
            </w:pPr>
            <w:r w:rsidRPr="00583534">
              <w:rPr>
                <w:rFonts w:eastAsia="Times New Roman" w:cstheme="minorHAnsi"/>
                <w:lang w:eastAsia="en-GB"/>
              </w:rPr>
              <w:t>0.111</w:t>
            </w:r>
          </w:p>
        </w:tc>
        <w:tc>
          <w:tcPr>
            <w:tcW w:w="1559" w:type="dxa"/>
          </w:tcPr>
          <w:p w14:paraId="0751247F" w14:textId="77777777" w:rsidR="00391A54" w:rsidRPr="00583534" w:rsidRDefault="00391A54" w:rsidP="00143EF1">
            <w:pPr>
              <w:spacing w:after="0" w:line="240" w:lineRule="auto"/>
              <w:jc w:val="center"/>
              <w:rPr>
                <w:rFonts w:eastAsia="Times New Roman" w:cstheme="minorHAnsi"/>
                <w:b/>
                <w:bCs/>
                <w:lang w:eastAsia="en-GB"/>
              </w:rPr>
            </w:pPr>
            <w:r>
              <w:rPr>
                <w:rFonts w:eastAsia="Times New Roman" w:cstheme="minorHAnsi"/>
                <w:b/>
                <w:bCs/>
                <w:lang w:eastAsia="en-GB"/>
              </w:rPr>
              <w:t>0.046</w:t>
            </w:r>
          </w:p>
        </w:tc>
      </w:tr>
      <w:tr w:rsidR="004021AD" w:rsidRPr="00B72C17" w14:paraId="28475515" w14:textId="77777777" w:rsidTr="00B76F5B">
        <w:trPr>
          <w:trHeight w:val="300"/>
        </w:trPr>
        <w:tc>
          <w:tcPr>
            <w:tcW w:w="2436" w:type="dxa"/>
            <w:gridSpan w:val="2"/>
            <w:shd w:val="clear" w:color="auto" w:fill="auto"/>
            <w:noWrap/>
            <w:vAlign w:val="bottom"/>
            <w:hideMark/>
          </w:tcPr>
          <w:p w14:paraId="2D1B52B1" w14:textId="77777777" w:rsidR="004021AD" w:rsidRPr="004A61FA" w:rsidRDefault="004021AD" w:rsidP="004021AD">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 xml:space="preserve">Co-morbidities </w:t>
            </w:r>
          </w:p>
        </w:tc>
        <w:tc>
          <w:tcPr>
            <w:tcW w:w="10175" w:type="dxa"/>
            <w:gridSpan w:val="6"/>
            <w:shd w:val="clear" w:color="auto" w:fill="auto"/>
            <w:noWrap/>
            <w:vAlign w:val="bottom"/>
            <w:hideMark/>
          </w:tcPr>
          <w:p w14:paraId="11092E71" w14:textId="77777777" w:rsidR="004021AD" w:rsidRPr="004A61FA" w:rsidRDefault="004021AD" w:rsidP="004021AD">
            <w:pPr>
              <w:spacing w:after="0" w:line="240" w:lineRule="auto"/>
              <w:jc w:val="center"/>
              <w:rPr>
                <w:rFonts w:eastAsia="Times New Roman" w:cstheme="minorHAnsi"/>
                <w:lang w:eastAsia="en-GB"/>
              </w:rPr>
            </w:pPr>
          </w:p>
        </w:tc>
      </w:tr>
      <w:tr w:rsidR="004021AD" w:rsidRPr="00B72C17" w14:paraId="728F0DFB" w14:textId="77777777" w:rsidTr="00143EF1">
        <w:trPr>
          <w:trHeight w:val="300"/>
        </w:trPr>
        <w:tc>
          <w:tcPr>
            <w:tcW w:w="2436" w:type="dxa"/>
            <w:gridSpan w:val="2"/>
            <w:shd w:val="clear" w:color="auto" w:fill="auto"/>
            <w:noWrap/>
            <w:vAlign w:val="bottom"/>
            <w:hideMark/>
          </w:tcPr>
          <w:p w14:paraId="5397CAAA" w14:textId="77777777" w:rsidR="004021AD" w:rsidRPr="004A61FA" w:rsidRDefault="004021AD" w:rsidP="004021AD">
            <w:pPr>
              <w:spacing w:after="0" w:line="240" w:lineRule="auto"/>
              <w:rPr>
                <w:rFonts w:eastAsia="Times New Roman" w:cstheme="minorHAnsi"/>
                <w:color w:val="000000"/>
                <w:lang w:eastAsia="en-GB"/>
              </w:rPr>
            </w:pPr>
            <w:proofErr w:type="spellStart"/>
            <w:r w:rsidRPr="004A61FA">
              <w:rPr>
                <w:rFonts w:eastAsia="Times New Roman" w:cstheme="minorHAnsi"/>
                <w:color w:val="000000"/>
                <w:lang w:eastAsia="en-GB"/>
              </w:rPr>
              <w:t>Hypertension</w:t>
            </w:r>
            <w:r w:rsidRPr="004A61FA">
              <w:rPr>
                <w:rFonts w:eastAsia="Times New Roman" w:cstheme="minorHAnsi"/>
                <w:color w:val="000000"/>
                <w:vertAlign w:val="superscript"/>
                <w:lang w:eastAsia="en-GB"/>
              </w:rPr>
              <w:t>c</w:t>
            </w:r>
            <w:proofErr w:type="spellEnd"/>
            <w:r w:rsidRPr="004A61FA">
              <w:rPr>
                <w:rFonts w:eastAsia="Times New Roman" w:cstheme="minorHAnsi"/>
                <w:color w:val="000000"/>
                <w:lang w:eastAsia="en-GB"/>
              </w:rPr>
              <w:t xml:space="preserve"> </w:t>
            </w:r>
          </w:p>
        </w:tc>
        <w:tc>
          <w:tcPr>
            <w:tcW w:w="1959" w:type="dxa"/>
            <w:shd w:val="clear" w:color="auto" w:fill="auto"/>
            <w:noWrap/>
            <w:vAlign w:val="bottom"/>
            <w:hideMark/>
          </w:tcPr>
          <w:p w14:paraId="0146B2E7"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74 (42%)</w:t>
            </w:r>
          </w:p>
        </w:tc>
        <w:tc>
          <w:tcPr>
            <w:tcW w:w="1696" w:type="dxa"/>
            <w:shd w:val="clear" w:color="auto" w:fill="auto"/>
            <w:noWrap/>
            <w:vAlign w:val="bottom"/>
            <w:hideMark/>
          </w:tcPr>
          <w:p w14:paraId="104A04EA"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 (48%)</w:t>
            </w:r>
          </w:p>
        </w:tc>
        <w:tc>
          <w:tcPr>
            <w:tcW w:w="1701" w:type="dxa"/>
            <w:shd w:val="clear" w:color="auto" w:fill="auto"/>
            <w:noWrap/>
            <w:vAlign w:val="bottom"/>
            <w:hideMark/>
          </w:tcPr>
          <w:p w14:paraId="02AB32F2"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36 (47%)</w:t>
            </w:r>
          </w:p>
        </w:tc>
        <w:tc>
          <w:tcPr>
            <w:tcW w:w="1701" w:type="dxa"/>
            <w:shd w:val="clear" w:color="auto" w:fill="auto"/>
            <w:noWrap/>
            <w:vAlign w:val="bottom"/>
            <w:hideMark/>
          </w:tcPr>
          <w:p w14:paraId="7CCE13C9"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25 (35%)</w:t>
            </w:r>
          </w:p>
        </w:tc>
        <w:tc>
          <w:tcPr>
            <w:tcW w:w="1559" w:type="dxa"/>
            <w:shd w:val="clear" w:color="auto" w:fill="auto"/>
            <w:noWrap/>
            <w:vAlign w:val="bottom"/>
            <w:hideMark/>
          </w:tcPr>
          <w:p w14:paraId="08DA127B"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0.260</w:t>
            </w:r>
          </w:p>
        </w:tc>
        <w:tc>
          <w:tcPr>
            <w:tcW w:w="1559" w:type="dxa"/>
          </w:tcPr>
          <w:p w14:paraId="31039C47"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0.529</w:t>
            </w:r>
          </w:p>
        </w:tc>
      </w:tr>
      <w:tr w:rsidR="004021AD" w:rsidRPr="00B72C17" w14:paraId="021A6AF9" w14:textId="77777777" w:rsidTr="00143EF1">
        <w:trPr>
          <w:trHeight w:val="300"/>
        </w:trPr>
        <w:tc>
          <w:tcPr>
            <w:tcW w:w="2436" w:type="dxa"/>
            <w:gridSpan w:val="2"/>
            <w:shd w:val="clear" w:color="auto" w:fill="auto"/>
            <w:noWrap/>
            <w:vAlign w:val="bottom"/>
            <w:hideMark/>
          </w:tcPr>
          <w:p w14:paraId="75184D3E"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Cardiovascular </w:t>
            </w:r>
            <w:proofErr w:type="spellStart"/>
            <w:r w:rsidRPr="004A61FA">
              <w:rPr>
                <w:rFonts w:eastAsia="Times New Roman" w:cstheme="minorHAnsi"/>
                <w:color w:val="000000"/>
                <w:lang w:eastAsia="en-GB"/>
              </w:rPr>
              <w:t>Disease</w:t>
            </w:r>
            <w:r w:rsidRPr="008351A8">
              <w:rPr>
                <w:rFonts w:eastAsia="Times New Roman" w:cstheme="minorHAnsi"/>
                <w:color w:val="000000"/>
                <w:vertAlign w:val="superscript"/>
                <w:lang w:eastAsia="en-GB"/>
              </w:rPr>
              <w:t>e</w:t>
            </w:r>
            <w:proofErr w:type="spellEnd"/>
            <w:r w:rsidRPr="004A61FA">
              <w:rPr>
                <w:rFonts w:eastAsia="Times New Roman" w:cstheme="minorHAnsi"/>
                <w:color w:val="000000"/>
                <w:lang w:eastAsia="en-GB"/>
              </w:rPr>
              <w:t xml:space="preserve"> </w:t>
            </w:r>
          </w:p>
        </w:tc>
        <w:tc>
          <w:tcPr>
            <w:tcW w:w="1959" w:type="dxa"/>
            <w:shd w:val="clear" w:color="auto" w:fill="auto"/>
            <w:noWrap/>
            <w:vAlign w:val="bottom"/>
            <w:hideMark/>
          </w:tcPr>
          <w:p w14:paraId="4058357D"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53 (30%)</w:t>
            </w:r>
          </w:p>
        </w:tc>
        <w:tc>
          <w:tcPr>
            <w:tcW w:w="1696" w:type="dxa"/>
            <w:shd w:val="clear" w:color="auto" w:fill="auto"/>
            <w:noWrap/>
            <w:vAlign w:val="bottom"/>
            <w:hideMark/>
          </w:tcPr>
          <w:p w14:paraId="1308E0E4"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 (48%)</w:t>
            </w:r>
          </w:p>
        </w:tc>
        <w:tc>
          <w:tcPr>
            <w:tcW w:w="1701" w:type="dxa"/>
            <w:shd w:val="clear" w:color="auto" w:fill="auto"/>
            <w:noWrap/>
            <w:vAlign w:val="bottom"/>
            <w:hideMark/>
          </w:tcPr>
          <w:p w14:paraId="56A8548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20 (26%)</w:t>
            </w:r>
          </w:p>
        </w:tc>
        <w:tc>
          <w:tcPr>
            <w:tcW w:w="1701" w:type="dxa"/>
            <w:shd w:val="clear" w:color="auto" w:fill="auto"/>
            <w:noWrap/>
            <w:vAlign w:val="bottom"/>
            <w:hideMark/>
          </w:tcPr>
          <w:p w14:paraId="12C0C19A"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20 (27%)</w:t>
            </w:r>
          </w:p>
        </w:tc>
        <w:tc>
          <w:tcPr>
            <w:tcW w:w="1559" w:type="dxa"/>
            <w:shd w:val="clear" w:color="auto" w:fill="auto"/>
            <w:noWrap/>
            <w:vAlign w:val="bottom"/>
            <w:hideMark/>
          </w:tcPr>
          <w:p w14:paraId="07CFE7A6"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0.076</w:t>
            </w:r>
          </w:p>
        </w:tc>
        <w:tc>
          <w:tcPr>
            <w:tcW w:w="1559" w:type="dxa"/>
          </w:tcPr>
          <w:p w14:paraId="4DF66F58"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0.038</w:t>
            </w:r>
          </w:p>
        </w:tc>
      </w:tr>
      <w:tr w:rsidR="004021AD" w:rsidRPr="00B72C17" w14:paraId="231CBA24" w14:textId="77777777" w:rsidTr="00CB42BD">
        <w:trPr>
          <w:trHeight w:val="300"/>
        </w:trPr>
        <w:tc>
          <w:tcPr>
            <w:tcW w:w="2436" w:type="dxa"/>
            <w:gridSpan w:val="2"/>
            <w:shd w:val="clear" w:color="auto" w:fill="auto"/>
            <w:noWrap/>
            <w:vAlign w:val="bottom"/>
            <w:hideMark/>
          </w:tcPr>
          <w:p w14:paraId="4A868A6E"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Respiratory Disease (any) </w:t>
            </w:r>
          </w:p>
        </w:tc>
        <w:tc>
          <w:tcPr>
            <w:tcW w:w="1959" w:type="dxa"/>
            <w:shd w:val="clear" w:color="auto" w:fill="auto"/>
            <w:noWrap/>
            <w:vAlign w:val="bottom"/>
            <w:hideMark/>
          </w:tcPr>
          <w:p w14:paraId="26796BBE"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55 (31%)</w:t>
            </w:r>
          </w:p>
        </w:tc>
        <w:tc>
          <w:tcPr>
            <w:tcW w:w="1696" w:type="dxa"/>
            <w:shd w:val="clear" w:color="auto" w:fill="auto"/>
            <w:noWrap/>
            <w:vAlign w:val="bottom"/>
            <w:hideMark/>
          </w:tcPr>
          <w:p w14:paraId="1B2710F9"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 (50%)</w:t>
            </w:r>
          </w:p>
        </w:tc>
        <w:tc>
          <w:tcPr>
            <w:tcW w:w="1701" w:type="dxa"/>
            <w:shd w:val="clear" w:color="auto" w:fill="auto"/>
            <w:noWrap/>
            <w:vAlign w:val="bottom"/>
            <w:hideMark/>
          </w:tcPr>
          <w:p w14:paraId="44C2D5BB"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25 (32%)</w:t>
            </w:r>
          </w:p>
        </w:tc>
        <w:tc>
          <w:tcPr>
            <w:tcW w:w="1701" w:type="dxa"/>
            <w:shd w:val="clear" w:color="auto" w:fill="auto"/>
            <w:noWrap/>
            <w:vAlign w:val="bottom"/>
            <w:hideMark/>
          </w:tcPr>
          <w:p w14:paraId="018E4665"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17 (23%)</w:t>
            </w:r>
          </w:p>
        </w:tc>
        <w:tc>
          <w:tcPr>
            <w:tcW w:w="1559" w:type="dxa"/>
            <w:shd w:val="clear" w:color="auto" w:fill="auto"/>
            <w:noWrap/>
            <w:vAlign w:val="bottom"/>
            <w:hideMark/>
          </w:tcPr>
          <w:p w14:paraId="4A2F53E7"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0.032</w:t>
            </w:r>
          </w:p>
        </w:tc>
        <w:tc>
          <w:tcPr>
            <w:tcW w:w="1559" w:type="dxa"/>
            <w:vAlign w:val="bottom"/>
          </w:tcPr>
          <w:p w14:paraId="14B29C23" w14:textId="77777777" w:rsidR="004021AD" w:rsidRPr="004A61FA" w:rsidRDefault="004021AD" w:rsidP="00CB42B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0.036</w:t>
            </w:r>
          </w:p>
        </w:tc>
      </w:tr>
      <w:tr w:rsidR="004021AD" w:rsidRPr="00B72C17" w14:paraId="042DD5E0" w14:textId="77777777" w:rsidTr="00143EF1">
        <w:trPr>
          <w:trHeight w:val="300"/>
        </w:trPr>
        <w:tc>
          <w:tcPr>
            <w:tcW w:w="2436" w:type="dxa"/>
            <w:gridSpan w:val="2"/>
            <w:shd w:val="clear" w:color="auto" w:fill="auto"/>
            <w:noWrap/>
            <w:vAlign w:val="bottom"/>
            <w:hideMark/>
          </w:tcPr>
          <w:p w14:paraId="201DBF3D" w14:textId="77777777" w:rsidR="004021AD" w:rsidRPr="004A61FA" w:rsidRDefault="004021AD" w:rsidP="004021AD">
            <w:pPr>
              <w:spacing w:after="0" w:line="240" w:lineRule="auto"/>
              <w:rPr>
                <w:rFonts w:eastAsia="Times New Roman" w:cstheme="minorHAnsi"/>
                <w:color w:val="000000"/>
                <w:lang w:eastAsia="en-GB"/>
              </w:rPr>
            </w:pPr>
            <w:proofErr w:type="spellStart"/>
            <w:r w:rsidRPr="004A61FA">
              <w:rPr>
                <w:rFonts w:eastAsia="Times New Roman" w:cstheme="minorHAnsi"/>
                <w:color w:val="000000"/>
                <w:lang w:eastAsia="en-GB"/>
              </w:rPr>
              <w:t>Asthma</w:t>
            </w:r>
            <w:r w:rsidRPr="008351A8">
              <w:rPr>
                <w:rFonts w:eastAsia="Times New Roman" w:cstheme="minorHAnsi"/>
                <w:color w:val="000000"/>
                <w:vertAlign w:val="superscript"/>
                <w:lang w:eastAsia="en-GB"/>
              </w:rPr>
              <w:t>e</w:t>
            </w:r>
            <w:proofErr w:type="spellEnd"/>
            <w:r w:rsidRPr="004A61FA">
              <w:rPr>
                <w:rFonts w:eastAsia="Times New Roman" w:cstheme="minorHAnsi"/>
                <w:color w:val="000000"/>
                <w:lang w:eastAsia="en-GB"/>
              </w:rPr>
              <w:t xml:space="preserve"> </w:t>
            </w:r>
          </w:p>
        </w:tc>
        <w:tc>
          <w:tcPr>
            <w:tcW w:w="1959" w:type="dxa"/>
            <w:shd w:val="clear" w:color="auto" w:fill="auto"/>
            <w:noWrap/>
            <w:vAlign w:val="bottom"/>
            <w:hideMark/>
          </w:tcPr>
          <w:p w14:paraId="303E3791"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30 (17%)</w:t>
            </w:r>
          </w:p>
        </w:tc>
        <w:tc>
          <w:tcPr>
            <w:tcW w:w="1696" w:type="dxa"/>
            <w:shd w:val="clear" w:color="auto" w:fill="auto"/>
            <w:noWrap/>
            <w:vAlign w:val="bottom"/>
            <w:hideMark/>
          </w:tcPr>
          <w:p w14:paraId="5DE67630"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8 (31%)</w:t>
            </w:r>
          </w:p>
        </w:tc>
        <w:tc>
          <w:tcPr>
            <w:tcW w:w="1701" w:type="dxa"/>
            <w:shd w:val="clear" w:color="auto" w:fill="auto"/>
            <w:noWrap/>
            <w:vAlign w:val="bottom"/>
            <w:hideMark/>
          </w:tcPr>
          <w:p w14:paraId="6D50F85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12 (15%)</w:t>
            </w:r>
          </w:p>
        </w:tc>
        <w:tc>
          <w:tcPr>
            <w:tcW w:w="1701" w:type="dxa"/>
            <w:shd w:val="clear" w:color="auto" w:fill="auto"/>
            <w:noWrap/>
            <w:vAlign w:val="bottom"/>
            <w:hideMark/>
          </w:tcPr>
          <w:p w14:paraId="5653E078"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10 (14%)</w:t>
            </w:r>
          </w:p>
        </w:tc>
        <w:tc>
          <w:tcPr>
            <w:tcW w:w="1559" w:type="dxa"/>
            <w:shd w:val="clear" w:color="auto" w:fill="auto"/>
            <w:noWrap/>
            <w:vAlign w:val="bottom"/>
            <w:hideMark/>
          </w:tcPr>
          <w:p w14:paraId="6AD744B7"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0.116</w:t>
            </w:r>
          </w:p>
        </w:tc>
        <w:tc>
          <w:tcPr>
            <w:tcW w:w="1559" w:type="dxa"/>
          </w:tcPr>
          <w:p w14:paraId="5F741A9D" w14:textId="77777777" w:rsidR="004021AD" w:rsidRPr="00145722" w:rsidRDefault="004021AD" w:rsidP="004021AD">
            <w:pPr>
              <w:spacing w:after="0" w:line="240" w:lineRule="auto"/>
              <w:jc w:val="center"/>
              <w:rPr>
                <w:rFonts w:eastAsia="Times New Roman" w:cstheme="minorHAnsi"/>
                <w:b/>
                <w:bCs/>
                <w:color w:val="000000"/>
                <w:lang w:eastAsia="en-GB"/>
              </w:rPr>
            </w:pPr>
            <w:r w:rsidRPr="00145722">
              <w:rPr>
                <w:rFonts w:eastAsia="Times New Roman" w:cstheme="minorHAnsi"/>
                <w:b/>
                <w:bCs/>
                <w:color w:val="000000"/>
                <w:lang w:eastAsia="en-GB"/>
              </w:rPr>
              <w:t>0.050</w:t>
            </w:r>
          </w:p>
        </w:tc>
      </w:tr>
      <w:tr w:rsidR="004021AD" w:rsidRPr="00B72C17" w14:paraId="3F938E1F" w14:textId="77777777" w:rsidTr="00143EF1">
        <w:trPr>
          <w:trHeight w:val="300"/>
        </w:trPr>
        <w:tc>
          <w:tcPr>
            <w:tcW w:w="2436" w:type="dxa"/>
            <w:gridSpan w:val="2"/>
            <w:shd w:val="clear" w:color="auto" w:fill="auto"/>
            <w:noWrap/>
            <w:vAlign w:val="bottom"/>
            <w:hideMark/>
          </w:tcPr>
          <w:p w14:paraId="6D72A7DF"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COPD </w:t>
            </w:r>
          </w:p>
        </w:tc>
        <w:tc>
          <w:tcPr>
            <w:tcW w:w="1959" w:type="dxa"/>
            <w:shd w:val="clear" w:color="auto" w:fill="auto"/>
            <w:noWrap/>
            <w:vAlign w:val="bottom"/>
            <w:hideMark/>
          </w:tcPr>
          <w:p w14:paraId="629F0A60"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24 (13%)</w:t>
            </w:r>
          </w:p>
        </w:tc>
        <w:tc>
          <w:tcPr>
            <w:tcW w:w="1696" w:type="dxa"/>
            <w:shd w:val="clear" w:color="auto" w:fill="auto"/>
            <w:noWrap/>
            <w:vAlign w:val="bottom"/>
            <w:hideMark/>
          </w:tcPr>
          <w:p w14:paraId="0A5DE22A"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 (19%)</w:t>
            </w:r>
          </w:p>
        </w:tc>
        <w:tc>
          <w:tcPr>
            <w:tcW w:w="1701" w:type="dxa"/>
            <w:shd w:val="clear" w:color="auto" w:fill="auto"/>
            <w:noWrap/>
            <w:vAlign w:val="bottom"/>
            <w:hideMark/>
          </w:tcPr>
          <w:p w14:paraId="4EBA1E34"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 (17%)</w:t>
            </w:r>
          </w:p>
        </w:tc>
        <w:tc>
          <w:tcPr>
            <w:tcW w:w="1701" w:type="dxa"/>
            <w:shd w:val="clear" w:color="auto" w:fill="auto"/>
            <w:noWrap/>
            <w:vAlign w:val="bottom"/>
            <w:hideMark/>
          </w:tcPr>
          <w:p w14:paraId="55258C87"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 (8%)</w:t>
            </w:r>
          </w:p>
        </w:tc>
        <w:tc>
          <w:tcPr>
            <w:tcW w:w="1559" w:type="dxa"/>
            <w:shd w:val="clear" w:color="auto" w:fill="auto"/>
            <w:noWrap/>
            <w:vAlign w:val="bottom"/>
            <w:hideMark/>
          </w:tcPr>
          <w:p w14:paraId="1C8CF681"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0.186</w:t>
            </w:r>
          </w:p>
        </w:tc>
        <w:tc>
          <w:tcPr>
            <w:tcW w:w="1559" w:type="dxa"/>
          </w:tcPr>
          <w:p w14:paraId="66D97612"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0.354</w:t>
            </w:r>
          </w:p>
        </w:tc>
      </w:tr>
      <w:tr w:rsidR="004021AD" w:rsidRPr="00B72C17" w14:paraId="6B53B0FD" w14:textId="77777777" w:rsidTr="00143EF1">
        <w:trPr>
          <w:trHeight w:val="300"/>
        </w:trPr>
        <w:tc>
          <w:tcPr>
            <w:tcW w:w="2436" w:type="dxa"/>
            <w:gridSpan w:val="2"/>
            <w:shd w:val="clear" w:color="auto" w:fill="auto"/>
            <w:noWrap/>
            <w:vAlign w:val="bottom"/>
            <w:hideMark/>
          </w:tcPr>
          <w:p w14:paraId="1ABFFF39"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Chronic Kidney Disease </w:t>
            </w:r>
          </w:p>
        </w:tc>
        <w:tc>
          <w:tcPr>
            <w:tcW w:w="1959" w:type="dxa"/>
            <w:shd w:val="clear" w:color="auto" w:fill="auto"/>
            <w:noWrap/>
            <w:vAlign w:val="bottom"/>
            <w:hideMark/>
          </w:tcPr>
          <w:p w14:paraId="52AEFDE1"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17 (9%)</w:t>
            </w:r>
          </w:p>
        </w:tc>
        <w:tc>
          <w:tcPr>
            <w:tcW w:w="1696" w:type="dxa"/>
            <w:shd w:val="clear" w:color="auto" w:fill="auto"/>
            <w:noWrap/>
            <w:vAlign w:val="bottom"/>
            <w:hideMark/>
          </w:tcPr>
          <w:p w14:paraId="1E4E8837"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 (12%)</w:t>
            </w:r>
          </w:p>
        </w:tc>
        <w:tc>
          <w:tcPr>
            <w:tcW w:w="1701" w:type="dxa"/>
            <w:shd w:val="clear" w:color="auto" w:fill="auto"/>
            <w:noWrap/>
            <w:vAlign w:val="bottom"/>
            <w:hideMark/>
          </w:tcPr>
          <w:p w14:paraId="45CC79E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10 (13%)</w:t>
            </w:r>
          </w:p>
        </w:tc>
        <w:tc>
          <w:tcPr>
            <w:tcW w:w="1701" w:type="dxa"/>
            <w:shd w:val="clear" w:color="auto" w:fill="auto"/>
            <w:noWrap/>
            <w:vAlign w:val="bottom"/>
            <w:hideMark/>
          </w:tcPr>
          <w:p w14:paraId="506D572D"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4 (5%)</w:t>
            </w:r>
          </w:p>
        </w:tc>
        <w:tc>
          <w:tcPr>
            <w:tcW w:w="1559" w:type="dxa"/>
            <w:shd w:val="clear" w:color="auto" w:fill="auto"/>
            <w:noWrap/>
            <w:vAlign w:val="bottom"/>
            <w:hideMark/>
          </w:tcPr>
          <w:p w14:paraId="0DB64566"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0.269</w:t>
            </w:r>
          </w:p>
        </w:tc>
        <w:tc>
          <w:tcPr>
            <w:tcW w:w="1559" w:type="dxa"/>
          </w:tcPr>
          <w:p w14:paraId="24910AAF"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0.720</w:t>
            </w:r>
          </w:p>
        </w:tc>
      </w:tr>
      <w:tr w:rsidR="004021AD" w:rsidRPr="00B72C17" w14:paraId="5447162C" w14:textId="77777777" w:rsidTr="00143EF1">
        <w:trPr>
          <w:trHeight w:val="300"/>
        </w:trPr>
        <w:tc>
          <w:tcPr>
            <w:tcW w:w="2436" w:type="dxa"/>
            <w:gridSpan w:val="2"/>
            <w:shd w:val="clear" w:color="auto" w:fill="auto"/>
            <w:noWrap/>
            <w:vAlign w:val="bottom"/>
            <w:hideMark/>
          </w:tcPr>
          <w:p w14:paraId="04B9DCD0"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Chronic Liver </w:t>
            </w:r>
            <w:proofErr w:type="spellStart"/>
            <w:r w:rsidRPr="004A61FA">
              <w:rPr>
                <w:rFonts w:eastAsia="Times New Roman" w:cstheme="minorHAnsi"/>
                <w:color w:val="000000"/>
                <w:lang w:eastAsia="en-GB"/>
              </w:rPr>
              <w:t>Disease</w:t>
            </w:r>
            <w:r w:rsidRPr="008351A8">
              <w:rPr>
                <w:rFonts w:eastAsia="Times New Roman" w:cstheme="minorHAnsi"/>
                <w:color w:val="000000"/>
                <w:vertAlign w:val="superscript"/>
                <w:lang w:eastAsia="en-GB"/>
              </w:rPr>
              <w:t>f</w:t>
            </w:r>
            <w:proofErr w:type="spellEnd"/>
            <w:r w:rsidRPr="004A61FA">
              <w:rPr>
                <w:rFonts w:eastAsia="Times New Roman" w:cstheme="minorHAnsi"/>
                <w:color w:val="000000"/>
                <w:vertAlign w:val="superscript"/>
                <w:lang w:eastAsia="en-GB"/>
              </w:rPr>
              <w:t xml:space="preserve"> </w:t>
            </w:r>
          </w:p>
        </w:tc>
        <w:tc>
          <w:tcPr>
            <w:tcW w:w="1959" w:type="dxa"/>
            <w:shd w:val="clear" w:color="auto" w:fill="auto"/>
            <w:noWrap/>
            <w:vAlign w:val="bottom"/>
            <w:hideMark/>
          </w:tcPr>
          <w:p w14:paraId="6958D7A0"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9 (5%)</w:t>
            </w:r>
          </w:p>
        </w:tc>
        <w:tc>
          <w:tcPr>
            <w:tcW w:w="1696" w:type="dxa"/>
            <w:shd w:val="clear" w:color="auto" w:fill="auto"/>
            <w:noWrap/>
            <w:vAlign w:val="bottom"/>
            <w:hideMark/>
          </w:tcPr>
          <w:p w14:paraId="1054FA95"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 (12%)</w:t>
            </w:r>
          </w:p>
        </w:tc>
        <w:tc>
          <w:tcPr>
            <w:tcW w:w="1701" w:type="dxa"/>
            <w:shd w:val="clear" w:color="auto" w:fill="auto"/>
            <w:noWrap/>
            <w:vAlign w:val="bottom"/>
            <w:hideMark/>
          </w:tcPr>
          <w:p w14:paraId="271DD75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 (3%)</w:t>
            </w:r>
          </w:p>
        </w:tc>
        <w:tc>
          <w:tcPr>
            <w:tcW w:w="1701" w:type="dxa"/>
            <w:shd w:val="clear" w:color="auto" w:fill="auto"/>
            <w:noWrap/>
            <w:vAlign w:val="bottom"/>
            <w:hideMark/>
          </w:tcPr>
          <w:p w14:paraId="3EDBA4D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4 (5%)</w:t>
            </w:r>
          </w:p>
        </w:tc>
        <w:tc>
          <w:tcPr>
            <w:tcW w:w="1559" w:type="dxa"/>
            <w:shd w:val="clear" w:color="auto" w:fill="auto"/>
            <w:noWrap/>
            <w:vAlign w:val="bottom"/>
            <w:hideMark/>
          </w:tcPr>
          <w:p w14:paraId="0B506DDB"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0.197</w:t>
            </w:r>
          </w:p>
        </w:tc>
        <w:tc>
          <w:tcPr>
            <w:tcW w:w="1559" w:type="dxa"/>
          </w:tcPr>
          <w:p w14:paraId="27932D8C"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0.129</w:t>
            </w:r>
          </w:p>
        </w:tc>
      </w:tr>
      <w:tr w:rsidR="004021AD" w:rsidRPr="00B72C17" w14:paraId="2BA6AD7B" w14:textId="77777777" w:rsidTr="00143EF1">
        <w:trPr>
          <w:trHeight w:val="300"/>
        </w:trPr>
        <w:tc>
          <w:tcPr>
            <w:tcW w:w="2436" w:type="dxa"/>
            <w:gridSpan w:val="2"/>
            <w:shd w:val="clear" w:color="auto" w:fill="auto"/>
            <w:noWrap/>
            <w:vAlign w:val="bottom"/>
            <w:hideMark/>
          </w:tcPr>
          <w:p w14:paraId="462A664F"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Diabetes </w:t>
            </w:r>
          </w:p>
        </w:tc>
        <w:tc>
          <w:tcPr>
            <w:tcW w:w="1959" w:type="dxa"/>
            <w:shd w:val="clear" w:color="auto" w:fill="auto"/>
            <w:noWrap/>
            <w:vAlign w:val="bottom"/>
            <w:hideMark/>
          </w:tcPr>
          <w:p w14:paraId="63A3B3BF"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46 (26%)</w:t>
            </w:r>
          </w:p>
        </w:tc>
        <w:tc>
          <w:tcPr>
            <w:tcW w:w="1696" w:type="dxa"/>
            <w:shd w:val="clear" w:color="auto" w:fill="auto"/>
            <w:noWrap/>
            <w:vAlign w:val="bottom"/>
            <w:hideMark/>
          </w:tcPr>
          <w:p w14:paraId="1A33986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8 (30%)</w:t>
            </w:r>
          </w:p>
        </w:tc>
        <w:tc>
          <w:tcPr>
            <w:tcW w:w="1701" w:type="dxa"/>
            <w:shd w:val="clear" w:color="auto" w:fill="auto"/>
            <w:noWrap/>
            <w:vAlign w:val="bottom"/>
            <w:hideMark/>
          </w:tcPr>
          <w:p w14:paraId="486B78F8"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18 (23%)</w:t>
            </w:r>
          </w:p>
        </w:tc>
        <w:tc>
          <w:tcPr>
            <w:tcW w:w="1701" w:type="dxa"/>
            <w:shd w:val="clear" w:color="auto" w:fill="auto"/>
            <w:noWrap/>
            <w:vAlign w:val="bottom"/>
            <w:hideMark/>
          </w:tcPr>
          <w:p w14:paraId="5E0CA718"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20 (27%)</w:t>
            </w:r>
          </w:p>
        </w:tc>
        <w:tc>
          <w:tcPr>
            <w:tcW w:w="1559" w:type="dxa"/>
            <w:shd w:val="clear" w:color="auto" w:fill="auto"/>
            <w:noWrap/>
            <w:vAlign w:val="bottom"/>
            <w:hideMark/>
          </w:tcPr>
          <w:p w14:paraId="26733E3A"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0.790</w:t>
            </w:r>
          </w:p>
        </w:tc>
        <w:tc>
          <w:tcPr>
            <w:tcW w:w="1559" w:type="dxa"/>
          </w:tcPr>
          <w:p w14:paraId="2E27103D"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0.636</w:t>
            </w:r>
          </w:p>
        </w:tc>
      </w:tr>
      <w:tr w:rsidR="004021AD" w:rsidRPr="00B72C17" w14:paraId="7363A058" w14:textId="77777777" w:rsidTr="00143EF1">
        <w:trPr>
          <w:trHeight w:val="300"/>
        </w:trPr>
        <w:tc>
          <w:tcPr>
            <w:tcW w:w="2436" w:type="dxa"/>
            <w:gridSpan w:val="2"/>
            <w:shd w:val="clear" w:color="auto" w:fill="auto"/>
            <w:noWrap/>
            <w:vAlign w:val="bottom"/>
            <w:hideMark/>
          </w:tcPr>
          <w:p w14:paraId="345A1FCD"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Active </w:t>
            </w:r>
            <w:proofErr w:type="spellStart"/>
            <w:r w:rsidRPr="004A61FA">
              <w:rPr>
                <w:rFonts w:eastAsia="Times New Roman" w:cstheme="minorHAnsi"/>
                <w:color w:val="000000"/>
                <w:lang w:eastAsia="en-GB"/>
              </w:rPr>
              <w:t>Malignancy</w:t>
            </w:r>
            <w:r w:rsidRPr="008351A8">
              <w:rPr>
                <w:rFonts w:eastAsia="Times New Roman" w:cstheme="minorHAnsi"/>
                <w:color w:val="000000"/>
                <w:vertAlign w:val="superscript"/>
                <w:lang w:eastAsia="en-GB"/>
              </w:rPr>
              <w:t>e</w:t>
            </w:r>
            <w:proofErr w:type="spellEnd"/>
            <w:r w:rsidRPr="004A61FA">
              <w:rPr>
                <w:rFonts w:eastAsia="Times New Roman" w:cstheme="minorHAnsi"/>
                <w:color w:val="000000"/>
                <w:vertAlign w:val="superscript"/>
                <w:lang w:eastAsia="en-GB"/>
              </w:rPr>
              <w:t xml:space="preserve"> </w:t>
            </w:r>
          </w:p>
        </w:tc>
        <w:tc>
          <w:tcPr>
            <w:tcW w:w="1959" w:type="dxa"/>
            <w:shd w:val="clear" w:color="auto" w:fill="auto"/>
            <w:noWrap/>
            <w:vAlign w:val="bottom"/>
            <w:hideMark/>
          </w:tcPr>
          <w:p w14:paraId="0082C655" w14:textId="5A54CA2C"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9 (5%)</w:t>
            </w:r>
          </w:p>
        </w:tc>
        <w:tc>
          <w:tcPr>
            <w:tcW w:w="1696" w:type="dxa"/>
            <w:shd w:val="clear" w:color="auto" w:fill="auto"/>
            <w:noWrap/>
            <w:vAlign w:val="bottom"/>
            <w:hideMark/>
          </w:tcPr>
          <w:p w14:paraId="33FF499A"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 (4%)</w:t>
            </w:r>
          </w:p>
        </w:tc>
        <w:tc>
          <w:tcPr>
            <w:tcW w:w="1701" w:type="dxa"/>
            <w:shd w:val="clear" w:color="auto" w:fill="auto"/>
            <w:noWrap/>
            <w:vAlign w:val="bottom"/>
            <w:hideMark/>
          </w:tcPr>
          <w:p w14:paraId="63B75E8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 (4%)</w:t>
            </w:r>
          </w:p>
        </w:tc>
        <w:tc>
          <w:tcPr>
            <w:tcW w:w="1701" w:type="dxa"/>
            <w:shd w:val="clear" w:color="auto" w:fill="auto"/>
            <w:noWrap/>
            <w:vAlign w:val="bottom"/>
            <w:hideMark/>
          </w:tcPr>
          <w:p w14:paraId="0CB3491D"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 (7%)</w:t>
            </w:r>
          </w:p>
        </w:tc>
        <w:tc>
          <w:tcPr>
            <w:tcW w:w="1559" w:type="dxa"/>
            <w:shd w:val="clear" w:color="auto" w:fill="auto"/>
            <w:noWrap/>
            <w:vAlign w:val="bottom"/>
            <w:hideMark/>
          </w:tcPr>
          <w:p w14:paraId="55089F52"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0.682</w:t>
            </w:r>
          </w:p>
        </w:tc>
        <w:tc>
          <w:tcPr>
            <w:tcW w:w="1559" w:type="dxa"/>
          </w:tcPr>
          <w:p w14:paraId="46D4F90F"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&gt;0.999</w:t>
            </w:r>
          </w:p>
        </w:tc>
      </w:tr>
      <w:tr w:rsidR="004021AD" w:rsidRPr="00B72C17" w14:paraId="57FBA644" w14:textId="77777777" w:rsidTr="00143EF1">
        <w:trPr>
          <w:trHeight w:val="300"/>
        </w:trPr>
        <w:tc>
          <w:tcPr>
            <w:tcW w:w="2436" w:type="dxa"/>
            <w:gridSpan w:val="2"/>
            <w:shd w:val="clear" w:color="auto" w:fill="auto"/>
            <w:noWrap/>
            <w:vAlign w:val="bottom"/>
            <w:hideMark/>
          </w:tcPr>
          <w:p w14:paraId="500B3F63"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Dementia </w:t>
            </w:r>
          </w:p>
        </w:tc>
        <w:tc>
          <w:tcPr>
            <w:tcW w:w="1959" w:type="dxa"/>
            <w:shd w:val="clear" w:color="auto" w:fill="auto"/>
            <w:noWrap/>
            <w:vAlign w:val="bottom"/>
            <w:hideMark/>
          </w:tcPr>
          <w:p w14:paraId="5A8B96B3"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23 (13%)</w:t>
            </w:r>
          </w:p>
        </w:tc>
        <w:tc>
          <w:tcPr>
            <w:tcW w:w="1696" w:type="dxa"/>
            <w:shd w:val="clear" w:color="auto" w:fill="auto"/>
            <w:noWrap/>
            <w:vAlign w:val="bottom"/>
            <w:hideMark/>
          </w:tcPr>
          <w:p w14:paraId="382133C9"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 (25%)</w:t>
            </w:r>
          </w:p>
        </w:tc>
        <w:tc>
          <w:tcPr>
            <w:tcW w:w="1701" w:type="dxa"/>
            <w:shd w:val="clear" w:color="auto" w:fill="auto"/>
            <w:noWrap/>
            <w:vAlign w:val="bottom"/>
            <w:hideMark/>
          </w:tcPr>
          <w:p w14:paraId="6CCC68E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 (9%)</w:t>
            </w:r>
          </w:p>
        </w:tc>
        <w:tc>
          <w:tcPr>
            <w:tcW w:w="1701" w:type="dxa"/>
            <w:shd w:val="clear" w:color="auto" w:fill="auto"/>
            <w:noWrap/>
            <w:vAlign w:val="bottom"/>
            <w:hideMark/>
          </w:tcPr>
          <w:p w14:paraId="78E2542A"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 (12%)</w:t>
            </w:r>
          </w:p>
        </w:tc>
        <w:tc>
          <w:tcPr>
            <w:tcW w:w="1559" w:type="dxa"/>
            <w:shd w:val="clear" w:color="auto" w:fill="auto"/>
            <w:noWrap/>
            <w:vAlign w:val="bottom"/>
            <w:hideMark/>
          </w:tcPr>
          <w:p w14:paraId="1DC3CA11"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0.096</w:t>
            </w:r>
          </w:p>
        </w:tc>
        <w:tc>
          <w:tcPr>
            <w:tcW w:w="1559" w:type="dxa"/>
          </w:tcPr>
          <w:p w14:paraId="7B2BBCEC"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0.059</w:t>
            </w:r>
          </w:p>
        </w:tc>
      </w:tr>
      <w:tr w:rsidR="004021AD" w:rsidRPr="00B72C17" w14:paraId="3C4707EE" w14:textId="77777777" w:rsidTr="00143EF1">
        <w:trPr>
          <w:trHeight w:val="300"/>
        </w:trPr>
        <w:tc>
          <w:tcPr>
            <w:tcW w:w="2436" w:type="dxa"/>
            <w:gridSpan w:val="2"/>
            <w:shd w:val="clear" w:color="auto" w:fill="auto"/>
            <w:noWrap/>
            <w:vAlign w:val="bottom"/>
            <w:hideMark/>
          </w:tcPr>
          <w:p w14:paraId="6C265458" w14:textId="77777777" w:rsidR="004021AD" w:rsidRPr="004A61FA" w:rsidRDefault="004021AD" w:rsidP="004021AD">
            <w:pPr>
              <w:spacing w:after="0" w:line="240" w:lineRule="auto"/>
              <w:rPr>
                <w:rFonts w:eastAsia="Times New Roman" w:cstheme="minorHAnsi"/>
                <w:color w:val="000000"/>
                <w:lang w:eastAsia="en-GB"/>
              </w:rPr>
            </w:pPr>
            <w:proofErr w:type="spellStart"/>
            <w:r w:rsidRPr="004A61FA">
              <w:rPr>
                <w:rFonts w:eastAsia="Times New Roman" w:cstheme="minorHAnsi"/>
                <w:color w:val="000000"/>
                <w:lang w:eastAsia="en-GB"/>
              </w:rPr>
              <w:t>Immunosuppressed</w:t>
            </w:r>
            <w:r w:rsidRPr="004A61FA">
              <w:rPr>
                <w:rFonts w:eastAsia="Times New Roman" w:cstheme="minorHAnsi"/>
                <w:color w:val="000000"/>
                <w:vertAlign w:val="superscript"/>
                <w:lang w:eastAsia="en-GB"/>
              </w:rPr>
              <w:t>c</w:t>
            </w:r>
            <w:proofErr w:type="spellEnd"/>
            <w:r w:rsidRPr="004A61FA">
              <w:rPr>
                <w:rFonts w:eastAsia="Times New Roman" w:cstheme="minorHAnsi"/>
                <w:color w:val="000000"/>
                <w:vertAlign w:val="superscript"/>
                <w:lang w:eastAsia="en-GB"/>
              </w:rPr>
              <w:t xml:space="preserve"> </w:t>
            </w:r>
          </w:p>
        </w:tc>
        <w:tc>
          <w:tcPr>
            <w:tcW w:w="1959" w:type="dxa"/>
            <w:shd w:val="clear" w:color="auto" w:fill="auto"/>
            <w:noWrap/>
            <w:vAlign w:val="bottom"/>
            <w:hideMark/>
          </w:tcPr>
          <w:p w14:paraId="157EA56A"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10 (6%)</w:t>
            </w:r>
          </w:p>
        </w:tc>
        <w:tc>
          <w:tcPr>
            <w:tcW w:w="1696" w:type="dxa"/>
            <w:shd w:val="clear" w:color="auto" w:fill="auto"/>
            <w:noWrap/>
            <w:vAlign w:val="bottom"/>
            <w:hideMark/>
          </w:tcPr>
          <w:p w14:paraId="369C8749"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 (7%)</w:t>
            </w:r>
          </w:p>
        </w:tc>
        <w:tc>
          <w:tcPr>
            <w:tcW w:w="1701" w:type="dxa"/>
            <w:shd w:val="clear" w:color="auto" w:fill="auto"/>
            <w:noWrap/>
            <w:vAlign w:val="bottom"/>
            <w:hideMark/>
          </w:tcPr>
          <w:p w14:paraId="2DFEC2B4"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 (4%)</w:t>
            </w:r>
          </w:p>
        </w:tc>
        <w:tc>
          <w:tcPr>
            <w:tcW w:w="1701" w:type="dxa"/>
            <w:shd w:val="clear" w:color="auto" w:fill="auto"/>
            <w:noWrap/>
            <w:vAlign w:val="bottom"/>
            <w:hideMark/>
          </w:tcPr>
          <w:p w14:paraId="21803C4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 (7%)</w:t>
            </w:r>
          </w:p>
        </w:tc>
        <w:tc>
          <w:tcPr>
            <w:tcW w:w="1559" w:type="dxa"/>
            <w:shd w:val="clear" w:color="auto" w:fill="auto"/>
            <w:noWrap/>
            <w:vAlign w:val="bottom"/>
            <w:hideMark/>
          </w:tcPr>
          <w:p w14:paraId="4F95FF55" w14:textId="656D859E"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0.70</w:t>
            </w:r>
            <w:r>
              <w:rPr>
                <w:rFonts w:eastAsia="Times New Roman" w:cstheme="minorHAnsi"/>
                <w:color w:val="000000"/>
                <w:lang w:eastAsia="en-GB"/>
              </w:rPr>
              <w:t>3</w:t>
            </w:r>
          </w:p>
        </w:tc>
        <w:tc>
          <w:tcPr>
            <w:tcW w:w="1559" w:type="dxa"/>
          </w:tcPr>
          <w:p w14:paraId="487143E8"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0.652</w:t>
            </w:r>
          </w:p>
        </w:tc>
      </w:tr>
      <w:tr w:rsidR="004021AD" w:rsidRPr="00B72C17" w14:paraId="2B6FE01A" w14:textId="77777777" w:rsidTr="00143EF1">
        <w:trPr>
          <w:trHeight w:val="300"/>
        </w:trPr>
        <w:tc>
          <w:tcPr>
            <w:tcW w:w="2436" w:type="dxa"/>
            <w:gridSpan w:val="2"/>
            <w:shd w:val="clear" w:color="auto" w:fill="auto"/>
            <w:noWrap/>
            <w:vAlign w:val="bottom"/>
            <w:hideMark/>
          </w:tcPr>
          <w:p w14:paraId="0C07F77A" w14:textId="77777777" w:rsidR="004021AD" w:rsidRPr="004A61FA" w:rsidRDefault="004021AD" w:rsidP="004021AD">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Clinical Features on presentation</w:t>
            </w:r>
          </w:p>
        </w:tc>
        <w:tc>
          <w:tcPr>
            <w:tcW w:w="10175" w:type="dxa"/>
            <w:gridSpan w:val="6"/>
            <w:shd w:val="clear" w:color="auto" w:fill="auto"/>
            <w:noWrap/>
            <w:vAlign w:val="bottom"/>
            <w:hideMark/>
          </w:tcPr>
          <w:p w14:paraId="28ADB7C6" w14:textId="77777777" w:rsidR="004021AD" w:rsidRPr="004A61FA" w:rsidRDefault="004021AD" w:rsidP="004021AD">
            <w:pPr>
              <w:spacing w:after="0" w:line="240" w:lineRule="auto"/>
              <w:jc w:val="center"/>
              <w:rPr>
                <w:rFonts w:eastAsia="Times New Roman" w:cstheme="minorHAnsi"/>
                <w:lang w:eastAsia="en-GB"/>
              </w:rPr>
            </w:pPr>
          </w:p>
        </w:tc>
      </w:tr>
      <w:tr w:rsidR="004021AD" w:rsidRPr="00B72C17" w14:paraId="29D31B1D" w14:textId="77777777" w:rsidTr="00143EF1">
        <w:trPr>
          <w:trHeight w:val="300"/>
        </w:trPr>
        <w:tc>
          <w:tcPr>
            <w:tcW w:w="2436" w:type="dxa"/>
            <w:gridSpan w:val="2"/>
            <w:shd w:val="clear" w:color="auto" w:fill="auto"/>
            <w:noWrap/>
            <w:vAlign w:val="bottom"/>
            <w:hideMark/>
          </w:tcPr>
          <w:p w14:paraId="7DF50F9F"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lastRenderedPageBreak/>
              <w:t>Heart rate (beats/min)</w:t>
            </w:r>
          </w:p>
        </w:tc>
        <w:tc>
          <w:tcPr>
            <w:tcW w:w="1959" w:type="dxa"/>
            <w:shd w:val="clear" w:color="auto" w:fill="auto"/>
            <w:noWrap/>
            <w:vAlign w:val="bottom"/>
            <w:hideMark/>
          </w:tcPr>
          <w:p w14:paraId="3D654039"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94 [82-109]</w:t>
            </w:r>
          </w:p>
        </w:tc>
        <w:tc>
          <w:tcPr>
            <w:tcW w:w="1696" w:type="dxa"/>
            <w:shd w:val="clear" w:color="auto" w:fill="auto"/>
            <w:noWrap/>
            <w:vAlign w:val="bottom"/>
            <w:hideMark/>
          </w:tcPr>
          <w:p w14:paraId="705D8F1D"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92 [79-114]</w:t>
            </w:r>
          </w:p>
        </w:tc>
        <w:tc>
          <w:tcPr>
            <w:tcW w:w="1701" w:type="dxa"/>
            <w:shd w:val="clear" w:color="auto" w:fill="auto"/>
            <w:noWrap/>
            <w:vAlign w:val="bottom"/>
            <w:hideMark/>
          </w:tcPr>
          <w:p w14:paraId="50484585"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91 [80-109]</w:t>
            </w:r>
          </w:p>
        </w:tc>
        <w:tc>
          <w:tcPr>
            <w:tcW w:w="1701" w:type="dxa"/>
            <w:shd w:val="clear" w:color="auto" w:fill="auto"/>
            <w:noWrap/>
            <w:vAlign w:val="bottom"/>
            <w:hideMark/>
          </w:tcPr>
          <w:p w14:paraId="7F9FCE10" w14:textId="7B50478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98 [8</w:t>
            </w:r>
            <w:r w:rsidR="007D36E7">
              <w:rPr>
                <w:rFonts w:eastAsia="Times New Roman" w:cstheme="minorHAnsi"/>
                <w:lang w:eastAsia="en-GB"/>
              </w:rPr>
              <w:t>6</w:t>
            </w:r>
            <w:r w:rsidRPr="004A61FA">
              <w:rPr>
                <w:rFonts w:eastAsia="Times New Roman" w:cstheme="minorHAnsi"/>
                <w:lang w:eastAsia="en-GB"/>
              </w:rPr>
              <w:t>-109]</w:t>
            </w:r>
          </w:p>
        </w:tc>
        <w:tc>
          <w:tcPr>
            <w:tcW w:w="1559" w:type="dxa"/>
            <w:shd w:val="clear" w:color="auto" w:fill="auto"/>
            <w:noWrap/>
            <w:vAlign w:val="bottom"/>
            <w:hideMark/>
          </w:tcPr>
          <w:p w14:paraId="30B13858"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0.451</w:t>
            </w:r>
          </w:p>
        </w:tc>
        <w:tc>
          <w:tcPr>
            <w:tcW w:w="1559" w:type="dxa"/>
          </w:tcPr>
          <w:p w14:paraId="19CB5D9D"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0.909</w:t>
            </w:r>
          </w:p>
        </w:tc>
      </w:tr>
      <w:tr w:rsidR="004021AD" w:rsidRPr="00B72C17" w14:paraId="77926D8B" w14:textId="77777777" w:rsidTr="00143EF1">
        <w:trPr>
          <w:trHeight w:val="300"/>
        </w:trPr>
        <w:tc>
          <w:tcPr>
            <w:tcW w:w="2436" w:type="dxa"/>
            <w:gridSpan w:val="2"/>
            <w:shd w:val="clear" w:color="auto" w:fill="auto"/>
            <w:noWrap/>
            <w:vAlign w:val="bottom"/>
            <w:hideMark/>
          </w:tcPr>
          <w:p w14:paraId="22C40187"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Respiratory Rate (breaths/min) </w:t>
            </w:r>
          </w:p>
        </w:tc>
        <w:tc>
          <w:tcPr>
            <w:tcW w:w="1959" w:type="dxa"/>
            <w:shd w:val="clear" w:color="auto" w:fill="auto"/>
            <w:noWrap/>
            <w:vAlign w:val="bottom"/>
            <w:hideMark/>
          </w:tcPr>
          <w:p w14:paraId="547B514A"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25 [21-30]</w:t>
            </w:r>
          </w:p>
        </w:tc>
        <w:tc>
          <w:tcPr>
            <w:tcW w:w="1696" w:type="dxa"/>
            <w:shd w:val="clear" w:color="auto" w:fill="auto"/>
            <w:noWrap/>
            <w:vAlign w:val="bottom"/>
            <w:hideMark/>
          </w:tcPr>
          <w:p w14:paraId="19EA5508"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24 [20-28]</w:t>
            </w:r>
          </w:p>
        </w:tc>
        <w:tc>
          <w:tcPr>
            <w:tcW w:w="1701" w:type="dxa"/>
            <w:shd w:val="clear" w:color="auto" w:fill="auto"/>
            <w:noWrap/>
            <w:vAlign w:val="bottom"/>
            <w:hideMark/>
          </w:tcPr>
          <w:p w14:paraId="4DCCE2E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26 [22-31]</w:t>
            </w:r>
          </w:p>
        </w:tc>
        <w:tc>
          <w:tcPr>
            <w:tcW w:w="1701" w:type="dxa"/>
            <w:shd w:val="clear" w:color="auto" w:fill="auto"/>
            <w:noWrap/>
            <w:vAlign w:val="bottom"/>
            <w:hideMark/>
          </w:tcPr>
          <w:p w14:paraId="4828BCD0"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26 [21-30]</w:t>
            </w:r>
          </w:p>
        </w:tc>
        <w:tc>
          <w:tcPr>
            <w:tcW w:w="1559" w:type="dxa"/>
            <w:shd w:val="clear" w:color="auto" w:fill="auto"/>
            <w:noWrap/>
            <w:vAlign w:val="bottom"/>
            <w:hideMark/>
          </w:tcPr>
          <w:p w14:paraId="5DE040B1"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0.462</w:t>
            </w:r>
          </w:p>
        </w:tc>
        <w:tc>
          <w:tcPr>
            <w:tcW w:w="1559" w:type="dxa"/>
          </w:tcPr>
          <w:p w14:paraId="7F1EAAED" w14:textId="77777777" w:rsidR="004021AD" w:rsidRPr="004A61FA" w:rsidRDefault="004021AD" w:rsidP="004021AD">
            <w:pPr>
              <w:spacing w:after="0" w:line="240" w:lineRule="auto"/>
              <w:jc w:val="center"/>
              <w:rPr>
                <w:rFonts w:eastAsia="Times New Roman" w:cstheme="minorHAnsi"/>
                <w:color w:val="000000"/>
                <w:lang w:eastAsia="en-GB"/>
              </w:rPr>
            </w:pPr>
          </w:p>
          <w:p w14:paraId="56904420"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0.223</w:t>
            </w:r>
          </w:p>
        </w:tc>
      </w:tr>
      <w:tr w:rsidR="004021AD" w:rsidRPr="00B72C17" w14:paraId="198269B7" w14:textId="77777777" w:rsidTr="00143EF1">
        <w:trPr>
          <w:trHeight w:val="300"/>
        </w:trPr>
        <w:tc>
          <w:tcPr>
            <w:tcW w:w="2436" w:type="dxa"/>
            <w:gridSpan w:val="2"/>
            <w:shd w:val="clear" w:color="auto" w:fill="auto"/>
            <w:noWrap/>
            <w:vAlign w:val="bottom"/>
          </w:tcPr>
          <w:p w14:paraId="4781593E" w14:textId="2F5BF3F9" w:rsidR="004021AD" w:rsidRPr="004A61FA" w:rsidRDefault="00554E12" w:rsidP="004021AD">
            <w:pPr>
              <w:spacing w:after="0" w:line="240" w:lineRule="auto"/>
              <w:rPr>
                <w:rFonts w:eastAsia="Times New Roman" w:cstheme="minorHAnsi"/>
                <w:color w:val="000000"/>
                <w:lang w:eastAsia="en-GB"/>
              </w:rPr>
            </w:pPr>
            <w:r>
              <w:rPr>
                <w:rFonts w:eastAsia="Times New Roman" w:cstheme="minorHAnsi"/>
                <w:color w:val="000000"/>
                <w:lang w:eastAsia="en-GB"/>
              </w:rPr>
              <w:t xml:space="preserve">Oxygen </w:t>
            </w:r>
            <w:r w:rsidR="004021AD" w:rsidRPr="004A61FA">
              <w:rPr>
                <w:rFonts w:eastAsia="Times New Roman" w:cstheme="minorHAnsi"/>
                <w:color w:val="000000"/>
                <w:lang w:eastAsia="en-GB"/>
              </w:rPr>
              <w:t>Saturations (%)</w:t>
            </w:r>
          </w:p>
        </w:tc>
        <w:tc>
          <w:tcPr>
            <w:tcW w:w="1959" w:type="dxa"/>
            <w:shd w:val="clear" w:color="auto" w:fill="auto"/>
            <w:noWrap/>
            <w:vAlign w:val="bottom"/>
          </w:tcPr>
          <w:p w14:paraId="48498128"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96 [92-97]</w:t>
            </w:r>
          </w:p>
        </w:tc>
        <w:tc>
          <w:tcPr>
            <w:tcW w:w="1696" w:type="dxa"/>
            <w:shd w:val="clear" w:color="auto" w:fill="auto"/>
            <w:noWrap/>
            <w:vAlign w:val="bottom"/>
          </w:tcPr>
          <w:p w14:paraId="46ECA902"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96 [93-98]</w:t>
            </w:r>
          </w:p>
        </w:tc>
        <w:tc>
          <w:tcPr>
            <w:tcW w:w="1701" w:type="dxa"/>
            <w:shd w:val="clear" w:color="auto" w:fill="auto"/>
            <w:noWrap/>
            <w:vAlign w:val="bottom"/>
          </w:tcPr>
          <w:p w14:paraId="001C8487"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96 [91-97]</w:t>
            </w:r>
          </w:p>
        </w:tc>
        <w:tc>
          <w:tcPr>
            <w:tcW w:w="1701" w:type="dxa"/>
            <w:shd w:val="clear" w:color="auto" w:fill="auto"/>
            <w:noWrap/>
            <w:vAlign w:val="bottom"/>
          </w:tcPr>
          <w:p w14:paraId="6114D78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95 [93-96]</w:t>
            </w:r>
          </w:p>
        </w:tc>
        <w:tc>
          <w:tcPr>
            <w:tcW w:w="1559" w:type="dxa"/>
            <w:shd w:val="clear" w:color="auto" w:fill="auto"/>
            <w:noWrap/>
            <w:vAlign w:val="bottom"/>
          </w:tcPr>
          <w:p w14:paraId="779C4CFF"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0.390</w:t>
            </w:r>
          </w:p>
        </w:tc>
        <w:tc>
          <w:tcPr>
            <w:tcW w:w="1559" w:type="dxa"/>
          </w:tcPr>
          <w:p w14:paraId="4242D8C2"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0.172</w:t>
            </w:r>
          </w:p>
        </w:tc>
      </w:tr>
      <w:tr w:rsidR="004021AD" w:rsidRPr="00B72C17" w14:paraId="06F9D4D0" w14:textId="77777777" w:rsidTr="00CB42BD">
        <w:trPr>
          <w:trHeight w:val="300"/>
        </w:trPr>
        <w:tc>
          <w:tcPr>
            <w:tcW w:w="2436" w:type="dxa"/>
            <w:gridSpan w:val="2"/>
            <w:shd w:val="clear" w:color="auto" w:fill="auto"/>
            <w:noWrap/>
            <w:vAlign w:val="bottom"/>
            <w:hideMark/>
          </w:tcPr>
          <w:p w14:paraId="3B1E3FC9"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Systolic Blood Pressure (mmHg)</w:t>
            </w:r>
          </w:p>
        </w:tc>
        <w:tc>
          <w:tcPr>
            <w:tcW w:w="1959" w:type="dxa"/>
            <w:shd w:val="clear" w:color="auto" w:fill="auto"/>
            <w:noWrap/>
            <w:vAlign w:val="bottom"/>
            <w:hideMark/>
          </w:tcPr>
          <w:p w14:paraId="1281E59A"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130 [120-145]</w:t>
            </w:r>
          </w:p>
        </w:tc>
        <w:tc>
          <w:tcPr>
            <w:tcW w:w="1696" w:type="dxa"/>
            <w:shd w:val="clear" w:color="auto" w:fill="auto"/>
            <w:noWrap/>
            <w:vAlign w:val="bottom"/>
            <w:hideMark/>
          </w:tcPr>
          <w:p w14:paraId="1C5207C9"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131 [113-146]</w:t>
            </w:r>
          </w:p>
        </w:tc>
        <w:tc>
          <w:tcPr>
            <w:tcW w:w="1701" w:type="dxa"/>
            <w:shd w:val="clear" w:color="auto" w:fill="auto"/>
            <w:noWrap/>
            <w:vAlign w:val="bottom"/>
            <w:hideMark/>
          </w:tcPr>
          <w:p w14:paraId="12015E6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128 [117-149]</w:t>
            </w:r>
          </w:p>
        </w:tc>
        <w:tc>
          <w:tcPr>
            <w:tcW w:w="1701" w:type="dxa"/>
            <w:shd w:val="clear" w:color="auto" w:fill="auto"/>
            <w:noWrap/>
            <w:vAlign w:val="bottom"/>
            <w:hideMark/>
          </w:tcPr>
          <w:p w14:paraId="598F214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134 [124-143]</w:t>
            </w:r>
          </w:p>
        </w:tc>
        <w:tc>
          <w:tcPr>
            <w:tcW w:w="1559" w:type="dxa"/>
            <w:shd w:val="clear" w:color="auto" w:fill="auto"/>
            <w:noWrap/>
            <w:vAlign w:val="bottom"/>
            <w:hideMark/>
          </w:tcPr>
          <w:p w14:paraId="62FBAF46"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0.634</w:t>
            </w:r>
          </w:p>
        </w:tc>
        <w:tc>
          <w:tcPr>
            <w:tcW w:w="1559" w:type="dxa"/>
            <w:vAlign w:val="bottom"/>
          </w:tcPr>
          <w:p w14:paraId="6C800983" w14:textId="77777777" w:rsidR="004021AD" w:rsidRPr="004A61FA" w:rsidRDefault="004021AD" w:rsidP="00CB42B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0.774</w:t>
            </w:r>
          </w:p>
        </w:tc>
      </w:tr>
      <w:tr w:rsidR="004021AD" w:rsidRPr="00B72C17" w14:paraId="5FC1D993" w14:textId="77777777" w:rsidTr="00143EF1">
        <w:trPr>
          <w:trHeight w:val="300"/>
        </w:trPr>
        <w:tc>
          <w:tcPr>
            <w:tcW w:w="2436" w:type="dxa"/>
            <w:gridSpan w:val="2"/>
            <w:shd w:val="clear" w:color="auto" w:fill="auto"/>
            <w:noWrap/>
            <w:vAlign w:val="bottom"/>
            <w:hideMark/>
          </w:tcPr>
          <w:p w14:paraId="3965EA88"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Temperature (⁰C)</w:t>
            </w:r>
          </w:p>
        </w:tc>
        <w:tc>
          <w:tcPr>
            <w:tcW w:w="1959" w:type="dxa"/>
            <w:shd w:val="clear" w:color="auto" w:fill="auto"/>
            <w:noWrap/>
            <w:vAlign w:val="bottom"/>
            <w:hideMark/>
          </w:tcPr>
          <w:p w14:paraId="15E33B60"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37.1 [36.6-38.1]</w:t>
            </w:r>
          </w:p>
        </w:tc>
        <w:tc>
          <w:tcPr>
            <w:tcW w:w="1696" w:type="dxa"/>
            <w:shd w:val="clear" w:color="auto" w:fill="auto"/>
            <w:noWrap/>
            <w:vAlign w:val="bottom"/>
            <w:hideMark/>
          </w:tcPr>
          <w:p w14:paraId="49698ECB"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37.0 [36.6-37.9]</w:t>
            </w:r>
          </w:p>
        </w:tc>
        <w:tc>
          <w:tcPr>
            <w:tcW w:w="1701" w:type="dxa"/>
            <w:shd w:val="clear" w:color="auto" w:fill="auto"/>
            <w:noWrap/>
            <w:vAlign w:val="bottom"/>
            <w:hideMark/>
          </w:tcPr>
          <w:p w14:paraId="7197CF12" w14:textId="54A6E68B"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37</w:t>
            </w:r>
            <w:r>
              <w:rPr>
                <w:rFonts w:eastAsia="Times New Roman" w:cstheme="minorHAnsi"/>
                <w:lang w:eastAsia="en-GB"/>
              </w:rPr>
              <w:t>.0</w:t>
            </w:r>
            <w:r w:rsidRPr="004A61FA">
              <w:rPr>
                <w:rFonts w:eastAsia="Times New Roman" w:cstheme="minorHAnsi"/>
                <w:lang w:eastAsia="en-GB"/>
              </w:rPr>
              <w:t xml:space="preserve"> [36.5-38.1]</w:t>
            </w:r>
          </w:p>
        </w:tc>
        <w:tc>
          <w:tcPr>
            <w:tcW w:w="1701" w:type="dxa"/>
            <w:shd w:val="clear" w:color="auto" w:fill="auto"/>
            <w:noWrap/>
            <w:vAlign w:val="bottom"/>
            <w:hideMark/>
          </w:tcPr>
          <w:p w14:paraId="67EFD0C2"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37.2 [36.6-38.3]</w:t>
            </w:r>
          </w:p>
        </w:tc>
        <w:tc>
          <w:tcPr>
            <w:tcW w:w="1559" w:type="dxa"/>
            <w:shd w:val="clear" w:color="auto" w:fill="auto"/>
            <w:noWrap/>
            <w:vAlign w:val="bottom"/>
            <w:hideMark/>
          </w:tcPr>
          <w:p w14:paraId="76289FFA" w14:textId="182F9DBA"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0.3</w:t>
            </w:r>
            <w:r>
              <w:rPr>
                <w:rFonts w:eastAsia="Times New Roman" w:cstheme="minorHAnsi"/>
                <w:color w:val="000000"/>
                <w:lang w:eastAsia="en-GB"/>
              </w:rPr>
              <w:t>39</w:t>
            </w:r>
          </w:p>
        </w:tc>
        <w:tc>
          <w:tcPr>
            <w:tcW w:w="1559" w:type="dxa"/>
          </w:tcPr>
          <w:p w14:paraId="0F8E438B"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0.623</w:t>
            </w:r>
          </w:p>
        </w:tc>
      </w:tr>
      <w:tr w:rsidR="004021AD" w:rsidRPr="00B72C17" w14:paraId="0C8A7595" w14:textId="77777777" w:rsidTr="00143EF1">
        <w:trPr>
          <w:trHeight w:val="300"/>
        </w:trPr>
        <w:tc>
          <w:tcPr>
            <w:tcW w:w="2436" w:type="dxa"/>
            <w:gridSpan w:val="2"/>
            <w:shd w:val="clear" w:color="auto" w:fill="auto"/>
            <w:noWrap/>
            <w:vAlign w:val="bottom"/>
            <w:hideMark/>
          </w:tcPr>
          <w:p w14:paraId="2AC4D171"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Temperature ≥37.8⁰C</w:t>
            </w:r>
          </w:p>
        </w:tc>
        <w:tc>
          <w:tcPr>
            <w:tcW w:w="1959" w:type="dxa"/>
            <w:shd w:val="clear" w:color="auto" w:fill="auto"/>
            <w:noWrap/>
            <w:vAlign w:val="bottom"/>
            <w:hideMark/>
          </w:tcPr>
          <w:p w14:paraId="5BA3AB40"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62 (34%)</w:t>
            </w:r>
          </w:p>
        </w:tc>
        <w:tc>
          <w:tcPr>
            <w:tcW w:w="1696" w:type="dxa"/>
            <w:shd w:val="clear" w:color="auto" w:fill="auto"/>
            <w:noWrap/>
            <w:vAlign w:val="bottom"/>
            <w:hideMark/>
          </w:tcPr>
          <w:p w14:paraId="30ED8FD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 (25%)</w:t>
            </w:r>
          </w:p>
        </w:tc>
        <w:tc>
          <w:tcPr>
            <w:tcW w:w="1701" w:type="dxa"/>
            <w:shd w:val="clear" w:color="auto" w:fill="auto"/>
            <w:noWrap/>
            <w:vAlign w:val="bottom"/>
            <w:hideMark/>
          </w:tcPr>
          <w:p w14:paraId="24B4F46B"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26 (35%)</w:t>
            </w:r>
          </w:p>
        </w:tc>
        <w:tc>
          <w:tcPr>
            <w:tcW w:w="1701" w:type="dxa"/>
            <w:shd w:val="clear" w:color="auto" w:fill="auto"/>
            <w:noWrap/>
            <w:vAlign w:val="bottom"/>
            <w:hideMark/>
          </w:tcPr>
          <w:p w14:paraId="4D116C43"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29 (37%)</w:t>
            </w:r>
          </w:p>
        </w:tc>
        <w:tc>
          <w:tcPr>
            <w:tcW w:w="1559" w:type="dxa"/>
            <w:shd w:val="clear" w:color="auto" w:fill="auto"/>
            <w:noWrap/>
            <w:vAlign w:val="bottom"/>
            <w:hideMark/>
          </w:tcPr>
          <w:p w14:paraId="30731371"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0.505</w:t>
            </w:r>
          </w:p>
        </w:tc>
        <w:tc>
          <w:tcPr>
            <w:tcW w:w="1559" w:type="dxa"/>
          </w:tcPr>
          <w:p w14:paraId="49BDAC5E"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0.289</w:t>
            </w:r>
          </w:p>
        </w:tc>
      </w:tr>
      <w:tr w:rsidR="004021AD" w:rsidRPr="00B72C17" w14:paraId="78A0EC87" w14:textId="77777777" w:rsidTr="00CB42BD">
        <w:trPr>
          <w:trHeight w:val="300"/>
        </w:trPr>
        <w:tc>
          <w:tcPr>
            <w:tcW w:w="2436" w:type="dxa"/>
            <w:gridSpan w:val="2"/>
            <w:shd w:val="clear" w:color="auto" w:fill="auto"/>
            <w:noWrap/>
            <w:vAlign w:val="bottom"/>
            <w:hideMark/>
          </w:tcPr>
          <w:p w14:paraId="36CD8A07"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On supplemental oxygen</w:t>
            </w:r>
          </w:p>
        </w:tc>
        <w:tc>
          <w:tcPr>
            <w:tcW w:w="1959" w:type="dxa"/>
            <w:shd w:val="clear" w:color="auto" w:fill="auto"/>
            <w:noWrap/>
            <w:vAlign w:val="bottom"/>
            <w:hideMark/>
          </w:tcPr>
          <w:p w14:paraId="06351187"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82 (44%)</w:t>
            </w:r>
          </w:p>
        </w:tc>
        <w:tc>
          <w:tcPr>
            <w:tcW w:w="1696" w:type="dxa"/>
            <w:shd w:val="clear" w:color="auto" w:fill="auto"/>
            <w:noWrap/>
            <w:vAlign w:val="bottom"/>
            <w:hideMark/>
          </w:tcPr>
          <w:p w14:paraId="3CEE197F"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12 (43%)</w:t>
            </w:r>
          </w:p>
        </w:tc>
        <w:tc>
          <w:tcPr>
            <w:tcW w:w="1701" w:type="dxa"/>
            <w:shd w:val="clear" w:color="auto" w:fill="auto"/>
            <w:noWrap/>
            <w:vAlign w:val="bottom"/>
            <w:hideMark/>
          </w:tcPr>
          <w:p w14:paraId="1554F27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35 (44%)</w:t>
            </w:r>
          </w:p>
        </w:tc>
        <w:tc>
          <w:tcPr>
            <w:tcW w:w="1701" w:type="dxa"/>
            <w:shd w:val="clear" w:color="auto" w:fill="auto"/>
            <w:noWrap/>
            <w:vAlign w:val="bottom"/>
            <w:hideMark/>
          </w:tcPr>
          <w:p w14:paraId="76E72E40"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35 (45%)</w:t>
            </w:r>
          </w:p>
        </w:tc>
        <w:tc>
          <w:tcPr>
            <w:tcW w:w="1559" w:type="dxa"/>
            <w:shd w:val="clear" w:color="auto" w:fill="auto"/>
            <w:noWrap/>
            <w:vAlign w:val="bottom"/>
            <w:hideMark/>
          </w:tcPr>
          <w:p w14:paraId="1DE637BA"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0.983</w:t>
            </w:r>
          </w:p>
        </w:tc>
        <w:tc>
          <w:tcPr>
            <w:tcW w:w="1559" w:type="dxa"/>
            <w:vAlign w:val="bottom"/>
          </w:tcPr>
          <w:p w14:paraId="23F49265" w14:textId="77777777" w:rsidR="004021AD" w:rsidRPr="004A61FA" w:rsidRDefault="004021AD" w:rsidP="00CB42B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&gt;0.999</w:t>
            </w:r>
          </w:p>
        </w:tc>
      </w:tr>
      <w:tr w:rsidR="004021AD" w:rsidRPr="00B72C17" w14:paraId="68859300" w14:textId="77777777" w:rsidTr="00143EF1">
        <w:trPr>
          <w:trHeight w:val="300"/>
        </w:trPr>
        <w:tc>
          <w:tcPr>
            <w:tcW w:w="2436" w:type="dxa"/>
            <w:gridSpan w:val="2"/>
            <w:shd w:val="clear" w:color="auto" w:fill="auto"/>
            <w:noWrap/>
            <w:vAlign w:val="bottom"/>
            <w:hideMark/>
          </w:tcPr>
          <w:p w14:paraId="509EEDF4"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NEWS2 Score </w:t>
            </w:r>
          </w:p>
        </w:tc>
        <w:tc>
          <w:tcPr>
            <w:tcW w:w="1959" w:type="dxa"/>
            <w:shd w:val="clear" w:color="auto" w:fill="auto"/>
            <w:noWrap/>
            <w:vAlign w:val="bottom"/>
            <w:hideMark/>
          </w:tcPr>
          <w:p w14:paraId="7C1B8DAB"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6 [3-8]</w:t>
            </w:r>
          </w:p>
        </w:tc>
        <w:tc>
          <w:tcPr>
            <w:tcW w:w="1696" w:type="dxa"/>
            <w:shd w:val="clear" w:color="auto" w:fill="auto"/>
            <w:noWrap/>
            <w:vAlign w:val="bottom"/>
            <w:hideMark/>
          </w:tcPr>
          <w:p w14:paraId="4816C5C4" w14:textId="03344078"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 [3-8]</w:t>
            </w:r>
          </w:p>
        </w:tc>
        <w:tc>
          <w:tcPr>
            <w:tcW w:w="1701" w:type="dxa"/>
            <w:shd w:val="clear" w:color="auto" w:fill="auto"/>
            <w:noWrap/>
            <w:vAlign w:val="bottom"/>
            <w:hideMark/>
          </w:tcPr>
          <w:p w14:paraId="2CADD8BB"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 [3-7]</w:t>
            </w:r>
          </w:p>
        </w:tc>
        <w:tc>
          <w:tcPr>
            <w:tcW w:w="1701" w:type="dxa"/>
            <w:shd w:val="clear" w:color="auto" w:fill="auto"/>
            <w:noWrap/>
            <w:vAlign w:val="bottom"/>
            <w:hideMark/>
          </w:tcPr>
          <w:p w14:paraId="24604052" w14:textId="33CED445"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 [3-</w:t>
            </w:r>
            <w:r>
              <w:rPr>
                <w:rFonts w:eastAsia="Times New Roman" w:cstheme="minorHAnsi"/>
                <w:lang w:eastAsia="en-GB"/>
              </w:rPr>
              <w:t>8</w:t>
            </w:r>
            <w:r w:rsidRPr="004A61FA">
              <w:rPr>
                <w:rFonts w:eastAsia="Times New Roman" w:cstheme="minorHAnsi"/>
                <w:lang w:eastAsia="en-GB"/>
              </w:rPr>
              <w:t>]</w:t>
            </w:r>
          </w:p>
        </w:tc>
        <w:tc>
          <w:tcPr>
            <w:tcW w:w="1559" w:type="dxa"/>
            <w:shd w:val="clear" w:color="auto" w:fill="auto"/>
            <w:noWrap/>
            <w:vAlign w:val="bottom"/>
            <w:hideMark/>
          </w:tcPr>
          <w:p w14:paraId="1B906115"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0.892</w:t>
            </w:r>
          </w:p>
        </w:tc>
        <w:tc>
          <w:tcPr>
            <w:tcW w:w="1559" w:type="dxa"/>
          </w:tcPr>
          <w:p w14:paraId="0CE92D90"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0.709</w:t>
            </w:r>
          </w:p>
        </w:tc>
      </w:tr>
      <w:tr w:rsidR="004021AD" w:rsidRPr="00B72C17" w14:paraId="4308CFE8" w14:textId="77777777" w:rsidTr="00143EF1">
        <w:trPr>
          <w:trHeight w:val="300"/>
        </w:trPr>
        <w:tc>
          <w:tcPr>
            <w:tcW w:w="2436" w:type="dxa"/>
            <w:gridSpan w:val="2"/>
            <w:shd w:val="clear" w:color="auto" w:fill="auto"/>
            <w:noWrap/>
            <w:vAlign w:val="bottom"/>
            <w:hideMark/>
          </w:tcPr>
          <w:p w14:paraId="67654ED9"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Duration of symptoms (days) </w:t>
            </w:r>
          </w:p>
        </w:tc>
        <w:tc>
          <w:tcPr>
            <w:tcW w:w="1959" w:type="dxa"/>
            <w:shd w:val="clear" w:color="auto" w:fill="auto"/>
            <w:noWrap/>
            <w:vAlign w:val="bottom"/>
            <w:hideMark/>
          </w:tcPr>
          <w:p w14:paraId="348ED198" w14:textId="414E7FA8"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6 [2-</w:t>
            </w:r>
            <w:r w:rsidR="004A05AD">
              <w:rPr>
                <w:rFonts w:eastAsia="Times New Roman" w:cstheme="minorHAnsi"/>
                <w:color w:val="000000"/>
                <w:lang w:eastAsia="en-GB"/>
              </w:rPr>
              <w:t>10</w:t>
            </w:r>
            <w:r w:rsidRPr="004A61FA">
              <w:rPr>
                <w:rFonts w:eastAsia="Times New Roman" w:cstheme="minorHAnsi"/>
                <w:color w:val="000000"/>
                <w:lang w:eastAsia="en-GB"/>
              </w:rPr>
              <w:t>]</w:t>
            </w:r>
          </w:p>
        </w:tc>
        <w:tc>
          <w:tcPr>
            <w:tcW w:w="1696" w:type="dxa"/>
            <w:shd w:val="clear" w:color="auto" w:fill="auto"/>
            <w:noWrap/>
            <w:vAlign w:val="bottom"/>
            <w:hideMark/>
          </w:tcPr>
          <w:p w14:paraId="660B8A3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 [0-7]</w:t>
            </w:r>
          </w:p>
        </w:tc>
        <w:tc>
          <w:tcPr>
            <w:tcW w:w="1701" w:type="dxa"/>
            <w:shd w:val="clear" w:color="auto" w:fill="auto"/>
            <w:noWrap/>
            <w:vAlign w:val="bottom"/>
            <w:hideMark/>
          </w:tcPr>
          <w:p w14:paraId="63C30DB7"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 [2-8]</w:t>
            </w:r>
          </w:p>
        </w:tc>
        <w:tc>
          <w:tcPr>
            <w:tcW w:w="1701" w:type="dxa"/>
            <w:shd w:val="clear" w:color="auto" w:fill="auto"/>
            <w:noWrap/>
            <w:vAlign w:val="bottom"/>
            <w:hideMark/>
          </w:tcPr>
          <w:p w14:paraId="4CF2113A" w14:textId="508A6CA8"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 [3-10]</w:t>
            </w:r>
          </w:p>
        </w:tc>
        <w:tc>
          <w:tcPr>
            <w:tcW w:w="1559" w:type="dxa"/>
            <w:shd w:val="clear" w:color="auto" w:fill="auto"/>
            <w:noWrap/>
            <w:vAlign w:val="bottom"/>
            <w:hideMark/>
          </w:tcPr>
          <w:p w14:paraId="7D8BBF8C"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0.005</w:t>
            </w:r>
          </w:p>
        </w:tc>
        <w:tc>
          <w:tcPr>
            <w:tcW w:w="1559" w:type="dxa"/>
          </w:tcPr>
          <w:p w14:paraId="75406A1F" w14:textId="77777777" w:rsidR="004021AD" w:rsidRPr="004A61FA" w:rsidRDefault="004021AD" w:rsidP="004021AD">
            <w:pPr>
              <w:spacing w:after="0" w:line="240" w:lineRule="auto"/>
              <w:jc w:val="center"/>
              <w:rPr>
                <w:rFonts w:eastAsia="Times New Roman" w:cstheme="minorHAnsi"/>
                <w:b/>
                <w:bCs/>
                <w:color w:val="000000"/>
                <w:lang w:eastAsia="en-GB"/>
              </w:rPr>
            </w:pPr>
          </w:p>
          <w:p w14:paraId="433428AA"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0.008</w:t>
            </w:r>
          </w:p>
        </w:tc>
      </w:tr>
      <w:tr w:rsidR="004021AD" w:rsidRPr="00B72C17" w14:paraId="7307C31D" w14:textId="77777777" w:rsidTr="00143EF1">
        <w:trPr>
          <w:trHeight w:val="300"/>
        </w:trPr>
        <w:tc>
          <w:tcPr>
            <w:tcW w:w="2436" w:type="dxa"/>
            <w:gridSpan w:val="2"/>
            <w:shd w:val="clear" w:color="auto" w:fill="auto"/>
            <w:noWrap/>
            <w:vAlign w:val="bottom"/>
            <w:hideMark/>
          </w:tcPr>
          <w:p w14:paraId="441CE26E" w14:textId="4B52D717" w:rsidR="004021AD" w:rsidRPr="004A61FA" w:rsidRDefault="00EE2E40" w:rsidP="004021AD">
            <w:pPr>
              <w:spacing w:after="0" w:line="240" w:lineRule="auto"/>
              <w:rPr>
                <w:rFonts w:eastAsia="Times New Roman" w:cstheme="minorHAnsi"/>
                <w:color w:val="000000"/>
                <w:lang w:eastAsia="en-GB"/>
              </w:rPr>
            </w:pPr>
            <w:r>
              <w:rPr>
                <w:rFonts w:eastAsia="Times New Roman" w:cstheme="minorHAnsi"/>
                <w:color w:val="000000"/>
                <w:lang w:eastAsia="en-GB"/>
              </w:rPr>
              <w:t xml:space="preserve">Infiltrates </w:t>
            </w:r>
            <w:r w:rsidR="004021AD" w:rsidRPr="004A61FA">
              <w:rPr>
                <w:rFonts w:eastAsia="Times New Roman" w:cstheme="minorHAnsi"/>
                <w:color w:val="000000"/>
                <w:lang w:eastAsia="en-GB"/>
              </w:rPr>
              <w:t xml:space="preserve">on CXR </w:t>
            </w:r>
          </w:p>
        </w:tc>
        <w:tc>
          <w:tcPr>
            <w:tcW w:w="1959" w:type="dxa"/>
            <w:shd w:val="clear" w:color="auto" w:fill="auto"/>
            <w:noWrap/>
            <w:vAlign w:val="bottom"/>
            <w:hideMark/>
          </w:tcPr>
          <w:p w14:paraId="23276610" w14:textId="1E66E804"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146 (79%)</w:t>
            </w:r>
          </w:p>
        </w:tc>
        <w:tc>
          <w:tcPr>
            <w:tcW w:w="1696" w:type="dxa"/>
            <w:shd w:val="clear" w:color="auto" w:fill="auto"/>
            <w:noWrap/>
            <w:vAlign w:val="bottom"/>
            <w:hideMark/>
          </w:tcPr>
          <w:p w14:paraId="39832DF5"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20 (71%)</w:t>
            </w:r>
          </w:p>
        </w:tc>
        <w:tc>
          <w:tcPr>
            <w:tcW w:w="1701" w:type="dxa"/>
            <w:shd w:val="clear" w:color="auto" w:fill="auto"/>
            <w:noWrap/>
            <w:vAlign w:val="bottom"/>
            <w:hideMark/>
          </w:tcPr>
          <w:p w14:paraId="7886E80B"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64 (82%)</w:t>
            </w:r>
          </w:p>
        </w:tc>
        <w:tc>
          <w:tcPr>
            <w:tcW w:w="1701" w:type="dxa"/>
            <w:shd w:val="clear" w:color="auto" w:fill="auto"/>
            <w:noWrap/>
            <w:vAlign w:val="bottom"/>
            <w:hideMark/>
          </w:tcPr>
          <w:p w14:paraId="6A80D83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62 (80%)</w:t>
            </w:r>
          </w:p>
        </w:tc>
        <w:tc>
          <w:tcPr>
            <w:tcW w:w="1559" w:type="dxa"/>
            <w:shd w:val="clear" w:color="auto" w:fill="auto"/>
            <w:noWrap/>
            <w:vAlign w:val="bottom"/>
            <w:hideMark/>
          </w:tcPr>
          <w:p w14:paraId="6BF4B23D"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0.492</w:t>
            </w:r>
          </w:p>
        </w:tc>
        <w:tc>
          <w:tcPr>
            <w:tcW w:w="1559" w:type="dxa"/>
          </w:tcPr>
          <w:p w14:paraId="2566C7B2"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0.310</w:t>
            </w:r>
          </w:p>
        </w:tc>
      </w:tr>
      <w:tr w:rsidR="004021AD" w:rsidRPr="00B72C17" w14:paraId="711DB3ED" w14:textId="77777777" w:rsidTr="00143EF1">
        <w:trPr>
          <w:trHeight w:val="300"/>
        </w:trPr>
        <w:tc>
          <w:tcPr>
            <w:tcW w:w="2436" w:type="dxa"/>
            <w:gridSpan w:val="2"/>
            <w:shd w:val="clear" w:color="auto" w:fill="auto"/>
            <w:noWrap/>
            <w:vAlign w:val="bottom"/>
            <w:hideMark/>
          </w:tcPr>
          <w:p w14:paraId="0BD52C5F" w14:textId="77777777" w:rsidR="004021AD" w:rsidRPr="004A61FA" w:rsidRDefault="004021AD" w:rsidP="004021AD">
            <w:pPr>
              <w:spacing w:after="0" w:line="240" w:lineRule="auto"/>
              <w:rPr>
                <w:rFonts w:eastAsia="Times New Roman" w:cstheme="minorHAnsi"/>
                <w:b/>
                <w:bCs/>
                <w:color w:val="000000"/>
                <w:lang w:eastAsia="en-GB"/>
              </w:rPr>
            </w:pPr>
            <w:r w:rsidRPr="004A61FA">
              <w:rPr>
                <w:rFonts w:eastAsia="Times New Roman" w:cstheme="minorHAnsi"/>
                <w:b/>
                <w:bCs/>
                <w:color w:val="000000"/>
                <w:lang w:eastAsia="en-GB"/>
              </w:rPr>
              <w:t>Laboratory/POCT results on presentation</w:t>
            </w:r>
          </w:p>
        </w:tc>
        <w:tc>
          <w:tcPr>
            <w:tcW w:w="10175" w:type="dxa"/>
            <w:gridSpan w:val="6"/>
            <w:shd w:val="clear" w:color="auto" w:fill="auto"/>
            <w:noWrap/>
            <w:vAlign w:val="bottom"/>
            <w:hideMark/>
          </w:tcPr>
          <w:p w14:paraId="0C13DD4E" w14:textId="77777777" w:rsidR="004021AD" w:rsidRPr="004A61FA" w:rsidRDefault="004021AD" w:rsidP="004021AD">
            <w:pPr>
              <w:spacing w:after="0" w:line="240" w:lineRule="auto"/>
              <w:jc w:val="center"/>
              <w:rPr>
                <w:rFonts w:eastAsia="Times New Roman" w:cstheme="minorHAnsi"/>
                <w:lang w:eastAsia="en-GB"/>
              </w:rPr>
            </w:pPr>
          </w:p>
        </w:tc>
      </w:tr>
      <w:tr w:rsidR="004021AD" w:rsidRPr="00B72C17" w14:paraId="6561FA2F" w14:textId="77777777" w:rsidTr="00CB42BD">
        <w:trPr>
          <w:trHeight w:val="300"/>
        </w:trPr>
        <w:tc>
          <w:tcPr>
            <w:tcW w:w="2436" w:type="dxa"/>
            <w:gridSpan w:val="2"/>
            <w:shd w:val="clear" w:color="auto" w:fill="auto"/>
            <w:noWrap/>
            <w:vAlign w:val="bottom"/>
            <w:hideMark/>
          </w:tcPr>
          <w:p w14:paraId="1B8C8CF3"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White blood cell count </w:t>
            </w:r>
            <w:r w:rsidRPr="004A61FA">
              <w:rPr>
                <w:rFonts w:eastAsia="Times New Roman" w:cstheme="minorHAnsi"/>
                <w:lang w:eastAsia="en-GB"/>
              </w:rPr>
              <w:t>(10</w:t>
            </w:r>
            <w:r w:rsidRPr="004A61FA">
              <w:rPr>
                <w:rFonts w:eastAsia="Times New Roman" w:cstheme="minorHAnsi"/>
                <w:vertAlign w:val="superscript"/>
                <w:lang w:eastAsia="en-GB"/>
              </w:rPr>
              <w:t>9</w:t>
            </w:r>
            <w:r w:rsidRPr="004A61FA">
              <w:rPr>
                <w:rFonts w:eastAsia="Times New Roman" w:cstheme="minorHAnsi"/>
                <w:lang w:eastAsia="en-GB"/>
              </w:rPr>
              <w:t>/L)</w:t>
            </w:r>
          </w:p>
        </w:tc>
        <w:tc>
          <w:tcPr>
            <w:tcW w:w="1959" w:type="dxa"/>
            <w:shd w:val="clear" w:color="auto" w:fill="auto"/>
            <w:noWrap/>
            <w:vAlign w:val="bottom"/>
            <w:hideMark/>
          </w:tcPr>
          <w:p w14:paraId="7A0817DF"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7.2 [5.4-10.4]</w:t>
            </w:r>
          </w:p>
        </w:tc>
        <w:tc>
          <w:tcPr>
            <w:tcW w:w="1696" w:type="dxa"/>
            <w:shd w:val="clear" w:color="auto" w:fill="auto"/>
            <w:noWrap/>
            <w:vAlign w:val="bottom"/>
            <w:hideMark/>
          </w:tcPr>
          <w:p w14:paraId="2388BEC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7.3 [5.8-14.0]</w:t>
            </w:r>
          </w:p>
        </w:tc>
        <w:tc>
          <w:tcPr>
            <w:tcW w:w="1701" w:type="dxa"/>
            <w:shd w:val="clear" w:color="auto" w:fill="auto"/>
            <w:noWrap/>
            <w:vAlign w:val="bottom"/>
            <w:hideMark/>
          </w:tcPr>
          <w:p w14:paraId="500C6A74"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7.4 [5.6-10.6]</w:t>
            </w:r>
          </w:p>
        </w:tc>
        <w:tc>
          <w:tcPr>
            <w:tcW w:w="1701" w:type="dxa"/>
            <w:shd w:val="clear" w:color="auto" w:fill="auto"/>
            <w:noWrap/>
            <w:vAlign w:val="bottom"/>
            <w:hideMark/>
          </w:tcPr>
          <w:p w14:paraId="075CD5E3"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6.9 [5.1-10.0]</w:t>
            </w:r>
          </w:p>
        </w:tc>
        <w:tc>
          <w:tcPr>
            <w:tcW w:w="1559" w:type="dxa"/>
            <w:shd w:val="clear" w:color="auto" w:fill="auto"/>
            <w:noWrap/>
            <w:vAlign w:val="bottom"/>
            <w:hideMark/>
          </w:tcPr>
          <w:p w14:paraId="0F860E9B"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0.422</w:t>
            </w:r>
          </w:p>
        </w:tc>
        <w:tc>
          <w:tcPr>
            <w:tcW w:w="1559" w:type="dxa"/>
            <w:vAlign w:val="bottom"/>
          </w:tcPr>
          <w:p w14:paraId="24EAF912" w14:textId="77777777" w:rsidR="004021AD" w:rsidRPr="004A61FA" w:rsidRDefault="004021AD" w:rsidP="00CB42B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0.247</w:t>
            </w:r>
          </w:p>
        </w:tc>
      </w:tr>
      <w:tr w:rsidR="004021AD" w:rsidRPr="00B72C17" w14:paraId="412090BE" w14:textId="77777777" w:rsidTr="00143EF1">
        <w:trPr>
          <w:trHeight w:val="300"/>
        </w:trPr>
        <w:tc>
          <w:tcPr>
            <w:tcW w:w="2436" w:type="dxa"/>
            <w:gridSpan w:val="2"/>
            <w:shd w:val="clear" w:color="auto" w:fill="auto"/>
            <w:noWrap/>
            <w:vAlign w:val="bottom"/>
            <w:hideMark/>
          </w:tcPr>
          <w:p w14:paraId="7AC7C452" w14:textId="2D1A5914"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C</w:t>
            </w:r>
            <w:r>
              <w:rPr>
                <w:rFonts w:eastAsia="Times New Roman" w:cstheme="minorHAnsi"/>
                <w:color w:val="000000"/>
                <w:lang w:eastAsia="en-GB"/>
              </w:rPr>
              <w:t>RP</w:t>
            </w:r>
            <w:r w:rsidRPr="004A61FA">
              <w:rPr>
                <w:rFonts w:eastAsia="Times New Roman" w:cstheme="minorHAnsi"/>
                <w:color w:val="000000"/>
                <w:lang w:eastAsia="en-GB"/>
              </w:rPr>
              <w:t xml:space="preserve"> (mg/L)</w:t>
            </w:r>
          </w:p>
        </w:tc>
        <w:tc>
          <w:tcPr>
            <w:tcW w:w="1959" w:type="dxa"/>
            <w:shd w:val="clear" w:color="auto" w:fill="auto"/>
            <w:noWrap/>
            <w:vAlign w:val="bottom"/>
            <w:hideMark/>
          </w:tcPr>
          <w:p w14:paraId="5CC38987"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91 [44-152]</w:t>
            </w:r>
          </w:p>
        </w:tc>
        <w:tc>
          <w:tcPr>
            <w:tcW w:w="1696" w:type="dxa"/>
            <w:shd w:val="clear" w:color="auto" w:fill="auto"/>
            <w:noWrap/>
            <w:vAlign w:val="bottom"/>
            <w:hideMark/>
          </w:tcPr>
          <w:p w14:paraId="547FF71A"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109 [51-148]</w:t>
            </w:r>
          </w:p>
        </w:tc>
        <w:tc>
          <w:tcPr>
            <w:tcW w:w="1701" w:type="dxa"/>
            <w:shd w:val="clear" w:color="auto" w:fill="auto"/>
            <w:noWrap/>
            <w:vAlign w:val="bottom"/>
            <w:hideMark/>
          </w:tcPr>
          <w:p w14:paraId="4C37925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89 [52-152]</w:t>
            </w:r>
          </w:p>
        </w:tc>
        <w:tc>
          <w:tcPr>
            <w:tcW w:w="1701" w:type="dxa"/>
            <w:shd w:val="clear" w:color="auto" w:fill="auto"/>
            <w:noWrap/>
            <w:vAlign w:val="bottom"/>
            <w:hideMark/>
          </w:tcPr>
          <w:p w14:paraId="0AF5CAAE" w14:textId="3FDCAB48"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55 [19-176]</w:t>
            </w:r>
          </w:p>
        </w:tc>
        <w:tc>
          <w:tcPr>
            <w:tcW w:w="1559" w:type="dxa"/>
            <w:shd w:val="clear" w:color="auto" w:fill="auto"/>
            <w:noWrap/>
            <w:vAlign w:val="bottom"/>
            <w:hideMark/>
          </w:tcPr>
          <w:p w14:paraId="126D3C19"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0.349</w:t>
            </w:r>
          </w:p>
        </w:tc>
        <w:tc>
          <w:tcPr>
            <w:tcW w:w="1559" w:type="dxa"/>
          </w:tcPr>
          <w:p w14:paraId="03A7381E"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0.441</w:t>
            </w:r>
          </w:p>
        </w:tc>
      </w:tr>
      <w:tr w:rsidR="004021AD" w:rsidRPr="00B72C17" w14:paraId="2A7B179E" w14:textId="77777777" w:rsidTr="00CB42BD">
        <w:trPr>
          <w:trHeight w:val="300"/>
        </w:trPr>
        <w:tc>
          <w:tcPr>
            <w:tcW w:w="2436" w:type="dxa"/>
            <w:gridSpan w:val="2"/>
            <w:shd w:val="clear" w:color="auto" w:fill="auto"/>
            <w:noWrap/>
            <w:vAlign w:val="bottom"/>
            <w:hideMark/>
          </w:tcPr>
          <w:p w14:paraId="195DAB8F"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Lymphocyte Count </w:t>
            </w:r>
            <w:r w:rsidRPr="004A61FA">
              <w:rPr>
                <w:rFonts w:eastAsia="Times New Roman" w:cstheme="minorHAnsi"/>
                <w:lang w:eastAsia="en-GB"/>
              </w:rPr>
              <w:t>(10</w:t>
            </w:r>
            <w:r w:rsidRPr="004A61FA">
              <w:rPr>
                <w:rFonts w:eastAsia="Times New Roman" w:cstheme="minorHAnsi"/>
                <w:vertAlign w:val="superscript"/>
                <w:lang w:eastAsia="en-GB"/>
              </w:rPr>
              <w:t>9</w:t>
            </w:r>
            <w:r w:rsidRPr="004A61FA">
              <w:rPr>
                <w:rFonts w:eastAsia="Times New Roman" w:cstheme="minorHAnsi"/>
                <w:lang w:eastAsia="en-GB"/>
              </w:rPr>
              <w:t>/L)</w:t>
            </w:r>
          </w:p>
        </w:tc>
        <w:tc>
          <w:tcPr>
            <w:tcW w:w="1959" w:type="dxa"/>
            <w:shd w:val="clear" w:color="auto" w:fill="auto"/>
            <w:noWrap/>
            <w:vAlign w:val="bottom"/>
            <w:hideMark/>
          </w:tcPr>
          <w:p w14:paraId="398B3AF5"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0.9 [0.7-1.2]</w:t>
            </w:r>
          </w:p>
        </w:tc>
        <w:tc>
          <w:tcPr>
            <w:tcW w:w="1696" w:type="dxa"/>
            <w:shd w:val="clear" w:color="auto" w:fill="auto"/>
            <w:noWrap/>
            <w:vAlign w:val="bottom"/>
            <w:hideMark/>
          </w:tcPr>
          <w:p w14:paraId="2D6190B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0.9 [0.5-1.6]</w:t>
            </w:r>
          </w:p>
        </w:tc>
        <w:tc>
          <w:tcPr>
            <w:tcW w:w="1701" w:type="dxa"/>
            <w:shd w:val="clear" w:color="auto" w:fill="auto"/>
            <w:noWrap/>
            <w:vAlign w:val="bottom"/>
            <w:hideMark/>
          </w:tcPr>
          <w:p w14:paraId="12F9697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0.9 [0.6-1.2]</w:t>
            </w:r>
          </w:p>
        </w:tc>
        <w:tc>
          <w:tcPr>
            <w:tcW w:w="1701" w:type="dxa"/>
            <w:shd w:val="clear" w:color="auto" w:fill="auto"/>
            <w:noWrap/>
            <w:vAlign w:val="bottom"/>
            <w:hideMark/>
          </w:tcPr>
          <w:p w14:paraId="054EC6EE" w14:textId="6D2096EB"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w:t>
            </w:r>
            <w:r>
              <w:rPr>
                <w:rFonts w:eastAsia="Times New Roman" w:cstheme="minorHAnsi"/>
                <w:lang w:eastAsia="en-GB"/>
              </w:rPr>
              <w:t>.0</w:t>
            </w:r>
            <w:r w:rsidRPr="004A61FA">
              <w:rPr>
                <w:rFonts w:eastAsia="Times New Roman" w:cstheme="minorHAnsi"/>
                <w:lang w:eastAsia="en-GB"/>
              </w:rPr>
              <w:t xml:space="preserve"> [0.7-1.3]</w:t>
            </w:r>
          </w:p>
        </w:tc>
        <w:tc>
          <w:tcPr>
            <w:tcW w:w="1559" w:type="dxa"/>
            <w:shd w:val="clear" w:color="auto" w:fill="auto"/>
            <w:noWrap/>
            <w:vAlign w:val="bottom"/>
            <w:hideMark/>
          </w:tcPr>
          <w:p w14:paraId="3A3258C0"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0.540</w:t>
            </w:r>
          </w:p>
        </w:tc>
        <w:tc>
          <w:tcPr>
            <w:tcW w:w="1559" w:type="dxa"/>
            <w:vAlign w:val="bottom"/>
          </w:tcPr>
          <w:p w14:paraId="388391BF" w14:textId="77777777" w:rsidR="004021AD" w:rsidRPr="004A61FA" w:rsidRDefault="004021AD" w:rsidP="00CB42B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0.957</w:t>
            </w:r>
          </w:p>
        </w:tc>
      </w:tr>
      <w:tr w:rsidR="004021AD" w:rsidRPr="00B72C17" w14:paraId="4F25B453" w14:textId="77777777" w:rsidTr="00143EF1">
        <w:trPr>
          <w:trHeight w:val="300"/>
        </w:trPr>
        <w:tc>
          <w:tcPr>
            <w:tcW w:w="2436" w:type="dxa"/>
            <w:gridSpan w:val="2"/>
            <w:shd w:val="clear" w:color="auto" w:fill="auto"/>
            <w:noWrap/>
            <w:vAlign w:val="bottom"/>
            <w:hideMark/>
          </w:tcPr>
          <w:p w14:paraId="4F45C9F6"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Creatinine</w:t>
            </w:r>
            <w:r>
              <w:rPr>
                <w:rFonts w:eastAsia="Times New Roman" w:cstheme="minorHAnsi"/>
                <w:color w:val="000000"/>
                <w:lang w:eastAsia="en-GB"/>
              </w:rPr>
              <w:t xml:space="preserve"> </w:t>
            </w:r>
            <w:r w:rsidRPr="004A61FA">
              <w:rPr>
                <w:rFonts w:ascii="Calibri" w:eastAsia="Times New Roman" w:hAnsi="Calibri" w:cs="Calibri"/>
                <w:color w:val="000000"/>
                <w:lang w:eastAsia="en-GB"/>
              </w:rPr>
              <w:t>(µmol/L)</w:t>
            </w:r>
          </w:p>
        </w:tc>
        <w:tc>
          <w:tcPr>
            <w:tcW w:w="1959" w:type="dxa"/>
            <w:shd w:val="clear" w:color="auto" w:fill="auto"/>
            <w:noWrap/>
            <w:vAlign w:val="bottom"/>
            <w:hideMark/>
          </w:tcPr>
          <w:p w14:paraId="4361B9BC"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82 [64-111]</w:t>
            </w:r>
          </w:p>
        </w:tc>
        <w:tc>
          <w:tcPr>
            <w:tcW w:w="1696" w:type="dxa"/>
            <w:shd w:val="clear" w:color="auto" w:fill="auto"/>
            <w:noWrap/>
            <w:vAlign w:val="bottom"/>
            <w:hideMark/>
          </w:tcPr>
          <w:p w14:paraId="171F3332"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100 [80-163]</w:t>
            </w:r>
          </w:p>
        </w:tc>
        <w:tc>
          <w:tcPr>
            <w:tcW w:w="1701" w:type="dxa"/>
            <w:shd w:val="clear" w:color="auto" w:fill="auto"/>
            <w:noWrap/>
            <w:vAlign w:val="bottom"/>
            <w:hideMark/>
          </w:tcPr>
          <w:p w14:paraId="22FBCD19" w14:textId="7D4AF5FA"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84 [60-</w:t>
            </w:r>
            <w:r>
              <w:rPr>
                <w:rFonts w:eastAsia="Times New Roman" w:cstheme="minorHAnsi"/>
                <w:lang w:eastAsia="en-GB"/>
              </w:rPr>
              <w:t>113</w:t>
            </w:r>
            <w:r w:rsidRPr="004A61FA">
              <w:rPr>
                <w:rFonts w:eastAsia="Times New Roman" w:cstheme="minorHAnsi"/>
                <w:lang w:eastAsia="en-GB"/>
              </w:rPr>
              <w:t>]</w:t>
            </w:r>
          </w:p>
        </w:tc>
        <w:tc>
          <w:tcPr>
            <w:tcW w:w="1701" w:type="dxa"/>
            <w:shd w:val="clear" w:color="auto" w:fill="auto"/>
            <w:noWrap/>
            <w:vAlign w:val="bottom"/>
            <w:hideMark/>
          </w:tcPr>
          <w:p w14:paraId="30F7F9F2"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77 [63-99]</w:t>
            </w:r>
          </w:p>
        </w:tc>
        <w:tc>
          <w:tcPr>
            <w:tcW w:w="1559" w:type="dxa"/>
            <w:shd w:val="clear" w:color="auto" w:fill="auto"/>
            <w:noWrap/>
            <w:vAlign w:val="bottom"/>
            <w:hideMark/>
          </w:tcPr>
          <w:p w14:paraId="343C85CB"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0.010</w:t>
            </w:r>
          </w:p>
        </w:tc>
        <w:tc>
          <w:tcPr>
            <w:tcW w:w="1559" w:type="dxa"/>
          </w:tcPr>
          <w:p w14:paraId="10E57E29"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0.004</w:t>
            </w:r>
          </w:p>
        </w:tc>
      </w:tr>
      <w:tr w:rsidR="004021AD" w:rsidRPr="00B72C17" w14:paraId="7C1AE61D" w14:textId="77777777" w:rsidTr="00143EF1">
        <w:trPr>
          <w:trHeight w:val="300"/>
        </w:trPr>
        <w:tc>
          <w:tcPr>
            <w:tcW w:w="2436" w:type="dxa"/>
            <w:gridSpan w:val="2"/>
            <w:shd w:val="clear" w:color="auto" w:fill="auto"/>
            <w:noWrap/>
            <w:vAlign w:val="bottom"/>
            <w:hideMark/>
          </w:tcPr>
          <w:p w14:paraId="7483AE4A"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Urea</w:t>
            </w:r>
            <w:r>
              <w:rPr>
                <w:rFonts w:eastAsia="Times New Roman" w:cstheme="minorHAnsi"/>
                <w:color w:val="000000"/>
                <w:lang w:eastAsia="en-GB"/>
              </w:rPr>
              <w:t xml:space="preserve"> </w:t>
            </w:r>
            <w:r w:rsidRPr="004A61FA">
              <w:rPr>
                <w:rFonts w:ascii="Calibri" w:eastAsia="Times New Roman" w:hAnsi="Calibri" w:cs="Calibri"/>
                <w:color w:val="000000"/>
                <w:lang w:eastAsia="en-GB"/>
              </w:rPr>
              <w:t>(mmol/L)</w:t>
            </w:r>
          </w:p>
        </w:tc>
        <w:tc>
          <w:tcPr>
            <w:tcW w:w="1959" w:type="dxa"/>
            <w:shd w:val="clear" w:color="auto" w:fill="auto"/>
            <w:noWrap/>
            <w:vAlign w:val="bottom"/>
            <w:hideMark/>
          </w:tcPr>
          <w:p w14:paraId="7AC23A6D"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6.5 [4.8-10.9]</w:t>
            </w:r>
          </w:p>
        </w:tc>
        <w:tc>
          <w:tcPr>
            <w:tcW w:w="1696" w:type="dxa"/>
            <w:shd w:val="clear" w:color="auto" w:fill="auto"/>
            <w:noWrap/>
            <w:vAlign w:val="bottom"/>
            <w:hideMark/>
          </w:tcPr>
          <w:p w14:paraId="08485705"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11.5 [6.4-16.3]</w:t>
            </w:r>
          </w:p>
        </w:tc>
        <w:tc>
          <w:tcPr>
            <w:tcW w:w="1701" w:type="dxa"/>
            <w:shd w:val="clear" w:color="auto" w:fill="auto"/>
            <w:noWrap/>
            <w:vAlign w:val="bottom"/>
            <w:hideMark/>
          </w:tcPr>
          <w:p w14:paraId="5A3F1230"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6.8 [5.1-10.4]</w:t>
            </w:r>
          </w:p>
        </w:tc>
        <w:tc>
          <w:tcPr>
            <w:tcW w:w="1701" w:type="dxa"/>
            <w:shd w:val="clear" w:color="auto" w:fill="auto"/>
            <w:noWrap/>
            <w:vAlign w:val="bottom"/>
            <w:hideMark/>
          </w:tcPr>
          <w:p w14:paraId="40A99E3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5.7 [4.4-8.8]</w:t>
            </w:r>
          </w:p>
        </w:tc>
        <w:tc>
          <w:tcPr>
            <w:tcW w:w="1559" w:type="dxa"/>
            <w:shd w:val="clear" w:color="auto" w:fill="auto"/>
            <w:noWrap/>
            <w:vAlign w:val="bottom"/>
            <w:hideMark/>
          </w:tcPr>
          <w:p w14:paraId="4626A713"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0.004</w:t>
            </w:r>
          </w:p>
        </w:tc>
        <w:tc>
          <w:tcPr>
            <w:tcW w:w="1559" w:type="dxa"/>
          </w:tcPr>
          <w:p w14:paraId="53E4659C"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0.004</w:t>
            </w:r>
          </w:p>
        </w:tc>
      </w:tr>
      <w:tr w:rsidR="004021AD" w:rsidRPr="00B72C17" w14:paraId="0B4348AE" w14:textId="77777777" w:rsidTr="00143EF1">
        <w:trPr>
          <w:trHeight w:val="300"/>
        </w:trPr>
        <w:tc>
          <w:tcPr>
            <w:tcW w:w="2436" w:type="dxa"/>
            <w:gridSpan w:val="2"/>
            <w:shd w:val="clear" w:color="auto" w:fill="auto"/>
            <w:noWrap/>
            <w:vAlign w:val="bottom"/>
            <w:hideMark/>
          </w:tcPr>
          <w:p w14:paraId="2EFADB93"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Neutrophil Count</w:t>
            </w:r>
            <w:r w:rsidRPr="004A61FA">
              <w:rPr>
                <w:rFonts w:eastAsia="Times New Roman" w:cstheme="minorHAnsi"/>
                <w:color w:val="000000"/>
                <w:vertAlign w:val="superscript"/>
                <w:lang w:eastAsia="en-GB"/>
              </w:rPr>
              <w:t xml:space="preserve"> </w:t>
            </w:r>
            <w:r w:rsidRPr="004A61FA">
              <w:rPr>
                <w:rFonts w:eastAsia="Times New Roman" w:cstheme="minorHAnsi"/>
                <w:lang w:eastAsia="en-GB"/>
              </w:rPr>
              <w:t>(10</w:t>
            </w:r>
            <w:r w:rsidRPr="004A61FA">
              <w:rPr>
                <w:rFonts w:eastAsia="Times New Roman" w:cstheme="minorHAnsi"/>
                <w:vertAlign w:val="superscript"/>
                <w:lang w:eastAsia="en-GB"/>
              </w:rPr>
              <w:t>9</w:t>
            </w:r>
            <w:r w:rsidRPr="004A61FA">
              <w:rPr>
                <w:rFonts w:eastAsia="Times New Roman" w:cstheme="minorHAnsi"/>
                <w:lang w:eastAsia="en-GB"/>
              </w:rPr>
              <w:t>/L)</w:t>
            </w:r>
          </w:p>
        </w:tc>
        <w:tc>
          <w:tcPr>
            <w:tcW w:w="1959" w:type="dxa"/>
            <w:shd w:val="clear" w:color="auto" w:fill="auto"/>
            <w:noWrap/>
            <w:vAlign w:val="bottom"/>
            <w:hideMark/>
          </w:tcPr>
          <w:p w14:paraId="68C665C0"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5.5 [4-8.2]</w:t>
            </w:r>
          </w:p>
        </w:tc>
        <w:tc>
          <w:tcPr>
            <w:tcW w:w="1696" w:type="dxa"/>
            <w:shd w:val="clear" w:color="auto" w:fill="auto"/>
            <w:noWrap/>
            <w:vAlign w:val="bottom"/>
            <w:hideMark/>
          </w:tcPr>
          <w:p w14:paraId="1E3A5E4E"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5.7 [4.3-11]</w:t>
            </w:r>
          </w:p>
        </w:tc>
        <w:tc>
          <w:tcPr>
            <w:tcW w:w="1701" w:type="dxa"/>
            <w:shd w:val="clear" w:color="auto" w:fill="auto"/>
            <w:noWrap/>
            <w:vAlign w:val="bottom"/>
            <w:hideMark/>
          </w:tcPr>
          <w:p w14:paraId="40408ADC"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5.6 [4.1-8.3]</w:t>
            </w:r>
          </w:p>
        </w:tc>
        <w:tc>
          <w:tcPr>
            <w:tcW w:w="1701" w:type="dxa"/>
            <w:shd w:val="clear" w:color="auto" w:fill="auto"/>
            <w:noWrap/>
            <w:vAlign w:val="bottom"/>
            <w:hideMark/>
          </w:tcPr>
          <w:p w14:paraId="071C006D"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5.3 [3.9-7.6]</w:t>
            </w:r>
          </w:p>
        </w:tc>
        <w:tc>
          <w:tcPr>
            <w:tcW w:w="1559" w:type="dxa"/>
            <w:shd w:val="clear" w:color="auto" w:fill="auto"/>
            <w:noWrap/>
            <w:vAlign w:val="bottom"/>
            <w:hideMark/>
          </w:tcPr>
          <w:p w14:paraId="58491BA8"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0.448</w:t>
            </w:r>
          </w:p>
        </w:tc>
        <w:tc>
          <w:tcPr>
            <w:tcW w:w="1559" w:type="dxa"/>
          </w:tcPr>
          <w:p w14:paraId="07B6CF81" w14:textId="77777777" w:rsidR="004021AD" w:rsidRPr="004A61FA"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0.366</w:t>
            </w:r>
          </w:p>
        </w:tc>
      </w:tr>
      <w:tr w:rsidR="004021AD" w:rsidRPr="00B72C17" w14:paraId="657FD4D6" w14:textId="77777777" w:rsidTr="00143EF1">
        <w:trPr>
          <w:trHeight w:val="300"/>
        </w:trPr>
        <w:tc>
          <w:tcPr>
            <w:tcW w:w="2436" w:type="dxa"/>
            <w:gridSpan w:val="2"/>
            <w:shd w:val="clear" w:color="auto" w:fill="auto"/>
            <w:noWrap/>
            <w:vAlign w:val="bottom"/>
          </w:tcPr>
          <w:p w14:paraId="2F47F342" w14:textId="77777777" w:rsidR="004021AD" w:rsidRPr="004A61FA" w:rsidRDefault="004021AD" w:rsidP="004021AD">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LDH</w:t>
            </w:r>
            <w:r w:rsidRPr="008351A8">
              <w:rPr>
                <w:rFonts w:eastAsia="Times New Roman" w:cstheme="minorHAnsi"/>
                <w:color w:val="000000"/>
                <w:vertAlign w:val="superscript"/>
                <w:lang w:eastAsia="en-GB"/>
              </w:rPr>
              <w:t>g</w:t>
            </w:r>
            <w:proofErr w:type="spellEnd"/>
            <w:r>
              <w:rPr>
                <w:rFonts w:eastAsia="Times New Roman" w:cstheme="minorHAnsi"/>
                <w:color w:val="000000"/>
                <w:lang w:eastAsia="en-GB"/>
              </w:rPr>
              <w:t xml:space="preserve"> </w:t>
            </w:r>
            <w:r w:rsidRPr="008351A8">
              <w:rPr>
                <w:rFonts w:ascii="Calibri" w:hAnsi="Calibri" w:cs="Calibri"/>
                <w:color w:val="000000"/>
              </w:rPr>
              <w:t>(U/L)</w:t>
            </w:r>
            <w:r>
              <w:rPr>
                <w:rFonts w:eastAsia="Times New Roman" w:cstheme="minorHAnsi"/>
                <w:color w:val="000000"/>
                <w:lang w:eastAsia="en-GB"/>
              </w:rPr>
              <w:t xml:space="preserve"> </w:t>
            </w:r>
          </w:p>
        </w:tc>
        <w:tc>
          <w:tcPr>
            <w:tcW w:w="1959" w:type="dxa"/>
            <w:shd w:val="clear" w:color="auto" w:fill="auto"/>
            <w:noWrap/>
            <w:vAlign w:val="bottom"/>
          </w:tcPr>
          <w:p w14:paraId="764BFFB8" w14:textId="77777777" w:rsidR="004021AD" w:rsidRPr="004A61FA" w:rsidRDefault="004021AD" w:rsidP="004021AD">
            <w:pPr>
              <w:spacing w:after="0" w:line="240" w:lineRule="auto"/>
              <w:rPr>
                <w:rFonts w:eastAsia="Times New Roman" w:cstheme="minorHAnsi"/>
                <w:color w:val="000000"/>
                <w:lang w:eastAsia="en-GB"/>
              </w:rPr>
            </w:pPr>
            <w:r>
              <w:rPr>
                <w:rFonts w:eastAsia="Times New Roman" w:cstheme="minorHAnsi"/>
                <w:color w:val="000000"/>
                <w:lang w:eastAsia="en-GB"/>
              </w:rPr>
              <w:t>731 [518-998]</w:t>
            </w:r>
          </w:p>
        </w:tc>
        <w:tc>
          <w:tcPr>
            <w:tcW w:w="1696" w:type="dxa"/>
            <w:shd w:val="clear" w:color="auto" w:fill="auto"/>
            <w:noWrap/>
            <w:vAlign w:val="bottom"/>
          </w:tcPr>
          <w:p w14:paraId="5C9E2064" w14:textId="77777777" w:rsidR="004021AD" w:rsidRPr="004A61FA" w:rsidRDefault="004021AD" w:rsidP="004021AD">
            <w:pPr>
              <w:spacing w:after="0" w:line="240" w:lineRule="auto"/>
              <w:rPr>
                <w:rFonts w:eastAsia="Times New Roman" w:cstheme="minorHAnsi"/>
                <w:lang w:eastAsia="en-GB"/>
              </w:rPr>
            </w:pPr>
            <w:r>
              <w:rPr>
                <w:rFonts w:eastAsia="Times New Roman" w:cstheme="minorHAnsi"/>
                <w:lang w:eastAsia="en-GB"/>
              </w:rPr>
              <w:t>505 [411-777]</w:t>
            </w:r>
          </w:p>
        </w:tc>
        <w:tc>
          <w:tcPr>
            <w:tcW w:w="1701" w:type="dxa"/>
            <w:shd w:val="clear" w:color="auto" w:fill="auto"/>
            <w:noWrap/>
            <w:vAlign w:val="bottom"/>
          </w:tcPr>
          <w:p w14:paraId="394D818F" w14:textId="77777777" w:rsidR="004021AD" w:rsidRPr="004A61FA" w:rsidRDefault="004021AD" w:rsidP="004021AD">
            <w:pPr>
              <w:spacing w:after="0" w:line="240" w:lineRule="auto"/>
              <w:rPr>
                <w:rFonts w:eastAsia="Times New Roman" w:cstheme="minorHAnsi"/>
                <w:lang w:eastAsia="en-GB"/>
              </w:rPr>
            </w:pPr>
            <w:r>
              <w:rPr>
                <w:rFonts w:eastAsia="Times New Roman" w:cstheme="minorHAnsi"/>
                <w:lang w:eastAsia="en-GB"/>
              </w:rPr>
              <w:t>698 [503-1015]</w:t>
            </w:r>
          </w:p>
        </w:tc>
        <w:tc>
          <w:tcPr>
            <w:tcW w:w="1701" w:type="dxa"/>
            <w:shd w:val="clear" w:color="auto" w:fill="auto"/>
            <w:noWrap/>
            <w:vAlign w:val="bottom"/>
          </w:tcPr>
          <w:p w14:paraId="6D700DA2" w14:textId="77777777" w:rsidR="004021AD" w:rsidRPr="004A61FA" w:rsidRDefault="004021AD" w:rsidP="004021AD">
            <w:pPr>
              <w:spacing w:after="0" w:line="240" w:lineRule="auto"/>
              <w:rPr>
                <w:rFonts w:eastAsia="Times New Roman" w:cstheme="minorHAnsi"/>
                <w:lang w:eastAsia="en-GB"/>
              </w:rPr>
            </w:pPr>
            <w:r>
              <w:rPr>
                <w:rFonts w:eastAsia="Times New Roman" w:cstheme="minorHAnsi"/>
                <w:lang w:eastAsia="en-GB"/>
              </w:rPr>
              <w:t>781 [597-1005]</w:t>
            </w:r>
          </w:p>
        </w:tc>
        <w:tc>
          <w:tcPr>
            <w:tcW w:w="1559" w:type="dxa"/>
            <w:shd w:val="clear" w:color="auto" w:fill="auto"/>
            <w:noWrap/>
            <w:vAlign w:val="bottom"/>
          </w:tcPr>
          <w:p w14:paraId="7EC7F303" w14:textId="77777777" w:rsidR="004021AD" w:rsidRPr="00583534" w:rsidRDefault="004021AD" w:rsidP="004021AD">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0.038</w:t>
            </w:r>
          </w:p>
        </w:tc>
        <w:tc>
          <w:tcPr>
            <w:tcW w:w="1559" w:type="dxa"/>
          </w:tcPr>
          <w:p w14:paraId="57C2C156" w14:textId="77777777" w:rsidR="004021AD" w:rsidRPr="00583534" w:rsidRDefault="004021AD" w:rsidP="004021AD">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0.023</w:t>
            </w:r>
          </w:p>
        </w:tc>
      </w:tr>
      <w:tr w:rsidR="004021AD" w:rsidRPr="00B72C17" w14:paraId="1EC110B1" w14:textId="77777777" w:rsidTr="00143EF1">
        <w:trPr>
          <w:trHeight w:val="300"/>
        </w:trPr>
        <w:tc>
          <w:tcPr>
            <w:tcW w:w="2436" w:type="dxa"/>
            <w:gridSpan w:val="2"/>
            <w:shd w:val="clear" w:color="auto" w:fill="auto"/>
            <w:noWrap/>
            <w:vAlign w:val="bottom"/>
          </w:tcPr>
          <w:p w14:paraId="7414F25A" w14:textId="77777777" w:rsidR="004021AD" w:rsidRDefault="004021AD" w:rsidP="004021AD">
            <w:pPr>
              <w:spacing w:after="0" w:line="240" w:lineRule="auto"/>
              <w:rPr>
                <w:rFonts w:eastAsia="Times New Roman" w:cstheme="minorHAnsi"/>
                <w:color w:val="000000"/>
                <w:lang w:eastAsia="en-GB"/>
              </w:rPr>
            </w:pPr>
            <w:r w:rsidRPr="00315864">
              <w:rPr>
                <w:rFonts w:eastAsia="Times New Roman" w:cstheme="minorHAnsi"/>
                <w:color w:val="000000"/>
                <w:lang w:eastAsia="en-GB"/>
              </w:rPr>
              <w:t>D-</w:t>
            </w:r>
            <w:proofErr w:type="spellStart"/>
            <w:proofErr w:type="gramStart"/>
            <w:r w:rsidRPr="00315864">
              <w:rPr>
                <w:rFonts w:eastAsia="Times New Roman" w:cstheme="minorHAnsi"/>
                <w:color w:val="000000"/>
                <w:lang w:eastAsia="en-GB"/>
              </w:rPr>
              <w:t>Dimer</w:t>
            </w:r>
            <w:r w:rsidRPr="008351A8">
              <w:rPr>
                <w:rFonts w:eastAsia="Times New Roman" w:cstheme="minorHAnsi"/>
                <w:color w:val="000000"/>
                <w:vertAlign w:val="superscript"/>
                <w:lang w:eastAsia="en-GB"/>
              </w:rPr>
              <w:t>h</w:t>
            </w:r>
            <w:proofErr w:type="spellEnd"/>
            <w:r w:rsidRPr="008351A8">
              <w:rPr>
                <w:rFonts w:eastAsia="Times New Roman" w:cstheme="minorHAnsi"/>
                <w:color w:val="000000"/>
                <w:vertAlign w:val="superscript"/>
                <w:lang w:eastAsia="en-GB"/>
              </w:rPr>
              <w:t xml:space="preserve"> </w:t>
            </w:r>
            <w:r>
              <w:rPr>
                <w:rFonts w:eastAsia="Times New Roman" w:cstheme="minorHAnsi"/>
                <w:color w:val="000000"/>
                <w:lang w:eastAsia="en-GB"/>
              </w:rPr>
              <w:t xml:space="preserve"> </w:t>
            </w:r>
            <w:r w:rsidRPr="008351A8">
              <w:rPr>
                <w:rFonts w:ascii="Calibri" w:hAnsi="Calibri" w:cs="Calibri"/>
                <w:color w:val="000000"/>
              </w:rPr>
              <w:t>(</w:t>
            </w:r>
            <w:proofErr w:type="gramEnd"/>
            <w:r w:rsidRPr="008351A8">
              <w:rPr>
                <w:rFonts w:ascii="Calibri" w:hAnsi="Calibri" w:cs="Calibri"/>
                <w:color w:val="000000"/>
              </w:rPr>
              <w:t>ng/L)</w:t>
            </w:r>
          </w:p>
        </w:tc>
        <w:tc>
          <w:tcPr>
            <w:tcW w:w="1959" w:type="dxa"/>
            <w:shd w:val="clear" w:color="auto" w:fill="auto"/>
            <w:noWrap/>
            <w:vAlign w:val="bottom"/>
          </w:tcPr>
          <w:p w14:paraId="62A25404" w14:textId="77777777" w:rsidR="004021AD" w:rsidRDefault="004021AD" w:rsidP="004021AD">
            <w:pPr>
              <w:spacing w:after="0" w:line="240" w:lineRule="auto"/>
              <w:rPr>
                <w:rFonts w:eastAsia="Times New Roman" w:cstheme="minorHAnsi"/>
                <w:color w:val="000000"/>
                <w:lang w:eastAsia="en-GB"/>
              </w:rPr>
            </w:pPr>
            <w:r>
              <w:rPr>
                <w:rFonts w:eastAsia="Times New Roman" w:cstheme="minorHAnsi"/>
                <w:color w:val="000000"/>
                <w:lang w:eastAsia="en-GB"/>
              </w:rPr>
              <w:t>478 [341-873]</w:t>
            </w:r>
          </w:p>
        </w:tc>
        <w:tc>
          <w:tcPr>
            <w:tcW w:w="1696" w:type="dxa"/>
            <w:shd w:val="clear" w:color="auto" w:fill="auto"/>
            <w:noWrap/>
            <w:vAlign w:val="bottom"/>
          </w:tcPr>
          <w:p w14:paraId="087DF7E5" w14:textId="77777777" w:rsidR="004021AD" w:rsidRDefault="004021AD" w:rsidP="004021AD">
            <w:pPr>
              <w:spacing w:after="0" w:line="240" w:lineRule="auto"/>
              <w:rPr>
                <w:rFonts w:eastAsia="Times New Roman" w:cstheme="minorHAnsi"/>
                <w:lang w:eastAsia="en-GB"/>
              </w:rPr>
            </w:pPr>
            <w:r>
              <w:rPr>
                <w:rFonts w:ascii="Calibri" w:eastAsia="Times New Roman" w:hAnsi="Calibri" w:cs="Calibri"/>
                <w:color w:val="000000"/>
                <w:lang w:eastAsia="en-GB"/>
              </w:rPr>
              <w:t>417 [305-953]</w:t>
            </w:r>
          </w:p>
        </w:tc>
        <w:tc>
          <w:tcPr>
            <w:tcW w:w="1701" w:type="dxa"/>
            <w:shd w:val="clear" w:color="auto" w:fill="auto"/>
            <w:noWrap/>
            <w:vAlign w:val="bottom"/>
          </w:tcPr>
          <w:p w14:paraId="639BC8E2" w14:textId="77777777" w:rsidR="004021AD" w:rsidRDefault="004021AD" w:rsidP="004021AD">
            <w:pPr>
              <w:spacing w:after="0" w:line="240" w:lineRule="auto"/>
              <w:rPr>
                <w:rFonts w:eastAsia="Times New Roman" w:cstheme="minorHAnsi"/>
                <w:lang w:eastAsia="en-GB"/>
              </w:rPr>
            </w:pPr>
            <w:r>
              <w:rPr>
                <w:rFonts w:ascii="Calibri" w:eastAsia="Times New Roman" w:hAnsi="Calibri" w:cs="Calibri"/>
                <w:color w:val="000000"/>
                <w:lang w:eastAsia="en-GB"/>
              </w:rPr>
              <w:t>573 [325-1023]</w:t>
            </w:r>
          </w:p>
        </w:tc>
        <w:tc>
          <w:tcPr>
            <w:tcW w:w="1701" w:type="dxa"/>
            <w:shd w:val="clear" w:color="auto" w:fill="auto"/>
            <w:noWrap/>
          </w:tcPr>
          <w:p w14:paraId="6A7664E2" w14:textId="17D249BD" w:rsidR="004021AD" w:rsidRDefault="00167E72" w:rsidP="004021AD">
            <w:pPr>
              <w:spacing w:after="0" w:line="240" w:lineRule="auto"/>
              <w:rPr>
                <w:rFonts w:eastAsia="Times New Roman" w:cstheme="minorHAnsi"/>
                <w:lang w:eastAsia="en-GB"/>
              </w:rPr>
            </w:pPr>
            <w:r>
              <w:rPr>
                <w:rFonts w:ascii="Calibri" w:eastAsia="Times New Roman" w:hAnsi="Calibri" w:cs="Calibri"/>
                <w:color w:val="000000"/>
                <w:lang w:eastAsia="en-GB"/>
              </w:rPr>
              <w:t>452</w:t>
            </w:r>
            <w:r w:rsidR="004021AD">
              <w:rPr>
                <w:rFonts w:ascii="Calibri" w:eastAsia="Times New Roman" w:hAnsi="Calibri" w:cs="Calibri"/>
                <w:color w:val="000000"/>
                <w:lang w:eastAsia="en-GB"/>
              </w:rPr>
              <w:t xml:space="preserve"> [</w:t>
            </w:r>
            <w:r>
              <w:rPr>
                <w:rFonts w:ascii="Calibri" w:eastAsia="Times New Roman" w:hAnsi="Calibri" w:cs="Calibri"/>
                <w:color w:val="000000"/>
                <w:lang w:eastAsia="en-GB"/>
              </w:rPr>
              <w:t>36</w:t>
            </w:r>
            <w:r w:rsidR="00441152">
              <w:rPr>
                <w:rFonts w:ascii="Calibri" w:eastAsia="Times New Roman" w:hAnsi="Calibri" w:cs="Calibri"/>
                <w:color w:val="000000"/>
                <w:lang w:eastAsia="en-GB"/>
              </w:rPr>
              <w:t>6</w:t>
            </w:r>
            <w:r w:rsidR="004021AD">
              <w:rPr>
                <w:rFonts w:ascii="Calibri" w:eastAsia="Times New Roman" w:hAnsi="Calibri" w:cs="Calibri"/>
                <w:color w:val="000000"/>
                <w:lang w:eastAsia="en-GB"/>
              </w:rPr>
              <w:t>-579]</w:t>
            </w:r>
          </w:p>
        </w:tc>
        <w:tc>
          <w:tcPr>
            <w:tcW w:w="1559" w:type="dxa"/>
            <w:shd w:val="clear" w:color="auto" w:fill="auto"/>
            <w:noWrap/>
            <w:vAlign w:val="bottom"/>
          </w:tcPr>
          <w:p w14:paraId="5B0929B0" w14:textId="77777777" w:rsidR="004021AD" w:rsidRPr="00087927" w:rsidRDefault="004021AD" w:rsidP="004021AD">
            <w:pPr>
              <w:spacing w:after="0" w:line="240" w:lineRule="auto"/>
              <w:jc w:val="center"/>
              <w:rPr>
                <w:rFonts w:eastAsia="Times New Roman" w:cstheme="minorHAnsi"/>
                <w:color w:val="000000"/>
                <w:lang w:eastAsia="en-GB"/>
              </w:rPr>
            </w:pPr>
            <w:r>
              <w:rPr>
                <w:rFonts w:ascii="Calibri" w:eastAsia="Times New Roman" w:hAnsi="Calibri" w:cs="Calibri"/>
                <w:color w:val="000000"/>
                <w:lang w:eastAsia="en-GB"/>
              </w:rPr>
              <w:t>0.390</w:t>
            </w:r>
          </w:p>
        </w:tc>
        <w:tc>
          <w:tcPr>
            <w:tcW w:w="1559" w:type="dxa"/>
          </w:tcPr>
          <w:p w14:paraId="09911AE2" w14:textId="77777777" w:rsidR="004021AD" w:rsidRPr="00087927" w:rsidRDefault="004021AD" w:rsidP="004021AD">
            <w:pPr>
              <w:spacing w:after="0" w:line="240" w:lineRule="auto"/>
              <w:jc w:val="center"/>
              <w:rPr>
                <w:rFonts w:eastAsia="Times New Roman" w:cstheme="minorHAnsi"/>
                <w:color w:val="000000"/>
                <w:lang w:eastAsia="en-GB"/>
              </w:rPr>
            </w:pPr>
            <w:r>
              <w:rPr>
                <w:rFonts w:eastAsia="Times New Roman" w:cstheme="minorHAnsi"/>
                <w:color w:val="000000"/>
                <w:lang w:eastAsia="en-GB"/>
              </w:rPr>
              <w:t>0.716</w:t>
            </w:r>
          </w:p>
        </w:tc>
      </w:tr>
      <w:tr w:rsidR="004021AD" w:rsidRPr="00B72C17" w14:paraId="7908D27D" w14:textId="77777777" w:rsidTr="00143EF1">
        <w:trPr>
          <w:trHeight w:val="300"/>
        </w:trPr>
        <w:tc>
          <w:tcPr>
            <w:tcW w:w="2436" w:type="dxa"/>
            <w:gridSpan w:val="2"/>
            <w:shd w:val="clear" w:color="auto" w:fill="auto"/>
            <w:noWrap/>
            <w:vAlign w:val="bottom"/>
          </w:tcPr>
          <w:p w14:paraId="6FAA1FCE" w14:textId="77777777" w:rsidR="004021AD" w:rsidRPr="00087927" w:rsidRDefault="004021AD" w:rsidP="004021AD">
            <w:pPr>
              <w:spacing w:after="0" w:line="240" w:lineRule="auto"/>
              <w:rPr>
                <w:rFonts w:eastAsia="Times New Roman" w:cstheme="minorHAnsi"/>
                <w:color w:val="000000"/>
                <w:highlight w:val="yellow"/>
                <w:lang w:eastAsia="en-GB"/>
              </w:rPr>
            </w:pPr>
            <w:r w:rsidRPr="00087927">
              <w:rPr>
                <w:rFonts w:eastAsia="Times New Roman" w:cstheme="minorHAnsi"/>
                <w:color w:val="000000"/>
                <w:lang w:eastAsia="en-GB"/>
              </w:rPr>
              <w:t>Platelets</w:t>
            </w:r>
            <w:r>
              <w:rPr>
                <w:rFonts w:eastAsia="Times New Roman" w:cstheme="minorHAnsi"/>
                <w:color w:val="000000"/>
                <w:lang w:eastAsia="en-GB"/>
              </w:rPr>
              <w:t xml:space="preserve"> </w:t>
            </w:r>
            <w:r w:rsidRPr="00010808">
              <w:rPr>
                <w:rFonts w:ascii="Calibri" w:eastAsia="Times New Roman" w:hAnsi="Calibri" w:cs="Times New Roman"/>
                <w:lang w:eastAsia="en-GB"/>
              </w:rPr>
              <w:t>(10</w:t>
            </w:r>
            <w:r w:rsidRPr="00010808">
              <w:rPr>
                <w:rFonts w:ascii="Calibri" w:eastAsia="Times New Roman" w:hAnsi="Calibri" w:cs="Times New Roman"/>
                <w:vertAlign w:val="superscript"/>
                <w:lang w:eastAsia="en-GB"/>
              </w:rPr>
              <w:t>9</w:t>
            </w:r>
            <w:r w:rsidRPr="00010808">
              <w:rPr>
                <w:rFonts w:ascii="Calibri" w:eastAsia="Times New Roman" w:hAnsi="Calibri" w:cs="Times New Roman"/>
                <w:lang w:eastAsia="en-GB"/>
              </w:rPr>
              <w:t>/L)</w:t>
            </w:r>
          </w:p>
        </w:tc>
        <w:tc>
          <w:tcPr>
            <w:tcW w:w="1959" w:type="dxa"/>
            <w:shd w:val="clear" w:color="auto" w:fill="auto"/>
            <w:noWrap/>
            <w:vAlign w:val="bottom"/>
          </w:tcPr>
          <w:p w14:paraId="6C9302F1" w14:textId="77777777" w:rsidR="004021AD" w:rsidRDefault="004021AD" w:rsidP="004021AD">
            <w:pPr>
              <w:spacing w:after="0" w:line="240" w:lineRule="auto"/>
              <w:rPr>
                <w:rFonts w:eastAsia="Times New Roman" w:cstheme="minorHAnsi"/>
                <w:color w:val="000000"/>
                <w:lang w:eastAsia="en-GB"/>
              </w:rPr>
            </w:pPr>
            <w:r>
              <w:rPr>
                <w:rFonts w:eastAsia="Times New Roman" w:cstheme="minorHAnsi"/>
                <w:color w:val="000000"/>
                <w:lang w:eastAsia="en-GB"/>
              </w:rPr>
              <w:t>230 [174-292]</w:t>
            </w:r>
          </w:p>
        </w:tc>
        <w:tc>
          <w:tcPr>
            <w:tcW w:w="1696" w:type="dxa"/>
            <w:shd w:val="clear" w:color="auto" w:fill="auto"/>
            <w:noWrap/>
            <w:vAlign w:val="bottom"/>
          </w:tcPr>
          <w:p w14:paraId="5EE4C0F9"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223 [154-272]</w:t>
            </w:r>
          </w:p>
        </w:tc>
        <w:tc>
          <w:tcPr>
            <w:tcW w:w="1701" w:type="dxa"/>
            <w:shd w:val="clear" w:color="auto" w:fill="auto"/>
            <w:noWrap/>
            <w:vAlign w:val="bottom"/>
          </w:tcPr>
          <w:p w14:paraId="08CC002E"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230 [171-279]</w:t>
            </w:r>
          </w:p>
        </w:tc>
        <w:tc>
          <w:tcPr>
            <w:tcW w:w="1701" w:type="dxa"/>
            <w:shd w:val="clear" w:color="auto" w:fill="auto"/>
            <w:noWrap/>
            <w:vAlign w:val="bottom"/>
          </w:tcPr>
          <w:p w14:paraId="152F9185"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233 [178-321]</w:t>
            </w:r>
          </w:p>
        </w:tc>
        <w:tc>
          <w:tcPr>
            <w:tcW w:w="1559" w:type="dxa"/>
            <w:shd w:val="clear" w:color="auto" w:fill="auto"/>
            <w:noWrap/>
            <w:vAlign w:val="bottom"/>
          </w:tcPr>
          <w:p w14:paraId="5CEE669E" w14:textId="77777777" w:rsidR="004021AD" w:rsidRDefault="004021AD" w:rsidP="004021AD">
            <w:pPr>
              <w:spacing w:after="0" w:line="240" w:lineRule="auto"/>
              <w:jc w:val="center"/>
              <w:rPr>
                <w:rFonts w:eastAsia="Times New Roman" w:cstheme="minorHAnsi"/>
                <w:color w:val="000000"/>
                <w:lang w:eastAsia="en-GB"/>
              </w:rPr>
            </w:pPr>
            <w:r>
              <w:rPr>
                <w:rFonts w:eastAsia="Times New Roman" w:cstheme="minorHAnsi"/>
                <w:color w:val="000000"/>
                <w:lang w:eastAsia="en-GB"/>
              </w:rPr>
              <w:t>0.276</w:t>
            </w:r>
          </w:p>
        </w:tc>
        <w:tc>
          <w:tcPr>
            <w:tcW w:w="1559" w:type="dxa"/>
          </w:tcPr>
          <w:p w14:paraId="40E3AA4B" w14:textId="77777777" w:rsidR="004021AD" w:rsidRDefault="004021AD" w:rsidP="004021AD">
            <w:pPr>
              <w:spacing w:after="0" w:line="240" w:lineRule="auto"/>
              <w:jc w:val="center"/>
              <w:rPr>
                <w:rFonts w:eastAsia="Times New Roman" w:cstheme="minorHAnsi"/>
                <w:color w:val="000000"/>
                <w:lang w:eastAsia="en-GB"/>
              </w:rPr>
            </w:pPr>
            <w:r>
              <w:rPr>
                <w:rFonts w:eastAsia="Times New Roman" w:cstheme="minorHAnsi"/>
                <w:color w:val="000000"/>
                <w:lang w:eastAsia="en-GB"/>
              </w:rPr>
              <w:t>0.266</w:t>
            </w:r>
          </w:p>
        </w:tc>
      </w:tr>
      <w:tr w:rsidR="004021AD" w:rsidRPr="00B72C17" w14:paraId="3FF2AD90" w14:textId="77777777" w:rsidTr="00143EF1">
        <w:trPr>
          <w:trHeight w:val="300"/>
        </w:trPr>
        <w:tc>
          <w:tcPr>
            <w:tcW w:w="2436" w:type="dxa"/>
            <w:gridSpan w:val="2"/>
            <w:shd w:val="clear" w:color="auto" w:fill="auto"/>
            <w:noWrap/>
            <w:vAlign w:val="bottom"/>
          </w:tcPr>
          <w:p w14:paraId="627FFE0B" w14:textId="77777777" w:rsidR="004021AD" w:rsidRPr="00087927" w:rsidRDefault="004021AD" w:rsidP="004021AD">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Ferritin</w:t>
            </w:r>
            <w:r w:rsidRPr="00054846">
              <w:rPr>
                <w:rFonts w:eastAsia="Times New Roman" w:cstheme="minorHAnsi"/>
                <w:color w:val="000000"/>
                <w:vertAlign w:val="superscript"/>
                <w:lang w:eastAsia="en-GB"/>
              </w:rPr>
              <w:t>i</w:t>
            </w:r>
            <w:proofErr w:type="spellEnd"/>
            <w:r w:rsidRPr="008351A8">
              <w:rPr>
                <w:rFonts w:eastAsia="Times New Roman" w:cstheme="minorHAnsi"/>
                <w:color w:val="000000"/>
                <w:sz w:val="24"/>
                <w:szCs w:val="24"/>
                <w:lang w:eastAsia="en-GB"/>
              </w:rPr>
              <w:t xml:space="preserve"> </w:t>
            </w:r>
            <w:r w:rsidRPr="008351A8">
              <w:rPr>
                <w:rFonts w:ascii="Calibri" w:hAnsi="Calibri" w:cs="Calibri"/>
                <w:color w:val="000000"/>
              </w:rPr>
              <w:t>(µg/L)</w:t>
            </w:r>
          </w:p>
        </w:tc>
        <w:tc>
          <w:tcPr>
            <w:tcW w:w="1959" w:type="dxa"/>
            <w:shd w:val="clear" w:color="auto" w:fill="auto"/>
            <w:noWrap/>
            <w:vAlign w:val="bottom"/>
          </w:tcPr>
          <w:p w14:paraId="6341D6EB" w14:textId="77777777" w:rsidR="004021AD" w:rsidRDefault="004021AD" w:rsidP="004021AD">
            <w:pPr>
              <w:spacing w:after="0" w:line="240" w:lineRule="auto"/>
              <w:rPr>
                <w:rFonts w:eastAsia="Times New Roman" w:cstheme="minorHAnsi"/>
                <w:color w:val="000000"/>
                <w:lang w:eastAsia="en-GB"/>
              </w:rPr>
            </w:pPr>
            <w:r>
              <w:rPr>
                <w:rFonts w:eastAsia="Times New Roman" w:cstheme="minorHAnsi"/>
                <w:color w:val="000000"/>
                <w:lang w:eastAsia="en-GB"/>
              </w:rPr>
              <w:t>518 [239-1197]</w:t>
            </w:r>
          </w:p>
        </w:tc>
        <w:tc>
          <w:tcPr>
            <w:tcW w:w="1696" w:type="dxa"/>
            <w:shd w:val="clear" w:color="auto" w:fill="auto"/>
            <w:noWrap/>
            <w:vAlign w:val="bottom"/>
          </w:tcPr>
          <w:p w14:paraId="6FDED6ED"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232 [62-1268]</w:t>
            </w:r>
          </w:p>
        </w:tc>
        <w:tc>
          <w:tcPr>
            <w:tcW w:w="1701" w:type="dxa"/>
            <w:shd w:val="clear" w:color="auto" w:fill="auto"/>
            <w:noWrap/>
            <w:vAlign w:val="bottom"/>
          </w:tcPr>
          <w:p w14:paraId="52E82EF8"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479 [183-1361]</w:t>
            </w:r>
          </w:p>
        </w:tc>
        <w:tc>
          <w:tcPr>
            <w:tcW w:w="1701" w:type="dxa"/>
            <w:shd w:val="clear" w:color="auto" w:fill="auto"/>
            <w:noWrap/>
            <w:vAlign w:val="bottom"/>
          </w:tcPr>
          <w:p w14:paraId="305EB716"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604 [326-1234]</w:t>
            </w:r>
          </w:p>
        </w:tc>
        <w:tc>
          <w:tcPr>
            <w:tcW w:w="1559" w:type="dxa"/>
            <w:shd w:val="clear" w:color="auto" w:fill="auto"/>
            <w:noWrap/>
            <w:vAlign w:val="bottom"/>
          </w:tcPr>
          <w:p w14:paraId="3CA29C69" w14:textId="77777777" w:rsidR="004021AD" w:rsidRDefault="004021AD" w:rsidP="004021AD">
            <w:pPr>
              <w:spacing w:after="0" w:line="240" w:lineRule="auto"/>
              <w:jc w:val="center"/>
              <w:rPr>
                <w:rFonts w:eastAsia="Times New Roman" w:cstheme="minorHAnsi"/>
                <w:color w:val="000000"/>
                <w:lang w:eastAsia="en-GB"/>
              </w:rPr>
            </w:pPr>
            <w:r>
              <w:rPr>
                <w:rFonts w:eastAsia="Times New Roman" w:cstheme="minorHAnsi"/>
                <w:color w:val="000000"/>
                <w:lang w:eastAsia="en-GB"/>
              </w:rPr>
              <w:t>0.091</w:t>
            </w:r>
          </w:p>
        </w:tc>
        <w:tc>
          <w:tcPr>
            <w:tcW w:w="1559" w:type="dxa"/>
          </w:tcPr>
          <w:p w14:paraId="455744AE" w14:textId="77777777" w:rsidR="004021AD" w:rsidRDefault="004021AD" w:rsidP="004021AD">
            <w:pPr>
              <w:spacing w:after="0" w:line="240" w:lineRule="auto"/>
              <w:jc w:val="center"/>
              <w:rPr>
                <w:rFonts w:eastAsia="Times New Roman" w:cstheme="minorHAnsi"/>
                <w:color w:val="000000"/>
                <w:lang w:eastAsia="en-GB"/>
              </w:rPr>
            </w:pPr>
            <w:r>
              <w:rPr>
                <w:rFonts w:eastAsia="Times New Roman" w:cstheme="minorHAnsi"/>
                <w:color w:val="000000"/>
                <w:lang w:eastAsia="en-GB"/>
              </w:rPr>
              <w:t>0.070</w:t>
            </w:r>
          </w:p>
        </w:tc>
      </w:tr>
      <w:tr w:rsidR="004021AD" w:rsidRPr="00B72C17" w14:paraId="52A3EDD6" w14:textId="77777777" w:rsidTr="00143EF1">
        <w:trPr>
          <w:trHeight w:val="300"/>
        </w:trPr>
        <w:tc>
          <w:tcPr>
            <w:tcW w:w="2436" w:type="dxa"/>
            <w:gridSpan w:val="2"/>
            <w:shd w:val="clear" w:color="auto" w:fill="auto"/>
            <w:noWrap/>
            <w:vAlign w:val="bottom"/>
          </w:tcPr>
          <w:p w14:paraId="5BF94BCC" w14:textId="77777777" w:rsidR="004021AD" w:rsidRDefault="004021AD" w:rsidP="004021AD">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Troponin</w:t>
            </w:r>
            <w:r w:rsidRPr="00054846">
              <w:rPr>
                <w:rFonts w:eastAsia="Times New Roman" w:cstheme="minorHAnsi"/>
                <w:color w:val="000000"/>
                <w:vertAlign w:val="superscript"/>
                <w:lang w:eastAsia="en-GB"/>
              </w:rPr>
              <w:t>j</w:t>
            </w:r>
            <w:proofErr w:type="spellEnd"/>
            <w:r>
              <w:rPr>
                <w:rFonts w:eastAsia="Times New Roman" w:cstheme="minorHAnsi"/>
                <w:color w:val="000000"/>
                <w:lang w:eastAsia="en-GB"/>
              </w:rPr>
              <w:t xml:space="preserve"> </w:t>
            </w:r>
            <w:r w:rsidRPr="008351A8">
              <w:rPr>
                <w:rFonts w:ascii="Calibri" w:hAnsi="Calibri" w:cs="Calibri"/>
                <w:color w:val="000000"/>
              </w:rPr>
              <w:t>(ng/ml)</w:t>
            </w:r>
          </w:p>
        </w:tc>
        <w:tc>
          <w:tcPr>
            <w:tcW w:w="1959" w:type="dxa"/>
            <w:shd w:val="clear" w:color="auto" w:fill="auto"/>
            <w:noWrap/>
            <w:vAlign w:val="bottom"/>
          </w:tcPr>
          <w:p w14:paraId="05DDACD3" w14:textId="77777777" w:rsidR="004021AD" w:rsidRDefault="004021AD" w:rsidP="004021AD">
            <w:pPr>
              <w:spacing w:after="0" w:line="240" w:lineRule="auto"/>
              <w:rPr>
                <w:rFonts w:eastAsia="Times New Roman" w:cstheme="minorHAnsi"/>
                <w:color w:val="000000"/>
                <w:lang w:eastAsia="en-GB"/>
              </w:rPr>
            </w:pPr>
            <w:r>
              <w:rPr>
                <w:rFonts w:eastAsia="Times New Roman" w:cstheme="minorHAnsi"/>
                <w:color w:val="000000"/>
                <w:lang w:eastAsia="en-GB"/>
              </w:rPr>
              <w:t>13 [5-45]</w:t>
            </w:r>
          </w:p>
        </w:tc>
        <w:tc>
          <w:tcPr>
            <w:tcW w:w="1696" w:type="dxa"/>
            <w:shd w:val="clear" w:color="auto" w:fill="auto"/>
            <w:noWrap/>
            <w:vAlign w:val="bottom"/>
          </w:tcPr>
          <w:p w14:paraId="243BDAB8"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49 [5-560]</w:t>
            </w:r>
          </w:p>
        </w:tc>
        <w:tc>
          <w:tcPr>
            <w:tcW w:w="1701" w:type="dxa"/>
            <w:shd w:val="clear" w:color="auto" w:fill="auto"/>
            <w:noWrap/>
            <w:vAlign w:val="bottom"/>
          </w:tcPr>
          <w:p w14:paraId="274283EF"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16 [7-46]</w:t>
            </w:r>
          </w:p>
        </w:tc>
        <w:tc>
          <w:tcPr>
            <w:tcW w:w="1701" w:type="dxa"/>
            <w:shd w:val="clear" w:color="auto" w:fill="auto"/>
            <w:noWrap/>
            <w:vAlign w:val="bottom"/>
          </w:tcPr>
          <w:p w14:paraId="3DCC3F6A" w14:textId="77777777" w:rsidR="004021AD" w:rsidRDefault="004021AD" w:rsidP="004021AD">
            <w:pPr>
              <w:spacing w:after="0" w:line="240" w:lineRule="auto"/>
              <w:rPr>
                <w:rFonts w:eastAsia="Times New Roman" w:cstheme="minorHAnsi"/>
                <w:lang w:eastAsia="en-GB"/>
              </w:rPr>
            </w:pPr>
            <w:r>
              <w:rPr>
                <w:rFonts w:eastAsia="Times New Roman" w:cstheme="minorHAnsi"/>
                <w:lang w:eastAsia="en-GB"/>
              </w:rPr>
              <w:t>11 [4-21]</w:t>
            </w:r>
          </w:p>
        </w:tc>
        <w:tc>
          <w:tcPr>
            <w:tcW w:w="1559" w:type="dxa"/>
            <w:shd w:val="clear" w:color="auto" w:fill="auto"/>
            <w:noWrap/>
            <w:vAlign w:val="bottom"/>
          </w:tcPr>
          <w:p w14:paraId="5FA9AC4F" w14:textId="77777777" w:rsidR="004021AD" w:rsidRPr="001318B7" w:rsidRDefault="004021AD" w:rsidP="004021AD">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0.033</w:t>
            </w:r>
          </w:p>
        </w:tc>
        <w:tc>
          <w:tcPr>
            <w:tcW w:w="1559" w:type="dxa"/>
          </w:tcPr>
          <w:p w14:paraId="0B4434A2" w14:textId="77777777" w:rsidR="004021AD" w:rsidRPr="001318B7" w:rsidRDefault="004021AD" w:rsidP="004021AD">
            <w:pPr>
              <w:spacing w:after="0" w:line="240" w:lineRule="auto"/>
              <w:jc w:val="center"/>
              <w:rPr>
                <w:rFonts w:eastAsia="Times New Roman" w:cstheme="minorHAnsi"/>
                <w:color w:val="000000"/>
                <w:lang w:eastAsia="en-GB"/>
              </w:rPr>
            </w:pPr>
            <w:r>
              <w:rPr>
                <w:rFonts w:eastAsia="Times New Roman" w:cstheme="minorHAnsi"/>
                <w:color w:val="000000"/>
                <w:lang w:eastAsia="en-GB"/>
              </w:rPr>
              <w:t>0.068</w:t>
            </w:r>
          </w:p>
        </w:tc>
      </w:tr>
      <w:tr w:rsidR="004021AD" w:rsidRPr="00B72C17" w14:paraId="537A1A1A" w14:textId="77777777" w:rsidTr="00143EF1">
        <w:trPr>
          <w:trHeight w:val="300"/>
        </w:trPr>
        <w:tc>
          <w:tcPr>
            <w:tcW w:w="2436" w:type="dxa"/>
            <w:gridSpan w:val="2"/>
            <w:shd w:val="clear" w:color="auto" w:fill="auto"/>
            <w:noWrap/>
            <w:vAlign w:val="bottom"/>
            <w:hideMark/>
          </w:tcPr>
          <w:p w14:paraId="75E8136A" w14:textId="3E535169"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lastRenderedPageBreak/>
              <w:t xml:space="preserve">SARS-CoV-2 neutralising antibody </w:t>
            </w:r>
            <w:proofErr w:type="spellStart"/>
            <w:r w:rsidRPr="004A61FA">
              <w:rPr>
                <w:rFonts w:eastAsia="Times New Roman" w:cstheme="minorHAnsi"/>
                <w:color w:val="000000"/>
                <w:lang w:eastAsia="en-GB"/>
              </w:rPr>
              <w:t>positive</w:t>
            </w:r>
            <w:r w:rsidR="00BB04FB" w:rsidRPr="00BB04FB">
              <w:rPr>
                <w:rFonts w:eastAsia="Times New Roman" w:cstheme="minorHAnsi"/>
                <w:color w:val="000000"/>
                <w:vertAlign w:val="superscript"/>
                <w:lang w:eastAsia="en-GB"/>
              </w:rPr>
              <w:t>k</w:t>
            </w:r>
            <w:proofErr w:type="spellEnd"/>
            <w:r w:rsidRPr="004A61FA">
              <w:rPr>
                <w:rFonts w:eastAsia="Times New Roman" w:cstheme="minorHAnsi"/>
                <w:color w:val="000000"/>
                <w:lang w:eastAsia="en-GB"/>
              </w:rPr>
              <w:t xml:space="preserve"> </w:t>
            </w:r>
          </w:p>
        </w:tc>
        <w:tc>
          <w:tcPr>
            <w:tcW w:w="1959" w:type="dxa"/>
            <w:shd w:val="clear" w:color="auto" w:fill="auto"/>
            <w:noWrap/>
            <w:vAlign w:val="bottom"/>
            <w:hideMark/>
          </w:tcPr>
          <w:p w14:paraId="633DC031" w14:textId="5644731B"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56 (57%)</w:t>
            </w:r>
          </w:p>
        </w:tc>
        <w:tc>
          <w:tcPr>
            <w:tcW w:w="1696" w:type="dxa"/>
            <w:shd w:val="clear" w:color="auto" w:fill="auto"/>
            <w:noWrap/>
            <w:vAlign w:val="bottom"/>
            <w:hideMark/>
          </w:tcPr>
          <w:p w14:paraId="53030D3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 (8%)</w:t>
            </w:r>
          </w:p>
        </w:tc>
        <w:tc>
          <w:tcPr>
            <w:tcW w:w="1701" w:type="dxa"/>
            <w:shd w:val="clear" w:color="auto" w:fill="auto"/>
            <w:noWrap/>
            <w:vAlign w:val="bottom"/>
            <w:hideMark/>
          </w:tcPr>
          <w:p w14:paraId="371EC2A9"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20 (49%)</w:t>
            </w:r>
          </w:p>
        </w:tc>
        <w:tc>
          <w:tcPr>
            <w:tcW w:w="1701" w:type="dxa"/>
            <w:shd w:val="clear" w:color="auto" w:fill="auto"/>
            <w:noWrap/>
            <w:vAlign w:val="bottom"/>
            <w:hideMark/>
          </w:tcPr>
          <w:p w14:paraId="321E9268"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35 (78%)</w:t>
            </w:r>
          </w:p>
        </w:tc>
        <w:tc>
          <w:tcPr>
            <w:tcW w:w="1559" w:type="dxa"/>
            <w:shd w:val="clear" w:color="auto" w:fill="auto"/>
            <w:noWrap/>
            <w:vAlign w:val="bottom"/>
            <w:hideMark/>
          </w:tcPr>
          <w:p w14:paraId="59E35E6C"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&lt;0.0001</w:t>
            </w:r>
          </w:p>
        </w:tc>
        <w:tc>
          <w:tcPr>
            <w:tcW w:w="1559" w:type="dxa"/>
          </w:tcPr>
          <w:p w14:paraId="02AA2962" w14:textId="77777777" w:rsidR="004021AD" w:rsidRPr="004A61FA" w:rsidRDefault="004021AD" w:rsidP="004021AD">
            <w:pPr>
              <w:spacing w:after="0" w:line="240" w:lineRule="auto"/>
              <w:jc w:val="center"/>
              <w:rPr>
                <w:rFonts w:eastAsia="Times New Roman" w:cstheme="minorHAnsi"/>
                <w:b/>
                <w:bCs/>
                <w:color w:val="000000"/>
                <w:lang w:eastAsia="en-GB"/>
              </w:rPr>
            </w:pPr>
          </w:p>
          <w:p w14:paraId="55024767" w14:textId="77777777" w:rsidR="004021AD" w:rsidRPr="004A61FA"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0.0001</w:t>
            </w:r>
          </w:p>
        </w:tc>
      </w:tr>
      <w:tr w:rsidR="004021AD" w:rsidRPr="00B72C17" w14:paraId="67F595A1" w14:textId="77777777" w:rsidTr="00143EF1">
        <w:trPr>
          <w:trHeight w:val="300"/>
        </w:trPr>
        <w:tc>
          <w:tcPr>
            <w:tcW w:w="2436" w:type="dxa"/>
            <w:gridSpan w:val="2"/>
            <w:shd w:val="clear" w:color="auto" w:fill="auto"/>
            <w:noWrap/>
            <w:vAlign w:val="bottom"/>
            <w:hideMark/>
          </w:tcPr>
          <w:p w14:paraId="0E484691"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Ct Value (viral load) </w:t>
            </w:r>
          </w:p>
        </w:tc>
        <w:tc>
          <w:tcPr>
            <w:tcW w:w="1959" w:type="dxa"/>
            <w:shd w:val="clear" w:color="auto" w:fill="auto"/>
            <w:noWrap/>
            <w:vAlign w:val="bottom"/>
            <w:hideMark/>
          </w:tcPr>
          <w:p w14:paraId="05C7EA77"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27.9 [22.6-32.1]</w:t>
            </w:r>
          </w:p>
        </w:tc>
        <w:tc>
          <w:tcPr>
            <w:tcW w:w="1696" w:type="dxa"/>
            <w:shd w:val="clear" w:color="auto" w:fill="auto"/>
            <w:noWrap/>
            <w:vAlign w:val="bottom"/>
            <w:hideMark/>
          </w:tcPr>
          <w:p w14:paraId="617A9D23"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16.7 [15.6-18.8]</w:t>
            </w:r>
          </w:p>
        </w:tc>
        <w:tc>
          <w:tcPr>
            <w:tcW w:w="1701" w:type="dxa"/>
            <w:shd w:val="clear" w:color="auto" w:fill="auto"/>
            <w:noWrap/>
            <w:vAlign w:val="bottom"/>
            <w:hideMark/>
          </w:tcPr>
          <w:p w14:paraId="37EB339D"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24.9 [22.6-27.3]</w:t>
            </w:r>
          </w:p>
        </w:tc>
        <w:tc>
          <w:tcPr>
            <w:tcW w:w="1701" w:type="dxa"/>
            <w:shd w:val="clear" w:color="auto" w:fill="auto"/>
            <w:noWrap/>
            <w:vAlign w:val="bottom"/>
            <w:hideMark/>
          </w:tcPr>
          <w:p w14:paraId="5527D717"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32.5 [31.8-33.7]</w:t>
            </w:r>
          </w:p>
        </w:tc>
        <w:tc>
          <w:tcPr>
            <w:tcW w:w="1559" w:type="dxa"/>
            <w:shd w:val="clear" w:color="auto" w:fill="auto"/>
            <w:noWrap/>
            <w:vAlign w:val="bottom"/>
            <w:hideMark/>
          </w:tcPr>
          <w:p w14:paraId="74736B03"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b/>
                <w:bCs/>
                <w:lang w:eastAsia="en-GB"/>
              </w:rPr>
              <w:t>&lt;0.0001</w:t>
            </w:r>
          </w:p>
        </w:tc>
        <w:tc>
          <w:tcPr>
            <w:tcW w:w="1559" w:type="dxa"/>
          </w:tcPr>
          <w:p w14:paraId="0ADD543E"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b/>
                <w:bCs/>
                <w:lang w:eastAsia="en-GB"/>
              </w:rPr>
              <w:t>&lt;0.0001</w:t>
            </w:r>
          </w:p>
        </w:tc>
      </w:tr>
      <w:tr w:rsidR="004021AD" w:rsidRPr="00B72C17" w14:paraId="1634B575" w14:textId="77777777" w:rsidTr="00B76F5B">
        <w:trPr>
          <w:trHeight w:val="300"/>
        </w:trPr>
        <w:tc>
          <w:tcPr>
            <w:tcW w:w="2436" w:type="dxa"/>
            <w:gridSpan w:val="2"/>
            <w:shd w:val="clear" w:color="auto" w:fill="auto"/>
            <w:noWrap/>
            <w:vAlign w:val="bottom"/>
          </w:tcPr>
          <w:p w14:paraId="537A29CA" w14:textId="77777777" w:rsidR="004021AD" w:rsidRPr="004A61FA" w:rsidRDefault="004021AD" w:rsidP="004021AD">
            <w:pPr>
              <w:spacing w:after="0" w:line="240" w:lineRule="auto"/>
              <w:rPr>
                <w:rFonts w:eastAsia="Times New Roman" w:cstheme="minorHAnsi"/>
                <w:b/>
                <w:color w:val="000000"/>
                <w:lang w:eastAsia="en-GB"/>
              </w:rPr>
            </w:pPr>
            <w:r w:rsidRPr="004A61FA">
              <w:rPr>
                <w:rFonts w:eastAsia="Times New Roman" w:cstheme="minorHAnsi"/>
                <w:b/>
                <w:color w:val="000000"/>
                <w:lang w:eastAsia="en-GB"/>
              </w:rPr>
              <w:t>Outcome</w:t>
            </w:r>
          </w:p>
        </w:tc>
        <w:tc>
          <w:tcPr>
            <w:tcW w:w="10175" w:type="dxa"/>
            <w:gridSpan w:val="6"/>
            <w:shd w:val="clear" w:color="auto" w:fill="auto"/>
            <w:noWrap/>
            <w:vAlign w:val="bottom"/>
          </w:tcPr>
          <w:p w14:paraId="763CD142" w14:textId="77777777" w:rsidR="004021AD" w:rsidRPr="004A61FA" w:rsidRDefault="004021AD" w:rsidP="004021AD">
            <w:pPr>
              <w:spacing w:after="0" w:line="240" w:lineRule="auto"/>
              <w:jc w:val="center"/>
              <w:rPr>
                <w:rFonts w:eastAsia="Times New Roman" w:cstheme="minorHAnsi"/>
                <w:b/>
                <w:bCs/>
                <w:lang w:eastAsia="en-GB"/>
              </w:rPr>
            </w:pPr>
          </w:p>
        </w:tc>
      </w:tr>
      <w:tr w:rsidR="004021AD" w:rsidRPr="00B72C17" w14:paraId="35DAC013" w14:textId="77777777" w:rsidTr="00143EF1">
        <w:trPr>
          <w:trHeight w:val="300"/>
        </w:trPr>
        <w:tc>
          <w:tcPr>
            <w:tcW w:w="2436" w:type="dxa"/>
            <w:gridSpan w:val="2"/>
            <w:shd w:val="clear" w:color="auto" w:fill="auto"/>
            <w:noWrap/>
            <w:vAlign w:val="bottom"/>
          </w:tcPr>
          <w:p w14:paraId="7F22134E" w14:textId="23132CAF"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Length</w:t>
            </w:r>
            <w:r w:rsidRPr="004A61FA">
              <w:rPr>
                <w:rFonts w:eastAsia="Times New Roman" w:cstheme="minorHAnsi"/>
                <w:b/>
                <w:bCs/>
                <w:color w:val="000000"/>
                <w:lang w:eastAsia="en-GB"/>
              </w:rPr>
              <w:t xml:space="preserve"> </w:t>
            </w:r>
            <w:r w:rsidRPr="004A61FA">
              <w:rPr>
                <w:rFonts w:eastAsia="Times New Roman" w:cstheme="minorHAnsi"/>
                <w:color w:val="000000"/>
                <w:lang w:eastAsia="en-GB"/>
              </w:rPr>
              <w:t>of</w:t>
            </w:r>
            <w:r w:rsidRPr="004A61FA">
              <w:rPr>
                <w:rFonts w:eastAsia="Times New Roman" w:cstheme="minorHAnsi"/>
                <w:b/>
                <w:bCs/>
                <w:color w:val="000000"/>
                <w:lang w:eastAsia="en-GB"/>
              </w:rPr>
              <w:t xml:space="preserve"> </w:t>
            </w:r>
            <w:proofErr w:type="spellStart"/>
            <w:proofErr w:type="gramStart"/>
            <w:r w:rsidRPr="004A61FA">
              <w:rPr>
                <w:rFonts w:eastAsia="Times New Roman" w:cstheme="minorHAnsi"/>
                <w:color w:val="000000"/>
                <w:lang w:eastAsia="en-GB"/>
              </w:rPr>
              <w:t>stay</w:t>
            </w:r>
            <w:r w:rsidR="0012562B" w:rsidRPr="0012562B">
              <w:rPr>
                <w:rFonts w:eastAsia="Times New Roman" w:cstheme="minorHAnsi"/>
                <w:color w:val="000000"/>
                <w:vertAlign w:val="superscript"/>
                <w:lang w:eastAsia="en-GB"/>
              </w:rPr>
              <w:t>l</w:t>
            </w:r>
            <w:proofErr w:type="spellEnd"/>
            <w:r w:rsidRPr="004A61FA">
              <w:rPr>
                <w:rFonts w:eastAsia="Times New Roman" w:cstheme="minorHAnsi"/>
                <w:color w:val="000000"/>
                <w:lang w:eastAsia="en-GB"/>
              </w:rPr>
              <w:t>,</w:t>
            </w:r>
            <w:r w:rsidR="000829B8">
              <w:rPr>
                <w:rFonts w:eastAsia="Times New Roman" w:cstheme="minorHAnsi"/>
                <w:color w:val="000000"/>
                <w:lang w:eastAsia="en-GB"/>
              </w:rPr>
              <w:t>*</w:t>
            </w:r>
            <w:proofErr w:type="gramEnd"/>
            <w:r w:rsidRPr="004A61FA">
              <w:rPr>
                <w:rFonts w:eastAsia="Times New Roman" w:cstheme="minorHAnsi"/>
                <w:color w:val="000000"/>
                <w:lang w:eastAsia="en-GB"/>
              </w:rPr>
              <w:t xml:space="preserve"> (hours)</w:t>
            </w:r>
          </w:p>
          <w:p w14:paraId="594B9451" w14:textId="77777777" w:rsidR="004021AD" w:rsidRPr="004A61FA" w:rsidRDefault="004021AD" w:rsidP="004021AD">
            <w:pPr>
              <w:spacing w:after="0" w:line="240" w:lineRule="auto"/>
              <w:rPr>
                <w:rFonts w:eastAsia="Times New Roman" w:cstheme="minorHAnsi"/>
                <w:color w:val="000000"/>
                <w:lang w:eastAsia="en-GB"/>
              </w:rPr>
            </w:pPr>
          </w:p>
        </w:tc>
        <w:tc>
          <w:tcPr>
            <w:tcW w:w="1959" w:type="dxa"/>
            <w:shd w:val="clear" w:color="auto" w:fill="auto"/>
            <w:noWrap/>
            <w:vAlign w:val="bottom"/>
          </w:tcPr>
          <w:p w14:paraId="4385C05E" w14:textId="50851A82" w:rsidR="004021AD" w:rsidRPr="004A61FA" w:rsidRDefault="0012562B" w:rsidP="004021AD">
            <w:pPr>
              <w:spacing w:after="0" w:line="240" w:lineRule="auto"/>
              <w:rPr>
                <w:rFonts w:eastAsia="Times New Roman" w:cstheme="minorHAnsi"/>
                <w:color w:val="000000"/>
                <w:lang w:eastAsia="en-GB"/>
              </w:rPr>
            </w:pPr>
            <w:r>
              <w:rPr>
                <w:rFonts w:eastAsia="Times New Roman" w:cstheme="minorHAnsi"/>
                <w:color w:val="000000"/>
                <w:lang w:eastAsia="en-GB"/>
              </w:rPr>
              <w:t>194.9 [98.17-303.3]</w:t>
            </w:r>
          </w:p>
        </w:tc>
        <w:tc>
          <w:tcPr>
            <w:tcW w:w="1696" w:type="dxa"/>
            <w:shd w:val="clear" w:color="auto" w:fill="auto"/>
            <w:noWrap/>
            <w:vAlign w:val="bottom"/>
          </w:tcPr>
          <w:p w14:paraId="7D31A0EC" w14:textId="1D56DC1F" w:rsidR="004021AD" w:rsidRPr="004A61FA" w:rsidRDefault="0012562B" w:rsidP="004021AD">
            <w:pPr>
              <w:spacing w:after="0" w:line="240" w:lineRule="auto"/>
              <w:rPr>
                <w:rFonts w:eastAsia="Times New Roman" w:cstheme="minorHAnsi"/>
                <w:lang w:eastAsia="en-GB"/>
              </w:rPr>
            </w:pPr>
            <w:r>
              <w:rPr>
                <w:rFonts w:eastAsia="Times New Roman" w:cstheme="minorHAnsi"/>
                <w:lang w:eastAsia="en-GB"/>
              </w:rPr>
              <w:t>149.8 [11.33-313.4]</w:t>
            </w:r>
          </w:p>
        </w:tc>
        <w:tc>
          <w:tcPr>
            <w:tcW w:w="1701" w:type="dxa"/>
            <w:shd w:val="clear" w:color="auto" w:fill="auto"/>
            <w:noWrap/>
            <w:vAlign w:val="bottom"/>
          </w:tcPr>
          <w:p w14:paraId="73F78893" w14:textId="55E7A17F" w:rsidR="004021AD" w:rsidRPr="004A61FA" w:rsidRDefault="0012562B" w:rsidP="004021AD">
            <w:pPr>
              <w:spacing w:after="0" w:line="240" w:lineRule="auto"/>
              <w:rPr>
                <w:rFonts w:eastAsia="Times New Roman" w:cstheme="minorHAnsi"/>
                <w:lang w:eastAsia="en-GB"/>
              </w:rPr>
            </w:pPr>
            <w:r>
              <w:rPr>
                <w:rFonts w:eastAsia="Times New Roman" w:cstheme="minorHAnsi"/>
                <w:lang w:eastAsia="en-GB"/>
              </w:rPr>
              <w:t>220.4 [99.61-362]</w:t>
            </w:r>
          </w:p>
        </w:tc>
        <w:tc>
          <w:tcPr>
            <w:tcW w:w="1701" w:type="dxa"/>
            <w:shd w:val="clear" w:color="auto" w:fill="auto"/>
            <w:noWrap/>
            <w:vAlign w:val="bottom"/>
          </w:tcPr>
          <w:p w14:paraId="7A3F5F91" w14:textId="47711144" w:rsidR="004021AD" w:rsidRPr="004A61FA" w:rsidRDefault="0012562B" w:rsidP="004021AD">
            <w:pPr>
              <w:spacing w:after="0" w:line="240" w:lineRule="auto"/>
              <w:rPr>
                <w:rFonts w:eastAsia="Times New Roman" w:cstheme="minorHAnsi"/>
                <w:lang w:eastAsia="en-GB"/>
              </w:rPr>
            </w:pPr>
            <w:r>
              <w:rPr>
                <w:rFonts w:eastAsia="Times New Roman" w:cstheme="minorHAnsi"/>
                <w:lang w:eastAsia="en-GB"/>
              </w:rPr>
              <w:t>182.7 [106.1-264]</w:t>
            </w:r>
          </w:p>
        </w:tc>
        <w:tc>
          <w:tcPr>
            <w:tcW w:w="1559" w:type="dxa"/>
            <w:shd w:val="clear" w:color="auto" w:fill="auto"/>
            <w:noWrap/>
            <w:vAlign w:val="bottom"/>
          </w:tcPr>
          <w:p w14:paraId="6C423ABB" w14:textId="57B02C74" w:rsidR="004021AD" w:rsidRPr="004A61FA" w:rsidRDefault="0012562B" w:rsidP="004021AD">
            <w:pPr>
              <w:spacing w:after="0" w:line="240" w:lineRule="auto"/>
              <w:jc w:val="center"/>
              <w:rPr>
                <w:rFonts w:eastAsia="Times New Roman" w:cstheme="minorHAnsi"/>
                <w:b/>
                <w:bCs/>
                <w:lang w:eastAsia="en-GB"/>
              </w:rPr>
            </w:pPr>
            <w:r>
              <w:rPr>
                <w:rFonts w:eastAsia="Times New Roman" w:cstheme="minorHAnsi"/>
                <w:color w:val="000000"/>
                <w:lang w:eastAsia="en-GB"/>
              </w:rPr>
              <w:t>0.299</w:t>
            </w:r>
          </w:p>
        </w:tc>
        <w:tc>
          <w:tcPr>
            <w:tcW w:w="1559" w:type="dxa"/>
            <w:vAlign w:val="bottom"/>
          </w:tcPr>
          <w:p w14:paraId="43D3F7EB" w14:textId="1CA63450" w:rsidR="004021AD" w:rsidRPr="004A61FA" w:rsidRDefault="0012562B" w:rsidP="004021AD">
            <w:pPr>
              <w:spacing w:after="0" w:line="240" w:lineRule="auto"/>
              <w:jc w:val="center"/>
              <w:rPr>
                <w:rFonts w:eastAsia="Times New Roman" w:cstheme="minorHAnsi"/>
                <w:b/>
                <w:bCs/>
                <w:lang w:eastAsia="en-GB"/>
              </w:rPr>
            </w:pPr>
            <w:r>
              <w:rPr>
                <w:rFonts w:eastAsia="Times New Roman" w:cstheme="minorHAnsi"/>
                <w:color w:val="000000"/>
                <w:lang w:eastAsia="en-GB"/>
              </w:rPr>
              <w:t>0.248</w:t>
            </w:r>
          </w:p>
        </w:tc>
      </w:tr>
      <w:tr w:rsidR="004021AD" w:rsidRPr="00B72C17" w14:paraId="06EF574A" w14:textId="77777777" w:rsidTr="00143EF1">
        <w:trPr>
          <w:trHeight w:val="300"/>
        </w:trPr>
        <w:tc>
          <w:tcPr>
            <w:tcW w:w="2436" w:type="dxa"/>
            <w:gridSpan w:val="2"/>
            <w:shd w:val="clear" w:color="auto" w:fill="auto"/>
            <w:noWrap/>
            <w:vAlign w:val="bottom"/>
          </w:tcPr>
          <w:p w14:paraId="24075A3E"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Received supplemental oxygen</w:t>
            </w:r>
          </w:p>
        </w:tc>
        <w:tc>
          <w:tcPr>
            <w:tcW w:w="1959" w:type="dxa"/>
            <w:shd w:val="clear" w:color="auto" w:fill="auto"/>
            <w:noWrap/>
            <w:vAlign w:val="bottom"/>
          </w:tcPr>
          <w:p w14:paraId="491DBEFC"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149 (81%)</w:t>
            </w:r>
          </w:p>
        </w:tc>
        <w:tc>
          <w:tcPr>
            <w:tcW w:w="1696" w:type="dxa"/>
            <w:shd w:val="clear" w:color="auto" w:fill="auto"/>
            <w:noWrap/>
            <w:vAlign w:val="bottom"/>
          </w:tcPr>
          <w:p w14:paraId="1534A7CF"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18 (64%)</w:t>
            </w:r>
          </w:p>
        </w:tc>
        <w:tc>
          <w:tcPr>
            <w:tcW w:w="1701" w:type="dxa"/>
            <w:shd w:val="clear" w:color="auto" w:fill="auto"/>
            <w:noWrap/>
            <w:vAlign w:val="bottom"/>
          </w:tcPr>
          <w:p w14:paraId="20167702"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66 (84%)</w:t>
            </w:r>
          </w:p>
        </w:tc>
        <w:tc>
          <w:tcPr>
            <w:tcW w:w="1701" w:type="dxa"/>
            <w:shd w:val="clear" w:color="auto" w:fill="auto"/>
            <w:noWrap/>
            <w:vAlign w:val="bottom"/>
          </w:tcPr>
          <w:p w14:paraId="18E05428"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65 (83%)</w:t>
            </w:r>
          </w:p>
        </w:tc>
        <w:tc>
          <w:tcPr>
            <w:tcW w:w="1559" w:type="dxa"/>
            <w:shd w:val="clear" w:color="auto" w:fill="auto"/>
            <w:noWrap/>
            <w:vAlign w:val="bottom"/>
          </w:tcPr>
          <w:p w14:paraId="7109407F"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lang w:eastAsia="en-GB"/>
              </w:rPr>
              <w:t>0.062</w:t>
            </w:r>
          </w:p>
        </w:tc>
        <w:tc>
          <w:tcPr>
            <w:tcW w:w="1559" w:type="dxa"/>
            <w:vAlign w:val="bottom"/>
          </w:tcPr>
          <w:p w14:paraId="0AFC2A4C"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b/>
                <w:bCs/>
                <w:color w:val="000000"/>
                <w:lang w:eastAsia="en-GB"/>
              </w:rPr>
              <w:t>0.035</w:t>
            </w:r>
          </w:p>
        </w:tc>
      </w:tr>
      <w:tr w:rsidR="004021AD" w:rsidRPr="00B72C17" w14:paraId="589E5EB6" w14:textId="77777777" w:rsidTr="00143EF1">
        <w:trPr>
          <w:trHeight w:val="300"/>
        </w:trPr>
        <w:tc>
          <w:tcPr>
            <w:tcW w:w="2436" w:type="dxa"/>
            <w:gridSpan w:val="2"/>
            <w:shd w:val="clear" w:color="auto" w:fill="auto"/>
            <w:noWrap/>
            <w:vAlign w:val="bottom"/>
          </w:tcPr>
          <w:p w14:paraId="26F475C5" w14:textId="2F319032"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Duration of received </w:t>
            </w:r>
            <w:proofErr w:type="spellStart"/>
            <w:r w:rsidRPr="004A61FA">
              <w:rPr>
                <w:rFonts w:eastAsia="Times New Roman" w:cstheme="minorHAnsi"/>
                <w:color w:val="000000"/>
                <w:lang w:eastAsia="en-GB"/>
              </w:rPr>
              <w:t>oxygen</w:t>
            </w:r>
            <w:r w:rsidR="0012562B" w:rsidRPr="0012562B">
              <w:rPr>
                <w:rFonts w:eastAsia="Times New Roman" w:cstheme="minorHAnsi"/>
                <w:color w:val="000000"/>
                <w:vertAlign w:val="superscript"/>
                <w:lang w:eastAsia="en-GB"/>
              </w:rPr>
              <w:t>m</w:t>
            </w:r>
            <w:proofErr w:type="spellEnd"/>
            <w:r w:rsidRPr="004A61FA">
              <w:rPr>
                <w:rFonts w:eastAsia="Times New Roman" w:cstheme="minorHAnsi"/>
                <w:color w:val="000000"/>
                <w:lang w:eastAsia="en-GB"/>
              </w:rPr>
              <w:t xml:space="preserve">, (hours) </w:t>
            </w:r>
          </w:p>
        </w:tc>
        <w:tc>
          <w:tcPr>
            <w:tcW w:w="1959" w:type="dxa"/>
            <w:shd w:val="clear" w:color="auto" w:fill="auto"/>
            <w:noWrap/>
            <w:vAlign w:val="bottom"/>
          </w:tcPr>
          <w:p w14:paraId="0B56CFC6" w14:textId="4BA6EC7E" w:rsidR="004021AD" w:rsidRDefault="00BB04FB" w:rsidP="004021AD">
            <w:pPr>
              <w:spacing w:after="0" w:line="240" w:lineRule="auto"/>
              <w:rPr>
                <w:rFonts w:eastAsia="Times New Roman" w:cstheme="minorHAnsi"/>
                <w:color w:val="000000"/>
                <w:lang w:eastAsia="en-GB"/>
              </w:rPr>
            </w:pPr>
            <w:r>
              <w:rPr>
                <w:rFonts w:eastAsia="Times New Roman" w:cstheme="minorHAnsi"/>
                <w:color w:val="000000"/>
                <w:lang w:eastAsia="en-GB"/>
              </w:rPr>
              <w:t>19.22</w:t>
            </w:r>
            <w:r w:rsidR="004021AD" w:rsidRPr="004A61FA">
              <w:rPr>
                <w:rFonts w:eastAsia="Times New Roman" w:cstheme="minorHAnsi"/>
                <w:color w:val="000000"/>
                <w:lang w:eastAsia="en-GB"/>
              </w:rPr>
              <w:t xml:space="preserve"> [8.</w:t>
            </w:r>
            <w:r>
              <w:rPr>
                <w:rFonts w:eastAsia="Times New Roman" w:cstheme="minorHAnsi"/>
                <w:color w:val="000000"/>
                <w:lang w:eastAsia="en-GB"/>
              </w:rPr>
              <w:t>00</w:t>
            </w:r>
            <w:r w:rsidR="004021AD" w:rsidRPr="004A61FA">
              <w:rPr>
                <w:rFonts w:eastAsia="Times New Roman" w:cstheme="minorHAnsi"/>
                <w:color w:val="000000"/>
                <w:lang w:eastAsia="en-GB"/>
              </w:rPr>
              <w:t>-</w:t>
            </w:r>
            <w:r>
              <w:rPr>
                <w:rFonts w:eastAsia="Times New Roman" w:cstheme="minorHAnsi"/>
                <w:color w:val="000000"/>
                <w:lang w:eastAsia="en-GB"/>
              </w:rPr>
              <w:t>64.01</w:t>
            </w:r>
            <w:r w:rsidR="004021AD" w:rsidRPr="004A61FA">
              <w:rPr>
                <w:rFonts w:eastAsia="Times New Roman" w:cstheme="minorHAnsi"/>
                <w:color w:val="000000"/>
                <w:lang w:eastAsia="en-GB"/>
              </w:rPr>
              <w:t>]</w:t>
            </w:r>
          </w:p>
          <w:p w14:paraId="1C6DA42A" w14:textId="77777777" w:rsidR="004021AD" w:rsidRPr="004A61FA" w:rsidRDefault="004021AD" w:rsidP="004021AD">
            <w:pPr>
              <w:spacing w:after="0" w:line="240" w:lineRule="auto"/>
              <w:rPr>
                <w:rFonts w:eastAsia="Times New Roman" w:cstheme="minorHAnsi"/>
                <w:color w:val="000000"/>
                <w:lang w:eastAsia="en-GB"/>
              </w:rPr>
            </w:pPr>
          </w:p>
        </w:tc>
        <w:tc>
          <w:tcPr>
            <w:tcW w:w="1696" w:type="dxa"/>
            <w:shd w:val="clear" w:color="auto" w:fill="auto"/>
            <w:noWrap/>
            <w:vAlign w:val="bottom"/>
          </w:tcPr>
          <w:p w14:paraId="353FB2CE" w14:textId="2D57EC61"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12 [5.0</w:t>
            </w:r>
            <w:r>
              <w:rPr>
                <w:rFonts w:eastAsia="Times New Roman" w:cstheme="minorHAnsi"/>
                <w:color w:val="000000"/>
                <w:lang w:eastAsia="en-GB"/>
              </w:rPr>
              <w:t>2</w:t>
            </w:r>
            <w:r w:rsidRPr="004A61FA">
              <w:rPr>
                <w:rFonts w:eastAsia="Times New Roman" w:cstheme="minorHAnsi"/>
                <w:color w:val="000000"/>
                <w:lang w:eastAsia="en-GB"/>
              </w:rPr>
              <w:t>-30.26]</w:t>
            </w:r>
          </w:p>
          <w:p w14:paraId="67BB509D" w14:textId="77777777" w:rsidR="004021AD" w:rsidRPr="004A61FA" w:rsidRDefault="004021AD" w:rsidP="004021AD">
            <w:pPr>
              <w:spacing w:after="0" w:line="240" w:lineRule="auto"/>
              <w:rPr>
                <w:rFonts w:eastAsia="Times New Roman" w:cstheme="minorHAnsi"/>
                <w:lang w:eastAsia="en-GB"/>
              </w:rPr>
            </w:pPr>
          </w:p>
        </w:tc>
        <w:tc>
          <w:tcPr>
            <w:tcW w:w="1701" w:type="dxa"/>
            <w:shd w:val="clear" w:color="auto" w:fill="auto"/>
            <w:noWrap/>
            <w:vAlign w:val="bottom"/>
          </w:tcPr>
          <w:p w14:paraId="181097B1" w14:textId="19023615"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color w:val="000000"/>
                <w:lang w:eastAsia="en-GB"/>
              </w:rPr>
              <w:t>20.36 [9.46-113.5</w:t>
            </w:r>
            <w:r>
              <w:rPr>
                <w:rFonts w:eastAsia="Times New Roman" w:cstheme="minorHAnsi"/>
                <w:color w:val="000000"/>
                <w:lang w:eastAsia="en-GB"/>
              </w:rPr>
              <w:t>0</w:t>
            </w:r>
            <w:r w:rsidRPr="004A61FA">
              <w:rPr>
                <w:rFonts w:eastAsia="Times New Roman" w:cstheme="minorHAnsi"/>
                <w:color w:val="000000"/>
                <w:lang w:eastAsia="en-GB"/>
              </w:rPr>
              <w:t>]</w:t>
            </w:r>
          </w:p>
        </w:tc>
        <w:tc>
          <w:tcPr>
            <w:tcW w:w="1701" w:type="dxa"/>
            <w:shd w:val="clear" w:color="auto" w:fill="auto"/>
            <w:noWrap/>
            <w:vAlign w:val="bottom"/>
          </w:tcPr>
          <w:p w14:paraId="4F98100E" w14:textId="04E18472"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color w:val="000000"/>
                <w:lang w:eastAsia="en-GB"/>
              </w:rPr>
              <w:t>19.13 [8.5</w:t>
            </w:r>
            <w:r>
              <w:rPr>
                <w:rFonts w:eastAsia="Times New Roman" w:cstheme="minorHAnsi"/>
                <w:color w:val="000000"/>
                <w:lang w:eastAsia="en-GB"/>
              </w:rPr>
              <w:t>0</w:t>
            </w:r>
            <w:r w:rsidRPr="004A61FA">
              <w:rPr>
                <w:rFonts w:eastAsia="Times New Roman" w:cstheme="minorHAnsi"/>
                <w:color w:val="000000"/>
                <w:lang w:eastAsia="en-GB"/>
              </w:rPr>
              <w:t>-56.08]</w:t>
            </w:r>
          </w:p>
        </w:tc>
        <w:tc>
          <w:tcPr>
            <w:tcW w:w="1559" w:type="dxa"/>
            <w:shd w:val="clear" w:color="auto" w:fill="auto"/>
            <w:noWrap/>
            <w:vAlign w:val="bottom"/>
          </w:tcPr>
          <w:p w14:paraId="17ACD01D"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0.167</w:t>
            </w:r>
          </w:p>
        </w:tc>
        <w:tc>
          <w:tcPr>
            <w:tcW w:w="1559" w:type="dxa"/>
            <w:vAlign w:val="bottom"/>
          </w:tcPr>
          <w:p w14:paraId="5BB8B902"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0.119</w:t>
            </w:r>
          </w:p>
        </w:tc>
      </w:tr>
      <w:tr w:rsidR="004021AD" w:rsidRPr="00B72C17" w14:paraId="2A8B6620" w14:textId="77777777" w:rsidTr="00143EF1">
        <w:trPr>
          <w:trHeight w:val="300"/>
        </w:trPr>
        <w:tc>
          <w:tcPr>
            <w:tcW w:w="2436" w:type="dxa"/>
            <w:gridSpan w:val="2"/>
            <w:shd w:val="clear" w:color="auto" w:fill="auto"/>
            <w:noWrap/>
            <w:vAlign w:val="bottom"/>
          </w:tcPr>
          <w:p w14:paraId="4EA455EA"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Received NIV</w:t>
            </w:r>
          </w:p>
        </w:tc>
        <w:tc>
          <w:tcPr>
            <w:tcW w:w="1959" w:type="dxa"/>
            <w:shd w:val="clear" w:color="auto" w:fill="auto"/>
            <w:noWrap/>
            <w:vAlign w:val="bottom"/>
          </w:tcPr>
          <w:p w14:paraId="1180DE22"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36 (20%)</w:t>
            </w:r>
          </w:p>
        </w:tc>
        <w:tc>
          <w:tcPr>
            <w:tcW w:w="1696" w:type="dxa"/>
            <w:shd w:val="clear" w:color="auto" w:fill="auto"/>
            <w:noWrap/>
            <w:vAlign w:val="bottom"/>
          </w:tcPr>
          <w:p w14:paraId="17D675F3"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4 (14%)</w:t>
            </w:r>
          </w:p>
        </w:tc>
        <w:tc>
          <w:tcPr>
            <w:tcW w:w="1701" w:type="dxa"/>
            <w:shd w:val="clear" w:color="auto" w:fill="auto"/>
            <w:noWrap/>
            <w:vAlign w:val="bottom"/>
          </w:tcPr>
          <w:p w14:paraId="1977BC94"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19 (24%)</w:t>
            </w:r>
          </w:p>
        </w:tc>
        <w:tc>
          <w:tcPr>
            <w:tcW w:w="1701" w:type="dxa"/>
            <w:shd w:val="clear" w:color="auto" w:fill="auto"/>
            <w:noWrap/>
            <w:vAlign w:val="bottom"/>
          </w:tcPr>
          <w:p w14:paraId="218A305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13 (17%)</w:t>
            </w:r>
          </w:p>
        </w:tc>
        <w:tc>
          <w:tcPr>
            <w:tcW w:w="1559" w:type="dxa"/>
            <w:shd w:val="clear" w:color="auto" w:fill="auto"/>
            <w:noWrap/>
            <w:vAlign w:val="bottom"/>
          </w:tcPr>
          <w:p w14:paraId="4D6C4FE4"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0.381</w:t>
            </w:r>
          </w:p>
        </w:tc>
        <w:tc>
          <w:tcPr>
            <w:tcW w:w="1559" w:type="dxa"/>
            <w:vAlign w:val="bottom"/>
          </w:tcPr>
          <w:p w14:paraId="4F41CE12" w14:textId="218714CD"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0.60</w:t>
            </w:r>
            <w:r>
              <w:rPr>
                <w:rFonts w:eastAsia="Times New Roman" w:cstheme="minorHAnsi"/>
                <w:color w:val="000000"/>
                <w:lang w:eastAsia="en-GB"/>
              </w:rPr>
              <w:t>7</w:t>
            </w:r>
          </w:p>
        </w:tc>
      </w:tr>
      <w:tr w:rsidR="004021AD" w:rsidRPr="00B72C17" w14:paraId="0E9EEA15" w14:textId="77777777" w:rsidTr="00CB42BD">
        <w:trPr>
          <w:trHeight w:val="300"/>
        </w:trPr>
        <w:tc>
          <w:tcPr>
            <w:tcW w:w="2436" w:type="dxa"/>
            <w:gridSpan w:val="2"/>
            <w:shd w:val="clear" w:color="auto" w:fill="auto"/>
            <w:noWrap/>
            <w:vAlign w:val="bottom"/>
          </w:tcPr>
          <w:p w14:paraId="40D9AE72" w14:textId="1B758B4F"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Duration of </w:t>
            </w:r>
            <w:proofErr w:type="spellStart"/>
            <w:r w:rsidRPr="004A61FA">
              <w:rPr>
                <w:rFonts w:eastAsia="Times New Roman" w:cstheme="minorHAnsi"/>
                <w:color w:val="000000"/>
                <w:lang w:eastAsia="en-GB"/>
              </w:rPr>
              <w:t>NIV</w:t>
            </w:r>
            <w:r w:rsidR="0012562B" w:rsidRPr="0012562B">
              <w:rPr>
                <w:rFonts w:eastAsia="Times New Roman" w:cstheme="minorHAnsi"/>
                <w:color w:val="000000"/>
                <w:vertAlign w:val="superscript"/>
                <w:lang w:eastAsia="en-GB"/>
              </w:rPr>
              <w:t>n</w:t>
            </w:r>
            <w:proofErr w:type="spellEnd"/>
            <w:r w:rsidRPr="004A61FA">
              <w:rPr>
                <w:rFonts w:eastAsia="Times New Roman" w:cstheme="minorHAnsi"/>
                <w:color w:val="000000"/>
                <w:lang w:eastAsia="en-GB"/>
              </w:rPr>
              <w:t xml:space="preserve">, (hours) </w:t>
            </w:r>
          </w:p>
          <w:p w14:paraId="7A061690" w14:textId="77777777" w:rsidR="004021AD" w:rsidRPr="004A61FA" w:rsidRDefault="004021AD" w:rsidP="004021AD">
            <w:pPr>
              <w:spacing w:after="0" w:line="240" w:lineRule="auto"/>
              <w:rPr>
                <w:rFonts w:eastAsia="Times New Roman" w:cstheme="minorHAnsi"/>
                <w:color w:val="000000"/>
                <w:lang w:eastAsia="en-GB"/>
              </w:rPr>
            </w:pPr>
          </w:p>
        </w:tc>
        <w:tc>
          <w:tcPr>
            <w:tcW w:w="1959" w:type="dxa"/>
            <w:shd w:val="clear" w:color="auto" w:fill="auto"/>
            <w:noWrap/>
            <w:vAlign w:val="bottom"/>
          </w:tcPr>
          <w:p w14:paraId="569C99A2" w14:textId="4DF26B38" w:rsidR="004021AD" w:rsidRPr="004A61FA" w:rsidRDefault="004021AD" w:rsidP="00CB42BD">
            <w:pPr>
              <w:spacing w:after="0" w:line="240" w:lineRule="auto"/>
              <w:rPr>
                <w:rFonts w:eastAsia="Times New Roman" w:cstheme="minorHAnsi"/>
                <w:color w:val="000000"/>
                <w:lang w:eastAsia="en-GB"/>
              </w:rPr>
            </w:pPr>
            <w:r w:rsidRPr="004A61FA">
              <w:rPr>
                <w:rFonts w:eastAsia="Times New Roman" w:cstheme="minorHAnsi"/>
                <w:color w:val="000000"/>
                <w:lang w:eastAsia="en-GB"/>
              </w:rPr>
              <w:t>22.38 [9.2</w:t>
            </w:r>
            <w:r>
              <w:rPr>
                <w:rFonts w:eastAsia="Times New Roman" w:cstheme="minorHAnsi"/>
                <w:color w:val="000000"/>
                <w:lang w:eastAsia="en-GB"/>
              </w:rPr>
              <w:t>8</w:t>
            </w:r>
            <w:r w:rsidRPr="004A61FA">
              <w:rPr>
                <w:rFonts w:eastAsia="Times New Roman" w:cstheme="minorHAnsi"/>
                <w:color w:val="000000"/>
                <w:lang w:eastAsia="en-GB"/>
              </w:rPr>
              <w:t>-42.25]</w:t>
            </w:r>
          </w:p>
        </w:tc>
        <w:tc>
          <w:tcPr>
            <w:tcW w:w="1696" w:type="dxa"/>
            <w:shd w:val="clear" w:color="auto" w:fill="auto"/>
            <w:noWrap/>
            <w:vAlign w:val="bottom"/>
          </w:tcPr>
          <w:p w14:paraId="50BEB77D" w14:textId="77777777" w:rsidR="004021AD" w:rsidRPr="004A61FA" w:rsidRDefault="004021AD" w:rsidP="00CB42BD">
            <w:pPr>
              <w:spacing w:after="0" w:line="240" w:lineRule="auto"/>
              <w:rPr>
                <w:rFonts w:eastAsia="Times New Roman" w:cstheme="minorHAnsi"/>
                <w:lang w:eastAsia="en-GB"/>
              </w:rPr>
            </w:pPr>
            <w:r w:rsidRPr="004A61FA">
              <w:rPr>
                <w:rFonts w:eastAsia="Times New Roman" w:cstheme="minorHAnsi"/>
                <w:color w:val="000000"/>
                <w:lang w:eastAsia="en-GB"/>
              </w:rPr>
              <w:t>27.83 [15.75-36.41]</w:t>
            </w:r>
          </w:p>
        </w:tc>
        <w:tc>
          <w:tcPr>
            <w:tcW w:w="1701" w:type="dxa"/>
            <w:shd w:val="clear" w:color="auto" w:fill="auto"/>
            <w:noWrap/>
            <w:vAlign w:val="bottom"/>
          </w:tcPr>
          <w:p w14:paraId="625DCF38" w14:textId="76B5CA65" w:rsidR="004021AD" w:rsidRPr="00CB42BD" w:rsidRDefault="004021AD" w:rsidP="00CB42BD">
            <w:pPr>
              <w:spacing w:after="0" w:line="240" w:lineRule="auto"/>
              <w:rPr>
                <w:rFonts w:eastAsia="Times New Roman" w:cstheme="minorHAnsi"/>
                <w:color w:val="000000"/>
                <w:lang w:eastAsia="en-GB"/>
              </w:rPr>
            </w:pPr>
            <w:r w:rsidRPr="004A61FA">
              <w:rPr>
                <w:rFonts w:eastAsia="Times New Roman" w:cstheme="minorHAnsi"/>
                <w:color w:val="000000"/>
                <w:lang w:eastAsia="en-GB"/>
              </w:rPr>
              <w:t>21.67 [5.98-54]</w:t>
            </w:r>
          </w:p>
        </w:tc>
        <w:tc>
          <w:tcPr>
            <w:tcW w:w="1701" w:type="dxa"/>
            <w:shd w:val="clear" w:color="auto" w:fill="auto"/>
            <w:noWrap/>
            <w:vAlign w:val="bottom"/>
          </w:tcPr>
          <w:p w14:paraId="0CD50C10" w14:textId="37227AEE" w:rsidR="004021AD" w:rsidRPr="00CB42BD" w:rsidRDefault="004021AD" w:rsidP="00CB42BD">
            <w:pPr>
              <w:spacing w:after="0" w:line="240" w:lineRule="auto"/>
              <w:rPr>
                <w:rFonts w:eastAsia="Times New Roman" w:cstheme="minorHAnsi"/>
                <w:color w:val="000000"/>
                <w:lang w:eastAsia="en-GB"/>
              </w:rPr>
            </w:pPr>
            <w:r w:rsidRPr="004A61FA">
              <w:rPr>
                <w:rFonts w:eastAsia="Times New Roman" w:cstheme="minorHAnsi"/>
                <w:color w:val="000000"/>
                <w:lang w:eastAsia="en-GB"/>
              </w:rPr>
              <w:t>25 [12.55-51.04]</w:t>
            </w:r>
          </w:p>
        </w:tc>
        <w:tc>
          <w:tcPr>
            <w:tcW w:w="1559" w:type="dxa"/>
            <w:shd w:val="clear" w:color="auto" w:fill="auto"/>
            <w:noWrap/>
            <w:vAlign w:val="bottom"/>
          </w:tcPr>
          <w:p w14:paraId="643C6B9F"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0.473</w:t>
            </w:r>
          </w:p>
        </w:tc>
        <w:tc>
          <w:tcPr>
            <w:tcW w:w="1559" w:type="dxa"/>
            <w:vAlign w:val="bottom"/>
          </w:tcPr>
          <w:p w14:paraId="7CF99A3C"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0.875</w:t>
            </w:r>
          </w:p>
        </w:tc>
      </w:tr>
      <w:tr w:rsidR="004021AD" w:rsidRPr="00B72C17" w14:paraId="6101787B" w14:textId="77777777" w:rsidTr="00143EF1">
        <w:trPr>
          <w:trHeight w:val="300"/>
        </w:trPr>
        <w:tc>
          <w:tcPr>
            <w:tcW w:w="2436" w:type="dxa"/>
            <w:gridSpan w:val="2"/>
            <w:shd w:val="clear" w:color="auto" w:fill="auto"/>
            <w:noWrap/>
            <w:vAlign w:val="bottom"/>
          </w:tcPr>
          <w:p w14:paraId="0186EBE5"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Received Intubation and Ventilation</w:t>
            </w:r>
          </w:p>
        </w:tc>
        <w:tc>
          <w:tcPr>
            <w:tcW w:w="1959" w:type="dxa"/>
            <w:shd w:val="clear" w:color="auto" w:fill="auto"/>
            <w:noWrap/>
            <w:vAlign w:val="bottom"/>
          </w:tcPr>
          <w:p w14:paraId="30144F83" w14:textId="0D49E27C"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23 (12%)</w:t>
            </w:r>
          </w:p>
          <w:p w14:paraId="163B2B96" w14:textId="77777777" w:rsidR="004021AD" w:rsidRPr="004A61FA" w:rsidRDefault="004021AD" w:rsidP="004021AD">
            <w:pPr>
              <w:spacing w:after="0" w:line="240" w:lineRule="auto"/>
              <w:rPr>
                <w:rFonts w:eastAsia="Times New Roman" w:cstheme="minorHAnsi"/>
                <w:color w:val="000000"/>
                <w:lang w:eastAsia="en-GB"/>
              </w:rPr>
            </w:pPr>
          </w:p>
        </w:tc>
        <w:tc>
          <w:tcPr>
            <w:tcW w:w="1696" w:type="dxa"/>
            <w:shd w:val="clear" w:color="auto" w:fill="auto"/>
            <w:noWrap/>
            <w:vAlign w:val="bottom"/>
          </w:tcPr>
          <w:p w14:paraId="7703D40C" w14:textId="77777777"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0 (0%)</w:t>
            </w:r>
          </w:p>
          <w:p w14:paraId="68EABB8B" w14:textId="77777777" w:rsidR="004021AD" w:rsidRPr="004A61FA" w:rsidRDefault="004021AD" w:rsidP="004021AD">
            <w:pPr>
              <w:spacing w:after="0" w:line="240" w:lineRule="auto"/>
              <w:rPr>
                <w:rFonts w:eastAsia="Times New Roman" w:cstheme="minorHAnsi"/>
                <w:lang w:eastAsia="en-GB"/>
              </w:rPr>
            </w:pPr>
          </w:p>
        </w:tc>
        <w:tc>
          <w:tcPr>
            <w:tcW w:w="1701" w:type="dxa"/>
            <w:shd w:val="clear" w:color="auto" w:fill="auto"/>
            <w:noWrap/>
            <w:vAlign w:val="bottom"/>
          </w:tcPr>
          <w:p w14:paraId="1029AA60" w14:textId="77777777"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16 (20%)</w:t>
            </w:r>
          </w:p>
          <w:p w14:paraId="2979E76A" w14:textId="77777777" w:rsidR="004021AD" w:rsidRPr="004A61FA" w:rsidRDefault="004021AD" w:rsidP="004021AD">
            <w:pPr>
              <w:spacing w:after="0" w:line="240" w:lineRule="auto"/>
              <w:rPr>
                <w:rFonts w:eastAsia="Times New Roman" w:cstheme="minorHAnsi"/>
                <w:lang w:eastAsia="en-GB"/>
              </w:rPr>
            </w:pPr>
          </w:p>
        </w:tc>
        <w:tc>
          <w:tcPr>
            <w:tcW w:w="1701" w:type="dxa"/>
            <w:shd w:val="clear" w:color="auto" w:fill="auto"/>
            <w:noWrap/>
            <w:vAlign w:val="bottom"/>
          </w:tcPr>
          <w:p w14:paraId="44AF8C5F" w14:textId="77777777"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7 (9%)</w:t>
            </w:r>
          </w:p>
          <w:p w14:paraId="1DA90190" w14:textId="77777777" w:rsidR="004021AD" w:rsidRPr="004A61FA" w:rsidRDefault="004021AD" w:rsidP="004021AD">
            <w:pPr>
              <w:spacing w:after="0" w:line="240" w:lineRule="auto"/>
              <w:rPr>
                <w:rFonts w:eastAsia="Times New Roman" w:cstheme="minorHAnsi"/>
                <w:lang w:eastAsia="en-GB"/>
              </w:rPr>
            </w:pPr>
          </w:p>
        </w:tc>
        <w:tc>
          <w:tcPr>
            <w:tcW w:w="1559" w:type="dxa"/>
            <w:shd w:val="clear" w:color="auto" w:fill="auto"/>
            <w:noWrap/>
            <w:vAlign w:val="bottom"/>
          </w:tcPr>
          <w:p w14:paraId="77ADBE1C" w14:textId="77777777" w:rsidR="004021AD"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0.010</w:t>
            </w:r>
          </w:p>
          <w:p w14:paraId="5F633F57" w14:textId="77777777" w:rsidR="004021AD" w:rsidRPr="004A61FA" w:rsidRDefault="004021AD" w:rsidP="004021AD">
            <w:pPr>
              <w:spacing w:after="0" w:line="240" w:lineRule="auto"/>
              <w:jc w:val="center"/>
              <w:rPr>
                <w:rFonts w:eastAsia="Times New Roman" w:cstheme="minorHAnsi"/>
                <w:b/>
                <w:bCs/>
                <w:lang w:eastAsia="en-GB"/>
              </w:rPr>
            </w:pPr>
          </w:p>
        </w:tc>
        <w:tc>
          <w:tcPr>
            <w:tcW w:w="1559" w:type="dxa"/>
            <w:vAlign w:val="bottom"/>
          </w:tcPr>
          <w:p w14:paraId="7D81E084" w14:textId="77777777" w:rsidR="004021AD" w:rsidRDefault="004021AD" w:rsidP="004021AD">
            <w:pPr>
              <w:spacing w:after="0" w:line="240" w:lineRule="auto"/>
              <w:jc w:val="center"/>
              <w:rPr>
                <w:rFonts w:eastAsia="Times New Roman" w:cstheme="minorHAnsi"/>
                <w:b/>
                <w:bCs/>
                <w:color w:val="000000"/>
                <w:lang w:eastAsia="en-GB"/>
              </w:rPr>
            </w:pPr>
            <w:r w:rsidRPr="004A61FA">
              <w:rPr>
                <w:rFonts w:eastAsia="Times New Roman" w:cstheme="minorHAnsi"/>
                <w:b/>
                <w:bCs/>
                <w:color w:val="000000"/>
                <w:lang w:eastAsia="en-GB"/>
              </w:rPr>
              <w:t>0.028</w:t>
            </w:r>
          </w:p>
          <w:p w14:paraId="7A8F2814" w14:textId="77777777" w:rsidR="004021AD" w:rsidRPr="004A61FA" w:rsidRDefault="004021AD" w:rsidP="004021AD">
            <w:pPr>
              <w:spacing w:after="0" w:line="240" w:lineRule="auto"/>
              <w:jc w:val="center"/>
              <w:rPr>
                <w:rFonts w:eastAsia="Times New Roman" w:cstheme="minorHAnsi"/>
                <w:b/>
                <w:bCs/>
                <w:lang w:eastAsia="en-GB"/>
              </w:rPr>
            </w:pPr>
          </w:p>
        </w:tc>
      </w:tr>
      <w:tr w:rsidR="004021AD" w:rsidRPr="00B72C17" w14:paraId="65DDCF97" w14:textId="77777777" w:rsidTr="00143EF1">
        <w:trPr>
          <w:trHeight w:val="300"/>
        </w:trPr>
        <w:tc>
          <w:tcPr>
            <w:tcW w:w="2436" w:type="dxa"/>
            <w:gridSpan w:val="2"/>
            <w:shd w:val="clear" w:color="auto" w:fill="auto"/>
            <w:noWrap/>
            <w:vAlign w:val="bottom"/>
          </w:tcPr>
          <w:p w14:paraId="1077F235" w14:textId="076E1192" w:rsidR="004021AD" w:rsidRPr="004A61FA" w:rsidRDefault="004021AD" w:rsidP="004021AD">
            <w:pPr>
              <w:spacing w:after="0" w:line="240" w:lineRule="auto"/>
              <w:rPr>
                <w:rFonts w:eastAsia="Times New Roman" w:cstheme="minorHAnsi"/>
                <w:color w:val="000000"/>
                <w:lang w:eastAsia="en-GB"/>
              </w:rPr>
            </w:pPr>
            <w:r>
              <w:rPr>
                <w:rFonts w:eastAsia="Times New Roman" w:cstheme="minorHAnsi"/>
                <w:color w:val="000000"/>
                <w:lang w:eastAsia="en-GB"/>
              </w:rPr>
              <w:t xml:space="preserve">Duration of Intubation and </w:t>
            </w:r>
            <w:proofErr w:type="spellStart"/>
            <w:r>
              <w:rPr>
                <w:rFonts w:eastAsia="Times New Roman" w:cstheme="minorHAnsi"/>
                <w:color w:val="000000"/>
                <w:lang w:eastAsia="en-GB"/>
              </w:rPr>
              <w:t>Ventilation</w:t>
            </w:r>
            <w:r w:rsidR="0012562B" w:rsidRPr="0012562B">
              <w:rPr>
                <w:rFonts w:eastAsia="Times New Roman" w:cstheme="minorHAnsi"/>
                <w:color w:val="000000"/>
                <w:vertAlign w:val="superscript"/>
                <w:lang w:eastAsia="en-GB"/>
              </w:rPr>
              <w:t>o</w:t>
            </w:r>
            <w:proofErr w:type="spellEnd"/>
            <w:r w:rsidRPr="004A61FA">
              <w:rPr>
                <w:rFonts w:eastAsia="Times New Roman" w:cstheme="minorHAnsi"/>
                <w:color w:val="000000"/>
                <w:lang w:eastAsia="en-GB"/>
              </w:rPr>
              <w:t>, (hours)</w:t>
            </w:r>
          </w:p>
        </w:tc>
        <w:tc>
          <w:tcPr>
            <w:tcW w:w="1959" w:type="dxa"/>
            <w:shd w:val="clear" w:color="auto" w:fill="auto"/>
            <w:noWrap/>
            <w:vAlign w:val="bottom"/>
          </w:tcPr>
          <w:p w14:paraId="6493A7D4"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206.2 [113.7-482.2]</w:t>
            </w:r>
          </w:p>
        </w:tc>
        <w:tc>
          <w:tcPr>
            <w:tcW w:w="1696" w:type="dxa"/>
            <w:shd w:val="clear" w:color="auto" w:fill="auto"/>
            <w:noWrap/>
            <w:vAlign w:val="bottom"/>
          </w:tcPr>
          <w:p w14:paraId="0F9A6249" w14:textId="28957F3A"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0 </w:t>
            </w:r>
            <w:r w:rsidR="00454125">
              <w:rPr>
                <w:rFonts w:eastAsia="Times New Roman" w:cstheme="minorHAnsi"/>
                <w:color w:val="000000"/>
                <w:lang w:eastAsia="en-GB"/>
              </w:rPr>
              <w:t>[</w:t>
            </w:r>
            <w:r w:rsidRPr="004A61FA">
              <w:rPr>
                <w:rFonts w:eastAsia="Times New Roman" w:cstheme="minorHAnsi"/>
                <w:color w:val="000000"/>
                <w:lang w:eastAsia="en-GB"/>
              </w:rPr>
              <w:t>0</w:t>
            </w:r>
            <w:r w:rsidR="00454125">
              <w:rPr>
                <w:rFonts w:eastAsia="Times New Roman" w:cstheme="minorHAnsi"/>
                <w:color w:val="000000"/>
                <w:lang w:eastAsia="en-GB"/>
              </w:rPr>
              <w:t>-0]</w:t>
            </w:r>
          </w:p>
          <w:p w14:paraId="30B93E12" w14:textId="77777777" w:rsidR="004021AD" w:rsidRPr="00877745" w:rsidRDefault="004021AD" w:rsidP="004021AD">
            <w:pPr>
              <w:spacing w:after="0" w:line="240" w:lineRule="auto"/>
              <w:rPr>
                <w:rFonts w:eastAsia="Times New Roman" w:cstheme="minorHAnsi"/>
                <w:color w:val="000000"/>
                <w:lang w:eastAsia="en-GB"/>
              </w:rPr>
            </w:pPr>
          </w:p>
        </w:tc>
        <w:tc>
          <w:tcPr>
            <w:tcW w:w="1701" w:type="dxa"/>
            <w:shd w:val="clear" w:color="auto" w:fill="auto"/>
            <w:noWrap/>
            <w:vAlign w:val="bottom"/>
          </w:tcPr>
          <w:p w14:paraId="4D8F112E" w14:textId="77777777" w:rsidR="004021AD" w:rsidRPr="00877745"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198.8 [119.2-487.3]</w:t>
            </w:r>
          </w:p>
        </w:tc>
        <w:tc>
          <w:tcPr>
            <w:tcW w:w="1701" w:type="dxa"/>
            <w:shd w:val="clear" w:color="auto" w:fill="auto"/>
            <w:noWrap/>
            <w:vAlign w:val="bottom"/>
          </w:tcPr>
          <w:p w14:paraId="0492E6FC" w14:textId="77777777" w:rsidR="004021AD"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 xml:space="preserve">229.8 </w:t>
            </w:r>
          </w:p>
          <w:p w14:paraId="12B3F9C9" w14:textId="77777777" w:rsidR="004021AD" w:rsidRPr="00877745"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[88-482.2]</w:t>
            </w:r>
          </w:p>
        </w:tc>
        <w:tc>
          <w:tcPr>
            <w:tcW w:w="1559" w:type="dxa"/>
            <w:shd w:val="clear" w:color="auto" w:fill="auto"/>
            <w:noWrap/>
            <w:vAlign w:val="bottom"/>
          </w:tcPr>
          <w:p w14:paraId="1D825C41" w14:textId="77777777" w:rsidR="004021AD"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0.922</w:t>
            </w:r>
          </w:p>
          <w:p w14:paraId="2D19E0FD" w14:textId="77777777" w:rsidR="004021AD" w:rsidRPr="00877745" w:rsidRDefault="004021AD" w:rsidP="004021AD">
            <w:pPr>
              <w:spacing w:after="0" w:line="240" w:lineRule="auto"/>
              <w:jc w:val="center"/>
              <w:rPr>
                <w:rFonts w:eastAsia="Times New Roman" w:cstheme="minorHAnsi"/>
                <w:color w:val="000000"/>
                <w:lang w:eastAsia="en-GB"/>
              </w:rPr>
            </w:pPr>
          </w:p>
        </w:tc>
        <w:tc>
          <w:tcPr>
            <w:tcW w:w="1559" w:type="dxa"/>
            <w:vAlign w:val="bottom"/>
          </w:tcPr>
          <w:p w14:paraId="54D9064D" w14:textId="77777777" w:rsidR="004021AD" w:rsidRDefault="004021AD" w:rsidP="004021AD">
            <w:pPr>
              <w:spacing w:after="0" w:line="240" w:lineRule="auto"/>
              <w:jc w:val="center"/>
              <w:rPr>
                <w:rFonts w:eastAsia="Times New Roman" w:cstheme="minorHAnsi"/>
                <w:color w:val="000000"/>
                <w:lang w:eastAsia="en-GB"/>
              </w:rPr>
            </w:pPr>
            <w:r w:rsidRPr="004A61FA">
              <w:rPr>
                <w:rFonts w:eastAsia="Times New Roman" w:cstheme="minorHAnsi"/>
                <w:color w:val="000000"/>
                <w:lang w:eastAsia="en-GB"/>
              </w:rPr>
              <w:t>N/A</w:t>
            </w:r>
          </w:p>
          <w:p w14:paraId="24D3A140" w14:textId="77777777" w:rsidR="004021AD" w:rsidRPr="00877745" w:rsidRDefault="004021AD" w:rsidP="004021AD">
            <w:pPr>
              <w:spacing w:after="0" w:line="240" w:lineRule="auto"/>
              <w:jc w:val="center"/>
              <w:rPr>
                <w:rFonts w:eastAsia="Times New Roman" w:cstheme="minorHAnsi"/>
                <w:color w:val="000000"/>
                <w:lang w:eastAsia="en-GB"/>
              </w:rPr>
            </w:pPr>
          </w:p>
        </w:tc>
      </w:tr>
      <w:tr w:rsidR="004021AD" w:rsidRPr="00B72C17" w14:paraId="1CE1E0D7" w14:textId="77777777" w:rsidTr="00143EF1">
        <w:trPr>
          <w:trHeight w:val="300"/>
        </w:trPr>
        <w:tc>
          <w:tcPr>
            <w:tcW w:w="2436" w:type="dxa"/>
            <w:gridSpan w:val="2"/>
            <w:shd w:val="clear" w:color="auto" w:fill="auto"/>
            <w:noWrap/>
            <w:vAlign w:val="bottom"/>
          </w:tcPr>
          <w:p w14:paraId="0971CEAB"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Admitted to ICU</w:t>
            </w:r>
          </w:p>
        </w:tc>
        <w:tc>
          <w:tcPr>
            <w:tcW w:w="1959" w:type="dxa"/>
            <w:shd w:val="clear" w:color="auto" w:fill="auto"/>
            <w:noWrap/>
            <w:vAlign w:val="bottom"/>
          </w:tcPr>
          <w:p w14:paraId="6E121E6E" w14:textId="2DE131C0"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36 (</w:t>
            </w:r>
            <w:r w:rsidR="00454125">
              <w:rPr>
                <w:rFonts w:eastAsia="Times New Roman" w:cstheme="minorHAnsi"/>
                <w:color w:val="000000"/>
                <w:lang w:eastAsia="en-GB"/>
              </w:rPr>
              <w:t>20</w:t>
            </w:r>
            <w:r w:rsidRPr="004A61FA">
              <w:rPr>
                <w:rFonts w:eastAsia="Times New Roman" w:cstheme="minorHAnsi"/>
                <w:color w:val="000000"/>
                <w:lang w:eastAsia="en-GB"/>
              </w:rPr>
              <w:t>%)</w:t>
            </w:r>
          </w:p>
        </w:tc>
        <w:tc>
          <w:tcPr>
            <w:tcW w:w="1696" w:type="dxa"/>
            <w:shd w:val="clear" w:color="auto" w:fill="auto"/>
            <w:noWrap/>
            <w:vAlign w:val="bottom"/>
          </w:tcPr>
          <w:p w14:paraId="4826578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 (7%)</w:t>
            </w:r>
          </w:p>
        </w:tc>
        <w:tc>
          <w:tcPr>
            <w:tcW w:w="1701" w:type="dxa"/>
            <w:shd w:val="clear" w:color="auto" w:fill="auto"/>
            <w:noWrap/>
            <w:vAlign w:val="bottom"/>
          </w:tcPr>
          <w:p w14:paraId="01F8895F"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22 (28%)</w:t>
            </w:r>
          </w:p>
        </w:tc>
        <w:tc>
          <w:tcPr>
            <w:tcW w:w="1701" w:type="dxa"/>
            <w:shd w:val="clear" w:color="auto" w:fill="auto"/>
            <w:noWrap/>
            <w:vAlign w:val="bottom"/>
          </w:tcPr>
          <w:p w14:paraId="36BAC53F"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12 (15%)</w:t>
            </w:r>
          </w:p>
        </w:tc>
        <w:tc>
          <w:tcPr>
            <w:tcW w:w="1559" w:type="dxa"/>
            <w:shd w:val="clear" w:color="auto" w:fill="auto"/>
            <w:noWrap/>
            <w:vAlign w:val="bottom"/>
          </w:tcPr>
          <w:p w14:paraId="362DE386"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b/>
                <w:bCs/>
                <w:color w:val="000000"/>
                <w:lang w:eastAsia="en-GB"/>
              </w:rPr>
              <w:t>0.029</w:t>
            </w:r>
          </w:p>
        </w:tc>
        <w:tc>
          <w:tcPr>
            <w:tcW w:w="1559" w:type="dxa"/>
            <w:vAlign w:val="bottom"/>
          </w:tcPr>
          <w:p w14:paraId="197E49CC"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color w:val="000000"/>
                <w:lang w:eastAsia="en-GB"/>
              </w:rPr>
              <w:t>0.117</w:t>
            </w:r>
          </w:p>
        </w:tc>
      </w:tr>
      <w:tr w:rsidR="004021AD" w:rsidRPr="00B72C17" w14:paraId="652CC09B" w14:textId="77777777" w:rsidTr="00143EF1">
        <w:trPr>
          <w:trHeight w:val="300"/>
        </w:trPr>
        <w:tc>
          <w:tcPr>
            <w:tcW w:w="2436" w:type="dxa"/>
            <w:gridSpan w:val="2"/>
            <w:tcBorders>
              <w:bottom w:val="single" w:sz="4" w:space="0" w:color="auto"/>
            </w:tcBorders>
            <w:shd w:val="clear" w:color="auto" w:fill="auto"/>
            <w:noWrap/>
            <w:vAlign w:val="bottom"/>
          </w:tcPr>
          <w:p w14:paraId="207B67C2"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Died within 30 days of admission</w:t>
            </w:r>
          </w:p>
        </w:tc>
        <w:tc>
          <w:tcPr>
            <w:tcW w:w="1959" w:type="dxa"/>
            <w:tcBorders>
              <w:bottom w:val="single" w:sz="4" w:space="0" w:color="auto"/>
            </w:tcBorders>
            <w:shd w:val="clear" w:color="auto" w:fill="auto"/>
            <w:noWrap/>
            <w:vAlign w:val="bottom"/>
          </w:tcPr>
          <w:p w14:paraId="3948342D" w14:textId="77777777" w:rsidR="004021AD" w:rsidRPr="004A61FA" w:rsidRDefault="004021AD" w:rsidP="004021AD">
            <w:pPr>
              <w:spacing w:after="0" w:line="240" w:lineRule="auto"/>
              <w:rPr>
                <w:rFonts w:eastAsia="Times New Roman" w:cstheme="minorHAnsi"/>
                <w:color w:val="000000"/>
                <w:lang w:eastAsia="en-GB"/>
              </w:rPr>
            </w:pPr>
            <w:r w:rsidRPr="004A61FA">
              <w:rPr>
                <w:rFonts w:eastAsia="Times New Roman" w:cstheme="minorHAnsi"/>
                <w:color w:val="000000"/>
                <w:lang w:eastAsia="en-GB"/>
              </w:rPr>
              <w:t>41 (22%)</w:t>
            </w:r>
          </w:p>
        </w:tc>
        <w:tc>
          <w:tcPr>
            <w:tcW w:w="1696" w:type="dxa"/>
            <w:tcBorders>
              <w:bottom w:val="single" w:sz="4" w:space="0" w:color="auto"/>
            </w:tcBorders>
            <w:shd w:val="clear" w:color="auto" w:fill="auto"/>
            <w:noWrap/>
            <w:vAlign w:val="bottom"/>
          </w:tcPr>
          <w:p w14:paraId="22066CC1"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14 (50%)</w:t>
            </w:r>
          </w:p>
        </w:tc>
        <w:tc>
          <w:tcPr>
            <w:tcW w:w="1701" w:type="dxa"/>
            <w:tcBorders>
              <w:bottom w:val="single" w:sz="4" w:space="0" w:color="auto"/>
            </w:tcBorders>
            <w:shd w:val="clear" w:color="auto" w:fill="auto"/>
            <w:noWrap/>
            <w:vAlign w:val="bottom"/>
          </w:tcPr>
          <w:p w14:paraId="6B86E9C0"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21 (27%)</w:t>
            </w:r>
          </w:p>
        </w:tc>
        <w:tc>
          <w:tcPr>
            <w:tcW w:w="1701" w:type="dxa"/>
            <w:tcBorders>
              <w:bottom w:val="single" w:sz="4" w:space="0" w:color="auto"/>
            </w:tcBorders>
            <w:shd w:val="clear" w:color="auto" w:fill="auto"/>
            <w:noWrap/>
            <w:vAlign w:val="bottom"/>
          </w:tcPr>
          <w:p w14:paraId="31C24916" w14:textId="77777777" w:rsidR="004021AD" w:rsidRPr="004A61FA" w:rsidRDefault="004021AD" w:rsidP="004021AD">
            <w:pPr>
              <w:spacing w:after="0" w:line="240" w:lineRule="auto"/>
              <w:rPr>
                <w:rFonts w:eastAsia="Times New Roman" w:cstheme="minorHAnsi"/>
                <w:lang w:eastAsia="en-GB"/>
              </w:rPr>
            </w:pPr>
            <w:r w:rsidRPr="004A61FA">
              <w:rPr>
                <w:rFonts w:eastAsia="Times New Roman" w:cstheme="minorHAnsi"/>
                <w:lang w:eastAsia="en-GB"/>
              </w:rPr>
              <w:t>6 (8%)</w:t>
            </w:r>
          </w:p>
        </w:tc>
        <w:tc>
          <w:tcPr>
            <w:tcW w:w="1559" w:type="dxa"/>
            <w:tcBorders>
              <w:bottom w:val="single" w:sz="4" w:space="0" w:color="auto"/>
            </w:tcBorders>
            <w:shd w:val="clear" w:color="auto" w:fill="auto"/>
            <w:noWrap/>
            <w:vAlign w:val="bottom"/>
          </w:tcPr>
          <w:p w14:paraId="057A9ED9"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b/>
                <w:bCs/>
                <w:color w:val="000000"/>
                <w:lang w:eastAsia="en-GB"/>
              </w:rPr>
              <w:t>&lt;0.0001</w:t>
            </w:r>
          </w:p>
        </w:tc>
        <w:tc>
          <w:tcPr>
            <w:tcW w:w="1559" w:type="dxa"/>
            <w:tcBorders>
              <w:bottom w:val="single" w:sz="4" w:space="0" w:color="auto"/>
            </w:tcBorders>
            <w:vAlign w:val="bottom"/>
          </w:tcPr>
          <w:p w14:paraId="4C2C93BE" w14:textId="77777777" w:rsidR="004021AD" w:rsidRPr="004A61FA" w:rsidRDefault="004021AD" w:rsidP="004021AD">
            <w:pPr>
              <w:spacing w:after="0" w:line="240" w:lineRule="auto"/>
              <w:jc w:val="center"/>
              <w:rPr>
                <w:rFonts w:eastAsia="Times New Roman" w:cstheme="minorHAnsi"/>
                <w:b/>
                <w:bCs/>
                <w:lang w:eastAsia="en-GB"/>
              </w:rPr>
            </w:pPr>
            <w:r w:rsidRPr="004A61FA">
              <w:rPr>
                <w:rFonts w:eastAsia="Times New Roman" w:cstheme="minorHAnsi"/>
                <w:b/>
                <w:bCs/>
                <w:color w:val="000000"/>
                <w:lang w:eastAsia="en-GB"/>
              </w:rPr>
              <w:t>0.0004</w:t>
            </w:r>
          </w:p>
        </w:tc>
      </w:tr>
      <w:tr w:rsidR="004021AD" w:rsidRPr="00B72C17" w14:paraId="47251471" w14:textId="77777777" w:rsidTr="00143EF1">
        <w:trPr>
          <w:trHeight w:val="300"/>
        </w:trPr>
        <w:tc>
          <w:tcPr>
            <w:tcW w:w="12611" w:type="dxa"/>
            <w:gridSpan w:val="8"/>
            <w:tcBorders>
              <w:top w:val="single" w:sz="4" w:space="0" w:color="auto"/>
              <w:left w:val="nil"/>
              <w:bottom w:val="nil"/>
              <w:right w:val="nil"/>
            </w:tcBorders>
            <w:shd w:val="clear" w:color="auto" w:fill="auto"/>
            <w:noWrap/>
            <w:vAlign w:val="bottom"/>
          </w:tcPr>
          <w:p w14:paraId="0CCEDE8E" w14:textId="0D27787D" w:rsidR="004021AD" w:rsidRPr="00936F36" w:rsidRDefault="004021AD" w:rsidP="004021AD">
            <w:pPr>
              <w:shd w:val="clear" w:color="auto" w:fill="FFFFFF"/>
              <w:spacing w:after="0" w:line="240" w:lineRule="auto"/>
              <w:rPr>
                <w:rFonts w:ascii="Helvetica" w:eastAsia="Times New Roman" w:hAnsi="Helvetica" w:cs="Helvetica"/>
                <w:b/>
                <w:bCs/>
                <w:color w:val="505050"/>
                <w:sz w:val="21"/>
                <w:szCs w:val="21"/>
                <w:lang w:eastAsia="en-GB"/>
              </w:rPr>
            </w:pPr>
            <w:r w:rsidRPr="00497CCE">
              <w:rPr>
                <w:rFonts w:eastAsia="Times New Roman" w:cstheme="minorHAnsi"/>
                <w:bCs/>
                <w:color w:val="000000" w:themeColor="text1"/>
                <w:sz w:val="20"/>
                <w:szCs w:val="20"/>
                <w:lang w:eastAsia="en-GB"/>
              </w:rPr>
              <w:t>Data are presented as number (%) and median [Inter-qu</w:t>
            </w:r>
            <w:r w:rsidR="00647FF4">
              <w:rPr>
                <w:rFonts w:eastAsia="Times New Roman" w:cstheme="minorHAnsi"/>
                <w:bCs/>
                <w:color w:val="000000" w:themeColor="text1"/>
                <w:sz w:val="20"/>
                <w:szCs w:val="20"/>
                <w:lang w:eastAsia="en-GB"/>
              </w:rPr>
              <w:t>artile range]. Abbreviations</w:t>
            </w:r>
            <w:r w:rsidRPr="00497CCE">
              <w:rPr>
                <w:rFonts w:eastAsia="Times New Roman" w:cstheme="minorHAnsi"/>
                <w:bCs/>
                <w:color w:val="000000" w:themeColor="text1"/>
                <w:sz w:val="20"/>
                <w:szCs w:val="20"/>
                <w:lang w:eastAsia="en-GB"/>
              </w:rPr>
              <w:t xml:space="preserve">: </w:t>
            </w:r>
            <w:r>
              <w:rPr>
                <w:rFonts w:eastAsia="Times New Roman" w:cstheme="minorHAnsi"/>
                <w:bCs/>
                <w:color w:val="000000" w:themeColor="text1"/>
                <w:sz w:val="20"/>
                <w:szCs w:val="20"/>
                <w:lang w:eastAsia="en-GB"/>
              </w:rPr>
              <w:t xml:space="preserve">BAME, Black Asian and minority ethnic; </w:t>
            </w:r>
            <w:r w:rsidRPr="00497CCE">
              <w:rPr>
                <w:rFonts w:eastAsia="Times New Roman" w:cstheme="minorHAnsi"/>
                <w:bCs/>
                <w:color w:val="000000" w:themeColor="text1"/>
                <w:sz w:val="20"/>
                <w:szCs w:val="20"/>
                <w:lang w:eastAsia="en-GB"/>
              </w:rPr>
              <w:t>Ct, real-time PCR cycle threshold (a low Ct value represents a high viral load and vice versa);NEWS2</w:t>
            </w:r>
            <w:r>
              <w:rPr>
                <w:rFonts w:eastAsia="Times New Roman" w:cstheme="minorHAnsi"/>
                <w:bCs/>
                <w:color w:val="000000" w:themeColor="text1"/>
                <w:sz w:val="20"/>
                <w:szCs w:val="20"/>
                <w:lang w:eastAsia="en-GB"/>
              </w:rPr>
              <w:t>,</w:t>
            </w:r>
            <w:r w:rsidRPr="00497CCE">
              <w:rPr>
                <w:rFonts w:eastAsia="Times New Roman" w:cstheme="minorHAnsi"/>
                <w:bCs/>
                <w:color w:val="000000" w:themeColor="text1"/>
                <w:sz w:val="20"/>
                <w:szCs w:val="20"/>
                <w:lang w:eastAsia="en-GB"/>
              </w:rPr>
              <w:t xml:space="preserve"> National Early Warning Score 2; POCT, Point</w:t>
            </w:r>
            <w:r w:rsidR="00C359EC">
              <w:rPr>
                <w:rFonts w:eastAsia="Times New Roman" w:cstheme="minorHAnsi"/>
                <w:bCs/>
                <w:color w:val="000000" w:themeColor="text1"/>
                <w:sz w:val="20"/>
                <w:szCs w:val="20"/>
                <w:lang w:eastAsia="en-GB"/>
              </w:rPr>
              <w:t>-</w:t>
            </w:r>
            <w:r w:rsidRPr="00497CCE">
              <w:rPr>
                <w:rFonts w:eastAsia="Times New Roman" w:cstheme="minorHAnsi"/>
                <w:bCs/>
                <w:color w:val="000000" w:themeColor="text1"/>
                <w:sz w:val="20"/>
                <w:szCs w:val="20"/>
                <w:lang w:eastAsia="en-GB"/>
              </w:rPr>
              <w:t>of</w:t>
            </w:r>
            <w:r w:rsidR="00C359EC">
              <w:rPr>
                <w:rFonts w:eastAsia="Times New Roman" w:cstheme="minorHAnsi"/>
                <w:bCs/>
                <w:color w:val="000000" w:themeColor="text1"/>
                <w:sz w:val="20"/>
                <w:szCs w:val="20"/>
                <w:lang w:eastAsia="en-GB"/>
              </w:rPr>
              <w:t>-</w:t>
            </w:r>
            <w:r w:rsidRPr="00497CCE">
              <w:rPr>
                <w:rFonts w:eastAsia="Times New Roman" w:cstheme="minorHAnsi"/>
                <w:bCs/>
                <w:color w:val="000000" w:themeColor="text1"/>
                <w:sz w:val="20"/>
                <w:szCs w:val="20"/>
                <w:lang w:eastAsia="en-GB"/>
              </w:rPr>
              <w:t>Care Test; CXR, Chest X</w:t>
            </w:r>
            <w:r>
              <w:rPr>
                <w:rFonts w:eastAsia="Times New Roman" w:cstheme="minorHAnsi"/>
                <w:bCs/>
                <w:color w:val="000000" w:themeColor="text1"/>
                <w:sz w:val="20"/>
                <w:szCs w:val="20"/>
                <w:lang w:eastAsia="en-GB"/>
              </w:rPr>
              <w:t>-</w:t>
            </w:r>
            <w:r w:rsidRPr="00497CCE">
              <w:rPr>
                <w:rFonts w:eastAsia="Times New Roman" w:cstheme="minorHAnsi"/>
                <w:bCs/>
                <w:color w:val="000000" w:themeColor="text1"/>
                <w:sz w:val="20"/>
                <w:szCs w:val="20"/>
                <w:lang w:eastAsia="en-GB"/>
              </w:rPr>
              <w:t>ray; COPD, Chronic Obstructive Pulmonary Disease</w:t>
            </w:r>
            <w:r>
              <w:rPr>
                <w:rFonts w:eastAsia="Times New Roman" w:cstheme="minorHAnsi"/>
                <w:bCs/>
                <w:color w:val="000000" w:themeColor="text1"/>
                <w:sz w:val="20"/>
                <w:szCs w:val="20"/>
                <w:lang w:eastAsia="en-GB"/>
              </w:rPr>
              <w:t xml:space="preserve">; CRP, C Reactive Protein; </w:t>
            </w:r>
            <w:r w:rsidRPr="001B4523">
              <w:rPr>
                <w:rFonts w:eastAsia="Times New Roman" w:cstheme="minorHAnsi"/>
                <w:color w:val="000000"/>
                <w:sz w:val="20"/>
                <w:szCs w:val="20"/>
                <w:lang w:eastAsia="en-GB"/>
              </w:rPr>
              <w:t>LDH, Lactate dehydrogenase</w:t>
            </w:r>
            <w:r>
              <w:rPr>
                <w:rFonts w:eastAsia="Times New Roman" w:cstheme="minorHAnsi"/>
                <w:color w:val="000000"/>
                <w:lang w:eastAsia="en-GB"/>
              </w:rPr>
              <w:t>;</w:t>
            </w:r>
            <w:r>
              <w:rPr>
                <w:rFonts w:eastAsia="Times New Roman" w:cstheme="minorHAnsi"/>
                <w:bCs/>
                <w:color w:val="000000" w:themeColor="text1"/>
                <w:sz w:val="20"/>
                <w:szCs w:val="20"/>
                <w:lang w:eastAsia="en-GB"/>
              </w:rPr>
              <w:t xml:space="preserve"> NIV, non-invasive ventilation; ICU, intensive care unit</w:t>
            </w:r>
            <w:r w:rsidRPr="00497CCE">
              <w:rPr>
                <w:rFonts w:eastAsia="Times New Roman" w:cstheme="minorHAnsi"/>
                <w:bCs/>
                <w:color w:val="000000" w:themeColor="text1"/>
                <w:sz w:val="20"/>
                <w:szCs w:val="20"/>
                <w:lang w:eastAsia="en-GB"/>
              </w:rPr>
              <w:t xml:space="preserve">. </w:t>
            </w:r>
            <w:r w:rsidRPr="00497CCE">
              <w:rPr>
                <w:rFonts w:eastAsia="Times New Roman" w:cstheme="minorHAnsi"/>
                <w:bCs/>
                <w:color w:val="000000" w:themeColor="text1"/>
                <w:sz w:val="20"/>
                <w:szCs w:val="20"/>
                <w:vertAlign w:val="superscript"/>
                <w:lang w:eastAsia="en-GB"/>
              </w:rPr>
              <w:t>a</w:t>
            </w:r>
            <w:r w:rsidRPr="00497CCE">
              <w:rPr>
                <w:rFonts w:eastAsia="Times New Roman" w:cstheme="minorHAnsi"/>
                <w:bCs/>
                <w:color w:val="000000" w:themeColor="text1"/>
                <w:sz w:val="20"/>
                <w:szCs w:val="20"/>
                <w:lang w:eastAsia="en-GB"/>
              </w:rPr>
              <w:t xml:space="preserve">: Across all Ct value groups (Kruskal–Wallis test, Chi Square). </w:t>
            </w:r>
            <w:r w:rsidRPr="00497CCE">
              <w:rPr>
                <w:rFonts w:eastAsia="Times New Roman" w:cstheme="minorHAnsi"/>
                <w:bCs/>
                <w:color w:val="000000" w:themeColor="text1"/>
                <w:sz w:val="20"/>
                <w:szCs w:val="20"/>
                <w:vertAlign w:val="superscript"/>
                <w:lang w:eastAsia="en-GB"/>
              </w:rPr>
              <w:t>b</w:t>
            </w:r>
            <w:r w:rsidRPr="00497CCE">
              <w:rPr>
                <w:rFonts w:eastAsia="Times New Roman" w:cstheme="minorHAnsi"/>
                <w:bCs/>
                <w:color w:val="000000" w:themeColor="text1"/>
                <w:sz w:val="20"/>
                <w:szCs w:val="20"/>
                <w:lang w:eastAsia="en-GB"/>
              </w:rPr>
              <w:t xml:space="preserve">: Between high viral load group (Ct ≤ 20) and other groups combined (Fisher’s Exact, Mann Whitney U). </w:t>
            </w:r>
            <w:r w:rsidRPr="00497CCE">
              <w:rPr>
                <w:rFonts w:eastAsia="Times New Roman" w:cstheme="minorHAnsi"/>
                <w:bCs/>
                <w:color w:val="000000" w:themeColor="text1"/>
                <w:sz w:val="20"/>
                <w:szCs w:val="20"/>
                <w:vertAlign w:val="superscript"/>
                <w:lang w:eastAsia="en-GB"/>
              </w:rPr>
              <w:t>C</w:t>
            </w:r>
            <w:r w:rsidRPr="00497CCE">
              <w:rPr>
                <w:rFonts w:eastAsia="Times New Roman" w:cstheme="minorHAnsi"/>
                <w:bCs/>
                <w:color w:val="000000" w:themeColor="text1"/>
                <w:sz w:val="20"/>
                <w:szCs w:val="20"/>
                <w:lang w:eastAsia="en-GB"/>
              </w:rPr>
              <w:t>=176;</w:t>
            </w:r>
            <w:r>
              <w:rPr>
                <w:rFonts w:eastAsia="Times New Roman" w:cstheme="minorHAnsi"/>
                <w:bCs/>
                <w:color w:val="000000" w:themeColor="text1"/>
                <w:sz w:val="20"/>
                <w:szCs w:val="20"/>
                <w:lang w:eastAsia="en-GB"/>
              </w:rPr>
              <w:t xml:space="preserve"> </w:t>
            </w:r>
            <w:r w:rsidRPr="008351A8">
              <w:rPr>
                <w:rFonts w:eastAsia="Times New Roman" w:cstheme="minorHAnsi"/>
                <w:bCs/>
                <w:color w:val="000000" w:themeColor="text1"/>
                <w:sz w:val="20"/>
                <w:szCs w:val="20"/>
                <w:vertAlign w:val="superscript"/>
                <w:lang w:eastAsia="en-GB"/>
              </w:rPr>
              <w:t>d</w:t>
            </w:r>
            <w:r>
              <w:rPr>
                <w:rFonts w:eastAsia="Times New Roman" w:cstheme="minorHAnsi"/>
                <w:bCs/>
                <w:color w:val="000000" w:themeColor="text1"/>
                <w:sz w:val="20"/>
                <w:szCs w:val="20"/>
                <w:lang w:eastAsia="en-GB"/>
              </w:rPr>
              <w:t xml:space="preserve">=174, </w:t>
            </w:r>
            <w:r w:rsidRPr="008351A8">
              <w:rPr>
                <w:rFonts w:eastAsia="Times New Roman" w:cstheme="minorHAnsi"/>
                <w:bCs/>
                <w:color w:val="000000" w:themeColor="text1"/>
                <w:sz w:val="20"/>
                <w:szCs w:val="20"/>
                <w:vertAlign w:val="superscript"/>
                <w:lang w:eastAsia="en-GB"/>
              </w:rPr>
              <w:t>e</w:t>
            </w:r>
            <w:r>
              <w:rPr>
                <w:rFonts w:eastAsia="Times New Roman" w:cstheme="minorHAnsi"/>
                <w:bCs/>
                <w:color w:val="000000" w:themeColor="text1"/>
                <w:sz w:val="20"/>
                <w:szCs w:val="20"/>
                <w:lang w:eastAsia="en-GB"/>
              </w:rPr>
              <w:t>=178,</w:t>
            </w:r>
            <w:r w:rsidRPr="008351A8">
              <w:rPr>
                <w:rFonts w:eastAsia="Times New Roman" w:cstheme="minorHAnsi"/>
                <w:bCs/>
                <w:color w:val="000000" w:themeColor="text1"/>
                <w:sz w:val="20"/>
                <w:szCs w:val="20"/>
                <w:vertAlign w:val="superscript"/>
                <w:lang w:eastAsia="en-GB"/>
              </w:rPr>
              <w:t xml:space="preserve"> f</w:t>
            </w:r>
            <w:r>
              <w:rPr>
                <w:rFonts w:eastAsia="Times New Roman" w:cstheme="minorHAnsi"/>
                <w:bCs/>
                <w:color w:val="000000" w:themeColor="text1"/>
                <w:sz w:val="20"/>
                <w:szCs w:val="20"/>
                <w:lang w:eastAsia="en-GB"/>
              </w:rPr>
              <w:t xml:space="preserve">=177, </w:t>
            </w:r>
            <w:r w:rsidRPr="008351A8">
              <w:rPr>
                <w:rFonts w:eastAsia="Times New Roman" w:cstheme="minorHAnsi"/>
                <w:bCs/>
                <w:color w:val="000000" w:themeColor="text1"/>
                <w:sz w:val="20"/>
                <w:szCs w:val="20"/>
                <w:vertAlign w:val="superscript"/>
                <w:lang w:eastAsia="en-GB"/>
              </w:rPr>
              <w:t>g</w:t>
            </w:r>
            <w:r>
              <w:rPr>
                <w:rFonts w:eastAsia="Times New Roman" w:cstheme="minorHAnsi"/>
                <w:bCs/>
                <w:color w:val="000000" w:themeColor="text1"/>
                <w:sz w:val="20"/>
                <w:szCs w:val="20"/>
                <w:lang w:eastAsia="en-GB"/>
              </w:rPr>
              <w:t xml:space="preserve">=115, </w:t>
            </w:r>
            <w:r w:rsidRPr="008351A8">
              <w:rPr>
                <w:rFonts w:eastAsia="Times New Roman" w:cstheme="minorHAnsi"/>
                <w:bCs/>
                <w:color w:val="000000" w:themeColor="text1"/>
                <w:sz w:val="20"/>
                <w:szCs w:val="20"/>
                <w:vertAlign w:val="superscript"/>
                <w:lang w:eastAsia="en-GB"/>
              </w:rPr>
              <w:t>h</w:t>
            </w:r>
            <w:r>
              <w:rPr>
                <w:rFonts w:eastAsia="Times New Roman" w:cstheme="minorHAnsi"/>
                <w:bCs/>
                <w:color w:val="000000" w:themeColor="text1"/>
                <w:sz w:val="20"/>
                <w:szCs w:val="20"/>
                <w:lang w:eastAsia="en-GB"/>
              </w:rPr>
              <w:t>=100 (excluding d-dimers &lt;2</w:t>
            </w:r>
            <w:r w:rsidR="00EF2800">
              <w:rPr>
                <w:rFonts w:eastAsia="Times New Roman" w:cstheme="minorHAnsi"/>
                <w:bCs/>
                <w:color w:val="000000" w:themeColor="text1"/>
                <w:sz w:val="20"/>
                <w:szCs w:val="20"/>
                <w:lang w:eastAsia="en-GB"/>
              </w:rPr>
              <w:t>30</w:t>
            </w:r>
            <w:r>
              <w:rPr>
                <w:rFonts w:eastAsia="Times New Roman" w:cstheme="minorHAnsi"/>
                <w:bCs/>
                <w:color w:val="000000" w:themeColor="text1"/>
                <w:sz w:val="20"/>
                <w:szCs w:val="20"/>
                <w:lang w:eastAsia="en-GB"/>
              </w:rPr>
              <w:t xml:space="preserve"> or &gt;5000</w:t>
            </w:r>
            <w:r w:rsidR="00AC3072">
              <w:rPr>
                <w:rFonts w:eastAsia="Times New Roman" w:cstheme="minorHAnsi"/>
                <w:bCs/>
                <w:color w:val="000000" w:themeColor="text1"/>
                <w:sz w:val="20"/>
                <w:szCs w:val="20"/>
                <w:lang w:eastAsia="en-GB"/>
              </w:rPr>
              <w:t>)</w:t>
            </w:r>
            <w:r>
              <w:rPr>
                <w:rFonts w:eastAsia="Times New Roman" w:cstheme="minorHAnsi"/>
                <w:bCs/>
                <w:color w:val="000000" w:themeColor="text1"/>
                <w:sz w:val="20"/>
                <w:szCs w:val="20"/>
                <w:lang w:eastAsia="en-GB"/>
              </w:rPr>
              <w:t xml:space="preserve">, </w:t>
            </w:r>
            <w:r w:rsidRPr="00054846">
              <w:rPr>
                <w:rFonts w:eastAsia="Times New Roman" w:cstheme="minorHAnsi"/>
                <w:bCs/>
                <w:color w:val="000000" w:themeColor="text1"/>
                <w:sz w:val="20"/>
                <w:szCs w:val="20"/>
                <w:vertAlign w:val="superscript"/>
                <w:lang w:eastAsia="en-GB"/>
              </w:rPr>
              <w:t>i</w:t>
            </w:r>
            <w:r>
              <w:rPr>
                <w:rFonts w:eastAsia="Times New Roman" w:cstheme="minorHAnsi"/>
                <w:bCs/>
                <w:color w:val="000000" w:themeColor="text1"/>
                <w:sz w:val="20"/>
                <w:szCs w:val="20"/>
                <w:lang w:eastAsia="en-GB"/>
              </w:rPr>
              <w:t xml:space="preserve">=143, </w:t>
            </w:r>
            <w:r w:rsidRPr="00054846">
              <w:rPr>
                <w:rFonts w:eastAsia="Times New Roman" w:cstheme="minorHAnsi"/>
                <w:bCs/>
                <w:color w:val="000000" w:themeColor="text1"/>
                <w:sz w:val="20"/>
                <w:szCs w:val="20"/>
                <w:vertAlign w:val="superscript"/>
                <w:lang w:eastAsia="en-GB"/>
              </w:rPr>
              <w:t>j</w:t>
            </w:r>
            <w:r>
              <w:rPr>
                <w:rFonts w:eastAsia="Times New Roman" w:cstheme="minorHAnsi"/>
                <w:bCs/>
                <w:color w:val="000000" w:themeColor="text1"/>
                <w:sz w:val="20"/>
                <w:szCs w:val="20"/>
                <w:lang w:eastAsia="en-GB"/>
              </w:rPr>
              <w:t>=138,</w:t>
            </w:r>
            <w:r w:rsidR="00BB04FB">
              <w:rPr>
                <w:rFonts w:eastAsia="Times New Roman" w:cstheme="minorHAnsi"/>
                <w:bCs/>
                <w:color w:val="000000" w:themeColor="text1"/>
                <w:sz w:val="20"/>
                <w:szCs w:val="20"/>
                <w:lang w:eastAsia="en-GB"/>
              </w:rPr>
              <w:t xml:space="preserve"> </w:t>
            </w:r>
            <w:r w:rsidR="00BB04FB" w:rsidRPr="00BB04FB">
              <w:rPr>
                <w:rFonts w:eastAsia="Times New Roman" w:cstheme="minorHAnsi"/>
                <w:bCs/>
                <w:color w:val="000000" w:themeColor="text1"/>
                <w:sz w:val="20"/>
                <w:szCs w:val="20"/>
                <w:vertAlign w:val="superscript"/>
                <w:lang w:eastAsia="en-GB"/>
              </w:rPr>
              <w:t>k</w:t>
            </w:r>
            <w:r w:rsidR="00BB04FB">
              <w:rPr>
                <w:rFonts w:eastAsia="Times New Roman" w:cstheme="minorHAnsi"/>
                <w:bCs/>
                <w:color w:val="000000" w:themeColor="text1"/>
                <w:sz w:val="20"/>
                <w:szCs w:val="20"/>
                <w:lang w:eastAsia="en-GB"/>
              </w:rPr>
              <w:t>=99,</w:t>
            </w:r>
            <w:r w:rsidR="0012562B" w:rsidRPr="0012562B">
              <w:rPr>
                <w:rFonts w:eastAsia="Times New Roman" w:cstheme="minorHAnsi"/>
                <w:bCs/>
                <w:color w:val="000000" w:themeColor="text1"/>
                <w:sz w:val="20"/>
                <w:szCs w:val="20"/>
                <w:vertAlign w:val="superscript"/>
                <w:lang w:eastAsia="en-GB"/>
              </w:rPr>
              <w:t>l</w:t>
            </w:r>
            <w:r w:rsidR="0012562B">
              <w:rPr>
                <w:rFonts w:eastAsia="Times New Roman" w:cstheme="minorHAnsi"/>
                <w:bCs/>
                <w:color w:val="000000" w:themeColor="text1"/>
                <w:sz w:val="20"/>
                <w:szCs w:val="20"/>
                <w:lang w:eastAsia="en-GB"/>
              </w:rPr>
              <w:t xml:space="preserve">=144, </w:t>
            </w:r>
            <w:r w:rsidR="0012562B" w:rsidRPr="0012562B">
              <w:rPr>
                <w:rFonts w:eastAsia="Times New Roman" w:cstheme="minorHAnsi"/>
                <w:bCs/>
                <w:color w:val="000000" w:themeColor="text1"/>
                <w:sz w:val="20"/>
                <w:szCs w:val="20"/>
                <w:vertAlign w:val="superscript"/>
                <w:lang w:eastAsia="en-GB"/>
              </w:rPr>
              <w:t>m</w:t>
            </w:r>
            <w:r w:rsidR="0012562B">
              <w:rPr>
                <w:rFonts w:eastAsia="Times New Roman" w:cstheme="minorHAnsi"/>
                <w:bCs/>
                <w:color w:val="000000" w:themeColor="text1"/>
                <w:sz w:val="20"/>
                <w:szCs w:val="20"/>
                <w:lang w:eastAsia="en-GB"/>
              </w:rPr>
              <w:t xml:space="preserve">=149, </w:t>
            </w:r>
            <w:r w:rsidR="0012562B" w:rsidRPr="0012562B">
              <w:rPr>
                <w:rFonts w:eastAsia="Times New Roman" w:cstheme="minorHAnsi"/>
                <w:bCs/>
                <w:color w:val="000000" w:themeColor="text1"/>
                <w:sz w:val="20"/>
                <w:szCs w:val="20"/>
                <w:vertAlign w:val="superscript"/>
                <w:lang w:eastAsia="en-GB"/>
              </w:rPr>
              <w:t>n</w:t>
            </w:r>
            <w:r w:rsidR="0012562B">
              <w:rPr>
                <w:rFonts w:eastAsia="Times New Roman" w:cstheme="minorHAnsi"/>
                <w:bCs/>
                <w:color w:val="000000" w:themeColor="text1"/>
                <w:sz w:val="20"/>
                <w:szCs w:val="20"/>
                <w:lang w:eastAsia="en-GB"/>
              </w:rPr>
              <w:t xml:space="preserve">=36, </w:t>
            </w:r>
            <w:r w:rsidR="0012562B" w:rsidRPr="0012562B">
              <w:rPr>
                <w:rFonts w:eastAsia="Times New Roman" w:cstheme="minorHAnsi"/>
                <w:bCs/>
                <w:color w:val="000000" w:themeColor="text1"/>
                <w:sz w:val="20"/>
                <w:szCs w:val="20"/>
                <w:vertAlign w:val="superscript"/>
                <w:lang w:eastAsia="en-GB"/>
              </w:rPr>
              <w:t>o</w:t>
            </w:r>
            <w:r w:rsidR="0012562B">
              <w:rPr>
                <w:rFonts w:eastAsia="Times New Roman" w:cstheme="minorHAnsi"/>
                <w:bCs/>
                <w:color w:val="000000" w:themeColor="text1"/>
                <w:sz w:val="20"/>
                <w:szCs w:val="20"/>
                <w:lang w:eastAsia="en-GB"/>
              </w:rPr>
              <w:t xml:space="preserve">=23, </w:t>
            </w:r>
            <w:r w:rsidR="000829B8">
              <w:rPr>
                <w:rFonts w:eastAsia="Times New Roman" w:cstheme="minorHAnsi"/>
                <w:bCs/>
                <w:color w:val="000000" w:themeColor="text1"/>
                <w:sz w:val="20"/>
                <w:szCs w:val="20"/>
                <w:lang w:eastAsia="en-GB"/>
              </w:rPr>
              <w:t xml:space="preserve"> *excluding those who died.</w:t>
            </w:r>
          </w:p>
          <w:p w14:paraId="773CB72A" w14:textId="77777777" w:rsidR="004021AD" w:rsidRPr="00936F36" w:rsidRDefault="004021AD" w:rsidP="004021AD">
            <w:pPr>
              <w:shd w:val="clear" w:color="auto" w:fill="FFFFFF"/>
              <w:spacing w:after="75" w:line="240" w:lineRule="auto"/>
              <w:rPr>
                <w:rFonts w:ascii="Helvetica" w:eastAsia="Times New Roman" w:hAnsi="Helvetica" w:cs="Helvetica"/>
                <w:b/>
                <w:bCs/>
                <w:color w:val="505050"/>
                <w:sz w:val="21"/>
                <w:szCs w:val="21"/>
                <w:lang w:eastAsia="en-GB"/>
              </w:rPr>
            </w:pPr>
          </w:p>
          <w:p w14:paraId="6F4BB9D5" w14:textId="77777777" w:rsidR="004021AD" w:rsidRPr="002E62A7" w:rsidRDefault="004021AD" w:rsidP="004021AD">
            <w:pPr>
              <w:spacing w:after="0" w:line="240" w:lineRule="auto"/>
              <w:rPr>
                <w:rFonts w:ascii="Calibri" w:eastAsia="Times New Roman" w:hAnsi="Calibri" w:cs="Calibri"/>
                <w:b/>
                <w:bCs/>
                <w:color w:val="000000"/>
                <w:lang w:eastAsia="en-GB"/>
              </w:rPr>
            </w:pPr>
          </w:p>
        </w:tc>
      </w:tr>
    </w:tbl>
    <w:p w14:paraId="20C2C7DE" w14:textId="748E1AD3" w:rsidR="00391A54" w:rsidRDefault="00391A54" w:rsidP="00391A54"/>
    <w:p w14:paraId="2825DC50" w14:textId="2E7D03D3" w:rsidR="00391A54" w:rsidRPr="00A75D88" w:rsidRDefault="00391A54" w:rsidP="00391A54">
      <w:pPr>
        <w:pStyle w:val="Heading1"/>
        <w:rPr>
          <w:b w:val="0"/>
        </w:rPr>
      </w:pPr>
      <w:r w:rsidRPr="00267778">
        <w:lastRenderedPageBreak/>
        <w:t xml:space="preserve">Table 2.  </w:t>
      </w:r>
      <w:r w:rsidRPr="00A75D88">
        <w:rPr>
          <w:b w:val="0"/>
        </w:rPr>
        <w:t xml:space="preserve">Baseline demographic, clinical and laboratory </w:t>
      </w:r>
      <w:proofErr w:type="gramStart"/>
      <w:r w:rsidRPr="00A75D88">
        <w:rPr>
          <w:b w:val="0"/>
        </w:rPr>
        <w:t>features</w:t>
      </w:r>
      <w:proofErr w:type="gramEnd"/>
      <w:r w:rsidRPr="00A75D88">
        <w:rPr>
          <w:b w:val="0"/>
        </w:rPr>
        <w:t xml:space="preserve"> and outcomes for </w:t>
      </w:r>
      <w:r w:rsidR="00BF0802">
        <w:rPr>
          <w:b w:val="0"/>
        </w:rPr>
        <w:t xml:space="preserve">all </w:t>
      </w:r>
      <w:r w:rsidR="000A1C68">
        <w:rPr>
          <w:b w:val="0"/>
        </w:rPr>
        <w:t xml:space="preserve">COVID-19 </w:t>
      </w:r>
      <w:r w:rsidRPr="00A75D88">
        <w:rPr>
          <w:b w:val="0"/>
        </w:rPr>
        <w:t xml:space="preserve">patients with known SARS-CoV-2 neutralising antibody </w:t>
      </w:r>
      <w:r w:rsidR="00BF0802">
        <w:rPr>
          <w:b w:val="0"/>
        </w:rPr>
        <w:t xml:space="preserve">serological </w:t>
      </w:r>
      <w:r w:rsidRPr="00A75D88">
        <w:rPr>
          <w:b w:val="0"/>
        </w:rPr>
        <w:t>status combined (n = 99) and by antibody status</w:t>
      </w:r>
      <w:r w:rsidRPr="00A75D88">
        <w:rPr>
          <w:b w:val="0"/>
          <w:i/>
        </w:rPr>
        <w:t>.</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2268"/>
        <w:gridCol w:w="1985"/>
        <w:gridCol w:w="2268"/>
        <w:gridCol w:w="1195"/>
      </w:tblGrid>
      <w:tr w:rsidR="00391A54" w:rsidRPr="004A61FA" w14:paraId="351A68E3" w14:textId="77777777" w:rsidTr="00143EF1">
        <w:trPr>
          <w:trHeight w:val="300"/>
        </w:trPr>
        <w:tc>
          <w:tcPr>
            <w:tcW w:w="4106" w:type="dxa"/>
            <w:shd w:val="clear" w:color="auto" w:fill="auto"/>
            <w:noWrap/>
            <w:vAlign w:val="bottom"/>
            <w:hideMark/>
          </w:tcPr>
          <w:p w14:paraId="4F81A90D" w14:textId="77777777" w:rsidR="00391A54" w:rsidRPr="004A61FA" w:rsidRDefault="00391A54"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Demographics</w:t>
            </w:r>
          </w:p>
        </w:tc>
        <w:tc>
          <w:tcPr>
            <w:tcW w:w="2126" w:type="dxa"/>
            <w:shd w:val="clear" w:color="auto" w:fill="auto"/>
            <w:noWrap/>
            <w:vAlign w:val="bottom"/>
            <w:hideMark/>
          </w:tcPr>
          <w:p w14:paraId="3C3F3635" w14:textId="77777777" w:rsidR="00391A54" w:rsidRPr="004A61FA" w:rsidRDefault="00391A54"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All patients n=99</w:t>
            </w:r>
          </w:p>
        </w:tc>
        <w:tc>
          <w:tcPr>
            <w:tcW w:w="2268" w:type="dxa"/>
            <w:shd w:val="clear" w:color="auto" w:fill="auto"/>
            <w:noWrap/>
            <w:vAlign w:val="bottom"/>
            <w:hideMark/>
          </w:tcPr>
          <w:p w14:paraId="600F6AF7" w14:textId="77777777" w:rsidR="00391A54" w:rsidRPr="004A61FA" w:rsidRDefault="00391A54"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Antibody Negative n=43</w:t>
            </w:r>
          </w:p>
        </w:tc>
        <w:tc>
          <w:tcPr>
            <w:tcW w:w="1985" w:type="dxa"/>
            <w:shd w:val="clear" w:color="auto" w:fill="auto"/>
            <w:noWrap/>
            <w:vAlign w:val="bottom"/>
            <w:hideMark/>
          </w:tcPr>
          <w:p w14:paraId="4A876C28" w14:textId="77777777" w:rsidR="00391A54" w:rsidRPr="004A61FA" w:rsidRDefault="00391A54"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Antibody Positive n=56</w:t>
            </w:r>
          </w:p>
        </w:tc>
        <w:tc>
          <w:tcPr>
            <w:tcW w:w="2268" w:type="dxa"/>
          </w:tcPr>
          <w:p w14:paraId="484D1FFC" w14:textId="77777777" w:rsidR="00391A54" w:rsidRPr="004A61FA" w:rsidRDefault="00391A54"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 xml:space="preserve">Difference </w:t>
            </w:r>
          </w:p>
          <w:p w14:paraId="51D0DE23" w14:textId="77777777" w:rsidR="00391A54" w:rsidRPr="004A61FA" w:rsidRDefault="00391A54"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(CI 95%)</w:t>
            </w:r>
          </w:p>
        </w:tc>
        <w:tc>
          <w:tcPr>
            <w:tcW w:w="1195" w:type="dxa"/>
            <w:shd w:val="clear" w:color="auto" w:fill="auto"/>
            <w:noWrap/>
            <w:vAlign w:val="bottom"/>
            <w:hideMark/>
          </w:tcPr>
          <w:p w14:paraId="54E6CB84"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 xml:space="preserve">p </w:t>
            </w:r>
            <w:proofErr w:type="spellStart"/>
            <w:r w:rsidRPr="004A61FA">
              <w:rPr>
                <w:rFonts w:ascii="Calibri" w:eastAsia="Times New Roman" w:hAnsi="Calibri" w:cs="Calibri"/>
                <w:b/>
                <w:bCs/>
                <w:color w:val="000000"/>
                <w:lang w:eastAsia="en-GB"/>
              </w:rPr>
              <w:t>value</w:t>
            </w:r>
            <w:r w:rsidRPr="004A61FA">
              <w:rPr>
                <w:rFonts w:ascii="Calibri" w:eastAsia="Times New Roman" w:hAnsi="Calibri" w:cs="Calibri"/>
                <w:b/>
                <w:bCs/>
                <w:color w:val="000000"/>
                <w:vertAlign w:val="superscript"/>
                <w:lang w:eastAsia="en-GB"/>
              </w:rPr>
              <w:t>a</w:t>
            </w:r>
            <w:proofErr w:type="spellEnd"/>
          </w:p>
        </w:tc>
      </w:tr>
      <w:tr w:rsidR="00391A54" w:rsidRPr="004A61FA" w14:paraId="6C15B6C0" w14:textId="77777777" w:rsidTr="00143EF1">
        <w:trPr>
          <w:trHeight w:val="300"/>
        </w:trPr>
        <w:tc>
          <w:tcPr>
            <w:tcW w:w="4106" w:type="dxa"/>
            <w:shd w:val="clear" w:color="auto" w:fill="auto"/>
            <w:noWrap/>
            <w:vAlign w:val="bottom"/>
            <w:hideMark/>
          </w:tcPr>
          <w:p w14:paraId="51368F73" w14:textId="77777777" w:rsidR="00391A54" w:rsidRPr="00E42693" w:rsidRDefault="00391A54" w:rsidP="00143EF1">
            <w:pPr>
              <w:spacing w:after="0" w:line="240" w:lineRule="auto"/>
              <w:rPr>
                <w:rFonts w:eastAsia="Times New Roman" w:cstheme="minorHAnsi"/>
                <w:b/>
                <w:bCs/>
                <w:color w:val="000000"/>
                <w:lang w:eastAsia="en-GB"/>
              </w:rPr>
            </w:pPr>
            <w:r w:rsidRPr="00E42693">
              <w:rPr>
                <w:rFonts w:eastAsia="Times New Roman" w:cstheme="minorHAnsi"/>
                <w:color w:val="000000"/>
                <w:lang w:eastAsia="en-GB"/>
              </w:rPr>
              <w:t>Age</w:t>
            </w:r>
            <w:r w:rsidRPr="00E42693">
              <w:rPr>
                <w:rFonts w:eastAsia="Times New Roman" w:cstheme="minorHAnsi"/>
                <w:b/>
                <w:bCs/>
                <w:color w:val="000000"/>
                <w:lang w:eastAsia="en-GB"/>
              </w:rPr>
              <w:t xml:space="preserve"> </w:t>
            </w:r>
            <w:r w:rsidRPr="00E42693">
              <w:rPr>
                <w:rFonts w:eastAsia="Times New Roman" w:cstheme="minorHAnsi"/>
                <w:color w:val="000000"/>
                <w:lang w:eastAsia="en-GB"/>
              </w:rPr>
              <w:t>(years)</w:t>
            </w:r>
          </w:p>
        </w:tc>
        <w:tc>
          <w:tcPr>
            <w:tcW w:w="2126" w:type="dxa"/>
            <w:shd w:val="clear" w:color="auto" w:fill="auto"/>
            <w:noWrap/>
            <w:vAlign w:val="bottom"/>
            <w:hideMark/>
          </w:tcPr>
          <w:p w14:paraId="352A1774"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61 [48-74]</w:t>
            </w:r>
          </w:p>
        </w:tc>
        <w:tc>
          <w:tcPr>
            <w:tcW w:w="2268" w:type="dxa"/>
            <w:shd w:val="clear" w:color="auto" w:fill="auto"/>
            <w:noWrap/>
            <w:vAlign w:val="bottom"/>
            <w:hideMark/>
          </w:tcPr>
          <w:p w14:paraId="2AD28D77"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68 [52-82]</w:t>
            </w:r>
          </w:p>
        </w:tc>
        <w:tc>
          <w:tcPr>
            <w:tcW w:w="1985" w:type="dxa"/>
            <w:shd w:val="clear" w:color="auto" w:fill="auto"/>
            <w:noWrap/>
            <w:vAlign w:val="bottom"/>
            <w:hideMark/>
          </w:tcPr>
          <w:p w14:paraId="6A89DD47"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58 [45-70]</w:t>
            </w:r>
          </w:p>
        </w:tc>
        <w:tc>
          <w:tcPr>
            <w:tcW w:w="2268" w:type="dxa"/>
          </w:tcPr>
          <w:p w14:paraId="45FADED5" w14:textId="77777777" w:rsidR="00391A54" w:rsidRPr="00E42693" w:rsidRDefault="00391A54" w:rsidP="00143EF1">
            <w:pPr>
              <w:spacing w:after="0" w:line="240" w:lineRule="auto"/>
              <w:rPr>
                <w:rFonts w:eastAsia="Times New Roman" w:cstheme="minorHAnsi"/>
                <w:b/>
                <w:bCs/>
                <w:color w:val="000000"/>
                <w:lang w:eastAsia="en-GB"/>
              </w:rPr>
            </w:pPr>
            <w:r w:rsidRPr="00E42693">
              <w:rPr>
                <w:rFonts w:eastAsia="Times New Roman" w:cstheme="minorHAnsi"/>
                <w:color w:val="000000"/>
                <w:lang w:eastAsia="en-GB"/>
              </w:rPr>
              <w:t>10 (4 to 19)</w:t>
            </w:r>
          </w:p>
        </w:tc>
        <w:tc>
          <w:tcPr>
            <w:tcW w:w="1195" w:type="dxa"/>
            <w:shd w:val="clear" w:color="auto" w:fill="auto"/>
            <w:noWrap/>
            <w:vAlign w:val="bottom"/>
            <w:hideMark/>
          </w:tcPr>
          <w:p w14:paraId="44437CC0" w14:textId="77777777" w:rsidR="00391A54" w:rsidRPr="00E42693" w:rsidRDefault="00391A54" w:rsidP="00143EF1">
            <w:pPr>
              <w:spacing w:after="0" w:line="240" w:lineRule="auto"/>
              <w:jc w:val="center"/>
              <w:rPr>
                <w:rFonts w:eastAsia="Times New Roman" w:cstheme="minorHAnsi"/>
                <w:b/>
                <w:bCs/>
                <w:color w:val="000000"/>
                <w:lang w:eastAsia="en-GB"/>
              </w:rPr>
            </w:pPr>
            <w:r w:rsidRPr="00E42693">
              <w:rPr>
                <w:rFonts w:eastAsia="Times New Roman" w:cstheme="minorHAnsi"/>
                <w:b/>
                <w:bCs/>
                <w:color w:val="000000"/>
                <w:lang w:eastAsia="en-GB"/>
              </w:rPr>
              <w:t>0.002</w:t>
            </w:r>
          </w:p>
        </w:tc>
      </w:tr>
      <w:tr w:rsidR="00391A54" w:rsidRPr="004A61FA" w14:paraId="5AB0C251" w14:textId="77777777" w:rsidTr="00143EF1">
        <w:trPr>
          <w:trHeight w:val="300"/>
        </w:trPr>
        <w:tc>
          <w:tcPr>
            <w:tcW w:w="4106" w:type="dxa"/>
            <w:shd w:val="clear" w:color="auto" w:fill="auto"/>
            <w:noWrap/>
            <w:vAlign w:val="bottom"/>
            <w:hideMark/>
          </w:tcPr>
          <w:p w14:paraId="1810DE43"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Male (%)</w:t>
            </w:r>
          </w:p>
        </w:tc>
        <w:tc>
          <w:tcPr>
            <w:tcW w:w="2126" w:type="dxa"/>
            <w:shd w:val="clear" w:color="auto" w:fill="auto"/>
            <w:noWrap/>
            <w:vAlign w:val="bottom"/>
            <w:hideMark/>
          </w:tcPr>
          <w:p w14:paraId="5A2B6337"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60 (61%)</w:t>
            </w:r>
          </w:p>
        </w:tc>
        <w:tc>
          <w:tcPr>
            <w:tcW w:w="2268" w:type="dxa"/>
            <w:shd w:val="clear" w:color="auto" w:fill="auto"/>
            <w:noWrap/>
            <w:vAlign w:val="bottom"/>
            <w:hideMark/>
          </w:tcPr>
          <w:p w14:paraId="4D8A1BA2" w14:textId="7AB56950"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27 (</w:t>
            </w:r>
            <w:r w:rsidR="00EC1ADA">
              <w:rPr>
                <w:rFonts w:eastAsia="Times New Roman" w:cstheme="minorHAnsi"/>
                <w:color w:val="000000"/>
                <w:lang w:eastAsia="en-GB"/>
              </w:rPr>
              <w:t>63</w:t>
            </w:r>
            <w:r w:rsidRPr="00E42693">
              <w:rPr>
                <w:rFonts w:eastAsia="Times New Roman" w:cstheme="minorHAnsi"/>
                <w:color w:val="000000"/>
                <w:lang w:eastAsia="en-GB"/>
              </w:rPr>
              <w:t>%)</w:t>
            </w:r>
          </w:p>
        </w:tc>
        <w:tc>
          <w:tcPr>
            <w:tcW w:w="1985" w:type="dxa"/>
            <w:shd w:val="clear" w:color="auto" w:fill="auto"/>
            <w:noWrap/>
            <w:vAlign w:val="bottom"/>
            <w:hideMark/>
          </w:tcPr>
          <w:p w14:paraId="4652E9D9"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33 (59%)</w:t>
            </w:r>
          </w:p>
        </w:tc>
        <w:tc>
          <w:tcPr>
            <w:tcW w:w="2268" w:type="dxa"/>
          </w:tcPr>
          <w:p w14:paraId="75E1F50F"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 xml:space="preserve">-4% (-23% to 16%) </w:t>
            </w:r>
          </w:p>
        </w:tc>
        <w:tc>
          <w:tcPr>
            <w:tcW w:w="1195" w:type="dxa"/>
            <w:shd w:val="clear" w:color="auto" w:fill="auto"/>
            <w:noWrap/>
            <w:vAlign w:val="bottom"/>
            <w:hideMark/>
          </w:tcPr>
          <w:p w14:paraId="7883285F" w14:textId="77777777" w:rsidR="00391A54" w:rsidRPr="00E42693" w:rsidRDefault="00391A54" w:rsidP="00143EF1">
            <w:pPr>
              <w:spacing w:after="0" w:line="240" w:lineRule="auto"/>
              <w:jc w:val="center"/>
              <w:rPr>
                <w:rFonts w:eastAsia="Times New Roman" w:cstheme="minorHAnsi"/>
                <w:color w:val="000000"/>
                <w:lang w:eastAsia="en-GB"/>
              </w:rPr>
            </w:pPr>
            <w:r w:rsidRPr="00E42693">
              <w:rPr>
                <w:rFonts w:eastAsia="Times New Roman" w:cstheme="minorHAnsi"/>
                <w:color w:val="000000"/>
                <w:lang w:eastAsia="en-GB"/>
              </w:rPr>
              <w:t>0.836</w:t>
            </w:r>
          </w:p>
        </w:tc>
      </w:tr>
      <w:tr w:rsidR="00391A54" w:rsidRPr="004A61FA" w14:paraId="1AC3EC09" w14:textId="77777777" w:rsidTr="00143EF1">
        <w:trPr>
          <w:trHeight w:val="300"/>
        </w:trPr>
        <w:tc>
          <w:tcPr>
            <w:tcW w:w="4106" w:type="dxa"/>
            <w:shd w:val="clear" w:color="auto" w:fill="auto"/>
            <w:noWrap/>
            <w:vAlign w:val="bottom"/>
            <w:hideMark/>
          </w:tcPr>
          <w:p w14:paraId="4A1B765E"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 xml:space="preserve">Current </w:t>
            </w:r>
            <w:proofErr w:type="spellStart"/>
            <w:r w:rsidRPr="00E42693">
              <w:rPr>
                <w:rFonts w:eastAsia="Times New Roman" w:cstheme="minorHAnsi"/>
                <w:color w:val="000000"/>
                <w:lang w:eastAsia="en-GB"/>
              </w:rPr>
              <w:t>Smoker</w:t>
            </w:r>
            <w:r w:rsidRPr="00E42693">
              <w:rPr>
                <w:rFonts w:eastAsia="Times New Roman" w:cstheme="minorHAnsi"/>
                <w:color w:val="000000"/>
                <w:vertAlign w:val="superscript"/>
                <w:lang w:eastAsia="en-GB"/>
              </w:rPr>
              <w:t>b</w:t>
            </w:r>
            <w:proofErr w:type="spellEnd"/>
            <w:r w:rsidRPr="00E42693">
              <w:rPr>
                <w:rFonts w:eastAsia="Times New Roman" w:cstheme="minorHAnsi"/>
                <w:color w:val="000000"/>
                <w:lang w:eastAsia="en-GB"/>
              </w:rPr>
              <w:t xml:space="preserve"> </w:t>
            </w:r>
          </w:p>
        </w:tc>
        <w:tc>
          <w:tcPr>
            <w:tcW w:w="2126" w:type="dxa"/>
            <w:shd w:val="clear" w:color="auto" w:fill="auto"/>
            <w:noWrap/>
            <w:vAlign w:val="bottom"/>
            <w:hideMark/>
          </w:tcPr>
          <w:p w14:paraId="1A98BEEE"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4 (5%)</w:t>
            </w:r>
          </w:p>
        </w:tc>
        <w:tc>
          <w:tcPr>
            <w:tcW w:w="2268" w:type="dxa"/>
            <w:shd w:val="clear" w:color="auto" w:fill="auto"/>
            <w:noWrap/>
            <w:vAlign w:val="bottom"/>
            <w:hideMark/>
          </w:tcPr>
          <w:p w14:paraId="70E16E93"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3 (9%)</w:t>
            </w:r>
          </w:p>
        </w:tc>
        <w:tc>
          <w:tcPr>
            <w:tcW w:w="1985" w:type="dxa"/>
            <w:shd w:val="clear" w:color="auto" w:fill="auto"/>
            <w:noWrap/>
            <w:vAlign w:val="bottom"/>
            <w:hideMark/>
          </w:tcPr>
          <w:p w14:paraId="135BED80"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1 (2%)</w:t>
            </w:r>
          </w:p>
        </w:tc>
        <w:tc>
          <w:tcPr>
            <w:tcW w:w="2268" w:type="dxa"/>
          </w:tcPr>
          <w:p w14:paraId="48B2F0C9"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-7% (-16% to 2%)</w:t>
            </w:r>
          </w:p>
        </w:tc>
        <w:tc>
          <w:tcPr>
            <w:tcW w:w="1195" w:type="dxa"/>
            <w:shd w:val="clear" w:color="auto" w:fill="auto"/>
            <w:noWrap/>
            <w:vAlign w:val="bottom"/>
            <w:hideMark/>
          </w:tcPr>
          <w:p w14:paraId="13CC2C15" w14:textId="77777777" w:rsidR="00391A54" w:rsidRPr="00E42693" w:rsidRDefault="00391A54" w:rsidP="00143EF1">
            <w:pPr>
              <w:spacing w:after="0" w:line="240" w:lineRule="auto"/>
              <w:jc w:val="center"/>
              <w:rPr>
                <w:rFonts w:eastAsia="Times New Roman" w:cstheme="minorHAnsi"/>
                <w:lang w:eastAsia="en-GB"/>
              </w:rPr>
            </w:pPr>
            <w:r w:rsidRPr="00E42693">
              <w:rPr>
                <w:rFonts w:eastAsia="Times New Roman" w:cstheme="minorHAnsi"/>
                <w:lang w:eastAsia="en-GB"/>
              </w:rPr>
              <w:t>0.295</w:t>
            </w:r>
          </w:p>
        </w:tc>
      </w:tr>
      <w:tr w:rsidR="00391A54" w:rsidRPr="004A61FA" w14:paraId="1400B018" w14:textId="77777777" w:rsidTr="00143EF1">
        <w:trPr>
          <w:trHeight w:val="300"/>
        </w:trPr>
        <w:tc>
          <w:tcPr>
            <w:tcW w:w="4106" w:type="dxa"/>
            <w:shd w:val="clear" w:color="auto" w:fill="auto"/>
            <w:noWrap/>
            <w:vAlign w:val="bottom"/>
            <w:hideMark/>
          </w:tcPr>
          <w:p w14:paraId="6942D6E8"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Pregnant</w:t>
            </w:r>
          </w:p>
        </w:tc>
        <w:tc>
          <w:tcPr>
            <w:tcW w:w="2126" w:type="dxa"/>
            <w:shd w:val="clear" w:color="auto" w:fill="auto"/>
            <w:noWrap/>
            <w:vAlign w:val="bottom"/>
            <w:hideMark/>
          </w:tcPr>
          <w:p w14:paraId="443B609E"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0 (0%)</w:t>
            </w:r>
          </w:p>
        </w:tc>
        <w:tc>
          <w:tcPr>
            <w:tcW w:w="2268" w:type="dxa"/>
            <w:shd w:val="clear" w:color="auto" w:fill="auto"/>
            <w:noWrap/>
            <w:vAlign w:val="bottom"/>
            <w:hideMark/>
          </w:tcPr>
          <w:p w14:paraId="34F65B2D"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0 (0%)</w:t>
            </w:r>
          </w:p>
        </w:tc>
        <w:tc>
          <w:tcPr>
            <w:tcW w:w="1985" w:type="dxa"/>
            <w:shd w:val="clear" w:color="auto" w:fill="auto"/>
            <w:noWrap/>
            <w:vAlign w:val="bottom"/>
            <w:hideMark/>
          </w:tcPr>
          <w:p w14:paraId="6A1495A7"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0 (0%)</w:t>
            </w:r>
          </w:p>
        </w:tc>
        <w:tc>
          <w:tcPr>
            <w:tcW w:w="2268" w:type="dxa"/>
          </w:tcPr>
          <w:p w14:paraId="32BE0C5F"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N/A</w:t>
            </w:r>
          </w:p>
        </w:tc>
        <w:tc>
          <w:tcPr>
            <w:tcW w:w="1195" w:type="dxa"/>
            <w:shd w:val="clear" w:color="auto" w:fill="auto"/>
            <w:noWrap/>
            <w:vAlign w:val="bottom"/>
            <w:hideMark/>
          </w:tcPr>
          <w:p w14:paraId="3FED7725" w14:textId="77777777" w:rsidR="00391A54" w:rsidRPr="00E42693" w:rsidRDefault="00391A54" w:rsidP="00143EF1">
            <w:pPr>
              <w:spacing w:after="0" w:line="240" w:lineRule="auto"/>
              <w:jc w:val="center"/>
              <w:rPr>
                <w:rFonts w:eastAsia="Times New Roman" w:cstheme="minorHAnsi"/>
                <w:color w:val="000000"/>
                <w:lang w:eastAsia="en-GB"/>
              </w:rPr>
            </w:pPr>
            <w:r w:rsidRPr="00E42693">
              <w:rPr>
                <w:rFonts w:eastAsia="Times New Roman" w:cstheme="minorHAnsi"/>
                <w:color w:val="000000"/>
                <w:lang w:eastAsia="en-GB"/>
              </w:rPr>
              <w:t>N/A</w:t>
            </w:r>
          </w:p>
        </w:tc>
      </w:tr>
      <w:tr w:rsidR="00391A54" w:rsidRPr="004A61FA" w14:paraId="395F1216" w14:textId="77777777" w:rsidTr="00143EF1">
        <w:trPr>
          <w:trHeight w:val="300"/>
        </w:trPr>
        <w:tc>
          <w:tcPr>
            <w:tcW w:w="4106" w:type="dxa"/>
            <w:shd w:val="clear" w:color="auto" w:fill="auto"/>
            <w:noWrap/>
            <w:vAlign w:val="bottom"/>
            <w:hideMark/>
          </w:tcPr>
          <w:p w14:paraId="7970408A" w14:textId="77777777" w:rsidR="00391A54" w:rsidRPr="00E42693" w:rsidRDefault="00391A54" w:rsidP="00143EF1">
            <w:pPr>
              <w:spacing w:after="0" w:line="240" w:lineRule="auto"/>
              <w:rPr>
                <w:rFonts w:eastAsia="Times New Roman" w:cstheme="minorHAnsi"/>
                <w:b/>
                <w:bCs/>
                <w:color w:val="000000"/>
                <w:lang w:eastAsia="en-GB"/>
              </w:rPr>
            </w:pPr>
            <w:r w:rsidRPr="00E42693">
              <w:rPr>
                <w:rFonts w:eastAsia="Times New Roman" w:cstheme="minorHAnsi"/>
                <w:color w:val="000000"/>
                <w:lang w:eastAsia="en-GB"/>
              </w:rPr>
              <w:t>White</w:t>
            </w:r>
            <w:r w:rsidRPr="00E42693">
              <w:rPr>
                <w:rFonts w:eastAsia="Times New Roman" w:cstheme="minorHAnsi"/>
                <w:b/>
                <w:bCs/>
                <w:color w:val="000000"/>
                <w:lang w:eastAsia="en-GB"/>
              </w:rPr>
              <w:t xml:space="preserve"> </w:t>
            </w:r>
            <w:r w:rsidRPr="00E42693">
              <w:rPr>
                <w:rFonts w:eastAsia="Times New Roman" w:cstheme="minorHAnsi"/>
                <w:color w:val="000000"/>
                <w:lang w:eastAsia="en-GB"/>
              </w:rPr>
              <w:t>British</w:t>
            </w:r>
            <w:r w:rsidRPr="00E42693">
              <w:rPr>
                <w:rFonts w:eastAsia="Times New Roman" w:cstheme="minorHAnsi"/>
                <w:b/>
                <w:bCs/>
                <w:color w:val="000000"/>
                <w:lang w:eastAsia="en-GB"/>
              </w:rPr>
              <w:t xml:space="preserve"> </w:t>
            </w:r>
          </w:p>
        </w:tc>
        <w:tc>
          <w:tcPr>
            <w:tcW w:w="2126" w:type="dxa"/>
            <w:shd w:val="clear" w:color="auto" w:fill="auto"/>
            <w:noWrap/>
            <w:vAlign w:val="bottom"/>
            <w:hideMark/>
          </w:tcPr>
          <w:p w14:paraId="6268D455" w14:textId="45A5EA84"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63 (</w:t>
            </w:r>
            <w:r w:rsidR="007A6C99">
              <w:rPr>
                <w:rFonts w:eastAsia="Times New Roman" w:cstheme="minorHAnsi"/>
                <w:color w:val="000000"/>
                <w:lang w:eastAsia="en-GB"/>
              </w:rPr>
              <w:t>66</w:t>
            </w:r>
            <w:r w:rsidRPr="00E42693">
              <w:rPr>
                <w:rFonts w:eastAsia="Times New Roman" w:cstheme="minorHAnsi"/>
                <w:color w:val="000000"/>
                <w:lang w:eastAsia="en-GB"/>
              </w:rPr>
              <w:t>%)</w:t>
            </w:r>
          </w:p>
        </w:tc>
        <w:tc>
          <w:tcPr>
            <w:tcW w:w="2268" w:type="dxa"/>
            <w:shd w:val="clear" w:color="auto" w:fill="auto"/>
            <w:noWrap/>
            <w:vAlign w:val="bottom"/>
            <w:hideMark/>
          </w:tcPr>
          <w:p w14:paraId="6AA6B7CA"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34 (81%)</w:t>
            </w:r>
          </w:p>
        </w:tc>
        <w:tc>
          <w:tcPr>
            <w:tcW w:w="1985" w:type="dxa"/>
            <w:shd w:val="clear" w:color="auto" w:fill="auto"/>
            <w:noWrap/>
            <w:vAlign w:val="bottom"/>
            <w:hideMark/>
          </w:tcPr>
          <w:p w14:paraId="18E5A457"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29 (54%)</w:t>
            </w:r>
          </w:p>
        </w:tc>
        <w:tc>
          <w:tcPr>
            <w:tcW w:w="2268" w:type="dxa"/>
          </w:tcPr>
          <w:p w14:paraId="3CDE5CEC"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-27% (-46% to -8%)</w:t>
            </w:r>
          </w:p>
        </w:tc>
        <w:tc>
          <w:tcPr>
            <w:tcW w:w="1195" w:type="dxa"/>
            <w:shd w:val="clear" w:color="auto" w:fill="auto"/>
            <w:noWrap/>
            <w:vAlign w:val="bottom"/>
            <w:hideMark/>
          </w:tcPr>
          <w:p w14:paraId="399F8FDE" w14:textId="77777777" w:rsidR="00391A54" w:rsidRPr="00E42693" w:rsidRDefault="00391A54" w:rsidP="00143EF1">
            <w:pPr>
              <w:spacing w:after="0" w:line="240" w:lineRule="auto"/>
              <w:jc w:val="center"/>
              <w:rPr>
                <w:rFonts w:eastAsia="Times New Roman" w:cstheme="minorHAnsi"/>
                <w:b/>
                <w:bCs/>
                <w:lang w:eastAsia="en-GB"/>
              </w:rPr>
            </w:pPr>
            <w:r w:rsidRPr="00E42693">
              <w:rPr>
                <w:rFonts w:eastAsia="Times New Roman" w:cstheme="minorHAnsi"/>
                <w:b/>
                <w:bCs/>
                <w:lang w:eastAsia="en-GB"/>
              </w:rPr>
              <w:t>0.009</w:t>
            </w:r>
          </w:p>
        </w:tc>
      </w:tr>
      <w:tr w:rsidR="00391A54" w:rsidRPr="004A61FA" w14:paraId="20581543" w14:textId="77777777" w:rsidTr="00143EF1">
        <w:trPr>
          <w:trHeight w:val="300"/>
        </w:trPr>
        <w:tc>
          <w:tcPr>
            <w:tcW w:w="4106" w:type="dxa"/>
            <w:shd w:val="clear" w:color="auto" w:fill="auto"/>
            <w:noWrap/>
            <w:vAlign w:val="bottom"/>
          </w:tcPr>
          <w:p w14:paraId="0F45B90D" w14:textId="77777777" w:rsidR="00391A54" w:rsidRPr="00E42693" w:rsidRDefault="00391A54" w:rsidP="00143EF1">
            <w:pPr>
              <w:spacing w:after="0" w:line="240" w:lineRule="auto"/>
              <w:rPr>
                <w:rFonts w:eastAsia="Times New Roman" w:cstheme="minorHAnsi"/>
                <w:color w:val="000000"/>
                <w:highlight w:val="yellow"/>
                <w:lang w:eastAsia="en-GB"/>
              </w:rPr>
            </w:pPr>
            <w:r w:rsidRPr="00E42693">
              <w:rPr>
                <w:rFonts w:eastAsia="Times New Roman" w:cstheme="minorHAnsi"/>
                <w:color w:val="000000"/>
                <w:lang w:eastAsia="en-GB"/>
              </w:rPr>
              <w:t>BAME</w:t>
            </w:r>
          </w:p>
        </w:tc>
        <w:tc>
          <w:tcPr>
            <w:tcW w:w="2126" w:type="dxa"/>
            <w:shd w:val="clear" w:color="auto" w:fill="auto"/>
            <w:noWrap/>
            <w:vAlign w:val="bottom"/>
          </w:tcPr>
          <w:p w14:paraId="00D8E026" w14:textId="77777777" w:rsidR="00391A54" w:rsidRPr="00E42693" w:rsidRDefault="00391A54" w:rsidP="00143EF1">
            <w:pPr>
              <w:spacing w:after="0" w:line="240" w:lineRule="auto"/>
              <w:rPr>
                <w:rFonts w:eastAsia="Times New Roman" w:cstheme="minorHAnsi"/>
                <w:color w:val="000000"/>
                <w:lang w:eastAsia="en-GB"/>
              </w:rPr>
            </w:pPr>
            <w:r w:rsidRPr="00E42693">
              <w:rPr>
                <w:rFonts w:eastAsia="Times New Roman" w:cstheme="minorHAnsi"/>
                <w:color w:val="000000"/>
                <w:lang w:eastAsia="en-GB"/>
              </w:rPr>
              <w:t>27 (28%)</w:t>
            </w:r>
          </w:p>
        </w:tc>
        <w:tc>
          <w:tcPr>
            <w:tcW w:w="2268" w:type="dxa"/>
            <w:shd w:val="clear" w:color="auto" w:fill="auto"/>
            <w:noWrap/>
            <w:vAlign w:val="bottom"/>
          </w:tcPr>
          <w:p w14:paraId="1B1BBCAB"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8 (19%)</w:t>
            </w:r>
          </w:p>
        </w:tc>
        <w:tc>
          <w:tcPr>
            <w:tcW w:w="1985" w:type="dxa"/>
            <w:shd w:val="clear" w:color="auto" w:fill="auto"/>
            <w:noWrap/>
            <w:vAlign w:val="bottom"/>
          </w:tcPr>
          <w:p w14:paraId="12219BB4"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19 (35%)</w:t>
            </w:r>
          </w:p>
        </w:tc>
        <w:tc>
          <w:tcPr>
            <w:tcW w:w="2268" w:type="dxa"/>
          </w:tcPr>
          <w:p w14:paraId="2E5F147B" w14:textId="77777777" w:rsidR="00391A54" w:rsidRPr="00E42693" w:rsidRDefault="00391A54" w:rsidP="00143EF1">
            <w:pPr>
              <w:spacing w:after="0" w:line="240" w:lineRule="auto"/>
              <w:rPr>
                <w:rFonts w:eastAsia="Times New Roman" w:cstheme="minorHAnsi"/>
                <w:lang w:eastAsia="en-GB"/>
              </w:rPr>
            </w:pPr>
            <w:r w:rsidRPr="00E42693">
              <w:rPr>
                <w:rFonts w:eastAsia="Times New Roman" w:cstheme="minorHAnsi"/>
                <w:lang w:eastAsia="en-GB"/>
              </w:rPr>
              <w:t>16% (-2% to 34%)</w:t>
            </w:r>
          </w:p>
        </w:tc>
        <w:tc>
          <w:tcPr>
            <w:tcW w:w="1195" w:type="dxa"/>
            <w:shd w:val="clear" w:color="auto" w:fill="auto"/>
            <w:noWrap/>
            <w:vAlign w:val="bottom"/>
          </w:tcPr>
          <w:p w14:paraId="10A18AD7" w14:textId="77777777" w:rsidR="00391A54" w:rsidRPr="00E42693" w:rsidRDefault="00391A54" w:rsidP="00143EF1">
            <w:pPr>
              <w:spacing w:after="0" w:line="240" w:lineRule="auto"/>
              <w:jc w:val="center"/>
              <w:rPr>
                <w:rFonts w:eastAsia="Times New Roman" w:cstheme="minorHAnsi"/>
                <w:lang w:eastAsia="en-GB"/>
              </w:rPr>
            </w:pPr>
            <w:r w:rsidRPr="00E42693">
              <w:rPr>
                <w:rFonts w:eastAsia="Times New Roman" w:cstheme="minorHAnsi"/>
                <w:lang w:eastAsia="en-GB"/>
              </w:rPr>
              <w:t>0.110</w:t>
            </w:r>
          </w:p>
        </w:tc>
      </w:tr>
      <w:tr w:rsidR="000829B8" w:rsidRPr="004A61FA" w14:paraId="2CB0366F" w14:textId="77777777" w:rsidTr="00193E42">
        <w:trPr>
          <w:trHeight w:val="300"/>
        </w:trPr>
        <w:tc>
          <w:tcPr>
            <w:tcW w:w="4106" w:type="dxa"/>
            <w:shd w:val="clear" w:color="auto" w:fill="auto"/>
            <w:noWrap/>
            <w:vAlign w:val="bottom"/>
            <w:hideMark/>
          </w:tcPr>
          <w:p w14:paraId="6E34818B" w14:textId="77777777" w:rsidR="000829B8" w:rsidRPr="004A61FA" w:rsidRDefault="000829B8"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 xml:space="preserve">Co-morbidities </w:t>
            </w:r>
          </w:p>
        </w:tc>
        <w:tc>
          <w:tcPr>
            <w:tcW w:w="9842" w:type="dxa"/>
            <w:gridSpan w:val="5"/>
            <w:shd w:val="clear" w:color="auto" w:fill="auto"/>
            <w:noWrap/>
            <w:vAlign w:val="bottom"/>
            <w:hideMark/>
          </w:tcPr>
          <w:p w14:paraId="219A04A0" w14:textId="77777777" w:rsidR="000829B8" w:rsidRPr="004A61FA" w:rsidRDefault="000829B8" w:rsidP="00143EF1">
            <w:pPr>
              <w:spacing w:after="0" w:line="240" w:lineRule="auto"/>
              <w:jc w:val="center"/>
              <w:rPr>
                <w:rFonts w:ascii="Times New Roman" w:eastAsia="Times New Roman" w:hAnsi="Times New Roman" w:cs="Times New Roman"/>
                <w:lang w:eastAsia="en-GB"/>
              </w:rPr>
            </w:pPr>
          </w:p>
        </w:tc>
      </w:tr>
      <w:tr w:rsidR="00391A54" w:rsidRPr="004A61FA" w14:paraId="5F681507" w14:textId="77777777" w:rsidTr="00143EF1">
        <w:trPr>
          <w:trHeight w:val="300"/>
        </w:trPr>
        <w:tc>
          <w:tcPr>
            <w:tcW w:w="4106" w:type="dxa"/>
            <w:shd w:val="clear" w:color="auto" w:fill="auto"/>
            <w:noWrap/>
            <w:vAlign w:val="bottom"/>
            <w:hideMark/>
          </w:tcPr>
          <w:p w14:paraId="7F24FEA9" w14:textId="77777777" w:rsidR="00391A54" w:rsidRPr="004A61FA" w:rsidRDefault="00391A54" w:rsidP="00143EF1">
            <w:pPr>
              <w:spacing w:after="0" w:line="240" w:lineRule="auto"/>
              <w:rPr>
                <w:rFonts w:ascii="Calibri" w:eastAsia="Times New Roman" w:hAnsi="Calibri" w:cs="Calibri"/>
                <w:color w:val="000000"/>
                <w:lang w:eastAsia="en-GB"/>
              </w:rPr>
            </w:pPr>
            <w:proofErr w:type="spellStart"/>
            <w:r w:rsidRPr="004A61FA">
              <w:rPr>
                <w:rFonts w:ascii="Calibri" w:eastAsia="Times New Roman" w:hAnsi="Calibri" w:cs="Calibri"/>
                <w:color w:val="000000"/>
                <w:lang w:eastAsia="en-GB"/>
              </w:rPr>
              <w:t>Hypertension</w:t>
            </w:r>
            <w:r w:rsidRPr="004A61FA">
              <w:rPr>
                <w:rFonts w:ascii="Calibri" w:eastAsia="Times New Roman" w:hAnsi="Calibri" w:cs="Calibri"/>
                <w:color w:val="000000"/>
                <w:vertAlign w:val="superscript"/>
                <w:lang w:eastAsia="en-GB"/>
              </w:rPr>
              <w:t>c</w:t>
            </w:r>
            <w:proofErr w:type="spellEnd"/>
          </w:p>
        </w:tc>
        <w:tc>
          <w:tcPr>
            <w:tcW w:w="2126" w:type="dxa"/>
            <w:shd w:val="clear" w:color="auto" w:fill="auto"/>
            <w:noWrap/>
            <w:vAlign w:val="bottom"/>
            <w:hideMark/>
          </w:tcPr>
          <w:p w14:paraId="494A9E64"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40 (42%)</w:t>
            </w:r>
          </w:p>
        </w:tc>
        <w:tc>
          <w:tcPr>
            <w:tcW w:w="2268" w:type="dxa"/>
            <w:shd w:val="clear" w:color="auto" w:fill="auto"/>
            <w:noWrap/>
            <w:vAlign w:val="bottom"/>
            <w:hideMark/>
          </w:tcPr>
          <w:p w14:paraId="4EAB4C0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21 (50%)</w:t>
            </w:r>
          </w:p>
        </w:tc>
        <w:tc>
          <w:tcPr>
            <w:tcW w:w="1985" w:type="dxa"/>
            <w:shd w:val="clear" w:color="auto" w:fill="auto"/>
            <w:noWrap/>
            <w:vAlign w:val="bottom"/>
            <w:hideMark/>
          </w:tcPr>
          <w:p w14:paraId="1C9173E1"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19 (36%)</w:t>
            </w:r>
          </w:p>
        </w:tc>
        <w:tc>
          <w:tcPr>
            <w:tcW w:w="2268" w:type="dxa"/>
          </w:tcPr>
          <w:p w14:paraId="13173A7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-14% (-34% to 6%)</w:t>
            </w:r>
          </w:p>
        </w:tc>
        <w:tc>
          <w:tcPr>
            <w:tcW w:w="1195" w:type="dxa"/>
            <w:shd w:val="clear" w:color="auto" w:fill="auto"/>
            <w:noWrap/>
            <w:vAlign w:val="bottom"/>
            <w:hideMark/>
          </w:tcPr>
          <w:p w14:paraId="7D2A6B6C"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0.210</w:t>
            </w:r>
          </w:p>
        </w:tc>
      </w:tr>
      <w:tr w:rsidR="00391A54" w:rsidRPr="004A61FA" w14:paraId="3DB26E2F" w14:textId="77777777" w:rsidTr="00143EF1">
        <w:trPr>
          <w:trHeight w:val="300"/>
        </w:trPr>
        <w:tc>
          <w:tcPr>
            <w:tcW w:w="4106" w:type="dxa"/>
            <w:shd w:val="clear" w:color="auto" w:fill="auto"/>
            <w:noWrap/>
            <w:vAlign w:val="bottom"/>
            <w:hideMark/>
          </w:tcPr>
          <w:p w14:paraId="36FBA50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Cardiovascular </w:t>
            </w:r>
            <w:proofErr w:type="spellStart"/>
            <w:r w:rsidRPr="004A61FA">
              <w:rPr>
                <w:rFonts w:ascii="Calibri" w:eastAsia="Times New Roman" w:hAnsi="Calibri" w:cs="Calibri"/>
                <w:color w:val="000000"/>
                <w:lang w:eastAsia="en-GB"/>
              </w:rPr>
              <w:t>Disease</w:t>
            </w:r>
            <w:r w:rsidRPr="004A61FA">
              <w:rPr>
                <w:rFonts w:ascii="Calibri" w:eastAsia="Times New Roman" w:hAnsi="Calibri" w:cs="Calibri"/>
                <w:color w:val="000000"/>
                <w:vertAlign w:val="superscript"/>
                <w:lang w:eastAsia="en-GB"/>
              </w:rPr>
              <w:t>c</w:t>
            </w:r>
            <w:proofErr w:type="spellEnd"/>
          </w:p>
        </w:tc>
        <w:tc>
          <w:tcPr>
            <w:tcW w:w="2126" w:type="dxa"/>
            <w:shd w:val="clear" w:color="auto" w:fill="auto"/>
            <w:noWrap/>
            <w:vAlign w:val="bottom"/>
            <w:hideMark/>
          </w:tcPr>
          <w:p w14:paraId="6EF7D90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21 (22%)</w:t>
            </w:r>
          </w:p>
        </w:tc>
        <w:tc>
          <w:tcPr>
            <w:tcW w:w="2268" w:type="dxa"/>
            <w:shd w:val="clear" w:color="auto" w:fill="auto"/>
            <w:noWrap/>
            <w:vAlign w:val="bottom"/>
            <w:hideMark/>
          </w:tcPr>
          <w:p w14:paraId="354EFF8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13 (30%)</w:t>
            </w:r>
          </w:p>
        </w:tc>
        <w:tc>
          <w:tcPr>
            <w:tcW w:w="1985" w:type="dxa"/>
            <w:shd w:val="clear" w:color="auto" w:fill="auto"/>
            <w:noWrap/>
            <w:vAlign w:val="bottom"/>
            <w:hideMark/>
          </w:tcPr>
          <w:p w14:paraId="32AD80E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 (15%)</w:t>
            </w:r>
          </w:p>
        </w:tc>
        <w:tc>
          <w:tcPr>
            <w:tcW w:w="2268" w:type="dxa"/>
          </w:tcPr>
          <w:p w14:paraId="453649B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-15% (-32% to 2%)</w:t>
            </w:r>
          </w:p>
        </w:tc>
        <w:tc>
          <w:tcPr>
            <w:tcW w:w="1195" w:type="dxa"/>
            <w:shd w:val="clear" w:color="auto" w:fill="auto"/>
            <w:noWrap/>
            <w:vAlign w:val="bottom"/>
            <w:hideMark/>
          </w:tcPr>
          <w:p w14:paraId="4EB62B92"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0.135</w:t>
            </w:r>
          </w:p>
        </w:tc>
      </w:tr>
      <w:tr w:rsidR="00391A54" w:rsidRPr="004A61FA" w14:paraId="53CB5618" w14:textId="77777777" w:rsidTr="00143EF1">
        <w:trPr>
          <w:trHeight w:val="300"/>
        </w:trPr>
        <w:tc>
          <w:tcPr>
            <w:tcW w:w="4106" w:type="dxa"/>
            <w:shd w:val="clear" w:color="auto" w:fill="auto"/>
            <w:noWrap/>
            <w:vAlign w:val="bottom"/>
            <w:hideMark/>
          </w:tcPr>
          <w:p w14:paraId="0139DB5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Respiratory Disease (any)</w:t>
            </w:r>
          </w:p>
        </w:tc>
        <w:tc>
          <w:tcPr>
            <w:tcW w:w="2126" w:type="dxa"/>
            <w:shd w:val="clear" w:color="auto" w:fill="auto"/>
            <w:noWrap/>
            <w:vAlign w:val="bottom"/>
            <w:hideMark/>
          </w:tcPr>
          <w:p w14:paraId="23A153E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25 (26%)</w:t>
            </w:r>
          </w:p>
        </w:tc>
        <w:tc>
          <w:tcPr>
            <w:tcW w:w="2268" w:type="dxa"/>
            <w:shd w:val="clear" w:color="auto" w:fill="auto"/>
            <w:noWrap/>
            <w:vAlign w:val="bottom"/>
            <w:hideMark/>
          </w:tcPr>
          <w:p w14:paraId="7F1CABF1"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18 (42%)</w:t>
            </w:r>
          </w:p>
        </w:tc>
        <w:tc>
          <w:tcPr>
            <w:tcW w:w="1985" w:type="dxa"/>
            <w:shd w:val="clear" w:color="auto" w:fill="auto"/>
            <w:noWrap/>
            <w:vAlign w:val="bottom"/>
            <w:hideMark/>
          </w:tcPr>
          <w:p w14:paraId="09FD3EE4"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 (13%)</w:t>
            </w:r>
          </w:p>
        </w:tc>
        <w:tc>
          <w:tcPr>
            <w:tcW w:w="2268" w:type="dxa"/>
          </w:tcPr>
          <w:p w14:paraId="5362762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b/>
                <w:bCs/>
                <w:color w:val="000000"/>
                <w:lang w:eastAsia="en-GB"/>
              </w:rPr>
              <w:t>-</w:t>
            </w:r>
            <w:r w:rsidRPr="004A61FA">
              <w:rPr>
                <w:rFonts w:ascii="Calibri" w:eastAsia="Times New Roman" w:hAnsi="Calibri" w:cs="Calibri"/>
                <w:color w:val="000000"/>
                <w:lang w:eastAsia="en-GB"/>
              </w:rPr>
              <w:t>44% (-64% to -24%)</w:t>
            </w:r>
          </w:p>
        </w:tc>
        <w:tc>
          <w:tcPr>
            <w:tcW w:w="1195" w:type="dxa"/>
            <w:shd w:val="clear" w:color="auto" w:fill="auto"/>
            <w:noWrap/>
            <w:vAlign w:val="bottom"/>
            <w:hideMark/>
          </w:tcPr>
          <w:p w14:paraId="035AF73B"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0.002</w:t>
            </w:r>
          </w:p>
        </w:tc>
      </w:tr>
      <w:tr w:rsidR="00391A54" w:rsidRPr="004A61FA" w14:paraId="0EEF77BB" w14:textId="77777777" w:rsidTr="00143EF1">
        <w:trPr>
          <w:trHeight w:val="300"/>
        </w:trPr>
        <w:tc>
          <w:tcPr>
            <w:tcW w:w="4106" w:type="dxa"/>
            <w:shd w:val="clear" w:color="auto" w:fill="auto"/>
            <w:noWrap/>
            <w:vAlign w:val="bottom"/>
            <w:hideMark/>
          </w:tcPr>
          <w:p w14:paraId="3AB2B16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Asthma</w:t>
            </w:r>
          </w:p>
        </w:tc>
        <w:tc>
          <w:tcPr>
            <w:tcW w:w="2126" w:type="dxa"/>
            <w:shd w:val="clear" w:color="auto" w:fill="auto"/>
            <w:noWrap/>
            <w:vAlign w:val="bottom"/>
            <w:hideMark/>
          </w:tcPr>
          <w:p w14:paraId="744BCE3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16 (17%)</w:t>
            </w:r>
          </w:p>
        </w:tc>
        <w:tc>
          <w:tcPr>
            <w:tcW w:w="2268" w:type="dxa"/>
            <w:shd w:val="clear" w:color="auto" w:fill="auto"/>
            <w:noWrap/>
            <w:vAlign w:val="bottom"/>
            <w:hideMark/>
          </w:tcPr>
          <w:p w14:paraId="1B324CF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 (23%)</w:t>
            </w:r>
          </w:p>
        </w:tc>
        <w:tc>
          <w:tcPr>
            <w:tcW w:w="1985" w:type="dxa"/>
            <w:shd w:val="clear" w:color="auto" w:fill="auto"/>
            <w:noWrap/>
            <w:vAlign w:val="bottom"/>
            <w:hideMark/>
          </w:tcPr>
          <w:p w14:paraId="73BED89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 (11%)</w:t>
            </w:r>
          </w:p>
        </w:tc>
        <w:tc>
          <w:tcPr>
            <w:tcW w:w="2268" w:type="dxa"/>
          </w:tcPr>
          <w:p w14:paraId="7B893D80" w14:textId="25A0B21C"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-12% (</w:t>
            </w:r>
            <w:r w:rsidR="002A0D41">
              <w:rPr>
                <w:rFonts w:ascii="Calibri" w:eastAsia="Times New Roman" w:hAnsi="Calibri" w:cs="Calibri"/>
                <w:color w:val="000000"/>
                <w:lang w:eastAsia="en-GB"/>
              </w:rPr>
              <w:t>-27% to 3%)</w:t>
            </w:r>
          </w:p>
        </w:tc>
        <w:tc>
          <w:tcPr>
            <w:tcW w:w="1195" w:type="dxa"/>
            <w:shd w:val="clear" w:color="auto" w:fill="auto"/>
            <w:noWrap/>
            <w:vAlign w:val="bottom"/>
            <w:hideMark/>
          </w:tcPr>
          <w:p w14:paraId="5B094D83"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0.169</w:t>
            </w:r>
          </w:p>
        </w:tc>
      </w:tr>
      <w:tr w:rsidR="00391A54" w:rsidRPr="004A61FA" w14:paraId="3434650C" w14:textId="77777777" w:rsidTr="00143EF1">
        <w:trPr>
          <w:trHeight w:val="300"/>
        </w:trPr>
        <w:tc>
          <w:tcPr>
            <w:tcW w:w="4106" w:type="dxa"/>
            <w:shd w:val="clear" w:color="auto" w:fill="auto"/>
            <w:noWrap/>
            <w:vAlign w:val="bottom"/>
            <w:hideMark/>
          </w:tcPr>
          <w:p w14:paraId="13D0EBF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COPD</w:t>
            </w:r>
          </w:p>
        </w:tc>
        <w:tc>
          <w:tcPr>
            <w:tcW w:w="2126" w:type="dxa"/>
            <w:shd w:val="clear" w:color="auto" w:fill="auto"/>
            <w:noWrap/>
            <w:vAlign w:val="bottom"/>
            <w:hideMark/>
          </w:tcPr>
          <w:p w14:paraId="50F8606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 (8%)</w:t>
            </w:r>
          </w:p>
        </w:tc>
        <w:tc>
          <w:tcPr>
            <w:tcW w:w="2268" w:type="dxa"/>
            <w:shd w:val="clear" w:color="auto" w:fill="auto"/>
            <w:noWrap/>
            <w:vAlign w:val="bottom"/>
            <w:hideMark/>
          </w:tcPr>
          <w:p w14:paraId="63983AA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 (16%)</w:t>
            </w:r>
          </w:p>
        </w:tc>
        <w:tc>
          <w:tcPr>
            <w:tcW w:w="1985" w:type="dxa"/>
            <w:shd w:val="clear" w:color="auto" w:fill="auto"/>
            <w:noWrap/>
            <w:vAlign w:val="bottom"/>
            <w:hideMark/>
          </w:tcPr>
          <w:p w14:paraId="620FA2B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 (2%)</w:t>
            </w:r>
          </w:p>
        </w:tc>
        <w:tc>
          <w:tcPr>
            <w:tcW w:w="2268" w:type="dxa"/>
          </w:tcPr>
          <w:p w14:paraId="0CE306B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-14% (-26% to -3%)</w:t>
            </w:r>
          </w:p>
        </w:tc>
        <w:tc>
          <w:tcPr>
            <w:tcW w:w="1195" w:type="dxa"/>
            <w:shd w:val="clear" w:color="auto" w:fill="auto"/>
            <w:noWrap/>
            <w:vAlign w:val="bottom"/>
            <w:hideMark/>
          </w:tcPr>
          <w:p w14:paraId="7C85CDC8"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0.021</w:t>
            </w:r>
          </w:p>
        </w:tc>
      </w:tr>
      <w:tr w:rsidR="00391A54" w:rsidRPr="004A61FA" w14:paraId="57E7E69A" w14:textId="77777777" w:rsidTr="00143EF1">
        <w:trPr>
          <w:trHeight w:val="300"/>
        </w:trPr>
        <w:tc>
          <w:tcPr>
            <w:tcW w:w="4106" w:type="dxa"/>
            <w:shd w:val="clear" w:color="auto" w:fill="auto"/>
            <w:noWrap/>
            <w:vAlign w:val="bottom"/>
            <w:hideMark/>
          </w:tcPr>
          <w:p w14:paraId="59154CB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Chronic Kidney Disease</w:t>
            </w:r>
            <w:r w:rsidRPr="004A61FA">
              <w:rPr>
                <w:rFonts w:ascii="Calibri" w:eastAsia="Times New Roman" w:hAnsi="Calibri" w:cs="Calibri"/>
                <w:color w:val="000000"/>
                <w:vertAlign w:val="superscript"/>
                <w:lang w:eastAsia="en-GB"/>
              </w:rPr>
              <w:t xml:space="preserve"> </w:t>
            </w:r>
          </w:p>
        </w:tc>
        <w:tc>
          <w:tcPr>
            <w:tcW w:w="2126" w:type="dxa"/>
            <w:shd w:val="clear" w:color="auto" w:fill="auto"/>
            <w:noWrap/>
            <w:vAlign w:val="bottom"/>
            <w:hideMark/>
          </w:tcPr>
          <w:p w14:paraId="212CA34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 (7%)</w:t>
            </w:r>
          </w:p>
        </w:tc>
        <w:tc>
          <w:tcPr>
            <w:tcW w:w="2268" w:type="dxa"/>
            <w:shd w:val="clear" w:color="auto" w:fill="auto"/>
            <w:noWrap/>
            <w:vAlign w:val="bottom"/>
            <w:hideMark/>
          </w:tcPr>
          <w:p w14:paraId="4881C23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 (9%)</w:t>
            </w:r>
          </w:p>
        </w:tc>
        <w:tc>
          <w:tcPr>
            <w:tcW w:w="1985" w:type="dxa"/>
            <w:shd w:val="clear" w:color="auto" w:fill="auto"/>
            <w:noWrap/>
            <w:vAlign w:val="bottom"/>
            <w:hideMark/>
          </w:tcPr>
          <w:p w14:paraId="3504EB3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 (6%)</w:t>
            </w:r>
          </w:p>
        </w:tc>
        <w:tc>
          <w:tcPr>
            <w:tcW w:w="2268" w:type="dxa"/>
          </w:tcPr>
          <w:p w14:paraId="18C03CA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 (-14% to 7%)</w:t>
            </w:r>
          </w:p>
        </w:tc>
        <w:tc>
          <w:tcPr>
            <w:tcW w:w="1195" w:type="dxa"/>
            <w:shd w:val="clear" w:color="auto" w:fill="auto"/>
            <w:noWrap/>
            <w:vAlign w:val="bottom"/>
            <w:hideMark/>
          </w:tcPr>
          <w:p w14:paraId="21E48C52"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0.697</w:t>
            </w:r>
          </w:p>
        </w:tc>
      </w:tr>
      <w:tr w:rsidR="00391A54" w:rsidRPr="004A61FA" w14:paraId="598AEF89" w14:textId="77777777" w:rsidTr="00143EF1">
        <w:trPr>
          <w:trHeight w:val="300"/>
        </w:trPr>
        <w:tc>
          <w:tcPr>
            <w:tcW w:w="4106" w:type="dxa"/>
            <w:shd w:val="clear" w:color="auto" w:fill="auto"/>
            <w:noWrap/>
            <w:vAlign w:val="bottom"/>
            <w:hideMark/>
          </w:tcPr>
          <w:p w14:paraId="7686805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Chronic Liver Disease</w:t>
            </w:r>
            <w:r w:rsidRPr="004A61FA">
              <w:rPr>
                <w:rFonts w:ascii="Calibri" w:eastAsia="Times New Roman" w:hAnsi="Calibri" w:cs="Calibri"/>
                <w:color w:val="000000"/>
                <w:vertAlign w:val="superscript"/>
                <w:lang w:eastAsia="en-GB"/>
              </w:rPr>
              <w:t xml:space="preserve"> </w:t>
            </w:r>
          </w:p>
        </w:tc>
        <w:tc>
          <w:tcPr>
            <w:tcW w:w="2126" w:type="dxa"/>
            <w:shd w:val="clear" w:color="auto" w:fill="auto"/>
            <w:noWrap/>
            <w:vAlign w:val="bottom"/>
            <w:hideMark/>
          </w:tcPr>
          <w:p w14:paraId="20F6F7C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 (3%)</w:t>
            </w:r>
          </w:p>
        </w:tc>
        <w:tc>
          <w:tcPr>
            <w:tcW w:w="2268" w:type="dxa"/>
            <w:shd w:val="clear" w:color="auto" w:fill="auto"/>
            <w:noWrap/>
            <w:vAlign w:val="bottom"/>
            <w:hideMark/>
          </w:tcPr>
          <w:p w14:paraId="3D8D5E1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 (2%)</w:t>
            </w:r>
          </w:p>
        </w:tc>
        <w:tc>
          <w:tcPr>
            <w:tcW w:w="1985" w:type="dxa"/>
            <w:shd w:val="clear" w:color="auto" w:fill="auto"/>
            <w:noWrap/>
            <w:vAlign w:val="bottom"/>
            <w:hideMark/>
          </w:tcPr>
          <w:p w14:paraId="735FAAC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 (4%)</w:t>
            </w:r>
          </w:p>
        </w:tc>
        <w:tc>
          <w:tcPr>
            <w:tcW w:w="2268" w:type="dxa"/>
          </w:tcPr>
          <w:p w14:paraId="3826F83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 (-6% to 8%)</w:t>
            </w:r>
          </w:p>
        </w:tc>
        <w:tc>
          <w:tcPr>
            <w:tcW w:w="1195" w:type="dxa"/>
            <w:shd w:val="clear" w:color="auto" w:fill="auto"/>
            <w:noWrap/>
            <w:vAlign w:val="bottom"/>
            <w:hideMark/>
          </w:tcPr>
          <w:p w14:paraId="4A0C6BA8"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&gt;0.999</w:t>
            </w:r>
          </w:p>
        </w:tc>
      </w:tr>
      <w:tr w:rsidR="00391A54" w:rsidRPr="004A61FA" w14:paraId="08AAFCC8" w14:textId="77777777" w:rsidTr="00143EF1">
        <w:trPr>
          <w:trHeight w:val="300"/>
        </w:trPr>
        <w:tc>
          <w:tcPr>
            <w:tcW w:w="4106" w:type="dxa"/>
            <w:shd w:val="clear" w:color="auto" w:fill="auto"/>
            <w:noWrap/>
            <w:vAlign w:val="bottom"/>
            <w:hideMark/>
          </w:tcPr>
          <w:p w14:paraId="42143D0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Diabetes</w:t>
            </w:r>
          </w:p>
        </w:tc>
        <w:tc>
          <w:tcPr>
            <w:tcW w:w="2126" w:type="dxa"/>
            <w:shd w:val="clear" w:color="auto" w:fill="auto"/>
            <w:noWrap/>
            <w:vAlign w:val="bottom"/>
            <w:hideMark/>
          </w:tcPr>
          <w:p w14:paraId="1D7507D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23 (24%)</w:t>
            </w:r>
          </w:p>
        </w:tc>
        <w:tc>
          <w:tcPr>
            <w:tcW w:w="2268" w:type="dxa"/>
            <w:shd w:val="clear" w:color="auto" w:fill="auto"/>
            <w:noWrap/>
            <w:vAlign w:val="bottom"/>
            <w:hideMark/>
          </w:tcPr>
          <w:p w14:paraId="2DBB5B1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14 (33%)</w:t>
            </w:r>
          </w:p>
        </w:tc>
        <w:tc>
          <w:tcPr>
            <w:tcW w:w="1985" w:type="dxa"/>
            <w:shd w:val="clear" w:color="auto" w:fill="auto"/>
            <w:noWrap/>
            <w:vAlign w:val="bottom"/>
            <w:hideMark/>
          </w:tcPr>
          <w:p w14:paraId="07A3395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 (17%)</w:t>
            </w:r>
          </w:p>
        </w:tc>
        <w:tc>
          <w:tcPr>
            <w:tcW w:w="2268" w:type="dxa"/>
          </w:tcPr>
          <w:p w14:paraId="1BDC3F6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-16% (-33% to 16%)</w:t>
            </w:r>
          </w:p>
        </w:tc>
        <w:tc>
          <w:tcPr>
            <w:tcW w:w="1195" w:type="dxa"/>
            <w:shd w:val="clear" w:color="auto" w:fill="auto"/>
            <w:noWrap/>
            <w:vAlign w:val="bottom"/>
            <w:hideMark/>
          </w:tcPr>
          <w:p w14:paraId="6B787EF2"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0.095</w:t>
            </w:r>
          </w:p>
        </w:tc>
      </w:tr>
      <w:tr w:rsidR="00391A54" w:rsidRPr="004A61FA" w14:paraId="7F45C7B5" w14:textId="77777777" w:rsidTr="00143EF1">
        <w:trPr>
          <w:trHeight w:val="300"/>
        </w:trPr>
        <w:tc>
          <w:tcPr>
            <w:tcW w:w="4106" w:type="dxa"/>
            <w:shd w:val="clear" w:color="auto" w:fill="auto"/>
            <w:noWrap/>
            <w:vAlign w:val="bottom"/>
            <w:hideMark/>
          </w:tcPr>
          <w:p w14:paraId="22B049A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Active Malignancy</w:t>
            </w:r>
          </w:p>
        </w:tc>
        <w:tc>
          <w:tcPr>
            <w:tcW w:w="2126" w:type="dxa"/>
            <w:shd w:val="clear" w:color="auto" w:fill="auto"/>
            <w:noWrap/>
            <w:vAlign w:val="bottom"/>
            <w:hideMark/>
          </w:tcPr>
          <w:p w14:paraId="6006E3C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 (7%)</w:t>
            </w:r>
          </w:p>
        </w:tc>
        <w:tc>
          <w:tcPr>
            <w:tcW w:w="2268" w:type="dxa"/>
            <w:shd w:val="clear" w:color="auto" w:fill="auto"/>
            <w:noWrap/>
            <w:vAlign w:val="bottom"/>
            <w:hideMark/>
          </w:tcPr>
          <w:p w14:paraId="035C83F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 (7%)</w:t>
            </w:r>
          </w:p>
        </w:tc>
        <w:tc>
          <w:tcPr>
            <w:tcW w:w="1985" w:type="dxa"/>
            <w:shd w:val="clear" w:color="auto" w:fill="auto"/>
            <w:noWrap/>
            <w:vAlign w:val="bottom"/>
            <w:hideMark/>
          </w:tcPr>
          <w:p w14:paraId="0F4033B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 (8%)</w:t>
            </w:r>
          </w:p>
        </w:tc>
        <w:tc>
          <w:tcPr>
            <w:tcW w:w="2268" w:type="dxa"/>
          </w:tcPr>
          <w:p w14:paraId="2D0CACC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 (-10% to 11%)</w:t>
            </w:r>
          </w:p>
        </w:tc>
        <w:tc>
          <w:tcPr>
            <w:tcW w:w="1195" w:type="dxa"/>
            <w:shd w:val="clear" w:color="auto" w:fill="auto"/>
            <w:noWrap/>
            <w:vAlign w:val="bottom"/>
            <w:hideMark/>
          </w:tcPr>
          <w:p w14:paraId="5A4E0C96"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&gt;0.999</w:t>
            </w:r>
          </w:p>
        </w:tc>
      </w:tr>
      <w:tr w:rsidR="00391A54" w:rsidRPr="004A61FA" w14:paraId="1F792534" w14:textId="77777777" w:rsidTr="00143EF1">
        <w:trPr>
          <w:trHeight w:val="300"/>
        </w:trPr>
        <w:tc>
          <w:tcPr>
            <w:tcW w:w="4106" w:type="dxa"/>
            <w:shd w:val="clear" w:color="auto" w:fill="auto"/>
            <w:noWrap/>
            <w:vAlign w:val="bottom"/>
            <w:hideMark/>
          </w:tcPr>
          <w:p w14:paraId="330B5634" w14:textId="77777777" w:rsidR="00391A54" w:rsidRPr="004A61FA" w:rsidRDefault="00391A54" w:rsidP="00143EF1">
            <w:pPr>
              <w:spacing w:after="0" w:line="240" w:lineRule="auto"/>
              <w:rPr>
                <w:rFonts w:ascii="Calibri" w:eastAsia="Times New Roman" w:hAnsi="Calibri" w:cs="Calibri"/>
                <w:color w:val="000000"/>
                <w:lang w:eastAsia="en-GB"/>
              </w:rPr>
            </w:pPr>
            <w:proofErr w:type="spellStart"/>
            <w:r w:rsidRPr="004A61FA">
              <w:rPr>
                <w:rFonts w:ascii="Calibri" w:eastAsia="Times New Roman" w:hAnsi="Calibri" w:cs="Calibri"/>
                <w:color w:val="000000"/>
                <w:lang w:eastAsia="en-GB"/>
              </w:rPr>
              <w:t>Dementia</w:t>
            </w:r>
            <w:r w:rsidRPr="004A61FA">
              <w:rPr>
                <w:rFonts w:ascii="Calibri" w:eastAsia="Times New Roman" w:hAnsi="Calibri" w:cs="Calibri"/>
                <w:color w:val="000000"/>
                <w:vertAlign w:val="superscript"/>
                <w:lang w:eastAsia="en-GB"/>
              </w:rPr>
              <w:t>c</w:t>
            </w:r>
            <w:proofErr w:type="spellEnd"/>
            <w:r w:rsidRPr="004A61FA">
              <w:rPr>
                <w:rFonts w:ascii="Calibri" w:eastAsia="Times New Roman" w:hAnsi="Calibri" w:cs="Calibri"/>
                <w:color w:val="000000"/>
                <w:lang w:eastAsia="en-GB"/>
              </w:rPr>
              <w:t xml:space="preserve"> </w:t>
            </w:r>
          </w:p>
        </w:tc>
        <w:tc>
          <w:tcPr>
            <w:tcW w:w="2126" w:type="dxa"/>
            <w:shd w:val="clear" w:color="auto" w:fill="auto"/>
            <w:noWrap/>
            <w:vAlign w:val="bottom"/>
            <w:hideMark/>
          </w:tcPr>
          <w:p w14:paraId="54F6CEA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 (11%)</w:t>
            </w:r>
          </w:p>
        </w:tc>
        <w:tc>
          <w:tcPr>
            <w:tcW w:w="2268" w:type="dxa"/>
            <w:shd w:val="clear" w:color="auto" w:fill="auto"/>
            <w:noWrap/>
            <w:vAlign w:val="bottom"/>
            <w:hideMark/>
          </w:tcPr>
          <w:p w14:paraId="1B629444" w14:textId="5C4BB3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 (</w:t>
            </w:r>
            <w:r w:rsidR="00E42693">
              <w:rPr>
                <w:rFonts w:ascii="Calibri" w:eastAsia="Times New Roman" w:hAnsi="Calibri" w:cs="Calibri"/>
                <w:color w:val="000000"/>
                <w:lang w:eastAsia="en-GB"/>
              </w:rPr>
              <w:t>19</w:t>
            </w:r>
            <w:r w:rsidRPr="004A61FA">
              <w:rPr>
                <w:rFonts w:ascii="Calibri" w:eastAsia="Times New Roman" w:hAnsi="Calibri" w:cs="Calibri"/>
                <w:color w:val="000000"/>
                <w:lang w:eastAsia="en-GB"/>
              </w:rPr>
              <w:t>%)</w:t>
            </w:r>
          </w:p>
        </w:tc>
        <w:tc>
          <w:tcPr>
            <w:tcW w:w="1985" w:type="dxa"/>
            <w:shd w:val="clear" w:color="auto" w:fill="auto"/>
            <w:noWrap/>
            <w:vAlign w:val="bottom"/>
            <w:hideMark/>
          </w:tcPr>
          <w:p w14:paraId="2FDEC60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 (4%)</w:t>
            </w:r>
          </w:p>
        </w:tc>
        <w:tc>
          <w:tcPr>
            <w:tcW w:w="2268" w:type="dxa"/>
          </w:tcPr>
          <w:p w14:paraId="105ECAE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-15% (-28% to -3%)</w:t>
            </w:r>
          </w:p>
        </w:tc>
        <w:tc>
          <w:tcPr>
            <w:tcW w:w="1195" w:type="dxa"/>
            <w:shd w:val="clear" w:color="auto" w:fill="auto"/>
            <w:noWrap/>
            <w:vAlign w:val="bottom"/>
            <w:hideMark/>
          </w:tcPr>
          <w:p w14:paraId="1F9B2F7A"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0.021</w:t>
            </w:r>
          </w:p>
        </w:tc>
      </w:tr>
      <w:tr w:rsidR="00391A54" w:rsidRPr="004A61FA" w14:paraId="07BE5027" w14:textId="77777777" w:rsidTr="00143EF1">
        <w:trPr>
          <w:trHeight w:val="300"/>
        </w:trPr>
        <w:tc>
          <w:tcPr>
            <w:tcW w:w="4106" w:type="dxa"/>
            <w:shd w:val="clear" w:color="auto" w:fill="auto"/>
            <w:noWrap/>
            <w:vAlign w:val="bottom"/>
            <w:hideMark/>
          </w:tcPr>
          <w:p w14:paraId="0594F31E" w14:textId="77777777" w:rsidR="00391A54" w:rsidRPr="004A61FA" w:rsidRDefault="00391A54" w:rsidP="00143EF1">
            <w:pPr>
              <w:spacing w:after="0" w:line="240" w:lineRule="auto"/>
              <w:rPr>
                <w:rFonts w:ascii="Calibri" w:eastAsia="Times New Roman" w:hAnsi="Calibri" w:cs="Calibri"/>
                <w:color w:val="000000"/>
                <w:lang w:eastAsia="en-GB"/>
              </w:rPr>
            </w:pPr>
            <w:proofErr w:type="spellStart"/>
            <w:r w:rsidRPr="004A61FA">
              <w:rPr>
                <w:rFonts w:ascii="Calibri" w:eastAsia="Times New Roman" w:hAnsi="Calibri" w:cs="Calibri"/>
                <w:color w:val="000000"/>
                <w:lang w:eastAsia="en-GB"/>
              </w:rPr>
              <w:t>Immunosuppressed</w:t>
            </w:r>
            <w:r w:rsidRPr="004A61FA">
              <w:rPr>
                <w:rFonts w:ascii="Calibri" w:eastAsia="Times New Roman" w:hAnsi="Calibri" w:cs="Calibri"/>
                <w:color w:val="000000"/>
                <w:vertAlign w:val="superscript"/>
                <w:lang w:eastAsia="en-GB"/>
              </w:rPr>
              <w:t>c</w:t>
            </w:r>
            <w:proofErr w:type="spellEnd"/>
            <w:r w:rsidRPr="004A61FA">
              <w:rPr>
                <w:rFonts w:ascii="Calibri" w:eastAsia="Times New Roman" w:hAnsi="Calibri" w:cs="Calibri"/>
                <w:color w:val="000000"/>
                <w:lang w:eastAsia="en-GB"/>
              </w:rPr>
              <w:t xml:space="preserve"> </w:t>
            </w:r>
          </w:p>
        </w:tc>
        <w:tc>
          <w:tcPr>
            <w:tcW w:w="2126" w:type="dxa"/>
            <w:shd w:val="clear" w:color="auto" w:fill="auto"/>
            <w:noWrap/>
            <w:vAlign w:val="bottom"/>
            <w:hideMark/>
          </w:tcPr>
          <w:p w14:paraId="3E3F745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5 (5%)</w:t>
            </w:r>
          </w:p>
        </w:tc>
        <w:tc>
          <w:tcPr>
            <w:tcW w:w="2268" w:type="dxa"/>
            <w:shd w:val="clear" w:color="auto" w:fill="auto"/>
            <w:noWrap/>
            <w:vAlign w:val="bottom"/>
            <w:hideMark/>
          </w:tcPr>
          <w:p w14:paraId="235F923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 (2%)</w:t>
            </w:r>
          </w:p>
        </w:tc>
        <w:tc>
          <w:tcPr>
            <w:tcW w:w="1985" w:type="dxa"/>
            <w:shd w:val="clear" w:color="auto" w:fill="auto"/>
            <w:noWrap/>
            <w:vAlign w:val="bottom"/>
            <w:hideMark/>
          </w:tcPr>
          <w:p w14:paraId="24790294"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 (8%)</w:t>
            </w:r>
          </w:p>
        </w:tc>
        <w:tc>
          <w:tcPr>
            <w:tcW w:w="2268" w:type="dxa"/>
          </w:tcPr>
          <w:p w14:paraId="51649CE4"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5% (-4% to 14%)</w:t>
            </w:r>
          </w:p>
        </w:tc>
        <w:tc>
          <w:tcPr>
            <w:tcW w:w="1195" w:type="dxa"/>
            <w:shd w:val="clear" w:color="auto" w:fill="auto"/>
            <w:noWrap/>
            <w:vAlign w:val="bottom"/>
            <w:hideMark/>
          </w:tcPr>
          <w:p w14:paraId="1BE3A85A"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0.379</w:t>
            </w:r>
          </w:p>
        </w:tc>
      </w:tr>
      <w:tr w:rsidR="0003545A" w:rsidRPr="004A61FA" w14:paraId="257E4427" w14:textId="77777777" w:rsidTr="00B76F5B">
        <w:trPr>
          <w:trHeight w:val="300"/>
        </w:trPr>
        <w:tc>
          <w:tcPr>
            <w:tcW w:w="4106" w:type="dxa"/>
            <w:shd w:val="clear" w:color="auto" w:fill="auto"/>
            <w:noWrap/>
            <w:vAlign w:val="bottom"/>
            <w:hideMark/>
          </w:tcPr>
          <w:p w14:paraId="2B159846" w14:textId="77777777" w:rsidR="0003545A" w:rsidRPr="004A61FA" w:rsidRDefault="0003545A"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Clinical Features on presentation</w:t>
            </w:r>
          </w:p>
        </w:tc>
        <w:tc>
          <w:tcPr>
            <w:tcW w:w="9842" w:type="dxa"/>
            <w:gridSpan w:val="5"/>
            <w:shd w:val="clear" w:color="auto" w:fill="auto"/>
            <w:noWrap/>
            <w:vAlign w:val="bottom"/>
            <w:hideMark/>
          </w:tcPr>
          <w:p w14:paraId="13D6761F" w14:textId="77777777" w:rsidR="0003545A" w:rsidRPr="004A61FA" w:rsidRDefault="0003545A" w:rsidP="00143EF1">
            <w:pPr>
              <w:spacing w:after="0" w:line="240" w:lineRule="auto"/>
              <w:jc w:val="center"/>
              <w:rPr>
                <w:rFonts w:ascii="Times New Roman" w:eastAsia="Times New Roman" w:hAnsi="Times New Roman" w:cs="Times New Roman"/>
                <w:lang w:eastAsia="en-GB"/>
              </w:rPr>
            </w:pPr>
          </w:p>
        </w:tc>
      </w:tr>
      <w:tr w:rsidR="00391A54" w:rsidRPr="004A61FA" w14:paraId="5C31BAED" w14:textId="77777777" w:rsidTr="00143EF1">
        <w:trPr>
          <w:trHeight w:val="300"/>
        </w:trPr>
        <w:tc>
          <w:tcPr>
            <w:tcW w:w="4106" w:type="dxa"/>
            <w:shd w:val="clear" w:color="auto" w:fill="auto"/>
            <w:noWrap/>
            <w:vAlign w:val="bottom"/>
            <w:hideMark/>
          </w:tcPr>
          <w:p w14:paraId="78094B2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Heart rate (beats/min) </w:t>
            </w:r>
          </w:p>
        </w:tc>
        <w:tc>
          <w:tcPr>
            <w:tcW w:w="2126" w:type="dxa"/>
            <w:shd w:val="clear" w:color="auto" w:fill="auto"/>
            <w:noWrap/>
            <w:vAlign w:val="bottom"/>
            <w:hideMark/>
          </w:tcPr>
          <w:p w14:paraId="17961AB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92 [82-109]</w:t>
            </w:r>
          </w:p>
        </w:tc>
        <w:tc>
          <w:tcPr>
            <w:tcW w:w="2268" w:type="dxa"/>
            <w:shd w:val="clear" w:color="auto" w:fill="auto"/>
            <w:noWrap/>
            <w:vAlign w:val="bottom"/>
            <w:hideMark/>
          </w:tcPr>
          <w:p w14:paraId="748B099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90 [80-109]</w:t>
            </w:r>
          </w:p>
        </w:tc>
        <w:tc>
          <w:tcPr>
            <w:tcW w:w="1985" w:type="dxa"/>
            <w:shd w:val="clear" w:color="auto" w:fill="auto"/>
            <w:noWrap/>
            <w:vAlign w:val="bottom"/>
            <w:hideMark/>
          </w:tcPr>
          <w:p w14:paraId="14FBA10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99 [85-109]</w:t>
            </w:r>
          </w:p>
        </w:tc>
        <w:tc>
          <w:tcPr>
            <w:tcW w:w="2268" w:type="dxa"/>
          </w:tcPr>
          <w:p w14:paraId="145E366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 (-2 to 14)</w:t>
            </w:r>
          </w:p>
        </w:tc>
        <w:tc>
          <w:tcPr>
            <w:tcW w:w="1195" w:type="dxa"/>
            <w:shd w:val="clear" w:color="auto" w:fill="auto"/>
            <w:noWrap/>
            <w:vAlign w:val="bottom"/>
            <w:hideMark/>
          </w:tcPr>
          <w:p w14:paraId="7D590C17"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0.141</w:t>
            </w:r>
          </w:p>
        </w:tc>
      </w:tr>
      <w:tr w:rsidR="00554E12" w:rsidRPr="004A61FA" w14:paraId="204E0671" w14:textId="77777777" w:rsidTr="00143EF1">
        <w:trPr>
          <w:trHeight w:val="300"/>
        </w:trPr>
        <w:tc>
          <w:tcPr>
            <w:tcW w:w="4106" w:type="dxa"/>
            <w:shd w:val="clear" w:color="auto" w:fill="auto"/>
            <w:noWrap/>
            <w:vAlign w:val="bottom"/>
            <w:hideMark/>
          </w:tcPr>
          <w:p w14:paraId="7ADCF793" w14:textId="0DA01C30"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Respiratory Rate (breaths/min) </w:t>
            </w:r>
          </w:p>
        </w:tc>
        <w:tc>
          <w:tcPr>
            <w:tcW w:w="2126" w:type="dxa"/>
            <w:shd w:val="clear" w:color="auto" w:fill="auto"/>
            <w:noWrap/>
            <w:vAlign w:val="bottom"/>
            <w:hideMark/>
          </w:tcPr>
          <w:p w14:paraId="0A12CEAC" w14:textId="2EB2690E"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25 [22-32]</w:t>
            </w:r>
          </w:p>
        </w:tc>
        <w:tc>
          <w:tcPr>
            <w:tcW w:w="2268" w:type="dxa"/>
            <w:shd w:val="clear" w:color="auto" w:fill="auto"/>
            <w:noWrap/>
            <w:vAlign w:val="bottom"/>
            <w:hideMark/>
          </w:tcPr>
          <w:p w14:paraId="0E8F512A" w14:textId="5DAE2D17"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24 [20-30]</w:t>
            </w:r>
          </w:p>
        </w:tc>
        <w:tc>
          <w:tcPr>
            <w:tcW w:w="1985" w:type="dxa"/>
            <w:shd w:val="clear" w:color="auto" w:fill="auto"/>
            <w:noWrap/>
            <w:vAlign w:val="bottom"/>
            <w:hideMark/>
          </w:tcPr>
          <w:p w14:paraId="2B295FF9" w14:textId="16363ED3"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26 [22-32]</w:t>
            </w:r>
          </w:p>
        </w:tc>
        <w:tc>
          <w:tcPr>
            <w:tcW w:w="2268" w:type="dxa"/>
          </w:tcPr>
          <w:p w14:paraId="6D539145" w14:textId="50F2CAC6"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 (-1 to 5)</w:t>
            </w:r>
          </w:p>
        </w:tc>
        <w:tc>
          <w:tcPr>
            <w:tcW w:w="1195" w:type="dxa"/>
            <w:shd w:val="clear" w:color="auto" w:fill="auto"/>
            <w:noWrap/>
            <w:vAlign w:val="bottom"/>
            <w:hideMark/>
          </w:tcPr>
          <w:p w14:paraId="39F8FEA6" w14:textId="4F50A8E4" w:rsidR="00554E12" w:rsidRPr="004A61FA" w:rsidRDefault="00554E12" w:rsidP="00554E12">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0.135</w:t>
            </w:r>
          </w:p>
        </w:tc>
      </w:tr>
      <w:tr w:rsidR="00554E12" w:rsidRPr="004A61FA" w14:paraId="0064D6D6" w14:textId="77777777" w:rsidTr="00143EF1">
        <w:trPr>
          <w:trHeight w:val="300"/>
        </w:trPr>
        <w:tc>
          <w:tcPr>
            <w:tcW w:w="4106" w:type="dxa"/>
            <w:shd w:val="clear" w:color="auto" w:fill="auto"/>
            <w:noWrap/>
            <w:vAlign w:val="bottom"/>
          </w:tcPr>
          <w:p w14:paraId="200832D6" w14:textId="27370E78"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Oxygen saturations (%) </w:t>
            </w:r>
          </w:p>
        </w:tc>
        <w:tc>
          <w:tcPr>
            <w:tcW w:w="2126" w:type="dxa"/>
            <w:shd w:val="clear" w:color="auto" w:fill="auto"/>
            <w:noWrap/>
            <w:vAlign w:val="bottom"/>
          </w:tcPr>
          <w:p w14:paraId="759301A6" w14:textId="0632EAFD"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96 [92-97]</w:t>
            </w:r>
          </w:p>
        </w:tc>
        <w:tc>
          <w:tcPr>
            <w:tcW w:w="2268" w:type="dxa"/>
            <w:shd w:val="clear" w:color="auto" w:fill="auto"/>
            <w:noWrap/>
            <w:vAlign w:val="bottom"/>
          </w:tcPr>
          <w:p w14:paraId="23B32934" w14:textId="6A6D93C5"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96 [93-98]</w:t>
            </w:r>
          </w:p>
        </w:tc>
        <w:tc>
          <w:tcPr>
            <w:tcW w:w="1985" w:type="dxa"/>
            <w:shd w:val="clear" w:color="auto" w:fill="auto"/>
            <w:noWrap/>
            <w:vAlign w:val="bottom"/>
          </w:tcPr>
          <w:p w14:paraId="2B4078F3" w14:textId="08CADEB0"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95 [92-96]</w:t>
            </w:r>
          </w:p>
        </w:tc>
        <w:tc>
          <w:tcPr>
            <w:tcW w:w="2268" w:type="dxa"/>
          </w:tcPr>
          <w:p w14:paraId="636CB993" w14:textId="69CDAB8D"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 (-2 to 0)</w:t>
            </w:r>
          </w:p>
        </w:tc>
        <w:tc>
          <w:tcPr>
            <w:tcW w:w="1195" w:type="dxa"/>
            <w:shd w:val="clear" w:color="auto" w:fill="auto"/>
            <w:noWrap/>
            <w:vAlign w:val="bottom"/>
          </w:tcPr>
          <w:p w14:paraId="5D181830" w14:textId="123B211C" w:rsidR="00554E12" w:rsidRPr="004A61FA" w:rsidRDefault="00554E12" w:rsidP="00554E12">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0.143</w:t>
            </w:r>
          </w:p>
        </w:tc>
      </w:tr>
      <w:tr w:rsidR="00554E12" w:rsidRPr="004A61FA" w14:paraId="74C36951" w14:textId="77777777" w:rsidTr="00143EF1">
        <w:trPr>
          <w:trHeight w:val="300"/>
        </w:trPr>
        <w:tc>
          <w:tcPr>
            <w:tcW w:w="4106" w:type="dxa"/>
            <w:shd w:val="clear" w:color="auto" w:fill="auto"/>
            <w:noWrap/>
            <w:vAlign w:val="bottom"/>
            <w:hideMark/>
          </w:tcPr>
          <w:p w14:paraId="5DF6BD9E" w14:textId="77777777"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Systolic Blood Pressure (mmHg) </w:t>
            </w:r>
          </w:p>
        </w:tc>
        <w:tc>
          <w:tcPr>
            <w:tcW w:w="2126" w:type="dxa"/>
            <w:shd w:val="clear" w:color="auto" w:fill="auto"/>
            <w:noWrap/>
            <w:vAlign w:val="bottom"/>
            <w:hideMark/>
          </w:tcPr>
          <w:p w14:paraId="5DD536D4" w14:textId="77777777"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133 [120-145]</w:t>
            </w:r>
          </w:p>
        </w:tc>
        <w:tc>
          <w:tcPr>
            <w:tcW w:w="2268" w:type="dxa"/>
            <w:shd w:val="clear" w:color="auto" w:fill="auto"/>
            <w:noWrap/>
            <w:vAlign w:val="bottom"/>
            <w:hideMark/>
          </w:tcPr>
          <w:p w14:paraId="57A55A73" w14:textId="77777777"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134 [122-146]</w:t>
            </w:r>
          </w:p>
        </w:tc>
        <w:tc>
          <w:tcPr>
            <w:tcW w:w="1985" w:type="dxa"/>
            <w:shd w:val="clear" w:color="auto" w:fill="auto"/>
            <w:noWrap/>
            <w:vAlign w:val="bottom"/>
            <w:hideMark/>
          </w:tcPr>
          <w:p w14:paraId="7D8BDC25" w14:textId="77777777"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133 [120-143]</w:t>
            </w:r>
          </w:p>
        </w:tc>
        <w:tc>
          <w:tcPr>
            <w:tcW w:w="2268" w:type="dxa"/>
          </w:tcPr>
          <w:p w14:paraId="798966A2" w14:textId="77777777" w:rsidR="00554E12" w:rsidRPr="004A61FA" w:rsidRDefault="00554E12" w:rsidP="00554E12">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 (-9 to 5)</w:t>
            </w:r>
          </w:p>
        </w:tc>
        <w:tc>
          <w:tcPr>
            <w:tcW w:w="1195" w:type="dxa"/>
            <w:shd w:val="clear" w:color="auto" w:fill="auto"/>
            <w:noWrap/>
            <w:vAlign w:val="bottom"/>
            <w:hideMark/>
          </w:tcPr>
          <w:p w14:paraId="273343F9" w14:textId="77777777" w:rsidR="00554E12" w:rsidRPr="004A61FA" w:rsidRDefault="00554E12" w:rsidP="00554E12">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0.636</w:t>
            </w:r>
          </w:p>
        </w:tc>
      </w:tr>
    </w:tbl>
    <w:p w14:paraId="07AC3BAB" w14:textId="77777777" w:rsidR="00391A54" w:rsidRPr="004A61FA" w:rsidRDefault="00391A54" w:rsidP="00391A54">
      <w:pPr>
        <w:spacing w:after="0" w:line="240" w:lineRule="auto"/>
        <w:rPr>
          <w:rFonts w:ascii="Calibri" w:eastAsia="Times New Roman" w:hAnsi="Calibri" w:cs="Calibri"/>
          <w:color w:val="000000"/>
          <w:lang w:eastAsia="en-GB"/>
        </w:rPr>
        <w:sectPr w:rsidR="00391A54" w:rsidRPr="004A61FA" w:rsidSect="00143EF1">
          <w:pgSz w:w="16838" w:h="11906" w:orient="landscape"/>
          <w:pgMar w:top="1440" w:right="1440" w:bottom="1440" w:left="1440" w:header="708" w:footer="708" w:gutter="0"/>
          <w:cols w:space="708"/>
          <w:docGrid w:linePitch="360"/>
        </w:sect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2268"/>
        <w:gridCol w:w="2268"/>
        <w:gridCol w:w="2100"/>
        <w:gridCol w:w="1080"/>
      </w:tblGrid>
      <w:tr w:rsidR="00391A54" w:rsidRPr="004A61FA" w14:paraId="08CF24F7" w14:textId="77777777" w:rsidTr="00143EF1">
        <w:trPr>
          <w:trHeight w:val="300"/>
        </w:trPr>
        <w:tc>
          <w:tcPr>
            <w:tcW w:w="4106" w:type="dxa"/>
            <w:shd w:val="clear" w:color="auto" w:fill="auto"/>
            <w:noWrap/>
            <w:vAlign w:val="bottom"/>
            <w:hideMark/>
          </w:tcPr>
          <w:p w14:paraId="7579D0A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lastRenderedPageBreak/>
              <w:t>Temperature (⁰C)</w:t>
            </w:r>
          </w:p>
        </w:tc>
        <w:tc>
          <w:tcPr>
            <w:tcW w:w="2126" w:type="dxa"/>
            <w:shd w:val="clear" w:color="auto" w:fill="auto"/>
            <w:noWrap/>
            <w:vAlign w:val="bottom"/>
            <w:hideMark/>
          </w:tcPr>
          <w:p w14:paraId="5D47A0F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37.3 [36.6-38.3]</w:t>
            </w:r>
          </w:p>
        </w:tc>
        <w:tc>
          <w:tcPr>
            <w:tcW w:w="2268" w:type="dxa"/>
            <w:shd w:val="clear" w:color="auto" w:fill="auto"/>
            <w:noWrap/>
            <w:vAlign w:val="bottom"/>
            <w:hideMark/>
          </w:tcPr>
          <w:p w14:paraId="1FF60F99" w14:textId="77777777"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37.3 [36.7-38.2]</w:t>
            </w:r>
          </w:p>
        </w:tc>
        <w:tc>
          <w:tcPr>
            <w:tcW w:w="2268" w:type="dxa"/>
            <w:shd w:val="clear" w:color="auto" w:fill="auto"/>
            <w:noWrap/>
            <w:vAlign w:val="bottom"/>
            <w:hideMark/>
          </w:tcPr>
          <w:p w14:paraId="3DC13673" w14:textId="3A28627F"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37.</w:t>
            </w:r>
            <w:r w:rsidR="00622B17" w:rsidRPr="007A6C99">
              <w:rPr>
                <w:rFonts w:eastAsia="Times New Roman" w:cstheme="minorHAnsi"/>
                <w:color w:val="000000"/>
                <w:lang w:eastAsia="en-GB"/>
              </w:rPr>
              <w:t>3</w:t>
            </w:r>
            <w:r w:rsidRPr="007A6C99">
              <w:rPr>
                <w:rFonts w:eastAsia="Times New Roman" w:cstheme="minorHAnsi"/>
                <w:color w:val="000000"/>
                <w:lang w:eastAsia="en-GB"/>
              </w:rPr>
              <w:t xml:space="preserve"> [36.6-38.4]</w:t>
            </w:r>
          </w:p>
        </w:tc>
        <w:tc>
          <w:tcPr>
            <w:tcW w:w="2100" w:type="dxa"/>
          </w:tcPr>
          <w:p w14:paraId="3852B9C3" w14:textId="77777777"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0.1 (-0.3 to 0.5)</w:t>
            </w:r>
          </w:p>
        </w:tc>
        <w:tc>
          <w:tcPr>
            <w:tcW w:w="1080" w:type="dxa"/>
            <w:shd w:val="clear" w:color="auto" w:fill="auto"/>
            <w:noWrap/>
            <w:vAlign w:val="bottom"/>
            <w:hideMark/>
          </w:tcPr>
          <w:p w14:paraId="58AD3B77" w14:textId="77777777" w:rsidR="00391A54" w:rsidRPr="007A6C99" w:rsidRDefault="00391A54" w:rsidP="00143EF1">
            <w:pPr>
              <w:spacing w:after="0" w:line="240" w:lineRule="auto"/>
              <w:jc w:val="center"/>
              <w:rPr>
                <w:rFonts w:eastAsia="Times New Roman" w:cstheme="minorHAnsi"/>
                <w:color w:val="000000"/>
                <w:lang w:eastAsia="en-GB"/>
              </w:rPr>
            </w:pPr>
            <w:r w:rsidRPr="007A6C99">
              <w:rPr>
                <w:rFonts w:eastAsia="Times New Roman" w:cstheme="minorHAnsi"/>
                <w:color w:val="000000"/>
                <w:lang w:eastAsia="en-GB"/>
              </w:rPr>
              <w:t>0.826</w:t>
            </w:r>
          </w:p>
        </w:tc>
      </w:tr>
      <w:tr w:rsidR="00391A54" w:rsidRPr="004A61FA" w14:paraId="61D757CE" w14:textId="77777777" w:rsidTr="00143EF1">
        <w:trPr>
          <w:trHeight w:val="300"/>
        </w:trPr>
        <w:tc>
          <w:tcPr>
            <w:tcW w:w="4106" w:type="dxa"/>
            <w:shd w:val="clear" w:color="auto" w:fill="auto"/>
            <w:noWrap/>
            <w:vAlign w:val="bottom"/>
            <w:hideMark/>
          </w:tcPr>
          <w:p w14:paraId="0DC9DE51"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Temperature ≥37.8⁰C </w:t>
            </w:r>
          </w:p>
        </w:tc>
        <w:tc>
          <w:tcPr>
            <w:tcW w:w="2126" w:type="dxa"/>
            <w:shd w:val="clear" w:color="auto" w:fill="auto"/>
            <w:noWrap/>
            <w:vAlign w:val="bottom"/>
            <w:hideMark/>
          </w:tcPr>
          <w:p w14:paraId="146280F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38 (39%)</w:t>
            </w:r>
          </w:p>
        </w:tc>
        <w:tc>
          <w:tcPr>
            <w:tcW w:w="2268" w:type="dxa"/>
            <w:shd w:val="clear" w:color="auto" w:fill="auto"/>
            <w:noWrap/>
            <w:vAlign w:val="bottom"/>
            <w:hideMark/>
          </w:tcPr>
          <w:p w14:paraId="21F9B49C" w14:textId="77777777" w:rsidR="00391A54" w:rsidRPr="007A6C99" w:rsidRDefault="00391A54" w:rsidP="00143EF1">
            <w:pPr>
              <w:spacing w:after="0" w:line="240" w:lineRule="auto"/>
              <w:rPr>
                <w:rFonts w:eastAsia="Times New Roman" w:cstheme="minorHAnsi"/>
                <w:lang w:eastAsia="en-GB"/>
              </w:rPr>
            </w:pPr>
            <w:r w:rsidRPr="007A6C99">
              <w:rPr>
                <w:rFonts w:eastAsia="Times New Roman" w:cstheme="minorHAnsi"/>
                <w:lang w:eastAsia="en-GB"/>
              </w:rPr>
              <w:t>15 (36%)</w:t>
            </w:r>
          </w:p>
        </w:tc>
        <w:tc>
          <w:tcPr>
            <w:tcW w:w="2268" w:type="dxa"/>
            <w:shd w:val="clear" w:color="auto" w:fill="auto"/>
            <w:noWrap/>
            <w:vAlign w:val="bottom"/>
            <w:hideMark/>
          </w:tcPr>
          <w:p w14:paraId="03927F58" w14:textId="77777777" w:rsidR="00391A54" w:rsidRPr="007A6C99" w:rsidRDefault="00391A54" w:rsidP="00143EF1">
            <w:pPr>
              <w:spacing w:after="0" w:line="240" w:lineRule="auto"/>
              <w:rPr>
                <w:rFonts w:eastAsia="Times New Roman" w:cstheme="minorHAnsi"/>
                <w:lang w:eastAsia="en-GB"/>
              </w:rPr>
            </w:pPr>
            <w:r w:rsidRPr="007A6C99">
              <w:rPr>
                <w:rFonts w:eastAsia="Times New Roman" w:cstheme="minorHAnsi"/>
                <w:lang w:eastAsia="en-GB"/>
              </w:rPr>
              <w:t>23 (42%)</w:t>
            </w:r>
          </w:p>
        </w:tc>
        <w:tc>
          <w:tcPr>
            <w:tcW w:w="2100" w:type="dxa"/>
          </w:tcPr>
          <w:p w14:paraId="262C0F10" w14:textId="77777777" w:rsidR="00391A54" w:rsidRPr="007A6C99" w:rsidRDefault="00391A54" w:rsidP="00143EF1">
            <w:pPr>
              <w:spacing w:after="0" w:line="240" w:lineRule="auto"/>
              <w:rPr>
                <w:rFonts w:eastAsia="Times New Roman" w:cstheme="minorHAnsi"/>
                <w:lang w:eastAsia="en-GB"/>
              </w:rPr>
            </w:pPr>
            <w:r w:rsidRPr="007A6C99">
              <w:rPr>
                <w:rFonts w:eastAsia="Times New Roman" w:cstheme="minorHAnsi"/>
                <w:lang w:eastAsia="en-GB"/>
              </w:rPr>
              <w:t>6% (-14% to 26%)</w:t>
            </w:r>
          </w:p>
        </w:tc>
        <w:tc>
          <w:tcPr>
            <w:tcW w:w="1080" w:type="dxa"/>
            <w:shd w:val="clear" w:color="auto" w:fill="auto"/>
            <w:noWrap/>
            <w:vAlign w:val="bottom"/>
            <w:hideMark/>
          </w:tcPr>
          <w:p w14:paraId="034AA638" w14:textId="77777777" w:rsidR="00391A54" w:rsidRPr="007A6C99" w:rsidRDefault="00391A54" w:rsidP="00143EF1">
            <w:pPr>
              <w:spacing w:after="0" w:line="240" w:lineRule="auto"/>
              <w:jc w:val="center"/>
              <w:rPr>
                <w:rFonts w:eastAsia="Times New Roman" w:cstheme="minorHAnsi"/>
                <w:lang w:eastAsia="en-GB"/>
              </w:rPr>
            </w:pPr>
            <w:r w:rsidRPr="007A6C99">
              <w:rPr>
                <w:rFonts w:eastAsia="Times New Roman" w:cstheme="minorHAnsi"/>
                <w:lang w:eastAsia="en-GB"/>
              </w:rPr>
              <w:t>0.675</w:t>
            </w:r>
          </w:p>
        </w:tc>
      </w:tr>
      <w:tr w:rsidR="00391A54" w:rsidRPr="004A61FA" w14:paraId="6236414A" w14:textId="77777777" w:rsidTr="00143EF1">
        <w:trPr>
          <w:trHeight w:val="300"/>
        </w:trPr>
        <w:tc>
          <w:tcPr>
            <w:tcW w:w="4106" w:type="dxa"/>
            <w:shd w:val="clear" w:color="auto" w:fill="auto"/>
            <w:noWrap/>
            <w:vAlign w:val="bottom"/>
            <w:hideMark/>
          </w:tcPr>
          <w:p w14:paraId="1D50732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On supplemental oxygen </w:t>
            </w:r>
          </w:p>
        </w:tc>
        <w:tc>
          <w:tcPr>
            <w:tcW w:w="2126" w:type="dxa"/>
            <w:shd w:val="clear" w:color="auto" w:fill="auto"/>
            <w:noWrap/>
            <w:vAlign w:val="bottom"/>
            <w:hideMark/>
          </w:tcPr>
          <w:p w14:paraId="325E463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44 (44%)</w:t>
            </w:r>
          </w:p>
        </w:tc>
        <w:tc>
          <w:tcPr>
            <w:tcW w:w="2268" w:type="dxa"/>
            <w:shd w:val="clear" w:color="auto" w:fill="auto"/>
            <w:noWrap/>
            <w:vAlign w:val="bottom"/>
            <w:hideMark/>
          </w:tcPr>
          <w:p w14:paraId="65B82B14" w14:textId="0B8A242D"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18 (</w:t>
            </w:r>
            <w:r w:rsidR="00EC1ADA">
              <w:rPr>
                <w:rFonts w:eastAsia="Times New Roman" w:cstheme="minorHAnsi"/>
                <w:color w:val="000000"/>
                <w:lang w:eastAsia="en-GB"/>
              </w:rPr>
              <w:t>42</w:t>
            </w:r>
            <w:r w:rsidRPr="007A6C99">
              <w:rPr>
                <w:rFonts w:eastAsia="Times New Roman" w:cstheme="minorHAnsi"/>
                <w:color w:val="000000"/>
                <w:lang w:eastAsia="en-GB"/>
              </w:rPr>
              <w:t>%)</w:t>
            </w:r>
          </w:p>
        </w:tc>
        <w:tc>
          <w:tcPr>
            <w:tcW w:w="2268" w:type="dxa"/>
            <w:shd w:val="clear" w:color="auto" w:fill="auto"/>
            <w:noWrap/>
            <w:vAlign w:val="bottom"/>
            <w:hideMark/>
          </w:tcPr>
          <w:p w14:paraId="65599793" w14:textId="4628905A"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26 (</w:t>
            </w:r>
            <w:r w:rsidR="00EC1ADA">
              <w:rPr>
                <w:rFonts w:eastAsia="Times New Roman" w:cstheme="minorHAnsi"/>
                <w:color w:val="000000"/>
                <w:lang w:eastAsia="en-GB"/>
              </w:rPr>
              <w:t>46</w:t>
            </w:r>
            <w:r w:rsidRPr="007A6C99">
              <w:rPr>
                <w:rFonts w:eastAsia="Times New Roman" w:cstheme="minorHAnsi"/>
                <w:color w:val="000000"/>
                <w:lang w:eastAsia="en-GB"/>
              </w:rPr>
              <w:t>%)</w:t>
            </w:r>
          </w:p>
        </w:tc>
        <w:tc>
          <w:tcPr>
            <w:tcW w:w="2100" w:type="dxa"/>
          </w:tcPr>
          <w:p w14:paraId="3918BF2A" w14:textId="6B8D0652"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w:t>
            </w:r>
            <w:r w:rsidRPr="0017117D">
              <w:rPr>
                <w:rFonts w:eastAsia="Times New Roman" w:cstheme="minorHAnsi"/>
                <w:color w:val="000000"/>
                <w:lang w:eastAsia="en-GB"/>
              </w:rPr>
              <w:t>5% (</w:t>
            </w:r>
            <w:r w:rsidR="0017117D" w:rsidRPr="0017117D">
              <w:rPr>
                <w:rFonts w:eastAsia="Times New Roman" w:cstheme="minorHAnsi"/>
                <w:color w:val="000000"/>
                <w:lang w:eastAsia="en-GB"/>
              </w:rPr>
              <w:t>-15% to 24%</w:t>
            </w:r>
            <w:r w:rsidRPr="0017117D">
              <w:rPr>
                <w:rFonts w:eastAsia="Times New Roman" w:cstheme="minorHAnsi"/>
                <w:color w:val="000000"/>
                <w:lang w:eastAsia="en-GB"/>
              </w:rPr>
              <w:t>)</w:t>
            </w:r>
          </w:p>
        </w:tc>
        <w:tc>
          <w:tcPr>
            <w:tcW w:w="1080" w:type="dxa"/>
            <w:shd w:val="clear" w:color="auto" w:fill="auto"/>
            <w:noWrap/>
            <w:vAlign w:val="bottom"/>
            <w:hideMark/>
          </w:tcPr>
          <w:p w14:paraId="056A8328" w14:textId="77777777" w:rsidR="00391A54" w:rsidRPr="007A6C99" w:rsidRDefault="00391A54" w:rsidP="00143EF1">
            <w:pPr>
              <w:spacing w:after="0" w:line="240" w:lineRule="auto"/>
              <w:jc w:val="center"/>
              <w:rPr>
                <w:rFonts w:eastAsia="Times New Roman" w:cstheme="minorHAnsi"/>
                <w:color w:val="000000"/>
                <w:lang w:eastAsia="en-GB"/>
              </w:rPr>
            </w:pPr>
            <w:r w:rsidRPr="007A6C99">
              <w:rPr>
                <w:rFonts w:eastAsia="Times New Roman" w:cstheme="minorHAnsi"/>
                <w:color w:val="000000"/>
                <w:lang w:eastAsia="en-GB"/>
              </w:rPr>
              <w:t>0.687</w:t>
            </w:r>
          </w:p>
        </w:tc>
      </w:tr>
      <w:tr w:rsidR="00391A54" w:rsidRPr="004A61FA" w14:paraId="489D357D" w14:textId="77777777" w:rsidTr="00143EF1">
        <w:trPr>
          <w:trHeight w:val="300"/>
        </w:trPr>
        <w:tc>
          <w:tcPr>
            <w:tcW w:w="4106" w:type="dxa"/>
            <w:shd w:val="clear" w:color="auto" w:fill="auto"/>
            <w:noWrap/>
            <w:vAlign w:val="bottom"/>
            <w:hideMark/>
          </w:tcPr>
          <w:p w14:paraId="567390B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NEWS2 Score </w:t>
            </w:r>
          </w:p>
        </w:tc>
        <w:tc>
          <w:tcPr>
            <w:tcW w:w="2126" w:type="dxa"/>
            <w:shd w:val="clear" w:color="auto" w:fill="auto"/>
            <w:noWrap/>
            <w:vAlign w:val="bottom"/>
            <w:hideMark/>
          </w:tcPr>
          <w:p w14:paraId="2A83BEB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 [4-7]</w:t>
            </w:r>
          </w:p>
        </w:tc>
        <w:tc>
          <w:tcPr>
            <w:tcW w:w="2268" w:type="dxa"/>
            <w:shd w:val="clear" w:color="auto" w:fill="auto"/>
            <w:noWrap/>
            <w:vAlign w:val="bottom"/>
            <w:hideMark/>
          </w:tcPr>
          <w:p w14:paraId="1B37F3C2" w14:textId="77777777"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5 [2-6]</w:t>
            </w:r>
          </w:p>
        </w:tc>
        <w:tc>
          <w:tcPr>
            <w:tcW w:w="2268" w:type="dxa"/>
            <w:shd w:val="clear" w:color="auto" w:fill="auto"/>
            <w:noWrap/>
            <w:vAlign w:val="bottom"/>
            <w:hideMark/>
          </w:tcPr>
          <w:p w14:paraId="4C8F1053" w14:textId="77777777"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6 [4-8]</w:t>
            </w:r>
          </w:p>
        </w:tc>
        <w:tc>
          <w:tcPr>
            <w:tcW w:w="2100" w:type="dxa"/>
          </w:tcPr>
          <w:p w14:paraId="2772187F" w14:textId="77777777" w:rsidR="00391A54" w:rsidRPr="007A6C99" w:rsidRDefault="00391A54" w:rsidP="00143EF1">
            <w:pPr>
              <w:spacing w:after="0" w:line="240" w:lineRule="auto"/>
              <w:rPr>
                <w:rFonts w:eastAsia="Times New Roman" w:cstheme="minorHAnsi"/>
                <w:color w:val="000000"/>
                <w:lang w:eastAsia="en-GB"/>
              </w:rPr>
            </w:pPr>
            <w:r w:rsidRPr="007A6C99">
              <w:rPr>
                <w:rFonts w:eastAsia="Times New Roman" w:cstheme="minorHAnsi"/>
                <w:color w:val="000000"/>
                <w:lang w:eastAsia="en-GB"/>
              </w:rPr>
              <w:t>1 (0 to 2)</w:t>
            </w:r>
          </w:p>
        </w:tc>
        <w:tc>
          <w:tcPr>
            <w:tcW w:w="1080" w:type="dxa"/>
            <w:shd w:val="clear" w:color="auto" w:fill="auto"/>
            <w:noWrap/>
            <w:vAlign w:val="bottom"/>
            <w:hideMark/>
          </w:tcPr>
          <w:p w14:paraId="5F227988" w14:textId="77777777" w:rsidR="00391A54" w:rsidRPr="007A6C99" w:rsidRDefault="00391A54" w:rsidP="00143EF1">
            <w:pPr>
              <w:spacing w:after="0" w:line="240" w:lineRule="auto"/>
              <w:jc w:val="center"/>
              <w:rPr>
                <w:rFonts w:eastAsia="Times New Roman" w:cstheme="minorHAnsi"/>
                <w:color w:val="000000"/>
                <w:lang w:eastAsia="en-GB"/>
              </w:rPr>
            </w:pPr>
            <w:r w:rsidRPr="007A6C99">
              <w:rPr>
                <w:rFonts w:eastAsia="Times New Roman" w:cstheme="minorHAnsi"/>
                <w:color w:val="000000"/>
                <w:lang w:eastAsia="en-GB"/>
              </w:rPr>
              <w:t>0.084</w:t>
            </w:r>
          </w:p>
        </w:tc>
      </w:tr>
      <w:tr w:rsidR="00391A54" w:rsidRPr="004A61FA" w14:paraId="0D81DC32" w14:textId="77777777" w:rsidTr="00143EF1">
        <w:trPr>
          <w:trHeight w:val="300"/>
        </w:trPr>
        <w:tc>
          <w:tcPr>
            <w:tcW w:w="4106" w:type="dxa"/>
            <w:shd w:val="clear" w:color="auto" w:fill="auto"/>
            <w:noWrap/>
            <w:vAlign w:val="bottom"/>
            <w:hideMark/>
          </w:tcPr>
          <w:p w14:paraId="5219E981"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Duration of symptoms (days) </w:t>
            </w:r>
          </w:p>
        </w:tc>
        <w:tc>
          <w:tcPr>
            <w:tcW w:w="2126" w:type="dxa"/>
            <w:shd w:val="clear" w:color="auto" w:fill="auto"/>
            <w:noWrap/>
            <w:vAlign w:val="bottom"/>
            <w:hideMark/>
          </w:tcPr>
          <w:p w14:paraId="471FE5A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 [4-10]</w:t>
            </w:r>
          </w:p>
        </w:tc>
        <w:tc>
          <w:tcPr>
            <w:tcW w:w="2268" w:type="dxa"/>
            <w:shd w:val="clear" w:color="auto" w:fill="auto"/>
            <w:noWrap/>
            <w:vAlign w:val="bottom"/>
            <w:hideMark/>
          </w:tcPr>
          <w:p w14:paraId="2DBB530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 [2-7]</w:t>
            </w:r>
          </w:p>
        </w:tc>
        <w:tc>
          <w:tcPr>
            <w:tcW w:w="2268" w:type="dxa"/>
            <w:shd w:val="clear" w:color="auto" w:fill="auto"/>
            <w:noWrap/>
            <w:vAlign w:val="bottom"/>
            <w:hideMark/>
          </w:tcPr>
          <w:p w14:paraId="066CEEF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9 [6-11]</w:t>
            </w:r>
          </w:p>
        </w:tc>
        <w:tc>
          <w:tcPr>
            <w:tcW w:w="2100" w:type="dxa"/>
          </w:tcPr>
          <w:p w14:paraId="1C182EC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 (1 to 5)</w:t>
            </w:r>
          </w:p>
        </w:tc>
        <w:tc>
          <w:tcPr>
            <w:tcW w:w="1080" w:type="dxa"/>
            <w:shd w:val="clear" w:color="auto" w:fill="auto"/>
            <w:noWrap/>
            <w:vAlign w:val="bottom"/>
            <w:hideMark/>
          </w:tcPr>
          <w:p w14:paraId="66C77935"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0.001</w:t>
            </w:r>
          </w:p>
        </w:tc>
      </w:tr>
      <w:tr w:rsidR="00391A54" w:rsidRPr="004A61FA" w14:paraId="57D2A58A" w14:textId="77777777" w:rsidTr="00143EF1">
        <w:trPr>
          <w:trHeight w:val="300"/>
        </w:trPr>
        <w:tc>
          <w:tcPr>
            <w:tcW w:w="4106" w:type="dxa"/>
            <w:shd w:val="clear" w:color="auto" w:fill="auto"/>
            <w:noWrap/>
            <w:vAlign w:val="bottom"/>
            <w:hideMark/>
          </w:tcPr>
          <w:p w14:paraId="49E919E5" w14:textId="752886CC" w:rsidR="00391A54" w:rsidRPr="004A61FA" w:rsidRDefault="00EE2E40"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Infiltrates</w:t>
            </w:r>
            <w:r w:rsidR="00391A54" w:rsidRPr="004A61FA">
              <w:rPr>
                <w:rFonts w:ascii="Calibri" w:eastAsia="Times New Roman" w:hAnsi="Calibri" w:cs="Calibri"/>
                <w:color w:val="000000"/>
                <w:lang w:eastAsia="en-GB"/>
              </w:rPr>
              <w:t xml:space="preserve"> on CXR</w:t>
            </w:r>
          </w:p>
        </w:tc>
        <w:tc>
          <w:tcPr>
            <w:tcW w:w="2126" w:type="dxa"/>
            <w:shd w:val="clear" w:color="auto" w:fill="auto"/>
            <w:noWrap/>
            <w:vAlign w:val="bottom"/>
            <w:hideMark/>
          </w:tcPr>
          <w:p w14:paraId="0E9334B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86 (88%)</w:t>
            </w:r>
          </w:p>
        </w:tc>
        <w:tc>
          <w:tcPr>
            <w:tcW w:w="2268" w:type="dxa"/>
            <w:shd w:val="clear" w:color="auto" w:fill="auto"/>
            <w:noWrap/>
            <w:vAlign w:val="bottom"/>
            <w:hideMark/>
          </w:tcPr>
          <w:p w14:paraId="405A381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36 (86%)</w:t>
            </w:r>
          </w:p>
        </w:tc>
        <w:tc>
          <w:tcPr>
            <w:tcW w:w="2268" w:type="dxa"/>
            <w:shd w:val="clear" w:color="auto" w:fill="auto"/>
            <w:noWrap/>
            <w:vAlign w:val="bottom"/>
            <w:hideMark/>
          </w:tcPr>
          <w:p w14:paraId="602745A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50 (89%)</w:t>
            </w:r>
          </w:p>
        </w:tc>
        <w:tc>
          <w:tcPr>
            <w:tcW w:w="2100" w:type="dxa"/>
          </w:tcPr>
          <w:p w14:paraId="5DA86D2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 (-10% to 17%)</w:t>
            </w:r>
          </w:p>
        </w:tc>
        <w:tc>
          <w:tcPr>
            <w:tcW w:w="1080" w:type="dxa"/>
            <w:shd w:val="clear" w:color="auto" w:fill="auto"/>
            <w:noWrap/>
            <w:vAlign w:val="bottom"/>
            <w:hideMark/>
          </w:tcPr>
          <w:p w14:paraId="216FC483"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0.757</w:t>
            </w:r>
          </w:p>
        </w:tc>
      </w:tr>
      <w:tr w:rsidR="0003545A" w:rsidRPr="004A61FA" w14:paraId="71B75603" w14:textId="77777777" w:rsidTr="00B76F5B">
        <w:trPr>
          <w:trHeight w:val="300"/>
        </w:trPr>
        <w:tc>
          <w:tcPr>
            <w:tcW w:w="4106" w:type="dxa"/>
            <w:shd w:val="clear" w:color="auto" w:fill="auto"/>
            <w:noWrap/>
            <w:vAlign w:val="bottom"/>
            <w:hideMark/>
          </w:tcPr>
          <w:p w14:paraId="472571B4" w14:textId="77777777" w:rsidR="0003545A" w:rsidRPr="004A61FA" w:rsidRDefault="0003545A" w:rsidP="00143EF1">
            <w:pPr>
              <w:spacing w:after="0" w:line="240" w:lineRule="auto"/>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Laboratory/POCT results on presentation</w:t>
            </w:r>
          </w:p>
        </w:tc>
        <w:tc>
          <w:tcPr>
            <w:tcW w:w="9842" w:type="dxa"/>
            <w:gridSpan w:val="5"/>
            <w:shd w:val="clear" w:color="auto" w:fill="auto"/>
            <w:noWrap/>
            <w:vAlign w:val="bottom"/>
            <w:hideMark/>
          </w:tcPr>
          <w:p w14:paraId="46D4EDE5" w14:textId="77777777" w:rsidR="0003545A" w:rsidRPr="004A61FA" w:rsidRDefault="0003545A" w:rsidP="00143EF1">
            <w:pPr>
              <w:spacing w:after="0" w:line="240" w:lineRule="auto"/>
              <w:jc w:val="center"/>
              <w:rPr>
                <w:rFonts w:ascii="Times New Roman" w:eastAsia="Times New Roman" w:hAnsi="Times New Roman" w:cs="Times New Roman"/>
                <w:lang w:eastAsia="en-GB"/>
              </w:rPr>
            </w:pPr>
          </w:p>
        </w:tc>
      </w:tr>
      <w:tr w:rsidR="00391A54" w:rsidRPr="004A61FA" w14:paraId="7775DD6B" w14:textId="77777777" w:rsidTr="00143EF1">
        <w:trPr>
          <w:trHeight w:val="300"/>
        </w:trPr>
        <w:tc>
          <w:tcPr>
            <w:tcW w:w="4106" w:type="dxa"/>
            <w:shd w:val="clear" w:color="auto" w:fill="auto"/>
            <w:noWrap/>
            <w:vAlign w:val="bottom"/>
            <w:hideMark/>
          </w:tcPr>
          <w:p w14:paraId="216B998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White blood cell count </w:t>
            </w:r>
            <w:r w:rsidRPr="004A61FA">
              <w:rPr>
                <w:rFonts w:ascii="Calibri" w:eastAsia="Times New Roman" w:hAnsi="Calibri" w:cs="Times New Roman"/>
                <w:lang w:eastAsia="en-GB"/>
              </w:rPr>
              <w:t>(10</w:t>
            </w:r>
            <w:r w:rsidRPr="004A61FA">
              <w:rPr>
                <w:rFonts w:ascii="Calibri" w:eastAsia="Times New Roman" w:hAnsi="Calibri" w:cs="Times New Roman"/>
                <w:vertAlign w:val="superscript"/>
                <w:lang w:eastAsia="en-GB"/>
              </w:rPr>
              <w:t>9</w:t>
            </w:r>
            <w:r w:rsidRPr="004A61FA">
              <w:rPr>
                <w:rFonts w:ascii="Calibri" w:eastAsia="Times New Roman" w:hAnsi="Calibri" w:cs="Times New Roman"/>
                <w:lang w:eastAsia="en-GB"/>
              </w:rPr>
              <w:t>/L)</w:t>
            </w:r>
          </w:p>
        </w:tc>
        <w:tc>
          <w:tcPr>
            <w:tcW w:w="2126" w:type="dxa"/>
            <w:shd w:val="clear" w:color="auto" w:fill="auto"/>
            <w:noWrap/>
            <w:vAlign w:val="bottom"/>
            <w:hideMark/>
          </w:tcPr>
          <w:p w14:paraId="37EE2511"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7.4 [5.5-11.2]</w:t>
            </w:r>
          </w:p>
        </w:tc>
        <w:tc>
          <w:tcPr>
            <w:tcW w:w="2268" w:type="dxa"/>
            <w:shd w:val="clear" w:color="auto" w:fill="auto"/>
            <w:noWrap/>
            <w:vAlign w:val="bottom"/>
            <w:hideMark/>
          </w:tcPr>
          <w:p w14:paraId="4610C02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6.3 [4.9-9.7]</w:t>
            </w:r>
          </w:p>
        </w:tc>
        <w:tc>
          <w:tcPr>
            <w:tcW w:w="2268" w:type="dxa"/>
            <w:shd w:val="clear" w:color="auto" w:fill="auto"/>
            <w:noWrap/>
            <w:vAlign w:val="bottom"/>
            <w:hideMark/>
          </w:tcPr>
          <w:p w14:paraId="0BA8CD9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8.2 [5.7-11.4]</w:t>
            </w:r>
          </w:p>
        </w:tc>
        <w:tc>
          <w:tcPr>
            <w:tcW w:w="2100" w:type="dxa"/>
          </w:tcPr>
          <w:p w14:paraId="65E32A5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1.9 (-0.2 to 2.5)</w:t>
            </w:r>
          </w:p>
        </w:tc>
        <w:tc>
          <w:tcPr>
            <w:tcW w:w="1080" w:type="dxa"/>
            <w:shd w:val="clear" w:color="auto" w:fill="auto"/>
            <w:noWrap/>
            <w:vAlign w:val="bottom"/>
            <w:hideMark/>
          </w:tcPr>
          <w:p w14:paraId="56DD00D5"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0.139</w:t>
            </w:r>
          </w:p>
        </w:tc>
      </w:tr>
      <w:tr w:rsidR="00391A54" w:rsidRPr="004A61FA" w14:paraId="19903BA5" w14:textId="77777777" w:rsidTr="00143EF1">
        <w:trPr>
          <w:trHeight w:val="300"/>
        </w:trPr>
        <w:tc>
          <w:tcPr>
            <w:tcW w:w="4106" w:type="dxa"/>
            <w:shd w:val="clear" w:color="auto" w:fill="auto"/>
            <w:noWrap/>
            <w:vAlign w:val="bottom"/>
            <w:hideMark/>
          </w:tcPr>
          <w:p w14:paraId="7FBC3D3D" w14:textId="0D214ED5"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C</w:t>
            </w:r>
            <w:r w:rsidR="00AF444E">
              <w:rPr>
                <w:rFonts w:ascii="Calibri" w:eastAsia="Times New Roman" w:hAnsi="Calibri" w:cs="Calibri"/>
                <w:color w:val="000000"/>
                <w:lang w:eastAsia="en-GB"/>
              </w:rPr>
              <w:t xml:space="preserve">RP </w:t>
            </w:r>
            <w:r w:rsidRPr="004A61FA">
              <w:rPr>
                <w:rFonts w:ascii="Calibri" w:eastAsia="Times New Roman" w:hAnsi="Calibri" w:cs="Calibri"/>
                <w:color w:val="000000"/>
                <w:lang w:eastAsia="en-GB"/>
              </w:rPr>
              <w:t xml:space="preserve">(mg/L)  </w:t>
            </w:r>
          </w:p>
        </w:tc>
        <w:tc>
          <w:tcPr>
            <w:tcW w:w="2126" w:type="dxa"/>
            <w:shd w:val="clear" w:color="auto" w:fill="auto"/>
            <w:noWrap/>
            <w:vAlign w:val="bottom"/>
            <w:hideMark/>
          </w:tcPr>
          <w:p w14:paraId="7386589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108 [51-164]</w:t>
            </w:r>
          </w:p>
        </w:tc>
        <w:tc>
          <w:tcPr>
            <w:tcW w:w="2268" w:type="dxa"/>
            <w:shd w:val="clear" w:color="auto" w:fill="auto"/>
            <w:noWrap/>
            <w:vAlign w:val="bottom"/>
            <w:hideMark/>
          </w:tcPr>
          <w:p w14:paraId="0401E72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80 [19-174]</w:t>
            </w:r>
          </w:p>
        </w:tc>
        <w:tc>
          <w:tcPr>
            <w:tcW w:w="2268" w:type="dxa"/>
            <w:shd w:val="clear" w:color="auto" w:fill="auto"/>
            <w:noWrap/>
            <w:vAlign w:val="bottom"/>
            <w:hideMark/>
          </w:tcPr>
          <w:p w14:paraId="580CDF7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124 [63-164]</w:t>
            </w:r>
          </w:p>
        </w:tc>
        <w:tc>
          <w:tcPr>
            <w:tcW w:w="2100" w:type="dxa"/>
          </w:tcPr>
          <w:p w14:paraId="00E4AE9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44 (-4 to 64)</w:t>
            </w:r>
          </w:p>
        </w:tc>
        <w:tc>
          <w:tcPr>
            <w:tcW w:w="1080" w:type="dxa"/>
            <w:shd w:val="clear" w:color="auto" w:fill="auto"/>
            <w:noWrap/>
            <w:vAlign w:val="bottom"/>
            <w:hideMark/>
          </w:tcPr>
          <w:p w14:paraId="600ACE11"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0.085</w:t>
            </w:r>
          </w:p>
        </w:tc>
      </w:tr>
      <w:tr w:rsidR="00391A54" w:rsidRPr="004A61FA" w14:paraId="3362CCC0" w14:textId="77777777" w:rsidTr="00143EF1">
        <w:trPr>
          <w:trHeight w:val="300"/>
        </w:trPr>
        <w:tc>
          <w:tcPr>
            <w:tcW w:w="4106" w:type="dxa"/>
            <w:shd w:val="clear" w:color="auto" w:fill="auto"/>
            <w:noWrap/>
            <w:vAlign w:val="bottom"/>
            <w:hideMark/>
          </w:tcPr>
          <w:p w14:paraId="4D4CE33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Lymphocyte Count </w:t>
            </w:r>
            <w:r w:rsidRPr="004A61FA">
              <w:rPr>
                <w:rFonts w:ascii="Calibri" w:eastAsia="Times New Roman" w:hAnsi="Calibri" w:cs="Times New Roman"/>
                <w:lang w:eastAsia="en-GB"/>
              </w:rPr>
              <w:t>(10</w:t>
            </w:r>
            <w:r w:rsidRPr="004A61FA">
              <w:rPr>
                <w:rFonts w:ascii="Calibri" w:eastAsia="Times New Roman" w:hAnsi="Calibri" w:cs="Times New Roman"/>
                <w:vertAlign w:val="superscript"/>
                <w:lang w:eastAsia="en-GB"/>
              </w:rPr>
              <w:t>9</w:t>
            </w:r>
            <w:r w:rsidRPr="004A61FA">
              <w:rPr>
                <w:rFonts w:ascii="Calibri" w:eastAsia="Times New Roman" w:hAnsi="Calibri" w:cs="Times New Roman"/>
                <w:lang w:eastAsia="en-GB"/>
              </w:rPr>
              <w:t>/L)</w:t>
            </w:r>
          </w:p>
        </w:tc>
        <w:tc>
          <w:tcPr>
            <w:tcW w:w="2126" w:type="dxa"/>
            <w:shd w:val="clear" w:color="auto" w:fill="auto"/>
            <w:noWrap/>
            <w:vAlign w:val="bottom"/>
            <w:hideMark/>
          </w:tcPr>
          <w:p w14:paraId="19B65AC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 [0.8-1.2]</w:t>
            </w:r>
          </w:p>
        </w:tc>
        <w:tc>
          <w:tcPr>
            <w:tcW w:w="2268" w:type="dxa"/>
            <w:shd w:val="clear" w:color="auto" w:fill="auto"/>
            <w:noWrap/>
            <w:vAlign w:val="bottom"/>
            <w:hideMark/>
          </w:tcPr>
          <w:p w14:paraId="03C53FF1"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 [0.8-1.4]</w:t>
            </w:r>
          </w:p>
        </w:tc>
        <w:tc>
          <w:tcPr>
            <w:tcW w:w="2268" w:type="dxa"/>
            <w:shd w:val="clear" w:color="auto" w:fill="auto"/>
            <w:noWrap/>
            <w:vAlign w:val="bottom"/>
            <w:hideMark/>
          </w:tcPr>
          <w:p w14:paraId="4132A424"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 [0.7-1.2]</w:t>
            </w:r>
          </w:p>
        </w:tc>
        <w:tc>
          <w:tcPr>
            <w:tcW w:w="2100" w:type="dxa"/>
          </w:tcPr>
          <w:p w14:paraId="4ECFDDA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-0.1 (-0.2 to 0.1)</w:t>
            </w:r>
          </w:p>
        </w:tc>
        <w:tc>
          <w:tcPr>
            <w:tcW w:w="1080" w:type="dxa"/>
            <w:shd w:val="clear" w:color="auto" w:fill="auto"/>
            <w:noWrap/>
            <w:vAlign w:val="bottom"/>
            <w:hideMark/>
          </w:tcPr>
          <w:p w14:paraId="1776608D"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0.604</w:t>
            </w:r>
          </w:p>
        </w:tc>
      </w:tr>
      <w:tr w:rsidR="00391A54" w:rsidRPr="004A61FA" w14:paraId="3735C025" w14:textId="77777777" w:rsidTr="00143EF1">
        <w:trPr>
          <w:trHeight w:val="300"/>
        </w:trPr>
        <w:tc>
          <w:tcPr>
            <w:tcW w:w="4106" w:type="dxa"/>
            <w:shd w:val="clear" w:color="auto" w:fill="auto"/>
            <w:noWrap/>
            <w:vAlign w:val="bottom"/>
            <w:hideMark/>
          </w:tcPr>
          <w:p w14:paraId="7055BF2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Creatinine (µmol/L)</w:t>
            </w:r>
          </w:p>
        </w:tc>
        <w:tc>
          <w:tcPr>
            <w:tcW w:w="2126" w:type="dxa"/>
            <w:shd w:val="clear" w:color="auto" w:fill="auto"/>
            <w:noWrap/>
            <w:vAlign w:val="bottom"/>
            <w:hideMark/>
          </w:tcPr>
          <w:p w14:paraId="24945B5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85 [65-102]</w:t>
            </w:r>
          </w:p>
        </w:tc>
        <w:tc>
          <w:tcPr>
            <w:tcW w:w="2268" w:type="dxa"/>
            <w:shd w:val="clear" w:color="auto" w:fill="auto"/>
            <w:noWrap/>
            <w:vAlign w:val="bottom"/>
            <w:hideMark/>
          </w:tcPr>
          <w:p w14:paraId="6A802C5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88 [76-121]</w:t>
            </w:r>
          </w:p>
        </w:tc>
        <w:tc>
          <w:tcPr>
            <w:tcW w:w="2268" w:type="dxa"/>
            <w:shd w:val="clear" w:color="auto" w:fill="auto"/>
            <w:noWrap/>
            <w:vAlign w:val="bottom"/>
            <w:hideMark/>
          </w:tcPr>
          <w:p w14:paraId="5231A70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81 [61-98]</w:t>
            </w:r>
          </w:p>
        </w:tc>
        <w:tc>
          <w:tcPr>
            <w:tcW w:w="2100" w:type="dxa"/>
          </w:tcPr>
          <w:p w14:paraId="55E16B7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-6.5 (-24 to 2)</w:t>
            </w:r>
          </w:p>
        </w:tc>
        <w:tc>
          <w:tcPr>
            <w:tcW w:w="1080" w:type="dxa"/>
            <w:shd w:val="clear" w:color="auto" w:fill="auto"/>
            <w:noWrap/>
            <w:vAlign w:val="bottom"/>
            <w:hideMark/>
          </w:tcPr>
          <w:p w14:paraId="43E4AFB6"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0.124</w:t>
            </w:r>
          </w:p>
        </w:tc>
      </w:tr>
      <w:tr w:rsidR="00391A54" w:rsidRPr="004A61FA" w14:paraId="45D858F8" w14:textId="77777777" w:rsidTr="00143EF1">
        <w:trPr>
          <w:trHeight w:val="300"/>
        </w:trPr>
        <w:tc>
          <w:tcPr>
            <w:tcW w:w="4106" w:type="dxa"/>
            <w:shd w:val="clear" w:color="auto" w:fill="auto"/>
            <w:noWrap/>
            <w:vAlign w:val="bottom"/>
            <w:hideMark/>
          </w:tcPr>
          <w:p w14:paraId="24191BE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Urea (mmol/L)</w:t>
            </w:r>
          </w:p>
        </w:tc>
        <w:tc>
          <w:tcPr>
            <w:tcW w:w="2126" w:type="dxa"/>
            <w:shd w:val="clear" w:color="auto" w:fill="auto"/>
            <w:noWrap/>
            <w:vAlign w:val="bottom"/>
            <w:hideMark/>
          </w:tcPr>
          <w:p w14:paraId="7250BCF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6.3 [4.7-8.9]</w:t>
            </w:r>
          </w:p>
        </w:tc>
        <w:tc>
          <w:tcPr>
            <w:tcW w:w="2268" w:type="dxa"/>
            <w:shd w:val="clear" w:color="auto" w:fill="auto"/>
            <w:noWrap/>
            <w:vAlign w:val="bottom"/>
            <w:hideMark/>
          </w:tcPr>
          <w:p w14:paraId="1E6F461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6.7 [5.0-11.2]</w:t>
            </w:r>
          </w:p>
        </w:tc>
        <w:tc>
          <w:tcPr>
            <w:tcW w:w="2268" w:type="dxa"/>
            <w:shd w:val="clear" w:color="auto" w:fill="auto"/>
            <w:noWrap/>
            <w:vAlign w:val="bottom"/>
            <w:hideMark/>
          </w:tcPr>
          <w:p w14:paraId="2DE00CA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5.8 [4.4-8.1]</w:t>
            </w:r>
          </w:p>
        </w:tc>
        <w:tc>
          <w:tcPr>
            <w:tcW w:w="2100" w:type="dxa"/>
          </w:tcPr>
          <w:p w14:paraId="07528D5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-0.9 (-2.5 to 0.1)</w:t>
            </w:r>
          </w:p>
        </w:tc>
        <w:tc>
          <w:tcPr>
            <w:tcW w:w="1080" w:type="dxa"/>
            <w:shd w:val="clear" w:color="auto" w:fill="auto"/>
            <w:noWrap/>
            <w:vAlign w:val="bottom"/>
            <w:hideMark/>
          </w:tcPr>
          <w:p w14:paraId="0505AD5C" w14:textId="77777777" w:rsidR="00391A54" w:rsidRPr="004A61FA" w:rsidRDefault="00391A54" w:rsidP="00143EF1">
            <w:pPr>
              <w:spacing w:after="0" w:line="240" w:lineRule="auto"/>
              <w:jc w:val="center"/>
              <w:rPr>
                <w:rFonts w:ascii="Calibri" w:eastAsia="Times New Roman" w:hAnsi="Calibri" w:cs="Calibri"/>
                <w:color w:val="000000"/>
                <w:lang w:eastAsia="en-GB"/>
              </w:rPr>
            </w:pPr>
            <w:r w:rsidRPr="004A61FA">
              <w:rPr>
                <w:rFonts w:ascii="Calibri" w:eastAsia="Times New Roman" w:hAnsi="Calibri" w:cs="Calibri"/>
                <w:color w:val="000000"/>
                <w:lang w:eastAsia="en-GB"/>
              </w:rPr>
              <w:t>0.078</w:t>
            </w:r>
          </w:p>
        </w:tc>
      </w:tr>
      <w:tr w:rsidR="00391A54" w:rsidRPr="004A61FA" w14:paraId="25B3F2FC" w14:textId="77777777" w:rsidTr="00143EF1">
        <w:trPr>
          <w:trHeight w:val="300"/>
        </w:trPr>
        <w:tc>
          <w:tcPr>
            <w:tcW w:w="4106" w:type="dxa"/>
            <w:shd w:val="clear" w:color="auto" w:fill="auto"/>
            <w:noWrap/>
            <w:vAlign w:val="bottom"/>
            <w:hideMark/>
          </w:tcPr>
          <w:p w14:paraId="17DA04E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Neutrophil Count </w:t>
            </w:r>
            <w:r w:rsidRPr="004A61FA">
              <w:rPr>
                <w:rFonts w:ascii="Calibri" w:eastAsia="Times New Roman" w:hAnsi="Calibri" w:cs="Times New Roman"/>
                <w:lang w:eastAsia="en-GB"/>
              </w:rPr>
              <w:t>(10</w:t>
            </w:r>
            <w:r w:rsidRPr="004A61FA">
              <w:rPr>
                <w:rFonts w:ascii="Calibri" w:eastAsia="Times New Roman" w:hAnsi="Calibri" w:cs="Times New Roman"/>
                <w:vertAlign w:val="superscript"/>
                <w:lang w:eastAsia="en-GB"/>
              </w:rPr>
              <w:t>9</w:t>
            </w:r>
            <w:r w:rsidRPr="004A61FA">
              <w:rPr>
                <w:rFonts w:ascii="Calibri" w:eastAsia="Times New Roman" w:hAnsi="Calibri" w:cs="Times New Roman"/>
                <w:lang w:eastAsia="en-GB"/>
              </w:rPr>
              <w:t>/L)</w:t>
            </w:r>
          </w:p>
        </w:tc>
        <w:tc>
          <w:tcPr>
            <w:tcW w:w="2126" w:type="dxa"/>
            <w:shd w:val="clear" w:color="auto" w:fill="auto"/>
            <w:noWrap/>
            <w:vAlign w:val="bottom"/>
            <w:hideMark/>
          </w:tcPr>
          <w:p w14:paraId="21FBC1F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5.6 [3.9-8.6]</w:t>
            </w:r>
          </w:p>
        </w:tc>
        <w:tc>
          <w:tcPr>
            <w:tcW w:w="2268" w:type="dxa"/>
            <w:shd w:val="clear" w:color="auto" w:fill="auto"/>
            <w:noWrap/>
            <w:vAlign w:val="bottom"/>
            <w:hideMark/>
          </w:tcPr>
          <w:p w14:paraId="524D716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4.5 [3.5-7.6]</w:t>
            </w:r>
          </w:p>
        </w:tc>
        <w:tc>
          <w:tcPr>
            <w:tcW w:w="2268" w:type="dxa"/>
            <w:shd w:val="clear" w:color="auto" w:fill="auto"/>
            <w:noWrap/>
            <w:vAlign w:val="bottom"/>
            <w:hideMark/>
          </w:tcPr>
          <w:p w14:paraId="0004779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6.6 [4.4-9.7]</w:t>
            </w:r>
          </w:p>
        </w:tc>
        <w:tc>
          <w:tcPr>
            <w:tcW w:w="2100" w:type="dxa"/>
          </w:tcPr>
          <w:p w14:paraId="466D1A1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2.1 (0.3 to 2.7)</w:t>
            </w:r>
          </w:p>
        </w:tc>
        <w:tc>
          <w:tcPr>
            <w:tcW w:w="1080" w:type="dxa"/>
            <w:shd w:val="clear" w:color="auto" w:fill="auto"/>
            <w:noWrap/>
            <w:vAlign w:val="bottom"/>
            <w:hideMark/>
          </w:tcPr>
          <w:p w14:paraId="628F120A"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0.010</w:t>
            </w:r>
          </w:p>
        </w:tc>
      </w:tr>
      <w:tr w:rsidR="00391A54" w:rsidRPr="004A61FA" w14:paraId="35A3BA82" w14:textId="77777777" w:rsidTr="00143EF1">
        <w:trPr>
          <w:trHeight w:val="300"/>
        </w:trPr>
        <w:tc>
          <w:tcPr>
            <w:tcW w:w="4106" w:type="dxa"/>
            <w:shd w:val="clear" w:color="auto" w:fill="auto"/>
            <w:noWrap/>
            <w:vAlign w:val="bottom"/>
          </w:tcPr>
          <w:p w14:paraId="037D6FDD" w14:textId="77777777" w:rsidR="00391A54" w:rsidRPr="004A61FA" w:rsidRDefault="00391A54" w:rsidP="00143EF1">
            <w:pPr>
              <w:spacing w:after="0" w:line="240" w:lineRule="auto"/>
              <w:rPr>
                <w:rFonts w:ascii="Calibri" w:eastAsia="Times New Roman" w:hAnsi="Calibri" w:cs="Calibri"/>
                <w:color w:val="000000"/>
                <w:lang w:eastAsia="en-GB"/>
              </w:rPr>
            </w:pPr>
            <w:proofErr w:type="spellStart"/>
            <w:r>
              <w:rPr>
                <w:rFonts w:eastAsia="Times New Roman" w:cstheme="minorHAnsi"/>
                <w:color w:val="000000"/>
                <w:lang w:eastAsia="en-GB"/>
              </w:rPr>
              <w:t>LDH</w:t>
            </w:r>
            <w:r w:rsidRPr="002C1AB0">
              <w:rPr>
                <w:rFonts w:eastAsia="Times New Roman" w:cstheme="minorHAnsi"/>
                <w:color w:val="000000"/>
                <w:vertAlign w:val="superscript"/>
                <w:lang w:eastAsia="en-GB"/>
              </w:rPr>
              <w:t>d</w:t>
            </w:r>
            <w:proofErr w:type="spellEnd"/>
            <w:r>
              <w:rPr>
                <w:rFonts w:eastAsia="Times New Roman" w:cstheme="minorHAnsi"/>
                <w:color w:val="000000"/>
                <w:lang w:eastAsia="en-GB"/>
              </w:rPr>
              <w:t xml:space="preserve"> </w:t>
            </w:r>
            <w:r>
              <w:rPr>
                <w:rFonts w:ascii="Calibri" w:hAnsi="Calibri" w:cs="Calibri"/>
                <w:color w:val="000000"/>
                <w:sz w:val="20"/>
                <w:szCs w:val="20"/>
              </w:rPr>
              <w:t>(U/L)</w:t>
            </w:r>
          </w:p>
        </w:tc>
        <w:tc>
          <w:tcPr>
            <w:tcW w:w="2126" w:type="dxa"/>
            <w:shd w:val="clear" w:color="auto" w:fill="auto"/>
            <w:noWrap/>
            <w:vAlign w:val="bottom"/>
          </w:tcPr>
          <w:p w14:paraId="7E391B3E"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756 [534-1053]</w:t>
            </w:r>
          </w:p>
        </w:tc>
        <w:tc>
          <w:tcPr>
            <w:tcW w:w="2268" w:type="dxa"/>
            <w:shd w:val="clear" w:color="auto" w:fill="auto"/>
            <w:noWrap/>
            <w:vAlign w:val="bottom"/>
          </w:tcPr>
          <w:p w14:paraId="6FD70EEF"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567 [429-759]</w:t>
            </w:r>
          </w:p>
        </w:tc>
        <w:tc>
          <w:tcPr>
            <w:tcW w:w="2268" w:type="dxa"/>
            <w:shd w:val="clear" w:color="auto" w:fill="auto"/>
            <w:noWrap/>
            <w:vAlign w:val="bottom"/>
          </w:tcPr>
          <w:p w14:paraId="2864D8F1"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927 [634-1173]</w:t>
            </w:r>
          </w:p>
        </w:tc>
        <w:tc>
          <w:tcPr>
            <w:tcW w:w="2100" w:type="dxa"/>
          </w:tcPr>
          <w:p w14:paraId="3FE3619A" w14:textId="123121D2"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360 (146 to 476</w:t>
            </w:r>
            <w:r w:rsidR="007A6C99">
              <w:rPr>
                <w:rFonts w:ascii="Calibri" w:eastAsia="Times New Roman" w:hAnsi="Calibri" w:cs="Calibri"/>
                <w:color w:val="000000"/>
                <w:lang w:eastAsia="en-GB"/>
              </w:rPr>
              <w:t>)</w:t>
            </w:r>
          </w:p>
        </w:tc>
        <w:tc>
          <w:tcPr>
            <w:tcW w:w="1080" w:type="dxa"/>
            <w:shd w:val="clear" w:color="auto" w:fill="auto"/>
            <w:noWrap/>
            <w:vAlign w:val="bottom"/>
          </w:tcPr>
          <w:p w14:paraId="112438CD"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0.0001</w:t>
            </w:r>
          </w:p>
        </w:tc>
      </w:tr>
      <w:tr w:rsidR="00391A54" w:rsidRPr="004A61FA" w14:paraId="3CA02107" w14:textId="77777777" w:rsidTr="00143EF1">
        <w:trPr>
          <w:trHeight w:val="300"/>
        </w:trPr>
        <w:tc>
          <w:tcPr>
            <w:tcW w:w="4106" w:type="dxa"/>
            <w:shd w:val="clear" w:color="auto" w:fill="auto"/>
            <w:noWrap/>
            <w:vAlign w:val="bottom"/>
          </w:tcPr>
          <w:p w14:paraId="6536E33E" w14:textId="77777777" w:rsidR="00391A54" w:rsidRPr="004A61FA" w:rsidRDefault="00391A54" w:rsidP="00143EF1">
            <w:pPr>
              <w:spacing w:after="0" w:line="240" w:lineRule="auto"/>
              <w:rPr>
                <w:rFonts w:ascii="Calibri" w:eastAsia="Times New Roman" w:hAnsi="Calibri" w:cs="Calibri"/>
                <w:color w:val="000000"/>
                <w:lang w:eastAsia="en-GB"/>
              </w:rPr>
            </w:pPr>
            <w:r w:rsidRPr="00E31168">
              <w:rPr>
                <w:rFonts w:eastAsia="Times New Roman" w:cstheme="minorHAnsi"/>
                <w:color w:val="000000"/>
                <w:lang w:eastAsia="en-GB"/>
              </w:rPr>
              <w:t>D-</w:t>
            </w:r>
            <w:proofErr w:type="spellStart"/>
            <w:r w:rsidRPr="00E31168">
              <w:rPr>
                <w:rFonts w:eastAsia="Times New Roman" w:cstheme="minorHAnsi"/>
                <w:color w:val="000000"/>
                <w:lang w:eastAsia="en-GB"/>
              </w:rPr>
              <w:t>Dimer</w:t>
            </w:r>
            <w:r w:rsidRPr="00E31168">
              <w:rPr>
                <w:rFonts w:eastAsia="Times New Roman" w:cstheme="minorHAnsi"/>
                <w:color w:val="000000"/>
                <w:vertAlign w:val="superscript"/>
                <w:lang w:eastAsia="en-GB"/>
              </w:rPr>
              <w:t>e</w:t>
            </w:r>
            <w:proofErr w:type="spellEnd"/>
            <w:r w:rsidRPr="00E31168">
              <w:rPr>
                <w:rFonts w:eastAsia="Times New Roman" w:cstheme="minorHAnsi"/>
                <w:color w:val="000000"/>
                <w:lang w:eastAsia="en-GB"/>
              </w:rPr>
              <w:t xml:space="preserve"> </w:t>
            </w:r>
            <w:r w:rsidRPr="008351A8">
              <w:rPr>
                <w:rFonts w:ascii="Calibri" w:hAnsi="Calibri" w:cs="Calibri"/>
                <w:color w:val="000000"/>
              </w:rPr>
              <w:t>(ng/L)</w:t>
            </w:r>
          </w:p>
        </w:tc>
        <w:tc>
          <w:tcPr>
            <w:tcW w:w="2126" w:type="dxa"/>
            <w:shd w:val="clear" w:color="auto" w:fill="auto"/>
            <w:noWrap/>
            <w:vAlign w:val="bottom"/>
          </w:tcPr>
          <w:p w14:paraId="05B8AF72"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473 [334-927]</w:t>
            </w:r>
          </w:p>
        </w:tc>
        <w:tc>
          <w:tcPr>
            <w:tcW w:w="2268" w:type="dxa"/>
            <w:shd w:val="clear" w:color="auto" w:fill="auto"/>
            <w:noWrap/>
            <w:vAlign w:val="bottom"/>
          </w:tcPr>
          <w:p w14:paraId="192F6DCD"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443 [348-808]</w:t>
            </w:r>
          </w:p>
        </w:tc>
        <w:tc>
          <w:tcPr>
            <w:tcW w:w="2268" w:type="dxa"/>
            <w:shd w:val="clear" w:color="auto" w:fill="auto"/>
            <w:noWrap/>
            <w:vAlign w:val="bottom"/>
          </w:tcPr>
          <w:p w14:paraId="4B940C97"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496 [327-973]</w:t>
            </w:r>
          </w:p>
        </w:tc>
        <w:tc>
          <w:tcPr>
            <w:tcW w:w="2100" w:type="dxa"/>
          </w:tcPr>
          <w:p w14:paraId="09B3E2C3"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53 (-125 to 170)</w:t>
            </w:r>
          </w:p>
        </w:tc>
        <w:tc>
          <w:tcPr>
            <w:tcW w:w="1080" w:type="dxa"/>
            <w:shd w:val="clear" w:color="auto" w:fill="auto"/>
            <w:noWrap/>
            <w:vAlign w:val="bottom"/>
          </w:tcPr>
          <w:p w14:paraId="550F0783" w14:textId="77777777" w:rsidR="00391A54" w:rsidRPr="00315864" w:rsidRDefault="00391A54" w:rsidP="00143EF1">
            <w:pPr>
              <w:spacing w:after="0" w:line="240" w:lineRule="auto"/>
              <w:jc w:val="center"/>
              <w:rPr>
                <w:rFonts w:ascii="Calibri" w:eastAsia="Times New Roman" w:hAnsi="Calibri" w:cs="Calibri"/>
                <w:color w:val="000000"/>
                <w:lang w:eastAsia="en-GB"/>
              </w:rPr>
            </w:pPr>
            <w:r w:rsidRPr="00315864">
              <w:rPr>
                <w:rFonts w:ascii="Calibri" w:eastAsia="Times New Roman" w:hAnsi="Calibri" w:cs="Calibri"/>
                <w:color w:val="000000"/>
                <w:lang w:eastAsia="en-GB"/>
              </w:rPr>
              <w:t>0.876</w:t>
            </w:r>
          </w:p>
        </w:tc>
      </w:tr>
      <w:tr w:rsidR="00391A54" w:rsidRPr="004A61FA" w14:paraId="2415C256" w14:textId="77777777" w:rsidTr="00143EF1">
        <w:trPr>
          <w:trHeight w:val="300"/>
        </w:trPr>
        <w:tc>
          <w:tcPr>
            <w:tcW w:w="4106" w:type="dxa"/>
            <w:shd w:val="clear" w:color="auto" w:fill="auto"/>
            <w:noWrap/>
            <w:vAlign w:val="bottom"/>
          </w:tcPr>
          <w:p w14:paraId="661FEDB8" w14:textId="77777777" w:rsidR="00391A54" w:rsidRPr="004A61FA" w:rsidRDefault="00391A54" w:rsidP="00143EF1">
            <w:pPr>
              <w:spacing w:after="0" w:line="240" w:lineRule="auto"/>
              <w:rPr>
                <w:rFonts w:ascii="Calibri" w:eastAsia="Times New Roman" w:hAnsi="Calibri" w:cs="Calibri"/>
                <w:color w:val="000000"/>
                <w:lang w:eastAsia="en-GB"/>
              </w:rPr>
            </w:pPr>
            <w:r w:rsidRPr="00087927">
              <w:rPr>
                <w:rFonts w:eastAsia="Times New Roman" w:cstheme="minorHAnsi"/>
                <w:color w:val="000000"/>
                <w:lang w:eastAsia="en-GB"/>
              </w:rPr>
              <w:t>Platelets</w:t>
            </w:r>
            <w:r>
              <w:rPr>
                <w:rFonts w:eastAsia="Times New Roman" w:cstheme="minorHAnsi"/>
                <w:color w:val="000000"/>
                <w:lang w:eastAsia="en-GB"/>
              </w:rPr>
              <w:t xml:space="preserve"> </w:t>
            </w:r>
            <w:r w:rsidRPr="00010808">
              <w:rPr>
                <w:rFonts w:ascii="Calibri" w:eastAsia="Times New Roman" w:hAnsi="Calibri" w:cs="Times New Roman"/>
                <w:lang w:eastAsia="en-GB"/>
              </w:rPr>
              <w:t>(10</w:t>
            </w:r>
            <w:r w:rsidRPr="00010808">
              <w:rPr>
                <w:rFonts w:ascii="Calibri" w:eastAsia="Times New Roman" w:hAnsi="Calibri" w:cs="Times New Roman"/>
                <w:vertAlign w:val="superscript"/>
                <w:lang w:eastAsia="en-GB"/>
              </w:rPr>
              <w:t>9</w:t>
            </w:r>
            <w:r w:rsidRPr="00010808">
              <w:rPr>
                <w:rFonts w:ascii="Calibri" w:eastAsia="Times New Roman" w:hAnsi="Calibri" w:cs="Times New Roman"/>
                <w:lang w:eastAsia="en-GB"/>
              </w:rPr>
              <w:t>/L)</w:t>
            </w:r>
          </w:p>
        </w:tc>
        <w:tc>
          <w:tcPr>
            <w:tcW w:w="2126" w:type="dxa"/>
            <w:shd w:val="clear" w:color="auto" w:fill="auto"/>
            <w:noWrap/>
            <w:vAlign w:val="bottom"/>
          </w:tcPr>
          <w:p w14:paraId="71EFA66C"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241 [180-293]</w:t>
            </w:r>
          </w:p>
        </w:tc>
        <w:tc>
          <w:tcPr>
            <w:tcW w:w="2268" w:type="dxa"/>
            <w:shd w:val="clear" w:color="auto" w:fill="auto"/>
            <w:noWrap/>
            <w:vAlign w:val="bottom"/>
          </w:tcPr>
          <w:p w14:paraId="11D083BC"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203 [164-269]</w:t>
            </w:r>
          </w:p>
        </w:tc>
        <w:tc>
          <w:tcPr>
            <w:tcW w:w="2268" w:type="dxa"/>
            <w:shd w:val="clear" w:color="auto" w:fill="auto"/>
            <w:noWrap/>
            <w:vAlign w:val="bottom"/>
          </w:tcPr>
          <w:p w14:paraId="075A7893"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253 [192-327]</w:t>
            </w:r>
          </w:p>
        </w:tc>
        <w:tc>
          <w:tcPr>
            <w:tcW w:w="2100" w:type="dxa"/>
          </w:tcPr>
          <w:p w14:paraId="34D05880"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 (7 to 76)</w:t>
            </w:r>
          </w:p>
        </w:tc>
        <w:tc>
          <w:tcPr>
            <w:tcW w:w="1080" w:type="dxa"/>
            <w:shd w:val="clear" w:color="auto" w:fill="auto"/>
            <w:noWrap/>
            <w:vAlign w:val="bottom"/>
          </w:tcPr>
          <w:p w14:paraId="37DFE9B6" w14:textId="77777777" w:rsidR="00391A54" w:rsidRPr="00DA4821" w:rsidRDefault="00391A54" w:rsidP="00143EF1">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0.019</w:t>
            </w:r>
          </w:p>
        </w:tc>
      </w:tr>
      <w:tr w:rsidR="00391A54" w:rsidRPr="004A61FA" w14:paraId="65AADA2D" w14:textId="77777777" w:rsidTr="00143EF1">
        <w:trPr>
          <w:trHeight w:val="300"/>
        </w:trPr>
        <w:tc>
          <w:tcPr>
            <w:tcW w:w="4106" w:type="dxa"/>
            <w:shd w:val="clear" w:color="auto" w:fill="auto"/>
            <w:noWrap/>
            <w:vAlign w:val="bottom"/>
          </w:tcPr>
          <w:p w14:paraId="71CD2133" w14:textId="77777777" w:rsidR="00391A54" w:rsidRPr="004A61FA" w:rsidRDefault="00391A54" w:rsidP="00143EF1">
            <w:pPr>
              <w:spacing w:after="0" w:line="240" w:lineRule="auto"/>
              <w:rPr>
                <w:rFonts w:ascii="Calibri" w:eastAsia="Times New Roman" w:hAnsi="Calibri" w:cs="Calibri"/>
                <w:color w:val="000000"/>
                <w:lang w:eastAsia="en-GB"/>
              </w:rPr>
            </w:pPr>
            <w:proofErr w:type="spellStart"/>
            <w:r>
              <w:rPr>
                <w:rFonts w:eastAsia="Times New Roman" w:cstheme="minorHAnsi"/>
                <w:color w:val="000000"/>
                <w:lang w:eastAsia="en-GB"/>
              </w:rPr>
              <w:t>Ferritin</w:t>
            </w:r>
            <w:r w:rsidRPr="00E31168">
              <w:rPr>
                <w:rFonts w:eastAsia="Times New Roman" w:cstheme="minorHAnsi"/>
                <w:color w:val="000000"/>
                <w:vertAlign w:val="superscript"/>
                <w:lang w:eastAsia="en-GB"/>
              </w:rPr>
              <w:t>f</w:t>
            </w:r>
            <w:proofErr w:type="spellEnd"/>
            <w:r>
              <w:rPr>
                <w:rFonts w:eastAsia="Times New Roman" w:cstheme="minorHAnsi"/>
                <w:color w:val="000000"/>
                <w:lang w:eastAsia="en-GB"/>
              </w:rPr>
              <w:t xml:space="preserve"> </w:t>
            </w:r>
            <w:r w:rsidRPr="008351A8">
              <w:rPr>
                <w:rFonts w:ascii="Calibri" w:hAnsi="Calibri" w:cs="Calibri"/>
                <w:color w:val="000000"/>
              </w:rPr>
              <w:t>(µg/L)</w:t>
            </w:r>
          </w:p>
        </w:tc>
        <w:tc>
          <w:tcPr>
            <w:tcW w:w="2126" w:type="dxa"/>
            <w:shd w:val="clear" w:color="auto" w:fill="auto"/>
            <w:noWrap/>
            <w:vAlign w:val="bottom"/>
          </w:tcPr>
          <w:p w14:paraId="657F9810"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628 [287-1424]</w:t>
            </w:r>
          </w:p>
        </w:tc>
        <w:tc>
          <w:tcPr>
            <w:tcW w:w="2268" w:type="dxa"/>
            <w:shd w:val="clear" w:color="auto" w:fill="auto"/>
            <w:noWrap/>
            <w:vAlign w:val="bottom"/>
          </w:tcPr>
          <w:p w14:paraId="6AF98570"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290 [121-621]</w:t>
            </w:r>
          </w:p>
        </w:tc>
        <w:tc>
          <w:tcPr>
            <w:tcW w:w="2268" w:type="dxa"/>
            <w:shd w:val="clear" w:color="auto" w:fill="auto"/>
            <w:noWrap/>
            <w:vAlign w:val="bottom"/>
          </w:tcPr>
          <w:p w14:paraId="0180FB8C"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1031 [537-1838]</w:t>
            </w:r>
          </w:p>
        </w:tc>
        <w:tc>
          <w:tcPr>
            <w:tcW w:w="2100" w:type="dxa"/>
          </w:tcPr>
          <w:p w14:paraId="4C3EE607"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741 (291 to 911)</w:t>
            </w:r>
          </w:p>
        </w:tc>
        <w:tc>
          <w:tcPr>
            <w:tcW w:w="1080" w:type="dxa"/>
            <w:shd w:val="clear" w:color="auto" w:fill="auto"/>
            <w:noWrap/>
            <w:vAlign w:val="bottom"/>
          </w:tcPr>
          <w:p w14:paraId="240B6EEA"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&lt;0.0001</w:t>
            </w:r>
          </w:p>
        </w:tc>
      </w:tr>
      <w:tr w:rsidR="00391A54" w:rsidRPr="004A61FA" w14:paraId="04B68800" w14:textId="77777777" w:rsidTr="00143EF1">
        <w:trPr>
          <w:trHeight w:val="300"/>
        </w:trPr>
        <w:tc>
          <w:tcPr>
            <w:tcW w:w="4106" w:type="dxa"/>
            <w:shd w:val="clear" w:color="auto" w:fill="auto"/>
            <w:noWrap/>
            <w:vAlign w:val="bottom"/>
          </w:tcPr>
          <w:p w14:paraId="6680E203" w14:textId="1AC26EEF" w:rsidR="00391A54" w:rsidRPr="004A61FA" w:rsidRDefault="00391A54" w:rsidP="00143EF1">
            <w:pPr>
              <w:spacing w:after="0" w:line="240" w:lineRule="auto"/>
              <w:rPr>
                <w:rFonts w:ascii="Calibri" w:eastAsia="Times New Roman" w:hAnsi="Calibri" w:cs="Calibri"/>
                <w:color w:val="000000"/>
                <w:lang w:eastAsia="en-GB"/>
              </w:rPr>
            </w:pPr>
            <w:proofErr w:type="spellStart"/>
            <w:proofErr w:type="gramStart"/>
            <w:r>
              <w:rPr>
                <w:rFonts w:eastAsia="Times New Roman" w:cstheme="minorHAnsi"/>
                <w:color w:val="000000"/>
                <w:lang w:eastAsia="en-GB"/>
              </w:rPr>
              <w:t>Troponin</w:t>
            </w:r>
            <w:r w:rsidRPr="00E31168">
              <w:rPr>
                <w:rFonts w:eastAsia="Times New Roman" w:cstheme="minorHAnsi"/>
                <w:color w:val="000000"/>
                <w:vertAlign w:val="superscript"/>
                <w:lang w:eastAsia="en-GB"/>
              </w:rPr>
              <w:t>g</w:t>
            </w:r>
            <w:proofErr w:type="spellEnd"/>
            <w:r>
              <w:rPr>
                <w:rFonts w:eastAsia="Times New Roman" w:cstheme="minorHAnsi"/>
                <w:color w:val="000000"/>
                <w:lang w:eastAsia="en-GB"/>
              </w:rPr>
              <w:t xml:space="preserve">  </w:t>
            </w:r>
            <w:r>
              <w:rPr>
                <w:rFonts w:ascii="Calibri" w:hAnsi="Calibri" w:cs="Calibri"/>
                <w:color w:val="000000"/>
                <w:sz w:val="20"/>
                <w:szCs w:val="20"/>
              </w:rPr>
              <w:t>(</w:t>
            </w:r>
            <w:proofErr w:type="gramEnd"/>
            <w:r>
              <w:rPr>
                <w:rFonts w:ascii="Calibri" w:hAnsi="Calibri" w:cs="Calibri"/>
                <w:color w:val="000000"/>
                <w:sz w:val="20"/>
                <w:szCs w:val="20"/>
              </w:rPr>
              <w:t>ng/ml)</w:t>
            </w:r>
          </w:p>
        </w:tc>
        <w:tc>
          <w:tcPr>
            <w:tcW w:w="2126" w:type="dxa"/>
            <w:shd w:val="clear" w:color="auto" w:fill="auto"/>
            <w:noWrap/>
            <w:vAlign w:val="bottom"/>
          </w:tcPr>
          <w:p w14:paraId="796B7BFB"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11 [5-26]</w:t>
            </w:r>
          </w:p>
        </w:tc>
        <w:tc>
          <w:tcPr>
            <w:tcW w:w="2268" w:type="dxa"/>
            <w:shd w:val="clear" w:color="auto" w:fill="auto"/>
            <w:noWrap/>
            <w:vAlign w:val="bottom"/>
          </w:tcPr>
          <w:p w14:paraId="2B8045CB"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 [5-84]</w:t>
            </w:r>
          </w:p>
        </w:tc>
        <w:tc>
          <w:tcPr>
            <w:tcW w:w="2268" w:type="dxa"/>
            <w:shd w:val="clear" w:color="auto" w:fill="auto"/>
            <w:noWrap/>
            <w:vAlign w:val="bottom"/>
          </w:tcPr>
          <w:p w14:paraId="73024F17"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 [5-19]</w:t>
            </w:r>
          </w:p>
        </w:tc>
        <w:tc>
          <w:tcPr>
            <w:tcW w:w="2100" w:type="dxa"/>
          </w:tcPr>
          <w:p w14:paraId="3AA11719" w14:textId="77777777" w:rsidR="00391A54" w:rsidRPr="004A61FA" w:rsidRDefault="00391A54"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 (-27 to 1)</w:t>
            </w:r>
          </w:p>
        </w:tc>
        <w:tc>
          <w:tcPr>
            <w:tcW w:w="1080" w:type="dxa"/>
            <w:shd w:val="clear" w:color="auto" w:fill="auto"/>
            <w:noWrap/>
            <w:vAlign w:val="bottom"/>
          </w:tcPr>
          <w:p w14:paraId="50FFE9BB" w14:textId="77777777" w:rsidR="00391A54" w:rsidRPr="00DA4821" w:rsidRDefault="00391A54" w:rsidP="00143EF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0.101</w:t>
            </w:r>
          </w:p>
        </w:tc>
      </w:tr>
      <w:tr w:rsidR="00391A54" w:rsidRPr="004A61FA" w14:paraId="44843757" w14:textId="77777777" w:rsidTr="00143EF1">
        <w:trPr>
          <w:trHeight w:val="300"/>
        </w:trPr>
        <w:tc>
          <w:tcPr>
            <w:tcW w:w="4106" w:type="dxa"/>
            <w:shd w:val="clear" w:color="auto" w:fill="auto"/>
            <w:noWrap/>
            <w:vAlign w:val="bottom"/>
            <w:hideMark/>
          </w:tcPr>
          <w:p w14:paraId="698C0C0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Ct Value (viral load)</w:t>
            </w:r>
          </w:p>
        </w:tc>
        <w:tc>
          <w:tcPr>
            <w:tcW w:w="2126" w:type="dxa"/>
            <w:shd w:val="clear" w:color="auto" w:fill="auto"/>
            <w:noWrap/>
            <w:vAlign w:val="bottom"/>
            <w:hideMark/>
          </w:tcPr>
          <w:p w14:paraId="3CB6C3A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29.2 [23.2-32.3]</w:t>
            </w:r>
          </w:p>
        </w:tc>
        <w:tc>
          <w:tcPr>
            <w:tcW w:w="2268" w:type="dxa"/>
            <w:shd w:val="clear" w:color="auto" w:fill="auto"/>
            <w:noWrap/>
            <w:vAlign w:val="bottom"/>
            <w:hideMark/>
          </w:tcPr>
          <w:p w14:paraId="4A7BFC3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24 [19.4-29.6]</w:t>
            </w:r>
          </w:p>
        </w:tc>
        <w:tc>
          <w:tcPr>
            <w:tcW w:w="2268" w:type="dxa"/>
            <w:shd w:val="clear" w:color="auto" w:fill="auto"/>
            <w:noWrap/>
            <w:vAlign w:val="bottom"/>
            <w:hideMark/>
          </w:tcPr>
          <w:p w14:paraId="11868B3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31.8 [28-33.3]</w:t>
            </w:r>
          </w:p>
        </w:tc>
        <w:tc>
          <w:tcPr>
            <w:tcW w:w="2100" w:type="dxa"/>
          </w:tcPr>
          <w:p w14:paraId="71978549"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7.8 (3.5 to 8.2)</w:t>
            </w:r>
          </w:p>
        </w:tc>
        <w:tc>
          <w:tcPr>
            <w:tcW w:w="1080" w:type="dxa"/>
            <w:shd w:val="clear" w:color="auto" w:fill="auto"/>
            <w:noWrap/>
            <w:vAlign w:val="bottom"/>
            <w:hideMark/>
          </w:tcPr>
          <w:p w14:paraId="5CE12639"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&lt;0.0001</w:t>
            </w:r>
          </w:p>
        </w:tc>
      </w:tr>
      <w:tr w:rsidR="00391A54" w:rsidRPr="004A61FA" w14:paraId="00B7A551" w14:textId="77777777" w:rsidTr="00143EF1">
        <w:trPr>
          <w:trHeight w:val="300"/>
        </w:trPr>
        <w:tc>
          <w:tcPr>
            <w:tcW w:w="4106" w:type="dxa"/>
            <w:shd w:val="clear" w:color="auto" w:fill="auto"/>
            <w:noWrap/>
            <w:vAlign w:val="bottom"/>
          </w:tcPr>
          <w:p w14:paraId="1F4BEE4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b/>
                <w:bCs/>
                <w:color w:val="000000"/>
                <w:lang w:eastAsia="en-GB"/>
              </w:rPr>
              <w:t>Outcome</w:t>
            </w:r>
          </w:p>
        </w:tc>
        <w:tc>
          <w:tcPr>
            <w:tcW w:w="9842" w:type="dxa"/>
            <w:gridSpan w:val="5"/>
            <w:shd w:val="clear" w:color="auto" w:fill="auto"/>
            <w:noWrap/>
            <w:vAlign w:val="bottom"/>
          </w:tcPr>
          <w:p w14:paraId="3F0011CC"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p>
        </w:tc>
      </w:tr>
      <w:tr w:rsidR="00391A54" w:rsidRPr="004A61FA" w14:paraId="11E475E6" w14:textId="77777777" w:rsidTr="00143EF1">
        <w:trPr>
          <w:trHeight w:val="300"/>
        </w:trPr>
        <w:tc>
          <w:tcPr>
            <w:tcW w:w="4106" w:type="dxa"/>
            <w:shd w:val="clear" w:color="auto" w:fill="auto"/>
            <w:noWrap/>
            <w:vAlign w:val="bottom"/>
          </w:tcPr>
          <w:p w14:paraId="204DBE9D" w14:textId="4DF642B9"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Length of </w:t>
            </w:r>
            <w:proofErr w:type="spellStart"/>
            <w:proofErr w:type="gramStart"/>
            <w:r w:rsidRPr="004A61FA">
              <w:rPr>
                <w:rFonts w:ascii="Calibri" w:eastAsia="Times New Roman" w:hAnsi="Calibri" w:cs="Calibri"/>
                <w:color w:val="000000"/>
                <w:lang w:eastAsia="en-GB"/>
              </w:rPr>
              <w:t>stay</w:t>
            </w:r>
            <w:r w:rsidR="00B06A60" w:rsidRPr="00B06A60">
              <w:rPr>
                <w:rFonts w:ascii="Calibri" w:eastAsia="Times New Roman" w:hAnsi="Calibri" w:cs="Calibri"/>
                <w:color w:val="000000"/>
                <w:vertAlign w:val="superscript"/>
                <w:lang w:eastAsia="en-GB"/>
              </w:rPr>
              <w:t>h</w:t>
            </w:r>
            <w:proofErr w:type="spellEnd"/>
            <w:r w:rsidRPr="004A61FA">
              <w:rPr>
                <w:rFonts w:ascii="Calibri" w:eastAsia="Times New Roman" w:hAnsi="Calibri" w:cs="Calibri"/>
                <w:color w:val="000000"/>
                <w:lang w:eastAsia="en-GB"/>
              </w:rPr>
              <w:t>,</w:t>
            </w:r>
            <w:r w:rsidR="000829B8">
              <w:rPr>
                <w:rFonts w:ascii="Calibri" w:eastAsia="Times New Roman" w:hAnsi="Calibri" w:cs="Calibri"/>
                <w:color w:val="000000"/>
                <w:lang w:eastAsia="en-GB"/>
              </w:rPr>
              <w:t>*</w:t>
            </w:r>
            <w:proofErr w:type="gramEnd"/>
            <w:r w:rsidRPr="004A61FA">
              <w:rPr>
                <w:rFonts w:ascii="Calibri" w:eastAsia="Times New Roman" w:hAnsi="Calibri" w:cs="Calibri"/>
                <w:color w:val="000000"/>
                <w:lang w:eastAsia="en-GB"/>
              </w:rPr>
              <w:t xml:space="preserve"> (hours)</w:t>
            </w:r>
          </w:p>
        </w:tc>
        <w:tc>
          <w:tcPr>
            <w:tcW w:w="2126" w:type="dxa"/>
            <w:shd w:val="clear" w:color="auto" w:fill="auto"/>
            <w:noWrap/>
            <w:vAlign w:val="bottom"/>
          </w:tcPr>
          <w:p w14:paraId="61964AA0" w14:textId="3E460B15" w:rsidR="00391A54" w:rsidRPr="004A61FA" w:rsidRDefault="00B06A60"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216.4 [120.6-339.8]</w:t>
            </w:r>
          </w:p>
        </w:tc>
        <w:tc>
          <w:tcPr>
            <w:tcW w:w="2268" w:type="dxa"/>
            <w:shd w:val="clear" w:color="auto" w:fill="auto"/>
            <w:noWrap/>
            <w:vAlign w:val="bottom"/>
          </w:tcPr>
          <w:p w14:paraId="5DB9CD4D" w14:textId="2023FCE6" w:rsidR="00391A54" w:rsidRPr="004A61FA" w:rsidRDefault="00B06A60"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262.4 [150.8-381.7]</w:t>
            </w:r>
          </w:p>
        </w:tc>
        <w:tc>
          <w:tcPr>
            <w:tcW w:w="2268" w:type="dxa"/>
            <w:shd w:val="clear" w:color="auto" w:fill="auto"/>
            <w:noWrap/>
            <w:vAlign w:val="bottom"/>
          </w:tcPr>
          <w:p w14:paraId="3C05FE28" w14:textId="1FA9B5FC" w:rsidR="00391A54" w:rsidRPr="004A61FA" w:rsidRDefault="00B06A60"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197.7 [100.1-296.2]</w:t>
            </w:r>
          </w:p>
        </w:tc>
        <w:tc>
          <w:tcPr>
            <w:tcW w:w="2100" w:type="dxa"/>
          </w:tcPr>
          <w:p w14:paraId="4CF40FAF" w14:textId="49BC9EB8" w:rsidR="00391A54" w:rsidRPr="004A61FA" w:rsidRDefault="00B06A60"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-64.74 (-133.7 to 31.85)</w:t>
            </w:r>
          </w:p>
        </w:tc>
        <w:tc>
          <w:tcPr>
            <w:tcW w:w="1080" w:type="dxa"/>
            <w:shd w:val="clear" w:color="auto" w:fill="auto"/>
            <w:noWrap/>
            <w:vAlign w:val="bottom"/>
          </w:tcPr>
          <w:p w14:paraId="4A0A8D88" w14:textId="6421E5DD" w:rsidR="00391A54" w:rsidRPr="004A61FA" w:rsidRDefault="00B06A60" w:rsidP="00143EF1">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0.204</w:t>
            </w:r>
          </w:p>
        </w:tc>
      </w:tr>
      <w:tr w:rsidR="00391A54" w:rsidRPr="004A61FA" w14:paraId="01FEA45E" w14:textId="77777777" w:rsidTr="00143EF1">
        <w:trPr>
          <w:trHeight w:val="300"/>
        </w:trPr>
        <w:tc>
          <w:tcPr>
            <w:tcW w:w="4106" w:type="dxa"/>
            <w:shd w:val="clear" w:color="auto" w:fill="auto"/>
            <w:noWrap/>
            <w:vAlign w:val="bottom"/>
          </w:tcPr>
          <w:p w14:paraId="048BA3B8"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Received supplemental oxygen</w:t>
            </w:r>
          </w:p>
        </w:tc>
        <w:tc>
          <w:tcPr>
            <w:tcW w:w="2126" w:type="dxa"/>
            <w:shd w:val="clear" w:color="auto" w:fill="auto"/>
            <w:noWrap/>
            <w:vAlign w:val="bottom"/>
          </w:tcPr>
          <w:p w14:paraId="7C146EE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83 (84%)</w:t>
            </w:r>
          </w:p>
        </w:tc>
        <w:tc>
          <w:tcPr>
            <w:tcW w:w="2268" w:type="dxa"/>
            <w:shd w:val="clear" w:color="auto" w:fill="auto"/>
            <w:noWrap/>
            <w:vAlign w:val="bottom"/>
          </w:tcPr>
          <w:p w14:paraId="36F09D4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35 (81%)</w:t>
            </w:r>
          </w:p>
        </w:tc>
        <w:tc>
          <w:tcPr>
            <w:tcW w:w="2268" w:type="dxa"/>
            <w:shd w:val="clear" w:color="auto" w:fill="auto"/>
            <w:noWrap/>
            <w:vAlign w:val="bottom"/>
          </w:tcPr>
          <w:p w14:paraId="47CF116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48 (86%)</w:t>
            </w:r>
          </w:p>
        </w:tc>
        <w:tc>
          <w:tcPr>
            <w:tcW w:w="2100" w:type="dxa"/>
          </w:tcPr>
          <w:p w14:paraId="6DDB570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 (-10% to 19%)</w:t>
            </w:r>
          </w:p>
        </w:tc>
        <w:tc>
          <w:tcPr>
            <w:tcW w:w="1080" w:type="dxa"/>
            <w:shd w:val="clear" w:color="auto" w:fill="auto"/>
            <w:noWrap/>
            <w:vAlign w:val="bottom"/>
          </w:tcPr>
          <w:p w14:paraId="12A5E995"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color w:val="000000"/>
                <w:lang w:eastAsia="en-GB"/>
              </w:rPr>
              <w:t>0.592</w:t>
            </w:r>
          </w:p>
        </w:tc>
      </w:tr>
      <w:tr w:rsidR="00391A54" w:rsidRPr="004A61FA" w14:paraId="6DBE23DC" w14:textId="77777777" w:rsidTr="00143EF1">
        <w:trPr>
          <w:trHeight w:val="300"/>
        </w:trPr>
        <w:tc>
          <w:tcPr>
            <w:tcW w:w="4106" w:type="dxa"/>
            <w:shd w:val="clear" w:color="auto" w:fill="auto"/>
            <w:noWrap/>
            <w:vAlign w:val="bottom"/>
          </w:tcPr>
          <w:p w14:paraId="20F4563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Duration of received </w:t>
            </w:r>
            <w:proofErr w:type="spellStart"/>
            <w:r w:rsidRPr="004A61FA">
              <w:rPr>
                <w:rFonts w:ascii="Calibri" w:eastAsia="Times New Roman" w:hAnsi="Calibri" w:cs="Calibri"/>
                <w:color w:val="000000"/>
                <w:lang w:eastAsia="en-GB"/>
              </w:rPr>
              <w:t>oxygen</w:t>
            </w:r>
            <w:r w:rsidRPr="00E31168">
              <w:rPr>
                <w:rFonts w:ascii="Calibri" w:eastAsia="Times New Roman" w:hAnsi="Calibri" w:cs="Calibri"/>
                <w:color w:val="000000"/>
                <w:vertAlign w:val="superscript"/>
                <w:lang w:eastAsia="en-GB"/>
              </w:rPr>
              <w:t>h</w:t>
            </w:r>
            <w:proofErr w:type="spellEnd"/>
            <w:r w:rsidRPr="004A61FA">
              <w:rPr>
                <w:rFonts w:ascii="Calibri" w:eastAsia="Times New Roman" w:hAnsi="Calibri" w:cs="Calibri"/>
                <w:color w:val="000000"/>
                <w:lang w:eastAsia="en-GB"/>
              </w:rPr>
              <w:t>, (hours)</w:t>
            </w:r>
            <w:r w:rsidRPr="004A61FA">
              <w:rPr>
                <w:rFonts w:ascii="Calibri" w:eastAsia="Times New Roman" w:hAnsi="Calibri" w:cs="Calibri"/>
                <w:color w:val="000000"/>
                <w:vertAlign w:val="superscript"/>
                <w:lang w:eastAsia="en-GB"/>
              </w:rPr>
              <w:t xml:space="preserve"> </w:t>
            </w:r>
          </w:p>
        </w:tc>
        <w:tc>
          <w:tcPr>
            <w:tcW w:w="2126" w:type="dxa"/>
            <w:shd w:val="clear" w:color="auto" w:fill="auto"/>
            <w:noWrap/>
            <w:vAlign w:val="bottom"/>
          </w:tcPr>
          <w:p w14:paraId="589C019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23 [13-117.6]</w:t>
            </w:r>
          </w:p>
        </w:tc>
        <w:tc>
          <w:tcPr>
            <w:tcW w:w="2268" w:type="dxa"/>
            <w:shd w:val="clear" w:color="auto" w:fill="auto"/>
            <w:noWrap/>
            <w:vAlign w:val="bottom"/>
          </w:tcPr>
          <w:p w14:paraId="73F6535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19.73 [12-112.1]</w:t>
            </w:r>
          </w:p>
        </w:tc>
        <w:tc>
          <w:tcPr>
            <w:tcW w:w="2268" w:type="dxa"/>
            <w:shd w:val="clear" w:color="auto" w:fill="auto"/>
            <w:noWrap/>
            <w:vAlign w:val="bottom"/>
          </w:tcPr>
          <w:p w14:paraId="4BE783F3" w14:textId="4C865AA8"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30.43 [13.</w:t>
            </w:r>
            <w:r w:rsidR="005B1767">
              <w:rPr>
                <w:rFonts w:ascii="Calibri" w:eastAsia="Times New Roman" w:hAnsi="Calibri" w:cs="Calibri"/>
                <w:color w:val="000000"/>
                <w:lang w:eastAsia="en-GB"/>
              </w:rPr>
              <w:t>7</w:t>
            </w:r>
            <w:r w:rsidRPr="004A61FA">
              <w:rPr>
                <w:rFonts w:ascii="Calibri" w:eastAsia="Times New Roman" w:hAnsi="Calibri" w:cs="Calibri"/>
                <w:color w:val="000000"/>
                <w:lang w:eastAsia="en-GB"/>
              </w:rPr>
              <w:t>-123.4]</w:t>
            </w:r>
          </w:p>
        </w:tc>
        <w:tc>
          <w:tcPr>
            <w:tcW w:w="2100" w:type="dxa"/>
          </w:tcPr>
          <w:p w14:paraId="0BBDD13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10.7 [-6 to 31]</w:t>
            </w:r>
          </w:p>
        </w:tc>
        <w:tc>
          <w:tcPr>
            <w:tcW w:w="1080" w:type="dxa"/>
            <w:shd w:val="clear" w:color="auto" w:fill="auto"/>
            <w:noWrap/>
            <w:vAlign w:val="bottom"/>
          </w:tcPr>
          <w:p w14:paraId="0C1070A5"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color w:val="000000"/>
                <w:lang w:eastAsia="en-GB"/>
              </w:rPr>
              <w:t>0.439</w:t>
            </w:r>
          </w:p>
        </w:tc>
      </w:tr>
      <w:tr w:rsidR="00391A54" w:rsidRPr="004A61FA" w14:paraId="1BF953FA" w14:textId="77777777" w:rsidTr="00143EF1">
        <w:trPr>
          <w:trHeight w:val="300"/>
        </w:trPr>
        <w:tc>
          <w:tcPr>
            <w:tcW w:w="4106" w:type="dxa"/>
            <w:shd w:val="clear" w:color="auto" w:fill="auto"/>
            <w:noWrap/>
            <w:vAlign w:val="bottom"/>
          </w:tcPr>
          <w:p w14:paraId="3272986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Received NIV</w:t>
            </w:r>
          </w:p>
        </w:tc>
        <w:tc>
          <w:tcPr>
            <w:tcW w:w="2126" w:type="dxa"/>
            <w:shd w:val="clear" w:color="auto" w:fill="auto"/>
            <w:noWrap/>
            <w:vAlign w:val="bottom"/>
          </w:tcPr>
          <w:p w14:paraId="714E377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26 (26%)</w:t>
            </w:r>
          </w:p>
        </w:tc>
        <w:tc>
          <w:tcPr>
            <w:tcW w:w="2268" w:type="dxa"/>
            <w:shd w:val="clear" w:color="auto" w:fill="auto"/>
            <w:noWrap/>
            <w:vAlign w:val="bottom"/>
          </w:tcPr>
          <w:p w14:paraId="60B3582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 (14%)</w:t>
            </w:r>
          </w:p>
        </w:tc>
        <w:tc>
          <w:tcPr>
            <w:tcW w:w="2268" w:type="dxa"/>
            <w:shd w:val="clear" w:color="auto" w:fill="auto"/>
            <w:noWrap/>
            <w:vAlign w:val="bottom"/>
          </w:tcPr>
          <w:p w14:paraId="5B48B9E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20 (36%)</w:t>
            </w:r>
          </w:p>
        </w:tc>
        <w:tc>
          <w:tcPr>
            <w:tcW w:w="2100" w:type="dxa"/>
          </w:tcPr>
          <w:p w14:paraId="1011FEC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22% (4% to 39%)</w:t>
            </w:r>
          </w:p>
        </w:tc>
        <w:tc>
          <w:tcPr>
            <w:tcW w:w="1080" w:type="dxa"/>
            <w:shd w:val="clear" w:color="auto" w:fill="auto"/>
            <w:noWrap/>
            <w:vAlign w:val="bottom"/>
          </w:tcPr>
          <w:p w14:paraId="1D6738C3"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0.021</w:t>
            </w:r>
          </w:p>
        </w:tc>
      </w:tr>
      <w:tr w:rsidR="00391A54" w:rsidRPr="004A61FA" w14:paraId="7AC6D3EC" w14:textId="77777777" w:rsidTr="00143EF1">
        <w:trPr>
          <w:trHeight w:val="300"/>
        </w:trPr>
        <w:tc>
          <w:tcPr>
            <w:tcW w:w="4106" w:type="dxa"/>
            <w:shd w:val="clear" w:color="auto" w:fill="auto"/>
            <w:noWrap/>
            <w:vAlign w:val="bottom"/>
          </w:tcPr>
          <w:p w14:paraId="47176E1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 xml:space="preserve">Duration of received </w:t>
            </w:r>
            <w:proofErr w:type="spellStart"/>
            <w:r w:rsidRPr="004A61FA">
              <w:rPr>
                <w:rFonts w:ascii="Calibri" w:eastAsia="Times New Roman" w:hAnsi="Calibri" w:cs="Calibri"/>
                <w:color w:val="000000"/>
                <w:lang w:eastAsia="en-GB"/>
              </w:rPr>
              <w:t>NIV</w:t>
            </w:r>
            <w:r w:rsidRPr="00E31168">
              <w:rPr>
                <w:rFonts w:ascii="Calibri" w:eastAsia="Times New Roman" w:hAnsi="Calibri" w:cs="Calibri"/>
                <w:color w:val="000000"/>
                <w:vertAlign w:val="superscript"/>
                <w:lang w:eastAsia="en-GB"/>
              </w:rPr>
              <w:t>i</w:t>
            </w:r>
            <w:proofErr w:type="spellEnd"/>
            <w:r w:rsidRPr="004A61FA">
              <w:rPr>
                <w:rFonts w:ascii="Calibri" w:eastAsia="Times New Roman" w:hAnsi="Calibri" w:cs="Calibri"/>
                <w:color w:val="000000"/>
                <w:lang w:eastAsia="en-GB"/>
              </w:rPr>
              <w:t xml:space="preserve">, (hours) </w:t>
            </w:r>
          </w:p>
        </w:tc>
        <w:tc>
          <w:tcPr>
            <w:tcW w:w="2126" w:type="dxa"/>
            <w:shd w:val="clear" w:color="auto" w:fill="auto"/>
            <w:noWrap/>
            <w:vAlign w:val="bottom"/>
          </w:tcPr>
          <w:p w14:paraId="68E6709E"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32.63 [12.75-58.3]</w:t>
            </w:r>
          </w:p>
        </w:tc>
        <w:tc>
          <w:tcPr>
            <w:tcW w:w="2268" w:type="dxa"/>
            <w:shd w:val="clear" w:color="auto" w:fill="auto"/>
            <w:noWrap/>
            <w:vAlign w:val="bottom"/>
          </w:tcPr>
          <w:p w14:paraId="6B7B538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67.12 [28.24-124.5]</w:t>
            </w:r>
          </w:p>
        </w:tc>
        <w:tc>
          <w:tcPr>
            <w:tcW w:w="2268" w:type="dxa"/>
            <w:shd w:val="clear" w:color="auto" w:fill="auto"/>
            <w:noWrap/>
            <w:vAlign w:val="bottom"/>
          </w:tcPr>
          <w:p w14:paraId="75417FF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24.43 [9.5-42.25]</w:t>
            </w:r>
          </w:p>
        </w:tc>
        <w:tc>
          <w:tcPr>
            <w:tcW w:w="2100" w:type="dxa"/>
          </w:tcPr>
          <w:p w14:paraId="6CD64F70" w14:textId="2B1069F4"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-42.</w:t>
            </w:r>
            <w:r w:rsidR="0003545A">
              <w:rPr>
                <w:rFonts w:ascii="Calibri" w:eastAsia="Times New Roman" w:hAnsi="Calibri" w:cs="Calibri"/>
                <w:color w:val="000000"/>
                <w:lang w:eastAsia="en-GB"/>
              </w:rPr>
              <w:t>69</w:t>
            </w:r>
            <w:r w:rsidRPr="004A61FA">
              <w:rPr>
                <w:rFonts w:ascii="Calibri" w:eastAsia="Times New Roman" w:hAnsi="Calibri" w:cs="Calibri"/>
                <w:color w:val="000000"/>
                <w:lang w:eastAsia="en-GB"/>
              </w:rPr>
              <w:t xml:space="preserve"> [-90.</w:t>
            </w:r>
            <w:r w:rsidR="0003545A">
              <w:rPr>
                <w:rFonts w:ascii="Calibri" w:eastAsia="Times New Roman" w:hAnsi="Calibri" w:cs="Calibri"/>
                <w:color w:val="000000"/>
                <w:lang w:eastAsia="en-GB"/>
              </w:rPr>
              <w:t>55</w:t>
            </w:r>
            <w:r w:rsidRPr="004A61FA">
              <w:rPr>
                <w:rFonts w:ascii="Calibri" w:eastAsia="Times New Roman" w:hAnsi="Calibri" w:cs="Calibri"/>
                <w:color w:val="000000"/>
                <w:lang w:eastAsia="en-GB"/>
              </w:rPr>
              <w:t xml:space="preserve"> to 0.</w:t>
            </w:r>
            <w:r w:rsidR="0003545A">
              <w:rPr>
                <w:rFonts w:ascii="Calibri" w:eastAsia="Times New Roman" w:hAnsi="Calibri" w:cs="Calibri"/>
                <w:color w:val="000000"/>
                <w:lang w:eastAsia="en-GB"/>
              </w:rPr>
              <w:t>48</w:t>
            </w:r>
            <w:r w:rsidRPr="004A61FA">
              <w:rPr>
                <w:rFonts w:ascii="Calibri" w:eastAsia="Times New Roman" w:hAnsi="Calibri" w:cs="Calibri"/>
                <w:color w:val="000000"/>
                <w:lang w:eastAsia="en-GB"/>
              </w:rPr>
              <w:t>]</w:t>
            </w:r>
          </w:p>
        </w:tc>
        <w:tc>
          <w:tcPr>
            <w:tcW w:w="1080" w:type="dxa"/>
            <w:shd w:val="clear" w:color="auto" w:fill="auto"/>
            <w:noWrap/>
            <w:vAlign w:val="bottom"/>
          </w:tcPr>
          <w:p w14:paraId="74B26482"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color w:val="000000"/>
                <w:lang w:eastAsia="en-GB"/>
              </w:rPr>
              <w:t>0.061</w:t>
            </w:r>
          </w:p>
        </w:tc>
      </w:tr>
      <w:tr w:rsidR="00391A54" w:rsidRPr="004A61FA" w14:paraId="7669ADF3" w14:textId="77777777" w:rsidTr="00143EF1">
        <w:trPr>
          <w:trHeight w:val="300"/>
        </w:trPr>
        <w:tc>
          <w:tcPr>
            <w:tcW w:w="4106" w:type="dxa"/>
            <w:shd w:val="clear" w:color="auto" w:fill="auto"/>
            <w:noWrap/>
            <w:vAlign w:val="bottom"/>
          </w:tcPr>
          <w:p w14:paraId="38BCF8F3"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Received Intubation and Ventilation</w:t>
            </w:r>
          </w:p>
        </w:tc>
        <w:tc>
          <w:tcPr>
            <w:tcW w:w="2126" w:type="dxa"/>
            <w:shd w:val="clear" w:color="auto" w:fill="auto"/>
            <w:noWrap/>
            <w:vAlign w:val="bottom"/>
          </w:tcPr>
          <w:p w14:paraId="44A751A0"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19 (19%)</w:t>
            </w:r>
          </w:p>
        </w:tc>
        <w:tc>
          <w:tcPr>
            <w:tcW w:w="2268" w:type="dxa"/>
            <w:shd w:val="clear" w:color="auto" w:fill="auto"/>
            <w:noWrap/>
            <w:vAlign w:val="bottom"/>
          </w:tcPr>
          <w:p w14:paraId="61F34EAD"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7 (16%)</w:t>
            </w:r>
          </w:p>
        </w:tc>
        <w:tc>
          <w:tcPr>
            <w:tcW w:w="2268" w:type="dxa"/>
            <w:shd w:val="clear" w:color="auto" w:fill="auto"/>
            <w:noWrap/>
            <w:vAlign w:val="bottom"/>
          </w:tcPr>
          <w:p w14:paraId="4E1E1DB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12 (21%)</w:t>
            </w:r>
          </w:p>
        </w:tc>
        <w:tc>
          <w:tcPr>
            <w:tcW w:w="2100" w:type="dxa"/>
          </w:tcPr>
          <w:p w14:paraId="74679BCC" w14:textId="41AE132B"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5% (-11% to 21%</w:t>
            </w:r>
            <w:r w:rsidR="000829B8">
              <w:rPr>
                <w:rFonts w:ascii="Calibri" w:eastAsia="Times New Roman" w:hAnsi="Calibri" w:cs="Calibri"/>
                <w:color w:val="000000"/>
                <w:lang w:eastAsia="en-GB"/>
              </w:rPr>
              <w:t>)</w:t>
            </w:r>
          </w:p>
        </w:tc>
        <w:tc>
          <w:tcPr>
            <w:tcW w:w="1080" w:type="dxa"/>
            <w:shd w:val="clear" w:color="auto" w:fill="auto"/>
            <w:noWrap/>
            <w:vAlign w:val="bottom"/>
          </w:tcPr>
          <w:p w14:paraId="45D0CD88"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color w:val="000000"/>
                <w:lang w:eastAsia="en-GB"/>
              </w:rPr>
              <w:t>0.611</w:t>
            </w:r>
          </w:p>
        </w:tc>
      </w:tr>
      <w:tr w:rsidR="00391A54" w:rsidRPr="004A61FA" w14:paraId="55632FD8" w14:textId="77777777" w:rsidTr="00143EF1">
        <w:trPr>
          <w:trHeight w:val="300"/>
        </w:trPr>
        <w:tc>
          <w:tcPr>
            <w:tcW w:w="4106" w:type="dxa"/>
            <w:shd w:val="clear" w:color="auto" w:fill="auto"/>
            <w:noWrap/>
            <w:vAlign w:val="bottom"/>
          </w:tcPr>
          <w:p w14:paraId="4F43316C" w14:textId="6DD32B64" w:rsidR="00391A54" w:rsidRPr="004A61FA" w:rsidRDefault="00554E12" w:rsidP="00143E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Duration of </w:t>
            </w:r>
            <w:r w:rsidR="00391A54" w:rsidRPr="004A61FA">
              <w:rPr>
                <w:rFonts w:ascii="Calibri" w:eastAsia="Times New Roman" w:hAnsi="Calibri" w:cs="Calibri"/>
                <w:color w:val="000000"/>
                <w:lang w:eastAsia="en-GB"/>
              </w:rPr>
              <w:t>Intubation and Ventilation, (hours)</w:t>
            </w:r>
            <w:r w:rsidR="007A6C99" w:rsidRPr="007A6C99">
              <w:rPr>
                <w:rFonts w:ascii="Calibri" w:eastAsia="Times New Roman" w:hAnsi="Calibri" w:cs="Calibri"/>
                <w:color w:val="000000"/>
                <w:vertAlign w:val="superscript"/>
                <w:lang w:eastAsia="en-GB"/>
              </w:rPr>
              <w:t>j</w:t>
            </w:r>
          </w:p>
        </w:tc>
        <w:tc>
          <w:tcPr>
            <w:tcW w:w="2126" w:type="dxa"/>
            <w:shd w:val="clear" w:color="auto" w:fill="auto"/>
            <w:noWrap/>
            <w:vAlign w:val="bottom"/>
          </w:tcPr>
          <w:p w14:paraId="5FCBD6A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206.2 [135.8-482.2]</w:t>
            </w:r>
          </w:p>
        </w:tc>
        <w:tc>
          <w:tcPr>
            <w:tcW w:w="2268" w:type="dxa"/>
            <w:shd w:val="clear" w:color="auto" w:fill="auto"/>
            <w:noWrap/>
            <w:vAlign w:val="bottom"/>
          </w:tcPr>
          <w:p w14:paraId="29F7678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175.8 [135.8-424.9]</w:t>
            </w:r>
          </w:p>
        </w:tc>
        <w:tc>
          <w:tcPr>
            <w:tcW w:w="2268" w:type="dxa"/>
            <w:shd w:val="clear" w:color="auto" w:fill="auto"/>
            <w:noWrap/>
            <w:vAlign w:val="bottom"/>
          </w:tcPr>
          <w:p w14:paraId="134BF7E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285.8 [124.1-589.6]</w:t>
            </w:r>
          </w:p>
        </w:tc>
        <w:tc>
          <w:tcPr>
            <w:tcW w:w="2100" w:type="dxa"/>
          </w:tcPr>
          <w:p w14:paraId="6472C39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110 (-155.5 to 350.8)</w:t>
            </w:r>
          </w:p>
        </w:tc>
        <w:tc>
          <w:tcPr>
            <w:tcW w:w="1080" w:type="dxa"/>
            <w:shd w:val="clear" w:color="auto" w:fill="auto"/>
            <w:noWrap/>
            <w:vAlign w:val="bottom"/>
          </w:tcPr>
          <w:p w14:paraId="21C6742A"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color w:val="000000"/>
                <w:lang w:eastAsia="en-GB"/>
              </w:rPr>
              <w:t>0.592</w:t>
            </w:r>
          </w:p>
        </w:tc>
      </w:tr>
      <w:tr w:rsidR="00391A54" w:rsidRPr="004A61FA" w14:paraId="3C81405F" w14:textId="77777777" w:rsidTr="00143EF1">
        <w:trPr>
          <w:trHeight w:val="300"/>
        </w:trPr>
        <w:tc>
          <w:tcPr>
            <w:tcW w:w="4106" w:type="dxa"/>
            <w:tcBorders>
              <w:bottom w:val="single" w:sz="4" w:space="0" w:color="auto"/>
            </w:tcBorders>
            <w:shd w:val="clear" w:color="auto" w:fill="auto"/>
            <w:noWrap/>
            <w:vAlign w:val="bottom"/>
          </w:tcPr>
          <w:p w14:paraId="592F6156"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Admitted to ICU</w:t>
            </w:r>
          </w:p>
        </w:tc>
        <w:tc>
          <w:tcPr>
            <w:tcW w:w="2126" w:type="dxa"/>
            <w:tcBorders>
              <w:bottom w:val="single" w:sz="4" w:space="0" w:color="auto"/>
            </w:tcBorders>
            <w:shd w:val="clear" w:color="auto" w:fill="auto"/>
            <w:noWrap/>
            <w:vAlign w:val="bottom"/>
          </w:tcPr>
          <w:p w14:paraId="09B6015A"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30 (30%)</w:t>
            </w:r>
          </w:p>
        </w:tc>
        <w:tc>
          <w:tcPr>
            <w:tcW w:w="2268" w:type="dxa"/>
            <w:tcBorders>
              <w:bottom w:val="single" w:sz="4" w:space="0" w:color="auto"/>
            </w:tcBorders>
            <w:shd w:val="clear" w:color="auto" w:fill="auto"/>
            <w:noWrap/>
            <w:vAlign w:val="bottom"/>
          </w:tcPr>
          <w:p w14:paraId="265E9CC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10 (23%)</w:t>
            </w:r>
          </w:p>
        </w:tc>
        <w:tc>
          <w:tcPr>
            <w:tcW w:w="2268" w:type="dxa"/>
            <w:tcBorders>
              <w:bottom w:val="single" w:sz="4" w:space="0" w:color="auto"/>
            </w:tcBorders>
            <w:shd w:val="clear" w:color="auto" w:fill="auto"/>
            <w:noWrap/>
            <w:vAlign w:val="bottom"/>
          </w:tcPr>
          <w:p w14:paraId="16B087C2"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20 (36%)</w:t>
            </w:r>
          </w:p>
        </w:tc>
        <w:tc>
          <w:tcPr>
            <w:tcW w:w="2100" w:type="dxa"/>
            <w:tcBorders>
              <w:bottom w:val="single" w:sz="4" w:space="0" w:color="auto"/>
            </w:tcBorders>
          </w:tcPr>
          <w:p w14:paraId="0D54E9AF"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12% (-6% to 31%)</w:t>
            </w:r>
          </w:p>
        </w:tc>
        <w:tc>
          <w:tcPr>
            <w:tcW w:w="1080" w:type="dxa"/>
            <w:tcBorders>
              <w:bottom w:val="single" w:sz="4" w:space="0" w:color="auto"/>
            </w:tcBorders>
            <w:shd w:val="clear" w:color="auto" w:fill="auto"/>
            <w:noWrap/>
            <w:vAlign w:val="bottom"/>
          </w:tcPr>
          <w:p w14:paraId="0D9587A3"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color w:val="000000"/>
                <w:lang w:eastAsia="en-GB"/>
              </w:rPr>
              <w:t>0.195</w:t>
            </w:r>
          </w:p>
        </w:tc>
      </w:tr>
      <w:tr w:rsidR="00391A54" w:rsidRPr="004A61FA" w14:paraId="4B6AD0C7" w14:textId="77777777" w:rsidTr="00143EF1">
        <w:trPr>
          <w:trHeight w:val="421"/>
        </w:trPr>
        <w:tc>
          <w:tcPr>
            <w:tcW w:w="4106" w:type="dxa"/>
            <w:tcBorders>
              <w:bottom w:val="single" w:sz="4" w:space="0" w:color="auto"/>
            </w:tcBorders>
            <w:shd w:val="clear" w:color="auto" w:fill="auto"/>
            <w:noWrap/>
            <w:vAlign w:val="bottom"/>
          </w:tcPr>
          <w:p w14:paraId="458F5347"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Died within 30 days of admission</w:t>
            </w:r>
          </w:p>
        </w:tc>
        <w:tc>
          <w:tcPr>
            <w:tcW w:w="2126" w:type="dxa"/>
            <w:tcBorders>
              <w:bottom w:val="single" w:sz="4" w:space="0" w:color="auto"/>
            </w:tcBorders>
            <w:shd w:val="clear" w:color="auto" w:fill="auto"/>
            <w:noWrap/>
            <w:vAlign w:val="bottom"/>
          </w:tcPr>
          <w:p w14:paraId="267AB1A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16 (16%)</w:t>
            </w:r>
          </w:p>
        </w:tc>
        <w:tc>
          <w:tcPr>
            <w:tcW w:w="2268" w:type="dxa"/>
            <w:tcBorders>
              <w:bottom w:val="single" w:sz="4" w:space="0" w:color="auto"/>
            </w:tcBorders>
            <w:shd w:val="clear" w:color="auto" w:fill="auto"/>
            <w:noWrap/>
            <w:vAlign w:val="bottom"/>
          </w:tcPr>
          <w:p w14:paraId="4BFED605"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13 (30%)</w:t>
            </w:r>
          </w:p>
        </w:tc>
        <w:tc>
          <w:tcPr>
            <w:tcW w:w="2268" w:type="dxa"/>
            <w:tcBorders>
              <w:bottom w:val="single" w:sz="4" w:space="0" w:color="auto"/>
            </w:tcBorders>
            <w:shd w:val="clear" w:color="auto" w:fill="auto"/>
            <w:noWrap/>
            <w:vAlign w:val="bottom"/>
          </w:tcPr>
          <w:p w14:paraId="0A65630C"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3 (5%)</w:t>
            </w:r>
          </w:p>
        </w:tc>
        <w:tc>
          <w:tcPr>
            <w:tcW w:w="2100" w:type="dxa"/>
            <w:tcBorders>
              <w:bottom w:val="single" w:sz="4" w:space="0" w:color="auto"/>
            </w:tcBorders>
          </w:tcPr>
          <w:p w14:paraId="6E95860B" w14:textId="77777777" w:rsidR="00391A54" w:rsidRPr="004A61FA" w:rsidRDefault="00391A54" w:rsidP="00143EF1">
            <w:pPr>
              <w:spacing w:after="0" w:line="240" w:lineRule="auto"/>
              <w:rPr>
                <w:rFonts w:ascii="Calibri" w:eastAsia="Times New Roman" w:hAnsi="Calibri" w:cs="Calibri"/>
                <w:color w:val="000000"/>
                <w:lang w:eastAsia="en-GB"/>
              </w:rPr>
            </w:pPr>
            <w:r w:rsidRPr="004A61FA">
              <w:rPr>
                <w:rFonts w:ascii="Calibri" w:eastAsia="Times New Roman" w:hAnsi="Calibri" w:cs="Calibri"/>
                <w:color w:val="000000"/>
                <w:lang w:eastAsia="en-GB"/>
              </w:rPr>
              <w:t>-25% (-40% to -10%)</w:t>
            </w:r>
          </w:p>
        </w:tc>
        <w:tc>
          <w:tcPr>
            <w:tcW w:w="1080" w:type="dxa"/>
            <w:tcBorders>
              <w:bottom w:val="single" w:sz="4" w:space="0" w:color="auto"/>
            </w:tcBorders>
            <w:shd w:val="clear" w:color="auto" w:fill="auto"/>
            <w:noWrap/>
            <w:vAlign w:val="bottom"/>
          </w:tcPr>
          <w:p w14:paraId="79444728" w14:textId="77777777" w:rsidR="00391A54" w:rsidRPr="004A61FA" w:rsidRDefault="00391A54" w:rsidP="00143EF1">
            <w:pPr>
              <w:spacing w:after="0" w:line="240" w:lineRule="auto"/>
              <w:jc w:val="center"/>
              <w:rPr>
                <w:rFonts w:ascii="Calibri" w:eastAsia="Times New Roman" w:hAnsi="Calibri" w:cs="Calibri"/>
                <w:b/>
                <w:bCs/>
                <w:color w:val="000000"/>
                <w:lang w:eastAsia="en-GB"/>
              </w:rPr>
            </w:pPr>
            <w:r w:rsidRPr="004A61FA">
              <w:rPr>
                <w:rFonts w:ascii="Calibri" w:eastAsia="Times New Roman" w:hAnsi="Calibri" w:cs="Calibri"/>
                <w:b/>
                <w:bCs/>
                <w:color w:val="000000"/>
                <w:lang w:eastAsia="en-GB"/>
              </w:rPr>
              <w:t>0.002</w:t>
            </w:r>
          </w:p>
        </w:tc>
      </w:tr>
      <w:tr w:rsidR="00391A54" w:rsidRPr="00986E3F" w14:paraId="10BE7F14" w14:textId="77777777" w:rsidTr="00143EF1">
        <w:trPr>
          <w:trHeight w:val="421"/>
        </w:trPr>
        <w:tc>
          <w:tcPr>
            <w:tcW w:w="13948" w:type="dxa"/>
            <w:gridSpan w:val="6"/>
            <w:tcBorders>
              <w:left w:val="nil"/>
              <w:bottom w:val="nil"/>
              <w:right w:val="nil"/>
            </w:tcBorders>
            <w:shd w:val="clear" w:color="auto" w:fill="auto"/>
            <w:noWrap/>
            <w:vAlign w:val="bottom"/>
          </w:tcPr>
          <w:p w14:paraId="45E0A0A1" w14:textId="77777777" w:rsidR="000829B8" w:rsidRPr="00497CCE" w:rsidRDefault="00391A54" w:rsidP="000829B8">
            <w:pPr>
              <w:shd w:val="clear" w:color="auto" w:fill="FFFFFF"/>
              <w:spacing w:after="75" w:line="240" w:lineRule="auto"/>
              <w:rPr>
                <w:rFonts w:eastAsia="Times New Roman" w:cstheme="minorHAnsi"/>
                <w:bCs/>
                <w:color w:val="000000" w:themeColor="text1"/>
                <w:sz w:val="20"/>
                <w:szCs w:val="20"/>
                <w:lang w:eastAsia="en-GB"/>
              </w:rPr>
            </w:pPr>
            <w:r w:rsidRPr="00267778">
              <w:rPr>
                <w:rFonts w:eastAsia="Times New Roman" w:cstheme="minorHAnsi"/>
                <w:bCs/>
                <w:color w:val="000000" w:themeColor="text1"/>
                <w:sz w:val="20"/>
                <w:szCs w:val="20"/>
                <w:lang w:eastAsia="en-GB"/>
              </w:rPr>
              <w:t>Data are presented as number (%) and median [Inter-qu</w:t>
            </w:r>
            <w:r w:rsidR="00647FF4">
              <w:rPr>
                <w:rFonts w:eastAsia="Times New Roman" w:cstheme="minorHAnsi"/>
                <w:bCs/>
                <w:color w:val="000000" w:themeColor="text1"/>
                <w:sz w:val="20"/>
                <w:szCs w:val="20"/>
                <w:lang w:eastAsia="en-GB"/>
              </w:rPr>
              <w:t>artile range]. Abbreviations</w:t>
            </w:r>
            <w:r w:rsidRPr="00267778">
              <w:rPr>
                <w:rFonts w:eastAsia="Times New Roman" w:cstheme="minorHAnsi"/>
                <w:bCs/>
                <w:color w:val="000000" w:themeColor="text1"/>
                <w:sz w:val="20"/>
                <w:szCs w:val="20"/>
                <w:lang w:eastAsia="en-GB"/>
              </w:rPr>
              <w:t xml:space="preserve">: </w:t>
            </w:r>
            <w:r>
              <w:rPr>
                <w:rFonts w:eastAsia="Times New Roman" w:cstheme="minorHAnsi"/>
                <w:bCs/>
                <w:color w:val="000000" w:themeColor="text1"/>
                <w:sz w:val="20"/>
                <w:szCs w:val="20"/>
                <w:lang w:eastAsia="en-GB"/>
              </w:rPr>
              <w:t xml:space="preserve">BAME, Black Asian and minority ethnic; </w:t>
            </w:r>
            <w:r w:rsidRPr="00267778">
              <w:rPr>
                <w:rFonts w:eastAsia="Times New Roman" w:cstheme="minorHAnsi"/>
                <w:bCs/>
                <w:color w:val="000000" w:themeColor="text1"/>
                <w:sz w:val="20"/>
                <w:szCs w:val="20"/>
                <w:lang w:eastAsia="en-GB"/>
              </w:rPr>
              <w:t>Ct, real-time PCR cycle threshold (a low Ct value represents a high viral load and vice versa); NEWS2, National Early Warning Score 2; CRP, C reactive protein; POCT, Point</w:t>
            </w:r>
            <w:r w:rsidR="00C359EC">
              <w:rPr>
                <w:rFonts w:eastAsia="Times New Roman" w:cstheme="minorHAnsi"/>
                <w:bCs/>
                <w:color w:val="000000" w:themeColor="text1"/>
                <w:sz w:val="20"/>
                <w:szCs w:val="20"/>
                <w:lang w:eastAsia="en-GB"/>
              </w:rPr>
              <w:t>-</w:t>
            </w:r>
            <w:r w:rsidRPr="00267778">
              <w:rPr>
                <w:rFonts w:eastAsia="Times New Roman" w:cstheme="minorHAnsi"/>
                <w:bCs/>
                <w:color w:val="000000" w:themeColor="text1"/>
                <w:sz w:val="20"/>
                <w:szCs w:val="20"/>
                <w:lang w:eastAsia="en-GB"/>
              </w:rPr>
              <w:t>of</w:t>
            </w:r>
            <w:r w:rsidR="00C359EC">
              <w:rPr>
                <w:rFonts w:eastAsia="Times New Roman" w:cstheme="minorHAnsi"/>
                <w:bCs/>
                <w:color w:val="000000" w:themeColor="text1"/>
                <w:sz w:val="20"/>
                <w:szCs w:val="20"/>
                <w:lang w:eastAsia="en-GB"/>
              </w:rPr>
              <w:t>-</w:t>
            </w:r>
            <w:r w:rsidRPr="00267778">
              <w:rPr>
                <w:rFonts w:eastAsia="Times New Roman" w:cstheme="minorHAnsi"/>
                <w:bCs/>
                <w:color w:val="000000" w:themeColor="text1"/>
                <w:sz w:val="20"/>
                <w:szCs w:val="20"/>
                <w:lang w:eastAsia="en-GB"/>
              </w:rPr>
              <w:t>Care Test; CXR, Chest X</w:t>
            </w:r>
            <w:r w:rsidR="00EE2E40">
              <w:rPr>
                <w:rFonts w:eastAsia="Times New Roman" w:cstheme="minorHAnsi"/>
                <w:bCs/>
                <w:color w:val="000000" w:themeColor="text1"/>
                <w:sz w:val="20"/>
                <w:szCs w:val="20"/>
                <w:lang w:eastAsia="en-GB"/>
              </w:rPr>
              <w:t>-</w:t>
            </w:r>
            <w:r w:rsidRPr="00267778">
              <w:rPr>
                <w:rFonts w:eastAsia="Times New Roman" w:cstheme="minorHAnsi"/>
                <w:bCs/>
                <w:color w:val="000000" w:themeColor="text1"/>
                <w:sz w:val="20"/>
                <w:szCs w:val="20"/>
                <w:lang w:eastAsia="en-GB"/>
              </w:rPr>
              <w:t>ray; COPD, Chronic Obstructive Pulmonary Disease</w:t>
            </w:r>
            <w:r>
              <w:rPr>
                <w:rFonts w:eastAsia="Times New Roman" w:cstheme="minorHAnsi"/>
                <w:bCs/>
                <w:color w:val="000000" w:themeColor="text1"/>
                <w:sz w:val="20"/>
                <w:szCs w:val="20"/>
                <w:lang w:eastAsia="en-GB"/>
              </w:rPr>
              <w:t xml:space="preserve">; </w:t>
            </w:r>
            <w:r w:rsidRPr="001B4523">
              <w:rPr>
                <w:rFonts w:eastAsia="Times New Roman" w:cstheme="minorHAnsi"/>
                <w:color w:val="000000"/>
                <w:sz w:val="20"/>
                <w:szCs w:val="20"/>
                <w:lang w:eastAsia="en-GB"/>
              </w:rPr>
              <w:t>LDH, Lactate dehydrogenase</w:t>
            </w:r>
            <w:r>
              <w:rPr>
                <w:rFonts w:eastAsia="Times New Roman" w:cstheme="minorHAnsi"/>
                <w:color w:val="000000"/>
                <w:sz w:val="20"/>
                <w:szCs w:val="20"/>
                <w:lang w:eastAsia="en-GB"/>
              </w:rPr>
              <w:t>;</w:t>
            </w:r>
            <w:r>
              <w:rPr>
                <w:rFonts w:eastAsia="Times New Roman" w:cstheme="minorHAnsi"/>
                <w:bCs/>
                <w:color w:val="000000" w:themeColor="text1"/>
                <w:sz w:val="20"/>
                <w:szCs w:val="20"/>
                <w:lang w:eastAsia="en-GB"/>
              </w:rPr>
              <w:t xml:space="preserve"> NIV, Non-Invasive ventilation; </w:t>
            </w:r>
            <w:r w:rsidRPr="00267778">
              <w:rPr>
                <w:rFonts w:eastAsia="Times New Roman" w:cstheme="minorHAnsi"/>
                <w:bCs/>
                <w:color w:val="000000" w:themeColor="text1"/>
                <w:sz w:val="20"/>
                <w:szCs w:val="20"/>
                <w:lang w:eastAsia="en-GB"/>
              </w:rPr>
              <w:t xml:space="preserve">ICU, intensive care unit. </w:t>
            </w:r>
            <w:r w:rsidRPr="00267778">
              <w:rPr>
                <w:rFonts w:eastAsia="Times New Roman" w:cstheme="minorHAnsi"/>
                <w:bCs/>
                <w:color w:val="000000" w:themeColor="text1"/>
                <w:sz w:val="20"/>
                <w:szCs w:val="20"/>
                <w:vertAlign w:val="superscript"/>
                <w:lang w:eastAsia="en-GB"/>
              </w:rPr>
              <w:t>a</w:t>
            </w:r>
            <w:r w:rsidRPr="00267778">
              <w:rPr>
                <w:rFonts w:eastAsia="Times New Roman" w:cstheme="minorHAnsi"/>
                <w:bCs/>
                <w:color w:val="000000" w:themeColor="text1"/>
                <w:sz w:val="20"/>
                <w:szCs w:val="20"/>
                <w:lang w:eastAsia="en-GB"/>
              </w:rPr>
              <w:t xml:space="preserve">: Comparing both groups, (Fisher Exact, Mann Whitney U); </w:t>
            </w:r>
            <w:r w:rsidRPr="00267778">
              <w:rPr>
                <w:rFonts w:eastAsia="Times New Roman" w:cstheme="minorHAnsi"/>
                <w:bCs/>
                <w:color w:val="000000" w:themeColor="text1"/>
                <w:sz w:val="20"/>
                <w:szCs w:val="20"/>
                <w:vertAlign w:val="superscript"/>
                <w:lang w:eastAsia="en-GB"/>
              </w:rPr>
              <w:t>b</w:t>
            </w:r>
            <w:r w:rsidRPr="00267778">
              <w:rPr>
                <w:rFonts w:eastAsia="Times New Roman" w:cstheme="minorHAnsi"/>
                <w:bCs/>
                <w:color w:val="000000" w:themeColor="text1"/>
                <w:sz w:val="20"/>
                <w:szCs w:val="20"/>
                <w:lang w:eastAsia="en-GB"/>
              </w:rPr>
              <w:t xml:space="preserve">=87; </w:t>
            </w:r>
            <w:r w:rsidRPr="00267778">
              <w:rPr>
                <w:rFonts w:eastAsia="Times New Roman" w:cstheme="minorHAnsi"/>
                <w:bCs/>
                <w:color w:val="000000" w:themeColor="text1"/>
                <w:sz w:val="20"/>
                <w:szCs w:val="20"/>
                <w:vertAlign w:val="superscript"/>
                <w:lang w:eastAsia="en-GB"/>
              </w:rPr>
              <w:t>c</w:t>
            </w:r>
            <w:r w:rsidRPr="00267778">
              <w:rPr>
                <w:rFonts w:eastAsia="Times New Roman" w:cstheme="minorHAnsi"/>
                <w:bCs/>
                <w:color w:val="000000" w:themeColor="text1"/>
                <w:sz w:val="20"/>
                <w:szCs w:val="20"/>
                <w:lang w:eastAsia="en-GB"/>
              </w:rPr>
              <w:t>=95;</w:t>
            </w:r>
            <w:r>
              <w:rPr>
                <w:rFonts w:eastAsia="Times New Roman" w:cstheme="minorHAnsi"/>
                <w:bCs/>
                <w:color w:val="000000" w:themeColor="text1"/>
                <w:sz w:val="20"/>
                <w:szCs w:val="20"/>
                <w:lang w:eastAsia="en-GB"/>
              </w:rPr>
              <w:t xml:space="preserve"> </w:t>
            </w:r>
            <w:r w:rsidRPr="002C1AB0">
              <w:rPr>
                <w:rFonts w:eastAsia="Times New Roman" w:cstheme="minorHAnsi"/>
                <w:bCs/>
                <w:color w:val="000000" w:themeColor="text1"/>
                <w:sz w:val="20"/>
                <w:szCs w:val="20"/>
                <w:vertAlign w:val="superscript"/>
                <w:lang w:eastAsia="en-GB"/>
              </w:rPr>
              <w:t>d</w:t>
            </w:r>
            <w:r>
              <w:rPr>
                <w:rFonts w:eastAsia="Times New Roman" w:cstheme="minorHAnsi"/>
                <w:bCs/>
                <w:color w:val="000000" w:themeColor="text1"/>
                <w:sz w:val="20"/>
                <w:szCs w:val="20"/>
                <w:lang w:eastAsia="en-GB"/>
              </w:rPr>
              <w:t xml:space="preserve">=68; </w:t>
            </w:r>
            <w:r w:rsidRPr="002C1AB0">
              <w:rPr>
                <w:rFonts w:eastAsia="Times New Roman" w:cstheme="minorHAnsi"/>
                <w:bCs/>
                <w:color w:val="000000" w:themeColor="text1"/>
                <w:sz w:val="20"/>
                <w:szCs w:val="20"/>
                <w:vertAlign w:val="superscript"/>
                <w:lang w:eastAsia="en-GB"/>
              </w:rPr>
              <w:t>e</w:t>
            </w:r>
            <w:r>
              <w:rPr>
                <w:rFonts w:eastAsia="Times New Roman" w:cstheme="minorHAnsi"/>
                <w:bCs/>
                <w:color w:val="000000" w:themeColor="text1"/>
                <w:sz w:val="20"/>
                <w:szCs w:val="20"/>
                <w:lang w:eastAsia="en-GB"/>
              </w:rPr>
              <w:t>=60 (excluding d-dimers &lt;2</w:t>
            </w:r>
            <w:r w:rsidR="00EF2800">
              <w:rPr>
                <w:rFonts w:eastAsia="Times New Roman" w:cstheme="minorHAnsi"/>
                <w:bCs/>
                <w:color w:val="000000" w:themeColor="text1"/>
                <w:sz w:val="20"/>
                <w:szCs w:val="20"/>
                <w:lang w:eastAsia="en-GB"/>
              </w:rPr>
              <w:t>30</w:t>
            </w:r>
            <w:r>
              <w:rPr>
                <w:rFonts w:eastAsia="Times New Roman" w:cstheme="minorHAnsi"/>
                <w:bCs/>
                <w:color w:val="000000" w:themeColor="text1"/>
                <w:sz w:val="20"/>
                <w:szCs w:val="20"/>
                <w:lang w:eastAsia="en-GB"/>
              </w:rPr>
              <w:t xml:space="preserve"> or &gt;5000</w:t>
            </w:r>
            <w:r w:rsidR="00AC3072">
              <w:rPr>
                <w:rFonts w:eastAsia="Times New Roman" w:cstheme="minorHAnsi"/>
                <w:bCs/>
                <w:color w:val="000000" w:themeColor="text1"/>
                <w:sz w:val="20"/>
                <w:szCs w:val="20"/>
                <w:lang w:eastAsia="en-GB"/>
              </w:rPr>
              <w:t>)</w:t>
            </w:r>
            <w:r>
              <w:rPr>
                <w:rFonts w:eastAsia="Times New Roman" w:cstheme="minorHAnsi"/>
                <w:bCs/>
                <w:color w:val="000000" w:themeColor="text1"/>
                <w:sz w:val="20"/>
                <w:szCs w:val="20"/>
                <w:lang w:eastAsia="en-GB"/>
              </w:rPr>
              <w:t xml:space="preserve">; </w:t>
            </w:r>
            <w:r w:rsidRPr="00E31168">
              <w:rPr>
                <w:rFonts w:eastAsia="Times New Roman" w:cstheme="minorHAnsi"/>
                <w:bCs/>
                <w:color w:val="000000" w:themeColor="text1"/>
                <w:sz w:val="20"/>
                <w:szCs w:val="20"/>
                <w:vertAlign w:val="superscript"/>
                <w:lang w:eastAsia="en-GB"/>
              </w:rPr>
              <w:t>f</w:t>
            </w:r>
            <w:r>
              <w:rPr>
                <w:rFonts w:eastAsia="Times New Roman" w:cstheme="minorHAnsi"/>
                <w:bCs/>
                <w:color w:val="000000" w:themeColor="text1"/>
                <w:sz w:val="20"/>
                <w:szCs w:val="20"/>
                <w:lang w:eastAsia="en-GB"/>
              </w:rPr>
              <w:t xml:space="preserve">=80; </w:t>
            </w:r>
            <w:r w:rsidRPr="00E31168">
              <w:rPr>
                <w:rFonts w:eastAsia="Times New Roman" w:cstheme="minorHAnsi"/>
                <w:bCs/>
                <w:color w:val="000000" w:themeColor="text1"/>
                <w:sz w:val="20"/>
                <w:szCs w:val="20"/>
                <w:vertAlign w:val="superscript"/>
                <w:lang w:eastAsia="en-GB"/>
              </w:rPr>
              <w:t>g</w:t>
            </w:r>
            <w:r>
              <w:rPr>
                <w:rFonts w:eastAsia="Times New Roman" w:cstheme="minorHAnsi"/>
                <w:bCs/>
                <w:color w:val="000000" w:themeColor="text1"/>
                <w:sz w:val="20"/>
                <w:szCs w:val="20"/>
                <w:lang w:eastAsia="en-GB"/>
              </w:rPr>
              <w:t>=78</w:t>
            </w:r>
            <w:r w:rsidRPr="00E31168">
              <w:rPr>
                <w:rFonts w:eastAsia="Times New Roman" w:cstheme="minorHAnsi"/>
                <w:bCs/>
                <w:color w:val="000000" w:themeColor="text1"/>
                <w:sz w:val="20"/>
                <w:szCs w:val="20"/>
                <w:lang w:eastAsia="en-GB"/>
              </w:rPr>
              <w:t xml:space="preserve">;  </w:t>
            </w:r>
            <w:r w:rsidRPr="00E31168">
              <w:rPr>
                <w:rFonts w:eastAsia="Times New Roman" w:cstheme="minorHAnsi"/>
                <w:bCs/>
                <w:color w:val="000000" w:themeColor="text1"/>
                <w:sz w:val="20"/>
                <w:szCs w:val="20"/>
                <w:vertAlign w:val="superscript"/>
                <w:lang w:eastAsia="en-GB"/>
              </w:rPr>
              <w:t>h</w:t>
            </w:r>
            <w:r w:rsidRPr="00E31168">
              <w:rPr>
                <w:rFonts w:eastAsia="Times New Roman" w:cstheme="minorHAnsi"/>
                <w:bCs/>
                <w:color w:val="000000" w:themeColor="text1"/>
                <w:sz w:val="20"/>
                <w:szCs w:val="20"/>
                <w:lang w:eastAsia="en-GB"/>
              </w:rPr>
              <w:t xml:space="preserve">=83; </w:t>
            </w:r>
            <w:r w:rsidRPr="00E31168">
              <w:rPr>
                <w:rFonts w:eastAsia="Times New Roman" w:cstheme="minorHAnsi"/>
                <w:bCs/>
                <w:color w:val="000000" w:themeColor="text1"/>
                <w:sz w:val="20"/>
                <w:szCs w:val="20"/>
                <w:vertAlign w:val="superscript"/>
                <w:lang w:eastAsia="en-GB"/>
              </w:rPr>
              <w:t>i</w:t>
            </w:r>
            <w:r w:rsidRPr="00E31168">
              <w:rPr>
                <w:rFonts w:eastAsia="Times New Roman" w:cstheme="minorHAnsi"/>
                <w:bCs/>
                <w:color w:val="000000" w:themeColor="text1"/>
                <w:sz w:val="20"/>
                <w:szCs w:val="20"/>
                <w:lang w:eastAsia="en-GB"/>
              </w:rPr>
              <w:t>=26</w:t>
            </w:r>
            <w:r w:rsidR="007A6C99">
              <w:rPr>
                <w:rFonts w:eastAsia="Times New Roman" w:cstheme="minorHAnsi"/>
                <w:bCs/>
                <w:color w:val="000000" w:themeColor="text1"/>
                <w:sz w:val="20"/>
                <w:szCs w:val="20"/>
                <w:lang w:eastAsia="en-GB"/>
              </w:rPr>
              <w:t xml:space="preserve">; </w:t>
            </w:r>
            <w:r w:rsidR="007A6C99" w:rsidRPr="007A6C99">
              <w:rPr>
                <w:rFonts w:eastAsia="Times New Roman" w:cstheme="minorHAnsi"/>
                <w:bCs/>
                <w:color w:val="000000" w:themeColor="text1"/>
                <w:sz w:val="20"/>
                <w:szCs w:val="20"/>
                <w:vertAlign w:val="superscript"/>
                <w:lang w:eastAsia="en-GB"/>
              </w:rPr>
              <w:t>j</w:t>
            </w:r>
            <w:r w:rsidR="007A6C99">
              <w:rPr>
                <w:rFonts w:eastAsia="Times New Roman" w:cstheme="minorHAnsi"/>
                <w:bCs/>
                <w:color w:val="000000" w:themeColor="text1"/>
                <w:sz w:val="20"/>
                <w:szCs w:val="20"/>
                <w:lang w:eastAsia="en-GB"/>
              </w:rPr>
              <w:t>=19</w:t>
            </w:r>
            <w:r w:rsidR="000829B8">
              <w:rPr>
                <w:rFonts w:eastAsia="Times New Roman" w:cstheme="minorHAnsi"/>
                <w:bCs/>
                <w:color w:val="000000" w:themeColor="text1"/>
                <w:sz w:val="20"/>
                <w:szCs w:val="20"/>
                <w:lang w:eastAsia="en-GB"/>
              </w:rPr>
              <w:t>, *excluding those who died.</w:t>
            </w:r>
          </w:p>
          <w:p w14:paraId="5BD836E3" w14:textId="557F08F1" w:rsidR="00391A54" w:rsidRPr="00267778" w:rsidRDefault="00391A54" w:rsidP="00143EF1">
            <w:pPr>
              <w:spacing w:after="0" w:line="240" w:lineRule="auto"/>
              <w:rPr>
                <w:rFonts w:eastAsia="Times New Roman" w:cstheme="minorHAnsi"/>
                <w:color w:val="000000"/>
                <w:sz w:val="20"/>
                <w:szCs w:val="20"/>
                <w:lang w:eastAsia="en-GB"/>
              </w:rPr>
            </w:pPr>
          </w:p>
        </w:tc>
      </w:tr>
    </w:tbl>
    <w:p w14:paraId="115430C7" w14:textId="77777777" w:rsidR="00391A54" w:rsidRDefault="00391A54" w:rsidP="00391A54"/>
    <w:p w14:paraId="5F56D089" w14:textId="77777777" w:rsidR="00391A54" w:rsidRPr="00391A54" w:rsidRDefault="00391A54" w:rsidP="00391A54"/>
    <w:p w14:paraId="18DD1B6C" w14:textId="77777777" w:rsidR="00391A54" w:rsidRDefault="00391A54" w:rsidP="00391A54">
      <w:pPr>
        <w:tabs>
          <w:tab w:val="left" w:pos="1230"/>
        </w:tabs>
        <w:sectPr w:rsidR="00391A54" w:rsidSect="00143EF1">
          <w:pgSz w:w="16838" w:h="11906" w:orient="landscape"/>
          <w:pgMar w:top="1440" w:right="1440" w:bottom="1440" w:left="1440" w:header="708" w:footer="708" w:gutter="0"/>
          <w:cols w:space="708"/>
          <w:docGrid w:linePitch="360"/>
        </w:sectPr>
      </w:pPr>
      <w:r>
        <w:tab/>
      </w:r>
    </w:p>
    <w:p w14:paraId="394AD2C0" w14:textId="0D087379" w:rsidR="00391A54" w:rsidRDefault="00391A54" w:rsidP="00391A54">
      <w:pPr>
        <w:pStyle w:val="Heading1"/>
      </w:pPr>
      <w:r w:rsidRPr="00267778">
        <w:lastRenderedPageBreak/>
        <w:t>Table 3</w:t>
      </w:r>
      <w:r>
        <w:t>.</w:t>
      </w:r>
      <w:r w:rsidRPr="00010808">
        <w:t xml:space="preserve"> </w:t>
      </w:r>
      <w:r w:rsidRPr="00D56D72">
        <w:rPr>
          <w:b w:val="0"/>
        </w:rPr>
        <w:t>Logistic</w:t>
      </w:r>
      <w:r w:rsidRPr="00A75D88">
        <w:rPr>
          <w:b w:val="0"/>
        </w:rPr>
        <w:t xml:space="preserve"> regression analysis for </w:t>
      </w:r>
      <w:r w:rsidR="000A1C68">
        <w:rPr>
          <w:b w:val="0"/>
        </w:rPr>
        <w:t xml:space="preserve">COVID-19 </w:t>
      </w:r>
      <w:r w:rsidRPr="00A75D88">
        <w:rPr>
          <w:b w:val="0"/>
        </w:rPr>
        <w:t>patients (n=185), for in-hospital mortality and ICU admission.</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22"/>
        <w:gridCol w:w="992"/>
        <w:gridCol w:w="2410"/>
        <w:gridCol w:w="850"/>
      </w:tblGrid>
      <w:tr w:rsidR="00391A54" w:rsidRPr="00074A8F" w14:paraId="77FA41AF" w14:textId="77777777" w:rsidTr="00143EF1">
        <w:trPr>
          <w:trHeight w:val="320"/>
        </w:trPr>
        <w:tc>
          <w:tcPr>
            <w:tcW w:w="2640" w:type="dxa"/>
            <w:vMerge w:val="restart"/>
            <w:shd w:val="clear" w:color="auto" w:fill="auto"/>
            <w:noWrap/>
            <w:vAlign w:val="bottom"/>
            <w:hideMark/>
          </w:tcPr>
          <w:p w14:paraId="0683E339" w14:textId="77777777" w:rsidR="00391A54" w:rsidRPr="00074A8F" w:rsidRDefault="00391A54" w:rsidP="00143EF1">
            <w:pPr>
              <w:jc w:val="right"/>
              <w:rPr>
                <w:rFonts w:ascii="Calibri" w:hAnsi="Calibri" w:cs="Calibri"/>
                <w:color w:val="000000"/>
                <w:sz w:val="20"/>
                <w:szCs w:val="20"/>
              </w:rPr>
            </w:pPr>
            <w:r w:rsidRPr="00074A8F">
              <w:rPr>
                <w:rFonts w:ascii="Calibri" w:hAnsi="Calibri" w:cs="Calibri"/>
                <w:color w:val="000000"/>
                <w:sz w:val="20"/>
                <w:szCs w:val="20"/>
              </w:rPr>
              <w:t> </w:t>
            </w:r>
          </w:p>
          <w:p w14:paraId="0CB0C286" w14:textId="77777777" w:rsidR="00391A54" w:rsidRPr="00074A8F" w:rsidRDefault="00391A54" w:rsidP="00143EF1">
            <w:pPr>
              <w:jc w:val="right"/>
              <w:rPr>
                <w:rFonts w:ascii="Calibri" w:hAnsi="Calibri" w:cs="Calibri"/>
                <w:color w:val="000000"/>
                <w:sz w:val="20"/>
                <w:szCs w:val="20"/>
              </w:rPr>
            </w:pPr>
            <w:r w:rsidRPr="00074A8F">
              <w:rPr>
                <w:rFonts w:ascii="Calibri" w:hAnsi="Calibri" w:cs="Calibri"/>
                <w:color w:val="000000"/>
                <w:sz w:val="20"/>
                <w:szCs w:val="20"/>
              </w:rPr>
              <w:t> </w:t>
            </w:r>
          </w:p>
        </w:tc>
        <w:tc>
          <w:tcPr>
            <w:tcW w:w="3314" w:type="dxa"/>
            <w:gridSpan w:val="2"/>
            <w:shd w:val="clear" w:color="auto" w:fill="auto"/>
            <w:noWrap/>
            <w:vAlign w:val="bottom"/>
            <w:hideMark/>
          </w:tcPr>
          <w:p w14:paraId="742346B9" w14:textId="77777777" w:rsidR="00391A54" w:rsidRPr="007121D1" w:rsidRDefault="00391A54" w:rsidP="00143EF1">
            <w:pPr>
              <w:jc w:val="center"/>
              <w:rPr>
                <w:rFonts w:ascii="Calibri" w:hAnsi="Calibri" w:cs="Calibri"/>
                <w:b/>
                <w:bCs/>
                <w:color w:val="000000"/>
                <w:sz w:val="20"/>
                <w:szCs w:val="20"/>
              </w:rPr>
            </w:pPr>
            <w:r w:rsidRPr="007121D1">
              <w:rPr>
                <w:rFonts w:ascii="Calibri" w:hAnsi="Calibri" w:cs="Calibri"/>
                <w:b/>
                <w:bCs/>
                <w:color w:val="000000"/>
                <w:sz w:val="20"/>
                <w:szCs w:val="20"/>
              </w:rPr>
              <w:t>In-hospital mortalit</w:t>
            </w:r>
            <w:r>
              <w:rPr>
                <w:rFonts w:ascii="Calibri" w:hAnsi="Calibri" w:cs="Calibri"/>
                <w:b/>
                <w:bCs/>
                <w:color w:val="000000"/>
                <w:sz w:val="20"/>
                <w:szCs w:val="20"/>
              </w:rPr>
              <w:t xml:space="preserve">y </w:t>
            </w:r>
          </w:p>
        </w:tc>
        <w:tc>
          <w:tcPr>
            <w:tcW w:w="3260" w:type="dxa"/>
            <w:gridSpan w:val="2"/>
            <w:shd w:val="clear" w:color="auto" w:fill="auto"/>
            <w:noWrap/>
            <w:vAlign w:val="bottom"/>
            <w:hideMark/>
          </w:tcPr>
          <w:p w14:paraId="085D2251" w14:textId="77777777" w:rsidR="00391A54" w:rsidRPr="007121D1" w:rsidRDefault="00391A54" w:rsidP="00143EF1">
            <w:pPr>
              <w:jc w:val="center"/>
              <w:rPr>
                <w:rFonts w:ascii="Calibri" w:hAnsi="Calibri" w:cs="Calibri"/>
                <w:b/>
                <w:bCs/>
                <w:color w:val="000000"/>
                <w:sz w:val="20"/>
                <w:szCs w:val="20"/>
              </w:rPr>
            </w:pPr>
            <w:r>
              <w:rPr>
                <w:rFonts w:ascii="Calibri" w:hAnsi="Calibri" w:cs="Calibri"/>
                <w:b/>
                <w:bCs/>
                <w:color w:val="000000"/>
                <w:sz w:val="20"/>
                <w:szCs w:val="20"/>
              </w:rPr>
              <w:t xml:space="preserve">ICU admission </w:t>
            </w:r>
          </w:p>
        </w:tc>
      </w:tr>
      <w:tr w:rsidR="00391A54" w:rsidRPr="00074A8F" w14:paraId="666A5023" w14:textId="77777777" w:rsidTr="00143EF1">
        <w:trPr>
          <w:trHeight w:val="320"/>
        </w:trPr>
        <w:tc>
          <w:tcPr>
            <w:tcW w:w="2640" w:type="dxa"/>
            <w:vMerge/>
            <w:shd w:val="clear" w:color="auto" w:fill="auto"/>
            <w:noWrap/>
            <w:vAlign w:val="bottom"/>
            <w:hideMark/>
          </w:tcPr>
          <w:p w14:paraId="56B6C29F" w14:textId="77777777" w:rsidR="00391A54" w:rsidRPr="00074A8F" w:rsidRDefault="00391A54" w:rsidP="00143EF1">
            <w:pPr>
              <w:jc w:val="right"/>
              <w:rPr>
                <w:rFonts w:ascii="Calibri" w:hAnsi="Calibri" w:cs="Calibri"/>
                <w:color w:val="000000"/>
                <w:sz w:val="20"/>
                <w:szCs w:val="20"/>
              </w:rPr>
            </w:pPr>
          </w:p>
        </w:tc>
        <w:tc>
          <w:tcPr>
            <w:tcW w:w="2322" w:type="dxa"/>
            <w:shd w:val="clear" w:color="auto" w:fill="auto"/>
            <w:noWrap/>
            <w:vAlign w:val="bottom"/>
            <w:hideMark/>
          </w:tcPr>
          <w:p w14:paraId="3C5524E7" w14:textId="77777777" w:rsidR="00391A54" w:rsidRPr="00074A8F" w:rsidRDefault="00391A54" w:rsidP="00143EF1">
            <w:pPr>
              <w:jc w:val="center"/>
              <w:rPr>
                <w:rFonts w:ascii="Calibri" w:hAnsi="Calibri" w:cs="Calibri"/>
                <w:color w:val="000000"/>
                <w:sz w:val="20"/>
                <w:szCs w:val="20"/>
              </w:rPr>
            </w:pPr>
            <w:proofErr w:type="spellStart"/>
            <w:r w:rsidRPr="00074A8F">
              <w:rPr>
                <w:rFonts w:ascii="Calibri" w:hAnsi="Calibri" w:cs="Calibri"/>
                <w:color w:val="000000"/>
                <w:sz w:val="20"/>
                <w:szCs w:val="20"/>
              </w:rPr>
              <w:t>aOR</w:t>
            </w:r>
            <w:proofErr w:type="spellEnd"/>
            <w:r w:rsidRPr="00074A8F">
              <w:rPr>
                <w:rFonts w:ascii="Calibri" w:hAnsi="Calibri" w:cs="Calibri"/>
                <w:color w:val="000000"/>
                <w:sz w:val="20"/>
                <w:szCs w:val="20"/>
              </w:rPr>
              <w:t xml:space="preserve"> (</w:t>
            </w:r>
            <w:r>
              <w:rPr>
                <w:rFonts w:ascii="Calibri" w:hAnsi="Calibri" w:cs="Calibri"/>
                <w:color w:val="000000"/>
                <w:sz w:val="20"/>
                <w:szCs w:val="20"/>
              </w:rPr>
              <w:t xml:space="preserve">95% </w:t>
            </w:r>
            <w:r w:rsidRPr="00074A8F">
              <w:rPr>
                <w:rFonts w:ascii="Calibri" w:hAnsi="Calibri" w:cs="Calibri"/>
                <w:color w:val="000000"/>
                <w:sz w:val="20"/>
                <w:szCs w:val="20"/>
              </w:rPr>
              <w:t>CI)</w:t>
            </w:r>
          </w:p>
        </w:tc>
        <w:tc>
          <w:tcPr>
            <w:tcW w:w="992" w:type="dxa"/>
            <w:shd w:val="clear" w:color="auto" w:fill="auto"/>
            <w:noWrap/>
            <w:vAlign w:val="bottom"/>
            <w:hideMark/>
          </w:tcPr>
          <w:p w14:paraId="29759546"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p-value</w:t>
            </w:r>
          </w:p>
        </w:tc>
        <w:tc>
          <w:tcPr>
            <w:tcW w:w="2410" w:type="dxa"/>
            <w:shd w:val="clear" w:color="auto" w:fill="auto"/>
            <w:noWrap/>
            <w:vAlign w:val="bottom"/>
            <w:hideMark/>
          </w:tcPr>
          <w:p w14:paraId="1EEC72BA" w14:textId="77777777" w:rsidR="00391A54" w:rsidRPr="00074A8F" w:rsidRDefault="00391A54" w:rsidP="00143EF1">
            <w:pPr>
              <w:jc w:val="center"/>
              <w:rPr>
                <w:rFonts w:ascii="Calibri" w:hAnsi="Calibri" w:cs="Calibri"/>
                <w:color w:val="000000"/>
                <w:sz w:val="20"/>
                <w:szCs w:val="20"/>
              </w:rPr>
            </w:pPr>
            <w:proofErr w:type="spellStart"/>
            <w:r w:rsidRPr="00074A8F">
              <w:rPr>
                <w:rFonts w:ascii="Calibri" w:hAnsi="Calibri" w:cs="Calibri"/>
                <w:color w:val="000000"/>
                <w:sz w:val="20"/>
                <w:szCs w:val="20"/>
              </w:rPr>
              <w:t>aOR</w:t>
            </w:r>
            <w:proofErr w:type="spellEnd"/>
            <w:r w:rsidRPr="00074A8F">
              <w:rPr>
                <w:rFonts w:ascii="Calibri" w:hAnsi="Calibri" w:cs="Calibri"/>
                <w:color w:val="000000"/>
                <w:sz w:val="20"/>
                <w:szCs w:val="20"/>
              </w:rPr>
              <w:t xml:space="preserve"> (</w:t>
            </w:r>
            <w:r>
              <w:rPr>
                <w:rFonts w:ascii="Calibri" w:hAnsi="Calibri" w:cs="Calibri"/>
                <w:color w:val="000000"/>
                <w:sz w:val="20"/>
                <w:szCs w:val="20"/>
              </w:rPr>
              <w:t xml:space="preserve">95% </w:t>
            </w:r>
            <w:r w:rsidRPr="00074A8F">
              <w:rPr>
                <w:rFonts w:ascii="Calibri" w:hAnsi="Calibri" w:cs="Calibri"/>
                <w:color w:val="000000"/>
                <w:sz w:val="20"/>
                <w:szCs w:val="20"/>
              </w:rPr>
              <w:t>CI)</w:t>
            </w:r>
          </w:p>
        </w:tc>
        <w:tc>
          <w:tcPr>
            <w:tcW w:w="850" w:type="dxa"/>
            <w:shd w:val="clear" w:color="auto" w:fill="auto"/>
            <w:noWrap/>
            <w:vAlign w:val="bottom"/>
            <w:hideMark/>
          </w:tcPr>
          <w:p w14:paraId="6FFA0A4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p-value</w:t>
            </w:r>
          </w:p>
        </w:tc>
      </w:tr>
      <w:tr w:rsidR="00391A54" w:rsidRPr="00074A8F" w14:paraId="4EC575AF" w14:textId="77777777" w:rsidTr="00143EF1">
        <w:trPr>
          <w:trHeight w:val="320"/>
        </w:trPr>
        <w:tc>
          <w:tcPr>
            <w:tcW w:w="2640" w:type="dxa"/>
            <w:shd w:val="clear" w:color="auto" w:fill="auto"/>
            <w:noWrap/>
            <w:vAlign w:val="bottom"/>
          </w:tcPr>
          <w:p w14:paraId="17914E05"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Age</w:t>
            </w:r>
            <w:r>
              <w:rPr>
                <w:rFonts w:ascii="Calibri" w:hAnsi="Calibri" w:cs="Calibri"/>
                <w:color w:val="000000"/>
                <w:sz w:val="20"/>
                <w:szCs w:val="20"/>
              </w:rPr>
              <w:t xml:space="preserve"> (</w:t>
            </w:r>
            <w:r w:rsidRPr="004245EA">
              <w:rPr>
                <w:rFonts w:ascii="Calibri" w:hAnsi="Calibri" w:cs="Calibri"/>
                <w:color w:val="000000"/>
                <w:sz w:val="20"/>
                <w:szCs w:val="20"/>
              </w:rPr>
              <w:t>years</w:t>
            </w:r>
            <w:r>
              <w:rPr>
                <w:rFonts w:ascii="Calibri" w:hAnsi="Calibri" w:cs="Calibri"/>
                <w:color w:val="000000"/>
                <w:sz w:val="20"/>
                <w:szCs w:val="20"/>
              </w:rPr>
              <w:t>)</w:t>
            </w:r>
          </w:p>
        </w:tc>
        <w:tc>
          <w:tcPr>
            <w:tcW w:w="2322" w:type="dxa"/>
            <w:shd w:val="clear" w:color="auto" w:fill="auto"/>
            <w:noWrap/>
            <w:vAlign w:val="bottom"/>
          </w:tcPr>
          <w:p w14:paraId="3C6AE098"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1.1</w:t>
            </w:r>
            <w:r>
              <w:rPr>
                <w:rFonts w:ascii="Calibri" w:hAnsi="Calibri" w:cs="Calibri"/>
                <w:color w:val="000000"/>
                <w:sz w:val="20"/>
                <w:szCs w:val="20"/>
              </w:rPr>
              <w:t>6</w:t>
            </w:r>
            <w:r w:rsidRPr="00074A8F">
              <w:rPr>
                <w:rFonts w:ascii="Calibri" w:hAnsi="Calibri" w:cs="Calibri"/>
                <w:color w:val="000000"/>
                <w:sz w:val="20"/>
                <w:szCs w:val="20"/>
              </w:rPr>
              <w:t xml:space="preserve"> (1.07-1.2</w:t>
            </w:r>
            <w:r>
              <w:rPr>
                <w:rFonts w:ascii="Calibri" w:hAnsi="Calibri" w:cs="Calibri"/>
                <w:color w:val="000000"/>
                <w:sz w:val="20"/>
                <w:szCs w:val="20"/>
              </w:rPr>
              <w:t>8</w:t>
            </w:r>
            <w:r w:rsidRPr="00074A8F">
              <w:rPr>
                <w:rFonts w:ascii="Calibri" w:hAnsi="Calibri" w:cs="Calibri"/>
                <w:color w:val="000000"/>
                <w:sz w:val="20"/>
                <w:szCs w:val="20"/>
              </w:rPr>
              <w:t>)</w:t>
            </w:r>
          </w:p>
        </w:tc>
        <w:tc>
          <w:tcPr>
            <w:tcW w:w="992" w:type="dxa"/>
            <w:shd w:val="clear" w:color="auto" w:fill="auto"/>
            <w:noWrap/>
            <w:vAlign w:val="bottom"/>
          </w:tcPr>
          <w:p w14:paraId="6B370BB2" w14:textId="77777777" w:rsidR="00391A54" w:rsidRPr="004A6A62" w:rsidRDefault="00391A54" w:rsidP="00143EF1">
            <w:pPr>
              <w:jc w:val="center"/>
              <w:rPr>
                <w:rFonts w:ascii="Calibri" w:hAnsi="Calibri" w:cs="Calibri"/>
                <w:b/>
                <w:bCs/>
                <w:sz w:val="20"/>
                <w:szCs w:val="20"/>
              </w:rPr>
            </w:pPr>
            <w:r w:rsidRPr="004A6A62">
              <w:rPr>
                <w:rFonts w:ascii="Calibri" w:hAnsi="Calibri" w:cs="Calibri"/>
                <w:b/>
                <w:bCs/>
                <w:sz w:val="20"/>
                <w:szCs w:val="20"/>
              </w:rPr>
              <w:t>0.001</w:t>
            </w:r>
          </w:p>
        </w:tc>
        <w:tc>
          <w:tcPr>
            <w:tcW w:w="2410" w:type="dxa"/>
            <w:shd w:val="clear" w:color="auto" w:fill="auto"/>
            <w:noWrap/>
            <w:vAlign w:val="bottom"/>
          </w:tcPr>
          <w:p w14:paraId="39C89BC2"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0.9</w:t>
            </w:r>
            <w:r>
              <w:rPr>
                <w:rFonts w:ascii="Calibri" w:hAnsi="Calibri" w:cs="Calibri"/>
                <w:color w:val="000000"/>
                <w:sz w:val="20"/>
                <w:szCs w:val="20"/>
              </w:rPr>
              <w:t>6</w:t>
            </w:r>
            <w:r w:rsidRPr="00074A8F">
              <w:rPr>
                <w:rFonts w:ascii="Calibri" w:hAnsi="Calibri" w:cs="Calibri"/>
                <w:color w:val="000000"/>
                <w:sz w:val="20"/>
                <w:szCs w:val="20"/>
              </w:rPr>
              <w:t xml:space="preserve"> (0.9</w:t>
            </w:r>
            <w:r>
              <w:rPr>
                <w:rFonts w:ascii="Calibri" w:hAnsi="Calibri" w:cs="Calibri"/>
                <w:color w:val="000000"/>
                <w:sz w:val="20"/>
                <w:szCs w:val="20"/>
              </w:rPr>
              <w:t>2</w:t>
            </w:r>
            <w:r w:rsidRPr="00074A8F">
              <w:rPr>
                <w:rFonts w:ascii="Calibri" w:hAnsi="Calibri" w:cs="Calibri"/>
                <w:color w:val="000000"/>
                <w:sz w:val="20"/>
                <w:szCs w:val="20"/>
              </w:rPr>
              <w:t>-</w:t>
            </w:r>
            <w:r>
              <w:rPr>
                <w:rFonts w:ascii="Calibri" w:hAnsi="Calibri" w:cs="Calibri"/>
                <w:color w:val="000000"/>
                <w:sz w:val="20"/>
                <w:szCs w:val="20"/>
              </w:rPr>
              <w:t>1.00</w:t>
            </w:r>
            <w:r w:rsidRPr="00074A8F">
              <w:rPr>
                <w:rFonts w:ascii="Calibri" w:hAnsi="Calibri" w:cs="Calibri"/>
                <w:color w:val="000000"/>
                <w:sz w:val="20"/>
                <w:szCs w:val="20"/>
              </w:rPr>
              <w:t>)</w:t>
            </w:r>
          </w:p>
        </w:tc>
        <w:tc>
          <w:tcPr>
            <w:tcW w:w="850" w:type="dxa"/>
            <w:shd w:val="clear" w:color="auto" w:fill="auto"/>
            <w:noWrap/>
            <w:vAlign w:val="bottom"/>
          </w:tcPr>
          <w:p w14:paraId="600C3120"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b/>
                <w:bCs/>
                <w:sz w:val="20"/>
                <w:szCs w:val="20"/>
              </w:rPr>
              <w:t>0.042</w:t>
            </w:r>
          </w:p>
        </w:tc>
      </w:tr>
      <w:tr w:rsidR="00391A54" w:rsidRPr="00074A8F" w14:paraId="426B2C82" w14:textId="77777777" w:rsidTr="00143EF1">
        <w:trPr>
          <w:trHeight w:val="320"/>
        </w:trPr>
        <w:tc>
          <w:tcPr>
            <w:tcW w:w="2640" w:type="dxa"/>
            <w:shd w:val="clear" w:color="auto" w:fill="auto"/>
            <w:noWrap/>
            <w:vAlign w:val="bottom"/>
          </w:tcPr>
          <w:p w14:paraId="0840AB58" w14:textId="77777777" w:rsidR="00391A54" w:rsidRPr="004245EA" w:rsidRDefault="00391A54" w:rsidP="00143EF1">
            <w:pPr>
              <w:rPr>
                <w:rFonts w:ascii="Calibri" w:hAnsi="Calibri" w:cs="Calibri"/>
                <w:color w:val="000000"/>
                <w:sz w:val="20"/>
                <w:szCs w:val="20"/>
              </w:rPr>
            </w:pPr>
            <w:r w:rsidRPr="00220F58">
              <w:rPr>
                <w:rFonts w:ascii="Calibri" w:hAnsi="Calibri" w:cs="Calibri"/>
                <w:color w:val="000000"/>
                <w:sz w:val="20"/>
                <w:szCs w:val="20"/>
              </w:rPr>
              <w:t>BAME Ethnicity</w:t>
            </w:r>
          </w:p>
        </w:tc>
        <w:tc>
          <w:tcPr>
            <w:tcW w:w="2322" w:type="dxa"/>
            <w:shd w:val="clear" w:color="auto" w:fill="auto"/>
            <w:noWrap/>
            <w:vAlign w:val="bottom"/>
          </w:tcPr>
          <w:p w14:paraId="33FA109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0.64 (0.04-6.05)</w:t>
            </w:r>
          </w:p>
        </w:tc>
        <w:tc>
          <w:tcPr>
            <w:tcW w:w="992" w:type="dxa"/>
            <w:shd w:val="clear" w:color="auto" w:fill="auto"/>
            <w:noWrap/>
            <w:vAlign w:val="bottom"/>
          </w:tcPr>
          <w:p w14:paraId="1B5BE8A5" w14:textId="77777777" w:rsidR="00391A54" w:rsidRPr="004A6A62" w:rsidRDefault="00391A54" w:rsidP="00143EF1">
            <w:pPr>
              <w:jc w:val="center"/>
              <w:rPr>
                <w:rFonts w:ascii="Calibri" w:hAnsi="Calibri" w:cs="Calibri"/>
                <w:b/>
                <w:bCs/>
                <w:sz w:val="20"/>
                <w:szCs w:val="20"/>
              </w:rPr>
            </w:pPr>
            <w:r w:rsidRPr="004A6A62">
              <w:rPr>
                <w:rFonts w:ascii="Calibri" w:hAnsi="Calibri" w:cs="Calibri"/>
                <w:sz w:val="20"/>
                <w:szCs w:val="20"/>
              </w:rPr>
              <w:t>0.718</w:t>
            </w:r>
          </w:p>
        </w:tc>
        <w:tc>
          <w:tcPr>
            <w:tcW w:w="2410" w:type="dxa"/>
            <w:shd w:val="clear" w:color="auto" w:fill="auto"/>
            <w:noWrap/>
            <w:vAlign w:val="bottom"/>
          </w:tcPr>
          <w:p w14:paraId="2FF8CFB8"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1.65 (0.4</w:t>
            </w:r>
            <w:r>
              <w:rPr>
                <w:rFonts w:ascii="Calibri" w:hAnsi="Calibri" w:cs="Calibri"/>
                <w:color w:val="000000"/>
                <w:sz w:val="20"/>
                <w:szCs w:val="20"/>
              </w:rPr>
              <w:t>8</w:t>
            </w:r>
            <w:r w:rsidRPr="00074A8F">
              <w:rPr>
                <w:rFonts w:ascii="Calibri" w:hAnsi="Calibri" w:cs="Calibri"/>
                <w:color w:val="000000"/>
                <w:sz w:val="20"/>
                <w:szCs w:val="20"/>
              </w:rPr>
              <w:t>-5.62)</w:t>
            </w:r>
          </w:p>
        </w:tc>
        <w:tc>
          <w:tcPr>
            <w:tcW w:w="850" w:type="dxa"/>
            <w:shd w:val="clear" w:color="auto" w:fill="auto"/>
            <w:noWrap/>
            <w:vAlign w:val="bottom"/>
          </w:tcPr>
          <w:p w14:paraId="77458E26" w14:textId="77777777" w:rsidR="00391A54" w:rsidRPr="004A6A62" w:rsidRDefault="00391A54" w:rsidP="00143EF1">
            <w:pPr>
              <w:jc w:val="center"/>
              <w:rPr>
                <w:rFonts w:ascii="Calibri" w:hAnsi="Calibri" w:cs="Calibri"/>
                <w:b/>
                <w:bCs/>
                <w:sz w:val="20"/>
                <w:szCs w:val="20"/>
              </w:rPr>
            </w:pPr>
            <w:r w:rsidRPr="00074A8F">
              <w:rPr>
                <w:rFonts w:ascii="Calibri" w:hAnsi="Calibri" w:cs="Calibri"/>
                <w:color w:val="000000"/>
                <w:sz w:val="20"/>
                <w:szCs w:val="20"/>
              </w:rPr>
              <w:t>0.419</w:t>
            </w:r>
          </w:p>
        </w:tc>
      </w:tr>
      <w:tr w:rsidR="00391A54" w:rsidRPr="00074A8F" w14:paraId="611937C1" w14:textId="77777777" w:rsidTr="00143EF1">
        <w:trPr>
          <w:trHeight w:val="320"/>
        </w:trPr>
        <w:tc>
          <w:tcPr>
            <w:tcW w:w="2640" w:type="dxa"/>
            <w:shd w:val="clear" w:color="auto" w:fill="auto"/>
            <w:noWrap/>
            <w:vAlign w:val="bottom"/>
          </w:tcPr>
          <w:p w14:paraId="249755DD"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Cardiovascular disease</w:t>
            </w:r>
          </w:p>
        </w:tc>
        <w:tc>
          <w:tcPr>
            <w:tcW w:w="2322" w:type="dxa"/>
            <w:shd w:val="clear" w:color="auto" w:fill="auto"/>
            <w:noWrap/>
            <w:vAlign w:val="bottom"/>
          </w:tcPr>
          <w:p w14:paraId="5CC5C292"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4.80</w:t>
            </w:r>
            <w:r>
              <w:rPr>
                <w:rFonts w:ascii="Calibri" w:hAnsi="Calibri" w:cs="Calibri"/>
                <w:color w:val="000000"/>
                <w:sz w:val="20"/>
                <w:szCs w:val="20"/>
              </w:rPr>
              <w:t xml:space="preserve"> (1.44</w:t>
            </w:r>
            <w:r w:rsidRPr="00074A8F">
              <w:rPr>
                <w:rFonts w:ascii="Calibri" w:hAnsi="Calibri" w:cs="Calibri"/>
                <w:color w:val="000000"/>
                <w:sz w:val="20"/>
                <w:szCs w:val="20"/>
              </w:rPr>
              <w:t>-18.52)</w:t>
            </w:r>
          </w:p>
        </w:tc>
        <w:tc>
          <w:tcPr>
            <w:tcW w:w="992" w:type="dxa"/>
            <w:shd w:val="clear" w:color="auto" w:fill="auto"/>
            <w:noWrap/>
            <w:vAlign w:val="bottom"/>
          </w:tcPr>
          <w:p w14:paraId="29C6393A" w14:textId="77777777" w:rsidR="00391A54" w:rsidRPr="004A6A62" w:rsidRDefault="00391A54" w:rsidP="00143EF1">
            <w:pPr>
              <w:jc w:val="center"/>
              <w:rPr>
                <w:rFonts w:ascii="Calibri" w:hAnsi="Calibri" w:cs="Calibri"/>
                <w:b/>
                <w:bCs/>
                <w:sz w:val="20"/>
                <w:szCs w:val="20"/>
              </w:rPr>
            </w:pPr>
            <w:r w:rsidRPr="004A6A62">
              <w:rPr>
                <w:rFonts w:ascii="Calibri" w:hAnsi="Calibri" w:cs="Calibri"/>
                <w:b/>
                <w:bCs/>
                <w:sz w:val="20"/>
                <w:szCs w:val="20"/>
              </w:rPr>
              <w:t>0.014</w:t>
            </w:r>
          </w:p>
        </w:tc>
        <w:tc>
          <w:tcPr>
            <w:tcW w:w="2410" w:type="dxa"/>
            <w:shd w:val="clear" w:color="auto" w:fill="auto"/>
            <w:noWrap/>
            <w:vAlign w:val="bottom"/>
          </w:tcPr>
          <w:p w14:paraId="348E25E9" w14:textId="01E04352" w:rsidR="00391A54" w:rsidRPr="00074A8F" w:rsidRDefault="00DD0EEC" w:rsidP="00143EF1">
            <w:pPr>
              <w:jc w:val="center"/>
              <w:rPr>
                <w:rFonts w:ascii="Calibri" w:hAnsi="Calibri" w:cs="Calibri"/>
                <w:color w:val="000000"/>
                <w:sz w:val="20"/>
                <w:szCs w:val="20"/>
              </w:rPr>
            </w:pPr>
            <w:r>
              <w:rPr>
                <w:rFonts w:ascii="Calibri" w:hAnsi="Calibri" w:cs="Calibri"/>
                <w:color w:val="000000"/>
                <w:sz w:val="20"/>
                <w:szCs w:val="20"/>
              </w:rPr>
              <w:t>1.00</w:t>
            </w:r>
            <w:r w:rsidR="00391A54" w:rsidRPr="00074A8F">
              <w:rPr>
                <w:rFonts w:ascii="Calibri" w:hAnsi="Calibri" w:cs="Calibri"/>
                <w:color w:val="000000"/>
                <w:sz w:val="20"/>
                <w:szCs w:val="20"/>
              </w:rPr>
              <w:t xml:space="preserve"> (0.24</w:t>
            </w:r>
            <w:r w:rsidR="00391A54">
              <w:rPr>
                <w:rFonts w:ascii="Calibri" w:hAnsi="Calibri" w:cs="Calibri"/>
                <w:color w:val="000000"/>
                <w:sz w:val="20"/>
                <w:szCs w:val="20"/>
              </w:rPr>
              <w:t>-3.79</w:t>
            </w:r>
            <w:r w:rsidR="00391A54" w:rsidRPr="00074A8F">
              <w:rPr>
                <w:rFonts w:ascii="Calibri" w:hAnsi="Calibri" w:cs="Calibri"/>
                <w:color w:val="000000"/>
                <w:sz w:val="20"/>
                <w:szCs w:val="20"/>
              </w:rPr>
              <w:t>)</w:t>
            </w:r>
          </w:p>
        </w:tc>
        <w:tc>
          <w:tcPr>
            <w:tcW w:w="850" w:type="dxa"/>
            <w:shd w:val="clear" w:color="auto" w:fill="auto"/>
            <w:noWrap/>
            <w:vAlign w:val="bottom"/>
          </w:tcPr>
          <w:p w14:paraId="4C512C31" w14:textId="77777777" w:rsidR="00391A54" w:rsidRPr="004A6A62" w:rsidRDefault="00391A54" w:rsidP="00143EF1">
            <w:pPr>
              <w:jc w:val="center"/>
              <w:rPr>
                <w:rFonts w:ascii="Calibri" w:hAnsi="Calibri" w:cs="Calibri"/>
                <w:b/>
                <w:bCs/>
                <w:sz w:val="20"/>
                <w:szCs w:val="20"/>
              </w:rPr>
            </w:pPr>
            <w:r w:rsidRPr="00074A8F">
              <w:rPr>
                <w:rFonts w:ascii="Calibri" w:hAnsi="Calibri" w:cs="Calibri"/>
                <w:color w:val="000000"/>
                <w:sz w:val="20"/>
                <w:szCs w:val="20"/>
              </w:rPr>
              <w:t>0.99</w:t>
            </w:r>
            <w:r>
              <w:rPr>
                <w:rFonts w:ascii="Calibri" w:hAnsi="Calibri" w:cs="Calibri"/>
                <w:color w:val="000000"/>
                <w:sz w:val="20"/>
                <w:szCs w:val="20"/>
              </w:rPr>
              <w:t>7</w:t>
            </w:r>
          </w:p>
        </w:tc>
      </w:tr>
      <w:tr w:rsidR="00391A54" w:rsidRPr="00074A8F" w14:paraId="6A88D1ED" w14:textId="77777777" w:rsidTr="00143EF1">
        <w:trPr>
          <w:trHeight w:val="320"/>
        </w:trPr>
        <w:tc>
          <w:tcPr>
            <w:tcW w:w="2640" w:type="dxa"/>
            <w:shd w:val="clear" w:color="auto" w:fill="auto"/>
            <w:noWrap/>
            <w:vAlign w:val="bottom"/>
          </w:tcPr>
          <w:p w14:paraId="1F7CCCCB"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Asthma</w:t>
            </w:r>
          </w:p>
        </w:tc>
        <w:tc>
          <w:tcPr>
            <w:tcW w:w="2322" w:type="dxa"/>
            <w:shd w:val="clear" w:color="auto" w:fill="auto"/>
            <w:noWrap/>
            <w:vAlign w:val="bottom"/>
          </w:tcPr>
          <w:p w14:paraId="11C94DE2"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1.08 (0.1</w:t>
            </w:r>
            <w:r>
              <w:rPr>
                <w:rFonts w:ascii="Calibri" w:hAnsi="Calibri" w:cs="Calibri"/>
                <w:color w:val="000000"/>
                <w:sz w:val="20"/>
                <w:szCs w:val="20"/>
              </w:rPr>
              <w:t>8</w:t>
            </w:r>
            <w:r w:rsidRPr="00074A8F">
              <w:rPr>
                <w:rFonts w:ascii="Calibri" w:hAnsi="Calibri" w:cs="Calibri"/>
                <w:color w:val="000000"/>
                <w:sz w:val="20"/>
                <w:szCs w:val="20"/>
              </w:rPr>
              <w:t>-6.23)</w:t>
            </w:r>
          </w:p>
        </w:tc>
        <w:tc>
          <w:tcPr>
            <w:tcW w:w="992" w:type="dxa"/>
            <w:shd w:val="clear" w:color="auto" w:fill="auto"/>
            <w:noWrap/>
            <w:vAlign w:val="bottom"/>
          </w:tcPr>
          <w:p w14:paraId="72BD8B2D" w14:textId="77777777" w:rsidR="00391A54" w:rsidRPr="004A6A62" w:rsidRDefault="00391A54" w:rsidP="00143EF1">
            <w:pPr>
              <w:jc w:val="center"/>
              <w:rPr>
                <w:rFonts w:ascii="Calibri" w:hAnsi="Calibri" w:cs="Calibri"/>
                <w:sz w:val="20"/>
                <w:szCs w:val="20"/>
              </w:rPr>
            </w:pPr>
            <w:r w:rsidRPr="004A6A62">
              <w:rPr>
                <w:rFonts w:ascii="Calibri" w:hAnsi="Calibri" w:cs="Calibri"/>
                <w:sz w:val="20"/>
                <w:szCs w:val="20"/>
              </w:rPr>
              <w:t>0.92</w:t>
            </w:r>
            <w:r>
              <w:rPr>
                <w:rFonts w:ascii="Calibri" w:hAnsi="Calibri" w:cs="Calibri"/>
                <w:sz w:val="20"/>
                <w:szCs w:val="20"/>
              </w:rPr>
              <w:t>9</w:t>
            </w:r>
          </w:p>
        </w:tc>
        <w:tc>
          <w:tcPr>
            <w:tcW w:w="2410" w:type="dxa"/>
            <w:shd w:val="clear" w:color="auto" w:fill="auto"/>
            <w:noWrap/>
            <w:vAlign w:val="bottom"/>
          </w:tcPr>
          <w:p w14:paraId="6C912067"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1.5</w:t>
            </w:r>
            <w:r>
              <w:rPr>
                <w:rFonts w:ascii="Calibri" w:hAnsi="Calibri" w:cs="Calibri"/>
                <w:color w:val="000000"/>
                <w:sz w:val="20"/>
                <w:szCs w:val="20"/>
              </w:rPr>
              <w:t>8</w:t>
            </w:r>
            <w:r w:rsidRPr="00074A8F">
              <w:rPr>
                <w:rFonts w:ascii="Calibri" w:hAnsi="Calibri" w:cs="Calibri"/>
                <w:color w:val="000000"/>
                <w:sz w:val="20"/>
                <w:szCs w:val="20"/>
              </w:rPr>
              <w:t xml:space="preserve"> (0.3</w:t>
            </w:r>
            <w:r>
              <w:rPr>
                <w:rFonts w:ascii="Calibri" w:hAnsi="Calibri" w:cs="Calibri"/>
                <w:color w:val="000000"/>
                <w:sz w:val="20"/>
                <w:szCs w:val="20"/>
              </w:rPr>
              <w:t>8</w:t>
            </w:r>
            <w:r w:rsidRPr="00074A8F">
              <w:rPr>
                <w:rFonts w:ascii="Calibri" w:hAnsi="Calibri" w:cs="Calibri"/>
                <w:color w:val="000000"/>
                <w:sz w:val="20"/>
                <w:szCs w:val="20"/>
              </w:rPr>
              <w:t>-</w:t>
            </w:r>
            <w:r>
              <w:rPr>
                <w:rFonts w:ascii="Calibri" w:hAnsi="Calibri" w:cs="Calibri"/>
                <w:color w:val="000000"/>
                <w:sz w:val="20"/>
                <w:szCs w:val="20"/>
              </w:rPr>
              <w:t>6.00</w:t>
            </w:r>
            <w:r w:rsidRPr="00074A8F">
              <w:rPr>
                <w:rFonts w:ascii="Calibri" w:hAnsi="Calibri" w:cs="Calibri"/>
                <w:color w:val="000000"/>
                <w:sz w:val="20"/>
                <w:szCs w:val="20"/>
              </w:rPr>
              <w:t>)</w:t>
            </w:r>
          </w:p>
        </w:tc>
        <w:tc>
          <w:tcPr>
            <w:tcW w:w="850" w:type="dxa"/>
            <w:shd w:val="clear" w:color="auto" w:fill="auto"/>
            <w:noWrap/>
            <w:vAlign w:val="bottom"/>
          </w:tcPr>
          <w:p w14:paraId="1694EE5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0.51</w:t>
            </w:r>
            <w:r>
              <w:rPr>
                <w:rFonts w:ascii="Calibri" w:hAnsi="Calibri" w:cs="Calibri"/>
                <w:color w:val="000000"/>
                <w:sz w:val="20"/>
                <w:szCs w:val="20"/>
              </w:rPr>
              <w:t>2</w:t>
            </w:r>
          </w:p>
        </w:tc>
      </w:tr>
      <w:tr w:rsidR="00391A54" w:rsidRPr="00074A8F" w14:paraId="46615CBF" w14:textId="77777777" w:rsidTr="00143EF1">
        <w:trPr>
          <w:trHeight w:val="320"/>
        </w:trPr>
        <w:tc>
          <w:tcPr>
            <w:tcW w:w="2640" w:type="dxa"/>
            <w:shd w:val="clear" w:color="auto" w:fill="auto"/>
            <w:noWrap/>
            <w:vAlign w:val="bottom"/>
          </w:tcPr>
          <w:p w14:paraId="1DEA6C22"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COPD</w:t>
            </w:r>
          </w:p>
        </w:tc>
        <w:tc>
          <w:tcPr>
            <w:tcW w:w="2322" w:type="dxa"/>
            <w:shd w:val="clear" w:color="auto" w:fill="auto"/>
            <w:noWrap/>
            <w:vAlign w:val="bottom"/>
          </w:tcPr>
          <w:p w14:paraId="45431191"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0.0</w:t>
            </w:r>
            <w:r>
              <w:rPr>
                <w:rFonts w:ascii="Calibri" w:hAnsi="Calibri" w:cs="Calibri"/>
                <w:color w:val="000000"/>
                <w:sz w:val="20"/>
                <w:szCs w:val="20"/>
              </w:rPr>
              <w:t>8</w:t>
            </w:r>
            <w:r w:rsidRPr="00074A8F">
              <w:rPr>
                <w:rFonts w:ascii="Calibri" w:hAnsi="Calibri" w:cs="Calibri"/>
                <w:color w:val="000000"/>
                <w:sz w:val="20"/>
                <w:szCs w:val="20"/>
              </w:rPr>
              <w:t xml:space="preserve"> (0.0</w:t>
            </w:r>
            <w:r>
              <w:rPr>
                <w:rFonts w:ascii="Calibri" w:hAnsi="Calibri" w:cs="Calibri"/>
                <w:color w:val="000000"/>
                <w:sz w:val="20"/>
                <w:szCs w:val="20"/>
              </w:rPr>
              <w:t>1</w:t>
            </w:r>
            <w:r w:rsidRPr="00074A8F">
              <w:rPr>
                <w:rFonts w:ascii="Calibri" w:hAnsi="Calibri" w:cs="Calibri"/>
                <w:color w:val="000000"/>
                <w:sz w:val="20"/>
                <w:szCs w:val="20"/>
              </w:rPr>
              <w:t>-0.4</w:t>
            </w:r>
            <w:r>
              <w:rPr>
                <w:rFonts w:ascii="Calibri" w:hAnsi="Calibri" w:cs="Calibri"/>
                <w:color w:val="000000"/>
                <w:sz w:val="20"/>
                <w:szCs w:val="20"/>
              </w:rPr>
              <w:t>4</w:t>
            </w:r>
            <w:r w:rsidRPr="00074A8F">
              <w:rPr>
                <w:rFonts w:ascii="Calibri" w:hAnsi="Calibri" w:cs="Calibri"/>
                <w:color w:val="000000"/>
                <w:sz w:val="20"/>
                <w:szCs w:val="20"/>
              </w:rPr>
              <w:t>)</w:t>
            </w:r>
          </w:p>
        </w:tc>
        <w:tc>
          <w:tcPr>
            <w:tcW w:w="992" w:type="dxa"/>
            <w:shd w:val="clear" w:color="auto" w:fill="auto"/>
            <w:noWrap/>
            <w:vAlign w:val="bottom"/>
          </w:tcPr>
          <w:p w14:paraId="3905D0E0" w14:textId="77777777" w:rsidR="00391A54" w:rsidRPr="004A6A62" w:rsidRDefault="00391A54" w:rsidP="00143EF1">
            <w:pPr>
              <w:jc w:val="center"/>
              <w:rPr>
                <w:rFonts w:ascii="Calibri" w:hAnsi="Calibri" w:cs="Calibri"/>
                <w:sz w:val="20"/>
                <w:szCs w:val="20"/>
              </w:rPr>
            </w:pPr>
            <w:r w:rsidRPr="004A6A62">
              <w:rPr>
                <w:rFonts w:ascii="Calibri" w:hAnsi="Calibri" w:cs="Calibri"/>
                <w:b/>
                <w:bCs/>
                <w:sz w:val="20"/>
                <w:szCs w:val="20"/>
              </w:rPr>
              <w:t>0.008</w:t>
            </w:r>
          </w:p>
        </w:tc>
        <w:tc>
          <w:tcPr>
            <w:tcW w:w="2410" w:type="dxa"/>
            <w:shd w:val="clear" w:color="auto" w:fill="auto"/>
            <w:noWrap/>
            <w:vAlign w:val="bottom"/>
          </w:tcPr>
          <w:p w14:paraId="2F2AFC1D"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0.8</w:t>
            </w:r>
            <w:r>
              <w:rPr>
                <w:rFonts w:ascii="Calibri" w:hAnsi="Calibri" w:cs="Calibri"/>
                <w:color w:val="000000"/>
                <w:sz w:val="20"/>
                <w:szCs w:val="20"/>
              </w:rPr>
              <w:t>7</w:t>
            </w:r>
            <w:r w:rsidRPr="00074A8F">
              <w:rPr>
                <w:rFonts w:ascii="Calibri" w:hAnsi="Calibri" w:cs="Calibri"/>
                <w:color w:val="000000"/>
                <w:sz w:val="20"/>
                <w:szCs w:val="20"/>
              </w:rPr>
              <w:t xml:space="preserve"> (0.1</w:t>
            </w:r>
            <w:r>
              <w:rPr>
                <w:rFonts w:ascii="Calibri" w:hAnsi="Calibri" w:cs="Calibri"/>
                <w:color w:val="000000"/>
                <w:sz w:val="20"/>
                <w:szCs w:val="20"/>
              </w:rPr>
              <w:t>1</w:t>
            </w:r>
            <w:r w:rsidRPr="00074A8F">
              <w:rPr>
                <w:rFonts w:ascii="Calibri" w:hAnsi="Calibri" w:cs="Calibri"/>
                <w:color w:val="000000"/>
                <w:sz w:val="20"/>
                <w:szCs w:val="20"/>
              </w:rPr>
              <w:t>-4.86)</w:t>
            </w:r>
          </w:p>
        </w:tc>
        <w:tc>
          <w:tcPr>
            <w:tcW w:w="850" w:type="dxa"/>
            <w:shd w:val="clear" w:color="auto" w:fill="auto"/>
            <w:noWrap/>
            <w:vAlign w:val="bottom"/>
          </w:tcPr>
          <w:p w14:paraId="1F16BD1A"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0.87</w:t>
            </w:r>
            <w:r>
              <w:rPr>
                <w:rFonts w:ascii="Calibri" w:hAnsi="Calibri" w:cs="Calibri"/>
                <w:color w:val="000000"/>
                <w:sz w:val="20"/>
                <w:szCs w:val="20"/>
              </w:rPr>
              <w:t>9</w:t>
            </w:r>
          </w:p>
        </w:tc>
      </w:tr>
      <w:tr w:rsidR="00391A54" w:rsidRPr="00074A8F" w14:paraId="7F82EF96" w14:textId="77777777" w:rsidTr="00143EF1">
        <w:trPr>
          <w:trHeight w:val="320"/>
        </w:trPr>
        <w:tc>
          <w:tcPr>
            <w:tcW w:w="2640" w:type="dxa"/>
            <w:shd w:val="clear" w:color="auto" w:fill="auto"/>
            <w:noWrap/>
            <w:vAlign w:val="bottom"/>
          </w:tcPr>
          <w:p w14:paraId="202FDE1C"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Chronic Kidney disease</w:t>
            </w:r>
          </w:p>
        </w:tc>
        <w:tc>
          <w:tcPr>
            <w:tcW w:w="2322" w:type="dxa"/>
            <w:shd w:val="clear" w:color="auto" w:fill="auto"/>
            <w:noWrap/>
            <w:vAlign w:val="bottom"/>
          </w:tcPr>
          <w:p w14:paraId="6768A007"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0.24 (0.03-1.4</w:t>
            </w:r>
            <w:r>
              <w:rPr>
                <w:rFonts w:ascii="Calibri" w:hAnsi="Calibri" w:cs="Calibri"/>
                <w:color w:val="000000"/>
                <w:sz w:val="20"/>
                <w:szCs w:val="20"/>
              </w:rPr>
              <w:t>9</w:t>
            </w:r>
            <w:r w:rsidRPr="00074A8F">
              <w:rPr>
                <w:rFonts w:ascii="Calibri" w:hAnsi="Calibri" w:cs="Calibri"/>
                <w:color w:val="000000"/>
                <w:sz w:val="20"/>
                <w:szCs w:val="20"/>
              </w:rPr>
              <w:t>)</w:t>
            </w:r>
          </w:p>
        </w:tc>
        <w:tc>
          <w:tcPr>
            <w:tcW w:w="992" w:type="dxa"/>
            <w:shd w:val="clear" w:color="auto" w:fill="auto"/>
            <w:noWrap/>
            <w:vAlign w:val="bottom"/>
          </w:tcPr>
          <w:p w14:paraId="33D00DCD" w14:textId="77777777" w:rsidR="00391A54" w:rsidRPr="004A6A62" w:rsidRDefault="00391A54" w:rsidP="00143EF1">
            <w:pPr>
              <w:jc w:val="center"/>
              <w:rPr>
                <w:rFonts w:ascii="Calibri" w:hAnsi="Calibri" w:cs="Calibri"/>
                <w:b/>
                <w:bCs/>
                <w:sz w:val="20"/>
                <w:szCs w:val="20"/>
              </w:rPr>
            </w:pPr>
            <w:r w:rsidRPr="004A6A62">
              <w:rPr>
                <w:rFonts w:ascii="Calibri" w:hAnsi="Calibri" w:cs="Calibri"/>
                <w:sz w:val="20"/>
                <w:szCs w:val="20"/>
              </w:rPr>
              <w:t>0.14</w:t>
            </w:r>
            <w:r>
              <w:rPr>
                <w:rFonts w:ascii="Calibri" w:hAnsi="Calibri" w:cs="Calibri"/>
                <w:sz w:val="20"/>
                <w:szCs w:val="20"/>
              </w:rPr>
              <w:t>5</w:t>
            </w:r>
          </w:p>
        </w:tc>
        <w:tc>
          <w:tcPr>
            <w:tcW w:w="2410" w:type="dxa"/>
            <w:shd w:val="clear" w:color="auto" w:fill="auto"/>
            <w:noWrap/>
            <w:vAlign w:val="bottom"/>
          </w:tcPr>
          <w:p w14:paraId="4FAE4278"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0.58 (0.0</w:t>
            </w:r>
            <w:r>
              <w:rPr>
                <w:rFonts w:ascii="Calibri" w:hAnsi="Calibri" w:cs="Calibri"/>
                <w:color w:val="000000"/>
                <w:sz w:val="20"/>
                <w:szCs w:val="20"/>
              </w:rPr>
              <w:t>1</w:t>
            </w:r>
            <w:r w:rsidRPr="00074A8F">
              <w:rPr>
                <w:rFonts w:ascii="Calibri" w:hAnsi="Calibri" w:cs="Calibri"/>
                <w:color w:val="000000"/>
                <w:sz w:val="20"/>
                <w:szCs w:val="20"/>
              </w:rPr>
              <w:t>-16.36)</w:t>
            </w:r>
          </w:p>
        </w:tc>
        <w:tc>
          <w:tcPr>
            <w:tcW w:w="850" w:type="dxa"/>
            <w:shd w:val="clear" w:color="auto" w:fill="auto"/>
            <w:noWrap/>
            <w:vAlign w:val="bottom"/>
          </w:tcPr>
          <w:p w14:paraId="6B38DCF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0.77</w:t>
            </w:r>
            <w:r>
              <w:rPr>
                <w:rFonts w:ascii="Calibri" w:hAnsi="Calibri" w:cs="Calibri"/>
                <w:color w:val="000000"/>
                <w:sz w:val="20"/>
                <w:szCs w:val="20"/>
              </w:rPr>
              <w:t>7</w:t>
            </w:r>
          </w:p>
        </w:tc>
      </w:tr>
      <w:tr w:rsidR="00391A54" w:rsidRPr="00074A8F" w14:paraId="0D38CFDF" w14:textId="77777777" w:rsidTr="00143EF1">
        <w:trPr>
          <w:trHeight w:val="320"/>
        </w:trPr>
        <w:tc>
          <w:tcPr>
            <w:tcW w:w="2640" w:type="dxa"/>
            <w:shd w:val="clear" w:color="auto" w:fill="auto"/>
            <w:noWrap/>
            <w:vAlign w:val="bottom"/>
          </w:tcPr>
          <w:p w14:paraId="5D2E3C4F"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Diabetes</w:t>
            </w:r>
          </w:p>
        </w:tc>
        <w:tc>
          <w:tcPr>
            <w:tcW w:w="2322" w:type="dxa"/>
            <w:shd w:val="clear" w:color="auto" w:fill="auto"/>
            <w:noWrap/>
            <w:vAlign w:val="bottom"/>
          </w:tcPr>
          <w:p w14:paraId="51CC956A"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4.9</w:t>
            </w:r>
            <w:r>
              <w:rPr>
                <w:rFonts w:ascii="Calibri" w:hAnsi="Calibri" w:cs="Calibri"/>
                <w:color w:val="000000"/>
                <w:sz w:val="20"/>
                <w:szCs w:val="20"/>
              </w:rPr>
              <w:t>3</w:t>
            </w:r>
            <w:r w:rsidRPr="00074A8F">
              <w:rPr>
                <w:rFonts w:ascii="Calibri" w:hAnsi="Calibri" w:cs="Calibri"/>
                <w:color w:val="000000"/>
                <w:sz w:val="20"/>
                <w:szCs w:val="20"/>
              </w:rPr>
              <w:t xml:space="preserve"> (1.22-23.2</w:t>
            </w:r>
            <w:r>
              <w:rPr>
                <w:rFonts w:ascii="Calibri" w:hAnsi="Calibri" w:cs="Calibri"/>
                <w:color w:val="000000"/>
                <w:sz w:val="20"/>
                <w:szCs w:val="20"/>
              </w:rPr>
              <w:t>9</w:t>
            </w:r>
            <w:r w:rsidRPr="00074A8F">
              <w:rPr>
                <w:rFonts w:ascii="Calibri" w:hAnsi="Calibri" w:cs="Calibri"/>
                <w:color w:val="000000"/>
                <w:sz w:val="20"/>
                <w:szCs w:val="20"/>
              </w:rPr>
              <w:t>)</w:t>
            </w:r>
          </w:p>
        </w:tc>
        <w:tc>
          <w:tcPr>
            <w:tcW w:w="992" w:type="dxa"/>
            <w:shd w:val="clear" w:color="auto" w:fill="auto"/>
            <w:noWrap/>
            <w:vAlign w:val="bottom"/>
          </w:tcPr>
          <w:p w14:paraId="308CE0DF" w14:textId="77777777" w:rsidR="00391A54" w:rsidRPr="004A6A62" w:rsidRDefault="00391A54" w:rsidP="00143EF1">
            <w:pPr>
              <w:jc w:val="center"/>
              <w:rPr>
                <w:rFonts w:ascii="Calibri" w:hAnsi="Calibri" w:cs="Calibri"/>
                <w:b/>
                <w:bCs/>
                <w:sz w:val="20"/>
                <w:szCs w:val="20"/>
              </w:rPr>
            </w:pPr>
            <w:r w:rsidRPr="004A6A62">
              <w:rPr>
                <w:rFonts w:ascii="Calibri" w:hAnsi="Calibri" w:cs="Calibri"/>
                <w:b/>
                <w:bCs/>
                <w:sz w:val="20"/>
                <w:szCs w:val="20"/>
              </w:rPr>
              <w:t>0.031</w:t>
            </w:r>
          </w:p>
        </w:tc>
        <w:tc>
          <w:tcPr>
            <w:tcW w:w="2410" w:type="dxa"/>
            <w:shd w:val="clear" w:color="auto" w:fill="auto"/>
            <w:noWrap/>
            <w:vAlign w:val="bottom"/>
          </w:tcPr>
          <w:p w14:paraId="279B8AED"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0.53 (0.13-1.</w:t>
            </w:r>
            <w:r>
              <w:rPr>
                <w:rFonts w:ascii="Calibri" w:hAnsi="Calibri" w:cs="Calibri"/>
                <w:color w:val="000000"/>
                <w:sz w:val="20"/>
                <w:szCs w:val="20"/>
              </w:rPr>
              <w:t>90</w:t>
            </w:r>
            <w:r w:rsidRPr="00074A8F">
              <w:rPr>
                <w:rFonts w:ascii="Calibri" w:hAnsi="Calibri" w:cs="Calibri"/>
                <w:color w:val="000000"/>
                <w:sz w:val="20"/>
                <w:szCs w:val="20"/>
              </w:rPr>
              <w:t>)</w:t>
            </w:r>
          </w:p>
        </w:tc>
        <w:tc>
          <w:tcPr>
            <w:tcW w:w="850" w:type="dxa"/>
            <w:shd w:val="clear" w:color="auto" w:fill="auto"/>
            <w:noWrap/>
            <w:vAlign w:val="bottom"/>
          </w:tcPr>
          <w:p w14:paraId="152D7D9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0.344</w:t>
            </w:r>
          </w:p>
        </w:tc>
      </w:tr>
      <w:tr w:rsidR="00391A54" w:rsidRPr="00074A8F" w14:paraId="7240CB7A" w14:textId="77777777" w:rsidTr="00143EF1">
        <w:trPr>
          <w:trHeight w:val="320"/>
        </w:trPr>
        <w:tc>
          <w:tcPr>
            <w:tcW w:w="2640" w:type="dxa"/>
            <w:shd w:val="clear" w:color="auto" w:fill="auto"/>
            <w:noWrap/>
            <w:vAlign w:val="bottom"/>
          </w:tcPr>
          <w:p w14:paraId="578B5DB3"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NEWS2</w:t>
            </w:r>
            <w:r>
              <w:rPr>
                <w:rFonts w:ascii="Calibri" w:hAnsi="Calibri" w:cs="Calibri"/>
                <w:color w:val="000000"/>
                <w:sz w:val="20"/>
                <w:szCs w:val="20"/>
              </w:rPr>
              <w:t xml:space="preserve"> Score</w:t>
            </w:r>
          </w:p>
        </w:tc>
        <w:tc>
          <w:tcPr>
            <w:tcW w:w="2322" w:type="dxa"/>
            <w:shd w:val="clear" w:color="auto" w:fill="auto"/>
            <w:noWrap/>
            <w:vAlign w:val="bottom"/>
          </w:tcPr>
          <w:p w14:paraId="18968501"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1.19 (0.95-1.52)</w:t>
            </w:r>
          </w:p>
        </w:tc>
        <w:tc>
          <w:tcPr>
            <w:tcW w:w="992" w:type="dxa"/>
            <w:shd w:val="clear" w:color="auto" w:fill="auto"/>
            <w:noWrap/>
            <w:vAlign w:val="bottom"/>
          </w:tcPr>
          <w:p w14:paraId="61793D32" w14:textId="77777777" w:rsidR="00391A54" w:rsidRPr="004A6A62" w:rsidRDefault="00391A54" w:rsidP="00143EF1">
            <w:pPr>
              <w:jc w:val="center"/>
              <w:rPr>
                <w:rFonts w:ascii="Calibri" w:hAnsi="Calibri" w:cs="Calibri"/>
                <w:sz w:val="20"/>
                <w:szCs w:val="20"/>
              </w:rPr>
            </w:pPr>
            <w:r w:rsidRPr="004A6A62">
              <w:rPr>
                <w:rFonts w:ascii="Calibri" w:hAnsi="Calibri" w:cs="Calibri"/>
                <w:sz w:val="20"/>
                <w:szCs w:val="20"/>
              </w:rPr>
              <w:t>0.141</w:t>
            </w:r>
          </w:p>
        </w:tc>
        <w:tc>
          <w:tcPr>
            <w:tcW w:w="2410" w:type="dxa"/>
            <w:shd w:val="clear" w:color="auto" w:fill="auto"/>
            <w:noWrap/>
            <w:vAlign w:val="bottom"/>
          </w:tcPr>
          <w:p w14:paraId="032D8C19"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5</w:t>
            </w:r>
            <w:r w:rsidRPr="00074A8F">
              <w:rPr>
                <w:rFonts w:ascii="Calibri" w:hAnsi="Calibri" w:cs="Calibri"/>
                <w:color w:val="000000"/>
                <w:sz w:val="20"/>
                <w:szCs w:val="20"/>
              </w:rPr>
              <w:t xml:space="preserve"> (0.8</w:t>
            </w:r>
            <w:r>
              <w:rPr>
                <w:rFonts w:ascii="Calibri" w:hAnsi="Calibri" w:cs="Calibri"/>
                <w:color w:val="000000"/>
                <w:sz w:val="20"/>
                <w:szCs w:val="20"/>
              </w:rPr>
              <w:t>4</w:t>
            </w:r>
            <w:r w:rsidRPr="00074A8F">
              <w:rPr>
                <w:rFonts w:ascii="Calibri" w:hAnsi="Calibri" w:cs="Calibri"/>
                <w:color w:val="000000"/>
                <w:sz w:val="20"/>
                <w:szCs w:val="20"/>
              </w:rPr>
              <w:t>-1.30)</w:t>
            </w:r>
          </w:p>
        </w:tc>
        <w:tc>
          <w:tcPr>
            <w:tcW w:w="850" w:type="dxa"/>
            <w:shd w:val="clear" w:color="auto" w:fill="auto"/>
            <w:noWrap/>
            <w:vAlign w:val="bottom"/>
          </w:tcPr>
          <w:p w14:paraId="056441E6"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sz w:val="20"/>
                <w:szCs w:val="20"/>
              </w:rPr>
              <w:t>0.69</w:t>
            </w:r>
            <w:r>
              <w:rPr>
                <w:rFonts w:ascii="Calibri" w:hAnsi="Calibri" w:cs="Calibri"/>
                <w:sz w:val="20"/>
                <w:szCs w:val="20"/>
              </w:rPr>
              <w:t>2</w:t>
            </w:r>
          </w:p>
        </w:tc>
      </w:tr>
      <w:tr w:rsidR="00391A54" w:rsidRPr="00074A8F" w14:paraId="6E4992A6" w14:textId="77777777" w:rsidTr="00143EF1">
        <w:trPr>
          <w:trHeight w:val="320"/>
        </w:trPr>
        <w:tc>
          <w:tcPr>
            <w:tcW w:w="2640" w:type="dxa"/>
            <w:shd w:val="clear" w:color="auto" w:fill="auto"/>
            <w:noWrap/>
            <w:vAlign w:val="bottom"/>
          </w:tcPr>
          <w:p w14:paraId="3ACAFDA0"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Symptoms duration p</w:t>
            </w:r>
            <w:r>
              <w:rPr>
                <w:rFonts w:ascii="Calibri" w:hAnsi="Calibri" w:cs="Calibri"/>
                <w:color w:val="000000"/>
                <w:sz w:val="20"/>
                <w:szCs w:val="20"/>
              </w:rPr>
              <w:t>rior to admission, (</w:t>
            </w:r>
            <w:r w:rsidRPr="004245EA">
              <w:rPr>
                <w:rFonts w:ascii="Calibri" w:hAnsi="Calibri" w:cs="Calibri"/>
                <w:color w:val="000000"/>
                <w:sz w:val="20"/>
                <w:szCs w:val="20"/>
              </w:rPr>
              <w:t>days</w:t>
            </w:r>
            <w:r>
              <w:rPr>
                <w:rFonts w:ascii="Calibri" w:hAnsi="Calibri" w:cs="Calibri"/>
                <w:color w:val="000000"/>
                <w:sz w:val="20"/>
                <w:szCs w:val="20"/>
              </w:rPr>
              <w:t>)</w:t>
            </w:r>
          </w:p>
        </w:tc>
        <w:tc>
          <w:tcPr>
            <w:tcW w:w="2322" w:type="dxa"/>
            <w:shd w:val="clear" w:color="auto" w:fill="auto"/>
            <w:noWrap/>
            <w:vAlign w:val="bottom"/>
          </w:tcPr>
          <w:p w14:paraId="1870A67D"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w:t>
            </w:r>
            <w:r>
              <w:rPr>
                <w:rFonts w:ascii="Calibri" w:hAnsi="Calibri" w:cs="Calibri"/>
                <w:color w:val="000000"/>
                <w:sz w:val="20"/>
                <w:szCs w:val="20"/>
              </w:rPr>
              <w:t>1</w:t>
            </w:r>
            <w:r w:rsidRPr="00074A8F">
              <w:rPr>
                <w:rFonts w:ascii="Calibri" w:hAnsi="Calibri" w:cs="Calibri"/>
                <w:color w:val="000000"/>
                <w:sz w:val="20"/>
                <w:szCs w:val="20"/>
              </w:rPr>
              <w:t xml:space="preserve"> (0.51-0.8</w:t>
            </w:r>
            <w:r>
              <w:rPr>
                <w:rFonts w:ascii="Calibri" w:hAnsi="Calibri" w:cs="Calibri"/>
                <w:color w:val="000000"/>
                <w:sz w:val="20"/>
                <w:szCs w:val="20"/>
              </w:rPr>
              <w:t>9</w:t>
            </w:r>
            <w:r w:rsidRPr="00074A8F">
              <w:rPr>
                <w:rFonts w:ascii="Calibri" w:hAnsi="Calibri" w:cs="Calibri"/>
                <w:color w:val="000000"/>
                <w:sz w:val="20"/>
                <w:szCs w:val="20"/>
              </w:rPr>
              <w:t>)</w:t>
            </w:r>
          </w:p>
        </w:tc>
        <w:tc>
          <w:tcPr>
            <w:tcW w:w="992" w:type="dxa"/>
            <w:shd w:val="clear" w:color="auto" w:fill="auto"/>
            <w:noWrap/>
            <w:vAlign w:val="bottom"/>
          </w:tcPr>
          <w:p w14:paraId="34AFC833" w14:textId="77777777" w:rsidR="00391A54" w:rsidRPr="004A6A62" w:rsidRDefault="00391A54" w:rsidP="00143EF1">
            <w:pPr>
              <w:jc w:val="center"/>
              <w:rPr>
                <w:rFonts w:ascii="Calibri" w:hAnsi="Calibri" w:cs="Calibri"/>
                <w:b/>
                <w:bCs/>
                <w:sz w:val="20"/>
                <w:szCs w:val="20"/>
              </w:rPr>
            </w:pPr>
            <w:r w:rsidRPr="004A6A62">
              <w:rPr>
                <w:rFonts w:ascii="Calibri" w:hAnsi="Calibri" w:cs="Calibri"/>
                <w:b/>
                <w:bCs/>
                <w:sz w:val="20"/>
                <w:szCs w:val="20"/>
              </w:rPr>
              <w:t>0.011</w:t>
            </w:r>
          </w:p>
        </w:tc>
        <w:tc>
          <w:tcPr>
            <w:tcW w:w="2410" w:type="dxa"/>
            <w:shd w:val="clear" w:color="auto" w:fill="auto"/>
            <w:noWrap/>
            <w:vAlign w:val="bottom"/>
          </w:tcPr>
          <w:p w14:paraId="56A02E9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6</w:t>
            </w:r>
            <w:r w:rsidRPr="00074A8F">
              <w:rPr>
                <w:rFonts w:ascii="Calibri" w:hAnsi="Calibri" w:cs="Calibri"/>
                <w:color w:val="000000"/>
                <w:sz w:val="20"/>
                <w:szCs w:val="20"/>
              </w:rPr>
              <w:t xml:space="preserve"> (0.95-1.1</w:t>
            </w:r>
            <w:r>
              <w:rPr>
                <w:rFonts w:ascii="Calibri" w:hAnsi="Calibri" w:cs="Calibri"/>
                <w:color w:val="000000"/>
                <w:sz w:val="20"/>
                <w:szCs w:val="20"/>
              </w:rPr>
              <w:t>8</w:t>
            </w:r>
            <w:r w:rsidRPr="00074A8F">
              <w:rPr>
                <w:rFonts w:ascii="Calibri" w:hAnsi="Calibri" w:cs="Calibri"/>
                <w:color w:val="000000"/>
                <w:sz w:val="20"/>
                <w:szCs w:val="20"/>
              </w:rPr>
              <w:t>)</w:t>
            </w:r>
          </w:p>
        </w:tc>
        <w:tc>
          <w:tcPr>
            <w:tcW w:w="850" w:type="dxa"/>
            <w:shd w:val="clear" w:color="auto" w:fill="auto"/>
            <w:noWrap/>
            <w:vAlign w:val="bottom"/>
          </w:tcPr>
          <w:p w14:paraId="5A28E798"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b/>
                <w:bCs/>
                <w:sz w:val="20"/>
                <w:szCs w:val="20"/>
              </w:rPr>
              <w:t>0.30</w:t>
            </w:r>
            <w:r>
              <w:rPr>
                <w:rFonts w:ascii="Calibri" w:hAnsi="Calibri" w:cs="Calibri"/>
                <w:b/>
                <w:bCs/>
                <w:sz w:val="20"/>
                <w:szCs w:val="20"/>
              </w:rPr>
              <w:t>1</w:t>
            </w:r>
          </w:p>
        </w:tc>
      </w:tr>
      <w:tr w:rsidR="00391A54" w:rsidRPr="00074A8F" w14:paraId="238975D3" w14:textId="77777777" w:rsidTr="00143EF1">
        <w:trPr>
          <w:trHeight w:val="320"/>
        </w:trPr>
        <w:tc>
          <w:tcPr>
            <w:tcW w:w="2640" w:type="dxa"/>
            <w:shd w:val="clear" w:color="auto" w:fill="auto"/>
            <w:noWrap/>
            <w:vAlign w:val="bottom"/>
          </w:tcPr>
          <w:p w14:paraId="178BE1BE" w14:textId="269E4005" w:rsidR="00391A54" w:rsidRPr="004245EA" w:rsidRDefault="00EE2E40" w:rsidP="00143EF1">
            <w:pPr>
              <w:rPr>
                <w:rFonts w:ascii="Calibri" w:hAnsi="Calibri" w:cs="Calibri"/>
                <w:color w:val="000000"/>
                <w:sz w:val="20"/>
                <w:szCs w:val="20"/>
              </w:rPr>
            </w:pPr>
            <w:r>
              <w:rPr>
                <w:rFonts w:ascii="Calibri" w:hAnsi="Calibri" w:cs="Calibri"/>
                <w:color w:val="000000"/>
                <w:sz w:val="20"/>
                <w:szCs w:val="20"/>
              </w:rPr>
              <w:t>Infiltrates on CXR</w:t>
            </w:r>
          </w:p>
        </w:tc>
        <w:tc>
          <w:tcPr>
            <w:tcW w:w="2322" w:type="dxa"/>
            <w:shd w:val="clear" w:color="auto" w:fill="auto"/>
            <w:noWrap/>
            <w:vAlign w:val="bottom"/>
          </w:tcPr>
          <w:p w14:paraId="6C5FFE2D"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1.5</w:t>
            </w:r>
            <w:r>
              <w:rPr>
                <w:rFonts w:ascii="Calibri" w:hAnsi="Calibri" w:cs="Calibri"/>
                <w:color w:val="000000"/>
                <w:sz w:val="20"/>
                <w:szCs w:val="20"/>
              </w:rPr>
              <w:t>9</w:t>
            </w:r>
            <w:r w:rsidRPr="00074A8F">
              <w:rPr>
                <w:rFonts w:ascii="Calibri" w:hAnsi="Calibri" w:cs="Calibri"/>
                <w:color w:val="000000"/>
                <w:sz w:val="20"/>
                <w:szCs w:val="20"/>
              </w:rPr>
              <w:t xml:space="preserve"> (0.37-7.30)</w:t>
            </w:r>
          </w:p>
        </w:tc>
        <w:tc>
          <w:tcPr>
            <w:tcW w:w="992" w:type="dxa"/>
            <w:shd w:val="clear" w:color="auto" w:fill="auto"/>
            <w:noWrap/>
            <w:vAlign w:val="bottom"/>
          </w:tcPr>
          <w:p w14:paraId="39A7017B"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sz w:val="20"/>
                <w:szCs w:val="20"/>
              </w:rPr>
              <w:t>0.53</w:t>
            </w:r>
            <w:r>
              <w:rPr>
                <w:rFonts w:ascii="Calibri" w:hAnsi="Calibri" w:cs="Calibri"/>
                <w:sz w:val="20"/>
                <w:szCs w:val="20"/>
              </w:rPr>
              <w:t>7</w:t>
            </w:r>
          </w:p>
        </w:tc>
        <w:tc>
          <w:tcPr>
            <w:tcW w:w="2410" w:type="dxa"/>
            <w:shd w:val="clear" w:color="auto" w:fill="auto"/>
            <w:noWrap/>
            <w:vAlign w:val="bottom"/>
          </w:tcPr>
          <w:p w14:paraId="56F08C58"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4.97 (0.66-113.2</w:t>
            </w:r>
            <w:r>
              <w:rPr>
                <w:rFonts w:ascii="Calibri" w:hAnsi="Calibri" w:cs="Calibri"/>
                <w:color w:val="000000"/>
                <w:sz w:val="20"/>
                <w:szCs w:val="20"/>
              </w:rPr>
              <w:t>9</w:t>
            </w:r>
            <w:r w:rsidRPr="00074A8F">
              <w:rPr>
                <w:rFonts w:ascii="Calibri" w:hAnsi="Calibri" w:cs="Calibri"/>
                <w:color w:val="000000"/>
                <w:sz w:val="20"/>
                <w:szCs w:val="20"/>
              </w:rPr>
              <w:t>)</w:t>
            </w:r>
          </w:p>
        </w:tc>
        <w:tc>
          <w:tcPr>
            <w:tcW w:w="850" w:type="dxa"/>
            <w:shd w:val="clear" w:color="auto" w:fill="auto"/>
            <w:noWrap/>
            <w:vAlign w:val="bottom"/>
          </w:tcPr>
          <w:p w14:paraId="654502CE"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sz w:val="20"/>
                <w:szCs w:val="20"/>
              </w:rPr>
              <w:t>0.188</w:t>
            </w:r>
          </w:p>
        </w:tc>
      </w:tr>
      <w:tr w:rsidR="00391A54" w:rsidRPr="00074A8F" w14:paraId="7600A1E7" w14:textId="77777777" w:rsidTr="00143EF1">
        <w:trPr>
          <w:trHeight w:val="320"/>
        </w:trPr>
        <w:tc>
          <w:tcPr>
            <w:tcW w:w="2640" w:type="dxa"/>
            <w:shd w:val="clear" w:color="auto" w:fill="auto"/>
            <w:noWrap/>
            <w:vAlign w:val="bottom"/>
          </w:tcPr>
          <w:p w14:paraId="6B79E316" w14:textId="2B4C4D31" w:rsidR="00391A54" w:rsidRPr="004245EA" w:rsidRDefault="00EE2E40" w:rsidP="00143EF1">
            <w:pPr>
              <w:rPr>
                <w:rFonts w:ascii="Calibri" w:hAnsi="Calibri" w:cs="Calibri"/>
                <w:color w:val="000000"/>
                <w:sz w:val="20"/>
                <w:szCs w:val="20"/>
              </w:rPr>
            </w:pPr>
            <w:r>
              <w:rPr>
                <w:rFonts w:ascii="Calibri" w:hAnsi="Calibri" w:cs="Calibri"/>
                <w:color w:val="000000"/>
                <w:sz w:val="20"/>
                <w:szCs w:val="20"/>
              </w:rPr>
              <w:t>White cell count</w:t>
            </w:r>
            <w:r w:rsidR="00391A54">
              <w:rPr>
                <w:rFonts w:ascii="Calibri" w:hAnsi="Calibri" w:cs="Calibri"/>
                <w:color w:val="000000"/>
                <w:sz w:val="20"/>
                <w:szCs w:val="20"/>
              </w:rPr>
              <w:t xml:space="preserve"> </w:t>
            </w:r>
            <w:r w:rsidR="00391A54" w:rsidRPr="00010808">
              <w:rPr>
                <w:rFonts w:ascii="Calibri" w:eastAsia="Times New Roman" w:hAnsi="Calibri" w:cs="Times New Roman"/>
                <w:lang w:eastAsia="en-GB"/>
              </w:rPr>
              <w:t>(10</w:t>
            </w:r>
            <w:r w:rsidR="00391A54" w:rsidRPr="00010808">
              <w:rPr>
                <w:rFonts w:ascii="Calibri" w:eastAsia="Times New Roman" w:hAnsi="Calibri" w:cs="Times New Roman"/>
                <w:vertAlign w:val="superscript"/>
                <w:lang w:eastAsia="en-GB"/>
              </w:rPr>
              <w:t>9</w:t>
            </w:r>
            <w:r w:rsidR="00391A54" w:rsidRPr="00010808">
              <w:rPr>
                <w:rFonts w:ascii="Calibri" w:eastAsia="Times New Roman" w:hAnsi="Calibri" w:cs="Times New Roman"/>
                <w:lang w:eastAsia="en-GB"/>
              </w:rPr>
              <w:t>/L)</w:t>
            </w:r>
          </w:p>
        </w:tc>
        <w:tc>
          <w:tcPr>
            <w:tcW w:w="2322" w:type="dxa"/>
            <w:shd w:val="clear" w:color="auto" w:fill="auto"/>
            <w:noWrap/>
            <w:vAlign w:val="bottom"/>
          </w:tcPr>
          <w:p w14:paraId="3E09AF1D"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6</w:t>
            </w:r>
            <w:r w:rsidRPr="00074A8F">
              <w:rPr>
                <w:rFonts w:ascii="Calibri" w:hAnsi="Calibri" w:cs="Calibri"/>
                <w:color w:val="000000"/>
                <w:sz w:val="20"/>
                <w:szCs w:val="20"/>
              </w:rPr>
              <w:t xml:space="preserve"> (0.8</w:t>
            </w:r>
            <w:r>
              <w:rPr>
                <w:rFonts w:ascii="Calibri" w:hAnsi="Calibri" w:cs="Calibri"/>
                <w:color w:val="000000"/>
                <w:sz w:val="20"/>
                <w:szCs w:val="20"/>
              </w:rPr>
              <w:t>9</w:t>
            </w:r>
            <w:r w:rsidRPr="00074A8F">
              <w:rPr>
                <w:rFonts w:ascii="Calibri" w:hAnsi="Calibri" w:cs="Calibri"/>
                <w:color w:val="000000"/>
                <w:sz w:val="20"/>
                <w:szCs w:val="20"/>
              </w:rPr>
              <w:t>-1.2</w:t>
            </w:r>
            <w:r>
              <w:rPr>
                <w:rFonts w:ascii="Calibri" w:hAnsi="Calibri" w:cs="Calibri"/>
                <w:color w:val="000000"/>
                <w:sz w:val="20"/>
                <w:szCs w:val="20"/>
              </w:rPr>
              <w:t>7</w:t>
            </w:r>
            <w:r w:rsidRPr="00074A8F">
              <w:rPr>
                <w:rFonts w:ascii="Calibri" w:hAnsi="Calibri" w:cs="Calibri"/>
                <w:color w:val="000000"/>
                <w:sz w:val="20"/>
                <w:szCs w:val="20"/>
              </w:rPr>
              <w:t>)</w:t>
            </w:r>
          </w:p>
        </w:tc>
        <w:tc>
          <w:tcPr>
            <w:tcW w:w="992" w:type="dxa"/>
            <w:shd w:val="clear" w:color="auto" w:fill="auto"/>
            <w:noWrap/>
            <w:vAlign w:val="bottom"/>
          </w:tcPr>
          <w:p w14:paraId="148FC993"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0.53</w:t>
            </w:r>
            <w:r>
              <w:rPr>
                <w:rFonts w:ascii="Calibri" w:hAnsi="Calibri" w:cs="Calibri"/>
                <w:color w:val="000000"/>
                <w:sz w:val="20"/>
                <w:szCs w:val="20"/>
              </w:rPr>
              <w:t>1</w:t>
            </w:r>
          </w:p>
        </w:tc>
        <w:tc>
          <w:tcPr>
            <w:tcW w:w="2410" w:type="dxa"/>
            <w:shd w:val="clear" w:color="auto" w:fill="auto"/>
            <w:noWrap/>
            <w:vAlign w:val="bottom"/>
          </w:tcPr>
          <w:p w14:paraId="6B34BE4D"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8</w:t>
            </w:r>
            <w:r w:rsidRPr="00074A8F">
              <w:rPr>
                <w:rFonts w:ascii="Calibri" w:hAnsi="Calibri" w:cs="Calibri"/>
                <w:color w:val="000000"/>
                <w:sz w:val="20"/>
                <w:szCs w:val="20"/>
              </w:rPr>
              <w:t xml:space="preserve"> (0.9</w:t>
            </w:r>
            <w:r>
              <w:rPr>
                <w:rFonts w:ascii="Calibri" w:hAnsi="Calibri" w:cs="Calibri"/>
                <w:color w:val="000000"/>
                <w:sz w:val="20"/>
                <w:szCs w:val="20"/>
              </w:rPr>
              <w:t>3</w:t>
            </w:r>
            <w:r w:rsidRPr="00074A8F">
              <w:rPr>
                <w:rFonts w:ascii="Calibri" w:hAnsi="Calibri" w:cs="Calibri"/>
                <w:color w:val="000000"/>
                <w:sz w:val="20"/>
                <w:szCs w:val="20"/>
              </w:rPr>
              <w:t>-1.2</w:t>
            </w:r>
            <w:r>
              <w:rPr>
                <w:rFonts w:ascii="Calibri" w:hAnsi="Calibri" w:cs="Calibri"/>
                <w:color w:val="000000"/>
                <w:sz w:val="20"/>
                <w:szCs w:val="20"/>
              </w:rPr>
              <w:t>5</w:t>
            </w:r>
            <w:r w:rsidRPr="00074A8F">
              <w:rPr>
                <w:rFonts w:ascii="Calibri" w:hAnsi="Calibri" w:cs="Calibri"/>
                <w:color w:val="000000"/>
                <w:sz w:val="20"/>
                <w:szCs w:val="20"/>
              </w:rPr>
              <w:t>)</w:t>
            </w:r>
          </w:p>
        </w:tc>
        <w:tc>
          <w:tcPr>
            <w:tcW w:w="850" w:type="dxa"/>
            <w:shd w:val="clear" w:color="auto" w:fill="auto"/>
            <w:noWrap/>
            <w:vAlign w:val="bottom"/>
          </w:tcPr>
          <w:p w14:paraId="61758F20"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0.32</w:t>
            </w:r>
            <w:r>
              <w:rPr>
                <w:rFonts w:ascii="Calibri" w:hAnsi="Calibri" w:cs="Calibri"/>
                <w:color w:val="000000"/>
                <w:sz w:val="20"/>
                <w:szCs w:val="20"/>
              </w:rPr>
              <w:t>6</w:t>
            </w:r>
          </w:p>
        </w:tc>
      </w:tr>
      <w:tr w:rsidR="00391A54" w:rsidRPr="00074A8F" w14:paraId="4BCF0F33" w14:textId="77777777" w:rsidTr="00143EF1">
        <w:trPr>
          <w:trHeight w:val="320"/>
        </w:trPr>
        <w:tc>
          <w:tcPr>
            <w:tcW w:w="2640" w:type="dxa"/>
            <w:shd w:val="clear" w:color="auto" w:fill="auto"/>
            <w:noWrap/>
            <w:vAlign w:val="bottom"/>
          </w:tcPr>
          <w:p w14:paraId="11500E9C"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CRP</w:t>
            </w:r>
            <w:r>
              <w:rPr>
                <w:rFonts w:ascii="Calibri" w:hAnsi="Calibri" w:cs="Calibri"/>
                <w:color w:val="000000"/>
                <w:sz w:val="20"/>
                <w:szCs w:val="20"/>
              </w:rPr>
              <w:t xml:space="preserve"> (mg/L) </w:t>
            </w:r>
          </w:p>
        </w:tc>
        <w:tc>
          <w:tcPr>
            <w:tcW w:w="2322" w:type="dxa"/>
            <w:shd w:val="clear" w:color="auto" w:fill="auto"/>
            <w:noWrap/>
            <w:vAlign w:val="bottom"/>
          </w:tcPr>
          <w:p w14:paraId="474D3B88"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w:t>
            </w:r>
            <w:r>
              <w:rPr>
                <w:rFonts w:ascii="Calibri" w:hAnsi="Calibri" w:cs="Calibri"/>
                <w:color w:val="000000"/>
                <w:sz w:val="20"/>
                <w:szCs w:val="20"/>
              </w:rPr>
              <w:t>1.00</w:t>
            </w:r>
            <w:r w:rsidRPr="00074A8F">
              <w:rPr>
                <w:rFonts w:ascii="Calibri" w:hAnsi="Calibri" w:cs="Calibri"/>
                <w:color w:val="000000"/>
                <w:sz w:val="20"/>
                <w:szCs w:val="20"/>
              </w:rPr>
              <w:t>-1.01)</w:t>
            </w:r>
          </w:p>
        </w:tc>
        <w:tc>
          <w:tcPr>
            <w:tcW w:w="992" w:type="dxa"/>
            <w:shd w:val="clear" w:color="auto" w:fill="auto"/>
            <w:noWrap/>
            <w:vAlign w:val="bottom"/>
          </w:tcPr>
          <w:p w14:paraId="78F1A778"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0.312</w:t>
            </w:r>
          </w:p>
        </w:tc>
        <w:tc>
          <w:tcPr>
            <w:tcW w:w="2410" w:type="dxa"/>
            <w:shd w:val="clear" w:color="auto" w:fill="auto"/>
            <w:noWrap/>
            <w:vAlign w:val="bottom"/>
          </w:tcPr>
          <w:p w14:paraId="69B2A957"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1</w:t>
            </w:r>
            <w:r w:rsidRPr="00074A8F">
              <w:rPr>
                <w:rFonts w:ascii="Calibri" w:hAnsi="Calibri" w:cs="Calibri"/>
                <w:color w:val="000000"/>
                <w:sz w:val="20"/>
                <w:szCs w:val="20"/>
              </w:rPr>
              <w:t xml:space="preserve"> (1.00-1.0</w:t>
            </w:r>
            <w:r>
              <w:rPr>
                <w:rFonts w:ascii="Calibri" w:hAnsi="Calibri" w:cs="Calibri"/>
                <w:color w:val="000000"/>
                <w:sz w:val="20"/>
                <w:szCs w:val="20"/>
              </w:rPr>
              <w:t>2</w:t>
            </w:r>
            <w:r w:rsidRPr="00074A8F">
              <w:rPr>
                <w:rFonts w:ascii="Calibri" w:hAnsi="Calibri" w:cs="Calibri"/>
                <w:color w:val="000000"/>
                <w:sz w:val="20"/>
                <w:szCs w:val="20"/>
              </w:rPr>
              <w:t>)</w:t>
            </w:r>
          </w:p>
        </w:tc>
        <w:tc>
          <w:tcPr>
            <w:tcW w:w="850" w:type="dxa"/>
            <w:shd w:val="clear" w:color="auto" w:fill="auto"/>
            <w:noWrap/>
            <w:vAlign w:val="bottom"/>
          </w:tcPr>
          <w:p w14:paraId="06176D77"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b/>
                <w:bCs/>
                <w:sz w:val="20"/>
                <w:szCs w:val="20"/>
              </w:rPr>
              <w:t>0.01</w:t>
            </w:r>
            <w:r>
              <w:rPr>
                <w:rFonts w:ascii="Calibri" w:hAnsi="Calibri" w:cs="Calibri"/>
                <w:b/>
                <w:bCs/>
                <w:sz w:val="20"/>
                <w:szCs w:val="20"/>
              </w:rPr>
              <w:t>2</w:t>
            </w:r>
          </w:p>
        </w:tc>
      </w:tr>
      <w:tr w:rsidR="00391A54" w:rsidRPr="00074A8F" w14:paraId="5C73FCD8" w14:textId="77777777" w:rsidTr="00143EF1">
        <w:trPr>
          <w:trHeight w:val="320"/>
        </w:trPr>
        <w:tc>
          <w:tcPr>
            <w:tcW w:w="2640" w:type="dxa"/>
            <w:shd w:val="clear" w:color="auto" w:fill="auto"/>
            <w:noWrap/>
            <w:vAlign w:val="bottom"/>
          </w:tcPr>
          <w:p w14:paraId="6186EE5E"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Lymphocyte count</w:t>
            </w:r>
            <w:r>
              <w:rPr>
                <w:rFonts w:ascii="Calibri" w:hAnsi="Calibri" w:cs="Calibri"/>
                <w:color w:val="000000"/>
                <w:sz w:val="20"/>
                <w:szCs w:val="20"/>
              </w:rPr>
              <w:t xml:space="preserve"> </w:t>
            </w:r>
            <w:r w:rsidRPr="00010808">
              <w:rPr>
                <w:rFonts w:ascii="Calibri" w:eastAsia="Times New Roman" w:hAnsi="Calibri" w:cs="Times New Roman"/>
                <w:lang w:eastAsia="en-GB"/>
              </w:rPr>
              <w:t>(10</w:t>
            </w:r>
            <w:r w:rsidRPr="00010808">
              <w:rPr>
                <w:rFonts w:ascii="Calibri" w:eastAsia="Times New Roman" w:hAnsi="Calibri" w:cs="Times New Roman"/>
                <w:vertAlign w:val="superscript"/>
                <w:lang w:eastAsia="en-GB"/>
              </w:rPr>
              <w:t>9</w:t>
            </w:r>
            <w:r w:rsidRPr="00010808">
              <w:rPr>
                <w:rFonts w:ascii="Calibri" w:eastAsia="Times New Roman" w:hAnsi="Calibri" w:cs="Times New Roman"/>
                <w:lang w:eastAsia="en-GB"/>
              </w:rPr>
              <w:t>/L)</w:t>
            </w:r>
          </w:p>
        </w:tc>
        <w:tc>
          <w:tcPr>
            <w:tcW w:w="2322" w:type="dxa"/>
            <w:shd w:val="clear" w:color="auto" w:fill="auto"/>
            <w:noWrap/>
            <w:vAlign w:val="bottom"/>
          </w:tcPr>
          <w:p w14:paraId="107379FF"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0.84 (0.50-1.09)</w:t>
            </w:r>
          </w:p>
        </w:tc>
        <w:tc>
          <w:tcPr>
            <w:tcW w:w="992" w:type="dxa"/>
            <w:shd w:val="clear" w:color="auto" w:fill="auto"/>
            <w:noWrap/>
            <w:vAlign w:val="bottom"/>
          </w:tcPr>
          <w:p w14:paraId="391BEA0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0.29</w:t>
            </w:r>
            <w:r>
              <w:rPr>
                <w:rFonts w:ascii="Calibri" w:hAnsi="Calibri" w:cs="Calibri"/>
                <w:color w:val="000000"/>
                <w:sz w:val="20"/>
                <w:szCs w:val="20"/>
              </w:rPr>
              <w:t>6</w:t>
            </w:r>
          </w:p>
        </w:tc>
        <w:tc>
          <w:tcPr>
            <w:tcW w:w="2410" w:type="dxa"/>
            <w:shd w:val="clear" w:color="auto" w:fill="auto"/>
            <w:noWrap/>
            <w:vAlign w:val="bottom"/>
          </w:tcPr>
          <w:p w14:paraId="7EEEDA52"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w:t>
            </w:r>
            <w:r>
              <w:rPr>
                <w:rFonts w:ascii="Calibri" w:hAnsi="Calibri" w:cs="Calibri"/>
                <w:color w:val="000000"/>
                <w:sz w:val="20"/>
                <w:szCs w:val="20"/>
              </w:rPr>
              <w:t>1</w:t>
            </w:r>
            <w:r w:rsidRPr="00074A8F">
              <w:rPr>
                <w:rFonts w:ascii="Calibri" w:hAnsi="Calibri" w:cs="Calibri"/>
                <w:color w:val="000000"/>
                <w:sz w:val="20"/>
                <w:szCs w:val="20"/>
              </w:rPr>
              <w:t xml:space="preserve"> (0.22-1.1</w:t>
            </w:r>
            <w:r>
              <w:rPr>
                <w:rFonts w:ascii="Calibri" w:hAnsi="Calibri" w:cs="Calibri"/>
                <w:color w:val="000000"/>
                <w:sz w:val="20"/>
                <w:szCs w:val="20"/>
              </w:rPr>
              <w:t>2</w:t>
            </w:r>
            <w:r w:rsidRPr="00074A8F">
              <w:rPr>
                <w:rFonts w:ascii="Calibri" w:hAnsi="Calibri" w:cs="Calibri"/>
                <w:color w:val="000000"/>
                <w:sz w:val="20"/>
                <w:szCs w:val="20"/>
              </w:rPr>
              <w:t>)</w:t>
            </w:r>
          </w:p>
        </w:tc>
        <w:tc>
          <w:tcPr>
            <w:tcW w:w="850" w:type="dxa"/>
            <w:shd w:val="clear" w:color="auto" w:fill="auto"/>
            <w:noWrap/>
            <w:vAlign w:val="bottom"/>
          </w:tcPr>
          <w:p w14:paraId="2C3A87AF"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0.47</w:t>
            </w:r>
            <w:r>
              <w:rPr>
                <w:rFonts w:ascii="Calibri" w:hAnsi="Calibri" w:cs="Calibri"/>
                <w:color w:val="000000"/>
                <w:sz w:val="20"/>
                <w:szCs w:val="20"/>
              </w:rPr>
              <w:t>8</w:t>
            </w:r>
          </w:p>
        </w:tc>
      </w:tr>
      <w:tr w:rsidR="00391A54" w:rsidRPr="00074A8F" w14:paraId="6CA1DB66" w14:textId="77777777" w:rsidTr="00143EF1">
        <w:trPr>
          <w:trHeight w:val="320"/>
        </w:trPr>
        <w:tc>
          <w:tcPr>
            <w:tcW w:w="2640" w:type="dxa"/>
            <w:shd w:val="clear" w:color="auto" w:fill="auto"/>
            <w:noWrap/>
            <w:vAlign w:val="bottom"/>
          </w:tcPr>
          <w:p w14:paraId="68B7D41E"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Creatinine</w:t>
            </w:r>
            <w:r>
              <w:rPr>
                <w:rFonts w:ascii="Calibri" w:hAnsi="Calibri" w:cs="Calibri"/>
                <w:color w:val="000000"/>
                <w:sz w:val="20"/>
                <w:szCs w:val="20"/>
              </w:rPr>
              <w:t xml:space="preserve"> (µmol/L) </w:t>
            </w:r>
          </w:p>
        </w:tc>
        <w:tc>
          <w:tcPr>
            <w:tcW w:w="2322" w:type="dxa"/>
            <w:shd w:val="clear" w:color="auto" w:fill="auto"/>
            <w:noWrap/>
            <w:vAlign w:val="bottom"/>
          </w:tcPr>
          <w:p w14:paraId="6F516115" w14:textId="138343A2"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1.01 (</w:t>
            </w:r>
            <w:r>
              <w:rPr>
                <w:rFonts w:ascii="Calibri" w:hAnsi="Calibri" w:cs="Calibri"/>
                <w:color w:val="000000"/>
                <w:sz w:val="20"/>
                <w:szCs w:val="20"/>
              </w:rPr>
              <w:t>1.00</w:t>
            </w:r>
            <w:r w:rsidRPr="00074A8F">
              <w:rPr>
                <w:rFonts w:ascii="Calibri" w:hAnsi="Calibri" w:cs="Calibri"/>
                <w:color w:val="000000"/>
                <w:sz w:val="20"/>
                <w:szCs w:val="20"/>
              </w:rPr>
              <w:t>-1.03)</w:t>
            </w:r>
          </w:p>
        </w:tc>
        <w:tc>
          <w:tcPr>
            <w:tcW w:w="992" w:type="dxa"/>
            <w:shd w:val="clear" w:color="auto" w:fill="auto"/>
            <w:noWrap/>
            <w:vAlign w:val="bottom"/>
          </w:tcPr>
          <w:p w14:paraId="200648D5"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0.29</w:t>
            </w:r>
            <w:r>
              <w:rPr>
                <w:rFonts w:ascii="Calibri" w:hAnsi="Calibri" w:cs="Calibri"/>
                <w:color w:val="000000"/>
                <w:sz w:val="20"/>
                <w:szCs w:val="20"/>
              </w:rPr>
              <w:t>7</w:t>
            </w:r>
          </w:p>
        </w:tc>
        <w:tc>
          <w:tcPr>
            <w:tcW w:w="2410" w:type="dxa"/>
            <w:shd w:val="clear" w:color="auto" w:fill="auto"/>
            <w:noWrap/>
            <w:vAlign w:val="bottom"/>
          </w:tcPr>
          <w:p w14:paraId="2C24E3E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1</w:t>
            </w:r>
            <w:r w:rsidRPr="00074A8F">
              <w:rPr>
                <w:rFonts w:ascii="Calibri" w:hAnsi="Calibri" w:cs="Calibri"/>
                <w:color w:val="000000"/>
                <w:sz w:val="20"/>
                <w:szCs w:val="20"/>
              </w:rPr>
              <w:t xml:space="preserve"> (</w:t>
            </w:r>
            <w:r>
              <w:rPr>
                <w:rFonts w:ascii="Calibri" w:hAnsi="Calibri" w:cs="Calibri"/>
                <w:color w:val="000000"/>
                <w:sz w:val="20"/>
                <w:szCs w:val="20"/>
              </w:rPr>
              <w:t>1.00</w:t>
            </w:r>
            <w:r w:rsidRPr="00074A8F">
              <w:rPr>
                <w:rFonts w:ascii="Calibri" w:hAnsi="Calibri" w:cs="Calibri"/>
                <w:color w:val="000000"/>
                <w:sz w:val="20"/>
                <w:szCs w:val="20"/>
              </w:rPr>
              <w:t>-1.0</w:t>
            </w:r>
            <w:r>
              <w:rPr>
                <w:rFonts w:ascii="Calibri" w:hAnsi="Calibri" w:cs="Calibri"/>
                <w:color w:val="000000"/>
                <w:sz w:val="20"/>
                <w:szCs w:val="20"/>
              </w:rPr>
              <w:t>3</w:t>
            </w:r>
            <w:r w:rsidRPr="00074A8F">
              <w:rPr>
                <w:rFonts w:ascii="Calibri" w:hAnsi="Calibri" w:cs="Calibri"/>
                <w:color w:val="000000"/>
                <w:sz w:val="20"/>
                <w:szCs w:val="20"/>
              </w:rPr>
              <w:t>)</w:t>
            </w:r>
          </w:p>
        </w:tc>
        <w:tc>
          <w:tcPr>
            <w:tcW w:w="850" w:type="dxa"/>
            <w:shd w:val="clear" w:color="auto" w:fill="auto"/>
            <w:noWrap/>
            <w:vAlign w:val="bottom"/>
          </w:tcPr>
          <w:p w14:paraId="1E48DF0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0.54</w:t>
            </w:r>
            <w:r>
              <w:rPr>
                <w:rFonts w:ascii="Calibri" w:hAnsi="Calibri" w:cs="Calibri"/>
                <w:color w:val="000000"/>
                <w:sz w:val="20"/>
                <w:szCs w:val="20"/>
              </w:rPr>
              <w:t>6</w:t>
            </w:r>
          </w:p>
        </w:tc>
      </w:tr>
      <w:tr w:rsidR="00391A54" w:rsidRPr="00074A8F" w14:paraId="4CE3E5B6" w14:textId="77777777" w:rsidTr="00143EF1">
        <w:trPr>
          <w:trHeight w:val="320"/>
        </w:trPr>
        <w:tc>
          <w:tcPr>
            <w:tcW w:w="2640" w:type="dxa"/>
            <w:shd w:val="clear" w:color="auto" w:fill="auto"/>
            <w:noWrap/>
            <w:vAlign w:val="bottom"/>
          </w:tcPr>
          <w:p w14:paraId="186AC48E"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Urea</w:t>
            </w:r>
            <w:r>
              <w:rPr>
                <w:rFonts w:ascii="Calibri" w:hAnsi="Calibri" w:cs="Calibri"/>
                <w:color w:val="000000"/>
                <w:sz w:val="20"/>
                <w:szCs w:val="20"/>
              </w:rPr>
              <w:t xml:space="preserve"> (mmol/L)</w:t>
            </w:r>
          </w:p>
        </w:tc>
        <w:tc>
          <w:tcPr>
            <w:tcW w:w="2322" w:type="dxa"/>
            <w:shd w:val="clear" w:color="auto" w:fill="auto"/>
            <w:noWrap/>
            <w:vAlign w:val="bottom"/>
          </w:tcPr>
          <w:p w14:paraId="53032FA9"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0.94 (0.8</w:t>
            </w:r>
            <w:r>
              <w:rPr>
                <w:rFonts w:ascii="Calibri" w:hAnsi="Calibri" w:cs="Calibri"/>
                <w:color w:val="000000"/>
                <w:sz w:val="20"/>
                <w:szCs w:val="20"/>
              </w:rPr>
              <w:t>2</w:t>
            </w:r>
            <w:r w:rsidRPr="00074A8F">
              <w:rPr>
                <w:rFonts w:ascii="Calibri" w:hAnsi="Calibri" w:cs="Calibri"/>
                <w:color w:val="000000"/>
                <w:sz w:val="20"/>
                <w:szCs w:val="20"/>
              </w:rPr>
              <w:t>-1.0</w:t>
            </w:r>
            <w:r>
              <w:rPr>
                <w:rFonts w:ascii="Calibri" w:hAnsi="Calibri" w:cs="Calibri"/>
                <w:color w:val="000000"/>
                <w:sz w:val="20"/>
                <w:szCs w:val="20"/>
              </w:rPr>
              <w:t>7</w:t>
            </w:r>
            <w:r w:rsidRPr="00074A8F">
              <w:rPr>
                <w:rFonts w:ascii="Calibri" w:hAnsi="Calibri" w:cs="Calibri"/>
                <w:color w:val="000000"/>
                <w:sz w:val="20"/>
                <w:szCs w:val="20"/>
              </w:rPr>
              <w:t>)</w:t>
            </w:r>
          </w:p>
        </w:tc>
        <w:tc>
          <w:tcPr>
            <w:tcW w:w="992" w:type="dxa"/>
            <w:shd w:val="clear" w:color="auto" w:fill="auto"/>
            <w:noWrap/>
            <w:vAlign w:val="bottom"/>
          </w:tcPr>
          <w:p w14:paraId="3C484973"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0.367</w:t>
            </w:r>
          </w:p>
        </w:tc>
        <w:tc>
          <w:tcPr>
            <w:tcW w:w="2410" w:type="dxa"/>
            <w:shd w:val="clear" w:color="auto" w:fill="auto"/>
            <w:noWrap/>
            <w:vAlign w:val="bottom"/>
          </w:tcPr>
          <w:p w14:paraId="3C369F90" w14:textId="6EE9AEBA"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0.97 (0.</w:t>
            </w:r>
            <w:r w:rsidR="00DD0EEC">
              <w:rPr>
                <w:rFonts w:ascii="Calibri" w:hAnsi="Calibri" w:cs="Calibri"/>
                <w:color w:val="000000"/>
                <w:sz w:val="20"/>
                <w:szCs w:val="20"/>
              </w:rPr>
              <w:t>79</w:t>
            </w:r>
            <w:r w:rsidRPr="00074A8F">
              <w:rPr>
                <w:rFonts w:ascii="Calibri" w:hAnsi="Calibri" w:cs="Calibri"/>
                <w:color w:val="000000"/>
                <w:sz w:val="20"/>
                <w:szCs w:val="20"/>
              </w:rPr>
              <w:t>-1.1</w:t>
            </w:r>
            <w:r>
              <w:rPr>
                <w:rFonts w:ascii="Calibri" w:hAnsi="Calibri" w:cs="Calibri"/>
                <w:color w:val="000000"/>
                <w:sz w:val="20"/>
                <w:szCs w:val="20"/>
              </w:rPr>
              <w:t>2</w:t>
            </w:r>
            <w:r w:rsidRPr="00074A8F">
              <w:rPr>
                <w:rFonts w:ascii="Calibri" w:hAnsi="Calibri" w:cs="Calibri"/>
                <w:color w:val="000000"/>
                <w:sz w:val="20"/>
                <w:szCs w:val="20"/>
              </w:rPr>
              <w:t>)</w:t>
            </w:r>
          </w:p>
        </w:tc>
        <w:tc>
          <w:tcPr>
            <w:tcW w:w="850" w:type="dxa"/>
            <w:shd w:val="clear" w:color="auto" w:fill="auto"/>
            <w:noWrap/>
            <w:vAlign w:val="bottom"/>
          </w:tcPr>
          <w:p w14:paraId="1694288A"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0.77</w:t>
            </w:r>
            <w:r>
              <w:rPr>
                <w:rFonts w:ascii="Calibri" w:hAnsi="Calibri" w:cs="Calibri"/>
                <w:color w:val="000000"/>
                <w:sz w:val="20"/>
                <w:szCs w:val="20"/>
              </w:rPr>
              <w:t>4</w:t>
            </w:r>
          </w:p>
        </w:tc>
      </w:tr>
      <w:tr w:rsidR="00391A54" w:rsidRPr="00074A8F" w14:paraId="09B89074" w14:textId="77777777" w:rsidTr="00143EF1">
        <w:trPr>
          <w:trHeight w:val="320"/>
        </w:trPr>
        <w:tc>
          <w:tcPr>
            <w:tcW w:w="2640" w:type="dxa"/>
            <w:shd w:val="clear" w:color="auto" w:fill="auto"/>
            <w:noWrap/>
            <w:vAlign w:val="bottom"/>
          </w:tcPr>
          <w:p w14:paraId="5DF05E11"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LDH</w:t>
            </w:r>
            <w:r>
              <w:rPr>
                <w:rFonts w:ascii="Calibri" w:hAnsi="Calibri" w:cs="Calibri"/>
                <w:color w:val="000000"/>
                <w:sz w:val="20"/>
                <w:szCs w:val="20"/>
              </w:rPr>
              <w:t xml:space="preserve"> (U/L)</w:t>
            </w:r>
          </w:p>
        </w:tc>
        <w:tc>
          <w:tcPr>
            <w:tcW w:w="2322" w:type="dxa"/>
            <w:shd w:val="clear" w:color="auto" w:fill="auto"/>
            <w:noWrap/>
            <w:vAlign w:val="bottom"/>
          </w:tcPr>
          <w:p w14:paraId="6955A20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w:t>
            </w:r>
            <w:r>
              <w:rPr>
                <w:rFonts w:ascii="Calibri" w:hAnsi="Calibri" w:cs="Calibri"/>
                <w:color w:val="000000"/>
                <w:sz w:val="20"/>
                <w:szCs w:val="20"/>
              </w:rPr>
              <w:t>1.00</w:t>
            </w:r>
            <w:r w:rsidRPr="00074A8F">
              <w:rPr>
                <w:rFonts w:ascii="Calibri" w:hAnsi="Calibri" w:cs="Calibri"/>
                <w:color w:val="000000"/>
                <w:sz w:val="20"/>
                <w:szCs w:val="20"/>
              </w:rPr>
              <w:t>-1.00)</w:t>
            </w:r>
          </w:p>
        </w:tc>
        <w:tc>
          <w:tcPr>
            <w:tcW w:w="992" w:type="dxa"/>
            <w:shd w:val="clear" w:color="auto" w:fill="auto"/>
            <w:noWrap/>
            <w:vAlign w:val="bottom"/>
          </w:tcPr>
          <w:p w14:paraId="1536611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0.346</w:t>
            </w:r>
          </w:p>
        </w:tc>
        <w:tc>
          <w:tcPr>
            <w:tcW w:w="2410" w:type="dxa"/>
            <w:shd w:val="clear" w:color="auto" w:fill="auto"/>
            <w:noWrap/>
            <w:vAlign w:val="bottom"/>
          </w:tcPr>
          <w:p w14:paraId="62380BD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w:t>
            </w:r>
            <w:r>
              <w:rPr>
                <w:rFonts w:ascii="Calibri" w:hAnsi="Calibri" w:cs="Calibri"/>
                <w:color w:val="000000"/>
                <w:sz w:val="20"/>
                <w:szCs w:val="20"/>
              </w:rPr>
              <w:t>1.00</w:t>
            </w:r>
            <w:r w:rsidRPr="00074A8F">
              <w:rPr>
                <w:rFonts w:ascii="Calibri" w:hAnsi="Calibri" w:cs="Calibri"/>
                <w:color w:val="000000"/>
                <w:sz w:val="20"/>
                <w:szCs w:val="20"/>
              </w:rPr>
              <w:t>-1.00)</w:t>
            </w:r>
          </w:p>
        </w:tc>
        <w:tc>
          <w:tcPr>
            <w:tcW w:w="850" w:type="dxa"/>
            <w:shd w:val="clear" w:color="auto" w:fill="auto"/>
            <w:noWrap/>
            <w:vAlign w:val="bottom"/>
          </w:tcPr>
          <w:p w14:paraId="1B2C334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0.20</w:t>
            </w:r>
            <w:r>
              <w:rPr>
                <w:rFonts w:ascii="Calibri" w:hAnsi="Calibri" w:cs="Calibri"/>
                <w:color w:val="000000"/>
                <w:sz w:val="20"/>
                <w:szCs w:val="20"/>
              </w:rPr>
              <w:t>4</w:t>
            </w:r>
          </w:p>
        </w:tc>
      </w:tr>
      <w:tr w:rsidR="00391A54" w:rsidRPr="00074A8F" w14:paraId="47F9BC48" w14:textId="77777777" w:rsidTr="00143EF1">
        <w:trPr>
          <w:trHeight w:val="320"/>
        </w:trPr>
        <w:tc>
          <w:tcPr>
            <w:tcW w:w="2640" w:type="dxa"/>
            <w:shd w:val="clear" w:color="auto" w:fill="auto"/>
            <w:noWrap/>
            <w:vAlign w:val="bottom"/>
          </w:tcPr>
          <w:p w14:paraId="088A5B34"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D-dimer</w:t>
            </w:r>
            <w:r>
              <w:rPr>
                <w:rFonts w:ascii="Calibri" w:hAnsi="Calibri" w:cs="Calibri"/>
                <w:color w:val="000000"/>
                <w:sz w:val="20"/>
                <w:szCs w:val="20"/>
              </w:rPr>
              <w:t xml:space="preserve"> (ng/L)</w:t>
            </w:r>
          </w:p>
        </w:tc>
        <w:tc>
          <w:tcPr>
            <w:tcW w:w="2322" w:type="dxa"/>
            <w:shd w:val="clear" w:color="auto" w:fill="auto"/>
            <w:noWrap/>
            <w:vAlign w:val="bottom"/>
          </w:tcPr>
          <w:p w14:paraId="3ED9A20C" w14:textId="4CE6312E"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w:t>
            </w:r>
            <w:r w:rsidR="00DF4424">
              <w:rPr>
                <w:rFonts w:ascii="Calibri" w:hAnsi="Calibri" w:cs="Calibri"/>
                <w:color w:val="000000"/>
                <w:sz w:val="20"/>
                <w:szCs w:val="20"/>
              </w:rPr>
              <w:t>.00</w:t>
            </w:r>
            <w:r w:rsidRPr="00074A8F">
              <w:rPr>
                <w:rFonts w:ascii="Calibri" w:hAnsi="Calibri" w:cs="Calibri"/>
                <w:color w:val="000000"/>
                <w:sz w:val="20"/>
                <w:szCs w:val="20"/>
              </w:rPr>
              <w:t xml:space="preserve"> (</w:t>
            </w:r>
            <w:r>
              <w:rPr>
                <w:rFonts w:ascii="Calibri" w:hAnsi="Calibri" w:cs="Calibri"/>
                <w:color w:val="000000"/>
                <w:sz w:val="20"/>
                <w:szCs w:val="20"/>
              </w:rPr>
              <w:t>1.00</w:t>
            </w:r>
            <w:r w:rsidRPr="00074A8F">
              <w:rPr>
                <w:rFonts w:ascii="Calibri" w:hAnsi="Calibri" w:cs="Calibri"/>
                <w:color w:val="000000"/>
                <w:sz w:val="20"/>
                <w:szCs w:val="20"/>
              </w:rPr>
              <w:t>-1.00)</w:t>
            </w:r>
          </w:p>
        </w:tc>
        <w:tc>
          <w:tcPr>
            <w:tcW w:w="992" w:type="dxa"/>
            <w:shd w:val="clear" w:color="auto" w:fill="auto"/>
            <w:noWrap/>
            <w:vAlign w:val="bottom"/>
          </w:tcPr>
          <w:p w14:paraId="3E2A7D20"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0.924</w:t>
            </w:r>
          </w:p>
        </w:tc>
        <w:tc>
          <w:tcPr>
            <w:tcW w:w="2410" w:type="dxa"/>
            <w:shd w:val="clear" w:color="auto" w:fill="auto"/>
            <w:noWrap/>
            <w:vAlign w:val="bottom"/>
          </w:tcPr>
          <w:p w14:paraId="7F0F1B7F" w14:textId="77777777" w:rsidR="00391A54" w:rsidRPr="00074A8F" w:rsidRDefault="00391A54" w:rsidP="00143EF1">
            <w:pPr>
              <w:jc w:val="center"/>
              <w:rPr>
                <w:rFonts w:ascii="Calibri" w:hAnsi="Calibri" w:cs="Calibri"/>
                <w:color w:val="000000"/>
                <w:sz w:val="20"/>
                <w:szCs w:val="20"/>
              </w:rPr>
            </w:pPr>
            <w:r>
              <w:rPr>
                <w:rFonts w:ascii="Calibri" w:hAnsi="Calibri" w:cs="Calibri"/>
                <w:color w:val="000000"/>
                <w:sz w:val="20"/>
                <w:szCs w:val="20"/>
              </w:rPr>
              <w:t>1.00</w:t>
            </w:r>
            <w:r w:rsidRPr="00074A8F">
              <w:rPr>
                <w:rFonts w:ascii="Calibri" w:hAnsi="Calibri" w:cs="Calibri"/>
                <w:color w:val="000000"/>
                <w:sz w:val="20"/>
                <w:szCs w:val="20"/>
              </w:rPr>
              <w:t xml:space="preserve"> (</w:t>
            </w:r>
            <w:r>
              <w:rPr>
                <w:rFonts w:ascii="Calibri" w:hAnsi="Calibri" w:cs="Calibri"/>
                <w:color w:val="000000"/>
                <w:sz w:val="20"/>
                <w:szCs w:val="20"/>
              </w:rPr>
              <w:t>1.00</w:t>
            </w:r>
            <w:r w:rsidRPr="00074A8F">
              <w:rPr>
                <w:rFonts w:ascii="Calibri" w:hAnsi="Calibri" w:cs="Calibri"/>
                <w:color w:val="000000"/>
                <w:sz w:val="20"/>
                <w:szCs w:val="20"/>
              </w:rPr>
              <w:t>-1.00)</w:t>
            </w:r>
          </w:p>
        </w:tc>
        <w:tc>
          <w:tcPr>
            <w:tcW w:w="850" w:type="dxa"/>
            <w:shd w:val="clear" w:color="auto" w:fill="auto"/>
            <w:noWrap/>
            <w:vAlign w:val="bottom"/>
          </w:tcPr>
          <w:p w14:paraId="019EE667"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0.58</w:t>
            </w:r>
            <w:r>
              <w:rPr>
                <w:rFonts w:ascii="Calibri" w:hAnsi="Calibri" w:cs="Calibri"/>
                <w:color w:val="000000"/>
                <w:sz w:val="20"/>
                <w:szCs w:val="20"/>
              </w:rPr>
              <w:t>4</w:t>
            </w:r>
          </w:p>
        </w:tc>
      </w:tr>
      <w:tr w:rsidR="00391A54" w:rsidRPr="00074A8F" w14:paraId="005B2D8C" w14:textId="77777777" w:rsidTr="00143EF1">
        <w:trPr>
          <w:trHeight w:val="320"/>
        </w:trPr>
        <w:tc>
          <w:tcPr>
            <w:tcW w:w="2640" w:type="dxa"/>
            <w:shd w:val="clear" w:color="auto" w:fill="auto"/>
            <w:noWrap/>
            <w:vAlign w:val="bottom"/>
          </w:tcPr>
          <w:p w14:paraId="52B8FF35"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Platelets</w:t>
            </w:r>
            <w:r>
              <w:rPr>
                <w:rFonts w:ascii="Calibri" w:hAnsi="Calibri" w:cs="Calibri"/>
                <w:color w:val="000000"/>
                <w:sz w:val="20"/>
                <w:szCs w:val="20"/>
              </w:rPr>
              <w:t xml:space="preserve"> </w:t>
            </w:r>
            <w:r w:rsidRPr="00010808">
              <w:rPr>
                <w:rFonts w:ascii="Calibri" w:eastAsia="Times New Roman" w:hAnsi="Calibri" w:cs="Times New Roman"/>
                <w:lang w:eastAsia="en-GB"/>
              </w:rPr>
              <w:t>(10</w:t>
            </w:r>
            <w:r w:rsidRPr="00010808">
              <w:rPr>
                <w:rFonts w:ascii="Calibri" w:eastAsia="Times New Roman" w:hAnsi="Calibri" w:cs="Times New Roman"/>
                <w:vertAlign w:val="superscript"/>
                <w:lang w:eastAsia="en-GB"/>
              </w:rPr>
              <w:t>9</w:t>
            </w:r>
            <w:r w:rsidRPr="00010808">
              <w:rPr>
                <w:rFonts w:ascii="Calibri" w:eastAsia="Times New Roman" w:hAnsi="Calibri" w:cs="Times New Roman"/>
                <w:lang w:eastAsia="en-GB"/>
              </w:rPr>
              <w:t>/L)</w:t>
            </w:r>
          </w:p>
        </w:tc>
        <w:tc>
          <w:tcPr>
            <w:tcW w:w="2322" w:type="dxa"/>
            <w:shd w:val="clear" w:color="auto" w:fill="auto"/>
            <w:noWrap/>
            <w:vAlign w:val="bottom"/>
          </w:tcPr>
          <w:p w14:paraId="1E236C86" w14:textId="77777777" w:rsidR="00391A54" w:rsidRPr="00074A8F" w:rsidRDefault="00391A54" w:rsidP="00143EF1">
            <w:pPr>
              <w:jc w:val="center"/>
              <w:rPr>
                <w:rFonts w:ascii="Calibri" w:hAnsi="Calibri" w:cs="Calibri"/>
                <w:color w:val="000000"/>
                <w:sz w:val="20"/>
                <w:szCs w:val="20"/>
              </w:rPr>
            </w:pPr>
            <w:r>
              <w:rPr>
                <w:rFonts w:ascii="Calibri" w:hAnsi="Calibri" w:cs="Calibri"/>
                <w:color w:val="000000"/>
                <w:sz w:val="20"/>
                <w:szCs w:val="20"/>
              </w:rPr>
              <w:t>1.00</w:t>
            </w:r>
            <w:r w:rsidRPr="00074A8F">
              <w:rPr>
                <w:rFonts w:ascii="Calibri" w:hAnsi="Calibri" w:cs="Calibri"/>
                <w:color w:val="000000"/>
                <w:sz w:val="20"/>
                <w:szCs w:val="20"/>
              </w:rPr>
              <w:t xml:space="preserve"> (0.9</w:t>
            </w:r>
            <w:r>
              <w:rPr>
                <w:rFonts w:ascii="Calibri" w:hAnsi="Calibri" w:cs="Calibri"/>
                <w:color w:val="000000"/>
                <w:sz w:val="20"/>
                <w:szCs w:val="20"/>
              </w:rPr>
              <w:t>9</w:t>
            </w:r>
            <w:r w:rsidRPr="00074A8F">
              <w:rPr>
                <w:rFonts w:ascii="Calibri" w:hAnsi="Calibri" w:cs="Calibri"/>
                <w:color w:val="000000"/>
                <w:sz w:val="20"/>
                <w:szCs w:val="20"/>
              </w:rPr>
              <w:t>-1.00)</w:t>
            </w:r>
          </w:p>
        </w:tc>
        <w:tc>
          <w:tcPr>
            <w:tcW w:w="992" w:type="dxa"/>
            <w:shd w:val="clear" w:color="auto" w:fill="auto"/>
            <w:noWrap/>
            <w:vAlign w:val="bottom"/>
          </w:tcPr>
          <w:p w14:paraId="5007031B"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0.507</w:t>
            </w:r>
          </w:p>
        </w:tc>
        <w:tc>
          <w:tcPr>
            <w:tcW w:w="2410" w:type="dxa"/>
            <w:shd w:val="clear" w:color="auto" w:fill="auto"/>
            <w:noWrap/>
            <w:vAlign w:val="bottom"/>
          </w:tcPr>
          <w:p w14:paraId="380F0604" w14:textId="77777777" w:rsidR="00391A54" w:rsidRPr="00074A8F" w:rsidRDefault="00391A54" w:rsidP="00143EF1">
            <w:pPr>
              <w:jc w:val="center"/>
              <w:rPr>
                <w:rFonts w:ascii="Calibri" w:hAnsi="Calibri" w:cs="Calibri"/>
                <w:color w:val="000000"/>
                <w:sz w:val="20"/>
                <w:szCs w:val="20"/>
              </w:rPr>
            </w:pPr>
            <w:r>
              <w:rPr>
                <w:rFonts w:ascii="Calibri" w:hAnsi="Calibri" w:cs="Calibri"/>
                <w:color w:val="000000"/>
                <w:sz w:val="20"/>
                <w:szCs w:val="20"/>
              </w:rPr>
              <w:t>1.00</w:t>
            </w:r>
            <w:r w:rsidRPr="00074A8F">
              <w:rPr>
                <w:rFonts w:ascii="Calibri" w:hAnsi="Calibri" w:cs="Calibri"/>
                <w:color w:val="000000"/>
                <w:sz w:val="20"/>
                <w:szCs w:val="20"/>
              </w:rPr>
              <w:t xml:space="preserve"> (0.9</w:t>
            </w:r>
            <w:r>
              <w:rPr>
                <w:rFonts w:ascii="Calibri" w:hAnsi="Calibri" w:cs="Calibri"/>
                <w:color w:val="000000"/>
                <w:sz w:val="20"/>
                <w:szCs w:val="20"/>
              </w:rPr>
              <w:t>9</w:t>
            </w:r>
            <w:r w:rsidRPr="00074A8F">
              <w:rPr>
                <w:rFonts w:ascii="Calibri" w:hAnsi="Calibri" w:cs="Calibri"/>
                <w:color w:val="000000"/>
                <w:sz w:val="20"/>
                <w:szCs w:val="20"/>
              </w:rPr>
              <w:t>-1.00)</w:t>
            </w:r>
          </w:p>
        </w:tc>
        <w:tc>
          <w:tcPr>
            <w:tcW w:w="850" w:type="dxa"/>
            <w:shd w:val="clear" w:color="auto" w:fill="auto"/>
            <w:noWrap/>
            <w:vAlign w:val="bottom"/>
          </w:tcPr>
          <w:p w14:paraId="33668DD0"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0.12</w:t>
            </w:r>
            <w:r>
              <w:rPr>
                <w:rFonts w:ascii="Calibri" w:hAnsi="Calibri" w:cs="Calibri"/>
                <w:color w:val="000000"/>
                <w:sz w:val="20"/>
                <w:szCs w:val="20"/>
              </w:rPr>
              <w:t>5</w:t>
            </w:r>
          </w:p>
        </w:tc>
      </w:tr>
      <w:tr w:rsidR="00391A54" w:rsidRPr="00074A8F" w14:paraId="22F7D44D" w14:textId="77777777" w:rsidTr="00143EF1">
        <w:trPr>
          <w:trHeight w:val="320"/>
        </w:trPr>
        <w:tc>
          <w:tcPr>
            <w:tcW w:w="2640" w:type="dxa"/>
            <w:shd w:val="clear" w:color="auto" w:fill="auto"/>
            <w:noWrap/>
            <w:vAlign w:val="bottom"/>
          </w:tcPr>
          <w:p w14:paraId="44EF0430"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Ferritin</w:t>
            </w:r>
            <w:r>
              <w:rPr>
                <w:rFonts w:ascii="Calibri" w:hAnsi="Calibri" w:cs="Calibri"/>
                <w:color w:val="000000"/>
                <w:sz w:val="20"/>
                <w:szCs w:val="20"/>
              </w:rPr>
              <w:t xml:space="preserve"> (µg/L)</w:t>
            </w:r>
          </w:p>
        </w:tc>
        <w:tc>
          <w:tcPr>
            <w:tcW w:w="2322" w:type="dxa"/>
            <w:shd w:val="clear" w:color="auto" w:fill="auto"/>
            <w:noWrap/>
            <w:vAlign w:val="bottom"/>
          </w:tcPr>
          <w:p w14:paraId="20808559" w14:textId="77777777" w:rsidR="00391A54" w:rsidRPr="00074A8F" w:rsidRDefault="00391A54" w:rsidP="00143EF1">
            <w:pPr>
              <w:jc w:val="center"/>
              <w:rPr>
                <w:rFonts w:ascii="Calibri" w:hAnsi="Calibri" w:cs="Calibri"/>
                <w:color w:val="000000"/>
                <w:sz w:val="20"/>
                <w:szCs w:val="20"/>
              </w:rPr>
            </w:pPr>
            <w:r>
              <w:rPr>
                <w:rFonts w:ascii="Calibri" w:hAnsi="Calibri" w:cs="Calibri"/>
                <w:color w:val="000000"/>
                <w:sz w:val="20"/>
                <w:szCs w:val="20"/>
              </w:rPr>
              <w:t>1.00</w:t>
            </w:r>
            <w:r w:rsidRPr="00074A8F">
              <w:rPr>
                <w:rFonts w:ascii="Calibri" w:hAnsi="Calibri" w:cs="Calibri"/>
                <w:color w:val="000000"/>
                <w:sz w:val="20"/>
                <w:szCs w:val="20"/>
              </w:rPr>
              <w:t xml:space="preserve"> (</w:t>
            </w:r>
            <w:r>
              <w:rPr>
                <w:rFonts w:ascii="Calibri" w:hAnsi="Calibri" w:cs="Calibri"/>
                <w:color w:val="000000"/>
                <w:sz w:val="20"/>
                <w:szCs w:val="20"/>
              </w:rPr>
              <w:t>1.00</w:t>
            </w:r>
            <w:r w:rsidRPr="00074A8F">
              <w:rPr>
                <w:rFonts w:ascii="Calibri" w:hAnsi="Calibri" w:cs="Calibri"/>
                <w:color w:val="000000"/>
                <w:sz w:val="20"/>
                <w:szCs w:val="20"/>
              </w:rPr>
              <w:t>-1.00)</w:t>
            </w:r>
          </w:p>
        </w:tc>
        <w:tc>
          <w:tcPr>
            <w:tcW w:w="992" w:type="dxa"/>
            <w:shd w:val="clear" w:color="auto" w:fill="auto"/>
            <w:noWrap/>
            <w:vAlign w:val="bottom"/>
          </w:tcPr>
          <w:p w14:paraId="7D887C5F"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0.731</w:t>
            </w:r>
          </w:p>
        </w:tc>
        <w:tc>
          <w:tcPr>
            <w:tcW w:w="2410" w:type="dxa"/>
            <w:shd w:val="clear" w:color="auto" w:fill="auto"/>
            <w:noWrap/>
            <w:vAlign w:val="bottom"/>
          </w:tcPr>
          <w:p w14:paraId="78184EE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w:t>
            </w:r>
            <w:r>
              <w:rPr>
                <w:rFonts w:ascii="Calibri" w:hAnsi="Calibri" w:cs="Calibri"/>
                <w:color w:val="000000"/>
                <w:sz w:val="20"/>
                <w:szCs w:val="20"/>
              </w:rPr>
              <w:t>1.00</w:t>
            </w:r>
            <w:r w:rsidRPr="00074A8F">
              <w:rPr>
                <w:rFonts w:ascii="Calibri" w:hAnsi="Calibri" w:cs="Calibri"/>
                <w:color w:val="000000"/>
                <w:sz w:val="20"/>
                <w:szCs w:val="20"/>
              </w:rPr>
              <w:t>-1.00)</w:t>
            </w:r>
          </w:p>
        </w:tc>
        <w:tc>
          <w:tcPr>
            <w:tcW w:w="850" w:type="dxa"/>
            <w:shd w:val="clear" w:color="auto" w:fill="auto"/>
            <w:noWrap/>
            <w:vAlign w:val="bottom"/>
          </w:tcPr>
          <w:p w14:paraId="5798FB91" w14:textId="77777777" w:rsidR="00391A54" w:rsidRPr="004A6A62" w:rsidRDefault="00391A54" w:rsidP="00143EF1">
            <w:pPr>
              <w:jc w:val="center"/>
              <w:rPr>
                <w:rFonts w:ascii="Calibri" w:hAnsi="Calibri" w:cs="Calibri"/>
                <w:b/>
                <w:bCs/>
                <w:sz w:val="20"/>
                <w:szCs w:val="20"/>
              </w:rPr>
            </w:pPr>
            <w:r w:rsidRPr="00074A8F">
              <w:rPr>
                <w:rFonts w:ascii="Calibri" w:hAnsi="Calibri" w:cs="Calibri"/>
                <w:color w:val="000000"/>
                <w:sz w:val="20"/>
                <w:szCs w:val="20"/>
              </w:rPr>
              <w:t>0.176</w:t>
            </w:r>
          </w:p>
        </w:tc>
      </w:tr>
      <w:tr w:rsidR="00391A54" w:rsidRPr="00074A8F" w14:paraId="5A9C82BC" w14:textId="77777777" w:rsidTr="00143EF1">
        <w:trPr>
          <w:trHeight w:val="320"/>
        </w:trPr>
        <w:tc>
          <w:tcPr>
            <w:tcW w:w="2640" w:type="dxa"/>
            <w:shd w:val="clear" w:color="auto" w:fill="auto"/>
            <w:noWrap/>
            <w:vAlign w:val="bottom"/>
          </w:tcPr>
          <w:p w14:paraId="189853A9"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Troponin</w:t>
            </w:r>
            <w:r>
              <w:rPr>
                <w:rFonts w:ascii="Calibri" w:hAnsi="Calibri" w:cs="Calibri"/>
                <w:color w:val="000000"/>
                <w:sz w:val="20"/>
                <w:szCs w:val="20"/>
              </w:rPr>
              <w:t xml:space="preserve"> (ng/ml)</w:t>
            </w:r>
          </w:p>
        </w:tc>
        <w:tc>
          <w:tcPr>
            <w:tcW w:w="2322" w:type="dxa"/>
            <w:shd w:val="clear" w:color="auto" w:fill="auto"/>
            <w:noWrap/>
            <w:vAlign w:val="bottom"/>
          </w:tcPr>
          <w:p w14:paraId="26CE2B06"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w:t>
            </w:r>
            <w:r>
              <w:rPr>
                <w:rFonts w:ascii="Calibri" w:hAnsi="Calibri" w:cs="Calibri"/>
                <w:color w:val="000000"/>
                <w:sz w:val="20"/>
                <w:szCs w:val="20"/>
              </w:rPr>
              <w:t>1.00-</w:t>
            </w:r>
            <w:r w:rsidRPr="00074A8F">
              <w:rPr>
                <w:rFonts w:ascii="Calibri" w:hAnsi="Calibri" w:cs="Calibri"/>
                <w:color w:val="000000"/>
                <w:sz w:val="20"/>
                <w:szCs w:val="20"/>
              </w:rPr>
              <w:t>1.00)</w:t>
            </w:r>
          </w:p>
        </w:tc>
        <w:tc>
          <w:tcPr>
            <w:tcW w:w="992" w:type="dxa"/>
            <w:shd w:val="clear" w:color="auto" w:fill="auto"/>
            <w:noWrap/>
            <w:vAlign w:val="bottom"/>
          </w:tcPr>
          <w:p w14:paraId="4E555A99"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0.346</w:t>
            </w:r>
          </w:p>
        </w:tc>
        <w:tc>
          <w:tcPr>
            <w:tcW w:w="2410" w:type="dxa"/>
            <w:shd w:val="clear" w:color="auto" w:fill="auto"/>
            <w:noWrap/>
            <w:vAlign w:val="bottom"/>
          </w:tcPr>
          <w:p w14:paraId="3B817C1E" w14:textId="77777777" w:rsidR="00391A54" w:rsidRPr="00074A8F" w:rsidRDefault="00391A54" w:rsidP="00143EF1">
            <w:pPr>
              <w:jc w:val="center"/>
              <w:rPr>
                <w:rFonts w:ascii="Calibri" w:hAnsi="Calibri" w:cs="Calibri"/>
                <w:color w:val="000000"/>
                <w:sz w:val="20"/>
                <w:szCs w:val="20"/>
              </w:rPr>
            </w:pPr>
            <w:r>
              <w:rPr>
                <w:rFonts w:ascii="Calibri" w:hAnsi="Calibri" w:cs="Calibri"/>
                <w:color w:val="000000"/>
                <w:sz w:val="20"/>
                <w:szCs w:val="20"/>
              </w:rPr>
              <w:t>1.00</w:t>
            </w:r>
            <w:r w:rsidRPr="00074A8F">
              <w:rPr>
                <w:rFonts w:ascii="Calibri" w:hAnsi="Calibri" w:cs="Calibri"/>
                <w:color w:val="000000"/>
                <w:sz w:val="20"/>
                <w:szCs w:val="20"/>
              </w:rPr>
              <w:t xml:space="preserve"> (0.99-1.00)</w:t>
            </w:r>
          </w:p>
        </w:tc>
        <w:tc>
          <w:tcPr>
            <w:tcW w:w="850" w:type="dxa"/>
            <w:shd w:val="clear" w:color="auto" w:fill="auto"/>
            <w:noWrap/>
            <w:vAlign w:val="bottom"/>
          </w:tcPr>
          <w:p w14:paraId="7183713F" w14:textId="77777777" w:rsidR="00391A54" w:rsidRPr="004A6A62" w:rsidRDefault="00391A54" w:rsidP="00143EF1">
            <w:pPr>
              <w:jc w:val="center"/>
              <w:rPr>
                <w:rFonts w:ascii="Calibri" w:hAnsi="Calibri" w:cs="Calibri"/>
                <w:b/>
                <w:bCs/>
                <w:sz w:val="20"/>
                <w:szCs w:val="20"/>
              </w:rPr>
            </w:pPr>
            <w:r w:rsidRPr="00074A8F">
              <w:rPr>
                <w:rFonts w:ascii="Calibri" w:hAnsi="Calibri" w:cs="Calibri"/>
                <w:color w:val="000000"/>
                <w:sz w:val="20"/>
                <w:szCs w:val="20"/>
              </w:rPr>
              <w:t>0.637</w:t>
            </w:r>
          </w:p>
        </w:tc>
      </w:tr>
      <w:tr w:rsidR="00391A54" w:rsidRPr="00074A8F" w14:paraId="18EDD4FA" w14:textId="77777777" w:rsidTr="00143EF1">
        <w:trPr>
          <w:trHeight w:val="320"/>
        </w:trPr>
        <w:tc>
          <w:tcPr>
            <w:tcW w:w="2640" w:type="dxa"/>
            <w:shd w:val="clear" w:color="auto" w:fill="auto"/>
            <w:noWrap/>
            <w:vAlign w:val="bottom"/>
          </w:tcPr>
          <w:p w14:paraId="41504216"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 xml:space="preserve">Ct value (viral load) </w:t>
            </w:r>
          </w:p>
        </w:tc>
        <w:tc>
          <w:tcPr>
            <w:tcW w:w="2322" w:type="dxa"/>
            <w:shd w:val="clear" w:color="auto" w:fill="auto"/>
            <w:noWrap/>
            <w:vAlign w:val="bottom"/>
          </w:tcPr>
          <w:p w14:paraId="3F040D06"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0.8</w:t>
            </w:r>
            <w:r>
              <w:rPr>
                <w:rFonts w:ascii="Calibri" w:hAnsi="Calibri" w:cs="Calibri"/>
                <w:color w:val="000000"/>
                <w:sz w:val="20"/>
                <w:szCs w:val="20"/>
              </w:rPr>
              <w:t>4</w:t>
            </w:r>
            <w:r w:rsidRPr="00074A8F">
              <w:rPr>
                <w:rFonts w:ascii="Calibri" w:hAnsi="Calibri" w:cs="Calibri"/>
                <w:color w:val="000000"/>
                <w:sz w:val="20"/>
                <w:szCs w:val="20"/>
              </w:rPr>
              <w:t xml:space="preserve"> (0.72-0.9</w:t>
            </w:r>
            <w:r>
              <w:rPr>
                <w:rFonts w:ascii="Calibri" w:hAnsi="Calibri" w:cs="Calibri"/>
                <w:color w:val="000000"/>
                <w:sz w:val="20"/>
                <w:szCs w:val="20"/>
              </w:rPr>
              <w:t>6</w:t>
            </w:r>
            <w:r w:rsidRPr="00074A8F">
              <w:rPr>
                <w:rFonts w:ascii="Calibri" w:hAnsi="Calibri" w:cs="Calibri"/>
                <w:color w:val="000000"/>
                <w:sz w:val="20"/>
                <w:szCs w:val="20"/>
              </w:rPr>
              <w:t>)</w:t>
            </w:r>
          </w:p>
        </w:tc>
        <w:tc>
          <w:tcPr>
            <w:tcW w:w="992" w:type="dxa"/>
            <w:shd w:val="clear" w:color="auto" w:fill="auto"/>
            <w:noWrap/>
            <w:vAlign w:val="bottom"/>
          </w:tcPr>
          <w:p w14:paraId="19748084" w14:textId="77777777" w:rsidR="00391A54" w:rsidRPr="00074A8F" w:rsidRDefault="00391A54" w:rsidP="00143EF1">
            <w:pPr>
              <w:jc w:val="center"/>
              <w:rPr>
                <w:rFonts w:ascii="Calibri" w:hAnsi="Calibri" w:cs="Calibri"/>
                <w:color w:val="000000"/>
                <w:sz w:val="20"/>
                <w:szCs w:val="20"/>
              </w:rPr>
            </w:pPr>
            <w:r w:rsidRPr="004A6A62">
              <w:rPr>
                <w:rFonts w:ascii="Calibri" w:hAnsi="Calibri" w:cs="Calibri"/>
                <w:b/>
                <w:bCs/>
                <w:sz w:val="20"/>
                <w:szCs w:val="20"/>
              </w:rPr>
              <w:t>0.011</w:t>
            </w:r>
          </w:p>
        </w:tc>
        <w:tc>
          <w:tcPr>
            <w:tcW w:w="2410" w:type="dxa"/>
            <w:shd w:val="clear" w:color="auto" w:fill="auto"/>
            <w:noWrap/>
            <w:vAlign w:val="bottom"/>
          </w:tcPr>
          <w:p w14:paraId="2572F98F"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4</w:t>
            </w:r>
            <w:r w:rsidRPr="00074A8F">
              <w:rPr>
                <w:rFonts w:ascii="Calibri" w:hAnsi="Calibri" w:cs="Calibri"/>
                <w:color w:val="000000"/>
                <w:sz w:val="20"/>
                <w:szCs w:val="20"/>
              </w:rPr>
              <w:t xml:space="preserve"> (0.93-1.16)</w:t>
            </w:r>
          </w:p>
        </w:tc>
        <w:tc>
          <w:tcPr>
            <w:tcW w:w="850" w:type="dxa"/>
            <w:shd w:val="clear" w:color="auto" w:fill="auto"/>
            <w:noWrap/>
            <w:vAlign w:val="bottom"/>
          </w:tcPr>
          <w:p w14:paraId="46DC9FDE" w14:textId="77777777" w:rsidR="00391A54" w:rsidRPr="004A6A62" w:rsidRDefault="00391A54" w:rsidP="00143EF1">
            <w:pPr>
              <w:jc w:val="center"/>
              <w:rPr>
                <w:rFonts w:ascii="Calibri" w:hAnsi="Calibri" w:cs="Calibri"/>
                <w:b/>
                <w:bCs/>
                <w:sz w:val="20"/>
                <w:szCs w:val="20"/>
              </w:rPr>
            </w:pPr>
            <w:r w:rsidRPr="00074A8F">
              <w:rPr>
                <w:rFonts w:ascii="Calibri" w:hAnsi="Calibri" w:cs="Calibri"/>
                <w:color w:val="000000"/>
                <w:sz w:val="20"/>
                <w:szCs w:val="20"/>
              </w:rPr>
              <w:t>0.50</w:t>
            </w:r>
            <w:r>
              <w:rPr>
                <w:rFonts w:ascii="Calibri" w:hAnsi="Calibri" w:cs="Calibri"/>
                <w:color w:val="000000"/>
                <w:sz w:val="20"/>
                <w:szCs w:val="20"/>
              </w:rPr>
              <w:t>7</w:t>
            </w:r>
          </w:p>
        </w:tc>
      </w:tr>
      <w:tr w:rsidR="00AC3072" w:rsidRPr="00074A8F" w14:paraId="6043E410" w14:textId="77777777" w:rsidTr="00AC3072">
        <w:trPr>
          <w:trHeight w:val="320"/>
        </w:trPr>
        <w:tc>
          <w:tcPr>
            <w:tcW w:w="2640" w:type="dxa"/>
            <w:shd w:val="clear" w:color="auto" w:fill="auto"/>
            <w:noWrap/>
            <w:vAlign w:val="bottom"/>
          </w:tcPr>
          <w:p w14:paraId="77103FAD" w14:textId="77777777" w:rsidR="00AC3072" w:rsidRPr="00A75D88" w:rsidRDefault="00AC3072" w:rsidP="00143EF1">
            <w:pPr>
              <w:rPr>
                <w:rFonts w:ascii="Calibri" w:hAnsi="Calibri" w:cs="Calibri"/>
                <w:b/>
                <w:color w:val="000000"/>
                <w:sz w:val="20"/>
                <w:szCs w:val="20"/>
              </w:rPr>
            </w:pPr>
            <w:r w:rsidRPr="00A75D88">
              <w:rPr>
                <w:rFonts w:ascii="Calibri" w:hAnsi="Calibri" w:cs="Calibri"/>
                <w:b/>
                <w:color w:val="000000"/>
                <w:sz w:val="20"/>
                <w:szCs w:val="20"/>
              </w:rPr>
              <w:t>Interaction terms</w:t>
            </w:r>
          </w:p>
        </w:tc>
        <w:tc>
          <w:tcPr>
            <w:tcW w:w="6574" w:type="dxa"/>
            <w:gridSpan w:val="4"/>
            <w:shd w:val="clear" w:color="auto" w:fill="auto"/>
            <w:noWrap/>
            <w:vAlign w:val="bottom"/>
          </w:tcPr>
          <w:p w14:paraId="44FAB022" w14:textId="77777777" w:rsidR="00AC3072" w:rsidRPr="004A6A62" w:rsidRDefault="00AC3072" w:rsidP="00143EF1">
            <w:pPr>
              <w:jc w:val="center"/>
              <w:rPr>
                <w:rFonts w:ascii="Calibri" w:hAnsi="Calibri" w:cs="Calibri"/>
                <w:b/>
                <w:bCs/>
                <w:sz w:val="20"/>
                <w:szCs w:val="20"/>
              </w:rPr>
            </w:pPr>
          </w:p>
        </w:tc>
      </w:tr>
      <w:tr w:rsidR="00391A54" w:rsidRPr="00074A8F" w14:paraId="4EB7B2E4" w14:textId="77777777" w:rsidTr="00143EF1">
        <w:trPr>
          <w:trHeight w:val="320"/>
        </w:trPr>
        <w:tc>
          <w:tcPr>
            <w:tcW w:w="2640" w:type="dxa"/>
            <w:shd w:val="clear" w:color="auto" w:fill="auto"/>
            <w:noWrap/>
            <w:vAlign w:val="bottom"/>
            <w:hideMark/>
          </w:tcPr>
          <w:p w14:paraId="2791203E"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Ct Value x age</w:t>
            </w:r>
          </w:p>
        </w:tc>
        <w:tc>
          <w:tcPr>
            <w:tcW w:w="2322" w:type="dxa"/>
            <w:shd w:val="clear" w:color="auto" w:fill="auto"/>
            <w:noWrap/>
            <w:vAlign w:val="bottom"/>
            <w:hideMark/>
          </w:tcPr>
          <w:p w14:paraId="058EA99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w:t>
            </w:r>
            <w:r>
              <w:rPr>
                <w:rFonts w:ascii="Calibri" w:hAnsi="Calibri" w:cs="Calibri"/>
                <w:color w:val="000000"/>
                <w:sz w:val="20"/>
                <w:szCs w:val="20"/>
              </w:rPr>
              <w:t>1.00</w:t>
            </w:r>
            <w:r w:rsidRPr="00074A8F">
              <w:rPr>
                <w:rFonts w:ascii="Calibri" w:hAnsi="Calibri" w:cs="Calibri"/>
                <w:color w:val="000000"/>
                <w:sz w:val="20"/>
                <w:szCs w:val="20"/>
              </w:rPr>
              <w:t>-1.0</w:t>
            </w:r>
            <w:r>
              <w:rPr>
                <w:rFonts w:ascii="Calibri" w:hAnsi="Calibri" w:cs="Calibri"/>
                <w:color w:val="000000"/>
                <w:sz w:val="20"/>
                <w:szCs w:val="20"/>
              </w:rPr>
              <w:t>1</w:t>
            </w:r>
            <w:r w:rsidRPr="00074A8F">
              <w:rPr>
                <w:rFonts w:ascii="Calibri" w:hAnsi="Calibri" w:cs="Calibri"/>
                <w:color w:val="000000"/>
                <w:sz w:val="20"/>
                <w:szCs w:val="20"/>
              </w:rPr>
              <w:t>)</w:t>
            </w:r>
          </w:p>
        </w:tc>
        <w:tc>
          <w:tcPr>
            <w:tcW w:w="992" w:type="dxa"/>
            <w:shd w:val="clear" w:color="auto" w:fill="auto"/>
            <w:noWrap/>
            <w:vAlign w:val="bottom"/>
            <w:hideMark/>
          </w:tcPr>
          <w:p w14:paraId="4D0DC3A0"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0.325</w:t>
            </w:r>
          </w:p>
        </w:tc>
        <w:tc>
          <w:tcPr>
            <w:tcW w:w="2410" w:type="dxa"/>
            <w:shd w:val="clear" w:color="auto" w:fill="auto"/>
            <w:noWrap/>
            <w:vAlign w:val="bottom"/>
            <w:hideMark/>
          </w:tcPr>
          <w:p w14:paraId="2416B7E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1</w:t>
            </w:r>
            <w:r w:rsidRPr="00074A8F">
              <w:rPr>
                <w:rFonts w:ascii="Calibri" w:hAnsi="Calibri" w:cs="Calibri"/>
                <w:color w:val="000000"/>
                <w:sz w:val="20"/>
                <w:szCs w:val="20"/>
              </w:rPr>
              <w:t xml:space="preserve"> (1.00-1.01)</w:t>
            </w:r>
          </w:p>
        </w:tc>
        <w:tc>
          <w:tcPr>
            <w:tcW w:w="850" w:type="dxa"/>
            <w:shd w:val="clear" w:color="auto" w:fill="auto"/>
            <w:noWrap/>
            <w:vAlign w:val="bottom"/>
            <w:hideMark/>
          </w:tcPr>
          <w:p w14:paraId="169AE108" w14:textId="77777777" w:rsidR="00391A54" w:rsidRPr="004A6A62" w:rsidRDefault="00391A54" w:rsidP="00143EF1">
            <w:pPr>
              <w:jc w:val="center"/>
              <w:rPr>
                <w:rFonts w:ascii="Calibri" w:hAnsi="Calibri" w:cs="Calibri"/>
                <w:b/>
                <w:bCs/>
                <w:sz w:val="20"/>
                <w:szCs w:val="20"/>
              </w:rPr>
            </w:pPr>
            <w:r w:rsidRPr="004A6A62">
              <w:rPr>
                <w:rFonts w:ascii="Calibri" w:hAnsi="Calibri" w:cs="Calibri"/>
                <w:b/>
                <w:bCs/>
                <w:sz w:val="20"/>
                <w:szCs w:val="20"/>
              </w:rPr>
              <w:t>0.0</w:t>
            </w:r>
            <w:r>
              <w:rPr>
                <w:rFonts w:ascii="Calibri" w:hAnsi="Calibri" w:cs="Calibri"/>
                <w:b/>
                <w:bCs/>
                <w:sz w:val="20"/>
                <w:szCs w:val="20"/>
              </w:rPr>
              <w:t>40</w:t>
            </w:r>
          </w:p>
        </w:tc>
      </w:tr>
      <w:tr w:rsidR="00391A54" w:rsidRPr="00074A8F" w14:paraId="1032FCDE" w14:textId="77777777" w:rsidTr="00143EF1">
        <w:trPr>
          <w:trHeight w:val="320"/>
        </w:trPr>
        <w:tc>
          <w:tcPr>
            <w:tcW w:w="2640" w:type="dxa"/>
            <w:shd w:val="clear" w:color="auto" w:fill="auto"/>
            <w:noWrap/>
            <w:vAlign w:val="bottom"/>
            <w:hideMark/>
          </w:tcPr>
          <w:p w14:paraId="7856BD80"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Symptoms days x age</w:t>
            </w:r>
          </w:p>
        </w:tc>
        <w:tc>
          <w:tcPr>
            <w:tcW w:w="2322" w:type="dxa"/>
            <w:shd w:val="clear" w:color="auto" w:fill="auto"/>
            <w:noWrap/>
            <w:vAlign w:val="bottom"/>
            <w:hideMark/>
          </w:tcPr>
          <w:p w14:paraId="32B0CE30"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1.02 (1.01-1.0</w:t>
            </w:r>
            <w:r>
              <w:rPr>
                <w:rFonts w:ascii="Calibri" w:hAnsi="Calibri" w:cs="Calibri"/>
                <w:color w:val="000000"/>
                <w:sz w:val="20"/>
                <w:szCs w:val="20"/>
              </w:rPr>
              <w:t>4</w:t>
            </w:r>
            <w:r w:rsidRPr="00074A8F">
              <w:rPr>
                <w:rFonts w:ascii="Calibri" w:hAnsi="Calibri" w:cs="Calibri"/>
                <w:color w:val="000000"/>
                <w:sz w:val="20"/>
                <w:szCs w:val="20"/>
              </w:rPr>
              <w:t>)</w:t>
            </w:r>
          </w:p>
        </w:tc>
        <w:tc>
          <w:tcPr>
            <w:tcW w:w="992" w:type="dxa"/>
            <w:shd w:val="clear" w:color="auto" w:fill="auto"/>
            <w:noWrap/>
            <w:vAlign w:val="bottom"/>
            <w:hideMark/>
          </w:tcPr>
          <w:p w14:paraId="43E2D67D" w14:textId="77777777" w:rsidR="00391A54" w:rsidRPr="00074A8F" w:rsidRDefault="00391A54" w:rsidP="00143EF1">
            <w:pPr>
              <w:jc w:val="center"/>
              <w:rPr>
                <w:rFonts w:ascii="Calibri" w:hAnsi="Calibri" w:cs="Calibri"/>
                <w:b/>
                <w:bCs/>
                <w:color w:val="FF0000"/>
                <w:sz w:val="20"/>
                <w:szCs w:val="20"/>
              </w:rPr>
            </w:pPr>
            <w:r w:rsidRPr="00EE452B">
              <w:rPr>
                <w:rFonts w:ascii="Calibri" w:hAnsi="Calibri" w:cs="Calibri"/>
                <w:b/>
                <w:bCs/>
                <w:color w:val="000000" w:themeColor="text1"/>
                <w:sz w:val="20"/>
                <w:szCs w:val="20"/>
              </w:rPr>
              <w:t>0.00</w:t>
            </w:r>
            <w:r>
              <w:rPr>
                <w:rFonts w:ascii="Calibri" w:hAnsi="Calibri" w:cs="Calibri"/>
                <w:b/>
                <w:bCs/>
                <w:color w:val="000000" w:themeColor="text1"/>
                <w:sz w:val="20"/>
                <w:szCs w:val="20"/>
              </w:rPr>
              <w:t>1</w:t>
            </w:r>
          </w:p>
        </w:tc>
        <w:tc>
          <w:tcPr>
            <w:tcW w:w="2410" w:type="dxa"/>
            <w:shd w:val="clear" w:color="auto" w:fill="auto"/>
            <w:noWrap/>
            <w:vAlign w:val="bottom"/>
            <w:hideMark/>
          </w:tcPr>
          <w:p w14:paraId="704B4516" w14:textId="77777777" w:rsidR="00391A54" w:rsidRPr="00074A8F" w:rsidRDefault="00391A54" w:rsidP="00143EF1">
            <w:pPr>
              <w:jc w:val="center"/>
              <w:rPr>
                <w:rFonts w:ascii="Calibri" w:hAnsi="Calibri" w:cs="Calibri"/>
                <w:color w:val="000000"/>
                <w:sz w:val="20"/>
                <w:szCs w:val="20"/>
              </w:rPr>
            </w:pPr>
            <w:r>
              <w:rPr>
                <w:rFonts w:ascii="Calibri" w:hAnsi="Calibri" w:cs="Calibri"/>
                <w:color w:val="000000"/>
                <w:sz w:val="20"/>
                <w:szCs w:val="20"/>
              </w:rPr>
              <w:t>1.00</w:t>
            </w:r>
            <w:r w:rsidRPr="00074A8F">
              <w:rPr>
                <w:rFonts w:ascii="Calibri" w:hAnsi="Calibri" w:cs="Calibri"/>
                <w:color w:val="000000"/>
                <w:sz w:val="20"/>
                <w:szCs w:val="20"/>
              </w:rPr>
              <w:t xml:space="preserve"> (0.99-1.00)</w:t>
            </w:r>
          </w:p>
        </w:tc>
        <w:tc>
          <w:tcPr>
            <w:tcW w:w="850" w:type="dxa"/>
            <w:shd w:val="clear" w:color="auto" w:fill="auto"/>
            <w:noWrap/>
            <w:vAlign w:val="bottom"/>
            <w:hideMark/>
          </w:tcPr>
          <w:p w14:paraId="12A6485E"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0.72</w:t>
            </w:r>
            <w:r>
              <w:rPr>
                <w:rFonts w:ascii="Calibri" w:hAnsi="Calibri" w:cs="Calibri"/>
                <w:color w:val="000000"/>
                <w:sz w:val="20"/>
                <w:szCs w:val="20"/>
              </w:rPr>
              <w:t>5</w:t>
            </w:r>
          </w:p>
        </w:tc>
      </w:tr>
      <w:tr w:rsidR="00391A54" w:rsidRPr="00074A8F" w14:paraId="4B67380A" w14:textId="77777777" w:rsidTr="00143EF1">
        <w:trPr>
          <w:trHeight w:val="320"/>
        </w:trPr>
        <w:tc>
          <w:tcPr>
            <w:tcW w:w="2640" w:type="dxa"/>
            <w:tcBorders>
              <w:bottom w:val="single" w:sz="4" w:space="0" w:color="auto"/>
            </w:tcBorders>
            <w:shd w:val="clear" w:color="auto" w:fill="auto"/>
            <w:noWrap/>
            <w:vAlign w:val="bottom"/>
            <w:hideMark/>
          </w:tcPr>
          <w:p w14:paraId="0F1B8567" w14:textId="77777777" w:rsidR="00391A54" w:rsidRPr="004245EA" w:rsidRDefault="00391A54" w:rsidP="00143EF1">
            <w:pPr>
              <w:rPr>
                <w:rFonts w:ascii="Calibri" w:hAnsi="Calibri" w:cs="Calibri"/>
                <w:color w:val="000000"/>
                <w:sz w:val="20"/>
                <w:szCs w:val="20"/>
              </w:rPr>
            </w:pPr>
            <w:r w:rsidRPr="004245EA">
              <w:rPr>
                <w:rFonts w:ascii="Calibri" w:hAnsi="Calibri" w:cs="Calibri"/>
                <w:color w:val="000000"/>
                <w:sz w:val="20"/>
                <w:szCs w:val="20"/>
              </w:rPr>
              <w:t>Ct Value x symptom days</w:t>
            </w:r>
          </w:p>
        </w:tc>
        <w:tc>
          <w:tcPr>
            <w:tcW w:w="2322" w:type="dxa"/>
            <w:tcBorders>
              <w:bottom w:val="single" w:sz="4" w:space="0" w:color="auto"/>
            </w:tcBorders>
            <w:shd w:val="clear" w:color="auto" w:fill="auto"/>
            <w:noWrap/>
            <w:vAlign w:val="bottom"/>
            <w:hideMark/>
          </w:tcPr>
          <w:p w14:paraId="2DD96F1A"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w:t>
            </w:r>
            <w:r>
              <w:rPr>
                <w:rFonts w:ascii="Calibri" w:hAnsi="Calibri" w:cs="Calibri"/>
                <w:color w:val="000000"/>
                <w:sz w:val="20"/>
                <w:szCs w:val="20"/>
              </w:rPr>
              <w:t>1</w:t>
            </w:r>
            <w:r w:rsidRPr="00074A8F">
              <w:rPr>
                <w:rFonts w:ascii="Calibri" w:hAnsi="Calibri" w:cs="Calibri"/>
                <w:color w:val="000000"/>
                <w:sz w:val="20"/>
                <w:szCs w:val="20"/>
              </w:rPr>
              <w:t xml:space="preserve"> (0.9</w:t>
            </w:r>
            <w:r>
              <w:rPr>
                <w:rFonts w:ascii="Calibri" w:hAnsi="Calibri" w:cs="Calibri"/>
                <w:color w:val="000000"/>
                <w:sz w:val="20"/>
                <w:szCs w:val="20"/>
              </w:rPr>
              <w:t>9</w:t>
            </w:r>
            <w:r w:rsidRPr="00074A8F">
              <w:rPr>
                <w:rFonts w:ascii="Calibri" w:hAnsi="Calibri" w:cs="Calibri"/>
                <w:color w:val="000000"/>
                <w:sz w:val="20"/>
                <w:szCs w:val="20"/>
              </w:rPr>
              <w:t>-1.03)</w:t>
            </w:r>
          </w:p>
        </w:tc>
        <w:tc>
          <w:tcPr>
            <w:tcW w:w="992" w:type="dxa"/>
            <w:tcBorders>
              <w:bottom w:val="single" w:sz="4" w:space="0" w:color="auto"/>
            </w:tcBorders>
            <w:shd w:val="clear" w:color="auto" w:fill="auto"/>
            <w:noWrap/>
            <w:vAlign w:val="bottom"/>
            <w:hideMark/>
          </w:tcPr>
          <w:p w14:paraId="0987F225"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0.49</w:t>
            </w:r>
            <w:r>
              <w:rPr>
                <w:rFonts w:ascii="Calibri" w:hAnsi="Calibri" w:cs="Calibri"/>
                <w:color w:val="000000"/>
                <w:sz w:val="20"/>
                <w:szCs w:val="20"/>
              </w:rPr>
              <w:t>8</w:t>
            </w:r>
          </w:p>
        </w:tc>
        <w:tc>
          <w:tcPr>
            <w:tcW w:w="2410" w:type="dxa"/>
            <w:tcBorders>
              <w:bottom w:val="single" w:sz="4" w:space="0" w:color="auto"/>
            </w:tcBorders>
            <w:shd w:val="clear" w:color="auto" w:fill="auto"/>
            <w:noWrap/>
            <w:vAlign w:val="bottom"/>
            <w:hideMark/>
          </w:tcPr>
          <w:p w14:paraId="3F6123AC"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1.00 (0.9</w:t>
            </w:r>
            <w:r>
              <w:rPr>
                <w:rFonts w:ascii="Calibri" w:hAnsi="Calibri" w:cs="Calibri"/>
                <w:color w:val="000000"/>
                <w:sz w:val="20"/>
                <w:szCs w:val="20"/>
              </w:rPr>
              <w:t>9</w:t>
            </w:r>
            <w:r w:rsidRPr="00074A8F">
              <w:rPr>
                <w:rFonts w:ascii="Calibri" w:hAnsi="Calibri" w:cs="Calibri"/>
                <w:color w:val="000000"/>
                <w:sz w:val="20"/>
                <w:szCs w:val="20"/>
              </w:rPr>
              <w:t>-1.02)</w:t>
            </w:r>
          </w:p>
        </w:tc>
        <w:tc>
          <w:tcPr>
            <w:tcW w:w="850" w:type="dxa"/>
            <w:tcBorders>
              <w:bottom w:val="single" w:sz="4" w:space="0" w:color="auto"/>
            </w:tcBorders>
            <w:shd w:val="clear" w:color="auto" w:fill="auto"/>
            <w:noWrap/>
            <w:vAlign w:val="bottom"/>
            <w:hideMark/>
          </w:tcPr>
          <w:p w14:paraId="0CA25A19" w14:textId="77777777" w:rsidR="00391A54" w:rsidRPr="00074A8F" w:rsidRDefault="00391A54" w:rsidP="00143EF1">
            <w:pPr>
              <w:jc w:val="center"/>
              <w:rPr>
                <w:rFonts w:ascii="Calibri" w:hAnsi="Calibri" w:cs="Calibri"/>
                <w:color w:val="000000"/>
                <w:sz w:val="20"/>
                <w:szCs w:val="20"/>
              </w:rPr>
            </w:pPr>
            <w:r w:rsidRPr="00074A8F">
              <w:rPr>
                <w:rFonts w:ascii="Calibri" w:hAnsi="Calibri" w:cs="Calibri"/>
                <w:color w:val="000000"/>
                <w:sz w:val="20"/>
                <w:szCs w:val="20"/>
              </w:rPr>
              <w:t>0.729</w:t>
            </w:r>
          </w:p>
        </w:tc>
      </w:tr>
      <w:tr w:rsidR="00391A54" w:rsidRPr="00074A8F" w14:paraId="41025FB9" w14:textId="77777777" w:rsidTr="00143EF1">
        <w:trPr>
          <w:trHeight w:val="320"/>
        </w:trPr>
        <w:tc>
          <w:tcPr>
            <w:tcW w:w="9214" w:type="dxa"/>
            <w:gridSpan w:val="5"/>
            <w:tcBorders>
              <w:top w:val="single" w:sz="4" w:space="0" w:color="auto"/>
              <w:left w:val="nil"/>
              <w:bottom w:val="nil"/>
              <w:right w:val="nil"/>
            </w:tcBorders>
            <w:shd w:val="clear" w:color="auto" w:fill="auto"/>
            <w:noWrap/>
            <w:vAlign w:val="bottom"/>
          </w:tcPr>
          <w:p w14:paraId="51DDB1FF" w14:textId="360DCA1D" w:rsidR="00391A54" w:rsidRPr="00074A8F" w:rsidRDefault="00391A54" w:rsidP="00143EF1">
            <w:pPr>
              <w:rPr>
                <w:rFonts w:ascii="Calibri" w:hAnsi="Calibri" w:cs="Calibri"/>
                <w:color w:val="000000"/>
                <w:sz w:val="20"/>
                <w:szCs w:val="20"/>
              </w:rPr>
            </w:pPr>
            <w:r>
              <w:rPr>
                <w:rFonts w:ascii="Calibri" w:hAnsi="Calibri" w:cs="Calibri"/>
                <w:color w:val="000000"/>
                <w:sz w:val="20"/>
                <w:szCs w:val="20"/>
              </w:rPr>
              <w:t>Data presented as adjusted odds</w:t>
            </w:r>
            <w:r w:rsidR="00647FF4">
              <w:rPr>
                <w:rFonts w:ascii="Calibri" w:hAnsi="Calibri" w:cs="Calibri"/>
                <w:color w:val="000000"/>
                <w:sz w:val="20"/>
                <w:szCs w:val="20"/>
              </w:rPr>
              <w:t xml:space="preserve"> ratios (</w:t>
            </w:r>
            <w:proofErr w:type="spellStart"/>
            <w:r w:rsidR="00647FF4">
              <w:rPr>
                <w:rFonts w:ascii="Calibri" w:hAnsi="Calibri" w:cs="Calibri"/>
                <w:color w:val="000000"/>
                <w:sz w:val="20"/>
                <w:szCs w:val="20"/>
              </w:rPr>
              <w:t>aOR</w:t>
            </w:r>
            <w:proofErr w:type="spellEnd"/>
            <w:r w:rsidR="00647FF4">
              <w:rPr>
                <w:rFonts w:ascii="Calibri" w:hAnsi="Calibri" w:cs="Calibri"/>
                <w:color w:val="000000"/>
                <w:sz w:val="20"/>
                <w:szCs w:val="20"/>
              </w:rPr>
              <w:t>). Abbreviations</w:t>
            </w:r>
            <w:r w:rsidRPr="00267778">
              <w:rPr>
                <w:rFonts w:eastAsia="Times New Roman" w:cstheme="minorHAnsi"/>
                <w:bCs/>
                <w:color w:val="000000" w:themeColor="text1"/>
                <w:sz w:val="20"/>
                <w:szCs w:val="20"/>
                <w:lang w:eastAsia="en-GB"/>
              </w:rPr>
              <w:t>:</w:t>
            </w:r>
            <w:r>
              <w:rPr>
                <w:rFonts w:eastAsia="Times New Roman" w:cstheme="minorHAnsi"/>
                <w:bCs/>
                <w:color w:val="000000" w:themeColor="text1"/>
                <w:sz w:val="20"/>
                <w:szCs w:val="20"/>
                <w:lang w:eastAsia="en-GB"/>
              </w:rPr>
              <w:t xml:space="preserve">  BAME, Black, Asian and minority ethnic; COPD, Chronic Obstructive Pulmonary Disease; </w:t>
            </w:r>
            <w:r w:rsidRPr="00267778">
              <w:rPr>
                <w:rFonts w:eastAsia="Times New Roman" w:cstheme="minorHAnsi"/>
                <w:bCs/>
                <w:color w:val="000000" w:themeColor="text1"/>
                <w:sz w:val="20"/>
                <w:szCs w:val="20"/>
                <w:lang w:eastAsia="en-GB"/>
              </w:rPr>
              <w:t xml:space="preserve"> NEWS2, National Early Warning Score 2;</w:t>
            </w:r>
            <w:r>
              <w:rPr>
                <w:rFonts w:eastAsia="Times New Roman" w:cstheme="minorHAnsi"/>
                <w:bCs/>
                <w:color w:val="000000" w:themeColor="text1"/>
                <w:sz w:val="20"/>
                <w:szCs w:val="20"/>
                <w:lang w:eastAsia="en-GB"/>
              </w:rPr>
              <w:t xml:space="preserve"> </w:t>
            </w:r>
            <w:r w:rsidR="00EE2E40">
              <w:rPr>
                <w:rFonts w:eastAsia="Times New Roman" w:cstheme="minorHAnsi"/>
                <w:bCs/>
                <w:color w:val="000000" w:themeColor="text1"/>
                <w:sz w:val="20"/>
                <w:szCs w:val="20"/>
                <w:lang w:eastAsia="en-GB"/>
              </w:rPr>
              <w:t>CXR, Chest X-R</w:t>
            </w:r>
            <w:r w:rsidR="00EE2E40" w:rsidRPr="00EE2E40">
              <w:rPr>
                <w:rFonts w:eastAsia="Times New Roman" w:cstheme="minorHAnsi"/>
                <w:bCs/>
                <w:color w:val="000000" w:themeColor="text1"/>
                <w:sz w:val="20"/>
                <w:szCs w:val="20"/>
                <w:lang w:eastAsia="en-GB"/>
              </w:rPr>
              <w:t>ay</w:t>
            </w:r>
            <w:r w:rsidR="00EE2E40">
              <w:rPr>
                <w:rFonts w:eastAsia="Times New Roman" w:cstheme="minorHAnsi"/>
                <w:bCs/>
                <w:color w:val="000000" w:themeColor="text1"/>
                <w:sz w:val="20"/>
                <w:szCs w:val="20"/>
                <w:lang w:eastAsia="en-GB"/>
              </w:rPr>
              <w:t xml:space="preserve">; </w:t>
            </w:r>
            <w:r w:rsidRPr="00267778">
              <w:rPr>
                <w:rFonts w:eastAsia="Times New Roman" w:cstheme="minorHAnsi"/>
                <w:bCs/>
                <w:color w:val="000000" w:themeColor="text1"/>
                <w:sz w:val="20"/>
                <w:szCs w:val="20"/>
                <w:lang w:eastAsia="en-GB"/>
              </w:rPr>
              <w:t xml:space="preserve">CRP, C </w:t>
            </w:r>
            <w:r w:rsidRPr="00267778">
              <w:rPr>
                <w:rFonts w:eastAsia="Times New Roman" w:cstheme="minorHAnsi"/>
                <w:bCs/>
                <w:color w:val="000000" w:themeColor="text1"/>
                <w:sz w:val="20"/>
                <w:szCs w:val="20"/>
                <w:lang w:eastAsia="en-GB"/>
              </w:rPr>
              <w:lastRenderedPageBreak/>
              <w:t>reactive protein</w:t>
            </w:r>
            <w:r>
              <w:rPr>
                <w:rFonts w:eastAsia="Times New Roman" w:cstheme="minorHAnsi"/>
                <w:bCs/>
                <w:color w:val="000000" w:themeColor="text1"/>
                <w:sz w:val="20"/>
                <w:szCs w:val="20"/>
                <w:lang w:eastAsia="en-GB"/>
              </w:rPr>
              <w:t xml:space="preserve">;  LDH, Lactate dehydrogenase; </w:t>
            </w:r>
            <w:r w:rsidRPr="00267778">
              <w:rPr>
                <w:rFonts w:eastAsia="Times New Roman" w:cstheme="minorHAnsi"/>
                <w:bCs/>
                <w:color w:val="000000" w:themeColor="text1"/>
                <w:sz w:val="20"/>
                <w:szCs w:val="20"/>
                <w:lang w:eastAsia="en-GB"/>
              </w:rPr>
              <w:t xml:space="preserve"> Ct, real-time PCR cycle threshold (a low Ct value represents a high viral load and vice versa</w:t>
            </w:r>
            <w:r>
              <w:rPr>
                <w:rFonts w:eastAsia="Times New Roman" w:cstheme="minorHAnsi"/>
                <w:bCs/>
                <w:color w:val="000000" w:themeColor="text1"/>
                <w:sz w:val="20"/>
                <w:szCs w:val="20"/>
                <w:lang w:eastAsia="en-GB"/>
              </w:rPr>
              <w:t>).</w:t>
            </w:r>
          </w:p>
        </w:tc>
      </w:tr>
    </w:tbl>
    <w:p w14:paraId="131F1F1E" w14:textId="77777777" w:rsidR="00391A54" w:rsidRDefault="00391A54" w:rsidP="00391A54"/>
    <w:p w14:paraId="2BF96C62" w14:textId="77777777" w:rsidR="00391A54" w:rsidRDefault="00391A54" w:rsidP="00391A54"/>
    <w:p w14:paraId="1ABFC512" w14:textId="77777777" w:rsidR="00391A54" w:rsidRDefault="00391A54" w:rsidP="00391A54"/>
    <w:p w14:paraId="6CF7DB3C" w14:textId="77777777" w:rsidR="00391A54" w:rsidRDefault="00391A54" w:rsidP="00391A54">
      <w:pPr>
        <w:tabs>
          <w:tab w:val="left" w:pos="1335"/>
        </w:tabs>
      </w:pPr>
    </w:p>
    <w:p w14:paraId="25083655" w14:textId="77777777" w:rsidR="00656A46" w:rsidRDefault="00656A46" w:rsidP="00391A54">
      <w:pPr>
        <w:tabs>
          <w:tab w:val="left" w:pos="1335"/>
        </w:tabs>
      </w:pPr>
    </w:p>
    <w:p w14:paraId="2C89CE35" w14:textId="77777777" w:rsidR="00656A46" w:rsidRDefault="00656A46" w:rsidP="00391A54">
      <w:pPr>
        <w:tabs>
          <w:tab w:val="left" w:pos="1335"/>
        </w:tabs>
      </w:pPr>
    </w:p>
    <w:p w14:paraId="6D653A45" w14:textId="77777777" w:rsidR="00656A46" w:rsidRDefault="00656A46" w:rsidP="00391A54">
      <w:pPr>
        <w:tabs>
          <w:tab w:val="left" w:pos="1335"/>
        </w:tabs>
      </w:pPr>
    </w:p>
    <w:p w14:paraId="4DE5638A" w14:textId="77777777" w:rsidR="00656A46" w:rsidRDefault="00656A46" w:rsidP="00391A54">
      <w:pPr>
        <w:tabs>
          <w:tab w:val="left" w:pos="1335"/>
        </w:tabs>
      </w:pPr>
    </w:p>
    <w:p w14:paraId="51DAF9C6" w14:textId="77777777" w:rsidR="00656A46" w:rsidRDefault="00656A46" w:rsidP="00391A54">
      <w:pPr>
        <w:tabs>
          <w:tab w:val="left" w:pos="1335"/>
        </w:tabs>
      </w:pPr>
    </w:p>
    <w:p w14:paraId="7F7EE4D6" w14:textId="77777777" w:rsidR="00656A46" w:rsidRDefault="00656A46" w:rsidP="00391A54">
      <w:pPr>
        <w:tabs>
          <w:tab w:val="left" w:pos="1335"/>
        </w:tabs>
      </w:pPr>
    </w:p>
    <w:p w14:paraId="11F9B06B" w14:textId="77777777" w:rsidR="00656A46" w:rsidRDefault="00656A46" w:rsidP="00391A54">
      <w:pPr>
        <w:tabs>
          <w:tab w:val="left" w:pos="1335"/>
        </w:tabs>
      </w:pPr>
    </w:p>
    <w:p w14:paraId="006A1619" w14:textId="77777777" w:rsidR="00656A46" w:rsidRDefault="00656A46" w:rsidP="00391A54">
      <w:pPr>
        <w:tabs>
          <w:tab w:val="left" w:pos="1335"/>
        </w:tabs>
      </w:pPr>
    </w:p>
    <w:p w14:paraId="771DE938" w14:textId="32F1C6F3" w:rsidR="00656A46" w:rsidRPr="00391A54" w:rsidRDefault="00656A46" w:rsidP="00391A54">
      <w:pPr>
        <w:tabs>
          <w:tab w:val="left" w:pos="1335"/>
        </w:tabs>
        <w:sectPr w:rsidR="00656A46" w:rsidRPr="00391A54" w:rsidSect="00391A54">
          <w:pgSz w:w="11906" w:h="16838"/>
          <w:pgMar w:top="1440" w:right="1440" w:bottom="1440" w:left="1440" w:header="708" w:footer="708" w:gutter="0"/>
          <w:cols w:space="708"/>
          <w:docGrid w:linePitch="360"/>
        </w:sectPr>
      </w:pPr>
    </w:p>
    <w:p w14:paraId="00DE6AF1" w14:textId="4DA089B2" w:rsidR="00656A46" w:rsidRPr="00605B89" w:rsidRDefault="00656A46" w:rsidP="00656A46">
      <w:pPr>
        <w:pStyle w:val="Heading1"/>
        <w:rPr>
          <w:b w:val="0"/>
        </w:rPr>
      </w:pPr>
      <w:r w:rsidRPr="00267778">
        <w:lastRenderedPageBreak/>
        <w:t>Table 4</w:t>
      </w:r>
      <w:r>
        <w:t xml:space="preserve">. </w:t>
      </w:r>
      <w:r w:rsidRPr="00010808">
        <w:t xml:space="preserve"> </w:t>
      </w:r>
      <w:r w:rsidRPr="00A75D88">
        <w:rPr>
          <w:b w:val="0"/>
        </w:rPr>
        <w:t xml:space="preserve">Logistic regression analysis </w:t>
      </w:r>
      <w:r w:rsidR="00BF0802">
        <w:rPr>
          <w:b w:val="0"/>
        </w:rPr>
        <w:t xml:space="preserve">for </w:t>
      </w:r>
      <w:r w:rsidR="000A1C68">
        <w:rPr>
          <w:b w:val="0"/>
        </w:rPr>
        <w:t>COVID-19</w:t>
      </w:r>
      <w:r w:rsidRPr="00A75D88">
        <w:rPr>
          <w:b w:val="0"/>
        </w:rPr>
        <w:t xml:space="preserve"> patients with known</w:t>
      </w:r>
      <w:r w:rsidR="00BF0802">
        <w:rPr>
          <w:b w:val="0"/>
        </w:rPr>
        <w:t xml:space="preserve"> </w:t>
      </w:r>
      <w:proofErr w:type="gramStart"/>
      <w:r w:rsidR="00BF0802">
        <w:rPr>
          <w:b w:val="0"/>
        </w:rPr>
        <w:t xml:space="preserve">neutralising </w:t>
      </w:r>
      <w:r w:rsidRPr="00A75D88">
        <w:rPr>
          <w:b w:val="0"/>
        </w:rPr>
        <w:t xml:space="preserve"> antibody</w:t>
      </w:r>
      <w:proofErr w:type="gramEnd"/>
      <w:r w:rsidRPr="00A75D88">
        <w:rPr>
          <w:b w:val="0"/>
        </w:rPr>
        <w:t xml:space="preserve"> serological status (n=99) for in-hospital mortality</w:t>
      </w:r>
      <w:r w:rsidR="004A0B15">
        <w:rPr>
          <w:b w:val="0"/>
        </w:rPr>
        <w:t xml:space="preserve"> and ICU admission</w:t>
      </w:r>
      <w:r w:rsidRPr="00A75D88">
        <w:rPr>
          <w:b w:val="0"/>
        </w:rPr>
        <w:t>.</w:t>
      </w:r>
      <w:r>
        <w:t xml:space="preserve"> </w:t>
      </w:r>
    </w:p>
    <w:tbl>
      <w:tblPr>
        <w:tblpPr w:leftFromText="180" w:rightFromText="180" w:vertAnchor="page" w:horzAnchor="margin" w:tblpY="2986"/>
        <w:tblW w:w="9209" w:type="dxa"/>
        <w:tblLook w:val="04A0" w:firstRow="1" w:lastRow="0" w:firstColumn="1" w:lastColumn="0" w:noHBand="0" w:noVBand="1"/>
      </w:tblPr>
      <w:tblGrid>
        <w:gridCol w:w="3092"/>
        <w:gridCol w:w="2006"/>
        <w:gridCol w:w="1276"/>
        <w:gridCol w:w="1701"/>
        <w:gridCol w:w="1134"/>
      </w:tblGrid>
      <w:tr w:rsidR="00077DA9" w14:paraId="4142F97F" w14:textId="49A04BBB" w:rsidTr="00077DA9">
        <w:trPr>
          <w:trHeight w:val="466"/>
        </w:trPr>
        <w:tc>
          <w:tcPr>
            <w:tcW w:w="3092" w:type="dxa"/>
            <w:vMerge w:val="restart"/>
            <w:tcBorders>
              <w:top w:val="single" w:sz="4" w:space="0" w:color="auto"/>
              <w:left w:val="single" w:sz="4" w:space="0" w:color="auto"/>
              <w:right w:val="single" w:sz="4" w:space="0" w:color="auto"/>
            </w:tcBorders>
            <w:noWrap/>
            <w:hideMark/>
          </w:tcPr>
          <w:p w14:paraId="6FB95952" w14:textId="77777777" w:rsidR="00077DA9" w:rsidRPr="001A7B31" w:rsidRDefault="00077DA9" w:rsidP="00143EF1">
            <w:pPr>
              <w:jc w:val="right"/>
              <w:rPr>
                <w:rFonts w:ascii="Calibri" w:eastAsia="Times New Roman" w:hAnsi="Calibri" w:cs="Calibri"/>
                <w:color w:val="000000"/>
                <w:lang w:eastAsia="en-GB"/>
              </w:rPr>
            </w:pPr>
            <w:r w:rsidRPr="001A7B31">
              <w:rPr>
                <w:rFonts w:ascii="Calibri" w:eastAsia="Times New Roman" w:hAnsi="Calibri" w:cs="Calibri"/>
                <w:color w:val="000000"/>
                <w:lang w:eastAsia="en-GB"/>
              </w:rPr>
              <w:t> </w:t>
            </w:r>
          </w:p>
          <w:p w14:paraId="34A485DA" w14:textId="77777777" w:rsidR="00077DA9" w:rsidRPr="001A7B31" w:rsidRDefault="00077DA9" w:rsidP="00143EF1">
            <w:pPr>
              <w:jc w:val="right"/>
              <w:rPr>
                <w:rFonts w:ascii="Calibri" w:eastAsia="Times New Roman" w:hAnsi="Calibri" w:cs="Calibri"/>
                <w:color w:val="000000"/>
                <w:lang w:eastAsia="en-GB"/>
              </w:rPr>
            </w:pPr>
            <w:r w:rsidRPr="001A7B31">
              <w:rPr>
                <w:rFonts w:ascii="Calibri" w:eastAsia="Times New Roman" w:hAnsi="Calibri" w:cs="Calibri"/>
                <w:color w:val="000000"/>
                <w:lang w:eastAsia="en-GB"/>
              </w:rPr>
              <w:t> </w:t>
            </w:r>
          </w:p>
        </w:tc>
        <w:tc>
          <w:tcPr>
            <w:tcW w:w="3282" w:type="dxa"/>
            <w:gridSpan w:val="2"/>
            <w:tcBorders>
              <w:top w:val="single" w:sz="4" w:space="0" w:color="auto"/>
              <w:left w:val="single" w:sz="4" w:space="0" w:color="auto"/>
              <w:bottom w:val="single" w:sz="4" w:space="0" w:color="auto"/>
              <w:right w:val="single" w:sz="4" w:space="0" w:color="auto"/>
            </w:tcBorders>
            <w:noWrap/>
            <w:hideMark/>
          </w:tcPr>
          <w:p w14:paraId="26AFCC72" w14:textId="77777777" w:rsidR="00077DA9" w:rsidRPr="001A7B31" w:rsidRDefault="00077DA9" w:rsidP="00143EF1">
            <w:pPr>
              <w:jc w:val="center"/>
              <w:rPr>
                <w:rFonts w:ascii="Calibri" w:eastAsia="Times New Roman" w:hAnsi="Calibri" w:cs="Calibri"/>
                <w:b/>
                <w:color w:val="000000"/>
                <w:lang w:eastAsia="en-GB"/>
              </w:rPr>
            </w:pPr>
            <w:r w:rsidRPr="001A7B31">
              <w:rPr>
                <w:rFonts w:ascii="Calibri" w:eastAsia="Times New Roman" w:hAnsi="Calibri" w:cs="Calibri"/>
                <w:b/>
                <w:color w:val="000000"/>
                <w:lang w:eastAsia="en-GB"/>
              </w:rPr>
              <w:t>In-hospital mortality</w:t>
            </w:r>
          </w:p>
        </w:tc>
        <w:tc>
          <w:tcPr>
            <w:tcW w:w="2835" w:type="dxa"/>
            <w:gridSpan w:val="2"/>
            <w:tcBorders>
              <w:top w:val="single" w:sz="4" w:space="0" w:color="auto"/>
              <w:left w:val="single" w:sz="4" w:space="0" w:color="auto"/>
              <w:bottom w:val="single" w:sz="4" w:space="0" w:color="auto"/>
              <w:right w:val="single" w:sz="4" w:space="0" w:color="auto"/>
            </w:tcBorders>
          </w:tcPr>
          <w:p w14:paraId="258611A9" w14:textId="0CE89A5E" w:rsidR="00077DA9" w:rsidRPr="001A7B31" w:rsidRDefault="00077DA9" w:rsidP="00143EF1">
            <w:pPr>
              <w:jc w:val="center"/>
              <w:rPr>
                <w:rFonts w:ascii="Calibri" w:eastAsia="Times New Roman" w:hAnsi="Calibri" w:cs="Calibri"/>
                <w:b/>
                <w:color w:val="000000"/>
                <w:lang w:eastAsia="en-GB"/>
              </w:rPr>
            </w:pPr>
            <w:r>
              <w:rPr>
                <w:rFonts w:ascii="Calibri" w:eastAsia="Times New Roman" w:hAnsi="Calibri" w:cs="Calibri"/>
                <w:b/>
                <w:color w:val="000000"/>
                <w:lang w:eastAsia="en-GB"/>
              </w:rPr>
              <w:t>ICU admission</w:t>
            </w:r>
          </w:p>
        </w:tc>
      </w:tr>
      <w:tr w:rsidR="00077DA9" w14:paraId="5F504350" w14:textId="23605A3C" w:rsidTr="00077DA9">
        <w:trPr>
          <w:trHeight w:val="466"/>
        </w:trPr>
        <w:tc>
          <w:tcPr>
            <w:tcW w:w="3092" w:type="dxa"/>
            <w:vMerge/>
            <w:tcBorders>
              <w:left w:val="single" w:sz="4" w:space="0" w:color="auto"/>
              <w:bottom w:val="single" w:sz="4" w:space="0" w:color="auto"/>
              <w:right w:val="single" w:sz="4" w:space="0" w:color="auto"/>
            </w:tcBorders>
            <w:noWrap/>
            <w:hideMark/>
          </w:tcPr>
          <w:p w14:paraId="416A4CF0" w14:textId="77777777" w:rsidR="00077DA9" w:rsidRPr="001A7B31" w:rsidRDefault="00077DA9" w:rsidP="00143EF1">
            <w:pPr>
              <w:jc w:val="right"/>
              <w:rPr>
                <w:rFonts w:ascii="Calibri" w:eastAsia="Times New Roman" w:hAnsi="Calibri" w:cs="Calibri"/>
                <w:color w:val="000000"/>
                <w:lang w:eastAsia="en-GB"/>
              </w:rPr>
            </w:pPr>
          </w:p>
        </w:tc>
        <w:tc>
          <w:tcPr>
            <w:tcW w:w="2006" w:type="dxa"/>
            <w:tcBorders>
              <w:top w:val="single" w:sz="4" w:space="0" w:color="auto"/>
              <w:left w:val="single" w:sz="4" w:space="0" w:color="auto"/>
              <w:bottom w:val="single" w:sz="4" w:space="0" w:color="auto"/>
              <w:right w:val="single" w:sz="4" w:space="0" w:color="auto"/>
            </w:tcBorders>
            <w:noWrap/>
            <w:hideMark/>
          </w:tcPr>
          <w:p w14:paraId="261657D3" w14:textId="77777777" w:rsidR="00077DA9" w:rsidRPr="001A7B31" w:rsidRDefault="00077DA9" w:rsidP="00143EF1">
            <w:pPr>
              <w:jc w:val="center"/>
              <w:rPr>
                <w:rFonts w:ascii="Calibri" w:eastAsia="Times New Roman" w:hAnsi="Calibri" w:cs="Calibri"/>
                <w:color w:val="000000"/>
                <w:lang w:eastAsia="en-GB"/>
              </w:rPr>
            </w:pPr>
            <w:proofErr w:type="spellStart"/>
            <w:r w:rsidRPr="001A7B31">
              <w:rPr>
                <w:rFonts w:ascii="Calibri" w:eastAsia="Times New Roman" w:hAnsi="Calibri" w:cs="Calibri"/>
                <w:color w:val="000000"/>
                <w:lang w:eastAsia="en-GB"/>
              </w:rPr>
              <w:t>aOR</w:t>
            </w:r>
            <w:proofErr w:type="spellEnd"/>
            <w:r w:rsidRPr="001A7B31">
              <w:rPr>
                <w:rFonts w:ascii="Calibri" w:eastAsia="Times New Roman" w:hAnsi="Calibri" w:cs="Calibri"/>
                <w:color w:val="000000"/>
                <w:lang w:eastAsia="en-GB"/>
              </w:rPr>
              <w:t xml:space="preserve"> (95% CI)</w:t>
            </w:r>
          </w:p>
        </w:tc>
        <w:tc>
          <w:tcPr>
            <w:tcW w:w="1276" w:type="dxa"/>
            <w:tcBorders>
              <w:top w:val="single" w:sz="4" w:space="0" w:color="auto"/>
              <w:left w:val="single" w:sz="4" w:space="0" w:color="auto"/>
              <w:bottom w:val="single" w:sz="4" w:space="0" w:color="auto"/>
              <w:right w:val="single" w:sz="4" w:space="0" w:color="auto"/>
            </w:tcBorders>
            <w:noWrap/>
            <w:hideMark/>
          </w:tcPr>
          <w:p w14:paraId="4233FBD0"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color w:val="000000"/>
                <w:lang w:eastAsia="en-GB"/>
              </w:rPr>
              <w:t>p-value</w:t>
            </w:r>
          </w:p>
        </w:tc>
        <w:tc>
          <w:tcPr>
            <w:tcW w:w="1701" w:type="dxa"/>
            <w:tcBorders>
              <w:top w:val="single" w:sz="4" w:space="0" w:color="auto"/>
              <w:left w:val="single" w:sz="4" w:space="0" w:color="auto"/>
              <w:bottom w:val="single" w:sz="4" w:space="0" w:color="auto"/>
              <w:right w:val="single" w:sz="4" w:space="0" w:color="auto"/>
            </w:tcBorders>
          </w:tcPr>
          <w:p w14:paraId="0A82C1E4" w14:textId="3439179B" w:rsidR="00077DA9" w:rsidRPr="001A7B31" w:rsidRDefault="00077DA9" w:rsidP="00143EF1">
            <w:pPr>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aOR</w:t>
            </w:r>
            <w:proofErr w:type="spellEnd"/>
            <w:r>
              <w:rPr>
                <w:rFonts w:ascii="Calibri" w:eastAsia="Times New Roman" w:hAnsi="Calibri" w:cs="Calibri"/>
                <w:color w:val="000000"/>
                <w:lang w:eastAsia="en-GB"/>
              </w:rPr>
              <w:t xml:space="preserve"> (95% CI)</w:t>
            </w:r>
          </w:p>
        </w:tc>
        <w:tc>
          <w:tcPr>
            <w:tcW w:w="1134" w:type="dxa"/>
            <w:tcBorders>
              <w:top w:val="single" w:sz="4" w:space="0" w:color="auto"/>
              <w:left w:val="single" w:sz="4" w:space="0" w:color="auto"/>
              <w:bottom w:val="single" w:sz="4" w:space="0" w:color="auto"/>
              <w:right w:val="single" w:sz="4" w:space="0" w:color="auto"/>
            </w:tcBorders>
          </w:tcPr>
          <w:p w14:paraId="42728178" w14:textId="6CCFC9E6" w:rsidR="00077DA9" w:rsidRPr="001A7B31" w:rsidRDefault="00077DA9" w:rsidP="00143EF1">
            <w:pPr>
              <w:jc w:val="center"/>
              <w:rPr>
                <w:rFonts w:ascii="Calibri" w:eastAsia="Times New Roman" w:hAnsi="Calibri" w:cs="Calibri"/>
                <w:color w:val="000000"/>
                <w:lang w:eastAsia="en-GB"/>
              </w:rPr>
            </w:pPr>
            <w:r>
              <w:rPr>
                <w:rFonts w:ascii="Calibri" w:eastAsia="Times New Roman" w:hAnsi="Calibri" w:cs="Calibri"/>
                <w:color w:val="000000"/>
                <w:lang w:eastAsia="en-GB"/>
              </w:rPr>
              <w:t>p-value</w:t>
            </w:r>
          </w:p>
        </w:tc>
      </w:tr>
      <w:tr w:rsidR="00077DA9" w14:paraId="454BF238" w14:textId="3DDDB1FC"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25332B5B" w14:textId="77777777" w:rsidR="00077DA9" w:rsidRPr="001A7B31" w:rsidRDefault="00077DA9"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 xml:space="preserve">Age (years) </w:t>
            </w:r>
          </w:p>
        </w:tc>
        <w:tc>
          <w:tcPr>
            <w:tcW w:w="2006" w:type="dxa"/>
            <w:tcBorders>
              <w:top w:val="single" w:sz="4" w:space="0" w:color="auto"/>
              <w:left w:val="single" w:sz="4" w:space="0" w:color="auto"/>
              <w:bottom w:val="single" w:sz="4" w:space="0" w:color="auto"/>
              <w:right w:val="single" w:sz="4" w:space="0" w:color="auto"/>
            </w:tcBorders>
            <w:noWrap/>
          </w:tcPr>
          <w:p w14:paraId="37130CFD"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color w:val="000000" w:themeColor="text1"/>
                <w:lang w:eastAsia="en-GB"/>
              </w:rPr>
              <w:t>1.52 (1.15-2.64)</w:t>
            </w:r>
          </w:p>
        </w:tc>
        <w:tc>
          <w:tcPr>
            <w:tcW w:w="1276" w:type="dxa"/>
            <w:tcBorders>
              <w:top w:val="single" w:sz="4" w:space="0" w:color="auto"/>
              <w:left w:val="single" w:sz="4" w:space="0" w:color="auto"/>
              <w:bottom w:val="single" w:sz="4" w:space="0" w:color="auto"/>
              <w:right w:val="single" w:sz="4" w:space="0" w:color="auto"/>
            </w:tcBorders>
            <w:noWrap/>
          </w:tcPr>
          <w:p w14:paraId="70E611F6"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b/>
                <w:bCs/>
                <w:color w:val="000000" w:themeColor="text1"/>
                <w:lang w:eastAsia="en-GB"/>
              </w:rPr>
              <w:t>0.041</w:t>
            </w:r>
          </w:p>
        </w:tc>
        <w:tc>
          <w:tcPr>
            <w:tcW w:w="1701" w:type="dxa"/>
            <w:tcBorders>
              <w:top w:val="single" w:sz="4" w:space="0" w:color="auto"/>
              <w:left w:val="single" w:sz="4" w:space="0" w:color="auto"/>
              <w:bottom w:val="single" w:sz="4" w:space="0" w:color="auto"/>
              <w:right w:val="single" w:sz="4" w:space="0" w:color="auto"/>
            </w:tcBorders>
          </w:tcPr>
          <w:p w14:paraId="39536456" w14:textId="58B779D8" w:rsidR="00077DA9" w:rsidRPr="00077DA9" w:rsidRDefault="00077DA9" w:rsidP="00143EF1">
            <w:pPr>
              <w:jc w:val="center"/>
              <w:rPr>
                <w:rFonts w:ascii="Calibri" w:eastAsia="Times New Roman" w:hAnsi="Calibri" w:cs="Calibri"/>
                <w:color w:val="000000" w:themeColor="text1"/>
                <w:lang w:eastAsia="en-GB"/>
              </w:rPr>
            </w:pPr>
            <w:r w:rsidRPr="00077DA9">
              <w:rPr>
                <w:rFonts w:ascii="Calibri" w:eastAsia="Times New Roman" w:hAnsi="Calibri" w:cs="Calibri"/>
                <w:color w:val="000000" w:themeColor="text1"/>
                <w:lang w:eastAsia="en-GB"/>
              </w:rPr>
              <w:t>0.92</w:t>
            </w:r>
            <w:r>
              <w:rPr>
                <w:rFonts w:ascii="Calibri" w:eastAsia="Times New Roman" w:hAnsi="Calibri" w:cs="Calibri"/>
                <w:color w:val="000000" w:themeColor="text1"/>
                <w:lang w:eastAsia="en-GB"/>
              </w:rPr>
              <w:t xml:space="preserve"> (0.85-0.97)</w:t>
            </w:r>
          </w:p>
        </w:tc>
        <w:tc>
          <w:tcPr>
            <w:tcW w:w="1134" w:type="dxa"/>
            <w:tcBorders>
              <w:top w:val="single" w:sz="4" w:space="0" w:color="auto"/>
              <w:left w:val="single" w:sz="4" w:space="0" w:color="auto"/>
              <w:bottom w:val="single" w:sz="4" w:space="0" w:color="auto"/>
              <w:right w:val="single" w:sz="4" w:space="0" w:color="auto"/>
            </w:tcBorders>
          </w:tcPr>
          <w:p w14:paraId="7D01DEC5" w14:textId="5F525601" w:rsidR="00077DA9" w:rsidRPr="00077DA9" w:rsidRDefault="00077DA9" w:rsidP="00143EF1">
            <w:pPr>
              <w:jc w:val="center"/>
              <w:rPr>
                <w:rFonts w:ascii="Calibri" w:eastAsia="Times New Roman" w:hAnsi="Calibri" w:cs="Calibri"/>
                <w:b/>
                <w:bCs/>
                <w:color w:val="000000" w:themeColor="text1"/>
                <w:lang w:eastAsia="en-GB"/>
              </w:rPr>
            </w:pPr>
            <w:r w:rsidRPr="00077DA9">
              <w:rPr>
                <w:rFonts w:ascii="Calibri" w:eastAsia="Times New Roman" w:hAnsi="Calibri" w:cs="Calibri"/>
                <w:b/>
                <w:bCs/>
                <w:color w:val="000000" w:themeColor="text1"/>
                <w:lang w:eastAsia="en-GB"/>
              </w:rPr>
              <w:t>0.005</w:t>
            </w:r>
          </w:p>
        </w:tc>
      </w:tr>
      <w:tr w:rsidR="00C359EC" w14:paraId="0D24B8C8" w14:textId="77777777"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71A08F11" w14:textId="5070E5E4" w:rsidR="00C359EC" w:rsidRPr="001A7B31" w:rsidRDefault="00C359EC" w:rsidP="00143EF1">
            <w:pPr>
              <w:rPr>
                <w:rFonts w:ascii="Calibri" w:eastAsia="Times New Roman" w:hAnsi="Calibri" w:cs="Calibri"/>
                <w:color w:val="000000"/>
                <w:lang w:eastAsia="en-GB"/>
              </w:rPr>
            </w:pPr>
            <w:r>
              <w:rPr>
                <w:rFonts w:ascii="Calibri" w:eastAsia="Times New Roman" w:hAnsi="Calibri" w:cs="Calibri"/>
                <w:color w:val="000000"/>
                <w:lang w:eastAsia="en-GB"/>
              </w:rPr>
              <w:t>Cardiovascular disease</w:t>
            </w:r>
          </w:p>
        </w:tc>
        <w:tc>
          <w:tcPr>
            <w:tcW w:w="2006" w:type="dxa"/>
            <w:tcBorders>
              <w:top w:val="single" w:sz="4" w:space="0" w:color="auto"/>
              <w:left w:val="single" w:sz="4" w:space="0" w:color="auto"/>
              <w:bottom w:val="single" w:sz="4" w:space="0" w:color="auto"/>
              <w:right w:val="single" w:sz="4" w:space="0" w:color="auto"/>
            </w:tcBorders>
            <w:noWrap/>
          </w:tcPr>
          <w:p w14:paraId="379D866C" w14:textId="6C03AF1F" w:rsidR="00C359EC" w:rsidRPr="001A7B31" w:rsidRDefault="00C359EC"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N/A</w:t>
            </w:r>
          </w:p>
        </w:tc>
        <w:tc>
          <w:tcPr>
            <w:tcW w:w="1276" w:type="dxa"/>
            <w:tcBorders>
              <w:top w:val="single" w:sz="4" w:space="0" w:color="auto"/>
              <w:left w:val="single" w:sz="4" w:space="0" w:color="auto"/>
              <w:bottom w:val="single" w:sz="4" w:space="0" w:color="auto"/>
              <w:right w:val="single" w:sz="4" w:space="0" w:color="auto"/>
            </w:tcBorders>
            <w:noWrap/>
          </w:tcPr>
          <w:p w14:paraId="313AB1D4" w14:textId="64621B17" w:rsidR="00C359EC" w:rsidRPr="001A7B31" w:rsidRDefault="00C359EC" w:rsidP="00143EF1">
            <w:pPr>
              <w:jc w:val="cente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w:t>
            </w:r>
          </w:p>
        </w:tc>
        <w:tc>
          <w:tcPr>
            <w:tcW w:w="1701" w:type="dxa"/>
            <w:tcBorders>
              <w:top w:val="single" w:sz="4" w:space="0" w:color="auto"/>
              <w:left w:val="single" w:sz="4" w:space="0" w:color="auto"/>
              <w:bottom w:val="single" w:sz="4" w:space="0" w:color="auto"/>
              <w:right w:val="single" w:sz="4" w:space="0" w:color="auto"/>
            </w:tcBorders>
          </w:tcPr>
          <w:p w14:paraId="33C4EEA1" w14:textId="657E9A4C" w:rsidR="00C359EC" w:rsidRPr="00EE1831" w:rsidRDefault="00DD0EEC" w:rsidP="00143EF1">
            <w:pPr>
              <w:jc w:val="center"/>
              <w:rPr>
                <w:rFonts w:ascii="Calibri" w:eastAsia="Times New Roman" w:hAnsi="Calibri" w:cs="Calibri"/>
                <w:color w:val="000000" w:themeColor="text1"/>
                <w:lang w:eastAsia="en-GB"/>
              </w:rPr>
            </w:pPr>
            <w:r w:rsidRPr="00EE1831">
              <w:rPr>
                <w:rFonts w:ascii="Calibri" w:eastAsia="Times New Roman" w:hAnsi="Calibri" w:cs="Calibri"/>
                <w:color w:val="000000" w:themeColor="text1"/>
                <w:lang w:eastAsia="en-GB"/>
              </w:rPr>
              <w:t>1.40 (0.18-9.31)</w:t>
            </w:r>
          </w:p>
        </w:tc>
        <w:tc>
          <w:tcPr>
            <w:tcW w:w="1134" w:type="dxa"/>
            <w:tcBorders>
              <w:top w:val="single" w:sz="4" w:space="0" w:color="auto"/>
              <w:left w:val="single" w:sz="4" w:space="0" w:color="auto"/>
              <w:bottom w:val="single" w:sz="4" w:space="0" w:color="auto"/>
              <w:right w:val="single" w:sz="4" w:space="0" w:color="auto"/>
            </w:tcBorders>
          </w:tcPr>
          <w:p w14:paraId="25035D73" w14:textId="21AF67CE" w:rsidR="00C359EC" w:rsidRPr="00EE1831" w:rsidRDefault="00EE1831" w:rsidP="00143EF1">
            <w:pPr>
              <w:jc w:val="center"/>
              <w:rPr>
                <w:rFonts w:ascii="Calibri" w:eastAsia="Times New Roman" w:hAnsi="Calibri" w:cs="Calibri"/>
                <w:color w:val="000000" w:themeColor="text1"/>
                <w:lang w:eastAsia="en-GB"/>
              </w:rPr>
            </w:pPr>
            <w:r w:rsidRPr="00EE1831">
              <w:rPr>
                <w:rFonts w:ascii="Calibri" w:eastAsia="Times New Roman" w:hAnsi="Calibri" w:cs="Calibri"/>
                <w:color w:val="000000" w:themeColor="text1"/>
                <w:lang w:eastAsia="en-GB"/>
              </w:rPr>
              <w:t>0.732</w:t>
            </w:r>
          </w:p>
        </w:tc>
      </w:tr>
      <w:tr w:rsidR="00077DA9" w14:paraId="3350E360" w14:textId="4BCC1DAF"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0D981EE5" w14:textId="77777777" w:rsidR="00077DA9" w:rsidRPr="001A7B31" w:rsidRDefault="00077DA9"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NEWS2 score</w:t>
            </w:r>
          </w:p>
        </w:tc>
        <w:tc>
          <w:tcPr>
            <w:tcW w:w="2006" w:type="dxa"/>
            <w:tcBorders>
              <w:top w:val="single" w:sz="4" w:space="0" w:color="auto"/>
              <w:left w:val="single" w:sz="4" w:space="0" w:color="auto"/>
              <w:bottom w:val="single" w:sz="4" w:space="0" w:color="auto"/>
              <w:right w:val="single" w:sz="4" w:space="0" w:color="auto"/>
            </w:tcBorders>
            <w:noWrap/>
          </w:tcPr>
          <w:p w14:paraId="1FE5F4C9"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color w:val="000000" w:themeColor="text1"/>
                <w:lang w:eastAsia="en-GB"/>
              </w:rPr>
              <w:t>1.13 (0.72-1.92)</w:t>
            </w:r>
          </w:p>
        </w:tc>
        <w:tc>
          <w:tcPr>
            <w:tcW w:w="1276" w:type="dxa"/>
            <w:tcBorders>
              <w:top w:val="single" w:sz="4" w:space="0" w:color="auto"/>
              <w:left w:val="single" w:sz="4" w:space="0" w:color="auto"/>
              <w:bottom w:val="single" w:sz="4" w:space="0" w:color="auto"/>
              <w:right w:val="single" w:sz="4" w:space="0" w:color="auto"/>
            </w:tcBorders>
            <w:noWrap/>
          </w:tcPr>
          <w:p w14:paraId="53EC8255"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color w:val="000000" w:themeColor="text1"/>
                <w:lang w:eastAsia="en-GB"/>
              </w:rPr>
              <w:t>0.604</w:t>
            </w:r>
          </w:p>
        </w:tc>
        <w:tc>
          <w:tcPr>
            <w:tcW w:w="1701" w:type="dxa"/>
            <w:tcBorders>
              <w:top w:val="single" w:sz="4" w:space="0" w:color="auto"/>
              <w:left w:val="single" w:sz="4" w:space="0" w:color="auto"/>
              <w:bottom w:val="single" w:sz="4" w:space="0" w:color="auto"/>
              <w:right w:val="single" w:sz="4" w:space="0" w:color="auto"/>
            </w:tcBorders>
          </w:tcPr>
          <w:p w14:paraId="71ABC7FE" w14:textId="1FBC5F14"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1.22 (0.96-1.59)</w:t>
            </w:r>
          </w:p>
        </w:tc>
        <w:tc>
          <w:tcPr>
            <w:tcW w:w="1134" w:type="dxa"/>
            <w:tcBorders>
              <w:top w:val="single" w:sz="4" w:space="0" w:color="auto"/>
              <w:left w:val="single" w:sz="4" w:space="0" w:color="auto"/>
              <w:bottom w:val="single" w:sz="4" w:space="0" w:color="auto"/>
              <w:right w:val="single" w:sz="4" w:space="0" w:color="auto"/>
            </w:tcBorders>
          </w:tcPr>
          <w:p w14:paraId="709B8EA0" w14:textId="4399D724"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0.113</w:t>
            </w:r>
          </w:p>
        </w:tc>
      </w:tr>
      <w:tr w:rsidR="00077DA9" w14:paraId="2EBA37CC" w14:textId="1ABB77FA"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412FB450" w14:textId="77777777" w:rsidR="00077DA9" w:rsidRPr="001A7B31" w:rsidRDefault="00077DA9"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 xml:space="preserve">Symptom duration prior to admission (days) </w:t>
            </w:r>
          </w:p>
        </w:tc>
        <w:tc>
          <w:tcPr>
            <w:tcW w:w="2006" w:type="dxa"/>
            <w:tcBorders>
              <w:top w:val="single" w:sz="4" w:space="0" w:color="auto"/>
              <w:left w:val="single" w:sz="4" w:space="0" w:color="auto"/>
              <w:bottom w:val="single" w:sz="4" w:space="0" w:color="auto"/>
              <w:right w:val="single" w:sz="4" w:space="0" w:color="auto"/>
            </w:tcBorders>
            <w:noWrap/>
          </w:tcPr>
          <w:p w14:paraId="5E25441E"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color w:val="000000"/>
                <w:lang w:eastAsia="en-GB"/>
              </w:rPr>
              <w:t>0.51 (0.16-0.99)</w:t>
            </w:r>
          </w:p>
        </w:tc>
        <w:tc>
          <w:tcPr>
            <w:tcW w:w="1276" w:type="dxa"/>
            <w:tcBorders>
              <w:top w:val="single" w:sz="4" w:space="0" w:color="auto"/>
              <w:left w:val="single" w:sz="4" w:space="0" w:color="auto"/>
              <w:bottom w:val="single" w:sz="4" w:space="0" w:color="auto"/>
              <w:right w:val="single" w:sz="4" w:space="0" w:color="auto"/>
            </w:tcBorders>
            <w:noWrap/>
          </w:tcPr>
          <w:p w14:paraId="56B311AF" w14:textId="77777777" w:rsidR="00077DA9" w:rsidRPr="001A7B31" w:rsidRDefault="00077DA9" w:rsidP="00143EF1">
            <w:pPr>
              <w:jc w:val="center"/>
              <w:rPr>
                <w:rFonts w:ascii="Calibri" w:eastAsia="Times New Roman" w:hAnsi="Calibri" w:cs="Calibri"/>
                <w:color w:val="000000"/>
                <w:lang w:eastAsia="en-GB"/>
              </w:rPr>
            </w:pPr>
            <w:r w:rsidRPr="001A7B31">
              <w:rPr>
                <w:rFonts w:ascii="Calibri" w:eastAsia="Times New Roman" w:hAnsi="Calibri" w:cs="Calibri"/>
                <w:color w:val="000000"/>
                <w:lang w:eastAsia="en-GB"/>
              </w:rPr>
              <w:t>0.137</w:t>
            </w:r>
          </w:p>
        </w:tc>
        <w:tc>
          <w:tcPr>
            <w:tcW w:w="1701" w:type="dxa"/>
            <w:tcBorders>
              <w:top w:val="single" w:sz="4" w:space="0" w:color="auto"/>
              <w:left w:val="single" w:sz="4" w:space="0" w:color="auto"/>
              <w:bottom w:val="single" w:sz="4" w:space="0" w:color="auto"/>
              <w:right w:val="single" w:sz="4" w:space="0" w:color="auto"/>
            </w:tcBorders>
          </w:tcPr>
          <w:p w14:paraId="19BF8120" w14:textId="4D1CFD1C" w:rsidR="00077DA9" w:rsidRPr="001A7B31" w:rsidRDefault="00077DA9" w:rsidP="00143EF1">
            <w:pPr>
              <w:jc w:val="center"/>
              <w:rPr>
                <w:rFonts w:ascii="Calibri" w:eastAsia="Times New Roman" w:hAnsi="Calibri" w:cs="Calibri"/>
                <w:color w:val="000000"/>
                <w:lang w:eastAsia="en-GB"/>
              </w:rPr>
            </w:pPr>
            <w:r>
              <w:rPr>
                <w:rFonts w:ascii="Calibri" w:eastAsia="Times New Roman" w:hAnsi="Calibri" w:cs="Calibri"/>
                <w:color w:val="000000"/>
                <w:lang w:eastAsia="en-GB"/>
              </w:rPr>
              <w:t>0.94 (0.81-1.06)</w:t>
            </w:r>
          </w:p>
        </w:tc>
        <w:tc>
          <w:tcPr>
            <w:tcW w:w="1134" w:type="dxa"/>
            <w:tcBorders>
              <w:top w:val="single" w:sz="4" w:space="0" w:color="auto"/>
              <w:left w:val="single" w:sz="4" w:space="0" w:color="auto"/>
              <w:bottom w:val="single" w:sz="4" w:space="0" w:color="auto"/>
              <w:right w:val="single" w:sz="4" w:space="0" w:color="auto"/>
            </w:tcBorders>
          </w:tcPr>
          <w:p w14:paraId="24F6825F" w14:textId="03A9F9F9" w:rsidR="00077DA9" w:rsidRPr="001A7B31" w:rsidRDefault="00077DA9" w:rsidP="00143EF1">
            <w:pPr>
              <w:jc w:val="center"/>
              <w:rPr>
                <w:rFonts w:ascii="Calibri" w:eastAsia="Times New Roman" w:hAnsi="Calibri" w:cs="Calibri"/>
                <w:color w:val="000000"/>
                <w:lang w:eastAsia="en-GB"/>
              </w:rPr>
            </w:pPr>
            <w:r>
              <w:rPr>
                <w:rFonts w:ascii="Calibri" w:eastAsia="Times New Roman" w:hAnsi="Calibri" w:cs="Calibri"/>
                <w:color w:val="000000"/>
                <w:lang w:eastAsia="en-GB"/>
              </w:rPr>
              <w:t>0.320</w:t>
            </w:r>
          </w:p>
        </w:tc>
      </w:tr>
      <w:tr w:rsidR="00077DA9" w14:paraId="6E4CCBCD" w14:textId="1FF4341B"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38FB630E" w14:textId="61E2BE73" w:rsidR="00077DA9" w:rsidRPr="001A7B31" w:rsidRDefault="00077DA9" w:rsidP="00143EF1">
            <w:pPr>
              <w:rPr>
                <w:rFonts w:ascii="Calibri" w:eastAsia="Times New Roman" w:hAnsi="Calibri" w:cs="Calibri"/>
                <w:color w:val="000000"/>
                <w:lang w:eastAsia="en-GB"/>
              </w:rPr>
            </w:pPr>
            <w:r>
              <w:rPr>
                <w:rFonts w:ascii="Calibri" w:eastAsia="Times New Roman" w:hAnsi="Calibri" w:cs="Calibri"/>
                <w:color w:val="000000"/>
                <w:lang w:eastAsia="en-GB"/>
              </w:rPr>
              <w:t xml:space="preserve">Infiltrates on CXR </w:t>
            </w:r>
          </w:p>
        </w:tc>
        <w:tc>
          <w:tcPr>
            <w:tcW w:w="2006" w:type="dxa"/>
            <w:tcBorders>
              <w:top w:val="single" w:sz="4" w:space="0" w:color="auto"/>
              <w:left w:val="single" w:sz="4" w:space="0" w:color="auto"/>
              <w:bottom w:val="single" w:sz="4" w:space="0" w:color="auto"/>
              <w:right w:val="single" w:sz="4" w:space="0" w:color="auto"/>
            </w:tcBorders>
            <w:noWrap/>
          </w:tcPr>
          <w:p w14:paraId="1F13D0AD" w14:textId="77777777" w:rsidR="00077DA9" w:rsidRPr="001A7B31" w:rsidRDefault="00077DA9"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lang w:eastAsia="en-GB"/>
              </w:rPr>
              <w:t>0.25 (0.01-3.48)</w:t>
            </w:r>
          </w:p>
        </w:tc>
        <w:tc>
          <w:tcPr>
            <w:tcW w:w="1276" w:type="dxa"/>
            <w:tcBorders>
              <w:top w:val="single" w:sz="4" w:space="0" w:color="auto"/>
              <w:left w:val="single" w:sz="4" w:space="0" w:color="auto"/>
              <w:bottom w:val="single" w:sz="4" w:space="0" w:color="auto"/>
              <w:right w:val="single" w:sz="4" w:space="0" w:color="auto"/>
            </w:tcBorders>
            <w:noWrap/>
          </w:tcPr>
          <w:p w14:paraId="5639465A" w14:textId="77777777" w:rsidR="00077DA9" w:rsidRPr="001A7B31" w:rsidRDefault="00077DA9" w:rsidP="00143EF1">
            <w:pPr>
              <w:jc w:val="center"/>
              <w:rPr>
                <w:rFonts w:ascii="Calibri" w:eastAsia="Times New Roman" w:hAnsi="Calibri" w:cs="Calibri"/>
                <w:b/>
                <w:bCs/>
                <w:color w:val="000000" w:themeColor="text1"/>
                <w:lang w:eastAsia="en-GB"/>
              </w:rPr>
            </w:pPr>
            <w:r w:rsidRPr="001A7B31">
              <w:rPr>
                <w:rFonts w:ascii="Calibri" w:eastAsia="Times New Roman" w:hAnsi="Calibri" w:cs="Calibri"/>
                <w:color w:val="000000"/>
                <w:lang w:eastAsia="en-GB"/>
              </w:rPr>
              <w:t>0.330</w:t>
            </w:r>
          </w:p>
        </w:tc>
        <w:tc>
          <w:tcPr>
            <w:tcW w:w="1701" w:type="dxa"/>
            <w:tcBorders>
              <w:top w:val="single" w:sz="4" w:space="0" w:color="auto"/>
              <w:left w:val="single" w:sz="4" w:space="0" w:color="auto"/>
              <w:bottom w:val="single" w:sz="4" w:space="0" w:color="auto"/>
              <w:right w:val="single" w:sz="4" w:space="0" w:color="auto"/>
            </w:tcBorders>
          </w:tcPr>
          <w:p w14:paraId="62BC7928" w14:textId="0F9B99CF" w:rsidR="00077DA9" w:rsidRPr="001A7B31" w:rsidRDefault="000C5265" w:rsidP="00143EF1">
            <w:pPr>
              <w:jc w:val="center"/>
              <w:rPr>
                <w:rFonts w:ascii="Calibri" w:eastAsia="Times New Roman" w:hAnsi="Calibri" w:cs="Calibri"/>
                <w:color w:val="000000"/>
                <w:lang w:eastAsia="en-GB"/>
              </w:rPr>
            </w:pPr>
            <w:r>
              <w:rPr>
                <w:rFonts w:ascii="Calibri" w:eastAsia="Times New Roman" w:hAnsi="Calibri" w:cs="Calibri"/>
                <w:color w:val="000000"/>
                <w:lang w:eastAsia="en-GB"/>
              </w:rPr>
              <w:t>&gt;10 (0.9-∞)</w:t>
            </w:r>
          </w:p>
        </w:tc>
        <w:tc>
          <w:tcPr>
            <w:tcW w:w="1134" w:type="dxa"/>
            <w:tcBorders>
              <w:top w:val="single" w:sz="4" w:space="0" w:color="auto"/>
              <w:left w:val="single" w:sz="4" w:space="0" w:color="auto"/>
              <w:bottom w:val="single" w:sz="4" w:space="0" w:color="auto"/>
              <w:right w:val="single" w:sz="4" w:space="0" w:color="auto"/>
            </w:tcBorders>
          </w:tcPr>
          <w:p w14:paraId="767FAF1F" w14:textId="127DE50E" w:rsidR="00077DA9" w:rsidRPr="001A7B31" w:rsidRDefault="00077DA9" w:rsidP="00143EF1">
            <w:pPr>
              <w:jc w:val="center"/>
              <w:rPr>
                <w:rFonts w:ascii="Calibri" w:eastAsia="Times New Roman" w:hAnsi="Calibri" w:cs="Calibri"/>
                <w:color w:val="000000"/>
                <w:lang w:eastAsia="en-GB"/>
              </w:rPr>
            </w:pPr>
            <w:r>
              <w:rPr>
                <w:rFonts w:ascii="Calibri" w:eastAsia="Times New Roman" w:hAnsi="Calibri" w:cs="Calibri"/>
                <w:color w:val="000000"/>
                <w:lang w:eastAsia="en-GB"/>
              </w:rPr>
              <w:t>0.988</w:t>
            </w:r>
          </w:p>
        </w:tc>
      </w:tr>
      <w:tr w:rsidR="00077DA9" w14:paraId="2EEBE63B" w14:textId="1B6E24C3"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133360E6" w14:textId="77777777" w:rsidR="00077DA9" w:rsidRPr="001A7B31" w:rsidRDefault="00077DA9"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 xml:space="preserve">White blood cell count </w:t>
            </w:r>
            <w:r w:rsidRPr="001A7B31">
              <w:rPr>
                <w:rFonts w:ascii="Calibri" w:eastAsia="Times New Roman" w:hAnsi="Calibri" w:cs="Times New Roman"/>
                <w:lang w:eastAsia="en-GB"/>
              </w:rPr>
              <w:t>(10</w:t>
            </w:r>
            <w:r w:rsidRPr="001A7B31">
              <w:rPr>
                <w:rFonts w:ascii="Calibri" w:eastAsia="Times New Roman" w:hAnsi="Calibri" w:cs="Times New Roman"/>
                <w:vertAlign w:val="superscript"/>
                <w:lang w:eastAsia="en-GB"/>
              </w:rPr>
              <w:t>9</w:t>
            </w:r>
            <w:r w:rsidRPr="001A7B31">
              <w:rPr>
                <w:rFonts w:ascii="Calibri" w:eastAsia="Times New Roman" w:hAnsi="Calibri" w:cs="Times New Roman"/>
                <w:lang w:eastAsia="en-GB"/>
              </w:rPr>
              <w:t>/L)</w:t>
            </w:r>
          </w:p>
        </w:tc>
        <w:tc>
          <w:tcPr>
            <w:tcW w:w="2006" w:type="dxa"/>
            <w:tcBorders>
              <w:top w:val="single" w:sz="4" w:space="0" w:color="auto"/>
              <w:left w:val="single" w:sz="4" w:space="0" w:color="auto"/>
              <w:bottom w:val="single" w:sz="4" w:space="0" w:color="auto"/>
              <w:right w:val="single" w:sz="4" w:space="0" w:color="auto"/>
            </w:tcBorders>
            <w:noWrap/>
          </w:tcPr>
          <w:p w14:paraId="351920E9" w14:textId="77777777" w:rsidR="00077DA9" w:rsidRPr="001A7B31" w:rsidRDefault="00077DA9"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0.98 (0.65-1.46)</w:t>
            </w:r>
          </w:p>
        </w:tc>
        <w:tc>
          <w:tcPr>
            <w:tcW w:w="1276" w:type="dxa"/>
            <w:tcBorders>
              <w:top w:val="single" w:sz="4" w:space="0" w:color="auto"/>
              <w:left w:val="single" w:sz="4" w:space="0" w:color="auto"/>
              <w:bottom w:val="single" w:sz="4" w:space="0" w:color="auto"/>
              <w:right w:val="single" w:sz="4" w:space="0" w:color="auto"/>
            </w:tcBorders>
            <w:noWrap/>
          </w:tcPr>
          <w:p w14:paraId="20105DD1" w14:textId="77777777" w:rsidR="00077DA9" w:rsidRPr="001A7B31" w:rsidRDefault="00077DA9"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0.901</w:t>
            </w:r>
          </w:p>
        </w:tc>
        <w:tc>
          <w:tcPr>
            <w:tcW w:w="1701" w:type="dxa"/>
            <w:tcBorders>
              <w:top w:val="single" w:sz="4" w:space="0" w:color="auto"/>
              <w:left w:val="single" w:sz="4" w:space="0" w:color="auto"/>
              <w:bottom w:val="single" w:sz="4" w:space="0" w:color="auto"/>
              <w:right w:val="single" w:sz="4" w:space="0" w:color="auto"/>
            </w:tcBorders>
          </w:tcPr>
          <w:p w14:paraId="337277B9" w14:textId="04CB05F5"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1.28 (1.05-1.61)</w:t>
            </w:r>
          </w:p>
        </w:tc>
        <w:tc>
          <w:tcPr>
            <w:tcW w:w="1134" w:type="dxa"/>
            <w:tcBorders>
              <w:top w:val="single" w:sz="4" w:space="0" w:color="auto"/>
              <w:left w:val="single" w:sz="4" w:space="0" w:color="auto"/>
              <w:bottom w:val="single" w:sz="4" w:space="0" w:color="auto"/>
              <w:right w:val="single" w:sz="4" w:space="0" w:color="auto"/>
            </w:tcBorders>
          </w:tcPr>
          <w:p w14:paraId="6B8500EA" w14:textId="11C28921" w:rsidR="00077DA9" w:rsidRPr="00077DA9"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b/>
                <w:bCs/>
                <w:color w:val="000000" w:themeColor="text1"/>
                <w:lang w:eastAsia="en-GB"/>
              </w:rPr>
              <w:t>0.022</w:t>
            </w:r>
          </w:p>
        </w:tc>
      </w:tr>
      <w:tr w:rsidR="000C5265" w14:paraId="330EC921" w14:textId="6880F410" w:rsidTr="000C5265">
        <w:trPr>
          <w:trHeight w:val="466"/>
        </w:trPr>
        <w:tc>
          <w:tcPr>
            <w:tcW w:w="3092" w:type="dxa"/>
            <w:tcBorders>
              <w:top w:val="single" w:sz="4" w:space="0" w:color="auto"/>
              <w:left w:val="single" w:sz="4" w:space="0" w:color="auto"/>
              <w:bottom w:val="single" w:sz="4" w:space="0" w:color="auto"/>
              <w:right w:val="single" w:sz="4" w:space="0" w:color="auto"/>
            </w:tcBorders>
            <w:noWrap/>
          </w:tcPr>
          <w:p w14:paraId="2AEC2DF7" w14:textId="77777777" w:rsidR="000C5265" w:rsidRPr="001A7B31" w:rsidRDefault="000C5265"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CRP (mg/L)</w:t>
            </w:r>
          </w:p>
        </w:tc>
        <w:tc>
          <w:tcPr>
            <w:tcW w:w="2006" w:type="dxa"/>
            <w:tcBorders>
              <w:top w:val="single" w:sz="4" w:space="0" w:color="auto"/>
              <w:left w:val="single" w:sz="4" w:space="0" w:color="auto"/>
              <w:bottom w:val="single" w:sz="4" w:space="0" w:color="auto"/>
              <w:right w:val="single" w:sz="4" w:space="0" w:color="auto"/>
            </w:tcBorders>
            <w:noWrap/>
          </w:tcPr>
          <w:p w14:paraId="41AC2FFA" w14:textId="77777777" w:rsidR="000C5265" w:rsidRPr="001A7B31" w:rsidRDefault="000C5265"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1.03 (1.01-1.06)</w:t>
            </w:r>
          </w:p>
        </w:tc>
        <w:tc>
          <w:tcPr>
            <w:tcW w:w="1276" w:type="dxa"/>
            <w:tcBorders>
              <w:top w:val="single" w:sz="4" w:space="0" w:color="auto"/>
              <w:left w:val="single" w:sz="4" w:space="0" w:color="auto"/>
              <w:bottom w:val="single" w:sz="4" w:space="0" w:color="auto"/>
              <w:right w:val="single" w:sz="4" w:space="0" w:color="auto"/>
            </w:tcBorders>
            <w:noWrap/>
          </w:tcPr>
          <w:p w14:paraId="05B95C18" w14:textId="77777777" w:rsidR="000C5265" w:rsidRPr="001A7B31" w:rsidRDefault="000C5265" w:rsidP="00143EF1">
            <w:pPr>
              <w:jc w:val="center"/>
              <w:rPr>
                <w:rFonts w:ascii="Calibri" w:eastAsia="Times New Roman" w:hAnsi="Calibri" w:cs="Calibri"/>
                <w:color w:val="000000" w:themeColor="text1"/>
                <w:lang w:eastAsia="en-GB"/>
              </w:rPr>
            </w:pPr>
            <w:r w:rsidRPr="001A7B31">
              <w:rPr>
                <w:rFonts w:ascii="Calibri" w:eastAsia="Times New Roman" w:hAnsi="Calibri" w:cs="Calibri"/>
                <w:b/>
                <w:bCs/>
                <w:color w:val="000000" w:themeColor="text1"/>
                <w:lang w:eastAsia="en-GB"/>
              </w:rPr>
              <w:t>0.047</w:t>
            </w:r>
          </w:p>
        </w:tc>
        <w:tc>
          <w:tcPr>
            <w:tcW w:w="1701" w:type="dxa"/>
            <w:tcBorders>
              <w:top w:val="single" w:sz="4" w:space="0" w:color="auto"/>
              <w:left w:val="single" w:sz="4" w:space="0" w:color="auto"/>
              <w:bottom w:val="single" w:sz="4" w:space="0" w:color="auto"/>
              <w:right w:val="single" w:sz="4" w:space="0" w:color="auto"/>
            </w:tcBorders>
          </w:tcPr>
          <w:p w14:paraId="6D68DF52" w14:textId="77777777" w:rsidR="000C5265" w:rsidRPr="007B19AD" w:rsidRDefault="000C5265" w:rsidP="00143EF1">
            <w:pPr>
              <w:jc w:val="center"/>
              <w:rPr>
                <w:rFonts w:ascii="Calibri" w:eastAsia="Times New Roman" w:hAnsi="Calibri" w:cs="Calibri"/>
                <w:color w:val="000000" w:themeColor="text1"/>
                <w:lang w:eastAsia="en-GB"/>
              </w:rPr>
            </w:pPr>
            <w:r w:rsidRPr="007B19AD">
              <w:rPr>
                <w:rFonts w:ascii="Calibri" w:eastAsia="Times New Roman" w:hAnsi="Calibri" w:cs="Calibri"/>
                <w:color w:val="000000" w:themeColor="text1"/>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361FE8BF" w14:textId="4261F734" w:rsidR="000C5265" w:rsidRPr="007B19AD" w:rsidRDefault="000C5265"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w:t>
            </w:r>
          </w:p>
        </w:tc>
      </w:tr>
      <w:tr w:rsidR="00077DA9" w14:paraId="64B2EEE9" w14:textId="0130C68D"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5946CA9B" w14:textId="77777777" w:rsidR="00077DA9" w:rsidRPr="001A7B31" w:rsidRDefault="00077DA9"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 xml:space="preserve">Lymphocyte count </w:t>
            </w:r>
            <w:r w:rsidRPr="001A7B31">
              <w:rPr>
                <w:rFonts w:ascii="Calibri" w:eastAsia="Times New Roman" w:hAnsi="Calibri" w:cs="Times New Roman"/>
                <w:lang w:eastAsia="en-GB"/>
              </w:rPr>
              <w:t>(10</w:t>
            </w:r>
            <w:r w:rsidRPr="001A7B31">
              <w:rPr>
                <w:rFonts w:ascii="Calibri" w:eastAsia="Times New Roman" w:hAnsi="Calibri" w:cs="Times New Roman"/>
                <w:vertAlign w:val="superscript"/>
                <w:lang w:eastAsia="en-GB"/>
              </w:rPr>
              <w:t>9</w:t>
            </w:r>
            <w:r w:rsidRPr="001A7B31">
              <w:rPr>
                <w:rFonts w:ascii="Calibri" w:eastAsia="Times New Roman" w:hAnsi="Calibri" w:cs="Times New Roman"/>
                <w:lang w:eastAsia="en-GB"/>
              </w:rPr>
              <w:t>/L)</w:t>
            </w:r>
          </w:p>
        </w:tc>
        <w:tc>
          <w:tcPr>
            <w:tcW w:w="2006" w:type="dxa"/>
            <w:tcBorders>
              <w:top w:val="single" w:sz="4" w:space="0" w:color="auto"/>
              <w:left w:val="single" w:sz="4" w:space="0" w:color="auto"/>
              <w:bottom w:val="single" w:sz="4" w:space="0" w:color="auto"/>
              <w:right w:val="single" w:sz="4" w:space="0" w:color="auto"/>
            </w:tcBorders>
            <w:noWrap/>
          </w:tcPr>
          <w:p w14:paraId="0BD7916D" w14:textId="77777777" w:rsidR="00077DA9" w:rsidRPr="001A7B31" w:rsidRDefault="00077DA9"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0.75 (NA-1.15)</w:t>
            </w:r>
          </w:p>
        </w:tc>
        <w:tc>
          <w:tcPr>
            <w:tcW w:w="1276" w:type="dxa"/>
            <w:tcBorders>
              <w:top w:val="single" w:sz="4" w:space="0" w:color="auto"/>
              <w:left w:val="single" w:sz="4" w:space="0" w:color="auto"/>
              <w:bottom w:val="single" w:sz="4" w:space="0" w:color="auto"/>
              <w:right w:val="single" w:sz="4" w:space="0" w:color="auto"/>
            </w:tcBorders>
            <w:noWrap/>
          </w:tcPr>
          <w:p w14:paraId="67F2B266" w14:textId="77777777" w:rsidR="00077DA9" w:rsidRPr="001A7B31" w:rsidRDefault="00077DA9"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0.343</w:t>
            </w:r>
          </w:p>
        </w:tc>
        <w:tc>
          <w:tcPr>
            <w:tcW w:w="1701" w:type="dxa"/>
            <w:tcBorders>
              <w:top w:val="single" w:sz="4" w:space="0" w:color="auto"/>
              <w:left w:val="single" w:sz="4" w:space="0" w:color="auto"/>
              <w:bottom w:val="single" w:sz="4" w:space="0" w:color="auto"/>
              <w:right w:val="single" w:sz="4" w:space="0" w:color="auto"/>
            </w:tcBorders>
          </w:tcPr>
          <w:p w14:paraId="65E414D2" w14:textId="14B30A5F"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0.44 (0.09-0.86)</w:t>
            </w:r>
          </w:p>
        </w:tc>
        <w:tc>
          <w:tcPr>
            <w:tcW w:w="1134" w:type="dxa"/>
            <w:tcBorders>
              <w:top w:val="single" w:sz="4" w:space="0" w:color="auto"/>
              <w:left w:val="single" w:sz="4" w:space="0" w:color="auto"/>
              <w:bottom w:val="single" w:sz="4" w:space="0" w:color="auto"/>
              <w:right w:val="single" w:sz="4" w:space="0" w:color="auto"/>
            </w:tcBorders>
          </w:tcPr>
          <w:p w14:paraId="473DB68F" w14:textId="6B6F28D7"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0.220</w:t>
            </w:r>
          </w:p>
        </w:tc>
      </w:tr>
      <w:tr w:rsidR="00C359EC" w14:paraId="109BAFD5" w14:textId="77777777"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44E4C1D3" w14:textId="7C394F82" w:rsidR="00C359EC" w:rsidRPr="001A7B31" w:rsidRDefault="00C359EC" w:rsidP="00143EF1">
            <w:pPr>
              <w:rPr>
                <w:rFonts w:ascii="Calibri" w:eastAsia="Times New Roman" w:hAnsi="Calibri" w:cs="Calibri"/>
                <w:color w:val="000000"/>
                <w:lang w:eastAsia="en-GB"/>
              </w:rPr>
            </w:pPr>
            <w:r>
              <w:rPr>
                <w:rFonts w:ascii="Calibri" w:eastAsia="Times New Roman" w:hAnsi="Calibri" w:cs="Calibri"/>
                <w:color w:val="000000"/>
                <w:lang w:eastAsia="en-GB"/>
              </w:rPr>
              <w:t>Urea (mmol/L)</w:t>
            </w:r>
          </w:p>
        </w:tc>
        <w:tc>
          <w:tcPr>
            <w:tcW w:w="2006" w:type="dxa"/>
            <w:tcBorders>
              <w:top w:val="single" w:sz="4" w:space="0" w:color="auto"/>
              <w:left w:val="single" w:sz="4" w:space="0" w:color="auto"/>
              <w:bottom w:val="single" w:sz="4" w:space="0" w:color="auto"/>
              <w:right w:val="single" w:sz="4" w:space="0" w:color="auto"/>
            </w:tcBorders>
            <w:noWrap/>
          </w:tcPr>
          <w:p w14:paraId="16ECA35B" w14:textId="4C4D9675" w:rsidR="00C359EC" w:rsidRPr="001A7B31" w:rsidRDefault="00C359EC"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N/A</w:t>
            </w:r>
          </w:p>
        </w:tc>
        <w:tc>
          <w:tcPr>
            <w:tcW w:w="1276" w:type="dxa"/>
            <w:tcBorders>
              <w:top w:val="single" w:sz="4" w:space="0" w:color="auto"/>
              <w:left w:val="single" w:sz="4" w:space="0" w:color="auto"/>
              <w:bottom w:val="single" w:sz="4" w:space="0" w:color="auto"/>
              <w:right w:val="single" w:sz="4" w:space="0" w:color="auto"/>
            </w:tcBorders>
            <w:noWrap/>
          </w:tcPr>
          <w:p w14:paraId="0F439C86" w14:textId="5791E849" w:rsidR="00C359EC" w:rsidRPr="001A7B31" w:rsidRDefault="00C359EC"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w:t>
            </w:r>
          </w:p>
        </w:tc>
        <w:tc>
          <w:tcPr>
            <w:tcW w:w="1701" w:type="dxa"/>
            <w:tcBorders>
              <w:top w:val="single" w:sz="4" w:space="0" w:color="auto"/>
              <w:left w:val="single" w:sz="4" w:space="0" w:color="auto"/>
              <w:bottom w:val="single" w:sz="4" w:space="0" w:color="auto"/>
              <w:right w:val="single" w:sz="4" w:space="0" w:color="auto"/>
            </w:tcBorders>
          </w:tcPr>
          <w:p w14:paraId="2FD87894" w14:textId="2CE44653" w:rsidR="00C359EC" w:rsidRPr="00EE1831" w:rsidRDefault="00EE1831" w:rsidP="00143EF1">
            <w:pPr>
              <w:jc w:val="center"/>
              <w:rPr>
                <w:rFonts w:ascii="Calibri" w:eastAsia="Times New Roman" w:hAnsi="Calibri" w:cs="Calibri"/>
                <w:color w:val="000000" w:themeColor="text1"/>
                <w:lang w:eastAsia="en-GB"/>
              </w:rPr>
            </w:pPr>
            <w:r w:rsidRPr="00EE1831">
              <w:rPr>
                <w:rFonts w:ascii="Calibri" w:eastAsia="Times New Roman" w:hAnsi="Calibri" w:cs="Calibri"/>
                <w:color w:val="000000" w:themeColor="text1"/>
                <w:lang w:eastAsia="en-GB"/>
              </w:rPr>
              <w:t>1.13 (0.98-1.36)</w:t>
            </w:r>
          </w:p>
        </w:tc>
        <w:tc>
          <w:tcPr>
            <w:tcW w:w="1134" w:type="dxa"/>
            <w:tcBorders>
              <w:top w:val="single" w:sz="4" w:space="0" w:color="auto"/>
              <w:left w:val="single" w:sz="4" w:space="0" w:color="auto"/>
              <w:bottom w:val="single" w:sz="4" w:space="0" w:color="auto"/>
              <w:right w:val="single" w:sz="4" w:space="0" w:color="auto"/>
            </w:tcBorders>
          </w:tcPr>
          <w:p w14:paraId="1E968C93" w14:textId="7E884B38" w:rsidR="00C359EC" w:rsidRPr="00EE1831" w:rsidRDefault="00EE1831" w:rsidP="00143EF1">
            <w:pPr>
              <w:jc w:val="center"/>
              <w:rPr>
                <w:rFonts w:ascii="Calibri" w:eastAsia="Times New Roman" w:hAnsi="Calibri" w:cs="Calibri"/>
                <w:color w:val="000000" w:themeColor="text1"/>
                <w:lang w:eastAsia="en-GB"/>
              </w:rPr>
            </w:pPr>
            <w:r w:rsidRPr="00EE1831">
              <w:rPr>
                <w:rFonts w:ascii="Calibri" w:eastAsia="Times New Roman" w:hAnsi="Calibri" w:cs="Calibri"/>
                <w:color w:val="000000" w:themeColor="text1"/>
                <w:lang w:eastAsia="en-GB"/>
              </w:rPr>
              <w:t>0.153</w:t>
            </w:r>
          </w:p>
        </w:tc>
      </w:tr>
      <w:tr w:rsidR="000C5265" w14:paraId="0F1BAA2F" w14:textId="259173A7" w:rsidTr="000C5265">
        <w:trPr>
          <w:trHeight w:val="466"/>
        </w:trPr>
        <w:tc>
          <w:tcPr>
            <w:tcW w:w="3092" w:type="dxa"/>
            <w:tcBorders>
              <w:top w:val="single" w:sz="4" w:space="0" w:color="auto"/>
              <w:left w:val="single" w:sz="4" w:space="0" w:color="auto"/>
              <w:bottom w:val="single" w:sz="4" w:space="0" w:color="auto"/>
              <w:right w:val="single" w:sz="4" w:space="0" w:color="auto"/>
            </w:tcBorders>
            <w:noWrap/>
          </w:tcPr>
          <w:p w14:paraId="3F844426" w14:textId="77777777" w:rsidR="000C5265" w:rsidRPr="001A7B31" w:rsidRDefault="000C5265"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 xml:space="preserve">Platelets </w:t>
            </w:r>
            <w:r w:rsidRPr="001A7B31">
              <w:rPr>
                <w:rFonts w:ascii="Calibri" w:eastAsia="Times New Roman" w:hAnsi="Calibri" w:cs="Times New Roman"/>
                <w:lang w:eastAsia="en-GB"/>
              </w:rPr>
              <w:t>(10</w:t>
            </w:r>
            <w:r w:rsidRPr="001A7B31">
              <w:rPr>
                <w:rFonts w:ascii="Calibri" w:eastAsia="Times New Roman" w:hAnsi="Calibri" w:cs="Times New Roman"/>
                <w:vertAlign w:val="superscript"/>
                <w:lang w:eastAsia="en-GB"/>
              </w:rPr>
              <w:t>9</w:t>
            </w:r>
            <w:r w:rsidRPr="001A7B31">
              <w:rPr>
                <w:rFonts w:ascii="Calibri" w:eastAsia="Times New Roman" w:hAnsi="Calibri" w:cs="Times New Roman"/>
                <w:lang w:eastAsia="en-GB"/>
              </w:rPr>
              <w:t>/L)</w:t>
            </w:r>
          </w:p>
        </w:tc>
        <w:tc>
          <w:tcPr>
            <w:tcW w:w="2006" w:type="dxa"/>
            <w:tcBorders>
              <w:top w:val="single" w:sz="4" w:space="0" w:color="auto"/>
              <w:left w:val="single" w:sz="4" w:space="0" w:color="auto"/>
              <w:bottom w:val="single" w:sz="4" w:space="0" w:color="auto"/>
              <w:right w:val="single" w:sz="4" w:space="0" w:color="auto"/>
            </w:tcBorders>
            <w:noWrap/>
          </w:tcPr>
          <w:p w14:paraId="50374809" w14:textId="77777777" w:rsidR="000C5265" w:rsidRPr="001A7B31" w:rsidRDefault="000C5265"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0.99 (0.98-1.01)</w:t>
            </w:r>
          </w:p>
        </w:tc>
        <w:tc>
          <w:tcPr>
            <w:tcW w:w="1276" w:type="dxa"/>
            <w:tcBorders>
              <w:top w:val="single" w:sz="4" w:space="0" w:color="auto"/>
              <w:left w:val="single" w:sz="4" w:space="0" w:color="auto"/>
              <w:bottom w:val="single" w:sz="4" w:space="0" w:color="auto"/>
              <w:right w:val="single" w:sz="4" w:space="0" w:color="auto"/>
            </w:tcBorders>
            <w:noWrap/>
          </w:tcPr>
          <w:p w14:paraId="73D36020" w14:textId="77777777" w:rsidR="000C5265" w:rsidRPr="001A7B31" w:rsidRDefault="000C5265"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0.418</w:t>
            </w:r>
          </w:p>
        </w:tc>
        <w:tc>
          <w:tcPr>
            <w:tcW w:w="1701" w:type="dxa"/>
            <w:tcBorders>
              <w:top w:val="single" w:sz="4" w:space="0" w:color="auto"/>
              <w:left w:val="single" w:sz="4" w:space="0" w:color="auto"/>
              <w:bottom w:val="single" w:sz="4" w:space="0" w:color="auto"/>
              <w:right w:val="single" w:sz="4" w:space="0" w:color="auto"/>
            </w:tcBorders>
          </w:tcPr>
          <w:p w14:paraId="73E80C5E" w14:textId="77777777" w:rsidR="000C5265" w:rsidRPr="007B19AD" w:rsidRDefault="000C5265"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580E9B98" w14:textId="2B1270DF" w:rsidR="000C5265" w:rsidRPr="007B19AD" w:rsidRDefault="000C5265"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w:t>
            </w:r>
          </w:p>
        </w:tc>
      </w:tr>
      <w:tr w:rsidR="00077DA9" w14:paraId="4E07B0EF" w14:textId="4373EC76"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335C789C" w14:textId="77777777" w:rsidR="00077DA9" w:rsidRPr="001A7B31" w:rsidRDefault="00077DA9" w:rsidP="00143EF1">
            <w:pPr>
              <w:rPr>
                <w:rFonts w:ascii="Calibri" w:eastAsia="Times New Roman" w:hAnsi="Calibri" w:cs="Calibri"/>
                <w:color w:val="000000"/>
                <w:lang w:eastAsia="en-GB"/>
              </w:rPr>
            </w:pPr>
            <w:r w:rsidRPr="001A7B31">
              <w:rPr>
                <w:rFonts w:ascii="Calibri" w:eastAsia="Times New Roman" w:hAnsi="Calibri" w:cs="Calibri"/>
                <w:color w:val="000000"/>
                <w:lang w:eastAsia="en-GB"/>
              </w:rPr>
              <w:t>Neutralising antibody status</w:t>
            </w:r>
          </w:p>
        </w:tc>
        <w:tc>
          <w:tcPr>
            <w:tcW w:w="2006" w:type="dxa"/>
            <w:tcBorders>
              <w:top w:val="single" w:sz="4" w:space="0" w:color="auto"/>
              <w:left w:val="single" w:sz="4" w:space="0" w:color="auto"/>
              <w:bottom w:val="single" w:sz="4" w:space="0" w:color="auto"/>
              <w:right w:val="single" w:sz="4" w:space="0" w:color="auto"/>
            </w:tcBorders>
            <w:noWrap/>
          </w:tcPr>
          <w:p w14:paraId="7D8BC099" w14:textId="77777777" w:rsidR="00077DA9" w:rsidRPr="001A7B31" w:rsidRDefault="00077DA9" w:rsidP="00143EF1">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10.62 (0.47-889)</w:t>
            </w:r>
          </w:p>
        </w:tc>
        <w:tc>
          <w:tcPr>
            <w:tcW w:w="1276" w:type="dxa"/>
            <w:tcBorders>
              <w:top w:val="single" w:sz="4" w:space="0" w:color="auto"/>
              <w:left w:val="single" w:sz="4" w:space="0" w:color="auto"/>
              <w:bottom w:val="single" w:sz="4" w:space="0" w:color="auto"/>
              <w:right w:val="single" w:sz="4" w:space="0" w:color="auto"/>
            </w:tcBorders>
            <w:noWrap/>
          </w:tcPr>
          <w:p w14:paraId="7568BC2B" w14:textId="77777777" w:rsidR="00077DA9" w:rsidRPr="001A7B31" w:rsidRDefault="00077DA9" w:rsidP="00143EF1">
            <w:pPr>
              <w:jc w:val="center"/>
              <w:rPr>
                <w:rFonts w:ascii="Calibri" w:eastAsia="Times New Roman" w:hAnsi="Calibri" w:cs="Calibri"/>
                <w:b/>
                <w:bCs/>
                <w:color w:val="000000" w:themeColor="text1"/>
                <w:lang w:eastAsia="en-GB"/>
              </w:rPr>
            </w:pPr>
            <w:r w:rsidRPr="001A7B31">
              <w:rPr>
                <w:rFonts w:ascii="Calibri" w:eastAsia="Times New Roman" w:hAnsi="Calibri" w:cs="Calibri"/>
                <w:color w:val="000000" w:themeColor="text1"/>
                <w:lang w:eastAsia="en-GB"/>
              </w:rPr>
              <w:t>0.199</w:t>
            </w:r>
          </w:p>
        </w:tc>
        <w:tc>
          <w:tcPr>
            <w:tcW w:w="1701" w:type="dxa"/>
            <w:tcBorders>
              <w:top w:val="single" w:sz="4" w:space="0" w:color="auto"/>
              <w:left w:val="single" w:sz="4" w:space="0" w:color="auto"/>
              <w:bottom w:val="single" w:sz="4" w:space="0" w:color="auto"/>
              <w:right w:val="single" w:sz="4" w:space="0" w:color="auto"/>
            </w:tcBorders>
          </w:tcPr>
          <w:p w14:paraId="4910339C" w14:textId="6814702A"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0.46 (0.10-2.00)</w:t>
            </w:r>
          </w:p>
        </w:tc>
        <w:tc>
          <w:tcPr>
            <w:tcW w:w="1134" w:type="dxa"/>
            <w:tcBorders>
              <w:top w:val="single" w:sz="4" w:space="0" w:color="auto"/>
              <w:left w:val="single" w:sz="4" w:space="0" w:color="auto"/>
              <w:bottom w:val="single" w:sz="4" w:space="0" w:color="auto"/>
              <w:right w:val="single" w:sz="4" w:space="0" w:color="auto"/>
            </w:tcBorders>
          </w:tcPr>
          <w:p w14:paraId="51434754" w14:textId="75A35CBB" w:rsidR="00077DA9" w:rsidRPr="001A7B31" w:rsidRDefault="00077DA9" w:rsidP="00143EF1">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0.302</w:t>
            </w:r>
          </w:p>
        </w:tc>
      </w:tr>
      <w:tr w:rsidR="00881713" w14:paraId="6D21C9C4" w14:textId="1D1440E7"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181BAFA5" w14:textId="77777777" w:rsidR="00881713" w:rsidRPr="001A7B31" w:rsidRDefault="00881713" w:rsidP="00881713">
            <w:pPr>
              <w:rPr>
                <w:rFonts w:ascii="Calibri" w:eastAsia="Times New Roman" w:hAnsi="Calibri" w:cs="Calibri"/>
                <w:color w:val="000000"/>
                <w:lang w:eastAsia="en-GB"/>
              </w:rPr>
            </w:pPr>
            <w:r w:rsidRPr="001A7B31">
              <w:rPr>
                <w:rFonts w:ascii="Calibri" w:eastAsia="Times New Roman" w:hAnsi="Calibri" w:cs="Calibri"/>
                <w:color w:val="000000"/>
                <w:lang w:eastAsia="en-GB"/>
              </w:rPr>
              <w:t xml:space="preserve">Ct value (viral load) </w:t>
            </w:r>
          </w:p>
        </w:tc>
        <w:tc>
          <w:tcPr>
            <w:tcW w:w="2006" w:type="dxa"/>
            <w:tcBorders>
              <w:top w:val="single" w:sz="4" w:space="0" w:color="auto"/>
              <w:left w:val="single" w:sz="4" w:space="0" w:color="auto"/>
              <w:bottom w:val="single" w:sz="4" w:space="0" w:color="auto"/>
              <w:right w:val="single" w:sz="4" w:space="0" w:color="auto"/>
            </w:tcBorders>
            <w:noWrap/>
          </w:tcPr>
          <w:p w14:paraId="792E1937" w14:textId="77777777" w:rsidR="00881713" w:rsidRPr="001A7B31" w:rsidRDefault="00881713" w:rsidP="00881713">
            <w:pPr>
              <w:jc w:val="center"/>
              <w:rPr>
                <w:rFonts w:ascii="Calibri" w:eastAsia="Times New Roman" w:hAnsi="Calibri" w:cs="Calibri"/>
                <w:color w:val="000000" w:themeColor="text1"/>
                <w:lang w:eastAsia="en-GB"/>
              </w:rPr>
            </w:pPr>
            <w:r w:rsidRPr="001A7B31">
              <w:rPr>
                <w:rFonts w:ascii="Calibri" w:eastAsia="Times New Roman" w:hAnsi="Calibri" w:cs="Calibri"/>
                <w:color w:val="000000"/>
                <w:lang w:eastAsia="en-GB"/>
              </w:rPr>
              <w:t>0.61 (0.28-1.01)</w:t>
            </w:r>
          </w:p>
        </w:tc>
        <w:tc>
          <w:tcPr>
            <w:tcW w:w="1276" w:type="dxa"/>
            <w:tcBorders>
              <w:top w:val="single" w:sz="4" w:space="0" w:color="auto"/>
              <w:left w:val="single" w:sz="4" w:space="0" w:color="auto"/>
              <w:bottom w:val="single" w:sz="4" w:space="0" w:color="auto"/>
              <w:right w:val="single" w:sz="4" w:space="0" w:color="auto"/>
            </w:tcBorders>
            <w:noWrap/>
          </w:tcPr>
          <w:p w14:paraId="788A4FBC" w14:textId="77777777" w:rsidR="00881713" w:rsidRPr="001A7B31" w:rsidRDefault="00881713" w:rsidP="00881713">
            <w:pPr>
              <w:jc w:val="center"/>
              <w:rPr>
                <w:rFonts w:ascii="Calibri" w:eastAsia="Times New Roman" w:hAnsi="Calibri" w:cs="Calibri"/>
                <w:color w:val="000000" w:themeColor="text1"/>
                <w:lang w:eastAsia="en-GB"/>
              </w:rPr>
            </w:pPr>
            <w:r w:rsidRPr="001A7B31">
              <w:rPr>
                <w:rFonts w:ascii="Calibri" w:eastAsia="Times New Roman" w:hAnsi="Calibri" w:cs="Calibri"/>
                <w:color w:val="000000"/>
                <w:lang w:eastAsia="en-GB"/>
              </w:rPr>
              <w:t>0.104</w:t>
            </w:r>
          </w:p>
        </w:tc>
        <w:tc>
          <w:tcPr>
            <w:tcW w:w="1701" w:type="dxa"/>
            <w:tcBorders>
              <w:top w:val="single" w:sz="4" w:space="0" w:color="auto"/>
              <w:left w:val="single" w:sz="4" w:space="0" w:color="auto"/>
              <w:bottom w:val="single" w:sz="4" w:space="0" w:color="auto"/>
              <w:right w:val="single" w:sz="4" w:space="0" w:color="auto"/>
            </w:tcBorders>
          </w:tcPr>
          <w:p w14:paraId="3678A4F4" w14:textId="355E8892" w:rsidR="00881713" w:rsidRPr="001A7B31" w:rsidRDefault="00881713" w:rsidP="00881713">
            <w:pPr>
              <w:jc w:val="center"/>
              <w:rPr>
                <w:rFonts w:ascii="Calibri" w:eastAsia="Times New Roman" w:hAnsi="Calibri" w:cs="Calibri"/>
                <w:color w:val="000000"/>
                <w:lang w:eastAsia="en-GB"/>
              </w:rPr>
            </w:pPr>
            <w:r>
              <w:rPr>
                <w:rFonts w:ascii="Calibri" w:eastAsia="Times New Roman" w:hAnsi="Calibri" w:cs="Calibri"/>
                <w:color w:val="000000"/>
                <w:lang w:eastAsia="en-GB"/>
              </w:rPr>
              <w:t>1.09 (0.93-1.29)</w:t>
            </w:r>
          </w:p>
        </w:tc>
        <w:tc>
          <w:tcPr>
            <w:tcW w:w="1134" w:type="dxa"/>
            <w:tcBorders>
              <w:top w:val="single" w:sz="4" w:space="0" w:color="auto"/>
              <w:left w:val="single" w:sz="4" w:space="0" w:color="auto"/>
              <w:bottom w:val="single" w:sz="4" w:space="0" w:color="auto"/>
              <w:right w:val="single" w:sz="4" w:space="0" w:color="auto"/>
            </w:tcBorders>
          </w:tcPr>
          <w:p w14:paraId="2D0A9A29" w14:textId="1D7DC88C" w:rsidR="00881713" w:rsidRPr="001A7B31" w:rsidRDefault="00881713" w:rsidP="00881713">
            <w:pPr>
              <w:jc w:val="center"/>
              <w:rPr>
                <w:rFonts w:ascii="Calibri" w:eastAsia="Times New Roman" w:hAnsi="Calibri" w:cs="Calibri"/>
                <w:color w:val="000000"/>
                <w:lang w:eastAsia="en-GB"/>
              </w:rPr>
            </w:pPr>
            <w:r>
              <w:rPr>
                <w:rFonts w:ascii="Calibri" w:eastAsia="Times New Roman" w:hAnsi="Calibri" w:cs="Calibri"/>
                <w:color w:val="000000"/>
                <w:lang w:eastAsia="en-GB"/>
              </w:rPr>
              <w:t>0.320</w:t>
            </w:r>
          </w:p>
        </w:tc>
      </w:tr>
      <w:tr w:rsidR="00881713" w14:paraId="79470748" w14:textId="0AC8F23C" w:rsidTr="00881713">
        <w:trPr>
          <w:trHeight w:val="466"/>
        </w:trPr>
        <w:tc>
          <w:tcPr>
            <w:tcW w:w="3092" w:type="dxa"/>
            <w:tcBorders>
              <w:top w:val="single" w:sz="4" w:space="0" w:color="auto"/>
              <w:left w:val="single" w:sz="4" w:space="0" w:color="auto"/>
              <w:bottom w:val="single" w:sz="4" w:space="0" w:color="auto"/>
              <w:right w:val="single" w:sz="4" w:space="0" w:color="auto"/>
            </w:tcBorders>
            <w:noWrap/>
          </w:tcPr>
          <w:p w14:paraId="444668C0" w14:textId="77777777" w:rsidR="00881713" w:rsidRPr="001A7B31" w:rsidRDefault="00881713" w:rsidP="00881713">
            <w:pPr>
              <w:rPr>
                <w:rFonts w:ascii="Calibri" w:eastAsia="Times New Roman" w:hAnsi="Calibri" w:cs="Calibri"/>
                <w:b/>
                <w:color w:val="000000"/>
                <w:lang w:eastAsia="en-GB"/>
              </w:rPr>
            </w:pPr>
            <w:r w:rsidRPr="001A7B31">
              <w:rPr>
                <w:rFonts w:ascii="Calibri" w:eastAsia="Times New Roman" w:hAnsi="Calibri" w:cs="Calibri"/>
                <w:b/>
                <w:color w:val="000000"/>
                <w:lang w:eastAsia="en-GB"/>
              </w:rPr>
              <w:t xml:space="preserve">Interaction terms </w:t>
            </w:r>
          </w:p>
        </w:tc>
        <w:tc>
          <w:tcPr>
            <w:tcW w:w="6117" w:type="dxa"/>
            <w:gridSpan w:val="4"/>
            <w:tcBorders>
              <w:top w:val="single" w:sz="4" w:space="0" w:color="auto"/>
              <w:left w:val="single" w:sz="4" w:space="0" w:color="auto"/>
              <w:bottom w:val="single" w:sz="4" w:space="0" w:color="auto"/>
              <w:right w:val="single" w:sz="4" w:space="0" w:color="auto"/>
            </w:tcBorders>
            <w:noWrap/>
          </w:tcPr>
          <w:p w14:paraId="5A01AB62" w14:textId="77777777" w:rsidR="00881713" w:rsidRPr="001A7B31" w:rsidRDefault="00881713" w:rsidP="00881713">
            <w:pPr>
              <w:jc w:val="center"/>
              <w:rPr>
                <w:rFonts w:ascii="Calibri" w:eastAsia="Times New Roman" w:hAnsi="Calibri" w:cs="Calibri"/>
                <w:color w:val="000000" w:themeColor="text1"/>
                <w:lang w:eastAsia="en-GB"/>
              </w:rPr>
            </w:pPr>
          </w:p>
        </w:tc>
      </w:tr>
      <w:tr w:rsidR="00881713" w14:paraId="61E14369" w14:textId="0D18A24D"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34EF3B36" w14:textId="77777777" w:rsidR="00881713" w:rsidRPr="001A7B31" w:rsidRDefault="00881713" w:rsidP="00881713">
            <w:pPr>
              <w:rPr>
                <w:rFonts w:ascii="Calibri" w:eastAsia="Times New Roman" w:hAnsi="Calibri" w:cs="Calibri"/>
                <w:color w:val="000000"/>
                <w:lang w:eastAsia="en-GB"/>
              </w:rPr>
            </w:pPr>
            <w:r w:rsidRPr="001A7B31">
              <w:rPr>
                <w:rFonts w:ascii="Calibri" w:eastAsia="Times New Roman" w:hAnsi="Calibri" w:cs="Calibri"/>
                <w:color w:val="000000"/>
                <w:lang w:eastAsia="en-GB"/>
              </w:rPr>
              <w:t>Ct Value x age</w:t>
            </w:r>
          </w:p>
        </w:tc>
        <w:tc>
          <w:tcPr>
            <w:tcW w:w="2006" w:type="dxa"/>
            <w:tcBorders>
              <w:top w:val="single" w:sz="4" w:space="0" w:color="auto"/>
              <w:left w:val="single" w:sz="4" w:space="0" w:color="auto"/>
              <w:bottom w:val="single" w:sz="4" w:space="0" w:color="auto"/>
              <w:right w:val="single" w:sz="4" w:space="0" w:color="auto"/>
            </w:tcBorders>
            <w:noWrap/>
          </w:tcPr>
          <w:p w14:paraId="58BF4961" w14:textId="77777777" w:rsidR="00881713" w:rsidRPr="001A7B31" w:rsidRDefault="00881713" w:rsidP="00881713">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1.02 (0.99-1.05)</w:t>
            </w:r>
          </w:p>
        </w:tc>
        <w:tc>
          <w:tcPr>
            <w:tcW w:w="1276" w:type="dxa"/>
            <w:tcBorders>
              <w:top w:val="single" w:sz="4" w:space="0" w:color="auto"/>
              <w:left w:val="single" w:sz="4" w:space="0" w:color="auto"/>
              <w:bottom w:val="single" w:sz="4" w:space="0" w:color="auto"/>
              <w:right w:val="single" w:sz="4" w:space="0" w:color="auto"/>
            </w:tcBorders>
            <w:noWrap/>
          </w:tcPr>
          <w:p w14:paraId="3D6EE202" w14:textId="77777777" w:rsidR="00881713" w:rsidRPr="001A7B31" w:rsidRDefault="00881713" w:rsidP="00881713">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0.214</w:t>
            </w:r>
          </w:p>
        </w:tc>
        <w:tc>
          <w:tcPr>
            <w:tcW w:w="1701" w:type="dxa"/>
            <w:tcBorders>
              <w:top w:val="single" w:sz="4" w:space="0" w:color="auto"/>
              <w:left w:val="single" w:sz="4" w:space="0" w:color="auto"/>
              <w:bottom w:val="single" w:sz="4" w:space="0" w:color="auto"/>
              <w:right w:val="single" w:sz="4" w:space="0" w:color="auto"/>
            </w:tcBorders>
          </w:tcPr>
          <w:p w14:paraId="2C037E41" w14:textId="22849DE2" w:rsidR="00881713" w:rsidRPr="001A7B31" w:rsidRDefault="00881713" w:rsidP="00881713">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1.01 (1.00-1.02)</w:t>
            </w:r>
          </w:p>
        </w:tc>
        <w:tc>
          <w:tcPr>
            <w:tcW w:w="1134" w:type="dxa"/>
            <w:tcBorders>
              <w:top w:val="single" w:sz="4" w:space="0" w:color="auto"/>
              <w:left w:val="single" w:sz="4" w:space="0" w:color="auto"/>
              <w:bottom w:val="single" w:sz="4" w:space="0" w:color="auto"/>
              <w:right w:val="single" w:sz="4" w:space="0" w:color="auto"/>
            </w:tcBorders>
          </w:tcPr>
          <w:p w14:paraId="05171355" w14:textId="22C2E922" w:rsidR="00881713" w:rsidRPr="001A7B31" w:rsidRDefault="00881713" w:rsidP="00881713">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0.075</w:t>
            </w:r>
          </w:p>
        </w:tc>
      </w:tr>
      <w:tr w:rsidR="00881713" w14:paraId="18B4541A" w14:textId="614D4F8F" w:rsidTr="00077DA9">
        <w:trPr>
          <w:trHeight w:val="466"/>
        </w:trPr>
        <w:tc>
          <w:tcPr>
            <w:tcW w:w="3092" w:type="dxa"/>
            <w:tcBorders>
              <w:top w:val="single" w:sz="4" w:space="0" w:color="auto"/>
              <w:left w:val="single" w:sz="4" w:space="0" w:color="auto"/>
              <w:bottom w:val="single" w:sz="4" w:space="0" w:color="auto"/>
              <w:right w:val="single" w:sz="4" w:space="0" w:color="auto"/>
            </w:tcBorders>
            <w:noWrap/>
          </w:tcPr>
          <w:p w14:paraId="19E40770" w14:textId="77777777" w:rsidR="00881713" w:rsidRPr="001A7B31" w:rsidRDefault="00881713" w:rsidP="00881713">
            <w:pPr>
              <w:rPr>
                <w:rFonts w:ascii="Calibri" w:eastAsia="Times New Roman" w:hAnsi="Calibri" w:cs="Calibri"/>
                <w:color w:val="000000"/>
                <w:lang w:eastAsia="en-GB"/>
              </w:rPr>
            </w:pPr>
            <w:r w:rsidRPr="001A7B31">
              <w:rPr>
                <w:rFonts w:ascii="Calibri" w:eastAsia="Times New Roman" w:hAnsi="Calibri" w:cs="Calibri"/>
                <w:color w:val="000000"/>
                <w:lang w:eastAsia="en-GB"/>
              </w:rPr>
              <w:t>Symptoms days x age</w:t>
            </w:r>
          </w:p>
        </w:tc>
        <w:tc>
          <w:tcPr>
            <w:tcW w:w="2006" w:type="dxa"/>
            <w:tcBorders>
              <w:top w:val="single" w:sz="4" w:space="0" w:color="auto"/>
              <w:left w:val="single" w:sz="4" w:space="0" w:color="auto"/>
              <w:bottom w:val="single" w:sz="4" w:space="0" w:color="auto"/>
              <w:right w:val="single" w:sz="4" w:space="0" w:color="auto"/>
            </w:tcBorders>
            <w:noWrap/>
          </w:tcPr>
          <w:p w14:paraId="5BFE0391" w14:textId="77777777" w:rsidR="00881713" w:rsidRPr="001A7B31" w:rsidRDefault="00881713" w:rsidP="00881713">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1.03 (1.00-1.08)</w:t>
            </w:r>
          </w:p>
        </w:tc>
        <w:tc>
          <w:tcPr>
            <w:tcW w:w="1276" w:type="dxa"/>
            <w:tcBorders>
              <w:top w:val="single" w:sz="4" w:space="0" w:color="auto"/>
              <w:left w:val="single" w:sz="4" w:space="0" w:color="auto"/>
              <w:bottom w:val="single" w:sz="4" w:space="0" w:color="auto"/>
              <w:right w:val="single" w:sz="4" w:space="0" w:color="auto"/>
            </w:tcBorders>
            <w:noWrap/>
          </w:tcPr>
          <w:p w14:paraId="3ADBAE23" w14:textId="77777777" w:rsidR="00881713" w:rsidRPr="001A7B31" w:rsidRDefault="00881713" w:rsidP="00881713">
            <w:pPr>
              <w:jc w:val="center"/>
              <w:rPr>
                <w:rFonts w:ascii="Calibri" w:eastAsia="Times New Roman" w:hAnsi="Calibri" w:cs="Calibri"/>
                <w:color w:val="000000" w:themeColor="text1"/>
                <w:lang w:eastAsia="en-GB"/>
              </w:rPr>
            </w:pPr>
            <w:r w:rsidRPr="001A7B31">
              <w:rPr>
                <w:rFonts w:ascii="Calibri" w:eastAsia="Times New Roman" w:hAnsi="Calibri" w:cs="Calibri"/>
                <w:color w:val="000000" w:themeColor="text1"/>
                <w:lang w:eastAsia="en-GB"/>
              </w:rPr>
              <w:t>0.096</w:t>
            </w:r>
          </w:p>
        </w:tc>
        <w:tc>
          <w:tcPr>
            <w:tcW w:w="1701" w:type="dxa"/>
            <w:tcBorders>
              <w:top w:val="single" w:sz="4" w:space="0" w:color="auto"/>
              <w:left w:val="single" w:sz="4" w:space="0" w:color="auto"/>
              <w:bottom w:val="single" w:sz="4" w:space="0" w:color="auto"/>
              <w:right w:val="single" w:sz="4" w:space="0" w:color="auto"/>
            </w:tcBorders>
          </w:tcPr>
          <w:p w14:paraId="6DE36674" w14:textId="16D2B1D7" w:rsidR="00881713" w:rsidRPr="001A7B31" w:rsidRDefault="00881713" w:rsidP="00881713">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1.00 (1.00-1.01)</w:t>
            </w:r>
          </w:p>
        </w:tc>
        <w:tc>
          <w:tcPr>
            <w:tcW w:w="1134" w:type="dxa"/>
            <w:tcBorders>
              <w:top w:val="single" w:sz="4" w:space="0" w:color="auto"/>
              <w:left w:val="single" w:sz="4" w:space="0" w:color="auto"/>
              <w:bottom w:val="single" w:sz="4" w:space="0" w:color="auto"/>
              <w:right w:val="single" w:sz="4" w:space="0" w:color="auto"/>
            </w:tcBorders>
          </w:tcPr>
          <w:p w14:paraId="6DF21D2E" w14:textId="789EF2B4" w:rsidR="00881713" w:rsidRPr="001A7B31" w:rsidRDefault="00881713" w:rsidP="00881713">
            <w:pPr>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0.287</w:t>
            </w:r>
          </w:p>
        </w:tc>
      </w:tr>
      <w:tr w:rsidR="00881713" w14:paraId="2A61D3EF" w14:textId="7C564DB1" w:rsidTr="000C5265">
        <w:trPr>
          <w:trHeight w:val="466"/>
        </w:trPr>
        <w:tc>
          <w:tcPr>
            <w:tcW w:w="3092" w:type="dxa"/>
            <w:tcBorders>
              <w:top w:val="single" w:sz="4" w:space="0" w:color="auto"/>
              <w:left w:val="single" w:sz="4" w:space="0" w:color="auto"/>
              <w:bottom w:val="single" w:sz="4" w:space="0" w:color="auto"/>
              <w:right w:val="single" w:sz="4" w:space="0" w:color="auto"/>
            </w:tcBorders>
            <w:noWrap/>
          </w:tcPr>
          <w:p w14:paraId="590B25B0" w14:textId="77777777" w:rsidR="00881713" w:rsidRPr="001A7B31" w:rsidRDefault="00881713" w:rsidP="00881713">
            <w:pPr>
              <w:rPr>
                <w:rFonts w:ascii="Calibri" w:eastAsia="Times New Roman" w:hAnsi="Calibri" w:cs="Calibri"/>
                <w:color w:val="000000"/>
                <w:lang w:eastAsia="en-GB"/>
              </w:rPr>
            </w:pPr>
            <w:r w:rsidRPr="001A7B31">
              <w:rPr>
                <w:rFonts w:ascii="Calibri" w:eastAsia="Times New Roman" w:hAnsi="Calibri" w:cs="Calibri"/>
                <w:color w:val="000000"/>
                <w:lang w:eastAsia="en-GB"/>
              </w:rPr>
              <w:t>Ct Value x symptom days</w:t>
            </w:r>
          </w:p>
        </w:tc>
        <w:tc>
          <w:tcPr>
            <w:tcW w:w="2006" w:type="dxa"/>
            <w:tcBorders>
              <w:top w:val="single" w:sz="4" w:space="0" w:color="auto"/>
              <w:left w:val="single" w:sz="4" w:space="0" w:color="auto"/>
              <w:bottom w:val="single" w:sz="4" w:space="0" w:color="auto"/>
              <w:right w:val="single" w:sz="4" w:space="0" w:color="auto"/>
            </w:tcBorders>
            <w:noWrap/>
          </w:tcPr>
          <w:p w14:paraId="1BB1AC47" w14:textId="77777777" w:rsidR="00881713" w:rsidRPr="001A7B31" w:rsidRDefault="00881713" w:rsidP="00881713">
            <w:pPr>
              <w:jc w:val="center"/>
              <w:rPr>
                <w:rFonts w:ascii="Calibri" w:eastAsia="Times New Roman" w:hAnsi="Calibri" w:cs="Calibri"/>
                <w:color w:val="000000"/>
                <w:lang w:eastAsia="en-GB"/>
              </w:rPr>
            </w:pPr>
            <w:r w:rsidRPr="001A7B31">
              <w:rPr>
                <w:rFonts w:ascii="Calibri" w:eastAsia="Times New Roman" w:hAnsi="Calibri" w:cs="Calibri"/>
                <w:color w:val="000000"/>
                <w:lang w:eastAsia="en-GB"/>
              </w:rPr>
              <w:t>1.03 (0.98-1.09)</w:t>
            </w:r>
          </w:p>
        </w:tc>
        <w:tc>
          <w:tcPr>
            <w:tcW w:w="1276" w:type="dxa"/>
            <w:tcBorders>
              <w:top w:val="single" w:sz="4" w:space="0" w:color="auto"/>
              <w:left w:val="single" w:sz="4" w:space="0" w:color="auto"/>
              <w:bottom w:val="single" w:sz="4" w:space="0" w:color="auto"/>
              <w:right w:val="single" w:sz="4" w:space="0" w:color="auto"/>
            </w:tcBorders>
            <w:noWrap/>
          </w:tcPr>
          <w:p w14:paraId="0A2AE362" w14:textId="77777777" w:rsidR="00881713" w:rsidRPr="001A7B31" w:rsidRDefault="00881713" w:rsidP="00881713">
            <w:pPr>
              <w:jc w:val="center"/>
              <w:rPr>
                <w:rFonts w:ascii="Calibri" w:eastAsia="Times New Roman" w:hAnsi="Calibri" w:cs="Calibri"/>
                <w:color w:val="000000"/>
                <w:lang w:eastAsia="en-GB"/>
              </w:rPr>
            </w:pPr>
            <w:r w:rsidRPr="001A7B31">
              <w:rPr>
                <w:rFonts w:ascii="Calibri" w:eastAsia="Times New Roman" w:hAnsi="Calibri" w:cs="Calibri"/>
                <w:color w:val="000000"/>
                <w:lang w:eastAsia="en-GB"/>
              </w:rPr>
              <w:t>0.278</w:t>
            </w:r>
          </w:p>
        </w:tc>
        <w:tc>
          <w:tcPr>
            <w:tcW w:w="1701" w:type="dxa"/>
            <w:tcBorders>
              <w:top w:val="single" w:sz="4" w:space="0" w:color="auto"/>
              <w:left w:val="single" w:sz="4" w:space="0" w:color="auto"/>
              <w:bottom w:val="single" w:sz="4" w:space="0" w:color="auto"/>
              <w:right w:val="single" w:sz="4" w:space="0" w:color="auto"/>
            </w:tcBorders>
          </w:tcPr>
          <w:p w14:paraId="391BCDA7" w14:textId="4F002DAA" w:rsidR="00881713" w:rsidRPr="001A7B31" w:rsidRDefault="00881713" w:rsidP="00881713">
            <w:pPr>
              <w:jc w:val="center"/>
              <w:rPr>
                <w:rFonts w:ascii="Calibri" w:eastAsia="Times New Roman" w:hAnsi="Calibri" w:cs="Calibri"/>
                <w:color w:val="000000"/>
                <w:lang w:eastAsia="en-GB"/>
              </w:rPr>
            </w:pPr>
            <w:r>
              <w:rPr>
                <w:rFonts w:ascii="Calibri" w:eastAsia="Times New Roman" w:hAnsi="Calibri" w:cs="Calibri"/>
                <w:color w:val="000000"/>
                <w:lang w:eastAsia="en-GB"/>
              </w:rPr>
              <w:t>1.02 (0.99-1.05)</w:t>
            </w:r>
          </w:p>
        </w:tc>
        <w:tc>
          <w:tcPr>
            <w:tcW w:w="1134" w:type="dxa"/>
            <w:tcBorders>
              <w:top w:val="single" w:sz="4" w:space="0" w:color="auto"/>
              <w:left w:val="single" w:sz="4" w:space="0" w:color="auto"/>
              <w:bottom w:val="single" w:sz="4" w:space="0" w:color="auto"/>
              <w:right w:val="single" w:sz="4" w:space="0" w:color="auto"/>
            </w:tcBorders>
          </w:tcPr>
          <w:p w14:paraId="15EF735E" w14:textId="0FC76225" w:rsidR="00881713" w:rsidRPr="001A7B31" w:rsidRDefault="00881713" w:rsidP="00881713">
            <w:pPr>
              <w:jc w:val="center"/>
              <w:rPr>
                <w:rFonts w:ascii="Calibri" w:eastAsia="Times New Roman" w:hAnsi="Calibri" w:cs="Calibri"/>
                <w:color w:val="000000"/>
                <w:lang w:eastAsia="en-GB"/>
              </w:rPr>
            </w:pPr>
            <w:r>
              <w:rPr>
                <w:rFonts w:ascii="Calibri" w:eastAsia="Times New Roman" w:hAnsi="Calibri" w:cs="Calibri"/>
                <w:color w:val="000000"/>
                <w:lang w:eastAsia="en-GB"/>
              </w:rPr>
              <w:t>0.235</w:t>
            </w:r>
          </w:p>
        </w:tc>
      </w:tr>
      <w:tr w:rsidR="00881713" w14:paraId="4CEF2B95" w14:textId="77777777" w:rsidTr="000C5265">
        <w:trPr>
          <w:trHeight w:val="466"/>
        </w:trPr>
        <w:tc>
          <w:tcPr>
            <w:tcW w:w="9209" w:type="dxa"/>
            <w:gridSpan w:val="5"/>
            <w:tcBorders>
              <w:top w:val="single" w:sz="4" w:space="0" w:color="auto"/>
            </w:tcBorders>
            <w:noWrap/>
          </w:tcPr>
          <w:p w14:paraId="767A4D2A" w14:textId="45EC26E3" w:rsidR="00881713" w:rsidRDefault="00881713" w:rsidP="00881713">
            <w:pPr>
              <w:jc w:val="both"/>
              <w:rPr>
                <w:rFonts w:ascii="Calibri" w:eastAsia="Times New Roman" w:hAnsi="Calibri" w:cs="Calibri"/>
                <w:color w:val="000000"/>
                <w:lang w:eastAsia="en-GB"/>
              </w:rPr>
            </w:pPr>
            <w:r>
              <w:rPr>
                <w:rFonts w:ascii="Calibri" w:hAnsi="Calibri" w:cs="Calibri"/>
                <w:color w:val="000000"/>
                <w:sz w:val="20"/>
                <w:szCs w:val="20"/>
              </w:rPr>
              <w:t>Data presented as adjusted odds ratios (</w:t>
            </w:r>
            <w:proofErr w:type="spellStart"/>
            <w:r>
              <w:rPr>
                <w:rFonts w:ascii="Calibri" w:hAnsi="Calibri" w:cs="Calibri"/>
                <w:color w:val="000000"/>
                <w:sz w:val="20"/>
                <w:szCs w:val="20"/>
              </w:rPr>
              <w:t>aOR</w:t>
            </w:r>
            <w:proofErr w:type="spellEnd"/>
            <w:r>
              <w:rPr>
                <w:rFonts w:ascii="Calibri" w:hAnsi="Calibri" w:cs="Calibri"/>
                <w:color w:val="000000"/>
                <w:sz w:val="20"/>
                <w:szCs w:val="20"/>
              </w:rPr>
              <w:t>). Abbreviations</w:t>
            </w:r>
            <w:r>
              <w:rPr>
                <w:rFonts w:eastAsia="Times New Roman" w:cstheme="minorHAnsi"/>
                <w:bCs/>
                <w:color w:val="000000" w:themeColor="text1"/>
                <w:sz w:val="20"/>
                <w:szCs w:val="20"/>
                <w:lang w:eastAsia="en-GB"/>
              </w:rPr>
              <w:t>: N/A, Not applicable</w:t>
            </w:r>
            <w:r w:rsidR="00CB52A6">
              <w:rPr>
                <w:rFonts w:eastAsia="Times New Roman" w:cstheme="minorHAnsi"/>
                <w:bCs/>
                <w:color w:val="000000" w:themeColor="text1"/>
                <w:sz w:val="20"/>
                <w:szCs w:val="20"/>
                <w:lang w:eastAsia="en-GB"/>
              </w:rPr>
              <w:t>, not included as covariate in the model</w:t>
            </w:r>
            <w:r>
              <w:rPr>
                <w:rFonts w:eastAsia="Times New Roman" w:cstheme="minorHAnsi"/>
                <w:bCs/>
                <w:color w:val="000000" w:themeColor="text1"/>
                <w:sz w:val="20"/>
                <w:szCs w:val="20"/>
                <w:lang w:eastAsia="en-GB"/>
              </w:rPr>
              <w:t xml:space="preserve">; </w:t>
            </w:r>
            <w:r w:rsidRPr="00267778">
              <w:rPr>
                <w:rFonts w:eastAsia="Times New Roman" w:cstheme="minorHAnsi"/>
                <w:bCs/>
                <w:color w:val="000000" w:themeColor="text1"/>
                <w:sz w:val="20"/>
                <w:szCs w:val="20"/>
                <w:lang w:eastAsia="en-GB"/>
              </w:rPr>
              <w:t>NEWS2, National Early Warning Score 2;</w:t>
            </w:r>
            <w:r>
              <w:rPr>
                <w:rFonts w:eastAsia="Times New Roman" w:cstheme="minorHAnsi"/>
                <w:bCs/>
                <w:color w:val="000000" w:themeColor="text1"/>
                <w:sz w:val="20"/>
                <w:szCs w:val="20"/>
                <w:lang w:eastAsia="en-GB"/>
              </w:rPr>
              <w:t xml:space="preserve"> CXR, Chest X-Ray; </w:t>
            </w:r>
            <w:r w:rsidRPr="00267778">
              <w:rPr>
                <w:rFonts w:eastAsia="Times New Roman" w:cstheme="minorHAnsi"/>
                <w:bCs/>
                <w:color w:val="000000" w:themeColor="text1"/>
                <w:sz w:val="20"/>
                <w:szCs w:val="20"/>
                <w:lang w:eastAsia="en-GB"/>
              </w:rPr>
              <w:t>CRP, C reactive protein</w:t>
            </w:r>
            <w:r>
              <w:rPr>
                <w:rFonts w:eastAsia="Times New Roman" w:cstheme="minorHAnsi"/>
                <w:bCs/>
                <w:color w:val="000000" w:themeColor="text1"/>
                <w:sz w:val="20"/>
                <w:szCs w:val="20"/>
                <w:lang w:eastAsia="en-GB"/>
              </w:rPr>
              <w:t xml:space="preserve">; </w:t>
            </w:r>
            <w:r w:rsidRPr="00267778">
              <w:rPr>
                <w:rFonts w:eastAsia="Times New Roman" w:cstheme="minorHAnsi"/>
                <w:bCs/>
                <w:color w:val="000000" w:themeColor="text1"/>
                <w:sz w:val="20"/>
                <w:szCs w:val="20"/>
                <w:lang w:eastAsia="en-GB"/>
              </w:rPr>
              <w:t>Ct, real-time PCR cycle threshold (a low Ct value represents a high viral load and vice versa</w:t>
            </w:r>
            <w:r>
              <w:rPr>
                <w:rFonts w:eastAsia="Times New Roman" w:cstheme="minorHAnsi"/>
                <w:bCs/>
                <w:color w:val="000000" w:themeColor="text1"/>
                <w:sz w:val="20"/>
                <w:szCs w:val="20"/>
                <w:lang w:eastAsia="en-GB"/>
              </w:rPr>
              <w:t>); ∞, infinity.</w:t>
            </w:r>
            <w:r w:rsidR="00CB52A6">
              <w:rPr>
                <w:rFonts w:eastAsia="Times New Roman" w:cstheme="minorHAnsi"/>
                <w:bCs/>
                <w:color w:val="000000" w:themeColor="text1"/>
                <w:sz w:val="20"/>
                <w:szCs w:val="20"/>
                <w:lang w:eastAsia="en-GB"/>
              </w:rPr>
              <w:t xml:space="preserve"> Multiple regression analysis of each outcome was performed on a subset of covariates used for the whole cohort, where the ten most significant ones from univariate analyses with the outcome were chosen as dependent covariates. </w:t>
            </w:r>
          </w:p>
        </w:tc>
      </w:tr>
      <w:tr w:rsidR="00881713" w14:paraId="21079F8B" w14:textId="1E299E90" w:rsidTr="000C5265">
        <w:trPr>
          <w:trHeight w:val="466"/>
        </w:trPr>
        <w:tc>
          <w:tcPr>
            <w:tcW w:w="6374" w:type="dxa"/>
            <w:gridSpan w:val="3"/>
            <w:noWrap/>
          </w:tcPr>
          <w:p w14:paraId="060C4D8C" w14:textId="6D1660BE" w:rsidR="00881713" w:rsidRPr="001A7B31" w:rsidRDefault="00881713" w:rsidP="00881713">
            <w:pPr>
              <w:rPr>
                <w:rFonts w:ascii="Calibri" w:eastAsia="Times New Roman" w:hAnsi="Calibri" w:cs="Calibri"/>
                <w:color w:val="000000"/>
                <w:lang w:eastAsia="en-GB"/>
              </w:rPr>
            </w:pPr>
          </w:p>
        </w:tc>
        <w:tc>
          <w:tcPr>
            <w:tcW w:w="1701" w:type="dxa"/>
          </w:tcPr>
          <w:p w14:paraId="63B4EB69" w14:textId="77777777" w:rsidR="00881713" w:rsidRDefault="00881713" w:rsidP="00881713">
            <w:pPr>
              <w:rPr>
                <w:rFonts w:ascii="Calibri" w:hAnsi="Calibri" w:cs="Calibri"/>
                <w:color w:val="000000"/>
                <w:sz w:val="20"/>
                <w:szCs w:val="20"/>
              </w:rPr>
            </w:pPr>
          </w:p>
        </w:tc>
        <w:tc>
          <w:tcPr>
            <w:tcW w:w="1134" w:type="dxa"/>
          </w:tcPr>
          <w:p w14:paraId="3DB4C3BE" w14:textId="77777777" w:rsidR="00881713" w:rsidRDefault="00881713" w:rsidP="00881713">
            <w:pPr>
              <w:rPr>
                <w:rFonts w:ascii="Calibri" w:hAnsi="Calibri" w:cs="Calibri"/>
                <w:color w:val="000000"/>
                <w:sz w:val="20"/>
                <w:szCs w:val="20"/>
              </w:rPr>
            </w:pPr>
          </w:p>
        </w:tc>
      </w:tr>
    </w:tbl>
    <w:p w14:paraId="7CA629BF" w14:textId="3C806D5D" w:rsidR="00656A46" w:rsidRDefault="00656A46" w:rsidP="00656A46">
      <w:pPr>
        <w:tabs>
          <w:tab w:val="left" w:pos="2055"/>
        </w:tabs>
      </w:pPr>
    </w:p>
    <w:p w14:paraId="25F068C5" w14:textId="12F01B32" w:rsidR="00656A46" w:rsidRPr="00656A46" w:rsidRDefault="00656A46" w:rsidP="00656A46"/>
    <w:p w14:paraId="20500789" w14:textId="393DD95A" w:rsidR="00656A46" w:rsidRPr="00656A46" w:rsidRDefault="00656A46" w:rsidP="00656A46"/>
    <w:p w14:paraId="14C82F95" w14:textId="5ED63175" w:rsidR="00656A46" w:rsidRPr="00656A46" w:rsidRDefault="00656A46" w:rsidP="00656A46"/>
    <w:p w14:paraId="5A343689" w14:textId="201D083A" w:rsidR="00656A46" w:rsidRPr="00656A46" w:rsidRDefault="00656A46" w:rsidP="00656A46"/>
    <w:p w14:paraId="369D4B75" w14:textId="043B5BCC" w:rsidR="00EE2CB9" w:rsidRDefault="00EE2CB9" w:rsidP="00EE2E40">
      <w:pPr>
        <w:rPr>
          <w:b/>
          <w:bCs/>
          <w:sz w:val="32"/>
          <w:szCs w:val="32"/>
        </w:rPr>
      </w:pPr>
      <w:r w:rsidRPr="004C5E70">
        <w:rPr>
          <w:b/>
          <w:bCs/>
          <w:sz w:val="32"/>
          <w:szCs w:val="32"/>
        </w:rPr>
        <w:lastRenderedPageBreak/>
        <w:t>References</w:t>
      </w:r>
    </w:p>
    <w:p w14:paraId="04FE1C8E" w14:textId="77777777" w:rsidR="004C5E70" w:rsidRPr="004C5E70" w:rsidRDefault="004C5E70" w:rsidP="00656A46">
      <w:pPr>
        <w:ind w:firstLine="720"/>
        <w:rPr>
          <w:b/>
          <w:bCs/>
          <w:sz w:val="32"/>
          <w:szCs w:val="32"/>
        </w:rPr>
      </w:pPr>
    </w:p>
    <w:p w14:paraId="442B20B3" w14:textId="0788CC76" w:rsidR="00B01895" w:rsidRPr="00B01895" w:rsidRDefault="00656A46" w:rsidP="00B01895">
      <w:pPr>
        <w:widowControl w:val="0"/>
        <w:autoSpaceDE w:val="0"/>
        <w:autoSpaceDN w:val="0"/>
        <w:adjustRightInd w:val="0"/>
        <w:spacing w:line="240" w:lineRule="auto"/>
        <w:ind w:left="640" w:hanging="640"/>
        <w:rPr>
          <w:rFonts w:ascii="Calibri" w:hAnsi="Calibri" w:cs="Calibri"/>
          <w:noProof/>
          <w:sz w:val="24"/>
          <w:szCs w:val="24"/>
        </w:rPr>
      </w:pPr>
      <w:r w:rsidRPr="00EE2CB9">
        <w:rPr>
          <w:rFonts w:cstheme="minorHAnsi"/>
          <w:sz w:val="24"/>
          <w:szCs w:val="24"/>
        </w:rPr>
        <w:fldChar w:fldCharType="begin" w:fldLock="1"/>
      </w:r>
      <w:r w:rsidRPr="00EE2CB9">
        <w:rPr>
          <w:rFonts w:cstheme="minorHAnsi"/>
          <w:sz w:val="24"/>
          <w:szCs w:val="24"/>
        </w:rPr>
        <w:instrText xml:space="preserve">ADDIN Mendeley Bibliography CSL_BIBLIOGRAPHY </w:instrText>
      </w:r>
      <w:r w:rsidRPr="00EE2CB9">
        <w:rPr>
          <w:rFonts w:cstheme="minorHAnsi"/>
          <w:sz w:val="24"/>
          <w:szCs w:val="24"/>
        </w:rPr>
        <w:fldChar w:fldCharType="separate"/>
      </w:r>
      <w:r w:rsidR="00B01895" w:rsidRPr="00B01895">
        <w:rPr>
          <w:rFonts w:ascii="Calibri" w:hAnsi="Calibri" w:cs="Calibri"/>
          <w:noProof/>
          <w:sz w:val="24"/>
          <w:szCs w:val="24"/>
        </w:rPr>
        <w:t>1</w:t>
      </w:r>
      <w:r w:rsidR="00B01895" w:rsidRPr="00B01895">
        <w:rPr>
          <w:rFonts w:ascii="Calibri" w:hAnsi="Calibri" w:cs="Calibri"/>
          <w:noProof/>
          <w:sz w:val="24"/>
          <w:szCs w:val="24"/>
        </w:rPr>
        <w:tab/>
      </w:r>
      <w:r w:rsidR="0014127A">
        <w:rPr>
          <w:rFonts w:ascii="Calibri" w:hAnsi="Calibri" w:cs="Calibri"/>
          <w:noProof/>
          <w:sz w:val="24"/>
          <w:szCs w:val="24"/>
        </w:rPr>
        <w:t>Jasper Fuk-Woo Chan</w:t>
      </w:r>
      <w:r w:rsidR="00B01895" w:rsidRPr="00B01895">
        <w:rPr>
          <w:rFonts w:ascii="Calibri" w:hAnsi="Calibri" w:cs="Calibri"/>
          <w:noProof/>
          <w:sz w:val="24"/>
          <w:szCs w:val="24"/>
        </w:rPr>
        <w:t xml:space="preserve">, </w:t>
      </w:r>
      <w:r w:rsidR="0014127A">
        <w:rPr>
          <w:rFonts w:ascii="Calibri" w:hAnsi="Calibri" w:cs="Calibri"/>
          <w:noProof/>
          <w:sz w:val="24"/>
          <w:szCs w:val="24"/>
        </w:rPr>
        <w:t>Kin-Hang Kok</w:t>
      </w:r>
      <w:r w:rsidR="00B01895" w:rsidRPr="00B01895">
        <w:rPr>
          <w:rFonts w:ascii="Calibri" w:hAnsi="Calibri" w:cs="Calibri"/>
          <w:noProof/>
          <w:sz w:val="24"/>
          <w:szCs w:val="24"/>
        </w:rPr>
        <w:t xml:space="preserve">, </w:t>
      </w:r>
      <w:r w:rsidR="0014127A">
        <w:rPr>
          <w:rFonts w:ascii="Calibri" w:hAnsi="Calibri" w:cs="Calibri"/>
          <w:noProof/>
          <w:sz w:val="24"/>
          <w:szCs w:val="24"/>
        </w:rPr>
        <w:t xml:space="preserve">Zheng </w:t>
      </w:r>
      <w:r w:rsidR="00B01895" w:rsidRPr="00B01895">
        <w:rPr>
          <w:rFonts w:ascii="Calibri" w:hAnsi="Calibri" w:cs="Calibri"/>
          <w:noProof/>
          <w:sz w:val="24"/>
          <w:szCs w:val="24"/>
        </w:rPr>
        <w:t xml:space="preserve">Zhu, </w:t>
      </w:r>
      <w:r w:rsidR="0014127A">
        <w:rPr>
          <w:rFonts w:ascii="Calibri" w:hAnsi="Calibri" w:cs="Calibri"/>
          <w:noProof/>
          <w:sz w:val="24"/>
          <w:szCs w:val="24"/>
        </w:rPr>
        <w:t xml:space="preserve">Hin </w:t>
      </w:r>
      <w:r w:rsidR="00B01895" w:rsidRPr="00B01895">
        <w:rPr>
          <w:rFonts w:ascii="Calibri" w:hAnsi="Calibri" w:cs="Calibri"/>
          <w:noProof/>
          <w:sz w:val="24"/>
          <w:szCs w:val="24"/>
        </w:rPr>
        <w:t xml:space="preserve">Chu, </w:t>
      </w:r>
      <w:r w:rsidR="0014127A">
        <w:rPr>
          <w:rFonts w:ascii="Calibri" w:hAnsi="Calibri" w:cs="Calibri"/>
          <w:noProof/>
          <w:sz w:val="24"/>
          <w:szCs w:val="24"/>
        </w:rPr>
        <w:t>Kelvin Kai-Wang To</w:t>
      </w:r>
      <w:r w:rsidR="00B01895" w:rsidRPr="00B01895">
        <w:rPr>
          <w:rFonts w:ascii="Calibri" w:hAnsi="Calibri" w:cs="Calibri"/>
          <w:noProof/>
          <w:sz w:val="24"/>
          <w:szCs w:val="24"/>
        </w:rPr>
        <w:t xml:space="preserve">, </w:t>
      </w:r>
      <w:r w:rsidR="0014127A">
        <w:rPr>
          <w:rFonts w:ascii="Calibri" w:hAnsi="Calibri" w:cs="Calibri"/>
          <w:noProof/>
          <w:sz w:val="24"/>
          <w:szCs w:val="24"/>
        </w:rPr>
        <w:t xml:space="preserve">Shuofeng </w:t>
      </w:r>
      <w:r w:rsidR="00B01895" w:rsidRPr="00B01895">
        <w:rPr>
          <w:rFonts w:ascii="Calibri" w:hAnsi="Calibri" w:cs="Calibri"/>
          <w:noProof/>
          <w:sz w:val="24"/>
          <w:szCs w:val="24"/>
        </w:rPr>
        <w:t xml:space="preserve">Yuan, et al. Genomic characterization of the 2019 novel human-pathogenic coronavirus isolated from a patient with atypical pneumonia after visiting Wuhan. </w:t>
      </w:r>
      <w:r w:rsidR="00B01895" w:rsidRPr="00B01895">
        <w:rPr>
          <w:rFonts w:ascii="Calibri" w:hAnsi="Calibri" w:cs="Calibri"/>
          <w:i/>
          <w:iCs/>
          <w:noProof/>
          <w:sz w:val="24"/>
          <w:szCs w:val="24"/>
        </w:rPr>
        <w:t>Emerg Microbes Infect</w:t>
      </w:r>
      <w:r w:rsidR="00B01895" w:rsidRPr="00B01895">
        <w:rPr>
          <w:rFonts w:ascii="Calibri" w:hAnsi="Calibri" w:cs="Calibri"/>
          <w:noProof/>
          <w:sz w:val="24"/>
          <w:szCs w:val="24"/>
        </w:rPr>
        <w:t xml:space="preserve"> 2020;</w:t>
      </w:r>
      <w:r w:rsidR="00B01895" w:rsidRPr="00B01895">
        <w:rPr>
          <w:rFonts w:ascii="Calibri" w:hAnsi="Calibri" w:cs="Calibri"/>
          <w:b/>
          <w:bCs/>
          <w:noProof/>
          <w:sz w:val="24"/>
          <w:szCs w:val="24"/>
        </w:rPr>
        <w:t>9</w:t>
      </w:r>
      <w:r w:rsidR="00B01895" w:rsidRPr="00B01895">
        <w:rPr>
          <w:rFonts w:ascii="Calibri" w:hAnsi="Calibri" w:cs="Calibri"/>
          <w:noProof/>
          <w:sz w:val="24"/>
          <w:szCs w:val="24"/>
        </w:rPr>
        <w:t xml:space="preserve">(1):221–36. </w:t>
      </w:r>
    </w:p>
    <w:p w14:paraId="45925628" w14:textId="07933929"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w:t>
      </w:r>
      <w:r w:rsidRPr="00B01895">
        <w:rPr>
          <w:rFonts w:ascii="Calibri" w:hAnsi="Calibri" w:cs="Calibri"/>
          <w:noProof/>
          <w:sz w:val="24"/>
          <w:szCs w:val="24"/>
        </w:rPr>
        <w:tab/>
      </w:r>
      <w:r w:rsidR="0014127A">
        <w:rPr>
          <w:rFonts w:ascii="Calibri" w:hAnsi="Calibri" w:cs="Calibri"/>
          <w:noProof/>
          <w:sz w:val="24"/>
          <w:szCs w:val="24"/>
        </w:rPr>
        <w:t>World Health Organisation</w:t>
      </w:r>
      <w:r w:rsidRPr="00B01895">
        <w:rPr>
          <w:rFonts w:ascii="Calibri" w:hAnsi="Calibri" w:cs="Calibri"/>
          <w:noProof/>
          <w:sz w:val="24"/>
          <w:szCs w:val="24"/>
        </w:rPr>
        <w:t>. WHO Coronavirus Disease (COVID-19) Dashboard. Available at https://covid19.who.int/table. Accessed January 30, 2021, 2021.</w:t>
      </w:r>
    </w:p>
    <w:p w14:paraId="1A002249" w14:textId="0EEA951E"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3</w:t>
      </w:r>
      <w:r w:rsidRPr="00B01895">
        <w:rPr>
          <w:rFonts w:ascii="Calibri" w:hAnsi="Calibri" w:cs="Calibri"/>
          <w:noProof/>
          <w:sz w:val="24"/>
          <w:szCs w:val="24"/>
        </w:rPr>
        <w:tab/>
      </w:r>
      <w:r w:rsidR="0014127A">
        <w:rPr>
          <w:rFonts w:ascii="Calibri" w:hAnsi="Calibri" w:cs="Calibri"/>
          <w:noProof/>
          <w:sz w:val="24"/>
          <w:szCs w:val="24"/>
        </w:rPr>
        <w:t>Rishi K Gupta</w:t>
      </w:r>
      <w:r w:rsidRPr="00B01895">
        <w:rPr>
          <w:rFonts w:ascii="Calibri" w:hAnsi="Calibri" w:cs="Calibri"/>
          <w:noProof/>
          <w:sz w:val="24"/>
          <w:szCs w:val="24"/>
        </w:rPr>
        <w:t xml:space="preserve">, </w:t>
      </w:r>
      <w:r w:rsidR="0014127A">
        <w:rPr>
          <w:rFonts w:ascii="Calibri" w:hAnsi="Calibri" w:cs="Calibri"/>
          <w:noProof/>
          <w:sz w:val="24"/>
          <w:szCs w:val="24"/>
        </w:rPr>
        <w:t xml:space="preserve">Ewen M </w:t>
      </w:r>
      <w:r w:rsidRPr="00B01895">
        <w:rPr>
          <w:rFonts w:ascii="Calibri" w:hAnsi="Calibri" w:cs="Calibri"/>
          <w:noProof/>
          <w:sz w:val="24"/>
          <w:szCs w:val="24"/>
        </w:rPr>
        <w:t xml:space="preserve">Harrison, </w:t>
      </w:r>
      <w:r w:rsidR="0014127A">
        <w:rPr>
          <w:rFonts w:ascii="Calibri" w:hAnsi="Calibri" w:cs="Calibri"/>
          <w:noProof/>
          <w:sz w:val="24"/>
          <w:szCs w:val="24"/>
        </w:rPr>
        <w:t xml:space="preserve">Antonia </w:t>
      </w:r>
      <w:r w:rsidRPr="00B01895">
        <w:rPr>
          <w:rFonts w:ascii="Calibri" w:hAnsi="Calibri" w:cs="Calibri"/>
          <w:noProof/>
          <w:sz w:val="24"/>
          <w:szCs w:val="24"/>
        </w:rPr>
        <w:t xml:space="preserve">Ho, </w:t>
      </w:r>
      <w:r w:rsidR="0014127A">
        <w:rPr>
          <w:rFonts w:ascii="Calibri" w:hAnsi="Calibri" w:cs="Calibri"/>
          <w:noProof/>
          <w:sz w:val="24"/>
          <w:szCs w:val="24"/>
        </w:rPr>
        <w:t xml:space="preserve">Annemarie B </w:t>
      </w:r>
      <w:r w:rsidRPr="00B01895">
        <w:rPr>
          <w:rFonts w:ascii="Calibri" w:hAnsi="Calibri" w:cs="Calibri"/>
          <w:noProof/>
          <w:sz w:val="24"/>
          <w:szCs w:val="24"/>
        </w:rPr>
        <w:t xml:space="preserve">Docherty, </w:t>
      </w:r>
      <w:r w:rsidR="0014127A">
        <w:rPr>
          <w:rFonts w:ascii="Calibri" w:hAnsi="Calibri" w:cs="Calibri"/>
          <w:noProof/>
          <w:sz w:val="24"/>
          <w:szCs w:val="24"/>
        </w:rPr>
        <w:t xml:space="preserve">Stephen R </w:t>
      </w:r>
      <w:r w:rsidRPr="00B01895">
        <w:rPr>
          <w:rFonts w:ascii="Calibri" w:hAnsi="Calibri" w:cs="Calibri"/>
          <w:noProof/>
          <w:sz w:val="24"/>
          <w:szCs w:val="24"/>
        </w:rPr>
        <w:t xml:space="preserve">Knight, </w:t>
      </w:r>
      <w:r w:rsidR="0014127A">
        <w:rPr>
          <w:rFonts w:ascii="Calibri" w:hAnsi="Calibri" w:cs="Calibri"/>
          <w:noProof/>
          <w:sz w:val="24"/>
          <w:szCs w:val="24"/>
        </w:rPr>
        <w:t xml:space="preserve">Maarten van </w:t>
      </w:r>
      <w:r w:rsidRPr="00B01895">
        <w:rPr>
          <w:rFonts w:ascii="Calibri" w:hAnsi="Calibri" w:cs="Calibri"/>
          <w:noProof/>
          <w:sz w:val="24"/>
          <w:szCs w:val="24"/>
        </w:rPr>
        <w:t xml:space="preserve">Smeden, et al. Development and validation of the ISARIC 4C Deterioration model for adults hospitalised with COVID-19: a prospective cohort study. </w:t>
      </w:r>
      <w:r w:rsidRPr="00B01895">
        <w:rPr>
          <w:rFonts w:ascii="Calibri" w:hAnsi="Calibri" w:cs="Calibri"/>
          <w:i/>
          <w:iCs/>
          <w:noProof/>
          <w:sz w:val="24"/>
          <w:szCs w:val="24"/>
        </w:rPr>
        <w:t>Lancet Respir Med</w:t>
      </w:r>
      <w:r w:rsidRPr="00B01895">
        <w:rPr>
          <w:rFonts w:ascii="Calibri" w:hAnsi="Calibri" w:cs="Calibri"/>
          <w:noProof/>
          <w:sz w:val="24"/>
          <w:szCs w:val="24"/>
        </w:rPr>
        <w:t xml:space="preserve"> 2021;</w:t>
      </w:r>
      <w:r w:rsidRPr="00B01895">
        <w:rPr>
          <w:rFonts w:ascii="Calibri" w:hAnsi="Calibri" w:cs="Calibri"/>
          <w:b/>
          <w:bCs/>
          <w:noProof/>
          <w:sz w:val="24"/>
          <w:szCs w:val="24"/>
        </w:rPr>
        <w:t>2600</w:t>
      </w:r>
      <w:r w:rsidRPr="00B01895">
        <w:rPr>
          <w:rFonts w:ascii="Calibri" w:hAnsi="Calibri" w:cs="Calibri"/>
          <w:noProof/>
          <w:sz w:val="24"/>
          <w:szCs w:val="24"/>
        </w:rPr>
        <w:t xml:space="preserve">(20). </w:t>
      </w:r>
    </w:p>
    <w:p w14:paraId="123017A0" w14:textId="6B94524B"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4</w:t>
      </w:r>
      <w:r w:rsidRPr="00B01895">
        <w:rPr>
          <w:rFonts w:ascii="Calibri" w:hAnsi="Calibri" w:cs="Calibri"/>
          <w:noProof/>
          <w:sz w:val="24"/>
          <w:szCs w:val="24"/>
        </w:rPr>
        <w:tab/>
      </w:r>
      <w:r w:rsidR="0014127A">
        <w:rPr>
          <w:rFonts w:ascii="Calibri" w:hAnsi="Calibri" w:cs="Calibri"/>
          <w:noProof/>
          <w:sz w:val="24"/>
          <w:szCs w:val="24"/>
        </w:rPr>
        <w:t xml:space="preserve">Giacomo </w:t>
      </w:r>
      <w:r w:rsidRPr="00B01895">
        <w:rPr>
          <w:rFonts w:ascii="Calibri" w:hAnsi="Calibri" w:cs="Calibri"/>
          <w:noProof/>
          <w:sz w:val="24"/>
          <w:szCs w:val="24"/>
        </w:rPr>
        <w:t xml:space="preserve">Grasselli, </w:t>
      </w:r>
      <w:r w:rsidR="0014127A">
        <w:rPr>
          <w:rFonts w:ascii="Calibri" w:hAnsi="Calibri" w:cs="Calibri"/>
          <w:noProof/>
          <w:sz w:val="24"/>
          <w:szCs w:val="24"/>
        </w:rPr>
        <w:t xml:space="preserve">Alberto </w:t>
      </w:r>
      <w:r w:rsidRPr="00B01895">
        <w:rPr>
          <w:rFonts w:ascii="Calibri" w:hAnsi="Calibri" w:cs="Calibri"/>
          <w:noProof/>
          <w:sz w:val="24"/>
          <w:szCs w:val="24"/>
        </w:rPr>
        <w:t xml:space="preserve">Zangrillo, </w:t>
      </w:r>
      <w:r w:rsidR="0014127A">
        <w:rPr>
          <w:rFonts w:ascii="Calibri" w:hAnsi="Calibri" w:cs="Calibri"/>
          <w:noProof/>
          <w:sz w:val="24"/>
          <w:szCs w:val="24"/>
        </w:rPr>
        <w:t xml:space="preserve">Alberto </w:t>
      </w:r>
      <w:r w:rsidRPr="00B01895">
        <w:rPr>
          <w:rFonts w:ascii="Calibri" w:hAnsi="Calibri" w:cs="Calibri"/>
          <w:noProof/>
          <w:sz w:val="24"/>
          <w:szCs w:val="24"/>
        </w:rPr>
        <w:t xml:space="preserve">Zanella, </w:t>
      </w:r>
      <w:r w:rsidR="0014127A">
        <w:rPr>
          <w:rFonts w:ascii="Calibri" w:hAnsi="Calibri" w:cs="Calibri"/>
          <w:noProof/>
          <w:sz w:val="24"/>
          <w:szCs w:val="24"/>
        </w:rPr>
        <w:t xml:space="preserve">Massimo </w:t>
      </w:r>
      <w:r w:rsidRPr="00B01895">
        <w:rPr>
          <w:rFonts w:ascii="Calibri" w:hAnsi="Calibri" w:cs="Calibri"/>
          <w:noProof/>
          <w:sz w:val="24"/>
          <w:szCs w:val="24"/>
        </w:rPr>
        <w:t xml:space="preserve">Antonelli, </w:t>
      </w:r>
      <w:r w:rsidR="0014127A">
        <w:rPr>
          <w:rFonts w:ascii="Calibri" w:hAnsi="Calibri" w:cs="Calibri"/>
          <w:noProof/>
          <w:sz w:val="24"/>
          <w:szCs w:val="24"/>
        </w:rPr>
        <w:t xml:space="preserve">Luca </w:t>
      </w:r>
      <w:r w:rsidRPr="00B01895">
        <w:rPr>
          <w:rFonts w:ascii="Calibri" w:hAnsi="Calibri" w:cs="Calibri"/>
          <w:noProof/>
          <w:sz w:val="24"/>
          <w:szCs w:val="24"/>
        </w:rPr>
        <w:t xml:space="preserve">Cabrini, </w:t>
      </w:r>
      <w:r w:rsidR="0014127A">
        <w:rPr>
          <w:rFonts w:ascii="Calibri" w:hAnsi="Calibri" w:cs="Calibri"/>
          <w:noProof/>
          <w:sz w:val="24"/>
          <w:szCs w:val="24"/>
        </w:rPr>
        <w:t xml:space="preserve">Antonio </w:t>
      </w:r>
      <w:r w:rsidRPr="00B01895">
        <w:rPr>
          <w:rFonts w:ascii="Calibri" w:hAnsi="Calibri" w:cs="Calibri"/>
          <w:noProof/>
          <w:sz w:val="24"/>
          <w:szCs w:val="24"/>
        </w:rPr>
        <w:t xml:space="preserve">Castelli, et al. Baseline Characteristics and Outcomes of 1591 Patients Infected With SARS-CoV-2 Admitted to ICUs of the Lombardy Region, Italy. </w:t>
      </w:r>
      <w:r w:rsidRPr="00B01895">
        <w:rPr>
          <w:rFonts w:ascii="Calibri" w:hAnsi="Calibri" w:cs="Calibri"/>
          <w:i/>
          <w:iCs/>
          <w:noProof/>
          <w:sz w:val="24"/>
          <w:szCs w:val="24"/>
        </w:rPr>
        <w:t>JAMA</w:t>
      </w:r>
      <w:r w:rsidRPr="00B01895">
        <w:rPr>
          <w:rFonts w:ascii="Calibri" w:hAnsi="Calibri" w:cs="Calibri"/>
          <w:noProof/>
          <w:sz w:val="24"/>
          <w:szCs w:val="24"/>
        </w:rPr>
        <w:t xml:space="preserve"> 2020;</w:t>
      </w:r>
      <w:r w:rsidRPr="00B01895">
        <w:rPr>
          <w:rFonts w:ascii="Calibri" w:hAnsi="Calibri" w:cs="Calibri"/>
          <w:b/>
          <w:bCs/>
          <w:noProof/>
          <w:sz w:val="24"/>
          <w:szCs w:val="24"/>
        </w:rPr>
        <w:t>323</w:t>
      </w:r>
      <w:r w:rsidRPr="00B01895">
        <w:rPr>
          <w:rFonts w:ascii="Calibri" w:hAnsi="Calibri" w:cs="Calibri"/>
          <w:noProof/>
          <w:sz w:val="24"/>
          <w:szCs w:val="24"/>
        </w:rPr>
        <w:t xml:space="preserve">(16):1574. </w:t>
      </w:r>
    </w:p>
    <w:p w14:paraId="5A070514" w14:textId="0B87ED9B"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5</w:t>
      </w:r>
      <w:r w:rsidRPr="00B01895">
        <w:rPr>
          <w:rFonts w:ascii="Calibri" w:hAnsi="Calibri" w:cs="Calibri"/>
          <w:noProof/>
          <w:sz w:val="24"/>
          <w:szCs w:val="24"/>
        </w:rPr>
        <w:tab/>
      </w:r>
      <w:r w:rsidR="0014127A">
        <w:rPr>
          <w:rFonts w:ascii="Calibri" w:hAnsi="Calibri" w:cs="Calibri"/>
          <w:noProof/>
          <w:sz w:val="24"/>
          <w:szCs w:val="24"/>
        </w:rPr>
        <w:t xml:space="preserve">Nathan J </w:t>
      </w:r>
      <w:r w:rsidRPr="00B01895">
        <w:rPr>
          <w:rFonts w:ascii="Calibri" w:hAnsi="Calibri" w:cs="Calibri"/>
          <w:noProof/>
          <w:sz w:val="24"/>
          <w:szCs w:val="24"/>
        </w:rPr>
        <w:t xml:space="preserve">Brendish, </w:t>
      </w:r>
      <w:r w:rsidR="0014127A">
        <w:rPr>
          <w:rFonts w:ascii="Calibri" w:hAnsi="Calibri" w:cs="Calibri"/>
          <w:noProof/>
          <w:sz w:val="24"/>
          <w:szCs w:val="24"/>
        </w:rPr>
        <w:t xml:space="preserve">Stephen </w:t>
      </w:r>
      <w:r w:rsidRPr="00B01895">
        <w:rPr>
          <w:rFonts w:ascii="Calibri" w:hAnsi="Calibri" w:cs="Calibri"/>
          <w:noProof/>
          <w:sz w:val="24"/>
          <w:szCs w:val="24"/>
        </w:rPr>
        <w:t xml:space="preserve">Poole, </w:t>
      </w:r>
      <w:r w:rsidR="0014127A">
        <w:rPr>
          <w:rFonts w:ascii="Calibri" w:hAnsi="Calibri" w:cs="Calibri"/>
          <w:noProof/>
          <w:sz w:val="24"/>
          <w:szCs w:val="24"/>
        </w:rPr>
        <w:t xml:space="preserve">Vasanth V </w:t>
      </w:r>
      <w:r w:rsidRPr="00B01895">
        <w:rPr>
          <w:rFonts w:ascii="Calibri" w:hAnsi="Calibri" w:cs="Calibri"/>
          <w:noProof/>
          <w:sz w:val="24"/>
          <w:szCs w:val="24"/>
        </w:rPr>
        <w:t xml:space="preserve">Naidu, </w:t>
      </w:r>
      <w:r w:rsidR="0014127A">
        <w:rPr>
          <w:rFonts w:ascii="Calibri" w:hAnsi="Calibri" w:cs="Calibri"/>
          <w:noProof/>
          <w:sz w:val="24"/>
          <w:szCs w:val="24"/>
        </w:rPr>
        <w:t xml:space="preserve">Christopher T </w:t>
      </w:r>
      <w:r w:rsidRPr="00B01895">
        <w:rPr>
          <w:rFonts w:ascii="Calibri" w:hAnsi="Calibri" w:cs="Calibri"/>
          <w:noProof/>
          <w:sz w:val="24"/>
          <w:szCs w:val="24"/>
        </w:rPr>
        <w:t xml:space="preserve">Mansbridge, </w:t>
      </w:r>
      <w:r w:rsidR="0014127A">
        <w:rPr>
          <w:rFonts w:ascii="Calibri" w:hAnsi="Calibri" w:cs="Calibri"/>
          <w:noProof/>
          <w:sz w:val="24"/>
          <w:szCs w:val="24"/>
        </w:rPr>
        <w:t xml:space="preserve">Nicholas </w:t>
      </w:r>
      <w:r w:rsidRPr="00B01895">
        <w:rPr>
          <w:rFonts w:ascii="Calibri" w:hAnsi="Calibri" w:cs="Calibri"/>
          <w:noProof/>
          <w:sz w:val="24"/>
          <w:szCs w:val="24"/>
        </w:rPr>
        <w:t xml:space="preserve">Norton, </w:t>
      </w:r>
      <w:r w:rsidR="0014127A">
        <w:rPr>
          <w:rFonts w:ascii="Calibri" w:hAnsi="Calibri" w:cs="Calibri"/>
          <w:noProof/>
          <w:sz w:val="24"/>
          <w:szCs w:val="24"/>
        </w:rPr>
        <w:t xml:space="preserve">Florina </w:t>
      </w:r>
      <w:r w:rsidRPr="00B01895">
        <w:rPr>
          <w:rFonts w:ascii="Calibri" w:hAnsi="Calibri" w:cs="Calibri"/>
          <w:noProof/>
          <w:sz w:val="24"/>
          <w:szCs w:val="24"/>
        </w:rPr>
        <w:t xml:space="preserve">Borca, et al. Clinical characteristics, symptoms and outcomes of 1054 adults presenting to hospital with suspected COVID-19: A comparison of patients with and without SARS-CoV-2 infection. </w:t>
      </w:r>
      <w:r w:rsidRPr="00B01895">
        <w:rPr>
          <w:rFonts w:ascii="Calibri" w:hAnsi="Calibri" w:cs="Calibri"/>
          <w:i/>
          <w:iCs/>
          <w:noProof/>
          <w:sz w:val="24"/>
          <w:szCs w:val="24"/>
        </w:rPr>
        <w:t>J Infect</w:t>
      </w:r>
      <w:r w:rsidRPr="00B01895">
        <w:rPr>
          <w:rFonts w:ascii="Calibri" w:hAnsi="Calibri" w:cs="Calibri"/>
          <w:noProof/>
          <w:sz w:val="24"/>
          <w:szCs w:val="24"/>
        </w:rPr>
        <w:t xml:space="preserve"> 2020;</w:t>
      </w:r>
      <w:r w:rsidRPr="00B01895">
        <w:rPr>
          <w:rFonts w:ascii="Calibri" w:hAnsi="Calibri" w:cs="Calibri"/>
          <w:b/>
          <w:bCs/>
          <w:noProof/>
          <w:sz w:val="24"/>
          <w:szCs w:val="24"/>
        </w:rPr>
        <w:t>81</w:t>
      </w:r>
      <w:r w:rsidRPr="00B01895">
        <w:rPr>
          <w:rFonts w:ascii="Calibri" w:hAnsi="Calibri" w:cs="Calibri"/>
          <w:noProof/>
          <w:sz w:val="24"/>
          <w:szCs w:val="24"/>
        </w:rPr>
        <w:t xml:space="preserve">(6):937–43. </w:t>
      </w:r>
    </w:p>
    <w:p w14:paraId="5A5AB3B2" w14:textId="07D31049"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6</w:t>
      </w:r>
      <w:r w:rsidRPr="00B01895">
        <w:rPr>
          <w:rFonts w:ascii="Calibri" w:hAnsi="Calibri" w:cs="Calibri"/>
          <w:noProof/>
          <w:sz w:val="24"/>
          <w:szCs w:val="24"/>
        </w:rPr>
        <w:tab/>
      </w:r>
      <w:r w:rsidR="0014127A">
        <w:rPr>
          <w:rFonts w:ascii="Calibri" w:hAnsi="Calibri" w:cs="Calibri"/>
          <w:noProof/>
          <w:sz w:val="24"/>
          <w:szCs w:val="24"/>
        </w:rPr>
        <w:t xml:space="preserve">Ariel </w:t>
      </w:r>
      <w:r w:rsidRPr="00B01895">
        <w:rPr>
          <w:rFonts w:ascii="Calibri" w:hAnsi="Calibri" w:cs="Calibri"/>
          <w:noProof/>
          <w:sz w:val="24"/>
          <w:szCs w:val="24"/>
        </w:rPr>
        <w:t xml:space="preserve">Izcovich, </w:t>
      </w:r>
      <w:r w:rsidR="0014127A">
        <w:rPr>
          <w:rFonts w:ascii="Calibri" w:hAnsi="Calibri" w:cs="Calibri"/>
          <w:noProof/>
          <w:sz w:val="24"/>
          <w:szCs w:val="24"/>
        </w:rPr>
        <w:t>Mart</w:t>
      </w:r>
      <w:r w:rsidR="0014127A" w:rsidRPr="00B01895">
        <w:rPr>
          <w:rFonts w:ascii="Calibri" w:hAnsi="Calibri" w:cs="Calibri"/>
          <w:noProof/>
          <w:sz w:val="24"/>
          <w:szCs w:val="24"/>
        </w:rPr>
        <w:t>í</w:t>
      </w:r>
      <w:r w:rsidR="0014127A">
        <w:rPr>
          <w:rFonts w:ascii="Calibri" w:hAnsi="Calibri" w:cs="Calibri"/>
          <w:noProof/>
          <w:sz w:val="24"/>
          <w:szCs w:val="24"/>
        </w:rPr>
        <w:t xml:space="preserve">n Alberto </w:t>
      </w:r>
      <w:r w:rsidRPr="00B01895">
        <w:rPr>
          <w:rFonts w:ascii="Calibri" w:hAnsi="Calibri" w:cs="Calibri"/>
          <w:noProof/>
          <w:sz w:val="24"/>
          <w:szCs w:val="24"/>
        </w:rPr>
        <w:t xml:space="preserve">Ragusa, </w:t>
      </w:r>
      <w:r w:rsidR="0014127A">
        <w:rPr>
          <w:rFonts w:ascii="Calibri" w:hAnsi="Calibri" w:cs="Calibri"/>
          <w:noProof/>
          <w:sz w:val="24"/>
          <w:szCs w:val="24"/>
        </w:rPr>
        <w:t xml:space="preserve">Fernando </w:t>
      </w:r>
      <w:r w:rsidRPr="00B01895">
        <w:rPr>
          <w:rFonts w:ascii="Calibri" w:hAnsi="Calibri" w:cs="Calibri"/>
          <w:noProof/>
          <w:sz w:val="24"/>
          <w:szCs w:val="24"/>
        </w:rPr>
        <w:t xml:space="preserve">Tortosa, </w:t>
      </w:r>
      <w:r w:rsidR="00F34991">
        <w:rPr>
          <w:rFonts w:ascii="Calibri" w:hAnsi="Calibri" w:cs="Calibri"/>
          <w:noProof/>
          <w:sz w:val="24"/>
          <w:szCs w:val="24"/>
        </w:rPr>
        <w:t>Mar</w:t>
      </w:r>
      <w:r w:rsidR="00F34991" w:rsidRPr="00B01895">
        <w:rPr>
          <w:rFonts w:ascii="Calibri" w:hAnsi="Calibri" w:cs="Calibri"/>
          <w:noProof/>
          <w:sz w:val="24"/>
          <w:szCs w:val="24"/>
        </w:rPr>
        <w:t>í</w:t>
      </w:r>
      <w:r w:rsidR="00F34991">
        <w:rPr>
          <w:rFonts w:ascii="Calibri" w:hAnsi="Calibri" w:cs="Calibri"/>
          <w:noProof/>
          <w:sz w:val="24"/>
          <w:szCs w:val="24"/>
        </w:rPr>
        <w:t>a Andrea Lavena Marzio</w:t>
      </w:r>
      <w:r w:rsidRPr="00B01895">
        <w:rPr>
          <w:rFonts w:ascii="Calibri" w:hAnsi="Calibri" w:cs="Calibri"/>
          <w:noProof/>
          <w:sz w:val="24"/>
          <w:szCs w:val="24"/>
        </w:rPr>
        <w:t xml:space="preserve">, </w:t>
      </w:r>
      <w:r w:rsidR="00F34991">
        <w:rPr>
          <w:rFonts w:ascii="Calibri" w:hAnsi="Calibri" w:cs="Calibri"/>
          <w:noProof/>
          <w:sz w:val="24"/>
          <w:szCs w:val="24"/>
        </w:rPr>
        <w:t xml:space="preserve">Camila </w:t>
      </w:r>
      <w:r w:rsidRPr="00B01895">
        <w:rPr>
          <w:rFonts w:ascii="Calibri" w:hAnsi="Calibri" w:cs="Calibri"/>
          <w:noProof/>
          <w:sz w:val="24"/>
          <w:szCs w:val="24"/>
        </w:rPr>
        <w:t xml:space="preserve">Agnoletti, </w:t>
      </w:r>
      <w:r w:rsidR="00F34991">
        <w:rPr>
          <w:rFonts w:ascii="Calibri" w:hAnsi="Calibri" w:cs="Calibri"/>
          <w:noProof/>
          <w:sz w:val="24"/>
          <w:szCs w:val="24"/>
        </w:rPr>
        <w:t>August</w:t>
      </w:r>
      <w:r w:rsidR="00F34991" w:rsidRPr="00B01895">
        <w:rPr>
          <w:rFonts w:ascii="Calibri" w:hAnsi="Calibri" w:cs="Calibri"/>
          <w:noProof/>
          <w:sz w:val="24"/>
          <w:szCs w:val="24"/>
        </w:rPr>
        <w:t>í</w:t>
      </w:r>
      <w:r w:rsidR="00F34991">
        <w:rPr>
          <w:rFonts w:ascii="Calibri" w:hAnsi="Calibri" w:cs="Calibri"/>
          <w:noProof/>
          <w:sz w:val="24"/>
          <w:szCs w:val="24"/>
        </w:rPr>
        <w:t xml:space="preserve">n </w:t>
      </w:r>
      <w:r w:rsidRPr="00B01895">
        <w:rPr>
          <w:rFonts w:ascii="Calibri" w:hAnsi="Calibri" w:cs="Calibri"/>
          <w:noProof/>
          <w:sz w:val="24"/>
          <w:szCs w:val="24"/>
        </w:rPr>
        <w:t xml:space="preserve">Bengolea, et al. Prognostic factors for severity and mortality in patients infected with COVID-19: A systematic review. </w:t>
      </w:r>
      <w:r w:rsidRPr="00B01895">
        <w:rPr>
          <w:rFonts w:ascii="Calibri" w:hAnsi="Calibri" w:cs="Calibri"/>
          <w:i/>
          <w:iCs/>
          <w:noProof/>
          <w:sz w:val="24"/>
          <w:szCs w:val="24"/>
        </w:rPr>
        <w:t>PLoS One</w:t>
      </w:r>
      <w:r w:rsidRPr="00B01895">
        <w:rPr>
          <w:rFonts w:ascii="Calibri" w:hAnsi="Calibri" w:cs="Calibri"/>
          <w:noProof/>
          <w:sz w:val="24"/>
          <w:szCs w:val="24"/>
        </w:rPr>
        <w:t xml:space="preserve"> 2020;</w:t>
      </w:r>
      <w:r w:rsidRPr="00B01895">
        <w:rPr>
          <w:rFonts w:ascii="Calibri" w:hAnsi="Calibri" w:cs="Calibri"/>
          <w:b/>
          <w:bCs/>
          <w:noProof/>
          <w:sz w:val="24"/>
          <w:szCs w:val="24"/>
        </w:rPr>
        <w:t>15</w:t>
      </w:r>
      <w:r w:rsidRPr="00B01895">
        <w:rPr>
          <w:rFonts w:ascii="Calibri" w:hAnsi="Calibri" w:cs="Calibri"/>
          <w:noProof/>
          <w:sz w:val="24"/>
          <w:szCs w:val="24"/>
        </w:rPr>
        <w:t xml:space="preserve">(11 November):1–30. </w:t>
      </w:r>
    </w:p>
    <w:p w14:paraId="64AC8EED" w14:textId="0CFD5359" w:rsidR="00B01895" w:rsidRPr="00B01895" w:rsidRDefault="00B01895" w:rsidP="00F34991">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7</w:t>
      </w:r>
      <w:r w:rsidRPr="00B01895">
        <w:rPr>
          <w:rFonts w:ascii="Calibri" w:hAnsi="Calibri" w:cs="Calibri"/>
          <w:noProof/>
          <w:sz w:val="24"/>
          <w:szCs w:val="24"/>
        </w:rPr>
        <w:tab/>
      </w:r>
      <w:r w:rsidR="00F34991">
        <w:rPr>
          <w:rFonts w:ascii="Calibri" w:hAnsi="Calibri" w:cs="Calibri"/>
          <w:noProof/>
          <w:sz w:val="24"/>
          <w:szCs w:val="24"/>
        </w:rPr>
        <w:t xml:space="preserve">Cristina </w:t>
      </w:r>
      <w:r w:rsidRPr="00B01895">
        <w:rPr>
          <w:rFonts w:ascii="Calibri" w:hAnsi="Calibri" w:cs="Calibri"/>
          <w:noProof/>
          <w:sz w:val="24"/>
          <w:szCs w:val="24"/>
        </w:rPr>
        <w:t xml:space="preserve">de la Calle, </w:t>
      </w:r>
      <w:r w:rsidR="00F34991">
        <w:rPr>
          <w:rFonts w:ascii="Calibri" w:hAnsi="Calibri" w:cs="Calibri"/>
          <w:noProof/>
          <w:sz w:val="24"/>
          <w:szCs w:val="24"/>
        </w:rPr>
        <w:t xml:space="preserve">Antonio </w:t>
      </w:r>
      <w:r w:rsidRPr="00B01895">
        <w:rPr>
          <w:rFonts w:ascii="Calibri" w:hAnsi="Calibri" w:cs="Calibri"/>
          <w:noProof/>
          <w:sz w:val="24"/>
          <w:szCs w:val="24"/>
        </w:rPr>
        <w:t xml:space="preserve">Lalueza, </w:t>
      </w:r>
      <w:r w:rsidR="00F34991">
        <w:rPr>
          <w:rFonts w:ascii="Calibri" w:hAnsi="Calibri" w:cs="Calibri"/>
          <w:noProof/>
          <w:sz w:val="24"/>
          <w:szCs w:val="24"/>
        </w:rPr>
        <w:t xml:space="preserve">Mikel </w:t>
      </w:r>
      <w:r w:rsidRPr="00B01895">
        <w:rPr>
          <w:rFonts w:ascii="Calibri" w:hAnsi="Calibri" w:cs="Calibri"/>
          <w:noProof/>
          <w:sz w:val="24"/>
          <w:szCs w:val="24"/>
        </w:rPr>
        <w:t xml:space="preserve">Mancheño-Losa, </w:t>
      </w:r>
      <w:r w:rsidR="00F34991">
        <w:rPr>
          <w:rFonts w:ascii="Calibri" w:hAnsi="Calibri" w:cs="Calibri"/>
          <w:noProof/>
          <w:sz w:val="24"/>
          <w:szCs w:val="24"/>
        </w:rPr>
        <w:t xml:space="preserve">Guillermo </w:t>
      </w:r>
      <w:r w:rsidRPr="00B01895">
        <w:rPr>
          <w:rFonts w:ascii="Calibri" w:hAnsi="Calibri" w:cs="Calibri"/>
          <w:noProof/>
          <w:sz w:val="24"/>
          <w:szCs w:val="24"/>
        </w:rPr>
        <w:t xml:space="preserve">Maestro-de la Calle, </w:t>
      </w:r>
      <w:r w:rsidR="00F34991">
        <w:rPr>
          <w:rFonts w:ascii="Calibri" w:hAnsi="Calibri" w:cs="Calibri"/>
          <w:noProof/>
          <w:sz w:val="24"/>
          <w:szCs w:val="24"/>
        </w:rPr>
        <w:t xml:space="preserve">Jaime </w:t>
      </w:r>
      <w:r w:rsidRPr="00B01895">
        <w:rPr>
          <w:rFonts w:ascii="Calibri" w:hAnsi="Calibri" w:cs="Calibri"/>
          <w:noProof/>
          <w:sz w:val="24"/>
          <w:szCs w:val="24"/>
        </w:rPr>
        <w:t xml:space="preserve">Lora-Tamayo, </w:t>
      </w:r>
      <w:r w:rsidR="00F34991">
        <w:rPr>
          <w:rFonts w:ascii="Calibri" w:hAnsi="Calibri" w:cs="Calibri"/>
          <w:noProof/>
          <w:sz w:val="24"/>
          <w:szCs w:val="24"/>
        </w:rPr>
        <w:t xml:space="preserve">Estibaliz </w:t>
      </w:r>
      <w:r w:rsidRPr="00B01895">
        <w:rPr>
          <w:rFonts w:ascii="Calibri" w:hAnsi="Calibri" w:cs="Calibri"/>
          <w:noProof/>
          <w:sz w:val="24"/>
          <w:szCs w:val="24"/>
        </w:rPr>
        <w:t xml:space="preserve">Arrieta, et al. Impact of viral load at admission on the development of respiratory failure in hospitalized patients with SARS-CoV-2 infection. </w:t>
      </w:r>
      <w:r w:rsidRPr="00B01895">
        <w:rPr>
          <w:rFonts w:ascii="Calibri" w:hAnsi="Calibri" w:cs="Calibri"/>
          <w:i/>
          <w:iCs/>
          <w:noProof/>
          <w:sz w:val="24"/>
          <w:szCs w:val="24"/>
        </w:rPr>
        <w:t>Eur J Clin Microbiol Infect Dis</w:t>
      </w:r>
      <w:r w:rsidRPr="00B01895">
        <w:rPr>
          <w:rFonts w:ascii="Calibri" w:hAnsi="Calibri" w:cs="Calibri"/>
          <w:noProof/>
          <w:sz w:val="24"/>
          <w:szCs w:val="24"/>
        </w:rPr>
        <w:t xml:space="preserve"> 2021;(Il). </w:t>
      </w:r>
    </w:p>
    <w:p w14:paraId="4AF3FD14" w14:textId="7A31A0E4"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8</w:t>
      </w:r>
      <w:r w:rsidRPr="00B01895">
        <w:rPr>
          <w:rFonts w:ascii="Calibri" w:hAnsi="Calibri" w:cs="Calibri"/>
          <w:noProof/>
          <w:sz w:val="24"/>
          <w:szCs w:val="24"/>
        </w:rPr>
        <w:tab/>
        <w:t>Nelson</w:t>
      </w:r>
      <w:r w:rsidR="00F34991">
        <w:rPr>
          <w:rFonts w:ascii="Calibri" w:hAnsi="Calibri" w:cs="Calibri"/>
          <w:noProof/>
          <w:sz w:val="24"/>
          <w:szCs w:val="24"/>
        </w:rPr>
        <w:t xml:space="preserve"> Lee</w:t>
      </w:r>
      <w:r w:rsidRPr="00B01895">
        <w:rPr>
          <w:rFonts w:ascii="Calibri" w:hAnsi="Calibri" w:cs="Calibri"/>
          <w:noProof/>
          <w:sz w:val="24"/>
          <w:szCs w:val="24"/>
        </w:rPr>
        <w:t>, Martin C</w:t>
      </w:r>
      <w:r w:rsidR="00F34991">
        <w:rPr>
          <w:rFonts w:ascii="Calibri" w:hAnsi="Calibri" w:cs="Calibri"/>
          <w:noProof/>
          <w:sz w:val="24"/>
          <w:szCs w:val="24"/>
        </w:rPr>
        <w:t xml:space="preserve"> </w:t>
      </w:r>
      <w:r w:rsidRPr="00B01895">
        <w:rPr>
          <w:rFonts w:ascii="Calibri" w:hAnsi="Calibri" w:cs="Calibri"/>
          <w:noProof/>
          <w:sz w:val="24"/>
          <w:szCs w:val="24"/>
        </w:rPr>
        <w:t>W</w:t>
      </w:r>
      <w:r w:rsidR="00F34991">
        <w:rPr>
          <w:rFonts w:ascii="Calibri" w:hAnsi="Calibri" w:cs="Calibri"/>
          <w:noProof/>
          <w:sz w:val="24"/>
          <w:szCs w:val="24"/>
        </w:rPr>
        <w:t xml:space="preserve"> Chan</w:t>
      </w:r>
      <w:r w:rsidRPr="00B01895">
        <w:rPr>
          <w:rFonts w:ascii="Calibri" w:hAnsi="Calibri" w:cs="Calibri"/>
          <w:noProof/>
          <w:sz w:val="24"/>
          <w:szCs w:val="24"/>
        </w:rPr>
        <w:t>, Grace C</w:t>
      </w:r>
      <w:r w:rsidR="00F34991">
        <w:rPr>
          <w:rFonts w:ascii="Calibri" w:hAnsi="Calibri" w:cs="Calibri"/>
          <w:noProof/>
          <w:sz w:val="24"/>
          <w:szCs w:val="24"/>
        </w:rPr>
        <w:t xml:space="preserve"> </w:t>
      </w:r>
      <w:r w:rsidRPr="00B01895">
        <w:rPr>
          <w:rFonts w:ascii="Calibri" w:hAnsi="Calibri" w:cs="Calibri"/>
          <w:noProof/>
          <w:sz w:val="24"/>
          <w:szCs w:val="24"/>
        </w:rPr>
        <w:t>Y</w:t>
      </w:r>
      <w:r w:rsidR="00F34991">
        <w:rPr>
          <w:rFonts w:ascii="Calibri" w:hAnsi="Calibri" w:cs="Calibri"/>
          <w:noProof/>
          <w:sz w:val="24"/>
          <w:szCs w:val="24"/>
        </w:rPr>
        <w:t xml:space="preserve"> Lui</w:t>
      </w:r>
      <w:r w:rsidRPr="00B01895">
        <w:rPr>
          <w:rFonts w:ascii="Calibri" w:hAnsi="Calibri" w:cs="Calibri"/>
          <w:noProof/>
          <w:sz w:val="24"/>
          <w:szCs w:val="24"/>
        </w:rPr>
        <w:t>, Ran</w:t>
      </w:r>
      <w:r w:rsidR="00F34991">
        <w:rPr>
          <w:rFonts w:ascii="Calibri" w:hAnsi="Calibri" w:cs="Calibri"/>
          <w:noProof/>
          <w:sz w:val="24"/>
          <w:szCs w:val="24"/>
        </w:rPr>
        <w:t xml:space="preserve"> Li</w:t>
      </w:r>
      <w:r w:rsidRPr="00B01895">
        <w:rPr>
          <w:rFonts w:ascii="Calibri" w:hAnsi="Calibri" w:cs="Calibri"/>
          <w:noProof/>
          <w:sz w:val="24"/>
          <w:szCs w:val="24"/>
        </w:rPr>
        <w:t>,</w:t>
      </w:r>
      <w:r w:rsidR="00F34991">
        <w:rPr>
          <w:rFonts w:ascii="Calibri" w:hAnsi="Calibri" w:cs="Calibri"/>
          <w:noProof/>
          <w:sz w:val="24"/>
          <w:szCs w:val="24"/>
        </w:rPr>
        <w:t xml:space="preserve"> </w:t>
      </w:r>
      <w:r w:rsidRPr="00B01895">
        <w:rPr>
          <w:rFonts w:ascii="Calibri" w:hAnsi="Calibri" w:cs="Calibri"/>
          <w:noProof/>
          <w:sz w:val="24"/>
          <w:szCs w:val="24"/>
        </w:rPr>
        <w:t>Rity Y</w:t>
      </w:r>
      <w:r w:rsidR="00F34991">
        <w:rPr>
          <w:rFonts w:ascii="Calibri" w:hAnsi="Calibri" w:cs="Calibri"/>
          <w:noProof/>
          <w:sz w:val="24"/>
          <w:szCs w:val="24"/>
        </w:rPr>
        <w:t xml:space="preserve"> </w:t>
      </w:r>
      <w:r w:rsidRPr="00B01895">
        <w:rPr>
          <w:rFonts w:ascii="Calibri" w:hAnsi="Calibri" w:cs="Calibri"/>
          <w:noProof/>
          <w:sz w:val="24"/>
          <w:szCs w:val="24"/>
        </w:rPr>
        <w:t>K</w:t>
      </w:r>
      <w:r w:rsidR="00F34991">
        <w:rPr>
          <w:rFonts w:ascii="Calibri" w:hAnsi="Calibri" w:cs="Calibri"/>
          <w:noProof/>
          <w:sz w:val="24"/>
          <w:szCs w:val="24"/>
        </w:rPr>
        <w:t xml:space="preserve"> Wong</w:t>
      </w:r>
      <w:r w:rsidRPr="00B01895">
        <w:rPr>
          <w:rFonts w:ascii="Calibri" w:hAnsi="Calibri" w:cs="Calibri"/>
          <w:noProof/>
          <w:sz w:val="24"/>
          <w:szCs w:val="24"/>
        </w:rPr>
        <w:t>, Irene M</w:t>
      </w:r>
      <w:r w:rsidR="00F34991">
        <w:rPr>
          <w:rFonts w:ascii="Calibri" w:hAnsi="Calibri" w:cs="Calibri"/>
          <w:noProof/>
          <w:sz w:val="24"/>
          <w:szCs w:val="24"/>
        </w:rPr>
        <w:t xml:space="preserve"> </w:t>
      </w:r>
      <w:r w:rsidRPr="00B01895">
        <w:rPr>
          <w:rFonts w:ascii="Calibri" w:hAnsi="Calibri" w:cs="Calibri"/>
          <w:noProof/>
          <w:sz w:val="24"/>
          <w:szCs w:val="24"/>
        </w:rPr>
        <w:t>H</w:t>
      </w:r>
      <w:r w:rsidR="00F34991">
        <w:rPr>
          <w:rFonts w:ascii="Calibri" w:hAnsi="Calibri" w:cs="Calibri"/>
          <w:noProof/>
          <w:sz w:val="24"/>
          <w:szCs w:val="24"/>
        </w:rPr>
        <w:t xml:space="preserve"> Yung</w:t>
      </w:r>
      <w:r w:rsidRPr="00B01895">
        <w:rPr>
          <w:rFonts w:ascii="Calibri" w:hAnsi="Calibri" w:cs="Calibri"/>
          <w:noProof/>
          <w:sz w:val="24"/>
          <w:szCs w:val="24"/>
        </w:rPr>
        <w:t xml:space="preserve">, et al. High viral load and respiratory failure in adults hospitalized for respiratory syncytial virus infections. </w:t>
      </w:r>
      <w:r w:rsidRPr="00B01895">
        <w:rPr>
          <w:rFonts w:ascii="Calibri" w:hAnsi="Calibri" w:cs="Calibri"/>
          <w:i/>
          <w:iCs/>
          <w:noProof/>
          <w:sz w:val="24"/>
          <w:szCs w:val="24"/>
        </w:rPr>
        <w:t>J Infect Dis</w:t>
      </w:r>
      <w:r w:rsidRPr="00B01895">
        <w:rPr>
          <w:rFonts w:ascii="Calibri" w:hAnsi="Calibri" w:cs="Calibri"/>
          <w:noProof/>
          <w:sz w:val="24"/>
          <w:szCs w:val="24"/>
        </w:rPr>
        <w:t xml:space="preserve"> 2015;</w:t>
      </w:r>
      <w:r w:rsidRPr="00B01895">
        <w:rPr>
          <w:rFonts w:ascii="Calibri" w:hAnsi="Calibri" w:cs="Calibri"/>
          <w:b/>
          <w:bCs/>
          <w:noProof/>
          <w:sz w:val="24"/>
          <w:szCs w:val="24"/>
        </w:rPr>
        <w:t>212</w:t>
      </w:r>
      <w:r w:rsidRPr="00B01895">
        <w:rPr>
          <w:rFonts w:ascii="Calibri" w:hAnsi="Calibri" w:cs="Calibri"/>
          <w:noProof/>
          <w:sz w:val="24"/>
          <w:szCs w:val="24"/>
        </w:rPr>
        <w:t xml:space="preserve">(8):1237–40. </w:t>
      </w:r>
    </w:p>
    <w:p w14:paraId="0D40C016" w14:textId="1A8645DE"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9</w:t>
      </w:r>
      <w:r w:rsidRPr="00B01895">
        <w:rPr>
          <w:rFonts w:ascii="Calibri" w:hAnsi="Calibri" w:cs="Calibri"/>
          <w:noProof/>
          <w:sz w:val="24"/>
          <w:szCs w:val="24"/>
        </w:rPr>
        <w:tab/>
        <w:t>Nelson</w:t>
      </w:r>
      <w:r w:rsidR="00F34991">
        <w:rPr>
          <w:rFonts w:ascii="Calibri" w:hAnsi="Calibri" w:cs="Calibri"/>
          <w:noProof/>
          <w:sz w:val="24"/>
          <w:szCs w:val="24"/>
        </w:rPr>
        <w:t xml:space="preserve"> Lee</w:t>
      </w:r>
      <w:r w:rsidRPr="00B01895">
        <w:rPr>
          <w:rFonts w:ascii="Calibri" w:hAnsi="Calibri" w:cs="Calibri"/>
          <w:noProof/>
          <w:sz w:val="24"/>
          <w:szCs w:val="24"/>
        </w:rPr>
        <w:t>, Paul K</w:t>
      </w:r>
      <w:r w:rsidR="00F34991">
        <w:rPr>
          <w:rFonts w:ascii="Calibri" w:hAnsi="Calibri" w:cs="Calibri"/>
          <w:noProof/>
          <w:sz w:val="24"/>
          <w:szCs w:val="24"/>
        </w:rPr>
        <w:t xml:space="preserve"> </w:t>
      </w:r>
      <w:r w:rsidRPr="00B01895">
        <w:rPr>
          <w:rFonts w:ascii="Calibri" w:hAnsi="Calibri" w:cs="Calibri"/>
          <w:noProof/>
          <w:sz w:val="24"/>
          <w:szCs w:val="24"/>
        </w:rPr>
        <w:t>S</w:t>
      </w:r>
      <w:r w:rsidR="00F34991">
        <w:rPr>
          <w:rFonts w:ascii="Calibri" w:hAnsi="Calibri" w:cs="Calibri"/>
          <w:noProof/>
          <w:sz w:val="24"/>
          <w:szCs w:val="24"/>
        </w:rPr>
        <w:t xml:space="preserve"> Chan</w:t>
      </w:r>
      <w:r w:rsidRPr="00B01895">
        <w:rPr>
          <w:rFonts w:ascii="Calibri" w:hAnsi="Calibri" w:cs="Calibri"/>
          <w:noProof/>
          <w:sz w:val="24"/>
          <w:szCs w:val="24"/>
        </w:rPr>
        <w:t>, David S</w:t>
      </w:r>
      <w:r w:rsidR="00F34991">
        <w:rPr>
          <w:rFonts w:ascii="Calibri" w:hAnsi="Calibri" w:cs="Calibri"/>
          <w:noProof/>
          <w:sz w:val="24"/>
          <w:szCs w:val="24"/>
        </w:rPr>
        <w:t xml:space="preserve"> </w:t>
      </w:r>
      <w:r w:rsidRPr="00B01895">
        <w:rPr>
          <w:rFonts w:ascii="Calibri" w:hAnsi="Calibri" w:cs="Calibri"/>
          <w:noProof/>
          <w:sz w:val="24"/>
          <w:szCs w:val="24"/>
        </w:rPr>
        <w:t>C</w:t>
      </w:r>
      <w:r w:rsidR="00F34991">
        <w:rPr>
          <w:rFonts w:ascii="Calibri" w:hAnsi="Calibri" w:cs="Calibri"/>
          <w:noProof/>
          <w:sz w:val="24"/>
          <w:szCs w:val="24"/>
        </w:rPr>
        <w:t xml:space="preserve"> Hui</w:t>
      </w:r>
      <w:r w:rsidRPr="00B01895">
        <w:rPr>
          <w:rFonts w:ascii="Calibri" w:hAnsi="Calibri" w:cs="Calibri"/>
          <w:noProof/>
          <w:sz w:val="24"/>
          <w:szCs w:val="24"/>
        </w:rPr>
        <w:t>, Timothy H</w:t>
      </w:r>
      <w:r w:rsidR="00F34991">
        <w:rPr>
          <w:rFonts w:ascii="Calibri" w:hAnsi="Calibri" w:cs="Calibri"/>
          <w:noProof/>
          <w:sz w:val="24"/>
          <w:szCs w:val="24"/>
        </w:rPr>
        <w:t xml:space="preserve"> Rainer</w:t>
      </w:r>
      <w:r w:rsidRPr="00B01895">
        <w:rPr>
          <w:rFonts w:ascii="Calibri" w:hAnsi="Calibri" w:cs="Calibri"/>
          <w:noProof/>
          <w:sz w:val="24"/>
          <w:szCs w:val="24"/>
        </w:rPr>
        <w:t>, Eric</w:t>
      </w:r>
      <w:r w:rsidR="00F34991">
        <w:rPr>
          <w:rFonts w:ascii="Calibri" w:hAnsi="Calibri" w:cs="Calibri"/>
          <w:noProof/>
          <w:sz w:val="24"/>
          <w:szCs w:val="24"/>
        </w:rPr>
        <w:t xml:space="preserve"> Wong</w:t>
      </w:r>
      <w:r w:rsidRPr="00B01895">
        <w:rPr>
          <w:rFonts w:ascii="Calibri" w:hAnsi="Calibri" w:cs="Calibri"/>
          <w:noProof/>
          <w:sz w:val="24"/>
          <w:szCs w:val="24"/>
        </w:rPr>
        <w:t>, Kin</w:t>
      </w:r>
      <w:r w:rsidR="00F34991">
        <w:rPr>
          <w:rFonts w:ascii="Calibri" w:hAnsi="Calibri" w:cs="Calibri"/>
          <w:noProof/>
          <w:sz w:val="24"/>
          <w:szCs w:val="24"/>
        </w:rPr>
        <w:t>-</w:t>
      </w:r>
      <w:r w:rsidRPr="00B01895">
        <w:rPr>
          <w:rFonts w:ascii="Calibri" w:hAnsi="Calibri" w:cs="Calibri"/>
          <w:noProof/>
          <w:sz w:val="24"/>
          <w:szCs w:val="24"/>
        </w:rPr>
        <w:t>Wing</w:t>
      </w:r>
      <w:r w:rsidR="00F34991">
        <w:rPr>
          <w:rFonts w:ascii="Calibri" w:hAnsi="Calibri" w:cs="Calibri"/>
          <w:noProof/>
          <w:sz w:val="24"/>
          <w:szCs w:val="24"/>
        </w:rPr>
        <w:t xml:space="preserve"> Choi</w:t>
      </w:r>
      <w:r w:rsidRPr="00B01895">
        <w:rPr>
          <w:rFonts w:ascii="Calibri" w:hAnsi="Calibri" w:cs="Calibri"/>
          <w:noProof/>
          <w:sz w:val="24"/>
          <w:szCs w:val="24"/>
        </w:rPr>
        <w:t xml:space="preserve">, et al. Viral loads and duration of viral shedding in adult patients hospitalized with influenza. </w:t>
      </w:r>
      <w:r w:rsidRPr="00B01895">
        <w:rPr>
          <w:rFonts w:ascii="Calibri" w:hAnsi="Calibri" w:cs="Calibri"/>
          <w:i/>
          <w:iCs/>
          <w:noProof/>
          <w:sz w:val="24"/>
          <w:szCs w:val="24"/>
        </w:rPr>
        <w:t>J Infect Dis</w:t>
      </w:r>
      <w:r w:rsidRPr="00B01895">
        <w:rPr>
          <w:rFonts w:ascii="Calibri" w:hAnsi="Calibri" w:cs="Calibri"/>
          <w:noProof/>
          <w:sz w:val="24"/>
          <w:szCs w:val="24"/>
        </w:rPr>
        <w:t xml:space="preserve"> 2009;</w:t>
      </w:r>
      <w:r w:rsidRPr="00B01895">
        <w:rPr>
          <w:rFonts w:ascii="Calibri" w:hAnsi="Calibri" w:cs="Calibri"/>
          <w:b/>
          <w:bCs/>
          <w:noProof/>
          <w:sz w:val="24"/>
          <w:szCs w:val="24"/>
        </w:rPr>
        <w:t>200</w:t>
      </w:r>
      <w:r w:rsidRPr="00B01895">
        <w:rPr>
          <w:rFonts w:ascii="Calibri" w:hAnsi="Calibri" w:cs="Calibri"/>
          <w:noProof/>
          <w:sz w:val="24"/>
          <w:szCs w:val="24"/>
        </w:rPr>
        <w:t xml:space="preserve">(4):492–500. </w:t>
      </w:r>
    </w:p>
    <w:p w14:paraId="0815BAFA" w14:textId="7A470C0F"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10</w:t>
      </w:r>
      <w:r w:rsidRPr="00B01895">
        <w:rPr>
          <w:rFonts w:ascii="Calibri" w:hAnsi="Calibri" w:cs="Calibri"/>
          <w:noProof/>
          <w:sz w:val="24"/>
          <w:szCs w:val="24"/>
        </w:rPr>
        <w:tab/>
        <w:t>Antonio</w:t>
      </w:r>
      <w:r w:rsidR="00F34991">
        <w:rPr>
          <w:rFonts w:ascii="Calibri" w:hAnsi="Calibri" w:cs="Calibri"/>
          <w:noProof/>
          <w:sz w:val="24"/>
          <w:szCs w:val="24"/>
        </w:rPr>
        <w:t xml:space="preserve"> Lalueza</w:t>
      </w:r>
      <w:r w:rsidRPr="00B01895">
        <w:rPr>
          <w:rFonts w:ascii="Calibri" w:hAnsi="Calibri" w:cs="Calibri"/>
          <w:noProof/>
          <w:sz w:val="24"/>
          <w:szCs w:val="24"/>
        </w:rPr>
        <w:t>, Dolores</w:t>
      </w:r>
      <w:r w:rsidR="00F34991">
        <w:rPr>
          <w:rFonts w:ascii="Calibri" w:hAnsi="Calibri" w:cs="Calibri"/>
          <w:noProof/>
          <w:sz w:val="24"/>
          <w:szCs w:val="24"/>
        </w:rPr>
        <w:t xml:space="preserve"> Folgueira</w:t>
      </w:r>
      <w:r w:rsidRPr="00B01895">
        <w:rPr>
          <w:rFonts w:ascii="Calibri" w:hAnsi="Calibri" w:cs="Calibri"/>
          <w:noProof/>
          <w:sz w:val="24"/>
          <w:szCs w:val="24"/>
        </w:rPr>
        <w:t>, Irene</w:t>
      </w:r>
      <w:r w:rsidR="00F34991">
        <w:rPr>
          <w:rFonts w:ascii="Calibri" w:hAnsi="Calibri" w:cs="Calibri"/>
          <w:noProof/>
          <w:sz w:val="24"/>
          <w:szCs w:val="24"/>
        </w:rPr>
        <w:t xml:space="preserve"> </w:t>
      </w:r>
      <w:r w:rsidR="00F34991" w:rsidRPr="00B01895">
        <w:rPr>
          <w:rFonts w:ascii="Calibri" w:hAnsi="Calibri" w:cs="Calibri"/>
          <w:noProof/>
          <w:sz w:val="24"/>
          <w:szCs w:val="24"/>
        </w:rPr>
        <w:t>Muñoz-Gallego</w:t>
      </w:r>
      <w:r w:rsidRPr="00B01895">
        <w:rPr>
          <w:rFonts w:ascii="Calibri" w:hAnsi="Calibri" w:cs="Calibri"/>
          <w:noProof/>
          <w:sz w:val="24"/>
          <w:szCs w:val="24"/>
        </w:rPr>
        <w:t>, Hernando</w:t>
      </w:r>
      <w:r w:rsidR="00F34991">
        <w:rPr>
          <w:rFonts w:ascii="Calibri" w:hAnsi="Calibri" w:cs="Calibri"/>
          <w:noProof/>
          <w:sz w:val="24"/>
          <w:szCs w:val="24"/>
        </w:rPr>
        <w:t xml:space="preserve"> Trujillo</w:t>
      </w:r>
      <w:r w:rsidRPr="00B01895">
        <w:rPr>
          <w:rFonts w:ascii="Calibri" w:hAnsi="Calibri" w:cs="Calibri"/>
          <w:noProof/>
          <w:sz w:val="24"/>
          <w:szCs w:val="24"/>
        </w:rPr>
        <w:t xml:space="preserve">, </w:t>
      </w:r>
      <w:r w:rsidR="00F34991">
        <w:rPr>
          <w:rFonts w:ascii="Calibri" w:hAnsi="Calibri" w:cs="Calibri"/>
          <w:noProof/>
          <w:sz w:val="24"/>
          <w:szCs w:val="24"/>
        </w:rPr>
        <w:t xml:space="preserve">Jaime </w:t>
      </w:r>
      <w:r w:rsidRPr="00B01895">
        <w:rPr>
          <w:rFonts w:ascii="Calibri" w:hAnsi="Calibri" w:cs="Calibri"/>
          <w:noProof/>
          <w:sz w:val="24"/>
          <w:szCs w:val="24"/>
        </w:rPr>
        <w:t>Laureiro</w:t>
      </w:r>
      <w:r w:rsidR="00F34991">
        <w:rPr>
          <w:rFonts w:ascii="Calibri" w:hAnsi="Calibri" w:cs="Calibri"/>
          <w:noProof/>
          <w:sz w:val="24"/>
          <w:szCs w:val="24"/>
        </w:rPr>
        <w:t>,</w:t>
      </w:r>
      <w:r w:rsidRPr="00B01895">
        <w:rPr>
          <w:rFonts w:ascii="Calibri" w:hAnsi="Calibri" w:cs="Calibri"/>
          <w:noProof/>
          <w:sz w:val="24"/>
          <w:szCs w:val="24"/>
        </w:rPr>
        <w:t xml:space="preserve"> </w:t>
      </w:r>
      <w:r w:rsidR="00F34991">
        <w:rPr>
          <w:rFonts w:ascii="Calibri" w:hAnsi="Calibri" w:cs="Calibri"/>
          <w:noProof/>
          <w:sz w:val="24"/>
          <w:szCs w:val="24"/>
        </w:rPr>
        <w:t xml:space="preserve">Pilar </w:t>
      </w:r>
      <w:r w:rsidRPr="00B01895">
        <w:rPr>
          <w:rFonts w:ascii="Calibri" w:hAnsi="Calibri" w:cs="Calibri"/>
          <w:noProof/>
          <w:sz w:val="24"/>
          <w:szCs w:val="24"/>
        </w:rPr>
        <w:t xml:space="preserve">Hernández-Jiménez, et al. Influence of viral load in the outcome of hospitalized patients with influenza virus infection. </w:t>
      </w:r>
      <w:r w:rsidRPr="00B01895">
        <w:rPr>
          <w:rFonts w:ascii="Calibri" w:hAnsi="Calibri" w:cs="Calibri"/>
          <w:i/>
          <w:iCs/>
          <w:noProof/>
          <w:sz w:val="24"/>
          <w:szCs w:val="24"/>
        </w:rPr>
        <w:t>Eur J Clin Microbiol Infect Dis</w:t>
      </w:r>
      <w:r w:rsidRPr="00B01895">
        <w:rPr>
          <w:rFonts w:ascii="Calibri" w:hAnsi="Calibri" w:cs="Calibri"/>
          <w:noProof/>
          <w:sz w:val="24"/>
          <w:szCs w:val="24"/>
        </w:rPr>
        <w:t xml:space="preserve"> 2019;</w:t>
      </w:r>
      <w:r w:rsidRPr="00B01895">
        <w:rPr>
          <w:rFonts w:ascii="Calibri" w:hAnsi="Calibri" w:cs="Calibri"/>
          <w:b/>
          <w:bCs/>
          <w:noProof/>
          <w:sz w:val="24"/>
          <w:szCs w:val="24"/>
        </w:rPr>
        <w:t>38</w:t>
      </w:r>
      <w:r w:rsidRPr="00B01895">
        <w:rPr>
          <w:rFonts w:ascii="Calibri" w:hAnsi="Calibri" w:cs="Calibri"/>
          <w:noProof/>
          <w:sz w:val="24"/>
          <w:szCs w:val="24"/>
        </w:rPr>
        <w:t xml:space="preserve">(4):667–73. </w:t>
      </w:r>
    </w:p>
    <w:p w14:paraId="44B2B806" w14:textId="67F318FB"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11</w:t>
      </w:r>
      <w:r w:rsidRPr="00B01895">
        <w:rPr>
          <w:rFonts w:ascii="Calibri" w:hAnsi="Calibri" w:cs="Calibri"/>
          <w:noProof/>
          <w:sz w:val="24"/>
          <w:szCs w:val="24"/>
        </w:rPr>
        <w:tab/>
      </w:r>
      <w:r w:rsidR="00F34991">
        <w:rPr>
          <w:rFonts w:ascii="Calibri" w:hAnsi="Calibri" w:cs="Calibri"/>
          <w:noProof/>
          <w:sz w:val="24"/>
          <w:szCs w:val="24"/>
        </w:rPr>
        <w:t xml:space="preserve">Reed </w:t>
      </w:r>
      <w:r w:rsidRPr="00B01895">
        <w:rPr>
          <w:rFonts w:ascii="Calibri" w:hAnsi="Calibri" w:cs="Calibri"/>
          <w:noProof/>
          <w:sz w:val="24"/>
          <w:szCs w:val="24"/>
        </w:rPr>
        <w:t xml:space="preserve">Magleby, </w:t>
      </w:r>
      <w:r w:rsidR="00F34991">
        <w:rPr>
          <w:rFonts w:ascii="Calibri" w:hAnsi="Calibri" w:cs="Calibri"/>
          <w:noProof/>
          <w:sz w:val="24"/>
          <w:szCs w:val="24"/>
        </w:rPr>
        <w:t xml:space="preserve">Lars F </w:t>
      </w:r>
      <w:r w:rsidRPr="00B01895">
        <w:rPr>
          <w:rFonts w:ascii="Calibri" w:hAnsi="Calibri" w:cs="Calibri"/>
          <w:noProof/>
          <w:sz w:val="24"/>
          <w:szCs w:val="24"/>
        </w:rPr>
        <w:t xml:space="preserve">Westblade, </w:t>
      </w:r>
      <w:r w:rsidR="00F34991">
        <w:rPr>
          <w:rFonts w:ascii="Calibri" w:hAnsi="Calibri" w:cs="Calibri"/>
          <w:noProof/>
          <w:sz w:val="24"/>
          <w:szCs w:val="24"/>
        </w:rPr>
        <w:t xml:space="preserve">Alex </w:t>
      </w:r>
      <w:r w:rsidRPr="00B01895">
        <w:rPr>
          <w:rFonts w:ascii="Calibri" w:hAnsi="Calibri" w:cs="Calibri"/>
          <w:noProof/>
          <w:sz w:val="24"/>
          <w:szCs w:val="24"/>
        </w:rPr>
        <w:t xml:space="preserve">Trzebucki, </w:t>
      </w:r>
      <w:r w:rsidR="00F34991">
        <w:rPr>
          <w:rFonts w:ascii="Calibri" w:hAnsi="Calibri" w:cs="Calibri"/>
          <w:noProof/>
          <w:sz w:val="24"/>
          <w:szCs w:val="24"/>
        </w:rPr>
        <w:t xml:space="preserve">Matthew S </w:t>
      </w:r>
      <w:r w:rsidRPr="00B01895">
        <w:rPr>
          <w:rFonts w:ascii="Calibri" w:hAnsi="Calibri" w:cs="Calibri"/>
          <w:noProof/>
          <w:sz w:val="24"/>
          <w:szCs w:val="24"/>
        </w:rPr>
        <w:t xml:space="preserve">Simon, </w:t>
      </w:r>
      <w:r w:rsidR="00F34991">
        <w:rPr>
          <w:rFonts w:ascii="Calibri" w:hAnsi="Calibri" w:cs="Calibri"/>
          <w:noProof/>
          <w:sz w:val="24"/>
          <w:szCs w:val="24"/>
        </w:rPr>
        <w:t xml:space="preserve">Mangala </w:t>
      </w:r>
      <w:r w:rsidRPr="00B01895">
        <w:rPr>
          <w:rFonts w:ascii="Calibri" w:hAnsi="Calibri" w:cs="Calibri"/>
          <w:noProof/>
          <w:sz w:val="24"/>
          <w:szCs w:val="24"/>
        </w:rPr>
        <w:t xml:space="preserve">Rajan, </w:t>
      </w:r>
      <w:r w:rsidR="00F34991">
        <w:rPr>
          <w:rFonts w:ascii="Calibri" w:hAnsi="Calibri" w:cs="Calibri"/>
          <w:noProof/>
          <w:sz w:val="24"/>
          <w:szCs w:val="24"/>
        </w:rPr>
        <w:t xml:space="preserve">Joel </w:t>
      </w:r>
      <w:r w:rsidRPr="00B01895">
        <w:rPr>
          <w:rFonts w:ascii="Calibri" w:hAnsi="Calibri" w:cs="Calibri"/>
          <w:noProof/>
          <w:sz w:val="24"/>
          <w:szCs w:val="24"/>
        </w:rPr>
        <w:t xml:space="preserve">Park, et al. Impact of SARS-CoV-2 Viral Load on Risk of Intubation and Mortality </w:t>
      </w:r>
      <w:r w:rsidRPr="00B01895">
        <w:rPr>
          <w:rFonts w:ascii="Calibri" w:hAnsi="Calibri" w:cs="Calibri"/>
          <w:noProof/>
          <w:sz w:val="24"/>
          <w:szCs w:val="24"/>
        </w:rPr>
        <w:lastRenderedPageBreak/>
        <w:t xml:space="preserve">Among Hospitalized Patients with Coronavirus Disease 2019. </w:t>
      </w:r>
      <w:r w:rsidRPr="00B01895">
        <w:rPr>
          <w:rFonts w:ascii="Calibri" w:hAnsi="Calibri" w:cs="Calibri"/>
          <w:i/>
          <w:iCs/>
          <w:noProof/>
          <w:sz w:val="24"/>
          <w:szCs w:val="24"/>
        </w:rPr>
        <w:t>Clin Infect Dis</w:t>
      </w:r>
      <w:r w:rsidRPr="00B01895">
        <w:rPr>
          <w:rFonts w:ascii="Calibri" w:hAnsi="Calibri" w:cs="Calibri"/>
          <w:noProof/>
          <w:sz w:val="24"/>
          <w:szCs w:val="24"/>
        </w:rPr>
        <w:t xml:space="preserve"> 2020:1–14. </w:t>
      </w:r>
    </w:p>
    <w:p w14:paraId="174AA8A8" w14:textId="1EB222BE"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12</w:t>
      </w:r>
      <w:r w:rsidRPr="00B01895">
        <w:rPr>
          <w:rFonts w:ascii="Calibri" w:hAnsi="Calibri" w:cs="Calibri"/>
          <w:noProof/>
          <w:sz w:val="24"/>
          <w:szCs w:val="24"/>
        </w:rPr>
        <w:tab/>
      </w:r>
      <w:r w:rsidR="00F34991">
        <w:rPr>
          <w:rFonts w:ascii="Calibri" w:hAnsi="Calibri" w:cs="Calibri"/>
          <w:noProof/>
          <w:sz w:val="24"/>
          <w:szCs w:val="24"/>
        </w:rPr>
        <w:t xml:space="preserve">Elisabet </w:t>
      </w:r>
      <w:r w:rsidRPr="00B01895">
        <w:rPr>
          <w:rFonts w:ascii="Calibri" w:hAnsi="Calibri" w:cs="Calibri"/>
          <w:noProof/>
          <w:sz w:val="24"/>
          <w:szCs w:val="24"/>
        </w:rPr>
        <w:t xml:space="preserve">Pujadas, </w:t>
      </w:r>
      <w:r w:rsidR="00F34991">
        <w:rPr>
          <w:rFonts w:ascii="Calibri" w:hAnsi="Calibri" w:cs="Calibri"/>
          <w:noProof/>
          <w:sz w:val="24"/>
          <w:szCs w:val="24"/>
        </w:rPr>
        <w:t xml:space="preserve">Fayzan </w:t>
      </w:r>
      <w:r w:rsidRPr="00B01895">
        <w:rPr>
          <w:rFonts w:ascii="Calibri" w:hAnsi="Calibri" w:cs="Calibri"/>
          <w:noProof/>
          <w:sz w:val="24"/>
          <w:szCs w:val="24"/>
        </w:rPr>
        <w:t xml:space="preserve">Chaudhry, </w:t>
      </w:r>
      <w:r w:rsidR="00F34991">
        <w:rPr>
          <w:rFonts w:ascii="Calibri" w:hAnsi="Calibri" w:cs="Calibri"/>
          <w:noProof/>
          <w:sz w:val="24"/>
          <w:szCs w:val="24"/>
        </w:rPr>
        <w:t xml:space="preserve">Russel </w:t>
      </w:r>
      <w:r w:rsidRPr="00B01895">
        <w:rPr>
          <w:rFonts w:ascii="Calibri" w:hAnsi="Calibri" w:cs="Calibri"/>
          <w:noProof/>
          <w:sz w:val="24"/>
          <w:szCs w:val="24"/>
        </w:rPr>
        <w:t xml:space="preserve">McBride, </w:t>
      </w:r>
      <w:r w:rsidR="00F34991">
        <w:rPr>
          <w:rFonts w:ascii="Calibri" w:hAnsi="Calibri" w:cs="Calibri"/>
          <w:noProof/>
          <w:sz w:val="24"/>
          <w:szCs w:val="24"/>
        </w:rPr>
        <w:t xml:space="preserve">Felix </w:t>
      </w:r>
      <w:r w:rsidRPr="00B01895">
        <w:rPr>
          <w:rFonts w:ascii="Calibri" w:hAnsi="Calibri" w:cs="Calibri"/>
          <w:noProof/>
          <w:sz w:val="24"/>
          <w:szCs w:val="24"/>
        </w:rPr>
        <w:t xml:space="preserve">Richter, </w:t>
      </w:r>
      <w:r w:rsidR="00F34991">
        <w:rPr>
          <w:rFonts w:ascii="Calibri" w:hAnsi="Calibri" w:cs="Calibri"/>
          <w:noProof/>
          <w:sz w:val="24"/>
          <w:szCs w:val="24"/>
        </w:rPr>
        <w:t xml:space="preserve">Shan </w:t>
      </w:r>
      <w:r w:rsidRPr="00B01895">
        <w:rPr>
          <w:rFonts w:ascii="Calibri" w:hAnsi="Calibri" w:cs="Calibri"/>
          <w:noProof/>
          <w:sz w:val="24"/>
          <w:szCs w:val="24"/>
        </w:rPr>
        <w:t xml:space="preserve">Zhao, </w:t>
      </w:r>
      <w:r w:rsidR="00F34991">
        <w:rPr>
          <w:rFonts w:ascii="Calibri" w:hAnsi="Calibri" w:cs="Calibri"/>
          <w:noProof/>
          <w:sz w:val="24"/>
          <w:szCs w:val="24"/>
        </w:rPr>
        <w:t xml:space="preserve">Ania </w:t>
      </w:r>
      <w:r w:rsidRPr="00B01895">
        <w:rPr>
          <w:rFonts w:ascii="Calibri" w:hAnsi="Calibri" w:cs="Calibri"/>
          <w:noProof/>
          <w:sz w:val="24"/>
          <w:szCs w:val="24"/>
        </w:rPr>
        <w:t xml:space="preserve">Wajnberg, et al. SARS-CoV-2 viral load predicts COVID-19 mortality. </w:t>
      </w:r>
      <w:r w:rsidRPr="00B01895">
        <w:rPr>
          <w:rFonts w:ascii="Calibri" w:hAnsi="Calibri" w:cs="Calibri"/>
          <w:i/>
          <w:iCs/>
          <w:noProof/>
          <w:sz w:val="24"/>
          <w:szCs w:val="24"/>
        </w:rPr>
        <w:t>Lancet Respir</w:t>
      </w:r>
      <w:r w:rsidR="00F34991">
        <w:rPr>
          <w:rFonts w:ascii="Calibri" w:hAnsi="Calibri" w:cs="Calibri"/>
          <w:i/>
          <w:iCs/>
          <w:noProof/>
          <w:sz w:val="24"/>
          <w:szCs w:val="24"/>
        </w:rPr>
        <w:t>atory</w:t>
      </w:r>
      <w:r w:rsidRPr="00B01895">
        <w:rPr>
          <w:rFonts w:ascii="Calibri" w:hAnsi="Calibri" w:cs="Calibri"/>
          <w:i/>
          <w:iCs/>
          <w:noProof/>
          <w:sz w:val="24"/>
          <w:szCs w:val="24"/>
        </w:rPr>
        <w:t xml:space="preserve"> Med</w:t>
      </w:r>
      <w:r w:rsidRPr="00B01895">
        <w:rPr>
          <w:rFonts w:ascii="Calibri" w:hAnsi="Calibri" w:cs="Calibri"/>
          <w:noProof/>
          <w:sz w:val="24"/>
          <w:szCs w:val="24"/>
        </w:rPr>
        <w:t xml:space="preserve"> 2020;</w:t>
      </w:r>
      <w:r w:rsidRPr="00B01895">
        <w:rPr>
          <w:rFonts w:ascii="Calibri" w:hAnsi="Calibri" w:cs="Calibri"/>
          <w:b/>
          <w:bCs/>
          <w:noProof/>
          <w:sz w:val="24"/>
          <w:szCs w:val="24"/>
        </w:rPr>
        <w:t>2</w:t>
      </w:r>
      <w:r w:rsidRPr="00B01895">
        <w:rPr>
          <w:rFonts w:ascii="Calibri" w:hAnsi="Calibri" w:cs="Calibri"/>
          <w:noProof/>
          <w:sz w:val="24"/>
          <w:szCs w:val="24"/>
        </w:rPr>
        <w:t xml:space="preserve">:2. </w:t>
      </w:r>
    </w:p>
    <w:p w14:paraId="2634ECC8" w14:textId="695D7B70"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13</w:t>
      </w:r>
      <w:r w:rsidRPr="00B01895">
        <w:rPr>
          <w:rFonts w:ascii="Calibri" w:hAnsi="Calibri" w:cs="Calibri"/>
          <w:noProof/>
          <w:sz w:val="24"/>
          <w:szCs w:val="24"/>
        </w:rPr>
        <w:tab/>
      </w:r>
      <w:r w:rsidR="00F34991">
        <w:rPr>
          <w:rFonts w:ascii="Calibri" w:hAnsi="Calibri" w:cs="Calibri"/>
          <w:noProof/>
          <w:sz w:val="24"/>
          <w:szCs w:val="24"/>
        </w:rPr>
        <w:t xml:space="preserve">Muge </w:t>
      </w:r>
      <w:r w:rsidRPr="00B01895">
        <w:rPr>
          <w:rFonts w:ascii="Calibri" w:hAnsi="Calibri" w:cs="Calibri"/>
          <w:noProof/>
          <w:sz w:val="24"/>
          <w:szCs w:val="24"/>
        </w:rPr>
        <w:t xml:space="preserve">Cevik, </w:t>
      </w:r>
      <w:r w:rsidR="00F34991">
        <w:rPr>
          <w:rFonts w:ascii="Calibri" w:hAnsi="Calibri" w:cs="Calibri"/>
          <w:noProof/>
          <w:sz w:val="24"/>
          <w:szCs w:val="24"/>
        </w:rPr>
        <w:t xml:space="preserve">Matthew </w:t>
      </w:r>
      <w:r w:rsidRPr="00B01895">
        <w:rPr>
          <w:rFonts w:ascii="Calibri" w:hAnsi="Calibri" w:cs="Calibri"/>
          <w:noProof/>
          <w:sz w:val="24"/>
          <w:szCs w:val="24"/>
        </w:rPr>
        <w:t xml:space="preserve">Tate, </w:t>
      </w:r>
      <w:r w:rsidR="00F34991">
        <w:rPr>
          <w:rFonts w:ascii="Calibri" w:hAnsi="Calibri" w:cs="Calibri"/>
          <w:noProof/>
          <w:sz w:val="24"/>
          <w:szCs w:val="24"/>
        </w:rPr>
        <w:t xml:space="preserve">Ollie </w:t>
      </w:r>
      <w:r w:rsidRPr="00B01895">
        <w:rPr>
          <w:rFonts w:ascii="Calibri" w:hAnsi="Calibri" w:cs="Calibri"/>
          <w:noProof/>
          <w:sz w:val="24"/>
          <w:szCs w:val="24"/>
        </w:rPr>
        <w:t xml:space="preserve">Lloyd, </w:t>
      </w:r>
      <w:r w:rsidR="00BB22EE">
        <w:rPr>
          <w:rFonts w:ascii="Calibri" w:hAnsi="Calibri" w:cs="Calibri"/>
          <w:noProof/>
          <w:sz w:val="24"/>
          <w:szCs w:val="24"/>
        </w:rPr>
        <w:t xml:space="preserve">Alberto Enrico </w:t>
      </w:r>
      <w:r w:rsidRPr="00B01895">
        <w:rPr>
          <w:rFonts w:ascii="Calibri" w:hAnsi="Calibri" w:cs="Calibri"/>
          <w:noProof/>
          <w:sz w:val="24"/>
          <w:szCs w:val="24"/>
        </w:rPr>
        <w:t xml:space="preserve">Maraolo, </w:t>
      </w:r>
      <w:r w:rsidR="00BB22EE">
        <w:rPr>
          <w:rFonts w:ascii="Calibri" w:hAnsi="Calibri" w:cs="Calibri"/>
          <w:noProof/>
          <w:sz w:val="24"/>
          <w:szCs w:val="24"/>
        </w:rPr>
        <w:t xml:space="preserve">Jenna </w:t>
      </w:r>
      <w:r w:rsidRPr="00B01895">
        <w:rPr>
          <w:rFonts w:ascii="Calibri" w:hAnsi="Calibri" w:cs="Calibri"/>
          <w:noProof/>
          <w:sz w:val="24"/>
          <w:szCs w:val="24"/>
        </w:rPr>
        <w:t xml:space="preserve">Schafers, </w:t>
      </w:r>
      <w:r w:rsidR="00BB22EE">
        <w:rPr>
          <w:rFonts w:ascii="Calibri" w:hAnsi="Calibri" w:cs="Calibri"/>
          <w:noProof/>
          <w:sz w:val="24"/>
          <w:szCs w:val="24"/>
        </w:rPr>
        <w:t xml:space="preserve">Antonia </w:t>
      </w:r>
      <w:r w:rsidRPr="00B01895">
        <w:rPr>
          <w:rFonts w:ascii="Calibri" w:hAnsi="Calibri" w:cs="Calibri"/>
          <w:noProof/>
          <w:sz w:val="24"/>
          <w:szCs w:val="24"/>
        </w:rPr>
        <w:t xml:space="preserve">Ho. SARS-CoV-2, SARS-CoV, and MERS-CoV viral load dynamics, duration of viral shedding, and infectiousness: a systematic review and meta-analysis. </w:t>
      </w:r>
      <w:r w:rsidRPr="00B01895">
        <w:rPr>
          <w:rFonts w:ascii="Calibri" w:hAnsi="Calibri" w:cs="Calibri"/>
          <w:i/>
          <w:iCs/>
          <w:noProof/>
          <w:sz w:val="24"/>
          <w:szCs w:val="24"/>
        </w:rPr>
        <w:t>The Lancet Microbe</w:t>
      </w:r>
      <w:r w:rsidRPr="00B01895">
        <w:rPr>
          <w:rFonts w:ascii="Calibri" w:hAnsi="Calibri" w:cs="Calibri"/>
          <w:noProof/>
          <w:sz w:val="24"/>
          <w:szCs w:val="24"/>
        </w:rPr>
        <w:t xml:space="preserve"> 2021;</w:t>
      </w:r>
      <w:r w:rsidRPr="00B01895">
        <w:rPr>
          <w:rFonts w:ascii="Calibri" w:hAnsi="Calibri" w:cs="Calibri"/>
          <w:b/>
          <w:bCs/>
          <w:noProof/>
          <w:sz w:val="24"/>
          <w:szCs w:val="24"/>
        </w:rPr>
        <w:t>2</w:t>
      </w:r>
      <w:r w:rsidRPr="00B01895">
        <w:rPr>
          <w:rFonts w:ascii="Calibri" w:hAnsi="Calibri" w:cs="Calibri"/>
          <w:noProof/>
          <w:sz w:val="24"/>
          <w:szCs w:val="24"/>
        </w:rPr>
        <w:t xml:space="preserve">(1):e13–22. </w:t>
      </w:r>
    </w:p>
    <w:p w14:paraId="576C6D87" w14:textId="678E1FF6"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14</w:t>
      </w:r>
      <w:r w:rsidRPr="00B01895">
        <w:rPr>
          <w:rFonts w:ascii="Calibri" w:hAnsi="Calibri" w:cs="Calibri"/>
          <w:noProof/>
          <w:sz w:val="24"/>
          <w:szCs w:val="24"/>
        </w:rPr>
        <w:tab/>
      </w:r>
      <w:r w:rsidR="00BB22EE">
        <w:rPr>
          <w:rFonts w:ascii="Calibri" w:hAnsi="Calibri" w:cs="Calibri"/>
          <w:noProof/>
          <w:sz w:val="24"/>
          <w:szCs w:val="24"/>
        </w:rPr>
        <w:t xml:space="preserve">Sjoerd </w:t>
      </w:r>
      <w:r w:rsidRPr="00B01895">
        <w:rPr>
          <w:rFonts w:ascii="Calibri" w:hAnsi="Calibri" w:cs="Calibri"/>
          <w:noProof/>
          <w:sz w:val="24"/>
          <w:szCs w:val="24"/>
        </w:rPr>
        <w:t xml:space="preserve">Euser, </w:t>
      </w:r>
      <w:r w:rsidR="00BB22EE">
        <w:rPr>
          <w:rFonts w:ascii="Calibri" w:hAnsi="Calibri" w:cs="Calibri"/>
          <w:noProof/>
          <w:sz w:val="24"/>
          <w:szCs w:val="24"/>
        </w:rPr>
        <w:t xml:space="preserve">Sem </w:t>
      </w:r>
      <w:r w:rsidRPr="00B01895">
        <w:rPr>
          <w:rFonts w:ascii="Calibri" w:hAnsi="Calibri" w:cs="Calibri"/>
          <w:noProof/>
          <w:sz w:val="24"/>
          <w:szCs w:val="24"/>
        </w:rPr>
        <w:t xml:space="preserve">Aronson, </w:t>
      </w:r>
      <w:r w:rsidR="00BB22EE">
        <w:rPr>
          <w:rFonts w:ascii="Calibri" w:hAnsi="Calibri" w:cs="Calibri"/>
          <w:noProof/>
          <w:sz w:val="24"/>
          <w:szCs w:val="24"/>
        </w:rPr>
        <w:t xml:space="preserve">Irene </w:t>
      </w:r>
      <w:r w:rsidRPr="00B01895">
        <w:rPr>
          <w:rFonts w:ascii="Calibri" w:hAnsi="Calibri" w:cs="Calibri"/>
          <w:noProof/>
          <w:sz w:val="24"/>
          <w:szCs w:val="24"/>
        </w:rPr>
        <w:t xml:space="preserve">Manders, </w:t>
      </w:r>
      <w:r w:rsidR="00BB22EE">
        <w:rPr>
          <w:rFonts w:ascii="Calibri" w:hAnsi="Calibri" w:cs="Calibri"/>
          <w:noProof/>
          <w:sz w:val="24"/>
          <w:szCs w:val="24"/>
        </w:rPr>
        <w:t xml:space="preserve">Steven </w:t>
      </w:r>
      <w:r w:rsidRPr="00B01895">
        <w:rPr>
          <w:rFonts w:ascii="Calibri" w:hAnsi="Calibri" w:cs="Calibri"/>
          <w:noProof/>
          <w:sz w:val="24"/>
          <w:szCs w:val="24"/>
        </w:rPr>
        <w:t xml:space="preserve">van Lelyveld, </w:t>
      </w:r>
      <w:r w:rsidR="00BB22EE">
        <w:rPr>
          <w:rFonts w:ascii="Calibri" w:hAnsi="Calibri" w:cs="Calibri"/>
          <w:noProof/>
          <w:sz w:val="24"/>
          <w:szCs w:val="24"/>
        </w:rPr>
        <w:t xml:space="preserve">Bjorn </w:t>
      </w:r>
      <w:r w:rsidRPr="00B01895">
        <w:rPr>
          <w:rFonts w:ascii="Calibri" w:hAnsi="Calibri" w:cs="Calibri"/>
          <w:noProof/>
          <w:sz w:val="24"/>
          <w:szCs w:val="24"/>
        </w:rPr>
        <w:t xml:space="preserve">Herpers, </w:t>
      </w:r>
      <w:r w:rsidR="00BB22EE">
        <w:rPr>
          <w:rFonts w:ascii="Calibri" w:hAnsi="Calibri" w:cs="Calibri"/>
          <w:noProof/>
          <w:sz w:val="24"/>
          <w:szCs w:val="24"/>
        </w:rPr>
        <w:t xml:space="preserve">Jan </w:t>
      </w:r>
      <w:r w:rsidRPr="00B01895">
        <w:rPr>
          <w:rFonts w:ascii="Calibri" w:hAnsi="Calibri" w:cs="Calibri"/>
          <w:noProof/>
          <w:sz w:val="24"/>
          <w:szCs w:val="24"/>
        </w:rPr>
        <w:t xml:space="preserve">Sinnige, et al. SARS-CoV-2 viral load distribution reveals that viral loads increase with age: a retrospective cross-sectional cohort study. </w:t>
      </w:r>
      <w:r w:rsidRPr="00B01895">
        <w:rPr>
          <w:rFonts w:ascii="Calibri" w:hAnsi="Calibri" w:cs="Calibri"/>
          <w:i/>
          <w:iCs/>
          <w:noProof/>
          <w:sz w:val="24"/>
          <w:szCs w:val="24"/>
        </w:rPr>
        <w:t>MedRxiv</w:t>
      </w:r>
      <w:r w:rsidRPr="00B01895">
        <w:rPr>
          <w:rFonts w:ascii="Calibri" w:hAnsi="Calibri" w:cs="Calibri"/>
          <w:noProof/>
          <w:sz w:val="24"/>
          <w:szCs w:val="24"/>
        </w:rPr>
        <w:t xml:space="preserve"> 2021:2021.01.15.21249691. </w:t>
      </w:r>
    </w:p>
    <w:p w14:paraId="75B2A8B6" w14:textId="4B938475"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15</w:t>
      </w:r>
      <w:r w:rsidRPr="00B01895">
        <w:rPr>
          <w:rFonts w:ascii="Calibri" w:hAnsi="Calibri" w:cs="Calibri"/>
          <w:noProof/>
          <w:sz w:val="24"/>
          <w:szCs w:val="24"/>
        </w:rPr>
        <w:tab/>
      </w:r>
      <w:r w:rsidR="00BB22EE">
        <w:rPr>
          <w:rFonts w:ascii="Calibri" w:hAnsi="Calibri" w:cs="Calibri"/>
          <w:noProof/>
          <w:sz w:val="24"/>
          <w:szCs w:val="24"/>
        </w:rPr>
        <w:t xml:space="preserve">Peter </w:t>
      </w:r>
      <w:r w:rsidRPr="00B01895">
        <w:rPr>
          <w:rFonts w:ascii="Calibri" w:hAnsi="Calibri" w:cs="Calibri"/>
          <w:noProof/>
          <w:sz w:val="24"/>
          <w:szCs w:val="24"/>
        </w:rPr>
        <w:t xml:space="preserve">Chen, </w:t>
      </w:r>
      <w:r w:rsidR="00BB22EE">
        <w:rPr>
          <w:rFonts w:ascii="Calibri" w:hAnsi="Calibri" w:cs="Calibri"/>
          <w:noProof/>
          <w:sz w:val="24"/>
          <w:szCs w:val="24"/>
        </w:rPr>
        <w:t xml:space="preserve">Ajay </w:t>
      </w:r>
      <w:r w:rsidRPr="00B01895">
        <w:rPr>
          <w:rFonts w:ascii="Calibri" w:hAnsi="Calibri" w:cs="Calibri"/>
          <w:noProof/>
          <w:sz w:val="24"/>
          <w:szCs w:val="24"/>
        </w:rPr>
        <w:t xml:space="preserve">Nirula, </w:t>
      </w:r>
      <w:r w:rsidR="00BB22EE">
        <w:rPr>
          <w:rFonts w:ascii="Calibri" w:hAnsi="Calibri" w:cs="Calibri"/>
          <w:noProof/>
          <w:sz w:val="24"/>
          <w:szCs w:val="24"/>
        </w:rPr>
        <w:t xml:space="preserve">Barry </w:t>
      </w:r>
      <w:r w:rsidRPr="00B01895">
        <w:rPr>
          <w:rFonts w:ascii="Calibri" w:hAnsi="Calibri" w:cs="Calibri"/>
          <w:noProof/>
          <w:sz w:val="24"/>
          <w:szCs w:val="24"/>
        </w:rPr>
        <w:t xml:space="preserve">Heller, </w:t>
      </w:r>
      <w:r w:rsidR="00BB22EE">
        <w:rPr>
          <w:rFonts w:ascii="Calibri" w:hAnsi="Calibri" w:cs="Calibri"/>
          <w:noProof/>
          <w:sz w:val="24"/>
          <w:szCs w:val="24"/>
        </w:rPr>
        <w:t xml:space="preserve">Robert L </w:t>
      </w:r>
      <w:r w:rsidRPr="00B01895">
        <w:rPr>
          <w:rFonts w:ascii="Calibri" w:hAnsi="Calibri" w:cs="Calibri"/>
          <w:noProof/>
          <w:sz w:val="24"/>
          <w:szCs w:val="24"/>
        </w:rPr>
        <w:t xml:space="preserve">Gottlieb, </w:t>
      </w:r>
      <w:r w:rsidR="00BB22EE">
        <w:rPr>
          <w:rFonts w:ascii="Calibri" w:hAnsi="Calibri" w:cs="Calibri"/>
          <w:noProof/>
          <w:sz w:val="24"/>
          <w:szCs w:val="24"/>
        </w:rPr>
        <w:t xml:space="preserve">Joseph </w:t>
      </w:r>
      <w:r w:rsidRPr="00B01895">
        <w:rPr>
          <w:rFonts w:ascii="Calibri" w:hAnsi="Calibri" w:cs="Calibri"/>
          <w:noProof/>
          <w:sz w:val="24"/>
          <w:szCs w:val="24"/>
        </w:rPr>
        <w:t xml:space="preserve">Boscia, </w:t>
      </w:r>
      <w:r w:rsidR="00BB22EE">
        <w:rPr>
          <w:rFonts w:ascii="Calibri" w:hAnsi="Calibri" w:cs="Calibri"/>
          <w:noProof/>
          <w:sz w:val="24"/>
          <w:szCs w:val="24"/>
        </w:rPr>
        <w:t xml:space="preserve">Jason </w:t>
      </w:r>
      <w:r w:rsidRPr="00B01895">
        <w:rPr>
          <w:rFonts w:ascii="Calibri" w:hAnsi="Calibri" w:cs="Calibri"/>
          <w:noProof/>
          <w:sz w:val="24"/>
          <w:szCs w:val="24"/>
        </w:rPr>
        <w:t xml:space="preserve">Morris, et al. SARS-CoV-2 Neutralizing Antibody LY-CoV555 in Outpatients with Covid-19. </w:t>
      </w:r>
      <w:r w:rsidRPr="00B01895">
        <w:rPr>
          <w:rFonts w:ascii="Calibri" w:hAnsi="Calibri" w:cs="Calibri"/>
          <w:i/>
          <w:iCs/>
          <w:noProof/>
          <w:sz w:val="24"/>
          <w:szCs w:val="24"/>
        </w:rPr>
        <w:t>N Engl J Med</w:t>
      </w:r>
      <w:r w:rsidRPr="00B01895">
        <w:rPr>
          <w:rFonts w:ascii="Calibri" w:hAnsi="Calibri" w:cs="Calibri"/>
          <w:noProof/>
          <w:sz w:val="24"/>
          <w:szCs w:val="24"/>
        </w:rPr>
        <w:t xml:space="preserve"> 2021;</w:t>
      </w:r>
      <w:r w:rsidRPr="00B01895">
        <w:rPr>
          <w:rFonts w:ascii="Calibri" w:hAnsi="Calibri" w:cs="Calibri"/>
          <w:b/>
          <w:bCs/>
          <w:noProof/>
          <w:sz w:val="24"/>
          <w:szCs w:val="24"/>
        </w:rPr>
        <w:t>384</w:t>
      </w:r>
      <w:r w:rsidRPr="00B01895">
        <w:rPr>
          <w:rFonts w:ascii="Calibri" w:hAnsi="Calibri" w:cs="Calibri"/>
          <w:noProof/>
          <w:sz w:val="24"/>
          <w:szCs w:val="24"/>
        </w:rPr>
        <w:t xml:space="preserve">(3):229–37. </w:t>
      </w:r>
    </w:p>
    <w:p w14:paraId="61FF31B2" w14:textId="6138D5C3"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16</w:t>
      </w:r>
      <w:r w:rsidRPr="00B01895">
        <w:rPr>
          <w:rFonts w:ascii="Calibri" w:hAnsi="Calibri" w:cs="Calibri"/>
          <w:noProof/>
          <w:sz w:val="24"/>
          <w:szCs w:val="24"/>
        </w:rPr>
        <w:tab/>
      </w:r>
      <w:r w:rsidR="00BB22EE">
        <w:rPr>
          <w:rFonts w:ascii="Calibri" w:hAnsi="Calibri" w:cs="Calibri"/>
          <w:noProof/>
          <w:sz w:val="24"/>
          <w:szCs w:val="24"/>
        </w:rPr>
        <w:t xml:space="preserve">Nathan J </w:t>
      </w:r>
      <w:r w:rsidRPr="00B01895">
        <w:rPr>
          <w:rFonts w:ascii="Calibri" w:hAnsi="Calibri" w:cs="Calibri"/>
          <w:noProof/>
          <w:sz w:val="24"/>
          <w:szCs w:val="24"/>
        </w:rPr>
        <w:t xml:space="preserve">Brendish, </w:t>
      </w:r>
      <w:r w:rsidR="00BB22EE">
        <w:rPr>
          <w:rFonts w:ascii="Calibri" w:hAnsi="Calibri" w:cs="Calibri"/>
          <w:noProof/>
          <w:sz w:val="24"/>
          <w:szCs w:val="24"/>
        </w:rPr>
        <w:t xml:space="preserve">Stephen </w:t>
      </w:r>
      <w:r w:rsidRPr="00B01895">
        <w:rPr>
          <w:rFonts w:ascii="Calibri" w:hAnsi="Calibri" w:cs="Calibri"/>
          <w:noProof/>
          <w:sz w:val="24"/>
          <w:szCs w:val="24"/>
        </w:rPr>
        <w:t xml:space="preserve">Poole, </w:t>
      </w:r>
      <w:r w:rsidR="00BB22EE">
        <w:rPr>
          <w:rFonts w:ascii="Calibri" w:hAnsi="Calibri" w:cs="Calibri"/>
          <w:noProof/>
          <w:sz w:val="24"/>
          <w:szCs w:val="24"/>
        </w:rPr>
        <w:t xml:space="preserve">Vasanth V </w:t>
      </w:r>
      <w:r w:rsidRPr="00B01895">
        <w:rPr>
          <w:rFonts w:ascii="Calibri" w:hAnsi="Calibri" w:cs="Calibri"/>
          <w:noProof/>
          <w:sz w:val="24"/>
          <w:szCs w:val="24"/>
        </w:rPr>
        <w:t xml:space="preserve">Naidu, </w:t>
      </w:r>
      <w:r w:rsidR="00BB22EE">
        <w:rPr>
          <w:rFonts w:ascii="Calibri" w:hAnsi="Calibri" w:cs="Calibri"/>
          <w:noProof/>
          <w:sz w:val="24"/>
          <w:szCs w:val="24"/>
        </w:rPr>
        <w:t xml:space="preserve">Christopher T </w:t>
      </w:r>
      <w:r w:rsidRPr="00B01895">
        <w:rPr>
          <w:rFonts w:ascii="Calibri" w:hAnsi="Calibri" w:cs="Calibri"/>
          <w:noProof/>
          <w:sz w:val="24"/>
          <w:szCs w:val="24"/>
        </w:rPr>
        <w:t xml:space="preserve">Mansbridge, </w:t>
      </w:r>
      <w:r w:rsidR="00BB22EE">
        <w:rPr>
          <w:rFonts w:ascii="Calibri" w:hAnsi="Calibri" w:cs="Calibri"/>
          <w:noProof/>
          <w:sz w:val="24"/>
          <w:szCs w:val="24"/>
        </w:rPr>
        <w:t xml:space="preserve">Nicholas J </w:t>
      </w:r>
      <w:r w:rsidRPr="00B01895">
        <w:rPr>
          <w:rFonts w:ascii="Calibri" w:hAnsi="Calibri" w:cs="Calibri"/>
          <w:noProof/>
          <w:sz w:val="24"/>
          <w:szCs w:val="24"/>
        </w:rPr>
        <w:t xml:space="preserve">Norton, </w:t>
      </w:r>
      <w:r w:rsidR="00BB22EE">
        <w:rPr>
          <w:rFonts w:ascii="Calibri" w:hAnsi="Calibri" w:cs="Calibri"/>
          <w:noProof/>
          <w:sz w:val="24"/>
          <w:szCs w:val="24"/>
        </w:rPr>
        <w:t xml:space="preserve">Helen </w:t>
      </w:r>
      <w:r w:rsidRPr="00B01895">
        <w:rPr>
          <w:rFonts w:ascii="Calibri" w:hAnsi="Calibri" w:cs="Calibri"/>
          <w:noProof/>
          <w:sz w:val="24"/>
          <w:szCs w:val="24"/>
        </w:rPr>
        <w:t xml:space="preserve">Wheeler, et al. Clinical impact of molecular point-of-care testing for suspected COVID-19 in hospital (COV-19POC): a prospective, interventional, non-randomised, controlled study. </w:t>
      </w:r>
      <w:r w:rsidRPr="00B01895">
        <w:rPr>
          <w:rFonts w:ascii="Calibri" w:hAnsi="Calibri" w:cs="Calibri"/>
          <w:i/>
          <w:iCs/>
          <w:noProof/>
          <w:sz w:val="24"/>
          <w:szCs w:val="24"/>
        </w:rPr>
        <w:t>Lancet Respir</w:t>
      </w:r>
      <w:r w:rsidR="00BB22EE">
        <w:rPr>
          <w:rFonts w:ascii="Calibri" w:hAnsi="Calibri" w:cs="Calibri"/>
          <w:i/>
          <w:iCs/>
          <w:noProof/>
          <w:sz w:val="24"/>
          <w:szCs w:val="24"/>
        </w:rPr>
        <w:t>atory</w:t>
      </w:r>
      <w:r w:rsidRPr="00B01895">
        <w:rPr>
          <w:rFonts w:ascii="Calibri" w:hAnsi="Calibri" w:cs="Calibri"/>
          <w:i/>
          <w:iCs/>
          <w:noProof/>
          <w:sz w:val="24"/>
          <w:szCs w:val="24"/>
        </w:rPr>
        <w:t xml:space="preserve"> Med</w:t>
      </w:r>
      <w:r w:rsidRPr="00B01895">
        <w:rPr>
          <w:rFonts w:ascii="Calibri" w:hAnsi="Calibri" w:cs="Calibri"/>
          <w:noProof/>
          <w:sz w:val="24"/>
          <w:szCs w:val="24"/>
        </w:rPr>
        <w:t xml:space="preserve"> 2020;</w:t>
      </w:r>
      <w:r w:rsidRPr="00B01895">
        <w:rPr>
          <w:rFonts w:ascii="Calibri" w:hAnsi="Calibri" w:cs="Calibri"/>
          <w:b/>
          <w:bCs/>
          <w:noProof/>
          <w:sz w:val="24"/>
          <w:szCs w:val="24"/>
        </w:rPr>
        <w:t>8</w:t>
      </w:r>
      <w:r w:rsidRPr="00B01895">
        <w:rPr>
          <w:rFonts w:ascii="Calibri" w:hAnsi="Calibri" w:cs="Calibri"/>
          <w:noProof/>
          <w:sz w:val="24"/>
          <w:szCs w:val="24"/>
        </w:rPr>
        <w:t xml:space="preserve">(12):1192–200. </w:t>
      </w:r>
    </w:p>
    <w:p w14:paraId="162262F1" w14:textId="59FA6509"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17</w:t>
      </w:r>
      <w:r w:rsidRPr="00B01895">
        <w:rPr>
          <w:rFonts w:ascii="Calibri" w:hAnsi="Calibri" w:cs="Calibri"/>
          <w:noProof/>
          <w:sz w:val="24"/>
          <w:szCs w:val="24"/>
        </w:rPr>
        <w:tab/>
      </w:r>
      <w:r w:rsidR="00BB22EE">
        <w:rPr>
          <w:rFonts w:ascii="Calibri" w:hAnsi="Calibri" w:cs="Calibri"/>
          <w:noProof/>
          <w:sz w:val="24"/>
          <w:szCs w:val="24"/>
        </w:rPr>
        <w:t xml:space="preserve">Tristan W </w:t>
      </w:r>
      <w:r w:rsidRPr="00B01895">
        <w:rPr>
          <w:rFonts w:ascii="Calibri" w:hAnsi="Calibri" w:cs="Calibri"/>
          <w:noProof/>
          <w:sz w:val="24"/>
          <w:szCs w:val="24"/>
        </w:rPr>
        <w:t>Clark. Evaluating the clinical impact of routine molecular point-of-care testing for COVID-19 in adults presenting to hospital: A prospective, interventional, non-randomised, controlled study (CoV-19POC) [Protocol]. Available at https://eprints.soton.ac.uk/439309/2/CoV_19POC_Protocol_v2_0_eprints.pdf. Accessed February 7, 2021, 2020.</w:t>
      </w:r>
    </w:p>
    <w:p w14:paraId="403A72E5" w14:textId="0118EB49"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18</w:t>
      </w:r>
      <w:r w:rsidRPr="00B01895">
        <w:rPr>
          <w:rFonts w:ascii="Calibri" w:hAnsi="Calibri" w:cs="Calibri"/>
          <w:noProof/>
          <w:sz w:val="24"/>
          <w:szCs w:val="24"/>
        </w:rPr>
        <w:tab/>
      </w:r>
      <w:r w:rsidR="00BB22EE">
        <w:rPr>
          <w:rFonts w:ascii="Calibri" w:hAnsi="Calibri" w:cs="Calibri"/>
          <w:noProof/>
          <w:sz w:val="24"/>
          <w:szCs w:val="24"/>
        </w:rPr>
        <w:t xml:space="preserve">Marijo </w:t>
      </w:r>
      <w:r w:rsidRPr="00B01895">
        <w:rPr>
          <w:rFonts w:ascii="Calibri" w:hAnsi="Calibri" w:cs="Calibri"/>
          <w:noProof/>
          <w:sz w:val="24"/>
          <w:szCs w:val="24"/>
        </w:rPr>
        <w:t xml:space="preserve">Parčina, </w:t>
      </w:r>
      <w:r w:rsidR="00BB22EE">
        <w:rPr>
          <w:rFonts w:ascii="Calibri" w:hAnsi="Calibri" w:cs="Calibri"/>
          <w:noProof/>
          <w:sz w:val="24"/>
          <w:szCs w:val="24"/>
        </w:rPr>
        <w:t xml:space="preserve">Uffe Vest </w:t>
      </w:r>
      <w:r w:rsidRPr="00B01895">
        <w:rPr>
          <w:rFonts w:ascii="Calibri" w:hAnsi="Calibri" w:cs="Calibri"/>
          <w:noProof/>
          <w:sz w:val="24"/>
          <w:szCs w:val="24"/>
        </w:rPr>
        <w:t xml:space="preserve">Schneider, </w:t>
      </w:r>
      <w:r w:rsidR="00BB22EE">
        <w:rPr>
          <w:rFonts w:ascii="Calibri" w:hAnsi="Calibri" w:cs="Calibri"/>
          <w:noProof/>
          <w:sz w:val="24"/>
          <w:szCs w:val="24"/>
        </w:rPr>
        <w:t xml:space="preserve">Benoit </w:t>
      </w:r>
      <w:r w:rsidRPr="00B01895">
        <w:rPr>
          <w:rFonts w:ascii="Calibri" w:hAnsi="Calibri" w:cs="Calibri"/>
          <w:noProof/>
          <w:sz w:val="24"/>
          <w:szCs w:val="24"/>
        </w:rPr>
        <w:t xml:space="preserve">Visseaux, </w:t>
      </w:r>
      <w:r w:rsidR="00BB22EE">
        <w:rPr>
          <w:rFonts w:ascii="Calibri" w:hAnsi="Calibri" w:cs="Calibri"/>
          <w:noProof/>
          <w:sz w:val="24"/>
          <w:szCs w:val="24"/>
        </w:rPr>
        <w:t xml:space="preserve">Robert </w:t>
      </w:r>
      <w:r w:rsidRPr="00B01895">
        <w:rPr>
          <w:rFonts w:ascii="Calibri" w:hAnsi="Calibri" w:cs="Calibri"/>
          <w:noProof/>
          <w:sz w:val="24"/>
          <w:szCs w:val="24"/>
        </w:rPr>
        <w:t xml:space="preserve">Jozić, </w:t>
      </w:r>
      <w:r w:rsidR="00BB22EE">
        <w:rPr>
          <w:rFonts w:ascii="Calibri" w:hAnsi="Calibri" w:cs="Calibri"/>
          <w:noProof/>
          <w:sz w:val="24"/>
          <w:szCs w:val="24"/>
        </w:rPr>
        <w:t xml:space="preserve">Irene </w:t>
      </w:r>
      <w:r w:rsidRPr="00B01895">
        <w:rPr>
          <w:rFonts w:ascii="Calibri" w:hAnsi="Calibri" w:cs="Calibri"/>
          <w:noProof/>
          <w:sz w:val="24"/>
          <w:szCs w:val="24"/>
        </w:rPr>
        <w:t xml:space="preserve">Hannet, </w:t>
      </w:r>
      <w:r w:rsidR="00BB22EE">
        <w:rPr>
          <w:rFonts w:ascii="Calibri" w:hAnsi="Calibri" w:cs="Calibri"/>
          <w:noProof/>
          <w:sz w:val="24"/>
          <w:szCs w:val="24"/>
        </w:rPr>
        <w:t xml:space="preserve">Jan Gorm </w:t>
      </w:r>
      <w:r w:rsidRPr="00B01895">
        <w:rPr>
          <w:rFonts w:ascii="Calibri" w:hAnsi="Calibri" w:cs="Calibri"/>
          <w:noProof/>
          <w:sz w:val="24"/>
          <w:szCs w:val="24"/>
        </w:rPr>
        <w:t xml:space="preserve">Lisby. Multicenter evaluation of the QIAstat Respiratory Panel—A new rapid highly multiplexed PCR based assay for diagnosis of acute respiratory tract infections. </w:t>
      </w:r>
      <w:r w:rsidRPr="00B01895">
        <w:rPr>
          <w:rFonts w:ascii="Calibri" w:hAnsi="Calibri" w:cs="Calibri"/>
          <w:i/>
          <w:iCs/>
          <w:noProof/>
          <w:sz w:val="24"/>
          <w:szCs w:val="24"/>
        </w:rPr>
        <w:t>PLoS One</w:t>
      </w:r>
      <w:r w:rsidRPr="00B01895">
        <w:rPr>
          <w:rFonts w:ascii="Calibri" w:hAnsi="Calibri" w:cs="Calibri"/>
          <w:noProof/>
          <w:sz w:val="24"/>
          <w:szCs w:val="24"/>
        </w:rPr>
        <w:t xml:space="preserve"> 2020;</w:t>
      </w:r>
      <w:r w:rsidRPr="00B01895">
        <w:rPr>
          <w:rFonts w:ascii="Calibri" w:hAnsi="Calibri" w:cs="Calibri"/>
          <w:b/>
          <w:bCs/>
          <w:noProof/>
          <w:sz w:val="24"/>
          <w:szCs w:val="24"/>
        </w:rPr>
        <w:t>15</w:t>
      </w:r>
      <w:r w:rsidRPr="00B01895">
        <w:rPr>
          <w:rFonts w:ascii="Calibri" w:hAnsi="Calibri" w:cs="Calibri"/>
          <w:noProof/>
          <w:sz w:val="24"/>
          <w:szCs w:val="24"/>
        </w:rPr>
        <w:t>(3):1–12.</w:t>
      </w:r>
    </w:p>
    <w:p w14:paraId="1D568FA3" w14:textId="416C86D8"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19</w:t>
      </w:r>
      <w:r w:rsidRPr="00B01895">
        <w:rPr>
          <w:rFonts w:ascii="Calibri" w:hAnsi="Calibri" w:cs="Calibri"/>
          <w:noProof/>
          <w:sz w:val="24"/>
          <w:szCs w:val="24"/>
        </w:rPr>
        <w:tab/>
      </w:r>
      <w:r w:rsidR="00BB22EE">
        <w:rPr>
          <w:rFonts w:ascii="Calibri" w:hAnsi="Calibri" w:cs="Calibri"/>
          <w:noProof/>
          <w:sz w:val="24"/>
          <w:szCs w:val="24"/>
        </w:rPr>
        <w:t xml:space="preserve">Benoit </w:t>
      </w:r>
      <w:r w:rsidRPr="00B01895">
        <w:rPr>
          <w:rFonts w:ascii="Calibri" w:hAnsi="Calibri" w:cs="Calibri"/>
          <w:noProof/>
          <w:sz w:val="24"/>
          <w:szCs w:val="24"/>
        </w:rPr>
        <w:t xml:space="preserve">Visseaux, </w:t>
      </w:r>
      <w:r w:rsidR="00BB22EE">
        <w:rPr>
          <w:rFonts w:ascii="Calibri" w:hAnsi="Calibri" w:cs="Calibri"/>
          <w:noProof/>
          <w:sz w:val="24"/>
          <w:szCs w:val="24"/>
        </w:rPr>
        <w:t xml:space="preserve">Quentin </w:t>
      </w:r>
      <w:r w:rsidRPr="00B01895">
        <w:rPr>
          <w:rFonts w:ascii="Calibri" w:hAnsi="Calibri" w:cs="Calibri"/>
          <w:noProof/>
          <w:sz w:val="24"/>
          <w:szCs w:val="24"/>
        </w:rPr>
        <w:t xml:space="preserve">Le Hingrat, </w:t>
      </w:r>
      <w:r w:rsidR="00BB22EE">
        <w:rPr>
          <w:rFonts w:ascii="Calibri" w:hAnsi="Calibri" w:cs="Calibri"/>
          <w:noProof/>
          <w:sz w:val="24"/>
          <w:szCs w:val="24"/>
        </w:rPr>
        <w:t xml:space="preserve">Gilles </w:t>
      </w:r>
      <w:r w:rsidRPr="00B01895">
        <w:rPr>
          <w:rFonts w:ascii="Calibri" w:hAnsi="Calibri" w:cs="Calibri"/>
          <w:noProof/>
          <w:sz w:val="24"/>
          <w:szCs w:val="24"/>
        </w:rPr>
        <w:t xml:space="preserve">Collin, </w:t>
      </w:r>
      <w:r w:rsidR="00BB22EE">
        <w:rPr>
          <w:rFonts w:ascii="Calibri" w:hAnsi="Calibri" w:cs="Calibri"/>
          <w:noProof/>
          <w:sz w:val="24"/>
          <w:szCs w:val="24"/>
        </w:rPr>
        <w:t xml:space="preserve">Donia </w:t>
      </w:r>
      <w:r w:rsidRPr="00B01895">
        <w:rPr>
          <w:rFonts w:ascii="Calibri" w:hAnsi="Calibri" w:cs="Calibri"/>
          <w:noProof/>
          <w:sz w:val="24"/>
          <w:szCs w:val="24"/>
        </w:rPr>
        <w:t xml:space="preserve">Bouzid, </w:t>
      </w:r>
      <w:r w:rsidR="00BB22EE">
        <w:rPr>
          <w:rFonts w:ascii="Calibri" w:hAnsi="Calibri" w:cs="Calibri"/>
          <w:noProof/>
          <w:sz w:val="24"/>
          <w:szCs w:val="24"/>
        </w:rPr>
        <w:t xml:space="preserve">Samuel </w:t>
      </w:r>
      <w:r w:rsidRPr="00B01895">
        <w:rPr>
          <w:rFonts w:ascii="Calibri" w:hAnsi="Calibri" w:cs="Calibri"/>
          <w:noProof/>
          <w:sz w:val="24"/>
          <w:szCs w:val="24"/>
        </w:rPr>
        <w:t xml:space="preserve">Lebourgeois, </w:t>
      </w:r>
      <w:r w:rsidR="00BB22EE">
        <w:rPr>
          <w:rFonts w:ascii="Calibri" w:hAnsi="Calibri" w:cs="Calibri"/>
          <w:noProof/>
          <w:sz w:val="24"/>
          <w:szCs w:val="24"/>
        </w:rPr>
        <w:t xml:space="preserve">Diane </w:t>
      </w:r>
      <w:r w:rsidRPr="00B01895">
        <w:rPr>
          <w:rFonts w:ascii="Calibri" w:hAnsi="Calibri" w:cs="Calibri"/>
          <w:noProof/>
          <w:sz w:val="24"/>
          <w:szCs w:val="24"/>
        </w:rPr>
        <w:t xml:space="preserve">Le Pluart, et al. Evaluation of the qiastat-dx respiratory sars-cov-2 panel, the first rapid multiplex PCR commercial assay for sars-cov-2 detection. </w:t>
      </w:r>
      <w:r w:rsidRPr="00B01895">
        <w:rPr>
          <w:rFonts w:ascii="Calibri" w:hAnsi="Calibri" w:cs="Calibri"/>
          <w:i/>
          <w:iCs/>
          <w:noProof/>
          <w:sz w:val="24"/>
          <w:szCs w:val="24"/>
        </w:rPr>
        <w:t>J Clin Microbiol</w:t>
      </w:r>
      <w:r w:rsidRPr="00B01895">
        <w:rPr>
          <w:rFonts w:ascii="Calibri" w:hAnsi="Calibri" w:cs="Calibri"/>
          <w:noProof/>
          <w:sz w:val="24"/>
          <w:szCs w:val="24"/>
        </w:rPr>
        <w:t xml:space="preserve"> 2020;</w:t>
      </w:r>
      <w:r w:rsidRPr="00B01895">
        <w:rPr>
          <w:rFonts w:ascii="Calibri" w:hAnsi="Calibri" w:cs="Calibri"/>
          <w:b/>
          <w:bCs/>
          <w:noProof/>
          <w:sz w:val="24"/>
          <w:szCs w:val="24"/>
        </w:rPr>
        <w:t>58</w:t>
      </w:r>
      <w:r w:rsidRPr="00B01895">
        <w:rPr>
          <w:rFonts w:ascii="Calibri" w:hAnsi="Calibri" w:cs="Calibri"/>
          <w:noProof/>
          <w:sz w:val="24"/>
          <w:szCs w:val="24"/>
        </w:rPr>
        <w:t xml:space="preserve">(8):1–5. </w:t>
      </w:r>
    </w:p>
    <w:p w14:paraId="1CD12EE4" w14:textId="2D347F79"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20</w:t>
      </w:r>
      <w:r w:rsidRPr="00B01895">
        <w:rPr>
          <w:rFonts w:ascii="Calibri" w:hAnsi="Calibri" w:cs="Calibri"/>
          <w:noProof/>
          <w:sz w:val="24"/>
          <w:szCs w:val="24"/>
        </w:rPr>
        <w:tab/>
      </w:r>
      <w:r w:rsidR="00BB22EE">
        <w:rPr>
          <w:rFonts w:ascii="Calibri" w:hAnsi="Calibri" w:cs="Calibri"/>
          <w:noProof/>
          <w:sz w:val="24"/>
          <w:szCs w:val="24"/>
        </w:rPr>
        <w:t xml:space="preserve">Willie </w:t>
      </w:r>
      <w:r w:rsidRPr="00B01895">
        <w:rPr>
          <w:rFonts w:ascii="Calibri" w:hAnsi="Calibri" w:cs="Calibri"/>
          <w:noProof/>
          <w:sz w:val="24"/>
          <w:szCs w:val="24"/>
        </w:rPr>
        <w:t xml:space="preserve">Loeffen, </w:t>
      </w:r>
      <w:r w:rsidR="00BB22EE">
        <w:rPr>
          <w:rFonts w:ascii="Calibri" w:hAnsi="Calibri" w:cs="Calibri"/>
          <w:noProof/>
          <w:sz w:val="24"/>
          <w:szCs w:val="24"/>
        </w:rPr>
        <w:t xml:space="preserve">Sjaak </w:t>
      </w:r>
      <w:r w:rsidRPr="00B01895">
        <w:rPr>
          <w:rFonts w:ascii="Calibri" w:hAnsi="Calibri" w:cs="Calibri"/>
          <w:noProof/>
          <w:sz w:val="24"/>
          <w:szCs w:val="24"/>
        </w:rPr>
        <w:t xml:space="preserve">Quak, </w:t>
      </w:r>
      <w:r w:rsidR="00BB22EE">
        <w:rPr>
          <w:rFonts w:ascii="Calibri" w:hAnsi="Calibri" w:cs="Calibri"/>
          <w:noProof/>
          <w:sz w:val="24"/>
          <w:szCs w:val="24"/>
        </w:rPr>
        <w:t xml:space="preserve">Els </w:t>
      </w:r>
      <w:r w:rsidRPr="00B01895">
        <w:rPr>
          <w:rFonts w:ascii="Calibri" w:hAnsi="Calibri" w:cs="Calibri"/>
          <w:noProof/>
          <w:sz w:val="24"/>
          <w:szCs w:val="24"/>
        </w:rPr>
        <w:t xml:space="preserve">de Boer-Luijtze, </w:t>
      </w:r>
      <w:r w:rsidR="00BB22EE">
        <w:rPr>
          <w:rFonts w:ascii="Calibri" w:hAnsi="Calibri" w:cs="Calibri"/>
          <w:noProof/>
          <w:sz w:val="24"/>
          <w:szCs w:val="24"/>
        </w:rPr>
        <w:t xml:space="preserve">Marcel </w:t>
      </w:r>
      <w:r w:rsidRPr="00B01895">
        <w:rPr>
          <w:rFonts w:ascii="Calibri" w:hAnsi="Calibri" w:cs="Calibri"/>
          <w:noProof/>
          <w:sz w:val="24"/>
          <w:szCs w:val="24"/>
        </w:rPr>
        <w:t xml:space="preserve">Hulst, </w:t>
      </w:r>
      <w:r w:rsidR="00BB22EE">
        <w:rPr>
          <w:rFonts w:ascii="Calibri" w:hAnsi="Calibri" w:cs="Calibri"/>
          <w:noProof/>
          <w:sz w:val="24"/>
          <w:szCs w:val="24"/>
        </w:rPr>
        <w:t xml:space="preserve">Wim </w:t>
      </w:r>
      <w:r w:rsidRPr="00B01895">
        <w:rPr>
          <w:rFonts w:ascii="Calibri" w:hAnsi="Calibri" w:cs="Calibri"/>
          <w:noProof/>
          <w:sz w:val="24"/>
          <w:szCs w:val="24"/>
        </w:rPr>
        <w:t xml:space="preserve">van der Poel Wim, </w:t>
      </w:r>
      <w:r w:rsidR="00BB22EE">
        <w:rPr>
          <w:rFonts w:ascii="Calibri" w:hAnsi="Calibri" w:cs="Calibri"/>
          <w:noProof/>
          <w:sz w:val="24"/>
          <w:szCs w:val="24"/>
        </w:rPr>
        <w:t xml:space="preserve">Ruth </w:t>
      </w:r>
      <w:r w:rsidRPr="00B01895">
        <w:rPr>
          <w:rFonts w:ascii="Calibri" w:hAnsi="Calibri" w:cs="Calibri"/>
          <w:noProof/>
          <w:sz w:val="24"/>
          <w:szCs w:val="24"/>
        </w:rPr>
        <w:t xml:space="preserve">Bouwstra, et al. Development of a virus neutralisation test to detect antibodies against Schmallenberg virus and serological results in suspect and infected herds. </w:t>
      </w:r>
      <w:r w:rsidRPr="00B01895">
        <w:rPr>
          <w:rFonts w:ascii="Calibri" w:hAnsi="Calibri" w:cs="Calibri"/>
          <w:i/>
          <w:iCs/>
          <w:noProof/>
          <w:sz w:val="24"/>
          <w:szCs w:val="24"/>
        </w:rPr>
        <w:t>Acta Vet Scand</w:t>
      </w:r>
      <w:r w:rsidRPr="00B01895">
        <w:rPr>
          <w:rFonts w:ascii="Calibri" w:hAnsi="Calibri" w:cs="Calibri"/>
          <w:noProof/>
          <w:sz w:val="24"/>
          <w:szCs w:val="24"/>
        </w:rPr>
        <w:t xml:space="preserve"> 2012;</w:t>
      </w:r>
      <w:r w:rsidRPr="00B01895">
        <w:rPr>
          <w:rFonts w:ascii="Calibri" w:hAnsi="Calibri" w:cs="Calibri"/>
          <w:b/>
          <w:bCs/>
          <w:noProof/>
          <w:sz w:val="24"/>
          <w:szCs w:val="24"/>
        </w:rPr>
        <w:t>54</w:t>
      </w:r>
      <w:r w:rsidRPr="00B01895">
        <w:rPr>
          <w:rFonts w:ascii="Calibri" w:hAnsi="Calibri" w:cs="Calibri"/>
          <w:noProof/>
          <w:sz w:val="24"/>
          <w:szCs w:val="24"/>
        </w:rPr>
        <w:t>:44..</w:t>
      </w:r>
    </w:p>
    <w:p w14:paraId="2000B008" w14:textId="18F9C494"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21</w:t>
      </w:r>
      <w:r w:rsidRPr="00B01895">
        <w:rPr>
          <w:rFonts w:ascii="Calibri" w:hAnsi="Calibri" w:cs="Calibri"/>
          <w:noProof/>
          <w:sz w:val="24"/>
          <w:szCs w:val="24"/>
        </w:rPr>
        <w:tab/>
      </w:r>
      <w:r w:rsidR="00BB22EE">
        <w:rPr>
          <w:rFonts w:ascii="Calibri" w:hAnsi="Calibri" w:cs="Calibri"/>
          <w:noProof/>
          <w:sz w:val="24"/>
          <w:szCs w:val="24"/>
        </w:rPr>
        <w:t xml:space="preserve">Leona S </w:t>
      </w:r>
      <w:r w:rsidRPr="00B01895">
        <w:rPr>
          <w:rFonts w:ascii="Calibri" w:hAnsi="Calibri" w:cs="Calibri"/>
          <w:noProof/>
          <w:sz w:val="24"/>
          <w:szCs w:val="24"/>
        </w:rPr>
        <w:t xml:space="preserve">Aiken, </w:t>
      </w:r>
      <w:r w:rsidR="00BB22EE">
        <w:rPr>
          <w:rFonts w:ascii="Calibri" w:hAnsi="Calibri" w:cs="Calibri"/>
          <w:noProof/>
          <w:sz w:val="24"/>
          <w:szCs w:val="24"/>
        </w:rPr>
        <w:t>Stephen G</w:t>
      </w:r>
      <w:r w:rsidRPr="00B01895">
        <w:rPr>
          <w:rFonts w:ascii="Calibri" w:hAnsi="Calibri" w:cs="Calibri"/>
          <w:noProof/>
          <w:sz w:val="24"/>
          <w:szCs w:val="24"/>
        </w:rPr>
        <w:t xml:space="preserve"> West,</w:t>
      </w:r>
      <w:r w:rsidR="00BB22EE">
        <w:rPr>
          <w:rFonts w:ascii="Calibri" w:hAnsi="Calibri" w:cs="Calibri"/>
          <w:noProof/>
          <w:sz w:val="24"/>
          <w:szCs w:val="24"/>
        </w:rPr>
        <w:t xml:space="preserve"> Raymond R</w:t>
      </w:r>
      <w:r w:rsidRPr="00B01895">
        <w:rPr>
          <w:rFonts w:ascii="Calibri" w:hAnsi="Calibri" w:cs="Calibri"/>
          <w:noProof/>
          <w:sz w:val="24"/>
          <w:szCs w:val="24"/>
        </w:rPr>
        <w:t xml:space="preserve"> Reno. </w:t>
      </w:r>
      <w:r w:rsidRPr="00B01895">
        <w:rPr>
          <w:rFonts w:ascii="Calibri" w:hAnsi="Calibri" w:cs="Calibri"/>
          <w:i/>
          <w:iCs/>
          <w:noProof/>
          <w:sz w:val="24"/>
          <w:szCs w:val="24"/>
        </w:rPr>
        <w:t>Multiple regression : testing and interpreting interactions</w:t>
      </w:r>
      <w:r w:rsidRPr="00B01895">
        <w:rPr>
          <w:rFonts w:ascii="Calibri" w:hAnsi="Calibri" w:cs="Calibri"/>
          <w:noProof/>
          <w:sz w:val="24"/>
          <w:szCs w:val="24"/>
        </w:rPr>
        <w:t>. Newbury Park (Calif.): Sage publications; 1991.</w:t>
      </w:r>
    </w:p>
    <w:p w14:paraId="556DD628" w14:textId="46DA41C0"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22</w:t>
      </w:r>
      <w:r w:rsidRPr="00B01895">
        <w:rPr>
          <w:rFonts w:ascii="Calibri" w:hAnsi="Calibri" w:cs="Calibri"/>
          <w:noProof/>
          <w:sz w:val="24"/>
          <w:szCs w:val="24"/>
        </w:rPr>
        <w:tab/>
      </w:r>
      <w:r w:rsidR="00BB22EE">
        <w:rPr>
          <w:rFonts w:ascii="Calibri" w:hAnsi="Calibri" w:cs="Calibri"/>
          <w:noProof/>
          <w:sz w:val="24"/>
          <w:szCs w:val="24"/>
        </w:rPr>
        <w:t xml:space="preserve">Muge </w:t>
      </w:r>
      <w:r w:rsidRPr="00B01895">
        <w:rPr>
          <w:rFonts w:ascii="Calibri" w:hAnsi="Calibri" w:cs="Calibri"/>
          <w:noProof/>
          <w:sz w:val="24"/>
          <w:szCs w:val="24"/>
        </w:rPr>
        <w:t xml:space="preserve">Cevik, </w:t>
      </w:r>
      <w:r w:rsidR="00BB22EE">
        <w:rPr>
          <w:rFonts w:ascii="Calibri" w:hAnsi="Calibri" w:cs="Calibri"/>
          <w:noProof/>
          <w:sz w:val="24"/>
          <w:szCs w:val="24"/>
        </w:rPr>
        <w:t xml:space="preserve">Krutika </w:t>
      </w:r>
      <w:r w:rsidRPr="00B01895">
        <w:rPr>
          <w:rFonts w:ascii="Calibri" w:hAnsi="Calibri" w:cs="Calibri"/>
          <w:noProof/>
          <w:sz w:val="24"/>
          <w:szCs w:val="24"/>
        </w:rPr>
        <w:t xml:space="preserve">Kuppalli, </w:t>
      </w:r>
      <w:r w:rsidR="00BB22EE">
        <w:rPr>
          <w:rFonts w:ascii="Calibri" w:hAnsi="Calibri" w:cs="Calibri"/>
          <w:noProof/>
          <w:sz w:val="24"/>
          <w:szCs w:val="24"/>
        </w:rPr>
        <w:t xml:space="preserve">Jason </w:t>
      </w:r>
      <w:r w:rsidRPr="00B01895">
        <w:rPr>
          <w:rFonts w:ascii="Calibri" w:hAnsi="Calibri" w:cs="Calibri"/>
          <w:noProof/>
          <w:sz w:val="24"/>
          <w:szCs w:val="24"/>
        </w:rPr>
        <w:t xml:space="preserve">Kindrachuk, </w:t>
      </w:r>
      <w:r w:rsidR="00BB22EE">
        <w:rPr>
          <w:rFonts w:ascii="Calibri" w:hAnsi="Calibri" w:cs="Calibri"/>
          <w:noProof/>
          <w:sz w:val="24"/>
          <w:szCs w:val="24"/>
        </w:rPr>
        <w:t xml:space="preserve">Malik </w:t>
      </w:r>
      <w:r w:rsidRPr="00B01895">
        <w:rPr>
          <w:rFonts w:ascii="Calibri" w:hAnsi="Calibri" w:cs="Calibri"/>
          <w:noProof/>
          <w:sz w:val="24"/>
          <w:szCs w:val="24"/>
        </w:rPr>
        <w:t xml:space="preserve">Peiris. Virology, transmission, </w:t>
      </w:r>
      <w:r w:rsidRPr="00B01895">
        <w:rPr>
          <w:rFonts w:ascii="Calibri" w:hAnsi="Calibri" w:cs="Calibri"/>
          <w:noProof/>
          <w:sz w:val="24"/>
          <w:szCs w:val="24"/>
        </w:rPr>
        <w:lastRenderedPageBreak/>
        <w:t xml:space="preserve">and pathogenesis of SARS-CoV-2. </w:t>
      </w:r>
      <w:r w:rsidRPr="00B01895">
        <w:rPr>
          <w:rFonts w:ascii="Calibri" w:hAnsi="Calibri" w:cs="Calibri"/>
          <w:i/>
          <w:iCs/>
          <w:noProof/>
          <w:sz w:val="24"/>
          <w:szCs w:val="24"/>
        </w:rPr>
        <w:t>BMJ</w:t>
      </w:r>
      <w:r w:rsidRPr="00B01895">
        <w:rPr>
          <w:rFonts w:ascii="Calibri" w:hAnsi="Calibri" w:cs="Calibri"/>
          <w:noProof/>
          <w:sz w:val="24"/>
          <w:szCs w:val="24"/>
        </w:rPr>
        <w:t xml:space="preserve"> 2020:m3862. </w:t>
      </w:r>
    </w:p>
    <w:p w14:paraId="71BD9FA9" w14:textId="26858EF2"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23</w:t>
      </w:r>
      <w:r w:rsidRPr="00B01895">
        <w:rPr>
          <w:rFonts w:ascii="Calibri" w:hAnsi="Calibri" w:cs="Calibri"/>
          <w:noProof/>
          <w:sz w:val="24"/>
          <w:szCs w:val="24"/>
        </w:rPr>
        <w:tab/>
      </w:r>
      <w:r w:rsidR="00BB22EE">
        <w:rPr>
          <w:rFonts w:ascii="Calibri" w:hAnsi="Calibri" w:cs="Calibri"/>
          <w:noProof/>
          <w:sz w:val="24"/>
          <w:szCs w:val="24"/>
        </w:rPr>
        <w:t xml:space="preserve">Stephen R </w:t>
      </w:r>
      <w:r w:rsidRPr="00B01895">
        <w:rPr>
          <w:rFonts w:ascii="Calibri" w:hAnsi="Calibri" w:cs="Calibri"/>
          <w:noProof/>
          <w:sz w:val="24"/>
          <w:szCs w:val="24"/>
        </w:rPr>
        <w:t xml:space="preserve">Knight, </w:t>
      </w:r>
      <w:r w:rsidR="00BB22EE">
        <w:rPr>
          <w:rFonts w:ascii="Calibri" w:hAnsi="Calibri" w:cs="Calibri"/>
          <w:noProof/>
          <w:sz w:val="24"/>
          <w:szCs w:val="24"/>
        </w:rPr>
        <w:t xml:space="preserve">Antonia </w:t>
      </w:r>
      <w:r w:rsidRPr="00B01895">
        <w:rPr>
          <w:rFonts w:ascii="Calibri" w:hAnsi="Calibri" w:cs="Calibri"/>
          <w:noProof/>
          <w:sz w:val="24"/>
          <w:szCs w:val="24"/>
        </w:rPr>
        <w:t xml:space="preserve">Ho, </w:t>
      </w:r>
      <w:r w:rsidR="00BB22EE">
        <w:rPr>
          <w:rFonts w:ascii="Calibri" w:hAnsi="Calibri" w:cs="Calibri"/>
          <w:noProof/>
          <w:sz w:val="24"/>
          <w:szCs w:val="24"/>
        </w:rPr>
        <w:t xml:space="preserve">Riinu </w:t>
      </w:r>
      <w:r w:rsidRPr="00B01895">
        <w:rPr>
          <w:rFonts w:ascii="Calibri" w:hAnsi="Calibri" w:cs="Calibri"/>
          <w:noProof/>
          <w:sz w:val="24"/>
          <w:szCs w:val="24"/>
        </w:rPr>
        <w:t xml:space="preserve">Pius, </w:t>
      </w:r>
      <w:r w:rsidR="00BE5459">
        <w:rPr>
          <w:rFonts w:ascii="Calibri" w:hAnsi="Calibri" w:cs="Calibri"/>
          <w:noProof/>
          <w:sz w:val="24"/>
          <w:szCs w:val="24"/>
        </w:rPr>
        <w:t xml:space="preserve">Iain </w:t>
      </w:r>
      <w:r w:rsidRPr="00B01895">
        <w:rPr>
          <w:rFonts w:ascii="Calibri" w:hAnsi="Calibri" w:cs="Calibri"/>
          <w:noProof/>
          <w:sz w:val="24"/>
          <w:szCs w:val="24"/>
        </w:rPr>
        <w:t xml:space="preserve">Buchan, </w:t>
      </w:r>
      <w:r w:rsidR="00BE5459">
        <w:rPr>
          <w:rFonts w:ascii="Calibri" w:hAnsi="Calibri" w:cs="Calibri"/>
          <w:noProof/>
          <w:sz w:val="24"/>
          <w:szCs w:val="24"/>
        </w:rPr>
        <w:t xml:space="preserve">Gail </w:t>
      </w:r>
      <w:r w:rsidRPr="00B01895">
        <w:rPr>
          <w:rFonts w:ascii="Calibri" w:hAnsi="Calibri" w:cs="Calibri"/>
          <w:noProof/>
          <w:sz w:val="24"/>
          <w:szCs w:val="24"/>
        </w:rPr>
        <w:t xml:space="preserve">Carson, </w:t>
      </w:r>
      <w:r w:rsidR="00BE5459">
        <w:rPr>
          <w:rFonts w:ascii="Calibri" w:hAnsi="Calibri" w:cs="Calibri"/>
          <w:noProof/>
          <w:sz w:val="24"/>
          <w:szCs w:val="24"/>
        </w:rPr>
        <w:t xml:space="preserve">Thomas M </w:t>
      </w:r>
      <w:r w:rsidRPr="00B01895">
        <w:rPr>
          <w:rFonts w:ascii="Calibri" w:hAnsi="Calibri" w:cs="Calibri"/>
          <w:noProof/>
          <w:sz w:val="24"/>
          <w:szCs w:val="24"/>
        </w:rPr>
        <w:t xml:space="preserve">Drake, et al. Risk stratification of patients admitted to hospital with covid-19 using the ISARIC WHO Clinical Characterisation Protocol: development and validation of the 4C Mortality Score. </w:t>
      </w:r>
      <w:r w:rsidRPr="00B01895">
        <w:rPr>
          <w:rFonts w:ascii="Calibri" w:hAnsi="Calibri" w:cs="Calibri"/>
          <w:i/>
          <w:iCs/>
          <w:noProof/>
          <w:sz w:val="24"/>
          <w:szCs w:val="24"/>
        </w:rPr>
        <w:t>BMJ</w:t>
      </w:r>
      <w:r w:rsidRPr="00B01895">
        <w:rPr>
          <w:rFonts w:ascii="Calibri" w:hAnsi="Calibri" w:cs="Calibri"/>
          <w:noProof/>
          <w:sz w:val="24"/>
          <w:szCs w:val="24"/>
        </w:rPr>
        <w:t xml:space="preserve"> 2020:m3339. </w:t>
      </w:r>
    </w:p>
    <w:p w14:paraId="12A2FC26" w14:textId="697E3673"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24</w:t>
      </w:r>
      <w:r w:rsidRPr="00B01895">
        <w:rPr>
          <w:rFonts w:ascii="Calibri" w:hAnsi="Calibri" w:cs="Calibri"/>
          <w:noProof/>
          <w:sz w:val="24"/>
          <w:szCs w:val="24"/>
        </w:rPr>
        <w:tab/>
      </w:r>
      <w:r w:rsidR="00BE5459">
        <w:rPr>
          <w:rFonts w:ascii="Calibri" w:hAnsi="Calibri" w:cs="Calibri"/>
          <w:noProof/>
          <w:sz w:val="24"/>
          <w:szCs w:val="24"/>
        </w:rPr>
        <w:t xml:space="preserve">Jared </w:t>
      </w:r>
      <w:r w:rsidRPr="00B01895">
        <w:rPr>
          <w:rFonts w:ascii="Calibri" w:hAnsi="Calibri" w:cs="Calibri"/>
          <w:noProof/>
          <w:sz w:val="24"/>
          <w:szCs w:val="24"/>
        </w:rPr>
        <w:t xml:space="preserve">Bullard, </w:t>
      </w:r>
      <w:r w:rsidR="00BE5459">
        <w:rPr>
          <w:rFonts w:ascii="Calibri" w:hAnsi="Calibri" w:cs="Calibri"/>
          <w:noProof/>
          <w:sz w:val="24"/>
          <w:szCs w:val="24"/>
        </w:rPr>
        <w:t xml:space="preserve">Kerry </w:t>
      </w:r>
      <w:r w:rsidRPr="00B01895">
        <w:rPr>
          <w:rFonts w:ascii="Calibri" w:hAnsi="Calibri" w:cs="Calibri"/>
          <w:noProof/>
          <w:sz w:val="24"/>
          <w:szCs w:val="24"/>
        </w:rPr>
        <w:t xml:space="preserve">Dust, </w:t>
      </w:r>
      <w:r w:rsidR="00BE5459">
        <w:rPr>
          <w:rFonts w:ascii="Calibri" w:hAnsi="Calibri" w:cs="Calibri"/>
          <w:noProof/>
          <w:sz w:val="24"/>
          <w:szCs w:val="24"/>
        </w:rPr>
        <w:t xml:space="preserve">Duane </w:t>
      </w:r>
      <w:r w:rsidRPr="00B01895">
        <w:rPr>
          <w:rFonts w:ascii="Calibri" w:hAnsi="Calibri" w:cs="Calibri"/>
          <w:noProof/>
          <w:sz w:val="24"/>
          <w:szCs w:val="24"/>
        </w:rPr>
        <w:t xml:space="preserve">Funk, </w:t>
      </w:r>
      <w:r w:rsidR="00BE5459">
        <w:rPr>
          <w:rFonts w:ascii="Calibri" w:hAnsi="Calibri" w:cs="Calibri"/>
          <w:noProof/>
          <w:sz w:val="24"/>
          <w:szCs w:val="24"/>
        </w:rPr>
        <w:t xml:space="preserve">James E </w:t>
      </w:r>
      <w:r w:rsidRPr="00B01895">
        <w:rPr>
          <w:rFonts w:ascii="Calibri" w:hAnsi="Calibri" w:cs="Calibri"/>
          <w:noProof/>
          <w:sz w:val="24"/>
          <w:szCs w:val="24"/>
        </w:rPr>
        <w:t xml:space="preserve">Strong, </w:t>
      </w:r>
      <w:r w:rsidR="00BE5459">
        <w:rPr>
          <w:rFonts w:ascii="Calibri" w:hAnsi="Calibri" w:cs="Calibri"/>
          <w:noProof/>
          <w:sz w:val="24"/>
          <w:szCs w:val="24"/>
        </w:rPr>
        <w:t xml:space="preserve">David </w:t>
      </w:r>
      <w:r w:rsidRPr="00B01895">
        <w:rPr>
          <w:rFonts w:ascii="Calibri" w:hAnsi="Calibri" w:cs="Calibri"/>
          <w:noProof/>
          <w:sz w:val="24"/>
          <w:szCs w:val="24"/>
        </w:rPr>
        <w:t xml:space="preserve">Alexander, </w:t>
      </w:r>
      <w:r w:rsidR="00BE5459">
        <w:rPr>
          <w:rFonts w:ascii="Calibri" w:hAnsi="Calibri" w:cs="Calibri"/>
          <w:noProof/>
          <w:sz w:val="24"/>
          <w:szCs w:val="24"/>
        </w:rPr>
        <w:t xml:space="preserve">Lauren </w:t>
      </w:r>
      <w:r w:rsidRPr="00B01895">
        <w:rPr>
          <w:rFonts w:ascii="Calibri" w:hAnsi="Calibri" w:cs="Calibri"/>
          <w:noProof/>
          <w:sz w:val="24"/>
          <w:szCs w:val="24"/>
        </w:rPr>
        <w:t xml:space="preserve">Garnett, et al. Predicting Infectious Severe Acute Respiratory Syndrome Coronavirus 2 From Diagnostic Samples. </w:t>
      </w:r>
      <w:r w:rsidRPr="00B01895">
        <w:rPr>
          <w:rFonts w:ascii="Calibri" w:hAnsi="Calibri" w:cs="Calibri"/>
          <w:i/>
          <w:iCs/>
          <w:noProof/>
          <w:sz w:val="24"/>
          <w:szCs w:val="24"/>
        </w:rPr>
        <w:t>Clin Infect Dis</w:t>
      </w:r>
      <w:r w:rsidRPr="00B01895">
        <w:rPr>
          <w:rFonts w:ascii="Calibri" w:hAnsi="Calibri" w:cs="Calibri"/>
          <w:noProof/>
          <w:sz w:val="24"/>
          <w:szCs w:val="24"/>
        </w:rPr>
        <w:t xml:space="preserve"> 2020;</w:t>
      </w:r>
      <w:r w:rsidRPr="00B01895">
        <w:rPr>
          <w:rFonts w:ascii="Calibri" w:hAnsi="Calibri" w:cs="Calibri"/>
          <w:b/>
          <w:bCs/>
          <w:noProof/>
          <w:sz w:val="24"/>
          <w:szCs w:val="24"/>
        </w:rPr>
        <w:t>71</w:t>
      </w:r>
      <w:r w:rsidRPr="00B01895">
        <w:rPr>
          <w:rFonts w:ascii="Calibri" w:hAnsi="Calibri" w:cs="Calibri"/>
          <w:noProof/>
          <w:sz w:val="24"/>
          <w:szCs w:val="24"/>
        </w:rPr>
        <w:t xml:space="preserve">(10):2663–6. Doi: </w:t>
      </w:r>
    </w:p>
    <w:p w14:paraId="11B00B0F" w14:textId="16A2AD6F"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25</w:t>
      </w:r>
      <w:r w:rsidRPr="00B01895">
        <w:rPr>
          <w:rFonts w:ascii="Calibri" w:hAnsi="Calibri" w:cs="Calibri"/>
          <w:noProof/>
          <w:sz w:val="24"/>
          <w:szCs w:val="24"/>
        </w:rPr>
        <w:tab/>
        <w:t>Kieran A</w:t>
      </w:r>
      <w:r w:rsidR="00BE5459">
        <w:rPr>
          <w:rFonts w:ascii="Calibri" w:hAnsi="Calibri" w:cs="Calibri"/>
          <w:noProof/>
          <w:sz w:val="24"/>
          <w:szCs w:val="24"/>
        </w:rPr>
        <w:t xml:space="preserve"> Walsh</w:t>
      </w:r>
      <w:r w:rsidRPr="00B01895">
        <w:rPr>
          <w:rFonts w:ascii="Calibri" w:hAnsi="Calibri" w:cs="Calibri"/>
          <w:noProof/>
          <w:sz w:val="24"/>
          <w:szCs w:val="24"/>
        </w:rPr>
        <w:t>, Karen</w:t>
      </w:r>
      <w:r w:rsidR="00BE5459">
        <w:rPr>
          <w:rFonts w:ascii="Calibri" w:hAnsi="Calibri" w:cs="Calibri"/>
          <w:noProof/>
          <w:sz w:val="24"/>
          <w:szCs w:val="24"/>
        </w:rPr>
        <w:t xml:space="preserve"> Jordan</w:t>
      </w:r>
      <w:r w:rsidRPr="00B01895">
        <w:rPr>
          <w:rFonts w:ascii="Calibri" w:hAnsi="Calibri" w:cs="Calibri"/>
          <w:noProof/>
          <w:sz w:val="24"/>
          <w:szCs w:val="24"/>
        </w:rPr>
        <w:t>, Barbara</w:t>
      </w:r>
      <w:r w:rsidR="00BE5459">
        <w:rPr>
          <w:rFonts w:ascii="Calibri" w:hAnsi="Calibri" w:cs="Calibri"/>
          <w:noProof/>
          <w:sz w:val="24"/>
          <w:szCs w:val="24"/>
        </w:rPr>
        <w:t xml:space="preserve"> Clyne</w:t>
      </w:r>
      <w:r w:rsidRPr="00B01895">
        <w:rPr>
          <w:rFonts w:ascii="Calibri" w:hAnsi="Calibri" w:cs="Calibri"/>
          <w:noProof/>
          <w:sz w:val="24"/>
          <w:szCs w:val="24"/>
        </w:rPr>
        <w:t>, Daniela</w:t>
      </w:r>
      <w:r w:rsidR="00BE5459">
        <w:rPr>
          <w:rFonts w:ascii="Calibri" w:hAnsi="Calibri" w:cs="Calibri"/>
          <w:noProof/>
          <w:sz w:val="24"/>
          <w:szCs w:val="24"/>
        </w:rPr>
        <w:t xml:space="preserve"> Rohde</w:t>
      </w:r>
      <w:r w:rsidRPr="00B01895">
        <w:rPr>
          <w:rFonts w:ascii="Calibri" w:hAnsi="Calibri" w:cs="Calibri"/>
          <w:noProof/>
          <w:sz w:val="24"/>
          <w:szCs w:val="24"/>
        </w:rPr>
        <w:t>, Linda</w:t>
      </w:r>
      <w:r w:rsidR="00BE5459">
        <w:rPr>
          <w:rFonts w:ascii="Calibri" w:hAnsi="Calibri" w:cs="Calibri"/>
          <w:noProof/>
          <w:sz w:val="24"/>
          <w:szCs w:val="24"/>
        </w:rPr>
        <w:t xml:space="preserve"> Drummond</w:t>
      </w:r>
      <w:r w:rsidRPr="00B01895">
        <w:rPr>
          <w:rFonts w:ascii="Calibri" w:hAnsi="Calibri" w:cs="Calibri"/>
          <w:noProof/>
          <w:sz w:val="24"/>
          <w:szCs w:val="24"/>
        </w:rPr>
        <w:t xml:space="preserve">, </w:t>
      </w:r>
      <w:r w:rsidR="00BE5459">
        <w:rPr>
          <w:rFonts w:ascii="Calibri" w:hAnsi="Calibri" w:cs="Calibri"/>
          <w:noProof/>
          <w:sz w:val="24"/>
          <w:szCs w:val="24"/>
        </w:rPr>
        <w:t xml:space="preserve">Paula </w:t>
      </w:r>
      <w:r w:rsidRPr="00B01895">
        <w:rPr>
          <w:rFonts w:ascii="Calibri" w:hAnsi="Calibri" w:cs="Calibri"/>
          <w:noProof/>
          <w:sz w:val="24"/>
          <w:szCs w:val="24"/>
        </w:rPr>
        <w:t xml:space="preserve">Byrne, et al. SARS-CoV-2 detection, viral load and infectivity over the course of an infection. </w:t>
      </w:r>
      <w:r w:rsidRPr="00B01895">
        <w:rPr>
          <w:rFonts w:ascii="Calibri" w:hAnsi="Calibri" w:cs="Calibri"/>
          <w:i/>
          <w:iCs/>
          <w:noProof/>
          <w:sz w:val="24"/>
          <w:szCs w:val="24"/>
        </w:rPr>
        <w:t>J Infect</w:t>
      </w:r>
      <w:r w:rsidRPr="00B01895">
        <w:rPr>
          <w:rFonts w:ascii="Calibri" w:hAnsi="Calibri" w:cs="Calibri"/>
          <w:noProof/>
          <w:sz w:val="24"/>
          <w:szCs w:val="24"/>
        </w:rPr>
        <w:t xml:space="preserve"> 2020;</w:t>
      </w:r>
      <w:r w:rsidRPr="00B01895">
        <w:rPr>
          <w:rFonts w:ascii="Calibri" w:hAnsi="Calibri" w:cs="Calibri"/>
          <w:b/>
          <w:bCs/>
          <w:noProof/>
          <w:sz w:val="24"/>
          <w:szCs w:val="24"/>
        </w:rPr>
        <w:t>81</w:t>
      </w:r>
      <w:r w:rsidRPr="00B01895">
        <w:rPr>
          <w:rFonts w:ascii="Calibri" w:hAnsi="Calibri" w:cs="Calibri"/>
          <w:noProof/>
          <w:sz w:val="24"/>
          <w:szCs w:val="24"/>
        </w:rPr>
        <w:t>(3):357–71.</w:t>
      </w:r>
    </w:p>
    <w:p w14:paraId="29A4FC57" w14:textId="3EE223E8"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26</w:t>
      </w:r>
      <w:r w:rsidRPr="00B01895">
        <w:rPr>
          <w:rFonts w:ascii="Calibri" w:hAnsi="Calibri" w:cs="Calibri"/>
          <w:noProof/>
          <w:sz w:val="24"/>
          <w:szCs w:val="24"/>
        </w:rPr>
        <w:tab/>
        <w:t>Bernard</w:t>
      </w:r>
      <w:r w:rsidR="00BE5459">
        <w:rPr>
          <w:rFonts w:ascii="Calibri" w:hAnsi="Calibri" w:cs="Calibri"/>
          <w:noProof/>
          <w:sz w:val="24"/>
          <w:szCs w:val="24"/>
        </w:rPr>
        <w:t xml:space="preserve"> La Scola</w:t>
      </w:r>
      <w:r w:rsidRPr="00B01895">
        <w:rPr>
          <w:rFonts w:ascii="Calibri" w:hAnsi="Calibri" w:cs="Calibri"/>
          <w:noProof/>
          <w:sz w:val="24"/>
          <w:szCs w:val="24"/>
        </w:rPr>
        <w:t>, Marion</w:t>
      </w:r>
      <w:r w:rsidR="00BE5459">
        <w:rPr>
          <w:rFonts w:ascii="Calibri" w:hAnsi="Calibri" w:cs="Calibri"/>
          <w:noProof/>
          <w:sz w:val="24"/>
          <w:szCs w:val="24"/>
        </w:rPr>
        <w:t xml:space="preserve"> </w:t>
      </w:r>
      <w:r w:rsidR="00BE5459" w:rsidRPr="00B01895">
        <w:rPr>
          <w:rFonts w:ascii="Calibri" w:hAnsi="Calibri" w:cs="Calibri"/>
          <w:noProof/>
          <w:sz w:val="24"/>
          <w:szCs w:val="24"/>
        </w:rPr>
        <w:t>Le Bideau</w:t>
      </w:r>
      <w:r w:rsidRPr="00B01895">
        <w:rPr>
          <w:rFonts w:ascii="Calibri" w:hAnsi="Calibri" w:cs="Calibri"/>
          <w:noProof/>
          <w:sz w:val="24"/>
          <w:szCs w:val="24"/>
        </w:rPr>
        <w:t>, Julien</w:t>
      </w:r>
      <w:r w:rsidR="00BE5459">
        <w:rPr>
          <w:rFonts w:ascii="Calibri" w:hAnsi="Calibri" w:cs="Calibri"/>
          <w:noProof/>
          <w:sz w:val="24"/>
          <w:szCs w:val="24"/>
        </w:rPr>
        <w:t xml:space="preserve"> Andreani</w:t>
      </w:r>
      <w:r w:rsidRPr="00B01895">
        <w:rPr>
          <w:rFonts w:ascii="Calibri" w:hAnsi="Calibri" w:cs="Calibri"/>
          <w:noProof/>
          <w:sz w:val="24"/>
          <w:szCs w:val="24"/>
        </w:rPr>
        <w:t>, Van Thuan</w:t>
      </w:r>
      <w:r w:rsidR="00BE5459">
        <w:rPr>
          <w:rFonts w:ascii="Calibri" w:hAnsi="Calibri" w:cs="Calibri"/>
          <w:noProof/>
          <w:sz w:val="24"/>
          <w:szCs w:val="24"/>
        </w:rPr>
        <w:t xml:space="preserve"> </w:t>
      </w:r>
      <w:r w:rsidR="00BE5459" w:rsidRPr="00B01895">
        <w:rPr>
          <w:rFonts w:ascii="Calibri" w:hAnsi="Calibri" w:cs="Calibri"/>
          <w:noProof/>
          <w:sz w:val="24"/>
          <w:szCs w:val="24"/>
        </w:rPr>
        <w:t>Hoang</w:t>
      </w:r>
      <w:r w:rsidRPr="00B01895">
        <w:rPr>
          <w:rFonts w:ascii="Calibri" w:hAnsi="Calibri" w:cs="Calibri"/>
          <w:noProof/>
          <w:sz w:val="24"/>
          <w:szCs w:val="24"/>
        </w:rPr>
        <w:t xml:space="preserve">, </w:t>
      </w:r>
      <w:r w:rsidR="00BE5459">
        <w:rPr>
          <w:rFonts w:ascii="Calibri" w:hAnsi="Calibri" w:cs="Calibri"/>
          <w:noProof/>
          <w:sz w:val="24"/>
          <w:szCs w:val="24"/>
        </w:rPr>
        <w:t xml:space="preserve">Clio </w:t>
      </w:r>
      <w:r w:rsidRPr="00B01895">
        <w:rPr>
          <w:rFonts w:ascii="Calibri" w:hAnsi="Calibri" w:cs="Calibri"/>
          <w:noProof/>
          <w:sz w:val="24"/>
          <w:szCs w:val="24"/>
        </w:rPr>
        <w:t xml:space="preserve">Grimaldier, </w:t>
      </w:r>
      <w:r w:rsidR="00BE5459">
        <w:rPr>
          <w:rFonts w:ascii="Calibri" w:hAnsi="Calibri" w:cs="Calibri"/>
          <w:noProof/>
          <w:sz w:val="24"/>
          <w:szCs w:val="24"/>
        </w:rPr>
        <w:t xml:space="preserve">Philippe </w:t>
      </w:r>
      <w:r w:rsidRPr="00B01895">
        <w:rPr>
          <w:rFonts w:ascii="Calibri" w:hAnsi="Calibri" w:cs="Calibri"/>
          <w:noProof/>
          <w:sz w:val="24"/>
          <w:szCs w:val="24"/>
        </w:rPr>
        <w:t xml:space="preserve">Colson, et al. Viral RNA load as determined by cell culture as a management tool for discharge of SARS-CoV-2 patients from infectious disease wards. </w:t>
      </w:r>
      <w:r w:rsidRPr="00B01895">
        <w:rPr>
          <w:rFonts w:ascii="Calibri" w:hAnsi="Calibri" w:cs="Calibri"/>
          <w:i/>
          <w:iCs/>
          <w:noProof/>
          <w:sz w:val="24"/>
          <w:szCs w:val="24"/>
        </w:rPr>
        <w:t>Eur J Clin Microbiol Infect Dis</w:t>
      </w:r>
      <w:r w:rsidRPr="00B01895">
        <w:rPr>
          <w:rFonts w:ascii="Calibri" w:hAnsi="Calibri" w:cs="Calibri"/>
          <w:noProof/>
          <w:sz w:val="24"/>
          <w:szCs w:val="24"/>
        </w:rPr>
        <w:t xml:space="preserve"> 2020;</w:t>
      </w:r>
      <w:r w:rsidRPr="00B01895">
        <w:rPr>
          <w:rFonts w:ascii="Calibri" w:hAnsi="Calibri" w:cs="Calibri"/>
          <w:b/>
          <w:bCs/>
          <w:noProof/>
          <w:sz w:val="24"/>
          <w:szCs w:val="24"/>
        </w:rPr>
        <w:t>39</w:t>
      </w:r>
      <w:r w:rsidRPr="00B01895">
        <w:rPr>
          <w:rFonts w:ascii="Calibri" w:hAnsi="Calibri" w:cs="Calibri"/>
          <w:noProof/>
          <w:sz w:val="24"/>
          <w:szCs w:val="24"/>
        </w:rPr>
        <w:t xml:space="preserve">(6):1059–61. </w:t>
      </w:r>
    </w:p>
    <w:p w14:paraId="397170CB" w14:textId="3965F7E2"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szCs w:val="24"/>
        </w:rPr>
      </w:pPr>
      <w:r w:rsidRPr="00B01895">
        <w:rPr>
          <w:rFonts w:ascii="Calibri" w:hAnsi="Calibri" w:cs="Calibri"/>
          <w:noProof/>
          <w:sz w:val="24"/>
          <w:szCs w:val="24"/>
        </w:rPr>
        <w:t>27</w:t>
      </w:r>
      <w:r w:rsidRPr="00B01895">
        <w:rPr>
          <w:rFonts w:ascii="Calibri" w:hAnsi="Calibri" w:cs="Calibri"/>
          <w:noProof/>
          <w:sz w:val="24"/>
          <w:szCs w:val="24"/>
        </w:rPr>
        <w:tab/>
        <w:t>Andrew</w:t>
      </w:r>
      <w:r w:rsidR="00BE5459">
        <w:rPr>
          <w:rFonts w:ascii="Calibri" w:hAnsi="Calibri" w:cs="Calibri"/>
          <w:noProof/>
          <w:sz w:val="24"/>
          <w:szCs w:val="24"/>
        </w:rPr>
        <w:t xml:space="preserve"> Bryan</w:t>
      </w:r>
      <w:r w:rsidRPr="00B01895">
        <w:rPr>
          <w:rFonts w:ascii="Calibri" w:hAnsi="Calibri" w:cs="Calibri"/>
          <w:noProof/>
          <w:sz w:val="24"/>
          <w:szCs w:val="24"/>
        </w:rPr>
        <w:t>, Susan L</w:t>
      </w:r>
      <w:r w:rsidR="00BE5459">
        <w:rPr>
          <w:rFonts w:ascii="Calibri" w:hAnsi="Calibri" w:cs="Calibri"/>
          <w:noProof/>
          <w:sz w:val="24"/>
          <w:szCs w:val="24"/>
        </w:rPr>
        <w:t xml:space="preserve"> Fink</w:t>
      </w:r>
      <w:r w:rsidRPr="00B01895">
        <w:rPr>
          <w:rFonts w:ascii="Calibri" w:hAnsi="Calibri" w:cs="Calibri"/>
          <w:noProof/>
          <w:sz w:val="24"/>
          <w:szCs w:val="24"/>
        </w:rPr>
        <w:t>, Meghan A</w:t>
      </w:r>
      <w:r w:rsidR="00BE5459">
        <w:rPr>
          <w:rFonts w:ascii="Calibri" w:hAnsi="Calibri" w:cs="Calibri"/>
          <w:noProof/>
          <w:sz w:val="24"/>
          <w:szCs w:val="24"/>
        </w:rPr>
        <w:t xml:space="preserve"> Gattuso</w:t>
      </w:r>
      <w:r w:rsidRPr="00B01895">
        <w:rPr>
          <w:rFonts w:ascii="Calibri" w:hAnsi="Calibri" w:cs="Calibri"/>
          <w:noProof/>
          <w:sz w:val="24"/>
          <w:szCs w:val="24"/>
        </w:rPr>
        <w:t>, Gregory</w:t>
      </w:r>
      <w:r w:rsidR="00BE5459">
        <w:rPr>
          <w:rFonts w:ascii="Calibri" w:hAnsi="Calibri" w:cs="Calibri"/>
          <w:noProof/>
          <w:sz w:val="24"/>
          <w:szCs w:val="24"/>
        </w:rPr>
        <w:t xml:space="preserve"> Pepper</w:t>
      </w:r>
      <w:r w:rsidRPr="00B01895">
        <w:rPr>
          <w:rFonts w:ascii="Calibri" w:hAnsi="Calibri" w:cs="Calibri"/>
          <w:noProof/>
          <w:sz w:val="24"/>
          <w:szCs w:val="24"/>
        </w:rPr>
        <w:t xml:space="preserve">, </w:t>
      </w:r>
      <w:r w:rsidR="00BE5459">
        <w:rPr>
          <w:rFonts w:ascii="Calibri" w:hAnsi="Calibri" w:cs="Calibri"/>
          <w:noProof/>
          <w:sz w:val="24"/>
          <w:szCs w:val="24"/>
        </w:rPr>
        <w:t xml:space="preserve">Anu </w:t>
      </w:r>
      <w:r w:rsidRPr="00B01895">
        <w:rPr>
          <w:rFonts w:ascii="Calibri" w:hAnsi="Calibri" w:cs="Calibri"/>
          <w:noProof/>
          <w:sz w:val="24"/>
          <w:szCs w:val="24"/>
        </w:rPr>
        <w:t>Chaudhary, Mark H</w:t>
      </w:r>
      <w:r w:rsidR="00BE5459">
        <w:rPr>
          <w:rFonts w:ascii="Calibri" w:hAnsi="Calibri" w:cs="Calibri"/>
          <w:noProof/>
          <w:sz w:val="24"/>
          <w:szCs w:val="24"/>
        </w:rPr>
        <w:t xml:space="preserve"> Wener</w:t>
      </w:r>
      <w:r w:rsidRPr="00B01895">
        <w:rPr>
          <w:rFonts w:ascii="Calibri" w:hAnsi="Calibri" w:cs="Calibri"/>
          <w:noProof/>
          <w:sz w:val="24"/>
          <w:szCs w:val="24"/>
        </w:rPr>
        <w:t xml:space="preserve">, et al. SARS-CoV-2 Viral Load on Admission Is Associated With 30-Day Mortality. </w:t>
      </w:r>
      <w:r w:rsidRPr="00B01895">
        <w:rPr>
          <w:rFonts w:ascii="Calibri" w:hAnsi="Calibri" w:cs="Calibri"/>
          <w:i/>
          <w:iCs/>
          <w:noProof/>
          <w:sz w:val="24"/>
          <w:szCs w:val="24"/>
        </w:rPr>
        <w:t>Open Forum Infect Dis</w:t>
      </w:r>
      <w:r w:rsidRPr="00B01895">
        <w:rPr>
          <w:rFonts w:ascii="Calibri" w:hAnsi="Calibri" w:cs="Calibri"/>
          <w:noProof/>
          <w:sz w:val="24"/>
          <w:szCs w:val="24"/>
        </w:rPr>
        <w:t xml:space="preserve"> 2020;</w:t>
      </w:r>
      <w:r w:rsidRPr="00B01895">
        <w:rPr>
          <w:rFonts w:ascii="Calibri" w:hAnsi="Calibri" w:cs="Calibri"/>
          <w:b/>
          <w:bCs/>
          <w:noProof/>
          <w:sz w:val="24"/>
          <w:szCs w:val="24"/>
        </w:rPr>
        <w:t>7</w:t>
      </w:r>
      <w:r w:rsidRPr="00B01895">
        <w:rPr>
          <w:rFonts w:ascii="Calibri" w:hAnsi="Calibri" w:cs="Calibri"/>
          <w:noProof/>
          <w:sz w:val="24"/>
          <w:szCs w:val="24"/>
        </w:rPr>
        <w:t xml:space="preserve">(12):1–5. </w:t>
      </w:r>
    </w:p>
    <w:p w14:paraId="5000F7C2" w14:textId="21F556BF" w:rsidR="00B01895" w:rsidRPr="00B01895" w:rsidRDefault="00B01895" w:rsidP="00B01895">
      <w:pPr>
        <w:widowControl w:val="0"/>
        <w:autoSpaceDE w:val="0"/>
        <w:autoSpaceDN w:val="0"/>
        <w:adjustRightInd w:val="0"/>
        <w:spacing w:line="240" w:lineRule="auto"/>
        <w:ind w:left="640" w:hanging="640"/>
        <w:rPr>
          <w:rFonts w:ascii="Calibri" w:hAnsi="Calibri" w:cs="Calibri"/>
          <w:noProof/>
          <w:sz w:val="24"/>
        </w:rPr>
      </w:pPr>
      <w:r w:rsidRPr="00B01895">
        <w:rPr>
          <w:rFonts w:ascii="Calibri" w:hAnsi="Calibri" w:cs="Calibri"/>
          <w:noProof/>
          <w:sz w:val="24"/>
          <w:szCs w:val="24"/>
        </w:rPr>
        <w:t>28</w:t>
      </w:r>
      <w:r w:rsidRPr="00B01895">
        <w:rPr>
          <w:rFonts w:ascii="Calibri" w:hAnsi="Calibri" w:cs="Calibri"/>
          <w:noProof/>
          <w:sz w:val="24"/>
          <w:szCs w:val="24"/>
        </w:rPr>
        <w:tab/>
        <w:t>Walter W</w:t>
      </w:r>
      <w:r w:rsidR="00BE5459">
        <w:rPr>
          <w:rFonts w:ascii="Calibri" w:hAnsi="Calibri" w:cs="Calibri"/>
          <w:noProof/>
          <w:sz w:val="24"/>
          <w:szCs w:val="24"/>
        </w:rPr>
        <w:t xml:space="preserve"> Hauck</w:t>
      </w:r>
      <w:r w:rsidRPr="00B01895">
        <w:rPr>
          <w:rFonts w:ascii="Calibri" w:hAnsi="Calibri" w:cs="Calibri"/>
          <w:noProof/>
          <w:sz w:val="24"/>
          <w:szCs w:val="24"/>
        </w:rPr>
        <w:t>, Allan</w:t>
      </w:r>
      <w:r w:rsidR="00BE5459">
        <w:rPr>
          <w:rFonts w:ascii="Calibri" w:hAnsi="Calibri" w:cs="Calibri"/>
          <w:noProof/>
          <w:sz w:val="24"/>
          <w:szCs w:val="24"/>
        </w:rPr>
        <w:t xml:space="preserve"> Donner</w:t>
      </w:r>
      <w:r w:rsidRPr="00B01895">
        <w:rPr>
          <w:rFonts w:ascii="Calibri" w:hAnsi="Calibri" w:cs="Calibri"/>
          <w:noProof/>
          <w:sz w:val="24"/>
          <w:szCs w:val="24"/>
        </w:rPr>
        <w:t xml:space="preserve">. Wald’s Test as Applied to Hypotheses in Logit Analysis. </w:t>
      </w:r>
      <w:r w:rsidRPr="00B01895">
        <w:rPr>
          <w:rFonts w:ascii="Calibri" w:hAnsi="Calibri" w:cs="Calibri"/>
          <w:i/>
          <w:iCs/>
          <w:noProof/>
          <w:sz w:val="24"/>
          <w:szCs w:val="24"/>
        </w:rPr>
        <w:t>J Am Stat Assoc</w:t>
      </w:r>
      <w:r w:rsidRPr="00B01895">
        <w:rPr>
          <w:rFonts w:ascii="Calibri" w:hAnsi="Calibri" w:cs="Calibri"/>
          <w:noProof/>
          <w:sz w:val="24"/>
          <w:szCs w:val="24"/>
        </w:rPr>
        <w:t xml:space="preserve"> 1977;</w:t>
      </w:r>
      <w:r w:rsidRPr="00B01895">
        <w:rPr>
          <w:rFonts w:ascii="Calibri" w:hAnsi="Calibri" w:cs="Calibri"/>
          <w:b/>
          <w:bCs/>
          <w:noProof/>
          <w:sz w:val="24"/>
          <w:szCs w:val="24"/>
        </w:rPr>
        <w:t>72</w:t>
      </w:r>
      <w:r w:rsidRPr="00B01895">
        <w:rPr>
          <w:rFonts w:ascii="Calibri" w:hAnsi="Calibri" w:cs="Calibri"/>
          <w:noProof/>
          <w:sz w:val="24"/>
          <w:szCs w:val="24"/>
        </w:rPr>
        <w:t>(360a):851–3.</w:t>
      </w:r>
    </w:p>
    <w:p w14:paraId="3BF9E0A2" w14:textId="7BDFD172" w:rsidR="00656A46" w:rsidRPr="00EE2CB9" w:rsidRDefault="00656A46" w:rsidP="00656A46">
      <w:pPr>
        <w:ind w:firstLine="720"/>
        <w:rPr>
          <w:rFonts w:cstheme="minorHAnsi"/>
          <w:sz w:val="24"/>
          <w:szCs w:val="24"/>
        </w:rPr>
      </w:pPr>
      <w:r w:rsidRPr="00EE2CB9">
        <w:rPr>
          <w:rFonts w:cstheme="minorHAnsi"/>
          <w:sz w:val="24"/>
          <w:szCs w:val="24"/>
        </w:rPr>
        <w:fldChar w:fldCharType="end"/>
      </w:r>
    </w:p>
    <w:p w14:paraId="5472FB59" w14:textId="5A2165C3" w:rsidR="00656A46" w:rsidRDefault="00656A46" w:rsidP="00656A46">
      <w:pPr>
        <w:ind w:firstLine="720"/>
      </w:pPr>
    </w:p>
    <w:p w14:paraId="6AAE6FEF" w14:textId="77777777" w:rsidR="004C5E70" w:rsidRDefault="004C5E70" w:rsidP="00656A46">
      <w:pPr>
        <w:spacing w:after="0" w:line="480" w:lineRule="auto"/>
        <w:rPr>
          <w:b/>
          <w:sz w:val="32"/>
          <w:szCs w:val="32"/>
        </w:rPr>
      </w:pPr>
    </w:p>
    <w:p w14:paraId="11E3E9D4" w14:textId="77777777" w:rsidR="004C5E70" w:rsidRDefault="004C5E70" w:rsidP="00656A46">
      <w:pPr>
        <w:spacing w:after="0" w:line="480" w:lineRule="auto"/>
        <w:rPr>
          <w:b/>
          <w:sz w:val="32"/>
          <w:szCs w:val="32"/>
        </w:rPr>
      </w:pPr>
    </w:p>
    <w:p w14:paraId="3B16B08C" w14:textId="77777777" w:rsidR="004C5E70" w:rsidRDefault="004C5E70" w:rsidP="00656A46">
      <w:pPr>
        <w:spacing w:after="0" w:line="480" w:lineRule="auto"/>
        <w:rPr>
          <w:b/>
          <w:sz w:val="32"/>
          <w:szCs w:val="32"/>
        </w:rPr>
      </w:pPr>
    </w:p>
    <w:p w14:paraId="714AD174" w14:textId="77777777" w:rsidR="004C5E70" w:rsidRDefault="004C5E70" w:rsidP="00656A46">
      <w:pPr>
        <w:spacing w:after="0" w:line="480" w:lineRule="auto"/>
        <w:rPr>
          <w:b/>
          <w:sz w:val="32"/>
          <w:szCs w:val="32"/>
        </w:rPr>
      </w:pPr>
    </w:p>
    <w:p w14:paraId="4CCFA741" w14:textId="77777777" w:rsidR="00B01895" w:rsidRDefault="00B01895" w:rsidP="00656A46">
      <w:pPr>
        <w:spacing w:after="0" w:line="480" w:lineRule="auto"/>
        <w:rPr>
          <w:b/>
          <w:sz w:val="32"/>
          <w:szCs w:val="32"/>
        </w:rPr>
      </w:pPr>
    </w:p>
    <w:p w14:paraId="118C282A" w14:textId="77777777" w:rsidR="00BE5459" w:rsidRDefault="00BE5459" w:rsidP="00656A46">
      <w:pPr>
        <w:spacing w:after="0" w:line="480" w:lineRule="auto"/>
        <w:rPr>
          <w:b/>
          <w:sz w:val="32"/>
          <w:szCs w:val="32"/>
        </w:rPr>
      </w:pPr>
    </w:p>
    <w:p w14:paraId="5C9E5D39" w14:textId="77777777" w:rsidR="00BE5459" w:rsidRDefault="00BE5459" w:rsidP="00656A46">
      <w:pPr>
        <w:spacing w:after="0" w:line="480" w:lineRule="auto"/>
        <w:rPr>
          <w:b/>
          <w:sz w:val="32"/>
          <w:szCs w:val="32"/>
        </w:rPr>
      </w:pPr>
    </w:p>
    <w:p w14:paraId="29037464" w14:textId="77777777" w:rsidR="00BE5459" w:rsidRDefault="00BE5459" w:rsidP="00656A46">
      <w:pPr>
        <w:spacing w:after="0" w:line="480" w:lineRule="auto"/>
        <w:rPr>
          <w:b/>
          <w:sz w:val="32"/>
          <w:szCs w:val="32"/>
        </w:rPr>
      </w:pPr>
    </w:p>
    <w:p w14:paraId="6AD9996E" w14:textId="426B4A05" w:rsidR="00656A46" w:rsidRDefault="00656A46" w:rsidP="00656A46">
      <w:pPr>
        <w:spacing w:after="0" w:line="480" w:lineRule="auto"/>
        <w:rPr>
          <w:b/>
          <w:sz w:val="32"/>
          <w:szCs w:val="32"/>
        </w:rPr>
      </w:pPr>
      <w:r w:rsidRPr="002E4960">
        <w:rPr>
          <w:b/>
          <w:sz w:val="32"/>
          <w:szCs w:val="32"/>
        </w:rPr>
        <w:lastRenderedPageBreak/>
        <w:t>Figure legends</w:t>
      </w:r>
    </w:p>
    <w:p w14:paraId="38DFFDAF" w14:textId="77777777" w:rsidR="00656A46" w:rsidRPr="002E4960" w:rsidRDefault="00656A46" w:rsidP="00656A46">
      <w:pPr>
        <w:spacing w:after="0" w:line="480" w:lineRule="auto"/>
        <w:rPr>
          <w:b/>
          <w:sz w:val="24"/>
          <w:szCs w:val="24"/>
        </w:rPr>
      </w:pPr>
      <w:r w:rsidRPr="002E4960">
        <w:rPr>
          <w:b/>
          <w:sz w:val="24"/>
          <w:szCs w:val="24"/>
        </w:rPr>
        <w:t xml:space="preserve">Figure 1. </w:t>
      </w:r>
      <w:r w:rsidRPr="002E4960">
        <w:rPr>
          <w:sz w:val="24"/>
          <w:szCs w:val="24"/>
        </w:rPr>
        <w:t>Flow of participants through the study</w:t>
      </w:r>
      <w:r>
        <w:rPr>
          <w:b/>
          <w:sz w:val="24"/>
          <w:szCs w:val="24"/>
        </w:rPr>
        <w:t>.</w:t>
      </w:r>
    </w:p>
    <w:p w14:paraId="0413EBA2" w14:textId="33D82074" w:rsidR="00656A46" w:rsidRDefault="00656A46" w:rsidP="00656A46">
      <w:pPr>
        <w:spacing w:after="0" w:line="480" w:lineRule="auto"/>
        <w:rPr>
          <w:sz w:val="24"/>
          <w:szCs w:val="24"/>
        </w:rPr>
      </w:pPr>
      <w:r w:rsidRPr="002E4960">
        <w:rPr>
          <w:b/>
          <w:sz w:val="24"/>
          <w:szCs w:val="24"/>
        </w:rPr>
        <w:t>Figure 2</w:t>
      </w:r>
      <w:r w:rsidR="00324B30">
        <w:rPr>
          <w:b/>
          <w:sz w:val="24"/>
          <w:szCs w:val="24"/>
        </w:rPr>
        <w:t>a and b</w:t>
      </w:r>
      <w:r w:rsidRPr="002E4960">
        <w:rPr>
          <w:b/>
          <w:sz w:val="24"/>
          <w:szCs w:val="24"/>
        </w:rPr>
        <w:t xml:space="preserve">. </w:t>
      </w:r>
      <w:r w:rsidRPr="002E4960">
        <w:rPr>
          <w:sz w:val="24"/>
          <w:szCs w:val="24"/>
        </w:rPr>
        <w:t>Partial effects Kaplan</w:t>
      </w:r>
      <w:r w:rsidR="00C359EC">
        <w:rPr>
          <w:sz w:val="24"/>
          <w:szCs w:val="24"/>
        </w:rPr>
        <w:t>-</w:t>
      </w:r>
      <w:r w:rsidRPr="002E4960">
        <w:rPr>
          <w:sz w:val="24"/>
          <w:szCs w:val="24"/>
        </w:rPr>
        <w:t>Meier graphs of age</w:t>
      </w:r>
      <w:r w:rsidR="00324B30">
        <w:rPr>
          <w:sz w:val="24"/>
          <w:szCs w:val="24"/>
        </w:rPr>
        <w:t xml:space="preserve"> (a)</w:t>
      </w:r>
      <w:r w:rsidRPr="002E4960">
        <w:rPr>
          <w:sz w:val="24"/>
          <w:szCs w:val="24"/>
        </w:rPr>
        <w:t xml:space="preserve"> and viral load </w:t>
      </w:r>
      <w:r w:rsidR="00324B30">
        <w:rPr>
          <w:sz w:val="24"/>
          <w:szCs w:val="24"/>
        </w:rPr>
        <w:t xml:space="preserve">(b) </w:t>
      </w:r>
      <w:r w:rsidRPr="002E4960">
        <w:rPr>
          <w:sz w:val="24"/>
          <w:szCs w:val="24"/>
        </w:rPr>
        <w:t>at admission and the probability of survival outcomes for all hospitalised patients</w:t>
      </w:r>
      <w:r w:rsidR="00F67AAC">
        <w:rPr>
          <w:sz w:val="24"/>
          <w:szCs w:val="24"/>
        </w:rPr>
        <w:t xml:space="preserve"> (n=185)</w:t>
      </w:r>
      <w:r w:rsidRPr="002E4960">
        <w:rPr>
          <w:sz w:val="24"/>
          <w:szCs w:val="24"/>
        </w:rPr>
        <w:t>.</w:t>
      </w:r>
    </w:p>
    <w:p w14:paraId="55DF036A" w14:textId="6792DC69" w:rsidR="001D1B04" w:rsidRDefault="001D1B04" w:rsidP="00656A46">
      <w:pPr>
        <w:spacing w:after="0" w:line="480" w:lineRule="auto"/>
        <w:rPr>
          <w:sz w:val="24"/>
          <w:szCs w:val="24"/>
        </w:rPr>
      </w:pPr>
    </w:p>
    <w:p w14:paraId="081E9F5C" w14:textId="19D43F87" w:rsidR="001D1B04" w:rsidRDefault="001D1B04" w:rsidP="00656A46">
      <w:pPr>
        <w:spacing w:after="0" w:line="480" w:lineRule="auto"/>
        <w:rPr>
          <w:sz w:val="24"/>
          <w:szCs w:val="24"/>
        </w:rPr>
      </w:pPr>
    </w:p>
    <w:p w14:paraId="7E95CCDF" w14:textId="0DE2BFE4" w:rsidR="001D1B04" w:rsidRPr="001D1B04" w:rsidRDefault="001D1B04" w:rsidP="001D1B04">
      <w:pPr>
        <w:spacing w:after="0" w:line="480" w:lineRule="auto"/>
        <w:rPr>
          <w:b/>
          <w:sz w:val="32"/>
          <w:szCs w:val="32"/>
        </w:rPr>
      </w:pPr>
      <w:r w:rsidRPr="001D1B04">
        <w:rPr>
          <w:b/>
          <w:sz w:val="32"/>
          <w:szCs w:val="32"/>
        </w:rPr>
        <w:t>Supplementary appendix</w:t>
      </w:r>
    </w:p>
    <w:p w14:paraId="0553A194" w14:textId="5FE8FC5B" w:rsidR="001D1B04" w:rsidRPr="00647FF4" w:rsidRDefault="001D1B04" w:rsidP="001D1B04">
      <w:pPr>
        <w:spacing w:after="0" w:line="480" w:lineRule="auto"/>
        <w:rPr>
          <w:b/>
          <w:sz w:val="24"/>
          <w:szCs w:val="24"/>
        </w:rPr>
      </w:pPr>
      <w:r w:rsidRPr="00647FF4">
        <w:rPr>
          <w:b/>
          <w:sz w:val="24"/>
          <w:szCs w:val="24"/>
        </w:rPr>
        <w:t>Table S1.</w:t>
      </w:r>
      <w:r w:rsidR="00647FF4" w:rsidRPr="00647FF4">
        <w:rPr>
          <w:sz w:val="24"/>
          <w:szCs w:val="24"/>
        </w:rPr>
        <w:t xml:space="preserve"> Cox proportional hazard model for in-hospital mortality, all hospitalised patients (n=185)</w:t>
      </w:r>
    </w:p>
    <w:p w14:paraId="06951849" w14:textId="605EA80D" w:rsidR="001D1B04" w:rsidRPr="00647FF4" w:rsidRDefault="001D1B04" w:rsidP="001D1B04">
      <w:pPr>
        <w:spacing w:after="0" w:line="480" w:lineRule="auto"/>
        <w:rPr>
          <w:b/>
          <w:sz w:val="24"/>
          <w:szCs w:val="24"/>
        </w:rPr>
      </w:pPr>
      <w:r w:rsidRPr="00647FF4">
        <w:rPr>
          <w:b/>
          <w:sz w:val="24"/>
          <w:szCs w:val="24"/>
        </w:rPr>
        <w:t>Table S2.</w:t>
      </w:r>
      <w:r w:rsidR="009C0F5C" w:rsidRPr="00647FF4">
        <w:rPr>
          <w:sz w:val="24"/>
          <w:szCs w:val="24"/>
        </w:rPr>
        <w:t xml:space="preserve"> </w:t>
      </w:r>
      <w:r w:rsidR="00647FF4" w:rsidRPr="00647FF4">
        <w:rPr>
          <w:sz w:val="24"/>
          <w:szCs w:val="24"/>
        </w:rPr>
        <w:t>Cox proportional hazard model for in-hospital mortality, patients with known SARS-CoV-2 neutralising antibody serological status (n=99).</w:t>
      </w:r>
    </w:p>
    <w:p w14:paraId="0EC873CC" w14:textId="22ECC89E" w:rsidR="001D1B04" w:rsidRPr="00647FF4" w:rsidRDefault="001D1B04" w:rsidP="001D1B04">
      <w:pPr>
        <w:spacing w:after="0" w:line="480" w:lineRule="auto"/>
        <w:rPr>
          <w:b/>
          <w:sz w:val="24"/>
          <w:szCs w:val="24"/>
        </w:rPr>
      </w:pPr>
      <w:r w:rsidRPr="00647FF4">
        <w:rPr>
          <w:b/>
          <w:sz w:val="24"/>
          <w:szCs w:val="24"/>
        </w:rPr>
        <w:t>Figure S1.</w:t>
      </w:r>
      <w:r w:rsidR="009C0F5C" w:rsidRPr="00647FF4">
        <w:rPr>
          <w:sz w:val="24"/>
          <w:szCs w:val="24"/>
        </w:rPr>
        <w:t xml:space="preserve"> Interaction plot of sig</w:t>
      </w:r>
      <w:r w:rsidR="00647FF4">
        <w:rPr>
          <w:sz w:val="24"/>
          <w:szCs w:val="24"/>
        </w:rPr>
        <w:t xml:space="preserve">nificant pairs of covariates for </w:t>
      </w:r>
      <w:r w:rsidR="009C0F5C" w:rsidRPr="00647FF4">
        <w:rPr>
          <w:sz w:val="24"/>
          <w:szCs w:val="24"/>
        </w:rPr>
        <w:t xml:space="preserve">in-hospital mortality </w:t>
      </w:r>
      <w:r w:rsidR="00647FF4">
        <w:rPr>
          <w:sz w:val="24"/>
          <w:szCs w:val="24"/>
        </w:rPr>
        <w:t>and ICU admission.</w:t>
      </w:r>
    </w:p>
    <w:p w14:paraId="712726C7" w14:textId="1DD8E456" w:rsidR="001D1B04" w:rsidRPr="00647FF4" w:rsidRDefault="001D1B04" w:rsidP="001D1B04">
      <w:pPr>
        <w:spacing w:after="0" w:line="480" w:lineRule="auto"/>
        <w:rPr>
          <w:b/>
          <w:sz w:val="24"/>
          <w:szCs w:val="24"/>
        </w:rPr>
      </w:pPr>
      <w:r w:rsidRPr="00647FF4">
        <w:rPr>
          <w:b/>
          <w:sz w:val="24"/>
          <w:szCs w:val="24"/>
        </w:rPr>
        <w:t>Figure S2.</w:t>
      </w:r>
      <w:r w:rsidR="009C0F5C" w:rsidRPr="00647FF4">
        <w:rPr>
          <w:sz w:val="24"/>
          <w:szCs w:val="24"/>
        </w:rPr>
        <w:t xml:space="preserve"> </w:t>
      </w:r>
      <w:r w:rsidR="00647FF4" w:rsidRPr="00647FF4">
        <w:rPr>
          <w:sz w:val="24"/>
          <w:szCs w:val="24"/>
        </w:rPr>
        <w:t xml:space="preserve">Cox proportional hazard model </w:t>
      </w:r>
      <w:r w:rsidR="00F67AAC">
        <w:rPr>
          <w:sz w:val="24"/>
          <w:szCs w:val="24"/>
        </w:rPr>
        <w:t xml:space="preserve">plot </w:t>
      </w:r>
      <w:r w:rsidR="00647FF4" w:rsidRPr="00647FF4">
        <w:rPr>
          <w:sz w:val="24"/>
          <w:szCs w:val="24"/>
        </w:rPr>
        <w:t>for in-hospital mortality, al</w:t>
      </w:r>
      <w:r w:rsidR="00647FF4">
        <w:rPr>
          <w:sz w:val="24"/>
          <w:szCs w:val="24"/>
        </w:rPr>
        <w:t>l hospitalised patients (n=185).</w:t>
      </w:r>
    </w:p>
    <w:sectPr w:rsidR="001D1B04" w:rsidRPr="00647FF4" w:rsidSect="00656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02987"/>
    <w:multiLevelType w:val="hybridMultilevel"/>
    <w:tmpl w:val="D5D6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54"/>
    <w:rsid w:val="000055BB"/>
    <w:rsid w:val="000327F0"/>
    <w:rsid w:val="0003545A"/>
    <w:rsid w:val="00054797"/>
    <w:rsid w:val="00076C38"/>
    <w:rsid w:val="00077DA9"/>
    <w:rsid w:val="000829B8"/>
    <w:rsid w:val="000909B9"/>
    <w:rsid w:val="000A1C68"/>
    <w:rsid w:val="000C5265"/>
    <w:rsid w:val="00115FC5"/>
    <w:rsid w:val="0012316C"/>
    <w:rsid w:val="0012562B"/>
    <w:rsid w:val="00125C6B"/>
    <w:rsid w:val="0014127A"/>
    <w:rsid w:val="00143EF1"/>
    <w:rsid w:val="00145722"/>
    <w:rsid w:val="00150B51"/>
    <w:rsid w:val="00167382"/>
    <w:rsid w:val="00167E72"/>
    <w:rsid w:val="0017117D"/>
    <w:rsid w:val="001712E2"/>
    <w:rsid w:val="00193E42"/>
    <w:rsid w:val="001D1B04"/>
    <w:rsid w:val="002022F3"/>
    <w:rsid w:val="002173E9"/>
    <w:rsid w:val="00233097"/>
    <w:rsid w:val="00246A2E"/>
    <w:rsid w:val="002851A3"/>
    <w:rsid w:val="002A0D41"/>
    <w:rsid w:val="002A24BE"/>
    <w:rsid w:val="002F238D"/>
    <w:rsid w:val="00324B30"/>
    <w:rsid w:val="00330AA1"/>
    <w:rsid w:val="00333A39"/>
    <w:rsid w:val="0036589F"/>
    <w:rsid w:val="00391A54"/>
    <w:rsid w:val="004021AD"/>
    <w:rsid w:val="004216B8"/>
    <w:rsid w:val="00433D57"/>
    <w:rsid w:val="00441152"/>
    <w:rsid w:val="00454125"/>
    <w:rsid w:val="00455002"/>
    <w:rsid w:val="00470EDB"/>
    <w:rsid w:val="00494150"/>
    <w:rsid w:val="004A05AD"/>
    <w:rsid w:val="004A0B15"/>
    <w:rsid w:val="004B3B40"/>
    <w:rsid w:val="004C5E70"/>
    <w:rsid w:val="004D465E"/>
    <w:rsid w:val="004F2C9E"/>
    <w:rsid w:val="005014A8"/>
    <w:rsid w:val="00531CFC"/>
    <w:rsid w:val="00551888"/>
    <w:rsid w:val="00554E12"/>
    <w:rsid w:val="005B1767"/>
    <w:rsid w:val="005B4FA9"/>
    <w:rsid w:val="005B5BE3"/>
    <w:rsid w:val="005E3499"/>
    <w:rsid w:val="00614B32"/>
    <w:rsid w:val="00615741"/>
    <w:rsid w:val="006174EA"/>
    <w:rsid w:val="00622B17"/>
    <w:rsid w:val="00637ABB"/>
    <w:rsid w:val="00647FF4"/>
    <w:rsid w:val="00656A46"/>
    <w:rsid w:val="00681A42"/>
    <w:rsid w:val="006B1EF1"/>
    <w:rsid w:val="006F2F33"/>
    <w:rsid w:val="0073290E"/>
    <w:rsid w:val="0073570A"/>
    <w:rsid w:val="00763167"/>
    <w:rsid w:val="0077538F"/>
    <w:rsid w:val="007814BD"/>
    <w:rsid w:val="007842D3"/>
    <w:rsid w:val="007A458B"/>
    <w:rsid w:val="007A6C99"/>
    <w:rsid w:val="007B19AD"/>
    <w:rsid w:val="007B28CC"/>
    <w:rsid w:val="007C4EE8"/>
    <w:rsid w:val="007D36E7"/>
    <w:rsid w:val="007D5B61"/>
    <w:rsid w:val="007F0F13"/>
    <w:rsid w:val="00821CFA"/>
    <w:rsid w:val="00831744"/>
    <w:rsid w:val="008632DF"/>
    <w:rsid w:val="00881713"/>
    <w:rsid w:val="00892CD4"/>
    <w:rsid w:val="00914DDF"/>
    <w:rsid w:val="0092147F"/>
    <w:rsid w:val="009941DB"/>
    <w:rsid w:val="009A798B"/>
    <w:rsid w:val="009C0F5C"/>
    <w:rsid w:val="009E7D74"/>
    <w:rsid w:val="00A33CDA"/>
    <w:rsid w:val="00A43BCB"/>
    <w:rsid w:val="00A43DF0"/>
    <w:rsid w:val="00A46717"/>
    <w:rsid w:val="00A5782A"/>
    <w:rsid w:val="00A638A1"/>
    <w:rsid w:val="00A72E73"/>
    <w:rsid w:val="00A96D22"/>
    <w:rsid w:val="00AA516B"/>
    <w:rsid w:val="00AC2A9F"/>
    <w:rsid w:val="00AC3072"/>
    <w:rsid w:val="00AF444E"/>
    <w:rsid w:val="00B00B19"/>
    <w:rsid w:val="00B01895"/>
    <w:rsid w:val="00B06A60"/>
    <w:rsid w:val="00B1283A"/>
    <w:rsid w:val="00B76F5B"/>
    <w:rsid w:val="00B77457"/>
    <w:rsid w:val="00BB04FB"/>
    <w:rsid w:val="00BB22EE"/>
    <w:rsid w:val="00BD78F7"/>
    <w:rsid w:val="00BE2758"/>
    <w:rsid w:val="00BE5459"/>
    <w:rsid w:val="00BF0802"/>
    <w:rsid w:val="00BF5C39"/>
    <w:rsid w:val="00C01DD2"/>
    <w:rsid w:val="00C10FE8"/>
    <w:rsid w:val="00C2148A"/>
    <w:rsid w:val="00C359EC"/>
    <w:rsid w:val="00C77156"/>
    <w:rsid w:val="00C935C1"/>
    <w:rsid w:val="00CA177A"/>
    <w:rsid w:val="00CB42BD"/>
    <w:rsid w:val="00CB52A6"/>
    <w:rsid w:val="00CC442F"/>
    <w:rsid w:val="00CC6532"/>
    <w:rsid w:val="00CF05D2"/>
    <w:rsid w:val="00D004AD"/>
    <w:rsid w:val="00D56D72"/>
    <w:rsid w:val="00D97331"/>
    <w:rsid w:val="00DD0EEC"/>
    <w:rsid w:val="00DF160C"/>
    <w:rsid w:val="00DF1CC6"/>
    <w:rsid w:val="00DF4424"/>
    <w:rsid w:val="00E42693"/>
    <w:rsid w:val="00E819BC"/>
    <w:rsid w:val="00E971C7"/>
    <w:rsid w:val="00EA2647"/>
    <w:rsid w:val="00EC1ADA"/>
    <w:rsid w:val="00EC50BB"/>
    <w:rsid w:val="00ED152B"/>
    <w:rsid w:val="00EE1831"/>
    <w:rsid w:val="00EE2CB9"/>
    <w:rsid w:val="00EE2E40"/>
    <w:rsid w:val="00EE3C9D"/>
    <w:rsid w:val="00EF2800"/>
    <w:rsid w:val="00EF6177"/>
    <w:rsid w:val="00F2050F"/>
    <w:rsid w:val="00F34991"/>
    <w:rsid w:val="00F362E1"/>
    <w:rsid w:val="00F478CC"/>
    <w:rsid w:val="00F67AAC"/>
    <w:rsid w:val="00F8737B"/>
    <w:rsid w:val="00F91298"/>
    <w:rsid w:val="00FB74FA"/>
    <w:rsid w:val="00FD79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1DF3"/>
  <w15:chartTrackingRefBased/>
  <w15:docId w15:val="{34AC66CA-D726-469A-ADF1-9C6C72C9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54"/>
  </w:style>
  <w:style w:type="paragraph" w:styleId="Heading1">
    <w:name w:val="heading 1"/>
    <w:basedOn w:val="Normal"/>
    <w:next w:val="Normal"/>
    <w:link w:val="Heading1Char"/>
    <w:autoRedefine/>
    <w:uiPriority w:val="9"/>
    <w:qFormat/>
    <w:rsid w:val="00391A54"/>
    <w:pPr>
      <w:keepNext/>
      <w:keepLines/>
      <w:spacing w:before="240" w:after="0" w:line="480" w:lineRule="auto"/>
      <w:outlineLvl w:val="0"/>
    </w:pPr>
    <w:rPr>
      <w:rFonts w:eastAsiaTheme="majorEastAsia"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A54"/>
    <w:rPr>
      <w:color w:val="0000FF"/>
      <w:u w:val="single"/>
    </w:rPr>
  </w:style>
  <w:style w:type="paragraph" w:styleId="BalloonText">
    <w:name w:val="Balloon Text"/>
    <w:basedOn w:val="Normal"/>
    <w:link w:val="BalloonTextChar"/>
    <w:uiPriority w:val="99"/>
    <w:semiHidden/>
    <w:unhideWhenUsed/>
    <w:rsid w:val="00391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54"/>
    <w:rPr>
      <w:rFonts w:ascii="Segoe UI" w:hAnsi="Segoe UI" w:cs="Segoe UI"/>
      <w:sz w:val="18"/>
      <w:szCs w:val="18"/>
    </w:rPr>
  </w:style>
  <w:style w:type="paragraph" w:styleId="ListParagraph">
    <w:name w:val="List Paragraph"/>
    <w:basedOn w:val="Normal"/>
    <w:uiPriority w:val="34"/>
    <w:qFormat/>
    <w:rsid w:val="00391A54"/>
    <w:pPr>
      <w:ind w:left="720"/>
      <w:contextualSpacing/>
    </w:pPr>
  </w:style>
  <w:style w:type="paragraph" w:styleId="NormalWeb">
    <w:name w:val="Normal (Web)"/>
    <w:basedOn w:val="Normal"/>
    <w:uiPriority w:val="99"/>
    <w:unhideWhenUsed/>
    <w:rsid w:val="00391A5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391A54"/>
    <w:rPr>
      <w:sz w:val="16"/>
      <w:szCs w:val="16"/>
    </w:rPr>
  </w:style>
  <w:style w:type="paragraph" w:styleId="CommentText">
    <w:name w:val="annotation text"/>
    <w:basedOn w:val="Normal"/>
    <w:link w:val="CommentTextChar"/>
    <w:uiPriority w:val="99"/>
    <w:semiHidden/>
    <w:unhideWhenUsed/>
    <w:rsid w:val="00391A54"/>
    <w:pPr>
      <w:spacing w:line="240" w:lineRule="auto"/>
    </w:pPr>
    <w:rPr>
      <w:sz w:val="20"/>
      <w:szCs w:val="20"/>
    </w:rPr>
  </w:style>
  <w:style w:type="character" w:customStyle="1" w:styleId="CommentTextChar">
    <w:name w:val="Comment Text Char"/>
    <w:basedOn w:val="DefaultParagraphFont"/>
    <w:link w:val="CommentText"/>
    <w:uiPriority w:val="99"/>
    <w:semiHidden/>
    <w:rsid w:val="00391A54"/>
    <w:rPr>
      <w:sz w:val="20"/>
      <w:szCs w:val="20"/>
    </w:rPr>
  </w:style>
  <w:style w:type="character" w:customStyle="1" w:styleId="Heading1Char">
    <w:name w:val="Heading 1 Char"/>
    <w:basedOn w:val="DefaultParagraphFont"/>
    <w:link w:val="Heading1"/>
    <w:uiPriority w:val="9"/>
    <w:rsid w:val="00391A54"/>
    <w:rPr>
      <w:rFonts w:eastAsiaTheme="majorEastAsia" w:cstheme="minorHAnsi"/>
      <w:b/>
      <w:sz w:val="24"/>
      <w:szCs w:val="24"/>
    </w:rPr>
  </w:style>
  <w:style w:type="paragraph" w:styleId="CommentSubject">
    <w:name w:val="annotation subject"/>
    <w:basedOn w:val="CommentText"/>
    <w:next w:val="CommentText"/>
    <w:link w:val="CommentSubjectChar"/>
    <w:uiPriority w:val="99"/>
    <w:semiHidden/>
    <w:unhideWhenUsed/>
    <w:rsid w:val="00145722"/>
    <w:rPr>
      <w:b/>
      <w:bCs/>
    </w:rPr>
  </w:style>
  <w:style w:type="character" w:customStyle="1" w:styleId="CommentSubjectChar">
    <w:name w:val="Comment Subject Char"/>
    <w:basedOn w:val="CommentTextChar"/>
    <w:link w:val="CommentSubject"/>
    <w:uiPriority w:val="99"/>
    <w:semiHidden/>
    <w:rsid w:val="001457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W.Clark@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927CD-08D5-4018-8725-D5C06C03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29323</Words>
  <Characters>167142</Characters>
  <Application>Microsoft Office Word</Application>
  <DocSecurity>0</DocSecurity>
  <Lines>1392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Tanner</dc:creator>
  <cp:keywords/>
  <dc:description/>
  <cp:lastModifiedBy>Alex Tanner</cp:lastModifiedBy>
  <cp:revision>2</cp:revision>
  <dcterms:created xsi:type="dcterms:W3CDTF">2021-07-30T08:27:00Z</dcterms:created>
  <dcterms:modified xsi:type="dcterms:W3CDTF">2021-07-30T08:27:00Z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http://www.zotero.org/styles/journal-of-infection</vt:lpwstr>
  </property>
  <property fmtid="{D5CDD505-2E9C-101B-9397-08002B2CF9AE}" pid="13" name="Mendeley Recent Style Name 5_1">
    <vt:lpwstr>Journal of Infection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784851b8-25e4-3f49-ac46-cbb25a977685</vt:lpwstr>
  </property>
  <property fmtid="{D5CDD505-2E9C-101B-9397-08002B2CF9AE}" pid="24" name="Mendeley Citation Style_1">
    <vt:lpwstr>http://www.zotero.org/styles/journal-of-infection</vt:lpwstr>
  </property>
</Properties>
</file>