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60AAF" w14:textId="2C057065" w:rsidR="002E0FEA" w:rsidRDefault="00EB03A1" w:rsidP="00EB03A1">
      <w:pPr>
        <w:spacing w:after="0"/>
        <w:jc w:val="center"/>
        <w:rPr>
          <w:b/>
        </w:rPr>
      </w:pPr>
      <w:r w:rsidRPr="00EB03A1">
        <w:rPr>
          <w:b/>
        </w:rPr>
        <w:t>Proactive Environmental Strategy, Foreign Institutional Pressures, and Internationalization of Chinese SMEs</w:t>
      </w:r>
    </w:p>
    <w:p w14:paraId="67B5A51C" w14:textId="77777777" w:rsidR="00EB03A1" w:rsidRPr="00A81A4F" w:rsidRDefault="00EB03A1" w:rsidP="00DF0C72">
      <w:pPr>
        <w:spacing w:after="0"/>
        <w:jc w:val="both"/>
      </w:pPr>
    </w:p>
    <w:p w14:paraId="2E84B4E4" w14:textId="77777777" w:rsidR="002E0FEA" w:rsidRPr="00A81A4F" w:rsidRDefault="002E0FEA" w:rsidP="00B24A82">
      <w:pPr>
        <w:spacing w:after="0" w:line="480" w:lineRule="auto"/>
        <w:jc w:val="center"/>
        <w:rPr>
          <w:b/>
        </w:rPr>
      </w:pPr>
      <w:r w:rsidRPr="00A81A4F">
        <w:rPr>
          <w:b/>
        </w:rPr>
        <w:t>ABSTRACT</w:t>
      </w:r>
    </w:p>
    <w:p w14:paraId="341C5616" w14:textId="77777777" w:rsidR="002E0FEA" w:rsidRPr="00A81A4F" w:rsidRDefault="002E0FEA" w:rsidP="00DF0C72">
      <w:pPr>
        <w:spacing w:after="0" w:line="480" w:lineRule="auto"/>
        <w:jc w:val="both"/>
      </w:pPr>
      <w:r w:rsidRPr="00A81A4F">
        <w:t>We explain how proactive environmental strategy affects emerging country small- and medium-sized enterprise (SME) internationalization and the contingency roles of foreign institutional environment. A survey of 217 Chinese SMEs reveals the positive effects of proactive environmental strategy on inward-focused and outward-</w:t>
      </w:r>
      <w:bookmarkStart w:id="0" w:name="_Hlk63086184"/>
      <w:r w:rsidRPr="00A81A4F">
        <w:t>focused</w:t>
      </w:r>
      <w:bookmarkEnd w:id="0"/>
      <w:r w:rsidRPr="00A81A4F">
        <w:t xml:space="preserve"> internationalization activities. </w:t>
      </w:r>
      <w:bookmarkStart w:id="1" w:name="_Hlk76825610"/>
      <w:r w:rsidRPr="00A81A4F">
        <w:t xml:space="preserve">The results also show that foreign institutional pressures influence such effects in nonlinear ways. That is, </w:t>
      </w:r>
      <w:bookmarkStart w:id="2" w:name="_Hlk72840014"/>
      <w:r w:rsidRPr="00A81A4F">
        <w:t xml:space="preserve">a medium level of foreign environmental regulatory pressure maximizes the positive effects of proactive environmental strategy on inward-focused internationalization activities, while a medium level of foreign environmental customer pressure maximizes the positive effects of proactive environmental strategy on outward-focused internationalization activities.  </w:t>
      </w:r>
    </w:p>
    <w:bookmarkEnd w:id="1"/>
    <w:bookmarkEnd w:id="2"/>
    <w:p w14:paraId="3E1F59DE" w14:textId="77777777" w:rsidR="002E0FEA" w:rsidRPr="00A81A4F" w:rsidRDefault="002E0FEA" w:rsidP="00DF0C72">
      <w:pPr>
        <w:spacing w:after="0" w:line="480" w:lineRule="auto"/>
        <w:jc w:val="both"/>
      </w:pPr>
    </w:p>
    <w:p w14:paraId="53C76540" w14:textId="77777777" w:rsidR="002E0FEA" w:rsidRPr="00A81A4F" w:rsidRDefault="002E0FEA" w:rsidP="00DF0C72">
      <w:pPr>
        <w:spacing w:after="0"/>
        <w:jc w:val="both"/>
      </w:pPr>
    </w:p>
    <w:p w14:paraId="23842CA8" w14:textId="77777777" w:rsidR="002E0FEA" w:rsidRPr="00A81A4F" w:rsidRDefault="002E0FEA" w:rsidP="00F1299C">
      <w:pPr>
        <w:spacing w:after="0"/>
        <w:jc w:val="both"/>
      </w:pPr>
      <w:r w:rsidRPr="00A81A4F">
        <w:t>Keywords: Proactive environmental strategy; Institutional pressures; SME internationalization; Emerging countries; China</w:t>
      </w:r>
    </w:p>
    <w:p w14:paraId="20B1EBCB" w14:textId="77777777" w:rsidR="002E0FEA" w:rsidRPr="00A81A4F" w:rsidRDefault="002E0FEA" w:rsidP="00DF0C72">
      <w:pPr>
        <w:spacing w:after="0"/>
        <w:jc w:val="both"/>
      </w:pPr>
    </w:p>
    <w:p w14:paraId="64AF9E84" w14:textId="77777777" w:rsidR="002E0FEA" w:rsidRPr="00A81A4F" w:rsidRDefault="002E0FEA" w:rsidP="00DF0C72">
      <w:pPr>
        <w:spacing w:after="0"/>
        <w:jc w:val="both"/>
      </w:pPr>
    </w:p>
    <w:p w14:paraId="40610AA4" w14:textId="77777777" w:rsidR="002E0FEA" w:rsidRPr="00A81A4F" w:rsidRDefault="002E0FEA" w:rsidP="00DF0C72">
      <w:pPr>
        <w:spacing w:after="0"/>
        <w:jc w:val="both"/>
      </w:pPr>
    </w:p>
    <w:p w14:paraId="65E20380" w14:textId="77777777" w:rsidR="002E0FEA" w:rsidRPr="00A81A4F" w:rsidRDefault="002E0FEA" w:rsidP="00DF0C72">
      <w:pPr>
        <w:spacing w:after="0"/>
        <w:jc w:val="both"/>
      </w:pPr>
    </w:p>
    <w:p w14:paraId="2AAD421B" w14:textId="77777777" w:rsidR="002E0FEA" w:rsidRPr="00A81A4F" w:rsidRDefault="002E0FEA" w:rsidP="00DF0C72">
      <w:pPr>
        <w:spacing w:after="0"/>
        <w:jc w:val="both"/>
      </w:pPr>
    </w:p>
    <w:p w14:paraId="53CDE245" w14:textId="77777777" w:rsidR="002E0FEA" w:rsidRPr="00A81A4F" w:rsidRDefault="002E0FEA" w:rsidP="00DF0C72">
      <w:pPr>
        <w:spacing w:after="0"/>
        <w:jc w:val="both"/>
      </w:pPr>
    </w:p>
    <w:p w14:paraId="1C6E5074" w14:textId="77777777" w:rsidR="002E0FEA" w:rsidRPr="00A81A4F" w:rsidRDefault="002E0FEA" w:rsidP="00DF0C72">
      <w:pPr>
        <w:spacing w:after="0"/>
        <w:jc w:val="both"/>
      </w:pPr>
    </w:p>
    <w:p w14:paraId="4F112E62" w14:textId="77777777" w:rsidR="002E0FEA" w:rsidRPr="00A81A4F" w:rsidRDefault="002E0FEA" w:rsidP="00DF0C72">
      <w:pPr>
        <w:spacing w:after="0"/>
        <w:jc w:val="both"/>
      </w:pPr>
    </w:p>
    <w:p w14:paraId="612D40F0" w14:textId="77777777" w:rsidR="002E0FEA" w:rsidRPr="00A81A4F" w:rsidRDefault="002E0FEA" w:rsidP="00DF0C72">
      <w:pPr>
        <w:spacing w:after="0"/>
        <w:jc w:val="both"/>
      </w:pPr>
    </w:p>
    <w:p w14:paraId="20212123" w14:textId="77777777" w:rsidR="002E0FEA" w:rsidRPr="00A81A4F" w:rsidRDefault="002E0FEA" w:rsidP="00DF0C72">
      <w:pPr>
        <w:spacing w:after="0"/>
        <w:jc w:val="both"/>
      </w:pPr>
    </w:p>
    <w:p w14:paraId="32010F69" w14:textId="77777777" w:rsidR="002E0FEA" w:rsidRPr="00A81A4F" w:rsidRDefault="002E0FEA" w:rsidP="00DF0C72">
      <w:pPr>
        <w:spacing w:after="0"/>
        <w:jc w:val="both"/>
      </w:pPr>
    </w:p>
    <w:p w14:paraId="6DB904DC" w14:textId="77777777" w:rsidR="002E0FEA" w:rsidRPr="00A81A4F" w:rsidRDefault="002E0FEA" w:rsidP="00DF0C72">
      <w:pPr>
        <w:spacing w:after="0"/>
        <w:jc w:val="both"/>
      </w:pPr>
    </w:p>
    <w:p w14:paraId="6DFC6454" w14:textId="77777777" w:rsidR="002E0FEA" w:rsidRPr="00A81A4F" w:rsidRDefault="002E0FEA" w:rsidP="00DF0C72">
      <w:pPr>
        <w:spacing w:after="0"/>
        <w:jc w:val="both"/>
      </w:pPr>
    </w:p>
    <w:p w14:paraId="06A1E6D3" w14:textId="77777777" w:rsidR="002E0FEA" w:rsidRPr="00A81A4F" w:rsidRDefault="002E0FEA" w:rsidP="00DF0C72">
      <w:pPr>
        <w:spacing w:after="0"/>
        <w:jc w:val="both"/>
      </w:pPr>
    </w:p>
    <w:p w14:paraId="0C20ED52" w14:textId="77777777" w:rsidR="002E0FEA" w:rsidRPr="00A81A4F" w:rsidRDefault="002E0FEA" w:rsidP="00DF0C72">
      <w:pPr>
        <w:spacing w:after="0"/>
        <w:jc w:val="both"/>
      </w:pPr>
    </w:p>
    <w:p w14:paraId="663D0CE6" w14:textId="77777777" w:rsidR="002E0FEA" w:rsidRPr="00A81A4F" w:rsidRDefault="002E0FEA" w:rsidP="00DF0C72">
      <w:pPr>
        <w:spacing w:after="0"/>
        <w:jc w:val="both"/>
      </w:pPr>
    </w:p>
    <w:p w14:paraId="4F24B08A" w14:textId="77777777" w:rsidR="002E0FEA" w:rsidRPr="00A81A4F" w:rsidRDefault="002E0FEA" w:rsidP="00DF0C72">
      <w:pPr>
        <w:spacing w:after="0"/>
        <w:jc w:val="both"/>
      </w:pPr>
    </w:p>
    <w:p w14:paraId="4D9587EE" w14:textId="77777777" w:rsidR="002E0FEA" w:rsidRPr="00A81A4F" w:rsidRDefault="002E0FEA" w:rsidP="00DF0C72">
      <w:pPr>
        <w:spacing w:after="0"/>
        <w:jc w:val="both"/>
      </w:pPr>
    </w:p>
    <w:p w14:paraId="7C8CA194" w14:textId="77777777" w:rsidR="002E0FEA" w:rsidRPr="00A81A4F" w:rsidRDefault="002E0FEA" w:rsidP="00DF0C72">
      <w:pPr>
        <w:spacing w:after="0" w:line="480" w:lineRule="auto"/>
        <w:jc w:val="both"/>
        <w:rPr>
          <w:b/>
        </w:rPr>
      </w:pPr>
      <w:r w:rsidRPr="00A81A4F">
        <w:rPr>
          <w:b/>
        </w:rPr>
        <w:lastRenderedPageBreak/>
        <w:t>1. Introduction</w:t>
      </w:r>
    </w:p>
    <w:p w14:paraId="3A1FAF17" w14:textId="77777777" w:rsidR="002E0FEA" w:rsidRPr="00A81A4F" w:rsidRDefault="002E0FEA" w:rsidP="007F26BC">
      <w:pPr>
        <w:spacing w:after="0" w:line="480" w:lineRule="auto"/>
        <w:ind w:firstLine="720"/>
        <w:jc w:val="both"/>
      </w:pPr>
      <w:r w:rsidRPr="00A81A4F">
        <w:t xml:space="preserve">Pursuing proactive environmental strategy and internationalization are two major trends in small- and medium-sized enterprises’ (SMEs’) practices in developed countries. </w:t>
      </w:r>
      <w:bookmarkStart w:id="3" w:name="_Hlk65498600"/>
      <w:r w:rsidRPr="00A81A4F">
        <w:t xml:space="preserve">Proactive environmental strategy refers to </w:t>
      </w:r>
      <w:bookmarkStart w:id="4" w:name="_Hlk65664401"/>
      <w:r w:rsidRPr="00A81A4F">
        <w:t>a range of practices that firms adopt to take a proactive stance towards incorporating environmental sustainability in their business operations</w:t>
      </w:r>
      <w:bookmarkEnd w:id="4"/>
      <w:r w:rsidRPr="00A81A4F">
        <w:t xml:space="preserve"> </w:t>
      </w:r>
      <w:bookmarkEnd w:id="3"/>
      <w:r w:rsidRPr="00A81A4F">
        <w:rPr>
          <w:noProof/>
        </w:rPr>
        <w:t>(Christmann &amp; Taylor, 2002; Jones, Willness, &amp; Madey, 2014)</w:t>
      </w:r>
      <w:r w:rsidRPr="00A81A4F">
        <w:t xml:space="preserve">. The emergence of environmental concerns in recent years has motivated SMEs to devote greater efforts to proactive environmental strategy. For example, evidence shows that more than 90% and 70% of the clean technology organizations in the UK and Finland, respectively, are SMEs </w:t>
      </w:r>
      <w:r w:rsidRPr="00A81A4F">
        <w:rPr>
          <w:noProof/>
        </w:rPr>
        <w:t>(Koirala, 2018)</w:t>
      </w:r>
      <w:r w:rsidRPr="00A81A4F">
        <w:t xml:space="preserve">. Internationalization refers to the process of increasing involvement in international operations </w:t>
      </w:r>
      <w:r w:rsidRPr="00A81A4F">
        <w:rPr>
          <w:noProof/>
        </w:rPr>
        <w:t>(Bagheri, Mitchelmore, Bamiatzi, &amp; Nikolopoulos, 2019; Hennart, Majocchi, &amp; Forlani, 2019; Welch &amp; Luostarinen, 1993)</w:t>
      </w:r>
      <w:r w:rsidRPr="00A81A4F">
        <w:t xml:space="preserve">. SMEs are under increasing pressure to internationalize their activities to expand their business. For example, the Office for National Statistics’ study shows that the number of UK SMEs’ exports increased by 6.6% in 2017 </w:t>
      </w:r>
      <w:r w:rsidRPr="00A81A4F">
        <w:rPr>
          <w:noProof/>
        </w:rPr>
        <w:t>(UK Exporting, 2018)</w:t>
      </w:r>
      <w:r w:rsidRPr="00A81A4F">
        <w:t xml:space="preserve">. It has been suggested that the engagement in proactive environmental strategy helps developed country SMEs to improve their competitiveness in the international marketplace </w:t>
      </w:r>
      <w:r w:rsidRPr="00A81A4F">
        <w:rPr>
          <w:noProof/>
        </w:rPr>
        <w:t>(e.g., Martin-Tapia, Aragon-Correa, &amp; Senise-Barrio, 2008)</w:t>
      </w:r>
      <w:r w:rsidRPr="00A81A4F">
        <w:t xml:space="preserve">. </w:t>
      </w:r>
    </w:p>
    <w:p w14:paraId="6C8CD6CD" w14:textId="77777777" w:rsidR="002E0FEA" w:rsidRPr="00A81A4F" w:rsidRDefault="002E0FEA" w:rsidP="007F26BC">
      <w:pPr>
        <w:spacing w:after="0" w:line="480" w:lineRule="auto"/>
        <w:ind w:firstLine="720"/>
        <w:jc w:val="both"/>
      </w:pPr>
      <w:r w:rsidRPr="00A81A4F">
        <w:t xml:space="preserve">Surprisingly, however, </w:t>
      </w:r>
      <w:bookmarkStart w:id="5" w:name="_Hlk65672745"/>
      <w:r w:rsidRPr="00A81A4F">
        <w:t xml:space="preserve">there is only limited theory and empirical data on whether and, if so, under what conditions proactive environmental strategy affects emerging country SME internationalization. </w:t>
      </w:r>
      <w:bookmarkEnd w:id="5"/>
      <w:r w:rsidRPr="00A81A4F">
        <w:t xml:space="preserve">Although findings from studying SMEs in developed countries may thus be transferable to some degree to different contexts, SMEs from emerging countries face a wide range of different circumstances in internationalizing their activities. First, </w:t>
      </w:r>
      <w:bookmarkStart w:id="6" w:name="_Hlk65334756"/>
      <w:r w:rsidRPr="00A81A4F">
        <w:t xml:space="preserve">a study conducted by </w:t>
      </w:r>
      <w:r w:rsidRPr="00A81A4F">
        <w:rPr>
          <w:noProof/>
        </w:rPr>
        <w:t>Marano, Tashman, and Kostova (2017)</w:t>
      </w:r>
      <w:r w:rsidRPr="00A81A4F">
        <w:t xml:space="preserve"> indicates that </w:t>
      </w:r>
      <w:bookmarkStart w:id="7" w:name="_Hlk65499049"/>
      <w:bookmarkStart w:id="8" w:name="_Hlk65847039"/>
      <w:r w:rsidRPr="00A81A4F">
        <w:t>the underdevelopment of institutions (e.g., laws, etc.) in emerging countries impedes the development of knowledge and resources</w:t>
      </w:r>
      <w:bookmarkEnd w:id="7"/>
      <w:r w:rsidRPr="00A81A4F">
        <w:t xml:space="preserve">, and constrains economic opportunities, </w:t>
      </w:r>
      <w:bookmarkStart w:id="9" w:name="_Hlk65499065"/>
      <w:r w:rsidRPr="00A81A4F">
        <w:t xml:space="preserve">which in turn motivates firms to </w:t>
      </w:r>
      <w:r w:rsidRPr="00A81A4F">
        <w:lastRenderedPageBreak/>
        <w:t>internationalize their activities to developed countries.</w:t>
      </w:r>
      <w:bookmarkEnd w:id="9"/>
      <w:r w:rsidRPr="00A81A4F">
        <w:t xml:space="preserve"> </w:t>
      </w:r>
      <w:bookmarkEnd w:id="8"/>
      <w:r w:rsidRPr="00A81A4F">
        <w:t xml:space="preserve">Thus, emerging country SMEs are more likely to seek both inward-focused internationalization activities such as learning foreign skills and technology </w:t>
      </w:r>
      <w:r w:rsidRPr="00A81A4F">
        <w:rPr>
          <w:noProof/>
        </w:rPr>
        <w:t>(e.g., Zhou, Wu, &amp; Luo, 2007)</w:t>
      </w:r>
      <w:r w:rsidRPr="00A81A4F">
        <w:t xml:space="preserve"> and foreign direct investment </w:t>
      </w:r>
      <w:r w:rsidRPr="00A81A4F">
        <w:rPr>
          <w:noProof/>
        </w:rPr>
        <w:t>(Hertenstein, Sutherland, &amp; Anderson, 2017)</w:t>
      </w:r>
      <w:r w:rsidRPr="00A81A4F">
        <w:t xml:space="preserve">, as well as outward-focused internationalization activities such as exporting </w:t>
      </w:r>
      <w:r w:rsidRPr="00A81A4F">
        <w:rPr>
          <w:noProof/>
        </w:rPr>
        <w:t>(e.g., Chan &amp; Ma, 2016)</w:t>
      </w:r>
      <w:r w:rsidRPr="00A81A4F">
        <w:t xml:space="preserve"> and developing alliance relationships with foreign partners </w:t>
      </w:r>
      <w:r w:rsidRPr="00A81A4F">
        <w:rPr>
          <w:noProof/>
        </w:rPr>
        <w:t>(e.g., de Oliveira, Nguyen, Liesch, Verreynne, &amp; Indulska, 2021; Zhang, Ma, Wang, Li, &amp; Huo, 2016)</w:t>
      </w:r>
      <w:r w:rsidRPr="00A81A4F">
        <w:t xml:space="preserve">. Previous literature has primarily focused on how proactive environmental strategy affects SME exports </w:t>
      </w:r>
      <w:r w:rsidRPr="00A81A4F">
        <w:rPr>
          <w:noProof/>
        </w:rPr>
        <w:t>(Martín-Tapia, Aragón-Correa, &amp; Rueda-Manzanares, 2010; Martin-Tapia</w:t>
      </w:r>
      <w:r w:rsidRPr="00A81A4F">
        <w:rPr>
          <w:i/>
          <w:noProof/>
        </w:rPr>
        <w:t xml:space="preserve"> et al.</w:t>
      </w:r>
      <w:r w:rsidRPr="00A81A4F">
        <w:rPr>
          <w:noProof/>
        </w:rPr>
        <w:t>, 2008)</w:t>
      </w:r>
      <w:r w:rsidRPr="00A81A4F">
        <w:t xml:space="preserve">, but is incomplete in the context of emerging country SMEs. </w:t>
      </w:r>
    </w:p>
    <w:bookmarkEnd w:id="6"/>
    <w:p w14:paraId="72196151" w14:textId="77777777" w:rsidR="002E0FEA" w:rsidRPr="00A81A4F" w:rsidRDefault="002E0FEA" w:rsidP="007F26BC">
      <w:pPr>
        <w:spacing w:after="0" w:line="480" w:lineRule="auto"/>
        <w:ind w:firstLine="720"/>
        <w:jc w:val="both"/>
      </w:pPr>
      <w:r w:rsidRPr="00A81A4F">
        <w:t xml:space="preserve">Second, </w:t>
      </w:r>
      <w:bookmarkStart w:id="10" w:name="_Hlk65335126"/>
      <w:r w:rsidRPr="00A81A4F">
        <w:t xml:space="preserve">firms from emerging countries with underdeveloped institutions often face legitimation challenges when internationalizing their activities to developed countries because the governance of their actions in their home country institution environment is weak </w:t>
      </w:r>
      <w:r w:rsidRPr="00A81A4F">
        <w:rPr>
          <w:noProof/>
        </w:rPr>
        <w:t>(Cuervo-Cazurra &amp; Ramamurti, 2014; Nuruzzaman, Singh, &amp; Gaur, 2020; Wang &amp; Ma, 2018)</w:t>
      </w:r>
      <w:r w:rsidRPr="00A81A4F">
        <w:t xml:space="preserve">. One aspect associated with this lack of good governance is that the host country governments (e.g., regulators) and civil societies (e.g., customers) may assume that emerging countries have poor environmental protection guidelines </w:t>
      </w:r>
      <w:r w:rsidRPr="00A81A4F">
        <w:rPr>
          <w:noProof/>
        </w:rPr>
        <w:t>(Marano</w:t>
      </w:r>
      <w:r w:rsidRPr="00A81A4F">
        <w:rPr>
          <w:i/>
          <w:noProof/>
        </w:rPr>
        <w:t xml:space="preserve"> et al.</w:t>
      </w:r>
      <w:r w:rsidRPr="00A81A4F">
        <w:rPr>
          <w:noProof/>
        </w:rPr>
        <w:t>, 2017)</w:t>
      </w:r>
      <w:r w:rsidRPr="00A81A4F">
        <w:t xml:space="preserve"> and may exert environmental (institutional) pressures on the firms, sometimes surpassing domestic requirements </w:t>
      </w:r>
      <w:r w:rsidRPr="00A81A4F">
        <w:rPr>
          <w:noProof/>
        </w:rPr>
        <w:t>(Zhu &amp; Sarkis, 2007)</w:t>
      </w:r>
      <w:r w:rsidRPr="00A81A4F">
        <w:t xml:space="preserve">. There are two primary types of environmental pressure – foreign environmental regulatory and customer pressures. The former is coercive pressure emanating from the states (i.e., regulators) that affects the actors’ practices through force or authority, and the latter is normative pressure stemming from civil societies (e.g., customers) that affect the actors’ practices by creating norms and expectations </w:t>
      </w:r>
      <w:r w:rsidRPr="00A81A4F">
        <w:rPr>
          <w:noProof/>
        </w:rPr>
        <w:t>(Swaminathan &amp; Wade, 2018)</w:t>
      </w:r>
      <w:r w:rsidRPr="00A81A4F">
        <w:t xml:space="preserve">. Researchers have yet to offer an in-depth analysis of how these pressures affect emerging country SMEs’ efforts to leverage their proactive environmental strategy to enhance internationalization outcomes. Thus, investigating how proactive environmental strategy contributes to emerging country </w:t>
      </w:r>
      <w:r w:rsidRPr="00A81A4F">
        <w:lastRenderedPageBreak/>
        <w:t>SME internationalization under different foreign environmental pressures remains an important research topic.</w:t>
      </w:r>
    </w:p>
    <w:p w14:paraId="52B76187" w14:textId="77777777" w:rsidR="002E0FEA" w:rsidRPr="00A81A4F" w:rsidRDefault="002E0FEA" w:rsidP="00730673">
      <w:pPr>
        <w:spacing w:after="0" w:line="480" w:lineRule="auto"/>
        <w:ind w:firstLine="720"/>
        <w:jc w:val="both"/>
      </w:pPr>
      <w:bookmarkStart w:id="11" w:name="_Hlk65335536"/>
      <w:bookmarkEnd w:id="10"/>
      <w:r w:rsidRPr="00A81A4F">
        <w:t xml:space="preserve">This research focuses on Chinese SMEs as the empirical setting for three reasons. First, Chinese SMEs are often referred to as the proverbial example of emerging country SMEs with a strong preference for internationalizing their activities to developed countries. As legal enforcement exhibits wide variations across regions and is sometimes subject to local authority intervention, China’s institutional environment is deemed underdeveloped </w:t>
      </w:r>
      <w:r w:rsidRPr="00A81A4F">
        <w:rPr>
          <w:noProof/>
        </w:rPr>
        <w:t>(Sheng, Zhou, &amp; Li, 2011)</w:t>
      </w:r>
      <w:r w:rsidRPr="00A81A4F">
        <w:t xml:space="preserve">. Thus, Chinese SMEs are increasingly compelled to acquire resources and seek economic opportunities in foreign countries </w:t>
      </w:r>
      <w:r w:rsidRPr="00A81A4F">
        <w:rPr>
          <w:noProof/>
        </w:rPr>
        <w:t>(Zhou et al., 2007)</w:t>
      </w:r>
      <w:r w:rsidRPr="00A81A4F">
        <w:t xml:space="preserve">. Second, research shows that Chinese SMEs have started to adopt proactive environmental strategy to manage their operations’ impact on the natural environment </w:t>
      </w:r>
      <w:bookmarkStart w:id="12" w:name="_Hlk63342203"/>
      <w:r w:rsidRPr="00A81A4F">
        <w:rPr>
          <w:noProof/>
        </w:rPr>
        <w:t>(Zeng, Meng, Zeng, Tam, Tam, &amp; Jin, 2011)</w:t>
      </w:r>
      <w:bookmarkEnd w:id="12"/>
      <w:r w:rsidRPr="00A81A4F">
        <w:t xml:space="preserve">. Third, foreign regulators and customers have developed negative stereotypes about Chinese SMEs’ environmental performance </w:t>
      </w:r>
      <w:r w:rsidRPr="00A81A4F">
        <w:rPr>
          <w:noProof/>
        </w:rPr>
        <w:t>(Zhu, 2016; Zhu &amp; Sarkis, 2007)</w:t>
      </w:r>
      <w:r w:rsidRPr="00A81A4F">
        <w:t xml:space="preserve">. Thus, many Chinese SMEs face pressure from foreign regulators and customers regarding environmental issues </w:t>
      </w:r>
      <w:bookmarkStart w:id="13" w:name="_Hlk62558029"/>
      <w:r w:rsidRPr="00A81A4F">
        <w:rPr>
          <w:noProof/>
        </w:rPr>
        <w:t>(Li, Ye, Dai, Zhao, &amp; Sheu, 2019; Luo, Jie, Li, &amp; Yao, 2018)</w:t>
      </w:r>
      <w:bookmarkEnd w:id="13"/>
      <w:r w:rsidRPr="00A81A4F">
        <w:t>.</w:t>
      </w:r>
    </w:p>
    <w:bookmarkEnd w:id="11"/>
    <w:p w14:paraId="602550AE" w14:textId="77777777" w:rsidR="002E0FEA" w:rsidRPr="00A81A4F" w:rsidRDefault="002E0FEA" w:rsidP="007E5D54">
      <w:pPr>
        <w:spacing w:after="0" w:line="480" w:lineRule="auto"/>
        <w:ind w:firstLine="720"/>
        <w:jc w:val="both"/>
        <w:rPr>
          <w:lang w:val="en-GB"/>
        </w:rPr>
      </w:pPr>
      <w:r w:rsidRPr="00A81A4F">
        <w:t xml:space="preserve">Drawing on different aspects of the resource-based view and institutional theory, we develop a conceptual framework (see Figure 1). </w:t>
      </w:r>
      <w:bookmarkStart w:id="14" w:name="_Hlk65847083"/>
      <w:bookmarkStart w:id="15" w:name="_Hlk65664701"/>
      <w:r w:rsidRPr="00A81A4F">
        <w:t xml:space="preserve">The resource-based view posits that the presence of unique resources enables firms to acquire new resources and </w:t>
      </w:r>
      <w:bookmarkStart w:id="16" w:name="_Hlk63344413"/>
      <w:r w:rsidRPr="00A81A4F">
        <w:t>achieve competitive advantages in the marketplace</w:t>
      </w:r>
      <w:bookmarkEnd w:id="14"/>
      <w:bookmarkEnd w:id="16"/>
      <w:r w:rsidRPr="00A81A4F">
        <w:t xml:space="preserve"> </w:t>
      </w:r>
      <w:r w:rsidRPr="00A81A4F">
        <w:rPr>
          <w:noProof/>
        </w:rPr>
        <w:t>(Barney, Ketchen, &amp; Wright, 2011; McWilliams &amp; Siegel, 2011)</w:t>
      </w:r>
      <w:r w:rsidRPr="00A81A4F">
        <w:t xml:space="preserve">. </w:t>
      </w:r>
      <w:bookmarkStart w:id="17" w:name="_Hlk65847099"/>
      <w:r w:rsidRPr="00A81A4F">
        <w:rPr>
          <w:lang w:val="en-GB"/>
        </w:rPr>
        <w:t>Applied to our context, we argue that the engagement of proactive environmental strategy by Chinese SMEs can be considered a unique resource that supports the firms’ internationalization efforts by acquiring resources and exploring economic opportunities from developed countries.</w:t>
      </w:r>
      <w:bookmarkEnd w:id="17"/>
      <w:r w:rsidRPr="00A81A4F">
        <w:rPr>
          <w:lang w:val="en-GB"/>
        </w:rPr>
        <w:t xml:space="preserve"> The resource-based view also indicates that </w:t>
      </w:r>
      <w:bookmarkStart w:id="18" w:name="_Hlk64122362"/>
      <w:r w:rsidRPr="00A81A4F">
        <w:t xml:space="preserve">the optimal use of firms’ resources requires alignment with certain institutional conditions </w:t>
      </w:r>
      <w:r w:rsidRPr="00A81A4F">
        <w:rPr>
          <w:noProof/>
          <w:lang w:val="en-GB"/>
        </w:rPr>
        <w:t>(Aragón-Correa &amp; Sharma, 2003; Oliver, 1997)</w:t>
      </w:r>
      <w:r w:rsidRPr="00A81A4F">
        <w:rPr>
          <w:lang w:val="en-GB"/>
        </w:rPr>
        <w:t xml:space="preserve">. </w:t>
      </w:r>
      <w:bookmarkEnd w:id="18"/>
      <w:r w:rsidRPr="00A81A4F">
        <w:rPr>
          <w:lang w:val="en-GB"/>
        </w:rPr>
        <w:t xml:space="preserve">Building on the concepts of </w:t>
      </w:r>
      <w:bookmarkStart w:id="19" w:name="_Hlk65420783"/>
      <w:r w:rsidRPr="00A81A4F">
        <w:rPr>
          <w:lang w:val="en-GB"/>
        </w:rPr>
        <w:t xml:space="preserve">isomorphism and institutional distance </w:t>
      </w:r>
      <w:bookmarkEnd w:id="19"/>
      <w:r w:rsidRPr="00A81A4F">
        <w:rPr>
          <w:lang w:val="en-GB"/>
        </w:rPr>
        <w:t xml:space="preserve">of </w:t>
      </w:r>
      <w:r w:rsidRPr="00A81A4F">
        <w:rPr>
          <w:lang w:val="en-GB"/>
        </w:rPr>
        <w:lastRenderedPageBreak/>
        <w:t xml:space="preserve">institutional theory, we further argue </w:t>
      </w:r>
      <w:bookmarkStart w:id="20" w:name="_Hlk65420801"/>
      <w:r w:rsidRPr="00A81A4F">
        <w:rPr>
          <w:lang w:val="en-GB"/>
        </w:rPr>
        <w:t xml:space="preserve">that foreign environmental regulatory and customer pressures play important roles in influencing this association between proactive environmental strategy and Chinese SMEs’ internationalization activities. </w:t>
      </w:r>
      <w:bookmarkStart w:id="21" w:name="_Hlk65849234"/>
      <w:bookmarkEnd w:id="20"/>
      <w:r w:rsidRPr="00A81A4F">
        <w:rPr>
          <w:lang w:val="en-GB"/>
        </w:rPr>
        <w:t xml:space="preserve">Because SMEs face limited resources, different levels of foreign institutional pressures may be useful for SMEs with proactive environmental strategy in some instances but not in others </w:t>
      </w:r>
      <w:r w:rsidRPr="00A81A4F">
        <w:rPr>
          <w:noProof/>
          <w:lang w:val="en-GB"/>
        </w:rPr>
        <w:t>(Schwens, Eiche, &amp; Kabst, 2011)</w:t>
      </w:r>
      <w:r w:rsidRPr="00A81A4F">
        <w:rPr>
          <w:lang w:val="en-GB"/>
        </w:rPr>
        <w:t>. We argue that the moderating effect is nonlinear.</w:t>
      </w:r>
    </w:p>
    <w:bookmarkEnd w:id="15"/>
    <w:bookmarkEnd w:id="21"/>
    <w:p w14:paraId="12951ED9" w14:textId="77777777" w:rsidR="002E0FEA" w:rsidRPr="00A81A4F" w:rsidRDefault="002E0FEA" w:rsidP="001A59D0">
      <w:pPr>
        <w:spacing w:after="0" w:line="480" w:lineRule="auto"/>
        <w:ind w:firstLine="720"/>
        <w:jc w:val="both"/>
      </w:pPr>
      <w:r w:rsidRPr="00A81A4F">
        <w:t xml:space="preserve">We make two crucial theoretical contributions. First, </w:t>
      </w:r>
      <w:bookmarkStart w:id="22" w:name="_Hlk65665617"/>
      <w:bookmarkStart w:id="23" w:name="_Hlk65665670"/>
      <w:r w:rsidRPr="00A81A4F">
        <w:t>our research expands the explanatory value of the resource-based view in studying SME environmental strategy and internationalization to the emerging country SME context.</w:t>
      </w:r>
      <w:bookmarkEnd w:id="22"/>
      <w:r w:rsidRPr="00A81A4F">
        <w:t xml:space="preserve"> Previous international business literature pays more attention to how developed country SMEs’ incorporation of environmental sustainability can be considered an important resource that can lead to competitive advantage in exporting – an outward-focused internationalization activity </w:t>
      </w:r>
      <w:r w:rsidRPr="00A81A4F">
        <w:rPr>
          <w:noProof/>
        </w:rPr>
        <w:t>(e.g., Martín-Tapia</w:t>
      </w:r>
      <w:r w:rsidRPr="00A81A4F">
        <w:rPr>
          <w:i/>
          <w:noProof/>
        </w:rPr>
        <w:t xml:space="preserve"> et al.</w:t>
      </w:r>
      <w:r w:rsidRPr="00A81A4F">
        <w:rPr>
          <w:noProof/>
        </w:rPr>
        <w:t>, 2010; Martin-Tapia</w:t>
      </w:r>
      <w:r w:rsidRPr="00A81A4F">
        <w:rPr>
          <w:i/>
          <w:noProof/>
        </w:rPr>
        <w:t xml:space="preserve"> et al.</w:t>
      </w:r>
      <w:r w:rsidRPr="00A81A4F">
        <w:rPr>
          <w:noProof/>
        </w:rPr>
        <w:t>, 2008)</w:t>
      </w:r>
      <w:r w:rsidRPr="00A81A4F">
        <w:t xml:space="preserve">. The insights generated from these studies cannot fully explain emerging country SMEs’ internationalization activities as they are derived from the acquisition of both foreign resources and economic opportunities </w:t>
      </w:r>
      <w:r w:rsidRPr="00A81A4F">
        <w:rPr>
          <w:noProof/>
        </w:rPr>
        <w:t>(Zhou</w:t>
      </w:r>
      <w:r w:rsidRPr="00A81A4F">
        <w:rPr>
          <w:i/>
          <w:noProof/>
        </w:rPr>
        <w:t xml:space="preserve"> et al.</w:t>
      </w:r>
      <w:r w:rsidRPr="00A81A4F">
        <w:rPr>
          <w:noProof/>
        </w:rPr>
        <w:t>, 2007)</w:t>
      </w:r>
      <w:r w:rsidRPr="00A81A4F">
        <w:t xml:space="preserve">. By illustrating how proactive environmental strategy can help to support Chinese SMEs’ inward-focused and outward-focused internationalization activities, we provide a more holistic perspective on how the resource-based view can be applied to explain the influence of proactive environmental strategy on the full range of SME internationalization activities. </w:t>
      </w:r>
    </w:p>
    <w:bookmarkEnd w:id="23"/>
    <w:p w14:paraId="7DCD1311" w14:textId="77777777" w:rsidR="002E0FEA" w:rsidRPr="00A81A4F" w:rsidRDefault="002E0FEA" w:rsidP="00DB3679">
      <w:pPr>
        <w:spacing w:after="0" w:line="480" w:lineRule="auto"/>
        <w:ind w:firstLine="720"/>
        <w:jc w:val="both"/>
      </w:pPr>
      <w:r w:rsidRPr="00A81A4F">
        <w:t xml:space="preserve">Second, </w:t>
      </w:r>
      <w:bookmarkStart w:id="24" w:name="_Hlk65665720"/>
      <w:r w:rsidRPr="00A81A4F">
        <w:t xml:space="preserve">our research advances the use of institutional theory in line with the resource-based view to explain firms’ international business strategies </w:t>
      </w:r>
      <w:r w:rsidRPr="00A81A4F">
        <w:rPr>
          <w:noProof/>
        </w:rPr>
        <w:t>(He, Brouthers, &amp; Filatotchev, 2013; Meyer, Estrin, Bhaumik, &amp; Peng, 2009)</w:t>
      </w:r>
      <w:r w:rsidRPr="00A81A4F">
        <w:t xml:space="preserve">. Theorists have traditionally suggested that isomorphism and institutional distance can impact the value that firms can generate from resource-based advantages in international business </w:t>
      </w:r>
      <w:r w:rsidRPr="00A81A4F">
        <w:rPr>
          <w:noProof/>
        </w:rPr>
        <w:t>(He</w:t>
      </w:r>
      <w:r w:rsidRPr="00A81A4F">
        <w:rPr>
          <w:i/>
          <w:noProof/>
        </w:rPr>
        <w:t xml:space="preserve"> et al.</w:t>
      </w:r>
      <w:r w:rsidRPr="00A81A4F">
        <w:rPr>
          <w:noProof/>
        </w:rPr>
        <w:t>, 2013; Oliver, 1997)</w:t>
      </w:r>
      <w:r w:rsidRPr="00A81A4F">
        <w:t xml:space="preserve">. However, this mechanism of how foreign environmental pressures can affect emerging country SMEs’ </w:t>
      </w:r>
      <w:r w:rsidRPr="00A81A4F">
        <w:lastRenderedPageBreak/>
        <w:t xml:space="preserve">efforts to leverage their proactive environmental practices in the pursuit of internationalization has not been empirically demonstrated. Furthermore, we suggest that emerging country SMEs pose challenges to this combined theoretical perspective. This is because, 1) as SMEs, their resource limitation may prevent them from fully realizing their advantages of pursuing proactive environmental strategy when faced with different levels of institutional pressures, and 2) as SMEs from emerging countries, they face environmental challenges from foreign regulators and customers about their firms based on negative stereotypes about their countries of origin. This is evinced by our findings that show foreign regulatory and customer pressures as pivotal vehicles with nonlinear moderating effects on the relationship between proactive environmental strategy and Chinese SME internationalization. Both low and high levels of foreign environmental pressures (from regulators and customers) do not maximize the strength of such a relationship. The beneficial effect of proactive environmental strategy on Chinese SME internationalization is the strongest when foreign environmental pressures are at a medium level. As such, this work </w:t>
      </w:r>
      <w:bookmarkStart w:id="25" w:name="_Hlk64105560"/>
      <w:r w:rsidRPr="00A81A4F">
        <w:t xml:space="preserve">contributes to the growing literature on legitimation challenges of emerging country SMEs in host countries </w:t>
      </w:r>
      <w:r w:rsidRPr="00A81A4F">
        <w:rPr>
          <w:noProof/>
        </w:rPr>
        <w:t>(e.g., Deng &amp; Zhang, 2018; Park &amp; Ghauri, 2015)</w:t>
      </w:r>
      <w:bookmarkEnd w:id="25"/>
      <w:r w:rsidRPr="00A81A4F">
        <w:t xml:space="preserve">, as well as extending the applicability of institutional theory in line with the resource-based view to explain the influence of institutional environment to foster or impede SMEs’ efforts to leverage proactive environmental strategy in pursuing internationalization. </w:t>
      </w:r>
    </w:p>
    <w:bookmarkEnd w:id="24"/>
    <w:p w14:paraId="3F6161C5" w14:textId="77777777" w:rsidR="002E0FEA" w:rsidRPr="00A81A4F" w:rsidRDefault="002E0FEA" w:rsidP="00DB3679">
      <w:pPr>
        <w:spacing w:after="0" w:line="480" w:lineRule="auto"/>
        <w:ind w:firstLine="720"/>
        <w:jc w:val="both"/>
      </w:pPr>
    </w:p>
    <w:p w14:paraId="15F0A04E" w14:textId="77777777" w:rsidR="002E0FEA" w:rsidRPr="00A81A4F" w:rsidRDefault="002E0FEA" w:rsidP="00DF0C72">
      <w:pPr>
        <w:spacing w:after="0" w:line="480" w:lineRule="auto"/>
        <w:jc w:val="both"/>
        <w:rPr>
          <w:b/>
        </w:rPr>
      </w:pPr>
      <w:r w:rsidRPr="00A81A4F">
        <w:rPr>
          <w:b/>
        </w:rPr>
        <w:t xml:space="preserve">2. Research Background </w:t>
      </w:r>
    </w:p>
    <w:p w14:paraId="4B428CBA" w14:textId="77777777" w:rsidR="002E0FEA" w:rsidRPr="00A81A4F" w:rsidRDefault="002E0FEA" w:rsidP="00263E06">
      <w:pPr>
        <w:spacing w:after="0" w:line="480" w:lineRule="auto"/>
        <w:ind w:firstLine="720"/>
        <w:jc w:val="both"/>
      </w:pPr>
      <w:r w:rsidRPr="00A81A4F">
        <w:rPr>
          <w:lang w:val="en-GB"/>
        </w:rPr>
        <w:t xml:space="preserve">Engaging in proactive environmental strategy and internationalization are two major trends in contemporary business practices. Consequently, the relationship between these two activities has attracted increasing attention in the academic literature. </w:t>
      </w:r>
      <w:r w:rsidRPr="00A81A4F">
        <w:t xml:space="preserve">In the international business literature, researchers have devoted a great deal of attention to exploring how proactive environmental strategy affects large multinational companies’ internationalization </w:t>
      </w:r>
      <w:r w:rsidRPr="00A81A4F">
        <w:lastRenderedPageBreak/>
        <w:t xml:space="preserve">practices </w:t>
      </w:r>
      <w:r w:rsidRPr="00A81A4F">
        <w:rPr>
          <w:noProof/>
        </w:rPr>
        <w:t>(e.g., Arora &amp; De, 2020; Chen, Ong, &amp; Hsu, 2016; Christmann, 2004; Dowell, Hart, &amp; Yeung, 2000)</w:t>
      </w:r>
      <w:r w:rsidRPr="00A81A4F">
        <w:t xml:space="preserve">. Yet only a few studies explore this relationship in the SME context. For example, the seminal studies led by Martin-Tapia and colleagues suggest a positive effect of SMEs’ environmental practices and export intensity, which varies in strength according to the degree of perceived uncertainty </w:t>
      </w:r>
      <w:r w:rsidRPr="00A81A4F">
        <w:rPr>
          <w:noProof/>
        </w:rPr>
        <w:t>(e.g., Martin-Tapia</w:t>
      </w:r>
      <w:r w:rsidRPr="00A81A4F">
        <w:rPr>
          <w:i/>
          <w:noProof/>
        </w:rPr>
        <w:t xml:space="preserve"> et al.</w:t>
      </w:r>
      <w:r w:rsidRPr="00A81A4F">
        <w:rPr>
          <w:noProof/>
        </w:rPr>
        <w:t>, 2008)</w:t>
      </w:r>
      <w:r w:rsidRPr="00A81A4F">
        <w:t xml:space="preserve"> and size </w:t>
      </w:r>
      <w:r w:rsidRPr="00A81A4F">
        <w:rPr>
          <w:noProof/>
        </w:rPr>
        <w:t>(Martín-Tapia</w:t>
      </w:r>
      <w:r w:rsidRPr="00A81A4F">
        <w:rPr>
          <w:i/>
          <w:noProof/>
        </w:rPr>
        <w:t xml:space="preserve"> et al.</w:t>
      </w:r>
      <w:r w:rsidRPr="00A81A4F">
        <w:rPr>
          <w:noProof/>
        </w:rPr>
        <w:t>, 2010)</w:t>
      </w:r>
      <w:r w:rsidRPr="00A81A4F">
        <w:t xml:space="preserve">. These researchers have provided enduring insights into how proactive environmental strategy can affect SME internationalization, and they also show how the strength of such an association depends on various contingent factors. Nevertheless, they focus primarily on the perspective of SMEs from developed countries. </w:t>
      </w:r>
    </w:p>
    <w:p w14:paraId="531DA4D8" w14:textId="77777777" w:rsidR="002E0FEA" w:rsidRPr="00A81A4F" w:rsidRDefault="002E0FEA" w:rsidP="00CA10B4">
      <w:pPr>
        <w:spacing w:after="0" w:line="480" w:lineRule="auto"/>
        <w:ind w:firstLine="720"/>
        <w:jc w:val="both"/>
      </w:pPr>
      <w:r w:rsidRPr="00A81A4F">
        <w:t xml:space="preserve">Our study builds on these insights but focuses on how emerging country SMEs leverage their proactive environmental strategy to internationalize their activities to developed countries. This perspective is important and unique in two ways. First, the pursuit of internationalization by developed country SMEs focuses mainly on securing business growth </w:t>
      </w:r>
      <w:r w:rsidRPr="00A81A4F">
        <w:rPr>
          <w:noProof/>
        </w:rPr>
        <w:t>(Love &amp; Roper, 2015; Martín-Tapia</w:t>
      </w:r>
      <w:r w:rsidRPr="00A81A4F">
        <w:rPr>
          <w:i/>
          <w:noProof/>
        </w:rPr>
        <w:t xml:space="preserve"> et al.</w:t>
      </w:r>
      <w:r w:rsidRPr="00A81A4F">
        <w:rPr>
          <w:noProof/>
        </w:rPr>
        <w:t>, 2010)</w:t>
      </w:r>
      <w:r w:rsidRPr="00A81A4F">
        <w:t xml:space="preserve">. However, the underdeveloped institutional environment in emerging countries impedes the development of knowledge and the flow of financial capital and constrains economic opportunities </w:t>
      </w:r>
      <w:r w:rsidRPr="00A81A4F">
        <w:rPr>
          <w:noProof/>
        </w:rPr>
        <w:t>(Khanna &amp; Palepu, 2010; Kostova, Marano, &amp; Tallman, 2016)</w:t>
      </w:r>
      <w:r w:rsidRPr="00A81A4F">
        <w:t xml:space="preserve">. Thus, the pursuit of internationalization by SMEs from emerging countries often puts the emphasis on both inward-focused and outward-focused internationalization activities to not only acquire foreign resources, but also to grow revenue and profits. Second, emerging country firms often face legitimation challenges on environmental issues from developed countries’ regulators and customers as their home country institutions do not enforce or enable good governance </w:t>
      </w:r>
      <w:r w:rsidRPr="00A81A4F">
        <w:rPr>
          <w:noProof/>
        </w:rPr>
        <w:t>(Cuervo-Cazurra &amp; Ramamurti, 2014; Kostova</w:t>
      </w:r>
      <w:r w:rsidRPr="00A81A4F">
        <w:rPr>
          <w:i/>
          <w:noProof/>
        </w:rPr>
        <w:t xml:space="preserve"> et al.</w:t>
      </w:r>
      <w:r w:rsidRPr="00A81A4F">
        <w:rPr>
          <w:noProof/>
        </w:rPr>
        <w:t>, 2016)</w:t>
      </w:r>
      <w:r w:rsidRPr="00A81A4F">
        <w:t xml:space="preserve">. Thus, the pursuit of internationalization by SMEs from emerging countries needs to account for environmental pressures from foreign regulators and customers. </w:t>
      </w:r>
    </w:p>
    <w:p w14:paraId="3349D42D" w14:textId="77777777" w:rsidR="002E0FEA" w:rsidRPr="00A81A4F" w:rsidRDefault="002E0FEA" w:rsidP="00A51A01">
      <w:pPr>
        <w:spacing w:after="0" w:line="480" w:lineRule="auto"/>
        <w:ind w:firstLine="720"/>
        <w:jc w:val="both"/>
      </w:pPr>
      <w:r w:rsidRPr="00A81A4F">
        <w:lastRenderedPageBreak/>
        <w:t xml:space="preserve">So far, we have only identified </w:t>
      </w:r>
      <w:r w:rsidRPr="00A81A4F">
        <w:rPr>
          <w:noProof/>
        </w:rPr>
        <w:t>Chan and Ma (2016)</w:t>
      </w:r>
      <w:r w:rsidRPr="00A81A4F">
        <w:t xml:space="preserve"> work that explores the processes underlying the development of an environmental orientation and its impacts on emerging country SMEs’ export performance, which is closely related to the topic of this research. However, their work focuses primarily on the financial performance achieved from engaging in internationalization activities (i.e., exporting), as well as the influence of home country institutions (China’s local ecological infrastructure). Thus, whether proactive environmental strategy has desirable effects on the engagement of inward-focused/outward-focused internationalization activities is yet to be explored, as well as the host country institutions' influence concerning environmental sustainability on this relationship. We address these gaps by studying Chinese SMEs’ proactive environmental strategy and internationalization activities directed at developed countries. Chinese </w:t>
      </w:r>
      <w:r w:rsidRPr="00A81A4F">
        <w:rPr>
          <w:lang w:val="en-GB"/>
        </w:rPr>
        <w:t xml:space="preserve">SMEs have taken various actions to develop their proactive environmental strategy to manage their operations’ impact on the natural environment </w:t>
      </w:r>
      <w:r w:rsidRPr="00A81A4F">
        <w:rPr>
          <w:noProof/>
          <w:lang w:val="en-GB"/>
        </w:rPr>
        <w:t>(Li</w:t>
      </w:r>
      <w:r w:rsidRPr="00A81A4F">
        <w:rPr>
          <w:i/>
          <w:noProof/>
          <w:lang w:val="en-GB"/>
        </w:rPr>
        <w:t xml:space="preserve"> et al.</w:t>
      </w:r>
      <w:r w:rsidRPr="00A81A4F">
        <w:rPr>
          <w:noProof/>
          <w:lang w:val="en-GB"/>
        </w:rPr>
        <w:t>, 2019; Zeng</w:t>
      </w:r>
      <w:r w:rsidRPr="00A81A4F">
        <w:rPr>
          <w:i/>
          <w:noProof/>
          <w:lang w:val="en-GB"/>
        </w:rPr>
        <w:t xml:space="preserve"> et al.</w:t>
      </w:r>
      <w:r w:rsidRPr="00A81A4F">
        <w:rPr>
          <w:noProof/>
          <w:lang w:val="en-GB"/>
        </w:rPr>
        <w:t>, 2011)</w:t>
      </w:r>
      <w:r w:rsidRPr="00A81A4F">
        <w:rPr>
          <w:lang w:val="en-GB"/>
        </w:rPr>
        <w:t xml:space="preserve">. </w:t>
      </w:r>
      <w:r w:rsidRPr="00A81A4F">
        <w:t xml:space="preserve">Like other emerging countries, China has an underdeveloped institutional environment </w:t>
      </w:r>
      <w:r w:rsidRPr="00A81A4F">
        <w:rPr>
          <w:noProof/>
        </w:rPr>
        <w:t>(Marano</w:t>
      </w:r>
      <w:r w:rsidRPr="00A81A4F">
        <w:rPr>
          <w:i/>
          <w:noProof/>
        </w:rPr>
        <w:t xml:space="preserve"> et al.</w:t>
      </w:r>
      <w:r w:rsidRPr="00A81A4F">
        <w:rPr>
          <w:noProof/>
        </w:rPr>
        <w:t>, 2017; Sheng</w:t>
      </w:r>
      <w:r w:rsidRPr="00A81A4F">
        <w:rPr>
          <w:i/>
          <w:noProof/>
        </w:rPr>
        <w:t xml:space="preserve"> et al.</w:t>
      </w:r>
      <w:r w:rsidRPr="00A81A4F">
        <w:rPr>
          <w:noProof/>
        </w:rPr>
        <w:t>, 2011)</w:t>
      </w:r>
      <w:r w:rsidRPr="00A81A4F">
        <w:t xml:space="preserve"> which may motivate SMEs to seek both inward-focused and outward-focused internationalization activities when entering developed countries </w:t>
      </w:r>
      <w:r w:rsidRPr="00A81A4F">
        <w:rPr>
          <w:noProof/>
        </w:rPr>
        <w:t>(Zhou</w:t>
      </w:r>
      <w:r w:rsidRPr="00A81A4F">
        <w:rPr>
          <w:i/>
          <w:noProof/>
        </w:rPr>
        <w:t xml:space="preserve"> et al.</w:t>
      </w:r>
      <w:r w:rsidRPr="00A81A4F">
        <w:rPr>
          <w:noProof/>
        </w:rPr>
        <w:t>, 2007)</w:t>
      </w:r>
      <w:r w:rsidRPr="00A81A4F">
        <w:t xml:space="preserve">. Foreign regulators and customers from developed countries have established negative stereotypes concerning Chinese SMEs’ environmental sustainability </w:t>
      </w:r>
      <w:r w:rsidRPr="00A81A4F">
        <w:rPr>
          <w:noProof/>
        </w:rPr>
        <w:t>(Li</w:t>
      </w:r>
      <w:r w:rsidRPr="00A81A4F">
        <w:rPr>
          <w:i/>
          <w:noProof/>
        </w:rPr>
        <w:t xml:space="preserve"> et al.</w:t>
      </w:r>
      <w:r w:rsidRPr="00A81A4F">
        <w:rPr>
          <w:noProof/>
        </w:rPr>
        <w:t>, 2019; Luo</w:t>
      </w:r>
      <w:r w:rsidRPr="00A81A4F">
        <w:rPr>
          <w:i/>
          <w:noProof/>
        </w:rPr>
        <w:t xml:space="preserve"> et al.</w:t>
      </w:r>
      <w:r w:rsidRPr="00A81A4F">
        <w:rPr>
          <w:noProof/>
        </w:rPr>
        <w:t>, 2018)</w:t>
      </w:r>
      <w:r w:rsidRPr="00A81A4F">
        <w:t>. This contextualization allows us to study the role of proactive environmental activity and foreign institutional pressures on environmental issues in emerging country SME internationalization activities, and to generate managerial insights for emerging country SMEs.</w:t>
      </w:r>
    </w:p>
    <w:p w14:paraId="325D96CB" w14:textId="77777777" w:rsidR="002E0FEA" w:rsidRPr="00A81A4F" w:rsidRDefault="002E0FEA" w:rsidP="00DF0C72">
      <w:pPr>
        <w:spacing w:after="0" w:line="480" w:lineRule="auto"/>
        <w:jc w:val="both"/>
      </w:pPr>
    </w:p>
    <w:p w14:paraId="4B6EB86C" w14:textId="77777777" w:rsidR="002E0FEA" w:rsidRPr="00A81A4F" w:rsidRDefault="002E0FEA" w:rsidP="00016DFF">
      <w:pPr>
        <w:spacing w:after="0" w:line="480" w:lineRule="auto"/>
        <w:jc w:val="both"/>
      </w:pPr>
      <w:r w:rsidRPr="00A81A4F">
        <w:rPr>
          <w:b/>
        </w:rPr>
        <w:t xml:space="preserve">3. Theories and Hypotheses </w:t>
      </w:r>
    </w:p>
    <w:p w14:paraId="71A5D66E" w14:textId="77777777" w:rsidR="002E0FEA" w:rsidRPr="00A81A4F" w:rsidRDefault="002E0FEA" w:rsidP="00016DFF">
      <w:pPr>
        <w:spacing w:after="0" w:line="480" w:lineRule="auto"/>
        <w:jc w:val="both"/>
        <w:rPr>
          <w:i/>
        </w:rPr>
      </w:pPr>
      <w:r w:rsidRPr="00A81A4F">
        <w:rPr>
          <w:i/>
        </w:rPr>
        <w:t>3.1 Proactive environmental Strategy and Internationalization</w:t>
      </w:r>
    </w:p>
    <w:p w14:paraId="022039F1" w14:textId="77777777" w:rsidR="002E0FEA" w:rsidRPr="00A81A4F" w:rsidRDefault="002E0FEA" w:rsidP="0074409E">
      <w:pPr>
        <w:spacing w:after="0" w:line="480" w:lineRule="auto"/>
        <w:jc w:val="both"/>
      </w:pPr>
      <w:r w:rsidRPr="00A81A4F">
        <w:lastRenderedPageBreak/>
        <w:tab/>
        <w:t xml:space="preserve">We draw on the resource-based view to argue that proactive environmental strategy affects SME internationalization (see Figure 1). The theory assumes that firms’ unique resources that are valuable, rare, and inimitable influence their strategic actions </w:t>
      </w:r>
      <w:r w:rsidRPr="00A81A4F">
        <w:rPr>
          <w:noProof/>
        </w:rPr>
        <w:t>(Barney</w:t>
      </w:r>
      <w:r w:rsidRPr="00A81A4F">
        <w:rPr>
          <w:i/>
          <w:noProof/>
        </w:rPr>
        <w:t xml:space="preserve"> et al.</w:t>
      </w:r>
      <w:r w:rsidRPr="00A81A4F">
        <w:rPr>
          <w:noProof/>
        </w:rPr>
        <w:t>, 2011)</w:t>
      </w:r>
      <w:r w:rsidRPr="00A81A4F">
        <w:t xml:space="preserve">. Because resources are the sources of firms’ advantages in the marketplace, it is thus more feasible for managers to plan actions to exploit business opportunities based on the strengths of the firms’ resources. Drawing on the resource-based view, we conceptualize proactive environmental strategy as the predictor in our framework. Proactive environmental strategy reflects firms’ incorporation of a range of environmentally sustainable practices in their business operations to improve their interaction with the natural environment </w:t>
      </w:r>
      <w:r w:rsidRPr="00A81A4F">
        <w:rPr>
          <w:noProof/>
        </w:rPr>
        <w:t>(Christmann &amp; Taylor, 2002; Jones</w:t>
      </w:r>
      <w:r w:rsidRPr="00A81A4F">
        <w:rPr>
          <w:i/>
          <w:noProof/>
        </w:rPr>
        <w:t xml:space="preserve"> et al.</w:t>
      </w:r>
      <w:r w:rsidRPr="00A81A4F">
        <w:rPr>
          <w:noProof/>
        </w:rPr>
        <w:t>, 2014)</w:t>
      </w:r>
      <w:r w:rsidRPr="00A81A4F">
        <w:t xml:space="preserve">. Engagement in proactive environmental strategy can be considered an important firm resource </w:t>
      </w:r>
      <w:r w:rsidRPr="00A81A4F">
        <w:rPr>
          <w:noProof/>
        </w:rPr>
        <w:t>(Chan, 2005)</w:t>
      </w:r>
      <w:r w:rsidRPr="00A81A4F">
        <w:t xml:space="preserve">. Previous studies report that Chinese SMEs are increasingly adopting a proactive environmental strategy to “green up” their operations and convert environmental threats to their advantage in implementing business strategy </w:t>
      </w:r>
      <w:r w:rsidRPr="00A81A4F">
        <w:rPr>
          <w:noProof/>
        </w:rPr>
        <w:t>(Zeng</w:t>
      </w:r>
      <w:r w:rsidRPr="00A81A4F">
        <w:rPr>
          <w:i/>
          <w:noProof/>
        </w:rPr>
        <w:t xml:space="preserve"> et al.</w:t>
      </w:r>
      <w:r w:rsidRPr="00A81A4F">
        <w:rPr>
          <w:noProof/>
        </w:rPr>
        <w:t>, 2011)</w:t>
      </w:r>
      <w:r w:rsidRPr="00A81A4F">
        <w:t>.</w:t>
      </w:r>
    </w:p>
    <w:p w14:paraId="295B8F52" w14:textId="77777777" w:rsidR="002E0FEA" w:rsidRPr="00A81A4F" w:rsidRDefault="002E0FEA" w:rsidP="00BF4FCB">
      <w:pPr>
        <w:spacing w:after="0" w:line="480" w:lineRule="auto"/>
        <w:jc w:val="center"/>
      </w:pPr>
      <w:r w:rsidRPr="00A81A4F">
        <w:t xml:space="preserve">“Insert Figure 1 </w:t>
      </w:r>
      <w:proofErr w:type="gramStart"/>
      <w:r w:rsidRPr="00A81A4F">
        <w:t>Here</w:t>
      </w:r>
      <w:proofErr w:type="gramEnd"/>
      <w:r w:rsidRPr="00A81A4F">
        <w:t>”</w:t>
      </w:r>
    </w:p>
    <w:p w14:paraId="3895FC2E" w14:textId="77777777" w:rsidR="002E0FEA" w:rsidRPr="00A81A4F" w:rsidRDefault="002E0FEA" w:rsidP="00BC7345">
      <w:pPr>
        <w:spacing w:after="0" w:line="480" w:lineRule="auto"/>
        <w:ind w:firstLine="720"/>
        <w:jc w:val="both"/>
      </w:pPr>
      <w:r w:rsidRPr="00A81A4F">
        <w:t xml:space="preserve">At the same time, we conceptualize inward-focused and outward-focused internationalization activities as the dependent variables in our conceptual framework (see Figure 1). This consideration also builds on the resource-based view, which argues that firms’ various strategic actions, such as internationalization </w:t>
      </w:r>
      <w:r w:rsidRPr="00A81A4F">
        <w:rPr>
          <w:noProof/>
        </w:rPr>
        <w:t>(e.g., Martín-Tapia</w:t>
      </w:r>
      <w:r w:rsidRPr="00A81A4F">
        <w:rPr>
          <w:i/>
          <w:noProof/>
        </w:rPr>
        <w:t xml:space="preserve"> et al.</w:t>
      </w:r>
      <w:r w:rsidRPr="00A81A4F">
        <w:rPr>
          <w:noProof/>
        </w:rPr>
        <w:t>, 2010)</w:t>
      </w:r>
      <w:r w:rsidRPr="00A81A4F">
        <w:t xml:space="preserve">, can be considered important consequences that arise from realizing the value of its incorporation of green operations </w:t>
      </w:r>
      <w:r w:rsidRPr="00A81A4F">
        <w:rPr>
          <w:noProof/>
        </w:rPr>
        <w:t>(Chan, 2005; Hart, 1995)</w:t>
      </w:r>
      <w:r w:rsidRPr="00A81A4F">
        <w:t xml:space="preserve">. This study focuses on four types of internationalization activity pursued by Chinese SMEs </w:t>
      </w:r>
      <w:r w:rsidRPr="00A81A4F">
        <w:rPr>
          <w:noProof/>
        </w:rPr>
        <w:t>(Zhou</w:t>
      </w:r>
      <w:r w:rsidRPr="00A81A4F">
        <w:rPr>
          <w:i/>
          <w:noProof/>
        </w:rPr>
        <w:t xml:space="preserve"> et al.</w:t>
      </w:r>
      <w:r w:rsidRPr="00A81A4F">
        <w:rPr>
          <w:noProof/>
        </w:rPr>
        <w:t>, 2007)</w:t>
      </w:r>
      <w:r w:rsidRPr="00A81A4F">
        <w:t xml:space="preserve">. </w:t>
      </w:r>
      <w:bookmarkStart w:id="26" w:name="_Hlk65333531"/>
      <w:r w:rsidRPr="00A81A4F">
        <w:t xml:space="preserve">The first type of internationalization activity is exporting. Previous studies have recognized that exporting is the most common strategy for SMEs to gain entry to foreign markets and aggressively seek foreign markets (customers) </w:t>
      </w:r>
      <w:r w:rsidRPr="00A81A4F">
        <w:rPr>
          <w:noProof/>
        </w:rPr>
        <w:t>(Love &amp; Roper, 2015)</w:t>
      </w:r>
      <w:r w:rsidRPr="00A81A4F">
        <w:t xml:space="preserve">. The second type of internationalization activity is </w:t>
      </w:r>
      <w:r w:rsidRPr="00A81A4F">
        <w:lastRenderedPageBreak/>
        <w:t xml:space="preserve">to develop alliance relationships with foreign partners (e.g., </w:t>
      </w:r>
      <w:bookmarkStart w:id="27" w:name="_Hlk63071048"/>
      <w:r w:rsidRPr="00A81A4F">
        <w:t>supplier-buyer relationship</w:t>
      </w:r>
      <w:bookmarkEnd w:id="27"/>
      <w:r w:rsidRPr="00A81A4F">
        <w:t xml:space="preserve">). Under this approach, SMEs become their foreign partners’ international suppliers and indirectly sell their products/services to foreign customers </w:t>
      </w:r>
      <w:r w:rsidRPr="00A81A4F">
        <w:rPr>
          <w:noProof/>
        </w:rPr>
        <w:t>(Khavul, Prater, &amp; Swafford, 2012; Zhang</w:t>
      </w:r>
      <w:r w:rsidRPr="00A81A4F">
        <w:rPr>
          <w:i/>
          <w:noProof/>
        </w:rPr>
        <w:t xml:space="preserve"> et al.</w:t>
      </w:r>
      <w:r w:rsidRPr="00A81A4F">
        <w:rPr>
          <w:noProof/>
        </w:rPr>
        <w:t>, 2016)</w:t>
      </w:r>
      <w:r w:rsidRPr="00A81A4F">
        <w:t xml:space="preserve">. </w:t>
      </w:r>
      <w:r w:rsidRPr="00A81A4F">
        <w:rPr>
          <w:noProof/>
        </w:rPr>
        <w:t>Zhou</w:t>
      </w:r>
      <w:r w:rsidRPr="00A81A4F">
        <w:rPr>
          <w:i/>
          <w:noProof/>
        </w:rPr>
        <w:t xml:space="preserve"> et al.</w:t>
      </w:r>
      <w:r w:rsidRPr="00A81A4F">
        <w:rPr>
          <w:noProof/>
        </w:rPr>
        <w:t xml:space="preserve"> (2007)</w:t>
      </w:r>
      <w:r w:rsidRPr="00A81A4F">
        <w:t xml:space="preserve"> categorize these two activities as “outward-focused internationalization activities", focusing on exploring foreign economic opportunities. </w:t>
      </w:r>
    </w:p>
    <w:p w14:paraId="6CF854D0" w14:textId="77777777" w:rsidR="002E0FEA" w:rsidRPr="00A81A4F" w:rsidRDefault="002E0FEA" w:rsidP="000F6A01">
      <w:pPr>
        <w:spacing w:after="0" w:line="480" w:lineRule="auto"/>
        <w:ind w:firstLine="720"/>
        <w:jc w:val="both"/>
      </w:pPr>
      <w:bookmarkStart w:id="28" w:name="_Hlk65333630"/>
      <w:bookmarkEnd w:id="26"/>
      <w:r w:rsidRPr="00A81A4F">
        <w:t xml:space="preserve">The third type of internationalization activity is to learn advanced foreign knowledge (i.e., management skills and technologies). Internationalization has been defined as the process of increasing involvement in international operations </w:t>
      </w:r>
      <w:r w:rsidRPr="00A81A4F">
        <w:rPr>
          <w:noProof/>
        </w:rPr>
        <w:t>(Bagheri</w:t>
      </w:r>
      <w:r w:rsidRPr="00A81A4F">
        <w:rPr>
          <w:i/>
          <w:noProof/>
        </w:rPr>
        <w:t xml:space="preserve"> et al.</w:t>
      </w:r>
      <w:r w:rsidRPr="00A81A4F">
        <w:rPr>
          <w:noProof/>
        </w:rPr>
        <w:t>, 2019; Welch &amp; Luostarinen, 1993)</w:t>
      </w:r>
      <w:r w:rsidRPr="00A81A4F">
        <w:t xml:space="preserve">. Following this definition, besides </w:t>
      </w:r>
      <w:proofErr w:type="gramStart"/>
      <w:r w:rsidRPr="00A81A4F">
        <w:t>seeking</w:t>
      </w:r>
      <w:proofErr w:type="gramEnd"/>
      <w:r w:rsidRPr="00A81A4F">
        <w:t xml:space="preserve"> and expanding into foreign markets, SMEs can also engage in internationalization by incorporating foreign knowledge into the existing operations </w:t>
      </w:r>
      <w:r w:rsidRPr="00A81A4F">
        <w:rPr>
          <w:noProof/>
        </w:rPr>
        <w:t>(Korhonen, Luostarinen, &amp; Welch, 1996)</w:t>
      </w:r>
      <w:r w:rsidRPr="00A81A4F">
        <w:t xml:space="preserve">. The fourth type of internationalization activity is to utilize foreign direct investment. Acquiring and using foreign direct investment is an important route to SME internationalization because it stimulates foreign knowledge transfer and allows SMEs to access foreign investors’ strategic assets </w:t>
      </w:r>
      <w:r w:rsidRPr="00A81A4F">
        <w:rPr>
          <w:noProof/>
        </w:rPr>
        <w:t>(Kang, Scott-Kennel, Battisti, &amp; Deakins, 2020)</w:t>
      </w:r>
      <w:r w:rsidRPr="00A81A4F">
        <w:t xml:space="preserve">. </w:t>
      </w:r>
      <w:bookmarkStart w:id="29" w:name="_Hlk62657110"/>
      <w:r w:rsidRPr="00A81A4F">
        <w:rPr>
          <w:noProof/>
        </w:rPr>
        <w:t>Zhou</w:t>
      </w:r>
      <w:r w:rsidRPr="00A81A4F">
        <w:rPr>
          <w:i/>
          <w:noProof/>
        </w:rPr>
        <w:t xml:space="preserve"> et al.</w:t>
      </w:r>
      <w:r w:rsidRPr="00A81A4F">
        <w:rPr>
          <w:noProof/>
        </w:rPr>
        <w:t xml:space="preserve"> (2007)</w:t>
      </w:r>
      <w:r w:rsidRPr="00A81A4F">
        <w:t xml:space="preserve"> categorize these two activities as “inward-focused internationalization activities” that focus on acquiring knowledge and financial capital from foreign countries.</w:t>
      </w:r>
    </w:p>
    <w:bookmarkEnd w:id="28"/>
    <w:bookmarkEnd w:id="29"/>
    <w:p w14:paraId="0DDAA32E" w14:textId="77777777" w:rsidR="002E0FEA" w:rsidRPr="00A81A4F" w:rsidRDefault="002E0FEA" w:rsidP="00A01877">
      <w:pPr>
        <w:spacing w:after="0" w:line="480" w:lineRule="auto"/>
        <w:jc w:val="both"/>
      </w:pPr>
      <w:r w:rsidRPr="00A81A4F">
        <w:tab/>
        <w:t xml:space="preserve">We anticipate the positive relationship between proactive environmental strategy and Chinese SMEs’ inward-focused internationalization activities. </w:t>
      </w:r>
      <w:bookmarkStart w:id="30" w:name="_Hlk65404990"/>
      <w:r w:rsidRPr="00A81A4F">
        <w:t xml:space="preserve">In comparison to developed countries, China has underdeveloped institutions (e.g., legal enforcement exhibits wide variations across regions and sometimes intervention by local authorities) </w:t>
      </w:r>
      <w:bookmarkStart w:id="31" w:name="_Hlk65405052"/>
      <w:r w:rsidRPr="00A81A4F">
        <w:rPr>
          <w:noProof/>
        </w:rPr>
        <w:t>(Marano</w:t>
      </w:r>
      <w:r w:rsidRPr="00A81A4F">
        <w:rPr>
          <w:i/>
          <w:noProof/>
        </w:rPr>
        <w:t xml:space="preserve"> et al.</w:t>
      </w:r>
      <w:r w:rsidRPr="00A81A4F">
        <w:rPr>
          <w:noProof/>
        </w:rPr>
        <w:t>, 2017; Sheng</w:t>
      </w:r>
      <w:r w:rsidRPr="00A81A4F">
        <w:rPr>
          <w:i/>
          <w:noProof/>
        </w:rPr>
        <w:t xml:space="preserve"> et al.</w:t>
      </w:r>
      <w:r w:rsidRPr="00A81A4F">
        <w:rPr>
          <w:noProof/>
        </w:rPr>
        <w:t>, 2011)</w:t>
      </w:r>
      <w:bookmarkEnd w:id="31"/>
      <w:r w:rsidRPr="00A81A4F">
        <w:t xml:space="preserve"> that may impede the development of knowledge and flow of financial capital. </w:t>
      </w:r>
      <w:bookmarkStart w:id="32" w:name="_Hlk62743184"/>
      <w:r w:rsidRPr="00A81A4F">
        <w:t>As a result, Chinese SMEs seek internationalization to acquire resources from developed countries.</w:t>
      </w:r>
      <w:r w:rsidRPr="00A81A4F">
        <w:rPr>
          <w:lang w:val="en-GB"/>
        </w:rPr>
        <w:t xml:space="preserve"> </w:t>
      </w:r>
      <w:bookmarkEnd w:id="32"/>
      <w:r w:rsidRPr="00A81A4F">
        <w:rPr>
          <w:lang w:val="en-GB"/>
        </w:rPr>
        <w:t xml:space="preserve">The engagement of proactive environmental strategy favors Chinese SMEs’ pursuit of inward-focused internationalization activities. </w:t>
      </w:r>
      <w:bookmarkStart w:id="33" w:name="_Hlk63344349"/>
      <w:bookmarkStart w:id="34" w:name="_Hlk65499455"/>
      <w:bookmarkStart w:id="35" w:name="_Hlk63412247"/>
      <w:bookmarkEnd w:id="30"/>
      <w:r w:rsidRPr="00A81A4F">
        <w:t xml:space="preserve">Our arguments build on </w:t>
      </w:r>
      <w:bookmarkStart w:id="36" w:name="_Hlk65499390"/>
      <w:r w:rsidRPr="00A81A4F">
        <w:t xml:space="preserve">an </w:t>
      </w:r>
      <w:r w:rsidRPr="00A81A4F">
        <w:lastRenderedPageBreak/>
        <w:t>aspect of the resource-based view which suggests that firms’ existing resources support their acquisition of new resources</w:t>
      </w:r>
      <w:bookmarkEnd w:id="33"/>
      <w:r w:rsidRPr="00A81A4F">
        <w:t xml:space="preserve"> </w:t>
      </w:r>
      <w:r w:rsidRPr="00A81A4F">
        <w:rPr>
          <w:noProof/>
        </w:rPr>
        <w:t>(Barney</w:t>
      </w:r>
      <w:r w:rsidRPr="00A81A4F">
        <w:rPr>
          <w:i/>
          <w:noProof/>
        </w:rPr>
        <w:t xml:space="preserve"> et al.</w:t>
      </w:r>
      <w:r w:rsidRPr="00A81A4F">
        <w:rPr>
          <w:noProof/>
        </w:rPr>
        <w:t>, 2011; Wernerfelt, 2011)</w:t>
      </w:r>
      <w:r w:rsidRPr="00A81A4F">
        <w:t xml:space="preserve">. </w:t>
      </w:r>
      <w:bookmarkStart w:id="37" w:name="_Hlk65499431"/>
      <w:bookmarkEnd w:id="34"/>
      <w:bookmarkEnd w:id="36"/>
      <w:r w:rsidRPr="00A81A4F">
        <w:t xml:space="preserve">In other words, the implementation of a proactive environmental strategy makes it easier for Chinese SMEs to utilize </w:t>
      </w:r>
      <w:r w:rsidRPr="00A81A4F">
        <w:rPr>
          <w:lang w:val="en-GB"/>
        </w:rPr>
        <w:t xml:space="preserve">knowledge (e.g., advanced management skills and technology) and financial capital </w:t>
      </w:r>
      <w:r w:rsidRPr="00A81A4F">
        <w:t xml:space="preserve">from developed countries. </w:t>
      </w:r>
    </w:p>
    <w:bookmarkEnd w:id="35"/>
    <w:bookmarkEnd w:id="37"/>
    <w:p w14:paraId="17B2D9AE" w14:textId="77777777" w:rsidR="002E0FEA" w:rsidRPr="00A81A4F" w:rsidRDefault="002E0FEA" w:rsidP="00280D32">
      <w:pPr>
        <w:spacing w:after="0" w:line="480" w:lineRule="auto"/>
        <w:ind w:firstLine="720"/>
        <w:jc w:val="both"/>
      </w:pPr>
      <w:r w:rsidRPr="00A81A4F">
        <w:t>More specifically</w:t>
      </w:r>
      <w:bookmarkStart w:id="38" w:name="_Hlk65401691"/>
      <w:r w:rsidRPr="00A81A4F">
        <w:t xml:space="preserve">, applying a proactive environmental strategy requires Chinese SMEs’ efforts to incorporate environmental practices into their regular business operations to reduce their impact on the natural environment. Prior studies suggest that </w:t>
      </w:r>
      <w:bookmarkStart w:id="39" w:name="_Hlk63330883"/>
      <w:r w:rsidRPr="00A81A4F">
        <w:t xml:space="preserve">implementing environmental practices </w:t>
      </w:r>
      <w:bookmarkEnd w:id="39"/>
      <w:r w:rsidRPr="00A81A4F">
        <w:t xml:space="preserve">involves using more advanced management skills (or technologies) to facilitate environmentally sustainable economic activities </w:t>
      </w:r>
      <w:r w:rsidRPr="00A81A4F">
        <w:rPr>
          <w:noProof/>
          <w:lang w:val="en-GB"/>
        </w:rPr>
        <w:t>(Chan, 2005; Hart, 1995; Trumpp &amp; Guenther, 2017)</w:t>
      </w:r>
      <w:r w:rsidRPr="00A81A4F">
        <w:rPr>
          <w:lang w:val="en-GB"/>
        </w:rPr>
        <w:t xml:space="preserve">. In other words, environmentally sustainable Chinese SMEs have already incorporated more advanced management skills or technologies (to certain degrees) in their business operations. Concurrently, </w:t>
      </w:r>
      <w:r w:rsidRPr="00A81A4F">
        <w:t xml:space="preserve">knowledge (e.g., advanced management skills and technology) created by organizations in developed countries often features some levels of environmental protection and green initiatives because of the more developed institutional environment </w:t>
      </w:r>
      <w:r w:rsidRPr="00A81A4F">
        <w:rPr>
          <w:noProof/>
        </w:rPr>
        <w:t>(Delmas &amp; Toffel, 2008; Marano</w:t>
      </w:r>
      <w:r w:rsidRPr="00A81A4F">
        <w:rPr>
          <w:i/>
          <w:noProof/>
        </w:rPr>
        <w:t xml:space="preserve"> et al.</w:t>
      </w:r>
      <w:r w:rsidRPr="00A81A4F">
        <w:rPr>
          <w:noProof/>
        </w:rPr>
        <w:t>, 2017)</w:t>
      </w:r>
      <w:r w:rsidRPr="00A81A4F">
        <w:t xml:space="preserve">. Thus, Chinese SMEs with a proactive environmental strategy can adopt these foreign advanced management skills and technologies without considerable adjustments to the current practices. This is also evinced by prior studies, which show that the lack of relevant knowledge in applying respective technologies (i.e., smart waste management) is an important barrier </w:t>
      </w:r>
      <w:r w:rsidRPr="00A81A4F">
        <w:rPr>
          <w:noProof/>
        </w:rPr>
        <w:t>(Zhang, Venkatesh, Liu, Wan, Qu, &amp; Huisingh, 2019)</w:t>
      </w:r>
      <w:r w:rsidRPr="00A81A4F">
        <w:t xml:space="preserve">, but technological factors such as the compatibility with existing operations are an important determining factor for Chinese firms when adopting new managerial concepts (e.g., circular economy) and technologies (e.g., green technology, e-commerce, etc.) from foreign countries </w:t>
      </w:r>
      <w:r w:rsidRPr="00A81A4F">
        <w:rPr>
          <w:noProof/>
        </w:rPr>
        <w:t>(Pesce, Tamai, Guo, Critto, Brombal, Wang, Cheng, &amp; Marcomini, 2020)</w:t>
      </w:r>
      <w:r w:rsidRPr="00A81A4F">
        <w:t xml:space="preserve">. Thus, we argue that environmentally sustainable Chinese SMEs are more </w:t>
      </w:r>
      <w:r w:rsidRPr="00A81A4F">
        <w:lastRenderedPageBreak/>
        <w:t xml:space="preserve">likely to acquire and utilize advanced management skills and technologies from developed countries. </w:t>
      </w:r>
    </w:p>
    <w:p w14:paraId="4355A401" w14:textId="77777777" w:rsidR="002E0FEA" w:rsidRPr="00A81A4F" w:rsidRDefault="002E0FEA" w:rsidP="00280D32">
      <w:pPr>
        <w:spacing w:after="0" w:line="480" w:lineRule="auto"/>
        <w:ind w:firstLine="720"/>
        <w:jc w:val="both"/>
        <w:rPr>
          <w:lang w:val="en-GB"/>
        </w:rPr>
      </w:pPr>
      <w:bookmarkStart w:id="40" w:name="_Hlk65401793"/>
      <w:bookmarkEnd w:id="38"/>
      <w:r w:rsidRPr="00A81A4F">
        <w:t>I</w:t>
      </w:r>
      <w:proofErr w:type="spellStart"/>
      <w:r w:rsidRPr="00A81A4F">
        <w:rPr>
          <w:lang w:val="en-GB"/>
        </w:rPr>
        <w:t>ncorporating</w:t>
      </w:r>
      <w:proofErr w:type="spellEnd"/>
      <w:r w:rsidRPr="00A81A4F">
        <w:rPr>
          <w:lang w:val="en-GB"/>
        </w:rPr>
        <w:t xml:space="preserve"> environmental practices also improves Chinese SMEs’ attractiveness to investors from developed countries. Investors from developed countries’ institutional environments will consider firms with a reputation for being good corporate citizens as viable investment targets. This is because 1) foreign investors are more familiar with these operational practices (e.g., environmental protection), and 2) such a reputation will protect foreign investors when potential environmental threats occur </w:t>
      </w:r>
      <w:r w:rsidRPr="00A81A4F">
        <w:rPr>
          <w:noProof/>
          <w:lang w:val="en-GB"/>
        </w:rPr>
        <w:t>(Ambec &amp; Paul, 2008; Trumpp &amp; Guenther, 2017)</w:t>
      </w:r>
      <w:r w:rsidRPr="00A81A4F">
        <w:rPr>
          <w:lang w:val="en-GB"/>
        </w:rPr>
        <w:t xml:space="preserve">. </w:t>
      </w:r>
      <w:r w:rsidRPr="00A81A4F">
        <w:t xml:space="preserve">This attractiveness to foreign investors is particularly important for Chinese SMEs. For example, prior studies show that foreign investors often consider Chinese SMEs as risky investment targets due to their poor environmental record and a high likelihood of being challenged by green activists </w:t>
      </w:r>
      <w:r w:rsidRPr="00A81A4F">
        <w:rPr>
          <w:noProof/>
        </w:rPr>
        <w:t>(Hildebrandt &amp; Turner, 2009)</w:t>
      </w:r>
      <w:r w:rsidRPr="00A81A4F">
        <w:t xml:space="preserve">. </w:t>
      </w:r>
      <w:r w:rsidRPr="00A81A4F">
        <w:rPr>
          <w:lang w:val="en-GB"/>
        </w:rPr>
        <w:t xml:space="preserve">Thus, Chinese SMEs with proactive environmental practices are more likely to acquire foreign direct investment. </w:t>
      </w:r>
    </w:p>
    <w:bookmarkEnd w:id="40"/>
    <w:p w14:paraId="47819241" w14:textId="77777777" w:rsidR="002E0FEA" w:rsidRPr="00A81A4F" w:rsidRDefault="002E0FEA" w:rsidP="007E3A2B">
      <w:pPr>
        <w:spacing w:after="0" w:line="480" w:lineRule="auto"/>
        <w:ind w:firstLine="720"/>
        <w:jc w:val="both"/>
      </w:pPr>
      <w:r w:rsidRPr="00A81A4F">
        <w:t xml:space="preserve">We also anticipate the positive relationship between proactive environmental strategy and Chinese SMEs’ outward-focused internationalization activities. As discussed earlier, </w:t>
      </w:r>
      <w:bookmarkStart w:id="41" w:name="_Hlk65405204"/>
      <w:proofErr w:type="spellStart"/>
      <w:r w:rsidRPr="00A81A4F">
        <w:t>i</w:t>
      </w:r>
      <w:r w:rsidRPr="00A81A4F">
        <w:rPr>
          <w:lang w:val="en-GB"/>
        </w:rPr>
        <w:t>nstitutions</w:t>
      </w:r>
      <w:proofErr w:type="spellEnd"/>
      <w:r w:rsidRPr="00A81A4F">
        <w:rPr>
          <w:lang w:val="en-GB"/>
        </w:rPr>
        <w:t xml:space="preserve"> play important roles in supporting the effective function of market mechanisms </w:t>
      </w:r>
      <w:r w:rsidRPr="00A81A4F">
        <w:rPr>
          <w:noProof/>
          <w:lang w:val="en-GB"/>
        </w:rPr>
        <w:t>(Marano</w:t>
      </w:r>
      <w:r w:rsidRPr="00A81A4F">
        <w:rPr>
          <w:i/>
          <w:noProof/>
          <w:lang w:val="en-GB"/>
        </w:rPr>
        <w:t xml:space="preserve"> et al.</w:t>
      </w:r>
      <w:r w:rsidRPr="00A81A4F">
        <w:rPr>
          <w:noProof/>
          <w:lang w:val="en-GB"/>
        </w:rPr>
        <w:t>, 2017; Sheng</w:t>
      </w:r>
      <w:r w:rsidRPr="00A81A4F">
        <w:rPr>
          <w:i/>
          <w:noProof/>
          <w:lang w:val="en-GB"/>
        </w:rPr>
        <w:t xml:space="preserve"> et al.</w:t>
      </w:r>
      <w:r w:rsidRPr="00A81A4F">
        <w:rPr>
          <w:noProof/>
          <w:lang w:val="en-GB"/>
        </w:rPr>
        <w:t>, 2011)</w:t>
      </w:r>
      <w:r w:rsidRPr="00A81A4F">
        <w:rPr>
          <w:lang w:val="en-GB"/>
        </w:rPr>
        <w:t xml:space="preserve">, and the underdeveloped institutions constrain economic opportunities </w:t>
      </w:r>
      <w:r w:rsidRPr="00A81A4F">
        <w:rPr>
          <w:noProof/>
          <w:lang w:val="en-GB"/>
        </w:rPr>
        <w:t>(Khanna &amp; Palepu, 2010)</w:t>
      </w:r>
      <w:r w:rsidRPr="00A81A4F">
        <w:rPr>
          <w:lang w:val="en-GB"/>
        </w:rPr>
        <w:t xml:space="preserve">. When home country institutions are underdeveloped (such as China), firms often internationalize their activities to access more efficient marketplaces </w:t>
      </w:r>
      <w:r w:rsidRPr="00A81A4F">
        <w:rPr>
          <w:noProof/>
          <w:lang w:val="en-GB"/>
        </w:rPr>
        <w:t>(Marano</w:t>
      </w:r>
      <w:r w:rsidRPr="00A81A4F">
        <w:rPr>
          <w:i/>
          <w:noProof/>
          <w:lang w:val="en-GB"/>
        </w:rPr>
        <w:t xml:space="preserve"> et al.</w:t>
      </w:r>
      <w:r w:rsidRPr="00A81A4F">
        <w:rPr>
          <w:noProof/>
          <w:lang w:val="en-GB"/>
        </w:rPr>
        <w:t>, 2017)</w:t>
      </w:r>
      <w:r w:rsidRPr="00A81A4F">
        <w:rPr>
          <w:lang w:val="en-GB"/>
        </w:rPr>
        <w:t xml:space="preserve">. </w:t>
      </w:r>
      <w:bookmarkEnd w:id="41"/>
      <w:r w:rsidRPr="00A81A4F">
        <w:rPr>
          <w:lang w:val="en-GB"/>
        </w:rPr>
        <w:t>Following this logic, Chinese SMEs are more likely to seek internationalization to explore foreign economic opportunities.</w:t>
      </w:r>
      <w:r w:rsidRPr="00A81A4F">
        <w:t xml:space="preserve"> We argue that t</w:t>
      </w:r>
      <w:r w:rsidRPr="00A81A4F">
        <w:rPr>
          <w:lang w:val="en-GB"/>
        </w:rPr>
        <w:t xml:space="preserve">he engagement of proactive environmental strategy favors Chinese SMEs’ pursuit of outward-focused internationalization activities. </w:t>
      </w:r>
      <w:bookmarkStart w:id="42" w:name="_Hlk65403528"/>
      <w:r w:rsidRPr="00A81A4F">
        <w:rPr>
          <w:lang w:val="en-GB"/>
        </w:rPr>
        <w:t xml:space="preserve">Our arguments build on another </w:t>
      </w:r>
      <w:bookmarkStart w:id="43" w:name="_Hlk65569137"/>
      <w:bookmarkStart w:id="44" w:name="_Hlk65850023"/>
      <w:r w:rsidRPr="00A81A4F">
        <w:rPr>
          <w:lang w:val="en-GB"/>
        </w:rPr>
        <w:t>aspect of the resource-based view, which suggests that unique resources enable</w:t>
      </w:r>
      <w:r w:rsidRPr="00A81A4F">
        <w:t xml:space="preserve"> firms to achieve competitive advantage in the marketplace</w:t>
      </w:r>
      <w:bookmarkEnd w:id="43"/>
      <w:r w:rsidRPr="00A81A4F">
        <w:t xml:space="preserve"> </w:t>
      </w:r>
      <w:bookmarkEnd w:id="44"/>
      <w:r w:rsidRPr="00A81A4F">
        <w:rPr>
          <w:noProof/>
        </w:rPr>
        <w:t>(Barney</w:t>
      </w:r>
      <w:r w:rsidRPr="00A81A4F">
        <w:rPr>
          <w:i/>
          <w:noProof/>
        </w:rPr>
        <w:t xml:space="preserve"> et al.</w:t>
      </w:r>
      <w:r w:rsidRPr="00A81A4F">
        <w:rPr>
          <w:noProof/>
        </w:rPr>
        <w:t>, 2011; McWilliams &amp; Siegel, 2011)</w:t>
      </w:r>
      <w:r w:rsidRPr="00A81A4F">
        <w:t xml:space="preserve">. </w:t>
      </w:r>
      <w:bookmarkEnd w:id="42"/>
    </w:p>
    <w:p w14:paraId="50D4A3ED" w14:textId="77777777" w:rsidR="002E0FEA" w:rsidRPr="00A81A4F" w:rsidRDefault="002E0FEA" w:rsidP="001E04CE">
      <w:pPr>
        <w:spacing w:after="0" w:line="480" w:lineRule="auto"/>
        <w:ind w:firstLine="720"/>
        <w:jc w:val="both"/>
      </w:pPr>
      <w:bookmarkStart w:id="45" w:name="_Hlk65403558"/>
      <w:r w:rsidRPr="00A81A4F">
        <w:lastRenderedPageBreak/>
        <w:t xml:space="preserve">More specifically, </w:t>
      </w:r>
      <w:bookmarkStart w:id="46" w:name="_Hlk65850061"/>
      <w:bookmarkStart w:id="47" w:name="_Hlk65569175"/>
      <w:r w:rsidRPr="00A81A4F">
        <w:t xml:space="preserve">the implementation of a proactive environmental strategy allows Chinese SMEs to market themselves as environmentally friendly organizations and develop green (brand) reputations in the developed countries’ marketplaces. </w:t>
      </w:r>
      <w:bookmarkEnd w:id="46"/>
      <w:r w:rsidRPr="00A81A4F">
        <w:t xml:space="preserve">Such a </w:t>
      </w:r>
      <w:r w:rsidRPr="00A81A4F">
        <w:rPr>
          <w:lang w:val="en-GB"/>
        </w:rPr>
        <w:t>reputation allows Chinese SMEs to meet foreign customers’ needs and differentiate themselves from close rivals whose practices are not environmentally sustainable</w:t>
      </w:r>
      <w:r w:rsidRPr="00A81A4F">
        <w:t xml:space="preserve">. This is because </w:t>
      </w:r>
      <w:r w:rsidRPr="00A81A4F">
        <w:rPr>
          <w:lang w:val="en-GB"/>
        </w:rPr>
        <w:t>c</w:t>
      </w:r>
      <w:proofErr w:type="spellStart"/>
      <w:r w:rsidRPr="00A81A4F">
        <w:t>ustomers</w:t>
      </w:r>
      <w:proofErr w:type="spellEnd"/>
      <w:r w:rsidRPr="00A81A4F">
        <w:t xml:space="preserve"> in developed countries are more likely to accepted products </w:t>
      </w:r>
      <w:bookmarkStart w:id="48" w:name="_Hlk54603422"/>
      <w:r w:rsidRPr="00A81A4F">
        <w:t>offered by emerging firms whose operations have less harmful impacts on the natural environment</w:t>
      </w:r>
      <w:bookmarkEnd w:id="48"/>
      <w:r w:rsidRPr="00A81A4F">
        <w:t xml:space="preserve"> </w:t>
      </w:r>
      <w:bookmarkStart w:id="49" w:name="_Hlk63497963"/>
      <w:r w:rsidRPr="00A81A4F">
        <w:rPr>
          <w:noProof/>
        </w:rPr>
        <w:t>(Zhu &amp; Sarkis, 2007)</w:t>
      </w:r>
      <w:bookmarkEnd w:id="49"/>
      <w:r w:rsidRPr="00A81A4F">
        <w:t xml:space="preserve">. </w:t>
      </w:r>
      <w:bookmarkEnd w:id="47"/>
      <w:r w:rsidRPr="00A81A4F">
        <w:t xml:space="preserve">For example, a study by </w:t>
      </w:r>
      <w:r w:rsidRPr="00A81A4F">
        <w:rPr>
          <w:noProof/>
          <w:lang w:val="en-GB"/>
        </w:rPr>
        <w:t>Chan and Ma (2016)</w:t>
      </w:r>
      <w:r w:rsidRPr="00A81A4F">
        <w:t xml:space="preserve"> shows a positive relationship between Chinese SMEs’ environmental practices and export performance. </w:t>
      </w:r>
    </w:p>
    <w:p w14:paraId="08A18C8C" w14:textId="77777777" w:rsidR="002E0FEA" w:rsidRPr="00A81A4F" w:rsidRDefault="002E0FEA" w:rsidP="001E04CE">
      <w:pPr>
        <w:spacing w:after="0" w:line="480" w:lineRule="auto"/>
        <w:ind w:firstLine="720"/>
        <w:jc w:val="both"/>
      </w:pPr>
      <w:r w:rsidRPr="00A81A4F">
        <w:t xml:space="preserve">On the other hand, </w:t>
      </w:r>
      <w:bookmarkStart w:id="50" w:name="_Hlk65570229"/>
      <w:r w:rsidRPr="00A81A4F">
        <w:t xml:space="preserve">firms (i.e., potential foreign alliance partners) in developed countries often consider emerging country firms’ environmental performance an important sign of their reliability and effectiveness </w:t>
      </w:r>
      <w:r w:rsidRPr="00A81A4F">
        <w:rPr>
          <w:noProof/>
        </w:rPr>
        <w:t>(de Oliveira</w:t>
      </w:r>
      <w:r w:rsidRPr="00A81A4F">
        <w:rPr>
          <w:i/>
          <w:noProof/>
        </w:rPr>
        <w:t xml:space="preserve"> et al.</w:t>
      </w:r>
      <w:r w:rsidRPr="00A81A4F">
        <w:rPr>
          <w:noProof/>
        </w:rPr>
        <w:t>, 2021; Lin &amp; Ho, 2011)</w:t>
      </w:r>
      <w:r w:rsidRPr="00A81A4F">
        <w:t xml:space="preserve">. For example, </w:t>
      </w:r>
      <w:r w:rsidRPr="00A81A4F">
        <w:rPr>
          <w:noProof/>
        </w:rPr>
        <w:t>Chiou, Hsu, and Hwang (2008)</w:t>
      </w:r>
      <w:r w:rsidRPr="00A81A4F">
        <w:t xml:space="preserve"> show that Chinese firms’ environmental performance is a relatively crucial factor used by developed country firms (e.g., the USA and Japan) to select supply partners. Furthermore, selecting environmentally sustainable emerging country SMEs as alliance partners also enables developed country firms to justify their outsourcing strategy to domestic customers </w:t>
      </w:r>
      <w:r w:rsidRPr="00A81A4F">
        <w:rPr>
          <w:noProof/>
        </w:rPr>
        <w:t>(Babin &amp; Nicholson, 2011)</w:t>
      </w:r>
      <w:r w:rsidRPr="00A81A4F">
        <w:t>. Thus, we argue that environmentally sustainable Chinese SMEs are more likely to attract developed country alliance partners in building supplier-buyer relationships.</w:t>
      </w:r>
    </w:p>
    <w:bookmarkEnd w:id="50"/>
    <w:p w14:paraId="38999B58" w14:textId="77777777" w:rsidR="002E0FEA" w:rsidRPr="00A81A4F" w:rsidRDefault="002E0FEA" w:rsidP="007E3A2B">
      <w:pPr>
        <w:spacing w:after="0" w:line="480" w:lineRule="auto"/>
        <w:ind w:firstLine="720"/>
        <w:jc w:val="both"/>
        <w:rPr>
          <w:lang w:val="en-GB"/>
        </w:rPr>
      </w:pPr>
      <w:r w:rsidRPr="00A81A4F">
        <w:rPr>
          <w:lang w:val="en-GB"/>
        </w:rPr>
        <w:t xml:space="preserve">Besides, the implementation of a proactive environmental strategy requires Chinese SMEs to invest heavily in developing environmentally sustainable business operations </w:t>
      </w:r>
      <w:r w:rsidRPr="00A81A4F">
        <w:rPr>
          <w:noProof/>
        </w:rPr>
        <w:t>(Zeng</w:t>
      </w:r>
      <w:r w:rsidRPr="00A81A4F">
        <w:rPr>
          <w:i/>
          <w:noProof/>
        </w:rPr>
        <w:t xml:space="preserve"> et al.</w:t>
      </w:r>
      <w:r w:rsidRPr="00A81A4F">
        <w:rPr>
          <w:noProof/>
        </w:rPr>
        <w:t>, 2011)</w:t>
      </w:r>
      <w:r w:rsidRPr="00A81A4F">
        <w:rPr>
          <w:lang w:val="en-GB"/>
        </w:rPr>
        <w:t xml:space="preserve">. </w:t>
      </w:r>
      <w:proofErr w:type="gramStart"/>
      <w:r w:rsidRPr="00A81A4F">
        <w:rPr>
          <w:lang w:val="en-GB"/>
        </w:rPr>
        <w:t>In order to</w:t>
      </w:r>
      <w:proofErr w:type="gramEnd"/>
      <w:r w:rsidRPr="00A81A4F">
        <w:rPr>
          <w:lang w:val="en-GB"/>
        </w:rPr>
        <w:t xml:space="preserve"> extract more value from such operations, we argue that environmentally sustainable Chinese SMEs are willing to allocate more resources to exploring foreign economic opportunities. As discussed earlier, emerging countries’ (such as China’s) underdeveloped institutions may impede economic opportunities </w:t>
      </w:r>
      <w:r w:rsidRPr="00A81A4F">
        <w:rPr>
          <w:noProof/>
          <w:lang w:val="en-GB"/>
        </w:rPr>
        <w:t>(Marano</w:t>
      </w:r>
      <w:r w:rsidRPr="00A81A4F">
        <w:rPr>
          <w:i/>
          <w:noProof/>
          <w:lang w:val="en-GB"/>
        </w:rPr>
        <w:t xml:space="preserve"> et al.</w:t>
      </w:r>
      <w:r w:rsidRPr="00A81A4F">
        <w:rPr>
          <w:noProof/>
          <w:lang w:val="en-GB"/>
        </w:rPr>
        <w:t>, 2017)</w:t>
      </w:r>
      <w:r w:rsidRPr="00A81A4F">
        <w:rPr>
          <w:lang w:val="en-GB"/>
        </w:rPr>
        <w:t xml:space="preserve">. Thus, </w:t>
      </w:r>
      <w:r w:rsidRPr="00A81A4F">
        <w:rPr>
          <w:lang w:val="en-GB"/>
        </w:rPr>
        <w:lastRenderedPageBreak/>
        <w:t xml:space="preserve">environmentally sustainable Chinese SMEs will become more active and more willing to invest efforts in overcoming the challenges of seeking markets and developing alliances with partners in the developed countries. </w:t>
      </w:r>
      <w:bookmarkEnd w:id="45"/>
      <w:r w:rsidRPr="00A81A4F">
        <w:rPr>
          <w:lang w:val="en-GB"/>
        </w:rPr>
        <w:t>Combining the above discussions, our corresponding hypothesis reads as follows:</w:t>
      </w:r>
    </w:p>
    <w:p w14:paraId="77E9598E" w14:textId="77777777" w:rsidR="002E0FEA" w:rsidRPr="00A81A4F" w:rsidRDefault="002E0FEA" w:rsidP="00763D81">
      <w:pPr>
        <w:spacing w:after="0" w:line="240" w:lineRule="auto"/>
        <w:ind w:left="397" w:right="397"/>
        <w:jc w:val="both"/>
        <w:rPr>
          <w:i/>
        </w:rPr>
      </w:pPr>
      <w:r w:rsidRPr="00A81A4F">
        <w:rPr>
          <w:i/>
        </w:rPr>
        <w:t>Hypothesis 1: Proactive environmental strategy is positively related to a) inward-focused and b) outward-focused internationalization activities in the Chinese SME context.</w:t>
      </w:r>
    </w:p>
    <w:p w14:paraId="4E1D8D94" w14:textId="77777777" w:rsidR="002E0FEA" w:rsidRPr="00A81A4F" w:rsidRDefault="002E0FEA" w:rsidP="002D60B6">
      <w:pPr>
        <w:spacing w:after="0" w:line="480" w:lineRule="auto"/>
        <w:ind w:firstLine="720"/>
        <w:jc w:val="both"/>
      </w:pPr>
    </w:p>
    <w:p w14:paraId="5ECD3D4E" w14:textId="77777777" w:rsidR="002E0FEA" w:rsidRPr="00A81A4F" w:rsidRDefault="002E0FEA" w:rsidP="00065221">
      <w:pPr>
        <w:spacing w:after="0" w:line="480" w:lineRule="auto"/>
        <w:jc w:val="both"/>
        <w:rPr>
          <w:i/>
        </w:rPr>
      </w:pPr>
      <w:r w:rsidRPr="00A81A4F">
        <w:rPr>
          <w:i/>
        </w:rPr>
        <w:t>3.2 Foreign Environmental Regulatory and Customer Pressure</w:t>
      </w:r>
    </w:p>
    <w:p w14:paraId="02B5D1AD" w14:textId="77777777" w:rsidR="002E0FEA" w:rsidRPr="00A81A4F" w:rsidRDefault="002E0FEA" w:rsidP="00FB2C76">
      <w:pPr>
        <w:spacing w:after="0" w:line="480" w:lineRule="auto"/>
        <w:jc w:val="both"/>
      </w:pPr>
      <w:r w:rsidRPr="00A81A4F">
        <w:tab/>
        <w:t xml:space="preserve">The institutional theory indicates that actors must conform to the rules of the institutional environment </w:t>
      </w:r>
      <w:r w:rsidRPr="00A81A4F">
        <w:rPr>
          <w:noProof/>
        </w:rPr>
        <w:t>(Delmas &amp; Toffel, 2008)</w:t>
      </w:r>
      <w:r w:rsidRPr="00A81A4F">
        <w:t>, which is primarily shaped by coercive and normative pressures</w:t>
      </w:r>
      <w:r w:rsidRPr="00A81A4F">
        <w:rPr>
          <w:rStyle w:val="FootnoteReference"/>
        </w:rPr>
        <w:footnoteReference w:id="1"/>
      </w:r>
      <w:r w:rsidRPr="00A81A4F">
        <w:t xml:space="preserve"> </w:t>
      </w:r>
      <w:r w:rsidRPr="00A81A4F">
        <w:rPr>
          <w:noProof/>
        </w:rPr>
        <w:t>(Swaminathan &amp; Wade, 2018)</w:t>
      </w:r>
      <w:r w:rsidRPr="00A81A4F">
        <w:t xml:space="preserve">. Coercive pressure originates from the states (i.e., regulators) that can enforce the laws via the courts. In contrast, normative pressure arising from public opinion (i.e., customers) can create norms and expectations. Actors must conform to these pressures to gain legitimacy </w:t>
      </w:r>
      <w:r w:rsidRPr="00A81A4F">
        <w:rPr>
          <w:noProof/>
        </w:rPr>
        <w:t>(Cheng &amp; Yu, 2008; Swaminathan &amp; Wade, 2018)</w:t>
      </w:r>
      <w:r w:rsidRPr="00A81A4F">
        <w:t>. This research focuses on the foreign institutional pressures generated from regulators (coercive pressure) and customers (normative pressure) among different constituents</w:t>
      </w:r>
      <w:r w:rsidRPr="00A81A4F">
        <w:rPr>
          <w:rStyle w:val="FootnoteReference"/>
        </w:rPr>
        <w:footnoteReference w:id="2"/>
      </w:r>
      <w:r w:rsidRPr="00A81A4F">
        <w:t xml:space="preserve">. This perspective is also supported by prior research that indicates that </w:t>
      </w:r>
      <w:bookmarkStart w:id="52" w:name="_Hlk56244827"/>
      <w:r w:rsidRPr="00A81A4F">
        <w:t xml:space="preserve">internationalized organizations will face the institutional environment shaped by the coercive pressure arising from the host government regulations and the normative pressure from foreign customers </w:t>
      </w:r>
      <w:r w:rsidRPr="00A81A4F">
        <w:rPr>
          <w:noProof/>
        </w:rPr>
        <w:t>(Xu, Zeng, &amp; Chen, 2018)</w:t>
      </w:r>
      <w:r w:rsidRPr="00A81A4F">
        <w:t xml:space="preserve">. </w:t>
      </w:r>
      <w:bookmarkEnd w:id="52"/>
    </w:p>
    <w:p w14:paraId="14398263" w14:textId="77777777" w:rsidR="002E0FEA" w:rsidRPr="00A81A4F" w:rsidRDefault="002E0FEA" w:rsidP="00FB2C76">
      <w:pPr>
        <w:spacing w:after="0" w:line="480" w:lineRule="auto"/>
        <w:ind w:firstLine="720"/>
        <w:jc w:val="both"/>
      </w:pPr>
      <w:r w:rsidRPr="00A81A4F">
        <w:lastRenderedPageBreak/>
        <w:t xml:space="preserve">In this research, </w:t>
      </w:r>
      <w:bookmarkStart w:id="53" w:name="_Hlk65404675"/>
      <w:bookmarkStart w:id="54" w:name="_Hlk56246200"/>
      <w:r w:rsidRPr="00A81A4F">
        <w:t xml:space="preserve">we refer to foreign environmental regulatory pressure as regulations enforced by foreign regulators on environmental conduct, while foreign environmental customer pressure refers to foreign customers’ expectations about protecting the natural environment </w:t>
      </w:r>
      <w:r w:rsidRPr="00A81A4F">
        <w:rPr>
          <w:noProof/>
        </w:rPr>
        <w:t>(Banerjee, Iyer, &amp; Kashyap, 2003; Katsikeas, Leonidou, &amp; Zeriti, 2016)</w:t>
      </w:r>
      <w:r w:rsidRPr="00A81A4F">
        <w:t xml:space="preserve">. Actors that conform to these institutional pressures are likely to gain environmental legitimacy </w:t>
      </w:r>
      <w:r w:rsidRPr="00A81A4F">
        <w:rPr>
          <w:noProof/>
        </w:rPr>
        <w:t>(Delmas &amp; Toffel, 2008)</w:t>
      </w:r>
      <w:r w:rsidRPr="00A81A4F">
        <w:t xml:space="preserve">. Chinese SMEs often face legitimation challenges due to the negative stereotype concerning having less desirable environmental records </w:t>
      </w:r>
      <w:r w:rsidRPr="00A81A4F">
        <w:rPr>
          <w:noProof/>
        </w:rPr>
        <w:t>(Li</w:t>
      </w:r>
      <w:r w:rsidRPr="00A81A4F">
        <w:rPr>
          <w:i/>
          <w:noProof/>
        </w:rPr>
        <w:t xml:space="preserve"> et al.</w:t>
      </w:r>
      <w:r w:rsidRPr="00A81A4F">
        <w:rPr>
          <w:noProof/>
        </w:rPr>
        <w:t>, 2019; Luo</w:t>
      </w:r>
      <w:r w:rsidRPr="00A81A4F">
        <w:rPr>
          <w:i/>
          <w:noProof/>
        </w:rPr>
        <w:t xml:space="preserve"> et al.</w:t>
      </w:r>
      <w:r w:rsidRPr="00A81A4F">
        <w:rPr>
          <w:noProof/>
        </w:rPr>
        <w:t>, 2018)</w:t>
      </w:r>
      <w:r w:rsidRPr="00A81A4F">
        <w:t xml:space="preserve">. They are more likely to be confronted by the institutional environment (e.g., developed countries) that favors </w:t>
      </w:r>
      <w:proofErr w:type="gramStart"/>
      <w:r w:rsidRPr="00A81A4F">
        <w:t>environmentally-friendly</w:t>
      </w:r>
      <w:proofErr w:type="gramEnd"/>
      <w:r w:rsidRPr="00A81A4F">
        <w:t xml:space="preserve"> business operations </w:t>
      </w:r>
      <w:bookmarkStart w:id="55" w:name="_Hlk65405142"/>
      <w:r w:rsidRPr="00A81A4F">
        <w:rPr>
          <w:noProof/>
        </w:rPr>
        <w:t>(Marano</w:t>
      </w:r>
      <w:r w:rsidRPr="00A81A4F">
        <w:rPr>
          <w:i/>
          <w:noProof/>
        </w:rPr>
        <w:t xml:space="preserve"> et al.</w:t>
      </w:r>
      <w:r w:rsidRPr="00A81A4F">
        <w:rPr>
          <w:noProof/>
        </w:rPr>
        <w:t>, 2017)</w:t>
      </w:r>
      <w:bookmarkEnd w:id="55"/>
      <w:r w:rsidRPr="00A81A4F">
        <w:t xml:space="preserve">. </w:t>
      </w:r>
      <w:bookmarkEnd w:id="53"/>
      <w:r w:rsidRPr="00A81A4F">
        <w:t>In our framework, we conceptualize two moderators that reflect these institutional pressures.</w:t>
      </w:r>
    </w:p>
    <w:p w14:paraId="7D4BCDB4" w14:textId="77777777" w:rsidR="002E0FEA" w:rsidRPr="00A81A4F" w:rsidRDefault="002E0FEA" w:rsidP="004A6CB6">
      <w:pPr>
        <w:spacing w:after="0" w:line="480" w:lineRule="auto"/>
        <w:ind w:firstLine="720"/>
        <w:jc w:val="both"/>
      </w:pPr>
      <w:r w:rsidRPr="00A81A4F">
        <w:rPr>
          <w:noProof/>
        </w:rPr>
        <w:t>Oliver (1997)</w:t>
      </w:r>
      <w:r w:rsidRPr="00A81A4F">
        <w:t xml:space="preserve"> argues that combining the resource-based view and institutional theory offers a fresh theoretical angle for understanding how the institutional environments affect firms’ optimal use of their resources. Without considering the external conditions caused by the institutional environment in which the firms operate, the resource-based view would lead to a conclusion that emphasizes firms’ competitive advantages due to the unique resources they possess </w:t>
      </w:r>
      <w:r w:rsidRPr="00A81A4F">
        <w:rPr>
          <w:noProof/>
        </w:rPr>
        <w:t>(Priem &amp; Butler, 2001)</w:t>
      </w:r>
      <w:r w:rsidRPr="00A81A4F">
        <w:t xml:space="preserve">. Drawing on different aspects of institutional theory – isomorphism </w:t>
      </w:r>
      <w:r w:rsidRPr="00A81A4F">
        <w:rPr>
          <w:noProof/>
        </w:rPr>
        <w:t>(Delmas &amp; Toffel, 2008)</w:t>
      </w:r>
      <w:r w:rsidRPr="00A81A4F">
        <w:t xml:space="preserve"> and institutional distance </w:t>
      </w:r>
      <w:r w:rsidRPr="00A81A4F">
        <w:rPr>
          <w:noProof/>
        </w:rPr>
        <w:t>(He</w:t>
      </w:r>
      <w:r w:rsidRPr="00A81A4F">
        <w:rPr>
          <w:i/>
          <w:noProof/>
        </w:rPr>
        <w:t xml:space="preserve"> et al.</w:t>
      </w:r>
      <w:r w:rsidRPr="00A81A4F">
        <w:rPr>
          <w:noProof/>
        </w:rPr>
        <w:t>, 2013; Schwens</w:t>
      </w:r>
      <w:r w:rsidRPr="00A81A4F">
        <w:rPr>
          <w:i/>
          <w:noProof/>
        </w:rPr>
        <w:t xml:space="preserve"> et al.</w:t>
      </w:r>
      <w:r w:rsidRPr="00A81A4F">
        <w:rPr>
          <w:noProof/>
        </w:rPr>
        <w:t>, 2011)</w:t>
      </w:r>
      <w:r w:rsidRPr="00A81A4F">
        <w:t xml:space="preserve"> – we argue that developed countries’ institutional pressures on environmental sustainability can affect Chinese SMEs’ ability to cast their advantages from implementing proactive environmental strategy in pursuing internationalization activities. </w:t>
      </w:r>
    </w:p>
    <w:p w14:paraId="601F7D02" w14:textId="77777777" w:rsidR="002E0FEA" w:rsidRPr="00A81A4F" w:rsidRDefault="002E0FEA" w:rsidP="00FB46B0">
      <w:pPr>
        <w:spacing w:after="0" w:line="480" w:lineRule="auto"/>
        <w:ind w:firstLine="720"/>
        <w:jc w:val="both"/>
      </w:pPr>
      <w:r w:rsidRPr="00A81A4F">
        <w:t xml:space="preserve">More specifically, </w:t>
      </w:r>
      <w:bookmarkStart w:id="56" w:name="_Hlk63522408"/>
      <w:bookmarkStart w:id="57" w:name="_Hlk65849125"/>
      <w:r w:rsidRPr="00A81A4F">
        <w:t xml:space="preserve">we anticipate that foreign </w:t>
      </w:r>
      <w:bookmarkStart w:id="58" w:name="_Hlk63413051"/>
      <w:r w:rsidRPr="00A81A4F">
        <w:t>environmental regulatory pressure</w:t>
      </w:r>
      <w:bookmarkEnd w:id="58"/>
      <w:r w:rsidRPr="00A81A4F">
        <w:t xml:space="preserve"> can influence the relationship between proactive environmental strategy and Chinese SMEs’ inward-focused internationalization activities. </w:t>
      </w:r>
      <w:bookmarkStart w:id="59" w:name="_Hlk65420941"/>
      <w:r w:rsidRPr="00A81A4F">
        <w:t xml:space="preserve">Our arguments build on </w:t>
      </w:r>
      <w:bookmarkStart w:id="60" w:name="_Hlk65850096"/>
      <w:r w:rsidRPr="00A81A4F">
        <w:t xml:space="preserve">an aspect of institutional theory which suggests that environmental regulatory pressure can lead organizations to adopt similar practices (isomorphism) to gain legitimacy </w:t>
      </w:r>
      <w:bookmarkEnd w:id="60"/>
      <w:r w:rsidRPr="00A81A4F">
        <w:rPr>
          <w:noProof/>
        </w:rPr>
        <w:t>(Delmas &amp; Toffel, 2008)</w:t>
      </w:r>
      <w:r w:rsidRPr="00A81A4F">
        <w:t>.</w:t>
      </w:r>
      <w:bookmarkEnd w:id="59"/>
      <w:r w:rsidRPr="00A81A4F">
        <w:t xml:space="preserve"> Inward-focused </w:t>
      </w:r>
      <w:r w:rsidRPr="00A81A4F">
        <w:lastRenderedPageBreak/>
        <w:t xml:space="preserve">internationalization activities involve acquiring foreign knowledge (concerning advanced management skills or technologies) and direct investment </w:t>
      </w:r>
      <w:r w:rsidRPr="00A81A4F">
        <w:rPr>
          <w:noProof/>
        </w:rPr>
        <w:t>(Bagheri</w:t>
      </w:r>
      <w:r w:rsidRPr="00A81A4F">
        <w:rPr>
          <w:i/>
          <w:noProof/>
        </w:rPr>
        <w:t xml:space="preserve"> et al.</w:t>
      </w:r>
      <w:r w:rsidRPr="00A81A4F">
        <w:rPr>
          <w:noProof/>
        </w:rPr>
        <w:t>, 2019; Zhou</w:t>
      </w:r>
      <w:r w:rsidRPr="00A81A4F">
        <w:rPr>
          <w:i/>
          <w:noProof/>
        </w:rPr>
        <w:t xml:space="preserve"> et al.</w:t>
      </w:r>
      <w:r w:rsidRPr="00A81A4F">
        <w:rPr>
          <w:noProof/>
        </w:rPr>
        <w:t>, 2007)</w:t>
      </w:r>
      <w:r w:rsidRPr="00A81A4F">
        <w:t xml:space="preserve">. </w:t>
      </w:r>
      <w:bookmarkStart w:id="61" w:name="_Hlk65420980"/>
      <w:bookmarkEnd w:id="56"/>
      <w:r w:rsidRPr="00A81A4F">
        <w:t xml:space="preserve">The actors related to inward-focused internationalization in the developed countries are 1) organizations (e.g., private firms) that are the creators of advanced knowledge and 2) investors that make foreign direct investment decisions. </w:t>
      </w:r>
      <w:bookmarkStart w:id="62" w:name="_Hlk65850123"/>
      <w:r w:rsidRPr="00A81A4F">
        <w:t>Environmental regulations are highly influential on these two actors’ behaviors because regulators (e.g., natural authorities) charged with granting permission for these two actors to carry out business activities can develop legal programs to hold the actors accountable for their environmental impacts</w:t>
      </w:r>
      <w:bookmarkEnd w:id="62"/>
      <w:r w:rsidRPr="00A81A4F">
        <w:t xml:space="preserve"> </w:t>
      </w:r>
      <w:r w:rsidRPr="00A81A4F">
        <w:rPr>
          <w:noProof/>
        </w:rPr>
        <w:t>(Aragon-Correa, Marcus, &amp; Vogel, 2020; Delmas &amp; Toffel, 2008)</w:t>
      </w:r>
      <w:r w:rsidRPr="00A81A4F">
        <w:t xml:space="preserve">. </w:t>
      </w:r>
      <w:bookmarkStart w:id="63" w:name="_Hlk63428707"/>
      <w:bookmarkStart w:id="64" w:name="_Hlk63429864"/>
      <w:bookmarkEnd w:id="61"/>
    </w:p>
    <w:p w14:paraId="330B9111" w14:textId="77777777" w:rsidR="002E0FEA" w:rsidRPr="00A81A4F" w:rsidRDefault="002E0FEA" w:rsidP="00FB2C76">
      <w:pPr>
        <w:spacing w:after="0" w:line="480" w:lineRule="auto"/>
        <w:ind w:firstLine="720"/>
        <w:jc w:val="both"/>
      </w:pPr>
      <w:bookmarkStart w:id="65" w:name="_Hlk63671508"/>
      <w:bookmarkStart w:id="66" w:name="_Hlk65421027"/>
      <w:bookmarkEnd w:id="57"/>
      <w:r w:rsidRPr="00A81A4F">
        <w:t xml:space="preserve">When foreign environmental regulatory pressure shifts from low to medium </w:t>
      </w:r>
      <w:bookmarkEnd w:id="63"/>
      <w:bookmarkEnd w:id="65"/>
      <w:r w:rsidRPr="00A81A4F">
        <w:t>(</w:t>
      </w:r>
      <w:proofErr w:type="spellStart"/>
      <w:r w:rsidRPr="00A81A4F">
        <w:t>i.e.voluntary</w:t>
      </w:r>
      <w:proofErr w:type="spellEnd"/>
      <w:r w:rsidRPr="00A81A4F">
        <w:t xml:space="preserve"> environmental regulations), </w:t>
      </w:r>
      <w:bookmarkEnd w:id="64"/>
      <w:r w:rsidRPr="00A81A4F">
        <w:t xml:space="preserve">organizations in the developed countries will develop the management skills and technologies necessary to facilitate environmentally sustainable business activities to legitimize their business operations </w:t>
      </w:r>
      <w:r w:rsidRPr="00A81A4F">
        <w:rPr>
          <w:noProof/>
        </w:rPr>
        <w:t>(Aragon-Correa</w:t>
      </w:r>
      <w:r w:rsidRPr="00A81A4F">
        <w:rPr>
          <w:i/>
          <w:noProof/>
        </w:rPr>
        <w:t xml:space="preserve"> et al.</w:t>
      </w:r>
      <w:r w:rsidRPr="00A81A4F">
        <w:rPr>
          <w:noProof/>
        </w:rPr>
        <w:t>, 2020)</w:t>
      </w:r>
      <w:r w:rsidRPr="00A81A4F">
        <w:t xml:space="preserve">. In addition, developed country investors will assess potential investment opportunities according to voluntary environmental standards to protect their reputation and be seen as legitimate entities </w:t>
      </w:r>
      <w:r w:rsidRPr="00A81A4F">
        <w:rPr>
          <w:noProof/>
        </w:rPr>
        <w:t>(Richardson, 2019)</w:t>
      </w:r>
      <w:r w:rsidRPr="00A81A4F">
        <w:t xml:space="preserve">. In such conditions, Chinese SMEs with proactive environmental strategy are more likely to acquire foreign advanced management skills, technologies, and foreign financial capital. The rise in foreign environmental regulatory pressure increases the “supply” of various kinds of “green” management skills and technologies. This offers sustainable Chinese SMEs more opportunities to find suitable skills and technologies to adopt into their business operations. The rise in foreign environmental regulatory pressure enhances investors’ incentives for financing firms associated with environmental practices. As a result, investors in the developed countries will pay more attention to whether the Chinese SMEs have adopted proactive environmental strategy when making investment decisions. </w:t>
      </w:r>
    </w:p>
    <w:bookmarkEnd w:id="66"/>
    <w:p w14:paraId="5DC8FCC2" w14:textId="77777777" w:rsidR="002E0FEA" w:rsidRPr="00A81A4F" w:rsidRDefault="002E0FEA" w:rsidP="00FB2C76">
      <w:pPr>
        <w:spacing w:after="0" w:line="480" w:lineRule="auto"/>
        <w:ind w:firstLine="720"/>
        <w:jc w:val="both"/>
      </w:pPr>
      <w:r w:rsidRPr="00A81A4F">
        <w:lastRenderedPageBreak/>
        <w:t xml:space="preserve">A good example is ISO 14001, </w:t>
      </w:r>
      <w:bookmarkStart w:id="67" w:name="_Hlk63848110"/>
      <w:r w:rsidRPr="00A81A4F">
        <w:t xml:space="preserve">a type of </w:t>
      </w:r>
      <w:bookmarkStart w:id="68" w:name="_Hlk63842671"/>
      <w:r w:rsidRPr="00A81A4F">
        <w:t xml:space="preserve">voluntary environmental regulation on standards related to environmental management, which </w:t>
      </w:r>
      <w:bookmarkEnd w:id="67"/>
      <w:r w:rsidRPr="00A81A4F">
        <w:t>pressures</w:t>
      </w:r>
      <w:bookmarkEnd w:id="68"/>
      <w:r w:rsidRPr="00A81A4F">
        <w:t xml:space="preserve"> firms in developed countries to create necessary management skills and technologies to support its implementation and motivate developed country investors to select foreign investment targets that practice its principle </w:t>
      </w:r>
      <w:r w:rsidRPr="00A81A4F">
        <w:rPr>
          <w:noProof/>
        </w:rPr>
        <w:t>(Prakash &amp; Potoski, 2006)</w:t>
      </w:r>
      <w:r w:rsidRPr="00A81A4F">
        <w:t xml:space="preserve">. This offers more opportunities for sustainable Chinese SMEs to learn the management skills and technologies about ISO 14001 implementation relates to their industry sector and attract foreign investors that wish to finance environmentally sustainable firms </w:t>
      </w:r>
      <w:r w:rsidRPr="00A81A4F">
        <w:rPr>
          <w:noProof/>
        </w:rPr>
        <w:t>(Christmann &amp; Taylor, 2001; Zhu, Sarkis, Cordeiro, &amp; Lai, 2008)</w:t>
      </w:r>
      <w:r w:rsidRPr="00A81A4F">
        <w:t xml:space="preserve">. The above discussions conclude that the increase in foreign environmental regulatory pressures improves the relationship between proactive environmental strategy and Chinese SMEs’ inward-focused internationalization activities. </w:t>
      </w:r>
    </w:p>
    <w:p w14:paraId="0295988A" w14:textId="77777777" w:rsidR="002E0FEA" w:rsidRPr="00A81A4F" w:rsidRDefault="002E0FEA" w:rsidP="006A4E58">
      <w:pPr>
        <w:spacing w:after="0" w:line="480" w:lineRule="auto"/>
        <w:ind w:firstLine="720"/>
        <w:jc w:val="both"/>
      </w:pPr>
      <w:bookmarkStart w:id="69" w:name="_Hlk65421055"/>
      <w:r w:rsidRPr="00A81A4F">
        <w:t xml:space="preserve">In contrast, when foreign environmental regulatory pressure shifts from medium to high (i.e., mandatory environmental regulation), firms are pressured to develop more complex and country-specific management skills and technologies to support sustainable business operations in the developed countries to legitimize their business operations </w:t>
      </w:r>
      <w:r w:rsidRPr="00A81A4F">
        <w:rPr>
          <w:noProof/>
        </w:rPr>
        <w:t>(Aragon-Correa</w:t>
      </w:r>
      <w:r w:rsidRPr="00A81A4F">
        <w:rPr>
          <w:i/>
          <w:noProof/>
        </w:rPr>
        <w:t xml:space="preserve"> et al.</w:t>
      </w:r>
      <w:r w:rsidRPr="00A81A4F">
        <w:rPr>
          <w:noProof/>
        </w:rPr>
        <w:t>, 2020)</w:t>
      </w:r>
      <w:r w:rsidRPr="00A81A4F">
        <w:t xml:space="preserve">.  In response, developed country investors are pushed to adopt more stringent and country-specific environmental standards to assess investment targets to gain legitimacy in their own countries </w:t>
      </w:r>
      <w:r w:rsidRPr="00A81A4F">
        <w:rPr>
          <w:noProof/>
        </w:rPr>
        <w:t>(Dowell</w:t>
      </w:r>
      <w:r w:rsidRPr="00A81A4F">
        <w:rPr>
          <w:i/>
          <w:noProof/>
        </w:rPr>
        <w:t xml:space="preserve"> et al.</w:t>
      </w:r>
      <w:r w:rsidRPr="00A81A4F">
        <w:rPr>
          <w:noProof/>
        </w:rPr>
        <w:t>, 2000; Kim &amp; Rhee, 2019)</w:t>
      </w:r>
      <w:r w:rsidRPr="00A81A4F">
        <w:t xml:space="preserve">. </w:t>
      </w:r>
      <w:bookmarkEnd w:id="69"/>
      <w:r w:rsidRPr="00A81A4F">
        <w:t xml:space="preserve">For example, the introduction of the US Federal Clean Air Act (a type of mandatory environmental regulation – national ambient air-quality standards for various pollutants by determining their maximum concentrations) prompted the development of modern pollution control technology and affected institutional investors’ decision making </w:t>
      </w:r>
      <w:r w:rsidRPr="00A81A4F">
        <w:rPr>
          <w:noProof/>
        </w:rPr>
        <w:t>(Asghari, 2013; EPA, 2020)</w:t>
      </w:r>
      <w:r w:rsidRPr="00A81A4F">
        <w:t xml:space="preserve">. </w:t>
      </w:r>
    </w:p>
    <w:p w14:paraId="4009957D" w14:textId="77777777" w:rsidR="002E0FEA" w:rsidRPr="00A81A4F" w:rsidRDefault="002E0FEA" w:rsidP="006A4E58">
      <w:pPr>
        <w:spacing w:after="0" w:line="480" w:lineRule="auto"/>
        <w:ind w:firstLine="720"/>
        <w:jc w:val="both"/>
      </w:pPr>
      <w:bookmarkStart w:id="70" w:name="_Hlk65421106"/>
      <w:r w:rsidRPr="00A81A4F">
        <w:t xml:space="preserve">In such conditions, the implementation of a proactive environmental strategy does not make it easier for Chinese SMEs to utilize this knowledge. This is because 1) they are more complex, which may require more investments from firms to adopt into their business </w:t>
      </w:r>
      <w:r w:rsidRPr="00A81A4F">
        <w:lastRenderedPageBreak/>
        <w:t xml:space="preserve">operations </w:t>
      </w:r>
      <w:r w:rsidRPr="00A81A4F">
        <w:rPr>
          <w:noProof/>
        </w:rPr>
        <w:t>(del Brío &amp; Junquera, 2003)</w:t>
      </w:r>
      <w:r w:rsidRPr="00A81A4F">
        <w:t xml:space="preserve"> and 2) they are country-specific, which requires firms to move parts of their operations to the host countries </w:t>
      </w:r>
      <w:proofErr w:type="gramStart"/>
      <w:r w:rsidRPr="00A81A4F">
        <w:t>in order to</w:t>
      </w:r>
      <w:proofErr w:type="gramEnd"/>
      <w:r w:rsidRPr="00A81A4F">
        <w:t xml:space="preserve"> realize the full potential after adoption </w:t>
      </w:r>
      <w:r w:rsidRPr="00A81A4F">
        <w:rPr>
          <w:noProof/>
        </w:rPr>
        <w:t>(Wijen &amp; van Tulder, 2011)</w:t>
      </w:r>
      <w:r w:rsidRPr="00A81A4F">
        <w:t xml:space="preserve">. </w:t>
      </w:r>
      <w:bookmarkStart w:id="71" w:name="_Hlk56257312"/>
      <w:bookmarkEnd w:id="54"/>
      <w:r w:rsidRPr="00A81A4F">
        <w:t xml:space="preserve">It also increases emerging country firms’ (e.g., Chinese firms’) barriers to meeting developed country investors’ requirements. This challenge is intensified when the firms are SMEs because they usually lack the necessary resources to upgrade their current environmental practices </w:t>
      </w:r>
      <w:r w:rsidRPr="00A81A4F">
        <w:rPr>
          <w:noProof/>
        </w:rPr>
        <w:t>(del Brío &amp; Junquera, 2003; Mir &amp; Feitelson, 2007)</w:t>
      </w:r>
      <w:r w:rsidRPr="00A81A4F">
        <w:t xml:space="preserve">. </w:t>
      </w:r>
      <w:bookmarkEnd w:id="70"/>
      <w:r w:rsidRPr="00A81A4F">
        <w:t xml:space="preserve">Applying this to our context, we argue that Chinese SMEs are less likely to acquire foreign direct investment from developed countries when foreign environmental regulatory pressure is high. </w:t>
      </w:r>
      <w:bookmarkStart w:id="72" w:name="_Hlk54435958"/>
      <w:bookmarkEnd w:id="71"/>
      <w:r w:rsidRPr="00A81A4F">
        <w:t xml:space="preserve">Combining the discussions above, </w:t>
      </w:r>
      <w:bookmarkStart w:id="73" w:name="_Hlk55035084"/>
      <w:r w:rsidRPr="00A81A4F">
        <w:t>we formally propose that the different levels of environmental regulatory pressure can affect sustainable Chinese SMEs to acquire and utilize foreign advanced management skills, technologies, and financial capital from developed countries:</w:t>
      </w:r>
    </w:p>
    <w:bookmarkEnd w:id="73"/>
    <w:p w14:paraId="4AB8AE75" w14:textId="77777777" w:rsidR="002E0FEA" w:rsidRPr="00A81A4F" w:rsidRDefault="002E0FEA" w:rsidP="006A4E58">
      <w:pPr>
        <w:spacing w:after="0" w:line="240" w:lineRule="auto"/>
        <w:ind w:left="397" w:right="397"/>
        <w:jc w:val="both"/>
        <w:rPr>
          <w:i/>
        </w:rPr>
      </w:pPr>
      <w:r w:rsidRPr="00A81A4F">
        <w:rPr>
          <w:i/>
        </w:rPr>
        <w:t>Hypothesis 2: Foreign environmental regulatory pressure has an inverted U-shaped moderating effect on the positive relationship between proactive environmental strategy and inward-focused internationalization activities in the Chinese SME context.</w:t>
      </w:r>
    </w:p>
    <w:p w14:paraId="2A09AB60" w14:textId="77777777" w:rsidR="002E0FEA" w:rsidRPr="00A81A4F" w:rsidRDefault="002E0FEA" w:rsidP="006A4E58">
      <w:pPr>
        <w:spacing w:after="0" w:line="240" w:lineRule="auto"/>
        <w:ind w:left="397" w:right="397"/>
        <w:jc w:val="both"/>
        <w:rPr>
          <w:i/>
        </w:rPr>
      </w:pPr>
    </w:p>
    <w:p w14:paraId="500058CB" w14:textId="77777777" w:rsidR="002E0FEA" w:rsidRPr="00A81A4F" w:rsidRDefault="002E0FEA" w:rsidP="006D28D5">
      <w:pPr>
        <w:spacing w:after="0" w:line="480" w:lineRule="auto"/>
        <w:ind w:firstLine="720"/>
        <w:jc w:val="both"/>
      </w:pPr>
      <w:bookmarkStart w:id="74" w:name="_Hlk65849183"/>
      <w:bookmarkEnd w:id="72"/>
      <w:r w:rsidRPr="00A81A4F">
        <w:t xml:space="preserve">We also anticipate that foreign environmental customer pressure can influence the relationship between proactive environmental strategy and Chinese SMEs’ outward-focused internationalization activities. </w:t>
      </w:r>
      <w:bookmarkStart w:id="75" w:name="_Hlk65421332"/>
      <w:r w:rsidRPr="00A81A4F">
        <w:t xml:space="preserve">Our arguments build on </w:t>
      </w:r>
      <w:bookmarkStart w:id="76" w:name="_Hlk65850229"/>
      <w:r w:rsidRPr="00A81A4F">
        <w:t xml:space="preserve">an aspect of institutional theory, which suggests that institutional distance can affect firms’ internationalization </w:t>
      </w:r>
      <w:bookmarkEnd w:id="76"/>
      <w:r w:rsidRPr="00A81A4F">
        <w:rPr>
          <w:noProof/>
        </w:rPr>
        <w:t>(He</w:t>
      </w:r>
      <w:r w:rsidRPr="00A81A4F">
        <w:rPr>
          <w:i/>
          <w:noProof/>
        </w:rPr>
        <w:t xml:space="preserve"> et al.</w:t>
      </w:r>
      <w:r w:rsidRPr="00A81A4F">
        <w:rPr>
          <w:noProof/>
        </w:rPr>
        <w:t>, 2013; Schwens</w:t>
      </w:r>
      <w:r w:rsidRPr="00A81A4F">
        <w:rPr>
          <w:i/>
          <w:noProof/>
        </w:rPr>
        <w:t xml:space="preserve"> et al.</w:t>
      </w:r>
      <w:r w:rsidRPr="00A81A4F">
        <w:rPr>
          <w:noProof/>
        </w:rPr>
        <w:t>, 2011)</w:t>
      </w:r>
      <w:r w:rsidRPr="00A81A4F">
        <w:t xml:space="preserve">. Firms’ international business activities are less likely to gain legitimacy in the host country if the firms are from the more institutionally distant home country. This research focuses on the differences in institutional settings concerning civil societies’ (e.g., customers’) common values and beliefs between home and host countries </w:t>
      </w:r>
      <w:r w:rsidRPr="00A81A4F">
        <w:rPr>
          <w:noProof/>
        </w:rPr>
        <w:t>(Salomon &amp; Wu, 2012)</w:t>
      </w:r>
      <w:r w:rsidRPr="00A81A4F">
        <w:t xml:space="preserve">. </w:t>
      </w:r>
      <w:bookmarkStart w:id="77" w:name="_Hlk63588519"/>
      <w:r w:rsidRPr="00A81A4F">
        <w:t xml:space="preserve">Outward-focused internationalization activities involve exporting and building alliance (supplier-buyer) relationships with foreign partners </w:t>
      </w:r>
      <w:r w:rsidRPr="00A81A4F">
        <w:rPr>
          <w:noProof/>
        </w:rPr>
        <w:t>(Zhou</w:t>
      </w:r>
      <w:r w:rsidRPr="00A81A4F">
        <w:rPr>
          <w:i/>
          <w:noProof/>
        </w:rPr>
        <w:t xml:space="preserve"> et al.</w:t>
      </w:r>
      <w:r w:rsidRPr="00A81A4F">
        <w:rPr>
          <w:noProof/>
        </w:rPr>
        <w:t>, 2007)</w:t>
      </w:r>
      <w:r w:rsidRPr="00A81A4F">
        <w:t xml:space="preserve">. The actors related to outward-focused internationalization in the developed countries are customers who purchase </w:t>
      </w:r>
      <w:r w:rsidRPr="00A81A4F">
        <w:lastRenderedPageBreak/>
        <w:t xml:space="preserve">exported products/services and foreign firms that select Chinese SMEs as their outsourcing partners. </w:t>
      </w:r>
      <w:bookmarkStart w:id="78" w:name="_Hlk65850287"/>
      <w:r w:rsidRPr="00A81A4F">
        <w:t xml:space="preserve">Foreign customer environmental pressure is highly influential on these two actors’ behaviors </w:t>
      </w:r>
      <w:bookmarkEnd w:id="78"/>
      <w:r w:rsidRPr="00A81A4F">
        <w:t xml:space="preserve">because foreign customer environmental pressure </w:t>
      </w:r>
      <w:bookmarkEnd w:id="77"/>
      <w:r w:rsidRPr="00A81A4F">
        <w:t xml:space="preserve">reflects foreign customers’ (collective) common values and beliefs relating to firms’ interactions with the natural environment in the host country </w:t>
      </w:r>
      <w:r w:rsidRPr="00A81A4F">
        <w:rPr>
          <w:noProof/>
        </w:rPr>
        <w:t>(Aguilera-Caracuel, Hurtado-Torres, Aragón-Correa, &amp; Rugman, 2013)</w:t>
      </w:r>
      <w:r w:rsidRPr="00A81A4F">
        <w:t xml:space="preserve">. This pressure also affects foreign firms’ behaviors as they are the “middle-man” between emerging country firms (e.g., Chinese SMEs) and foreign customers </w:t>
      </w:r>
      <w:r w:rsidRPr="00A81A4F">
        <w:rPr>
          <w:noProof/>
        </w:rPr>
        <w:t>(Zhu, 2016; Zhu &amp; Sarkis, 2007)</w:t>
      </w:r>
      <w:r w:rsidRPr="00A81A4F">
        <w:t xml:space="preserve">. Foreign customers may challenge their outsourcing partners’ (emerging country firms’) environmental performance </w:t>
      </w:r>
      <w:r w:rsidRPr="00A81A4F">
        <w:rPr>
          <w:noProof/>
        </w:rPr>
        <w:t>(Babin &amp; Nicholson, 2011)</w:t>
      </w:r>
      <w:r w:rsidRPr="00A81A4F">
        <w:t xml:space="preserve">. </w:t>
      </w:r>
    </w:p>
    <w:p w14:paraId="385B3232" w14:textId="77777777" w:rsidR="002E0FEA" w:rsidRPr="00A81A4F" w:rsidRDefault="002E0FEA" w:rsidP="007C2D06">
      <w:pPr>
        <w:spacing w:after="0" w:line="480" w:lineRule="auto"/>
        <w:ind w:firstLine="720"/>
        <w:jc w:val="both"/>
      </w:pPr>
      <w:bookmarkStart w:id="79" w:name="_Hlk65421394"/>
      <w:bookmarkStart w:id="80" w:name="_Hlk56262019"/>
      <w:bookmarkEnd w:id="74"/>
      <w:bookmarkEnd w:id="75"/>
      <w:r w:rsidRPr="00A81A4F">
        <w:t xml:space="preserve">The shift of foreign environmental customer pressure from low to medium levels indicates that green consumption starts to become a trend and a fashionable activity in the developed countries </w:t>
      </w:r>
      <w:r w:rsidRPr="00A81A4F">
        <w:rPr>
          <w:noProof/>
        </w:rPr>
        <w:t>(Haws, Winterich, &amp; Naylor, 2014)</w:t>
      </w:r>
      <w:r w:rsidRPr="00A81A4F">
        <w:t xml:space="preserve">, and some (i.e., high-income) foreign customers consider green consumption </w:t>
      </w:r>
      <w:proofErr w:type="gramStart"/>
      <w:r w:rsidRPr="00A81A4F">
        <w:t>as a way to</w:t>
      </w:r>
      <w:proofErr w:type="gramEnd"/>
      <w:r w:rsidRPr="00A81A4F">
        <w:t xml:space="preserve"> demonstrate their status and environmental stance </w:t>
      </w:r>
      <w:r w:rsidRPr="00A81A4F">
        <w:rPr>
          <w:noProof/>
        </w:rPr>
        <w:t>(White, Hardisty, &amp; Habib, 2019)</w:t>
      </w:r>
      <w:r w:rsidRPr="00A81A4F">
        <w:t xml:space="preserve">. This will trigger the shift in civil societies’ (e.g., customers’) common values and beliefs concerning firms’ interactions with the natural environment and motivate developed country firms to adopted proactive environmental strategy </w:t>
      </w:r>
      <w:r w:rsidRPr="00A81A4F">
        <w:rPr>
          <w:noProof/>
        </w:rPr>
        <w:t>(Aguilera-Caracuel</w:t>
      </w:r>
      <w:r w:rsidRPr="00A81A4F">
        <w:rPr>
          <w:i/>
          <w:noProof/>
        </w:rPr>
        <w:t xml:space="preserve"> et al.</w:t>
      </w:r>
      <w:r w:rsidRPr="00A81A4F">
        <w:rPr>
          <w:noProof/>
        </w:rPr>
        <w:t>, 2013)</w:t>
      </w:r>
      <w:r w:rsidRPr="00A81A4F">
        <w:t xml:space="preserve">. </w:t>
      </w:r>
      <w:proofErr w:type="gramStart"/>
      <w:r w:rsidRPr="00A81A4F">
        <w:t>In order to</w:t>
      </w:r>
      <w:proofErr w:type="gramEnd"/>
      <w:r w:rsidRPr="00A81A4F">
        <w:t xml:space="preserve"> gain legitimacy for their international operation (e.g., exporting or building cross-border alliances), the institutional theory posits that emerging country firms need to imitate the practices of developed country firms </w:t>
      </w:r>
      <w:r w:rsidRPr="00A81A4F">
        <w:rPr>
          <w:noProof/>
        </w:rPr>
        <w:t>(Salomon &amp; Wu, 2012)</w:t>
      </w:r>
      <w:r w:rsidRPr="00A81A4F">
        <w:t xml:space="preserve">. In such conditions, Chinese SMEs that have implemented proactive environmental strategies are more likely to capture foreign market shares or build alliances with firms in developed countries. They act and behave as developed country firms engaging in environmental practices and becoming more appealing to foreign customers and firms (potential outsourcing partners). </w:t>
      </w:r>
      <w:bookmarkEnd w:id="79"/>
      <w:r w:rsidRPr="00A81A4F">
        <w:t xml:space="preserve">This is displayed by a study conducted by </w:t>
      </w:r>
      <w:r w:rsidRPr="00A81A4F">
        <w:rPr>
          <w:noProof/>
        </w:rPr>
        <w:t>Christmann and Taylor (2001)</w:t>
      </w:r>
      <w:r w:rsidRPr="00A81A4F">
        <w:t xml:space="preserve">, which shows that sustainable Chinese firms (act as firms in foreign countries) </w:t>
      </w:r>
      <w:r w:rsidRPr="00A81A4F">
        <w:lastRenderedPageBreak/>
        <w:t>are more able to engage in exporting or selling products to foreign companies in supplier-buyer relationships due to foreign customers’ concerns. Hence, the increase in foreign environmental customer pressure positively moderates the relationship between proactive environmental strategy and outward-focused internationalization activities.</w:t>
      </w:r>
    </w:p>
    <w:p w14:paraId="1DA188D3" w14:textId="77777777" w:rsidR="002E0FEA" w:rsidRPr="00A81A4F" w:rsidRDefault="002E0FEA" w:rsidP="007C2D06">
      <w:pPr>
        <w:spacing w:after="0" w:line="480" w:lineRule="auto"/>
        <w:ind w:firstLine="720"/>
        <w:jc w:val="both"/>
      </w:pPr>
      <w:r w:rsidRPr="00A81A4F">
        <w:t xml:space="preserve">However, </w:t>
      </w:r>
      <w:bookmarkStart w:id="81" w:name="_Hlk65421449"/>
      <w:r w:rsidRPr="00A81A4F">
        <w:t xml:space="preserve">this positive moderating effect may diminish as foreign environmental customer pressure rises. The further increase in developed country customer environmental pressure widens the institutional distance between emerging and developed countries. The enhanced customer environmental consciousness will eventually develop powerful social norms about green consumption </w:t>
      </w:r>
      <w:r w:rsidRPr="00A81A4F">
        <w:rPr>
          <w:noProof/>
        </w:rPr>
        <w:t>(Peattie, 2010)</w:t>
      </w:r>
      <w:r w:rsidRPr="00A81A4F">
        <w:t xml:space="preserve">. Everyone (all customers) in the developed countries needs to conform to these social norms by giving greater preference to </w:t>
      </w:r>
      <w:proofErr w:type="gramStart"/>
      <w:r w:rsidRPr="00A81A4F">
        <w:t>environmentally-friendly</w:t>
      </w:r>
      <w:proofErr w:type="gramEnd"/>
      <w:r w:rsidRPr="00A81A4F">
        <w:t xml:space="preserve"> products to gain legitimacy among their peers and family members and feel satisfied with their own behavior </w:t>
      </w:r>
      <w:bookmarkStart w:id="82" w:name="_Hlk63676818"/>
      <w:r w:rsidRPr="00A81A4F">
        <w:rPr>
          <w:noProof/>
        </w:rPr>
        <w:t>(Lin &amp; Niu, 2018)</w:t>
      </w:r>
      <w:bookmarkEnd w:id="82"/>
      <w:r w:rsidRPr="00A81A4F">
        <w:t xml:space="preserve">. This also pushes firms in the developed countries to adopt higher levels of environmental standards to run their business operations by introducing </w:t>
      </w:r>
      <w:proofErr w:type="gramStart"/>
      <w:r w:rsidRPr="00A81A4F">
        <w:t>environmentally-friendly</w:t>
      </w:r>
      <w:proofErr w:type="gramEnd"/>
      <w:r w:rsidRPr="00A81A4F">
        <w:t xml:space="preserve"> products and developing (or looking for outsourcing partners with) green production processes to compete with one another </w:t>
      </w:r>
      <w:r w:rsidRPr="00A81A4F">
        <w:rPr>
          <w:noProof/>
        </w:rPr>
        <w:t>(Aguilera-Caracuel</w:t>
      </w:r>
      <w:r w:rsidRPr="00A81A4F">
        <w:rPr>
          <w:i/>
          <w:noProof/>
        </w:rPr>
        <w:t xml:space="preserve"> et al.</w:t>
      </w:r>
      <w:r w:rsidRPr="00A81A4F">
        <w:rPr>
          <w:noProof/>
        </w:rPr>
        <w:t>, 2013; Zhu &amp; Sarkis, 2007)</w:t>
      </w:r>
      <w:r w:rsidRPr="00A81A4F">
        <w:t xml:space="preserve">. </w:t>
      </w:r>
    </w:p>
    <w:p w14:paraId="590AC644" w14:textId="77777777" w:rsidR="002E0FEA" w:rsidRPr="00A81A4F" w:rsidRDefault="002E0FEA" w:rsidP="005936EE">
      <w:pPr>
        <w:spacing w:after="0" w:line="480" w:lineRule="auto"/>
        <w:ind w:firstLine="720"/>
        <w:jc w:val="both"/>
      </w:pPr>
      <w:bookmarkStart w:id="83" w:name="_Hlk65421500"/>
      <w:r w:rsidRPr="00A81A4F">
        <w:t xml:space="preserve">We argue that Chinese SMEs keep up with these processes and instead continue to upgrade their environmental practices for two reasons. First, to imitate developed country firms that adopted higher environmental standards, Chinese SMEs need to introduce significant changes in their current environmental practices and allocate more resources toward their implementation. Their smaller size makes it difficult for managers to make investments </w:t>
      </w:r>
      <w:r w:rsidRPr="00A81A4F">
        <w:rPr>
          <w:noProof/>
        </w:rPr>
        <w:t>(de Jesus Pacheco, ten Caten, Jung, Navas, &amp; Cruz-Machado, 2018)</w:t>
      </w:r>
      <w:r w:rsidRPr="00A81A4F">
        <w:t>.</w:t>
      </w:r>
      <w:bookmarkEnd w:id="83"/>
      <w:r w:rsidRPr="00A81A4F">
        <w:t xml:space="preserve"> </w:t>
      </w:r>
      <w:bookmarkEnd w:id="81"/>
      <w:r w:rsidRPr="00A81A4F">
        <w:t xml:space="preserve">For example, a study conducted by </w:t>
      </w:r>
      <w:r w:rsidRPr="00A81A4F">
        <w:rPr>
          <w:noProof/>
        </w:rPr>
        <w:t>Zhang, Bi, and Liu (2009)</w:t>
      </w:r>
      <w:r w:rsidRPr="00A81A4F">
        <w:t xml:space="preserve"> shows that cost is a crucial barrier preventing Chinese SMEs from pushing further investment toward environmental practices. </w:t>
      </w:r>
      <w:bookmarkStart w:id="84" w:name="_Hlk65421477"/>
      <w:r w:rsidRPr="00A81A4F">
        <w:t xml:space="preserve">Second, the introduction of products or production processes with higher environmental standards may </w:t>
      </w:r>
      <w:r w:rsidRPr="00A81A4F">
        <w:lastRenderedPageBreak/>
        <w:t xml:space="preserve">cause Chinese SMEs to lose their products’ competitive advantage in the home markets. This is because that they are often associated with high costs (prices) that customers in the home markets are not able or willing to pay due to the lower average income level and less customer environmental consciousness in the emerging countries </w:t>
      </w:r>
      <w:r w:rsidRPr="00A81A4F">
        <w:rPr>
          <w:noProof/>
        </w:rPr>
        <w:t>(Prakash &amp; Pathak, 2017)</w:t>
      </w:r>
      <w:r w:rsidRPr="00A81A4F">
        <w:t xml:space="preserve">. </w:t>
      </w:r>
      <w:bookmarkEnd w:id="84"/>
      <w:r w:rsidRPr="00A81A4F">
        <w:t xml:space="preserve">For example, field research shows that Chinese customers (despite their environmental consciousness) are unwilling to pay for green products with higher prices </w:t>
      </w:r>
      <w:r w:rsidRPr="00A81A4F">
        <w:rPr>
          <w:noProof/>
        </w:rPr>
        <w:t>(CfK Custom Research, 2015; China Daily News, 2014)</w:t>
      </w:r>
      <w:r w:rsidRPr="00A81A4F">
        <w:t>. As a result, Chinese SMEs are at a disadvantage in doing business with developed country customers who are having growing environmental consciousness and building suppler-buyer alliances with developed country firms that are demanding “greener” operation processes when foreign environmental customer pressures are at medium to high levels.</w:t>
      </w:r>
      <w:bookmarkEnd w:id="80"/>
      <w:r w:rsidRPr="00A81A4F">
        <w:t xml:space="preserve"> Combining the discussion above, we formally propose that the different levels of environmental customer pressure can affect sustainable Chinese SMEs to seek foreign markets and build an alliance with foreign partners in the developed countries:</w:t>
      </w:r>
    </w:p>
    <w:p w14:paraId="0D6500B6" w14:textId="77777777" w:rsidR="002E0FEA" w:rsidRPr="00A81A4F" w:rsidRDefault="002E0FEA" w:rsidP="005936EE">
      <w:pPr>
        <w:spacing w:after="0" w:line="240" w:lineRule="auto"/>
        <w:ind w:left="397" w:right="397"/>
        <w:jc w:val="both"/>
        <w:rPr>
          <w:i/>
        </w:rPr>
      </w:pPr>
      <w:r w:rsidRPr="00A81A4F">
        <w:rPr>
          <w:i/>
        </w:rPr>
        <w:t>Hypothesis 3: Foreign environmental customer pressure has an inverted U-shaped moderating effect on the positive relationship between proactive environmental strategy and outward-focused internationalization activities in the Chinese SME context.</w:t>
      </w:r>
    </w:p>
    <w:p w14:paraId="76D91012" w14:textId="77777777" w:rsidR="002E0FEA" w:rsidRPr="00A81A4F" w:rsidRDefault="002E0FEA" w:rsidP="005936EE">
      <w:pPr>
        <w:spacing w:after="0" w:line="480" w:lineRule="auto"/>
        <w:ind w:firstLine="720"/>
        <w:jc w:val="both"/>
      </w:pPr>
    </w:p>
    <w:p w14:paraId="004A6719" w14:textId="77777777" w:rsidR="002E0FEA" w:rsidRPr="00A81A4F" w:rsidRDefault="002E0FEA" w:rsidP="00DF0C72">
      <w:pPr>
        <w:spacing w:after="0" w:line="480" w:lineRule="auto"/>
        <w:jc w:val="both"/>
        <w:rPr>
          <w:b/>
        </w:rPr>
      </w:pPr>
      <w:r w:rsidRPr="00A81A4F">
        <w:rPr>
          <w:b/>
        </w:rPr>
        <w:t>4. Methodology</w:t>
      </w:r>
    </w:p>
    <w:p w14:paraId="4161D491" w14:textId="77777777" w:rsidR="002E0FEA" w:rsidRPr="00A81A4F" w:rsidRDefault="002E0FEA" w:rsidP="00DF0C72">
      <w:pPr>
        <w:spacing w:after="0" w:line="480" w:lineRule="auto"/>
        <w:jc w:val="both"/>
        <w:rPr>
          <w:i/>
        </w:rPr>
      </w:pPr>
      <w:r w:rsidRPr="00A81A4F">
        <w:rPr>
          <w:i/>
        </w:rPr>
        <w:t>4.1 Questionnaire Development and Data Collection</w:t>
      </w:r>
    </w:p>
    <w:p w14:paraId="61249824" w14:textId="77777777" w:rsidR="002E0FEA" w:rsidRPr="00A81A4F" w:rsidRDefault="002E0FEA" w:rsidP="002B1DAD">
      <w:pPr>
        <w:spacing w:after="0" w:line="480" w:lineRule="auto"/>
        <w:jc w:val="both"/>
      </w:pPr>
      <w:r w:rsidRPr="00A81A4F">
        <w:tab/>
        <w:t xml:space="preserve">We conducted surveys of SMEs in China. SMEs’ classification in China is based on companies’ number of employees, business income, assets, and other indicators </w:t>
      </w:r>
      <w:r w:rsidRPr="00A81A4F">
        <w:rPr>
          <w:noProof/>
        </w:rPr>
        <w:t>(Hoffmann, 2019)</w:t>
      </w:r>
      <w:r w:rsidRPr="00A81A4F">
        <w:t xml:space="preserve">. Compared with other countries that use the number of employees to classify an SME, this classification method is quite complicated. Nevertheless, an organization from the industrial sector (e.g., manufacturing) with fewer than 2,000 employees can often be defined as an SME </w:t>
      </w:r>
      <w:r w:rsidRPr="00A81A4F">
        <w:rPr>
          <w:noProof/>
        </w:rPr>
        <w:t>(Tian, Nicholson, Eklinder-Frick, &amp; Johanson, 2018)</w:t>
      </w:r>
      <w:r w:rsidRPr="00A81A4F">
        <w:t xml:space="preserve">. </w:t>
      </w:r>
    </w:p>
    <w:p w14:paraId="53ED80A8" w14:textId="77777777" w:rsidR="002E0FEA" w:rsidRPr="00A81A4F" w:rsidRDefault="002E0FEA" w:rsidP="00DF0C72">
      <w:pPr>
        <w:spacing w:after="0" w:line="480" w:lineRule="auto"/>
        <w:jc w:val="both"/>
      </w:pPr>
      <w:r w:rsidRPr="00A81A4F">
        <w:rPr>
          <w:b/>
        </w:rPr>
        <w:lastRenderedPageBreak/>
        <w:tab/>
      </w:r>
      <w:r w:rsidRPr="00A81A4F">
        <w:t xml:space="preserve">We designed the questionnaires after thoroughly reviewing the relevant literature. We used seven-point Likert-type scales to capture the multi-item constructs. To measure proactive environmental strategy, we adapted the scales from </w:t>
      </w:r>
      <w:r w:rsidRPr="00A81A4F">
        <w:rPr>
          <w:noProof/>
        </w:rPr>
        <w:t>Jones</w:t>
      </w:r>
      <w:r w:rsidRPr="00A81A4F">
        <w:rPr>
          <w:i/>
          <w:noProof/>
        </w:rPr>
        <w:t xml:space="preserve"> et al.</w:t>
      </w:r>
      <w:r w:rsidRPr="00A81A4F">
        <w:rPr>
          <w:noProof/>
        </w:rPr>
        <w:t xml:space="preserve"> (2014)</w:t>
      </w:r>
      <w:r w:rsidRPr="00A81A4F">
        <w:t xml:space="preserve"> that were originally designed to assess job seekers’ perceptions regarding environmental practices in an organization. We modified these to assess an SME executive’s perception of the firm’s environmental practices concerning the configuration of managerial principles, corporate actions, and observable outcomes to address the natural environment’s issues. To measure internationalization activities, we adapted the scales developed by </w:t>
      </w:r>
      <w:r w:rsidRPr="00A81A4F">
        <w:rPr>
          <w:noProof/>
        </w:rPr>
        <w:t>Zhou</w:t>
      </w:r>
      <w:r w:rsidRPr="00A81A4F">
        <w:rPr>
          <w:i/>
          <w:noProof/>
        </w:rPr>
        <w:t xml:space="preserve"> et al.</w:t>
      </w:r>
      <w:r w:rsidRPr="00A81A4F">
        <w:rPr>
          <w:noProof/>
        </w:rPr>
        <w:t xml:space="preserve"> (2007)</w:t>
      </w:r>
      <w:r w:rsidRPr="00A81A4F">
        <w:t xml:space="preserve"> to assess the extent to which SMEs are actively utilizing foreign knowledge (i.e., advanced management skills and technologies) and financial capital (foreign direct investment) as inward-focused internationalization activities, and the extent to which SMEs are actively seeking foreign markets (exporting) and business partners (supplier-buyer relationship) as outward-focused internationalization activities </w:t>
      </w:r>
      <w:r w:rsidRPr="00A81A4F">
        <w:rPr>
          <w:noProof/>
        </w:rPr>
        <w:t>(Zhou</w:t>
      </w:r>
      <w:r w:rsidRPr="00A81A4F">
        <w:rPr>
          <w:i/>
          <w:noProof/>
        </w:rPr>
        <w:t xml:space="preserve"> et al.</w:t>
      </w:r>
      <w:r w:rsidRPr="00A81A4F">
        <w:rPr>
          <w:noProof/>
        </w:rPr>
        <w:t>, 2007)</w:t>
      </w:r>
      <w:r w:rsidRPr="00A81A4F">
        <w:t xml:space="preserve">. Adapting </w:t>
      </w:r>
      <w:r w:rsidRPr="00A81A4F">
        <w:rPr>
          <w:noProof/>
        </w:rPr>
        <w:t>Banerjee</w:t>
      </w:r>
      <w:r w:rsidRPr="00A81A4F">
        <w:rPr>
          <w:i/>
          <w:noProof/>
        </w:rPr>
        <w:t xml:space="preserve"> et al.</w:t>
      </w:r>
      <w:r w:rsidRPr="00A81A4F">
        <w:rPr>
          <w:noProof/>
        </w:rPr>
        <w:t xml:space="preserve"> (2003)</w:t>
      </w:r>
      <w:r w:rsidRPr="00A81A4F">
        <w:t xml:space="preserve"> and </w:t>
      </w:r>
      <w:r w:rsidRPr="00A81A4F">
        <w:rPr>
          <w:noProof/>
        </w:rPr>
        <w:t>Katsikeas</w:t>
      </w:r>
      <w:r w:rsidRPr="00A81A4F">
        <w:rPr>
          <w:i/>
          <w:noProof/>
        </w:rPr>
        <w:t xml:space="preserve"> et al.</w:t>
      </w:r>
      <w:r w:rsidRPr="00A81A4F">
        <w:rPr>
          <w:noProof/>
        </w:rPr>
        <w:t xml:space="preserve"> (2016)</w:t>
      </w:r>
      <w:r w:rsidRPr="00A81A4F">
        <w:t xml:space="preserve">, we examined the foreign environmental regulatory and customer pressures that an SME’s management team uses to assess the perceived pressures exerted by governments and customers in developed countries. </w:t>
      </w:r>
    </w:p>
    <w:p w14:paraId="596D963B" w14:textId="77777777" w:rsidR="002E0FEA" w:rsidRPr="00A81A4F" w:rsidRDefault="002E0FEA" w:rsidP="009362D0">
      <w:pPr>
        <w:spacing w:after="0" w:line="480" w:lineRule="auto"/>
        <w:jc w:val="both"/>
      </w:pPr>
      <w:r w:rsidRPr="00A81A4F">
        <w:tab/>
        <w:t xml:space="preserve">We also considered several control variables that may potentially affect SMEs’ internationalization activities, such as industry type, firm size, firm age, competitive intensity, technology turbulence, and market turbulence </w:t>
      </w:r>
      <w:r w:rsidRPr="00A81A4F">
        <w:rPr>
          <w:noProof/>
        </w:rPr>
        <w:t>(Bagheri</w:t>
      </w:r>
      <w:r w:rsidRPr="00A81A4F">
        <w:rPr>
          <w:i/>
          <w:noProof/>
        </w:rPr>
        <w:t xml:space="preserve"> et al.</w:t>
      </w:r>
      <w:r w:rsidRPr="00A81A4F">
        <w:rPr>
          <w:noProof/>
        </w:rPr>
        <w:t>, 2019; Zhou</w:t>
      </w:r>
      <w:r w:rsidRPr="00A81A4F">
        <w:rPr>
          <w:i/>
          <w:noProof/>
        </w:rPr>
        <w:t xml:space="preserve"> et al.</w:t>
      </w:r>
      <w:r w:rsidRPr="00A81A4F">
        <w:rPr>
          <w:noProof/>
        </w:rPr>
        <w:t>, 2007)</w:t>
      </w:r>
      <w:r w:rsidRPr="00A81A4F">
        <w:t xml:space="preserve">. We followed previous studies in measuring the firm size as the number of employees and the firm age as the years since the establishment of the firm </w:t>
      </w:r>
      <w:r w:rsidRPr="00A81A4F">
        <w:rPr>
          <w:noProof/>
        </w:rPr>
        <w:t>(e.g., Bagheri</w:t>
      </w:r>
      <w:r w:rsidRPr="00A81A4F">
        <w:rPr>
          <w:i/>
          <w:noProof/>
        </w:rPr>
        <w:t xml:space="preserve"> et al.</w:t>
      </w:r>
      <w:r w:rsidRPr="00A81A4F">
        <w:rPr>
          <w:noProof/>
        </w:rPr>
        <w:t>, 2019)</w:t>
      </w:r>
      <w:r w:rsidRPr="00A81A4F">
        <w:t xml:space="preserve">. Log transformation regarding firm size and firm age made it possible to avoid extreme values and account for the diminishing marginal effects at the tail end of the distribution. Finally, we measured competitive intensity, technology turbulence, and market turbulence by adapting multi-items scales from </w:t>
      </w:r>
      <w:r w:rsidRPr="00A81A4F">
        <w:rPr>
          <w:noProof/>
        </w:rPr>
        <w:t>Hult, Ketchen, and Arrfelt (2007)</w:t>
      </w:r>
      <w:r w:rsidRPr="00A81A4F">
        <w:t xml:space="preserve">. </w:t>
      </w:r>
    </w:p>
    <w:p w14:paraId="5C29302C" w14:textId="77777777" w:rsidR="002E0FEA" w:rsidRPr="00A81A4F" w:rsidRDefault="002E0FEA" w:rsidP="00DF0C72">
      <w:pPr>
        <w:spacing w:after="0" w:line="480" w:lineRule="auto"/>
        <w:jc w:val="both"/>
      </w:pPr>
      <w:r w:rsidRPr="00A81A4F">
        <w:lastRenderedPageBreak/>
        <w:tab/>
        <w:t xml:space="preserve">We first developed the questionnaire in English, then translated it into Chinese. All the authors who participated in this study are bilingual and can speak and write formally and fluently in both languages. We took turns to compare the Chinese translation with the original English questionnaire to ensure that they were equivalent. We then conducted a pilot study involving two representatives from different Chinese SMEs. The pilot test enabled further revisions that led to the final version of the questionnaire (see Appendix 1) for the primary data collection. </w:t>
      </w:r>
    </w:p>
    <w:p w14:paraId="3329E08D" w14:textId="77777777" w:rsidR="002E0FEA" w:rsidRPr="00A81A4F" w:rsidRDefault="002E0FEA" w:rsidP="00DF0C72">
      <w:pPr>
        <w:spacing w:after="0" w:line="480" w:lineRule="auto"/>
        <w:jc w:val="both"/>
      </w:pPr>
      <w:r w:rsidRPr="00A81A4F">
        <w:tab/>
        <w:t>After finalizing the questionnaire, we invited a third-party independent research agency, which has worked with many universities and scientific research institutes in China, to collect our survey data. In the contract, we clearly stated our data collection requirements, including the targeting of senior SME executives (e.g., CEOs), the definition of SMEs, the random sampling of 2,000 SMEs from different industrial sectors in three major economic clusters</w:t>
      </w:r>
      <w:r w:rsidRPr="00A81A4F">
        <w:rPr>
          <w:rStyle w:val="FootnoteReference"/>
        </w:rPr>
        <w:footnoteReference w:id="3"/>
      </w:r>
      <w:r w:rsidRPr="00A81A4F">
        <w:t xml:space="preserve"> in China, a two-wave survey, and so on. As we could not obtain data from different sources, we decided to introduce a time lag in our data collection process</w:t>
      </w:r>
      <w:r w:rsidRPr="00A81A4F">
        <w:rPr>
          <w:rStyle w:val="FootnoteReference"/>
        </w:rPr>
        <w:footnoteReference w:id="4"/>
      </w:r>
      <w:r w:rsidRPr="00A81A4F">
        <w:t xml:space="preserve">. We asked senior SME executives to </w:t>
      </w:r>
      <w:bookmarkStart w:id="85" w:name="_Hlk65402669"/>
      <w:r w:rsidRPr="00A81A4F">
        <w:t xml:space="preserve">choose a foreign market in a developed country where their firms have internationalized their activities and answered the questions (e.g., about internationalization activities and foreign institutional pressures) from this perspective. </w:t>
      </w:r>
      <w:bookmarkEnd w:id="85"/>
      <w:r w:rsidRPr="00A81A4F">
        <w:t xml:space="preserve">At Time 1, we sent the questionnaire to 2,000 SME executives (one per company) to access proactive environmental strategy, foreign environmental regulatory and customer pressures, and control variables. We received 542 responses. At Time 2 (six months later), we sent out questionnaires that included items for assessing inward-focused/outward-focused internationalization activities to the 542 </w:t>
      </w:r>
      <w:r w:rsidRPr="00A81A4F">
        <w:lastRenderedPageBreak/>
        <w:t>SME executives who participated in our first round of survey data collection (Time 1). We received 217 responses. After matching up and deleting incomplete questionnaires, we obtained 211 effective responses (response rate = 10.55%).</w:t>
      </w:r>
    </w:p>
    <w:p w14:paraId="68984F85" w14:textId="77777777" w:rsidR="002E0FEA" w:rsidRPr="00A81A4F" w:rsidRDefault="002E0FEA" w:rsidP="00DF0C72">
      <w:pPr>
        <w:spacing w:after="0" w:line="480" w:lineRule="auto"/>
        <w:ind w:firstLine="720"/>
        <w:jc w:val="both"/>
      </w:pPr>
      <w:r w:rsidRPr="00A81A4F">
        <w:rPr>
          <w:rFonts w:eastAsia="PMingLiU"/>
          <w:bCs/>
          <w:lang w:eastAsia="zh-TW"/>
        </w:rPr>
        <w:t xml:space="preserve">This response rate was not necessarily ideal. However, low survey response rates are typical when conducting an organization-based survey that directs the questionnaire to executive-level respondents, and nonresponse does not necessarily suggest the presence of sampling bias </w:t>
      </w:r>
      <w:r w:rsidRPr="00A81A4F">
        <w:rPr>
          <w:rFonts w:eastAsia="PMingLiU"/>
          <w:bCs/>
          <w:noProof/>
          <w:lang w:eastAsia="zh-TW"/>
        </w:rPr>
        <w:t>(Baruch &amp; Holtom, 2008)</w:t>
      </w:r>
      <w:r w:rsidRPr="00A81A4F">
        <w:rPr>
          <w:rFonts w:eastAsia="PMingLiU"/>
          <w:bCs/>
          <w:lang w:eastAsia="zh-TW"/>
        </w:rPr>
        <w:t xml:space="preserve">. Furthermore, the low response rate is also a trade-off for the rigorous data collection method. The two-wave survey design was a contributing factor to the low overall response rate as some of the SME executives were unavailable during the second round of survey data collection due to various reasons (e.g., they had left the company) </w:t>
      </w:r>
      <w:r w:rsidRPr="00A81A4F">
        <w:rPr>
          <w:rFonts w:eastAsia="PMingLiU"/>
          <w:bCs/>
          <w:noProof/>
          <w:lang w:eastAsia="zh-TW"/>
        </w:rPr>
        <w:t>(Murphy, 1990)</w:t>
      </w:r>
      <w:r w:rsidRPr="00A81A4F">
        <w:rPr>
          <w:rFonts w:eastAsia="PMingLiU"/>
          <w:bCs/>
          <w:lang w:eastAsia="zh-TW"/>
        </w:rPr>
        <w:t xml:space="preserve">. This is evinced by the fact that, while the number of responses to the first round of survey data collection was 542, only 217 of these SME executives decided to participate in the second round of survey data collection. </w:t>
      </w:r>
      <w:r w:rsidRPr="00A81A4F">
        <w:t xml:space="preserve">We also adopted the procedure proposed by </w:t>
      </w:r>
      <w:r w:rsidRPr="00A81A4F">
        <w:rPr>
          <w:noProof/>
        </w:rPr>
        <w:t>Armstrong and Overton (1977)</w:t>
      </w:r>
      <w:r w:rsidRPr="00A81A4F">
        <w:t xml:space="preserve"> to assess nonresponse bias. We found no significant differences between the early and late respondents’ answers. As a result, we concluded that the probability of nonresponse bias is minimal.</w:t>
      </w:r>
    </w:p>
    <w:p w14:paraId="362F9A67" w14:textId="77777777" w:rsidR="002E0FEA" w:rsidRPr="00A81A4F" w:rsidRDefault="002E0FEA" w:rsidP="00DF0C72">
      <w:pPr>
        <w:spacing w:after="0" w:line="480" w:lineRule="auto"/>
        <w:jc w:val="both"/>
      </w:pPr>
    </w:p>
    <w:p w14:paraId="5B432946" w14:textId="77777777" w:rsidR="002E0FEA" w:rsidRPr="00A81A4F" w:rsidRDefault="002E0FEA" w:rsidP="00DF0C72">
      <w:pPr>
        <w:spacing w:after="0" w:line="480" w:lineRule="auto"/>
        <w:jc w:val="both"/>
        <w:rPr>
          <w:i/>
        </w:rPr>
      </w:pPr>
      <w:r w:rsidRPr="00A81A4F">
        <w:rPr>
          <w:i/>
        </w:rPr>
        <w:t>4.2 Measurement Reliability and Validity</w:t>
      </w:r>
    </w:p>
    <w:p w14:paraId="3A9343B0" w14:textId="77777777" w:rsidR="002E0FEA" w:rsidRPr="00A81A4F" w:rsidRDefault="002E0FEA" w:rsidP="00DF0C72">
      <w:pPr>
        <w:spacing w:after="0" w:line="480" w:lineRule="auto"/>
        <w:ind w:firstLine="720"/>
        <w:jc w:val="both"/>
        <w:rPr>
          <w:bCs/>
        </w:rPr>
      </w:pPr>
      <w:r w:rsidRPr="00A81A4F">
        <w:t xml:space="preserve">Using confirmatory factor analysis, we assessed the reliability and validity of our variables' measurement presented in Figure 1. </w:t>
      </w:r>
      <w:r w:rsidRPr="00A81A4F">
        <w:rPr>
          <w:bCs/>
        </w:rPr>
        <w:t xml:space="preserve">According to </w:t>
      </w:r>
      <w:r w:rsidRPr="00A81A4F">
        <w:rPr>
          <w:bCs/>
          <w:noProof/>
        </w:rPr>
        <w:t>Hair, Black, Babin, and Anderson (2010)</w:t>
      </w:r>
      <w:r w:rsidRPr="00A81A4F">
        <w:rPr>
          <w:bCs/>
        </w:rPr>
        <w:t>, our overall model showed a satisfactory fit with the data (</w:t>
      </w:r>
      <w:r w:rsidRPr="00A81A4F">
        <w:rPr>
          <w:bCs/>
          <w:i/>
        </w:rPr>
        <w:t>X</w:t>
      </w:r>
      <w:r w:rsidRPr="00A81A4F">
        <w:rPr>
          <w:bCs/>
          <w:vertAlign w:val="superscript"/>
        </w:rPr>
        <w:t>2</w:t>
      </w:r>
      <w:r w:rsidRPr="00A81A4F">
        <w:rPr>
          <w:bCs/>
        </w:rPr>
        <w:t xml:space="preserve"> = 100.516; </w:t>
      </w:r>
      <w:r w:rsidRPr="00A81A4F">
        <w:rPr>
          <w:bCs/>
          <w:i/>
        </w:rPr>
        <w:t>df</w:t>
      </w:r>
      <w:r w:rsidRPr="00A81A4F">
        <w:rPr>
          <w:bCs/>
        </w:rPr>
        <w:t xml:space="preserve">  = 55; </w:t>
      </w:r>
      <w:r w:rsidRPr="00A81A4F">
        <w:rPr>
          <w:bCs/>
          <w:i/>
        </w:rPr>
        <w:t>X</w:t>
      </w:r>
      <w:r w:rsidRPr="00A81A4F">
        <w:rPr>
          <w:bCs/>
          <w:vertAlign w:val="superscript"/>
        </w:rPr>
        <w:t>2</w:t>
      </w:r>
      <w:r w:rsidRPr="00A81A4F">
        <w:rPr>
          <w:bCs/>
        </w:rPr>
        <w:t>/</w:t>
      </w:r>
      <w:r w:rsidRPr="00A81A4F">
        <w:rPr>
          <w:bCs/>
          <w:i/>
        </w:rPr>
        <w:t>df</w:t>
      </w:r>
      <w:r w:rsidRPr="00A81A4F">
        <w:rPr>
          <w:bCs/>
        </w:rPr>
        <w:t xml:space="preserve"> = 1.828; p = 0.000; goodness of fit index - GFI = 0.932; normed fit index - NFI = 0.910; comparative fit index – CFI = 0.956; root mean square error of approximation – RMSEA = 0.063). Our scales exhibited sufficient psychometric properties. The correlation between the main variables in our framework was less than 0.700. This demonstrated adequate discriminant </w:t>
      </w:r>
      <w:r w:rsidRPr="00A81A4F">
        <w:rPr>
          <w:bCs/>
        </w:rPr>
        <w:lastRenderedPageBreak/>
        <w:t xml:space="preserve">validity – the extent to which the variables are distinct and uncorrelated </w:t>
      </w:r>
      <w:r w:rsidRPr="00A81A4F">
        <w:rPr>
          <w:bCs/>
          <w:noProof/>
        </w:rPr>
        <w:t>(Hair</w:t>
      </w:r>
      <w:r w:rsidRPr="00A81A4F">
        <w:rPr>
          <w:bCs/>
          <w:i/>
          <w:noProof/>
        </w:rPr>
        <w:t xml:space="preserve"> et al.</w:t>
      </w:r>
      <w:r w:rsidRPr="00A81A4F">
        <w:rPr>
          <w:bCs/>
          <w:noProof/>
        </w:rPr>
        <w:t>, 2010)</w:t>
      </w:r>
      <w:r w:rsidRPr="00A81A4F">
        <w:rPr>
          <w:bCs/>
        </w:rPr>
        <w:t xml:space="preserve">.  We also examined the variance influence factors (VIF), which are well below the suggested cut-off value of 10 (highest VIF = 2.261), indicating no severe multicollinearity problem </w:t>
      </w:r>
      <w:r w:rsidRPr="00A81A4F">
        <w:rPr>
          <w:bCs/>
          <w:noProof/>
        </w:rPr>
        <w:t>(Cohen</w:t>
      </w:r>
      <w:r w:rsidRPr="00A81A4F">
        <w:rPr>
          <w:bCs/>
          <w:i/>
          <w:noProof/>
        </w:rPr>
        <w:t xml:space="preserve"> et al.</w:t>
      </w:r>
      <w:r w:rsidRPr="00A81A4F">
        <w:rPr>
          <w:bCs/>
          <w:noProof/>
        </w:rPr>
        <w:t>, 2003; Hair</w:t>
      </w:r>
      <w:r w:rsidRPr="00A81A4F">
        <w:rPr>
          <w:bCs/>
          <w:i/>
          <w:noProof/>
        </w:rPr>
        <w:t xml:space="preserve"> et al.</w:t>
      </w:r>
      <w:r w:rsidRPr="00A81A4F">
        <w:rPr>
          <w:bCs/>
          <w:noProof/>
        </w:rPr>
        <w:t>, 2010)</w:t>
      </w:r>
      <w:r w:rsidRPr="00A81A4F">
        <w:rPr>
          <w:bCs/>
        </w:rPr>
        <w:t xml:space="preserve">. The values for the composite reliability and average variance extracted surpassed the recommended thresholds of 0.600 and 0.500, respectively </w:t>
      </w:r>
      <w:r w:rsidRPr="00A81A4F">
        <w:rPr>
          <w:bCs/>
          <w:noProof/>
        </w:rPr>
        <w:t>(DeVellis, 2012)</w:t>
      </w:r>
      <w:r w:rsidRPr="00A81A4F">
        <w:rPr>
          <w:bCs/>
        </w:rPr>
        <w:t xml:space="preserve">. Furthermore, there were sufficient factor loadings of each variable's measurement items (all loadings were greater than 0.500, and the average loading for each variable was greater than 0.700). Together, these findings demonstrate adequate reliability – the consistency of the item-level errors within a single factor, and convergent validity – so the variables within a single factor are highly correlated </w:t>
      </w:r>
      <w:r w:rsidRPr="00A81A4F">
        <w:rPr>
          <w:bCs/>
          <w:noProof/>
        </w:rPr>
        <w:t>(Hair</w:t>
      </w:r>
      <w:r w:rsidRPr="00A81A4F">
        <w:rPr>
          <w:bCs/>
          <w:i/>
          <w:noProof/>
        </w:rPr>
        <w:t xml:space="preserve"> et al.</w:t>
      </w:r>
      <w:r w:rsidRPr="00A81A4F">
        <w:rPr>
          <w:bCs/>
          <w:noProof/>
        </w:rPr>
        <w:t>, 2010)</w:t>
      </w:r>
      <w:r w:rsidRPr="00A81A4F">
        <w:rPr>
          <w:bCs/>
        </w:rPr>
        <w:t xml:space="preserve">. We also found that each construct’s AVE is greater than </w:t>
      </w:r>
      <w:proofErr w:type="gramStart"/>
      <w:r w:rsidRPr="00A81A4F">
        <w:rPr>
          <w:bCs/>
        </w:rPr>
        <w:t>all of</w:t>
      </w:r>
      <w:proofErr w:type="gramEnd"/>
      <w:r w:rsidRPr="00A81A4F">
        <w:rPr>
          <w:bCs/>
        </w:rPr>
        <w:t xml:space="preserve"> its correlations with the other constructs </w:t>
      </w:r>
      <w:r w:rsidRPr="00A81A4F">
        <w:rPr>
          <w:bCs/>
          <w:noProof/>
        </w:rPr>
        <w:t>(Fornell &amp; Larcker, 1981)</w:t>
      </w:r>
      <w:r w:rsidRPr="00A81A4F">
        <w:rPr>
          <w:bCs/>
        </w:rPr>
        <w:t>. This is another sign of adequate discriminant validity. In general, the reliability, convergent validity, and discriminant validity of the measurements were adequate. Table 1 presents the results.</w:t>
      </w:r>
    </w:p>
    <w:p w14:paraId="3E9887EF" w14:textId="77777777" w:rsidR="002E0FEA" w:rsidRPr="00A81A4F" w:rsidRDefault="002E0FEA" w:rsidP="00F970C7">
      <w:pPr>
        <w:spacing w:after="0" w:line="480" w:lineRule="auto"/>
        <w:jc w:val="center"/>
        <w:rPr>
          <w:bCs/>
        </w:rPr>
      </w:pPr>
      <w:r w:rsidRPr="00A81A4F">
        <w:rPr>
          <w:bCs/>
        </w:rPr>
        <w:t xml:space="preserve">“Insert Table 1 </w:t>
      </w:r>
      <w:proofErr w:type="gramStart"/>
      <w:r w:rsidRPr="00A81A4F">
        <w:rPr>
          <w:bCs/>
        </w:rPr>
        <w:t>Here</w:t>
      </w:r>
      <w:proofErr w:type="gramEnd"/>
      <w:r w:rsidRPr="00A81A4F">
        <w:rPr>
          <w:bCs/>
        </w:rPr>
        <w:t>”</w:t>
      </w:r>
    </w:p>
    <w:p w14:paraId="7CA3C339" w14:textId="77777777" w:rsidR="002E0FEA" w:rsidRPr="00A81A4F" w:rsidRDefault="002E0FEA" w:rsidP="00DF0C72">
      <w:pPr>
        <w:spacing w:after="0" w:line="480" w:lineRule="auto"/>
        <w:ind w:firstLine="720"/>
        <w:jc w:val="both"/>
        <w:rPr>
          <w:rFonts w:eastAsia="PMingLiU"/>
          <w:lang w:eastAsia="zh-TW"/>
        </w:rPr>
      </w:pPr>
      <w:r w:rsidRPr="00A81A4F">
        <w:t xml:space="preserve">To control the common method bias, we applied the following remedies. Following the suggestions of </w:t>
      </w:r>
      <w:r w:rsidRPr="00A81A4F">
        <w:rPr>
          <w:noProof/>
        </w:rPr>
        <w:t>Podsakoff</w:t>
      </w:r>
      <w:r w:rsidRPr="00A81A4F">
        <w:rPr>
          <w:i/>
          <w:noProof/>
        </w:rPr>
        <w:t xml:space="preserve"> et al.</w:t>
      </w:r>
      <w:r w:rsidRPr="00A81A4F">
        <w:rPr>
          <w:noProof/>
        </w:rPr>
        <w:t xml:space="preserve"> (2003)</w:t>
      </w:r>
      <w:r w:rsidRPr="00A81A4F">
        <w:rPr>
          <w:rFonts w:eastAsia="Calibri"/>
          <w:lang w:eastAsia="en-US"/>
        </w:rPr>
        <w:t>, we adopted procedural remedies to collect measures of the independent variables. The dependent variables use temporal separation (time lag) and offer anonymity to the respondents using</w:t>
      </w:r>
      <w:r w:rsidRPr="00A81A4F">
        <w:rPr>
          <w:rFonts w:eastAsia="PMingLiU"/>
          <w:lang w:eastAsia="zh-TW"/>
        </w:rPr>
        <w:t xml:space="preserve"> multi-item scales</w:t>
      </w:r>
      <w:r w:rsidRPr="00A81A4F">
        <w:rPr>
          <w:rFonts w:eastAsia="Calibri"/>
          <w:lang w:eastAsia="en-US"/>
        </w:rPr>
        <w:t xml:space="preserve"> to minimize the common method bias. We also applied </w:t>
      </w:r>
      <w:r w:rsidRPr="00A81A4F">
        <w:rPr>
          <w:rFonts w:eastAsia="Calibri"/>
          <w:bCs/>
          <w:lang w:eastAsia="en-US"/>
        </w:rPr>
        <w:t xml:space="preserve">multiple statistical remedies </w:t>
      </w:r>
      <w:r w:rsidRPr="00A81A4F">
        <w:rPr>
          <w:rFonts w:eastAsia="Calibri"/>
          <w:bCs/>
          <w:noProof/>
          <w:lang w:eastAsia="en-US"/>
        </w:rPr>
        <w:t>(Podsakoff</w:t>
      </w:r>
      <w:r w:rsidRPr="00A81A4F">
        <w:rPr>
          <w:rFonts w:eastAsia="Calibri"/>
          <w:bCs/>
          <w:i/>
          <w:noProof/>
          <w:lang w:eastAsia="en-US"/>
        </w:rPr>
        <w:t xml:space="preserve"> et al.</w:t>
      </w:r>
      <w:r w:rsidRPr="00A81A4F">
        <w:rPr>
          <w:rFonts w:eastAsia="Calibri"/>
          <w:bCs/>
          <w:noProof/>
          <w:lang w:eastAsia="en-US"/>
        </w:rPr>
        <w:t>, 2003)</w:t>
      </w:r>
      <w:r w:rsidRPr="00A81A4F">
        <w:rPr>
          <w:rFonts w:eastAsia="Calibri"/>
          <w:bCs/>
          <w:lang w:eastAsia="en-US"/>
        </w:rPr>
        <w:t xml:space="preserve">. </w:t>
      </w:r>
      <w:r w:rsidRPr="00A81A4F">
        <w:rPr>
          <w:bCs/>
        </w:rPr>
        <w:t xml:space="preserve">First, we conducted a Harman one-factor test by subjecting </w:t>
      </w:r>
      <w:proofErr w:type="gramStart"/>
      <w:r w:rsidRPr="00A81A4F">
        <w:rPr>
          <w:bCs/>
        </w:rPr>
        <w:t>all of</w:t>
      </w:r>
      <w:proofErr w:type="gramEnd"/>
      <w:r w:rsidRPr="00A81A4F">
        <w:rPr>
          <w:bCs/>
        </w:rPr>
        <w:t xml:space="preserve"> the items to exploratory factor </w:t>
      </w:r>
      <w:r w:rsidRPr="00A81A4F">
        <w:rPr>
          <w:bCs/>
          <w:noProof/>
        </w:rPr>
        <w:t>analysis</w:t>
      </w:r>
      <w:r w:rsidRPr="00A81A4F">
        <w:rPr>
          <w:bCs/>
        </w:rPr>
        <w:t xml:space="preserve">. Second, we performed further confirmatory factor analysis to load </w:t>
      </w:r>
      <w:proofErr w:type="gramStart"/>
      <w:r w:rsidRPr="00A81A4F">
        <w:rPr>
          <w:bCs/>
        </w:rPr>
        <w:t>all of</w:t>
      </w:r>
      <w:proofErr w:type="gramEnd"/>
      <w:r w:rsidRPr="00A81A4F">
        <w:rPr>
          <w:bCs/>
        </w:rPr>
        <w:t xml:space="preserve"> the items onto a single factor in a CFA. We found that common method bias is not a serious problem for our data in both approaches. Finally, the </w:t>
      </w:r>
      <w:r w:rsidRPr="00A81A4F">
        <w:rPr>
          <w:rFonts w:eastAsia="PMingLiU"/>
          <w:lang w:eastAsia="zh-TW"/>
        </w:rPr>
        <w:t>complex data relationships (</w:t>
      </w:r>
      <w:proofErr w:type="gramStart"/>
      <w:r w:rsidRPr="00A81A4F">
        <w:rPr>
          <w:rFonts w:eastAsia="PMingLiU"/>
          <w:lang w:eastAsia="zh-TW"/>
        </w:rPr>
        <w:t>i.e.</w:t>
      </w:r>
      <w:proofErr w:type="gramEnd"/>
      <w:r w:rsidRPr="00A81A4F">
        <w:rPr>
          <w:rFonts w:eastAsia="PMingLiU"/>
          <w:lang w:eastAsia="zh-TW"/>
        </w:rPr>
        <w:t xml:space="preserve"> nonlinear moderating effects) that we tested in this study helped to alleviate possible common method bias concerns, because the </w:t>
      </w:r>
      <w:r w:rsidRPr="00A81A4F">
        <w:rPr>
          <w:rFonts w:eastAsia="PMingLiU"/>
          <w:lang w:eastAsia="zh-TW"/>
        </w:rPr>
        <w:lastRenderedPageBreak/>
        <w:t>respondents were unable to guess the research hypotheses or respond in a socially desirable manner, which would lead to spurious findings.</w:t>
      </w:r>
    </w:p>
    <w:p w14:paraId="31855506" w14:textId="77777777" w:rsidR="002E0FEA" w:rsidRPr="00A81A4F" w:rsidRDefault="002E0FEA" w:rsidP="00DF0C72">
      <w:pPr>
        <w:spacing w:after="0" w:line="480" w:lineRule="auto"/>
        <w:jc w:val="both"/>
        <w:rPr>
          <w:bCs/>
        </w:rPr>
      </w:pPr>
    </w:p>
    <w:p w14:paraId="631B8FA2" w14:textId="77777777" w:rsidR="002E0FEA" w:rsidRPr="00A81A4F" w:rsidRDefault="002E0FEA" w:rsidP="00DF0C72">
      <w:pPr>
        <w:spacing w:after="0" w:line="480" w:lineRule="auto"/>
        <w:jc w:val="both"/>
      </w:pPr>
      <w:r w:rsidRPr="00A81A4F">
        <w:rPr>
          <w:b/>
        </w:rPr>
        <w:t>5. Analysis and Results</w:t>
      </w:r>
    </w:p>
    <w:p w14:paraId="33622C7E" w14:textId="77777777" w:rsidR="002E0FEA" w:rsidRPr="00A81A4F" w:rsidRDefault="002E0FEA" w:rsidP="00DF0C72">
      <w:pPr>
        <w:spacing w:after="0" w:line="480" w:lineRule="auto"/>
        <w:jc w:val="both"/>
        <w:rPr>
          <w:i/>
        </w:rPr>
      </w:pPr>
      <w:r w:rsidRPr="00A81A4F">
        <w:rPr>
          <w:i/>
        </w:rPr>
        <w:t>5.1 Main Findings</w:t>
      </w:r>
      <w:r w:rsidRPr="00A81A4F">
        <w:rPr>
          <w:i/>
        </w:rPr>
        <w:tab/>
      </w:r>
    </w:p>
    <w:p w14:paraId="5851B42A" w14:textId="77777777" w:rsidR="002E0FEA" w:rsidRPr="00A81A4F" w:rsidRDefault="002E0FEA" w:rsidP="00DF0C72">
      <w:pPr>
        <w:spacing w:after="0" w:line="480" w:lineRule="auto"/>
        <w:ind w:firstLine="720"/>
        <w:jc w:val="both"/>
      </w:pPr>
      <w:r w:rsidRPr="00A81A4F">
        <w:t>We compute the variable scores by averaging the remaining scale items</w:t>
      </w:r>
      <w:r w:rsidRPr="00A81A4F">
        <w:rPr>
          <w:rStyle w:val="FootnoteReference"/>
        </w:rPr>
        <w:footnoteReference w:id="5"/>
      </w:r>
      <w:r w:rsidRPr="00A81A4F">
        <w:t xml:space="preserve"> following each variable's validity and reliability tests. We use these variable scores to conduct our data analysis using multivariate regression. Table 2 presents the results of our regression analysis. Hypothesis 1 posits the positive association between </w:t>
      </w:r>
      <w:bookmarkStart w:id="86" w:name="_Hlk63947639"/>
      <w:r w:rsidRPr="00A81A4F">
        <w:t>proactive environmental strategy</w:t>
      </w:r>
      <w:bookmarkEnd w:id="86"/>
      <w:r w:rsidRPr="00A81A4F">
        <w:t xml:space="preserve"> and internationalization activities. Model 1 confirms this association (β = 0.217, p &lt; 0.050). A 1% increase in proactive environmental strategy will lead to a 0.217% increase in inward-focused internationalization activities. The effect size (Cohen’s </w:t>
      </w:r>
      <w:r w:rsidRPr="00A81A4F">
        <w:rPr>
          <w:i/>
        </w:rPr>
        <w:t>f</w:t>
      </w:r>
      <w:r w:rsidRPr="00A81A4F">
        <w:rPr>
          <w:vertAlign w:val="superscript"/>
        </w:rPr>
        <w:t xml:space="preserve">2 </w:t>
      </w:r>
      <w:r w:rsidRPr="00A81A4F">
        <w:t xml:space="preserve">= 0.023) is greater than 0.020 (the lower threshold for small effect size) </w:t>
      </w:r>
      <w:r w:rsidRPr="00A81A4F">
        <w:rPr>
          <w:noProof/>
        </w:rPr>
        <w:t>(Selya, Rose, Dierker, Hedeker, &amp; Mermelstein, 2012)</w:t>
      </w:r>
      <w:r w:rsidRPr="00A81A4F">
        <w:t xml:space="preserve">. These findings support Hypothesis 1a. Model 4 confirms this association (β = .214, p &lt; .050) and shows that a 1% increase in proactive environmental strategy will lead to a 0.161% increase in outward-focused internationalization activities. The effect size (Cohen’s </w:t>
      </w:r>
      <w:r w:rsidRPr="00A81A4F">
        <w:rPr>
          <w:i/>
        </w:rPr>
        <w:t>f</w:t>
      </w:r>
      <w:r w:rsidRPr="00A81A4F">
        <w:rPr>
          <w:vertAlign w:val="superscript"/>
        </w:rPr>
        <w:t xml:space="preserve">2 </w:t>
      </w:r>
      <w:r w:rsidRPr="00A81A4F">
        <w:t>= 0.026) is greater than 0.020. These findings support Hypothesis 1b.</w:t>
      </w:r>
    </w:p>
    <w:p w14:paraId="517999A8" w14:textId="77777777" w:rsidR="002E0FEA" w:rsidRPr="00A81A4F" w:rsidRDefault="002E0FEA" w:rsidP="00DF0C72">
      <w:pPr>
        <w:spacing w:after="0" w:line="480" w:lineRule="auto"/>
        <w:jc w:val="both"/>
        <w:rPr>
          <w:noProof/>
        </w:rPr>
      </w:pPr>
      <w:r w:rsidRPr="00A81A4F">
        <w:tab/>
        <w:t xml:space="preserve">Hypotheses 2 and 3 predict the nonlinear moderating effects of foreign environmental regulatory and customer pressures on the relationship between proactive environmental strategy and internationalization activities. We mean-center the independent variables before computing the interaction terms and quadratic terms to reduce the possible collinearity between the main and interaction effects </w:t>
      </w:r>
      <w:r w:rsidRPr="00A81A4F">
        <w:rPr>
          <w:noProof/>
        </w:rPr>
        <w:t>(Aiken &amp; West, 1991; Cohen</w:t>
      </w:r>
      <w:r w:rsidRPr="00A81A4F">
        <w:rPr>
          <w:i/>
          <w:noProof/>
        </w:rPr>
        <w:t xml:space="preserve"> et al.</w:t>
      </w:r>
      <w:r w:rsidRPr="00A81A4F">
        <w:rPr>
          <w:noProof/>
        </w:rPr>
        <w:t>, 2003)</w:t>
      </w:r>
      <w:r w:rsidRPr="00A81A4F">
        <w:t xml:space="preserve">. Furthermore, we calculate the VIF for the interaction terms. The highest VIF in </w:t>
      </w:r>
      <w:proofErr w:type="gramStart"/>
      <w:r w:rsidRPr="00A81A4F">
        <w:t>all of</w:t>
      </w:r>
      <w:proofErr w:type="gramEnd"/>
      <w:r w:rsidRPr="00A81A4F">
        <w:t xml:space="preserve"> the interaction terms and </w:t>
      </w:r>
      <w:r w:rsidRPr="00A81A4F">
        <w:lastRenderedPageBreak/>
        <w:t xml:space="preserve">quadratic terms is 2.260 – well below the cut-off value of 10 – so multicollinearity is not an issue </w:t>
      </w:r>
      <w:r w:rsidRPr="00A81A4F">
        <w:rPr>
          <w:bCs/>
          <w:noProof/>
        </w:rPr>
        <w:t>(Cohen</w:t>
      </w:r>
      <w:r w:rsidRPr="00A81A4F">
        <w:rPr>
          <w:bCs/>
          <w:i/>
          <w:noProof/>
        </w:rPr>
        <w:t xml:space="preserve"> et al.</w:t>
      </w:r>
      <w:r w:rsidRPr="00A81A4F">
        <w:rPr>
          <w:bCs/>
          <w:noProof/>
        </w:rPr>
        <w:t>, 2003; Hair</w:t>
      </w:r>
      <w:r w:rsidRPr="00A81A4F">
        <w:rPr>
          <w:bCs/>
          <w:i/>
          <w:noProof/>
        </w:rPr>
        <w:t xml:space="preserve"> et al.</w:t>
      </w:r>
      <w:r w:rsidRPr="00A81A4F">
        <w:rPr>
          <w:bCs/>
          <w:noProof/>
        </w:rPr>
        <w:t>, 2010)</w:t>
      </w:r>
      <w:r w:rsidRPr="00A81A4F">
        <w:t xml:space="preserve">. We follow the suggestion of </w:t>
      </w:r>
      <w:r w:rsidRPr="00A81A4F">
        <w:rPr>
          <w:noProof/>
        </w:rPr>
        <w:t>(Aiken &amp; West, 1991)</w:t>
      </w:r>
      <w:r w:rsidRPr="00A81A4F">
        <w:t xml:space="preserve"> </w:t>
      </w:r>
      <w:r w:rsidRPr="00A81A4F">
        <w:rPr>
          <w:noProof/>
        </w:rPr>
        <w:t>to test these nonlinear moderating effects. More specifically, Equation 1 expresses the linear moderating effect. In this model, three antecedent variables predict the dependent variable Y – X, Z, and XZ (the product of X and Z) – where α is the intercept, β</w:t>
      </w:r>
      <w:r w:rsidRPr="00A81A4F">
        <w:rPr>
          <w:noProof/>
          <w:vertAlign w:val="subscript"/>
        </w:rPr>
        <w:t>1</w:t>
      </w:r>
      <w:r w:rsidRPr="00A81A4F">
        <w:rPr>
          <w:noProof/>
        </w:rPr>
        <w:t xml:space="preserve"> ~ β</w:t>
      </w:r>
      <w:r w:rsidRPr="00A81A4F">
        <w:rPr>
          <w:noProof/>
          <w:vertAlign w:val="subscript"/>
        </w:rPr>
        <w:t xml:space="preserve">3 </w:t>
      </w:r>
      <w:r w:rsidRPr="00A81A4F">
        <w:rPr>
          <w:noProof/>
        </w:rPr>
        <w:t>are the regression coefficients for X, Z and XZ, and ↋ is a residual term. The product term (XZ) permits the researcher to test for the presence of the linear moderating effect of Z on the relationship between X and Y.</w:t>
      </w:r>
    </w:p>
    <w:p w14:paraId="4108992C" w14:textId="77777777" w:rsidR="002E0FEA" w:rsidRPr="00A81A4F" w:rsidRDefault="002E0FEA" w:rsidP="00935A9F">
      <w:pPr>
        <w:spacing w:after="0" w:line="480" w:lineRule="auto"/>
        <w:ind w:left="1134" w:right="1134"/>
        <w:jc w:val="both"/>
        <w:rPr>
          <w:noProof/>
        </w:rPr>
      </w:pPr>
      <w:r w:rsidRPr="00A81A4F">
        <w:rPr>
          <w:noProof/>
        </w:rPr>
        <w:t>Y = α + β</w:t>
      </w:r>
      <w:r w:rsidRPr="00A81A4F">
        <w:rPr>
          <w:noProof/>
          <w:vertAlign w:val="subscript"/>
        </w:rPr>
        <w:t>1</w:t>
      </w:r>
      <w:r w:rsidRPr="00A81A4F">
        <w:rPr>
          <w:noProof/>
        </w:rPr>
        <w:t>X + β</w:t>
      </w:r>
      <w:r w:rsidRPr="00A81A4F">
        <w:rPr>
          <w:noProof/>
          <w:vertAlign w:val="subscript"/>
        </w:rPr>
        <w:t>2</w:t>
      </w:r>
      <w:r w:rsidRPr="00A81A4F">
        <w:rPr>
          <w:noProof/>
        </w:rPr>
        <w:t>Z + β</w:t>
      </w:r>
      <w:r w:rsidRPr="00A81A4F">
        <w:rPr>
          <w:noProof/>
          <w:vertAlign w:val="subscript"/>
        </w:rPr>
        <w:t>3</w:t>
      </w:r>
      <w:r w:rsidRPr="00A81A4F">
        <w:rPr>
          <w:noProof/>
        </w:rPr>
        <w:t>XZ + ↋.</w:t>
      </w:r>
      <w:r w:rsidRPr="00A81A4F">
        <w:rPr>
          <w:noProof/>
        </w:rPr>
        <w:tab/>
      </w:r>
      <w:r w:rsidRPr="00A81A4F">
        <w:rPr>
          <w:noProof/>
        </w:rPr>
        <w:tab/>
      </w:r>
      <w:r w:rsidRPr="00A81A4F">
        <w:rPr>
          <w:noProof/>
        </w:rPr>
        <w:tab/>
      </w:r>
      <w:r w:rsidRPr="00A81A4F">
        <w:rPr>
          <w:noProof/>
        </w:rPr>
        <w:tab/>
      </w:r>
      <w:r w:rsidRPr="00A81A4F">
        <w:rPr>
          <w:noProof/>
        </w:rPr>
        <w:tab/>
        <w:t xml:space="preserve">        (1)</w:t>
      </w:r>
    </w:p>
    <w:p w14:paraId="01E91058" w14:textId="77777777" w:rsidR="002E0FEA" w:rsidRPr="00A81A4F" w:rsidRDefault="002E0FEA" w:rsidP="00DF0C72">
      <w:pPr>
        <w:spacing w:after="0" w:line="480" w:lineRule="auto"/>
        <w:jc w:val="both"/>
        <w:rPr>
          <w:noProof/>
        </w:rPr>
      </w:pPr>
      <w:r w:rsidRPr="00A81A4F">
        <w:rPr>
          <w:noProof/>
        </w:rPr>
        <w:t>In comparison, Equation 2 expresses the nonlinear moderating effect. In this model, three antecedent variables – X, Z, Z</w:t>
      </w:r>
      <w:r w:rsidRPr="00A81A4F">
        <w:rPr>
          <w:noProof/>
          <w:vertAlign w:val="superscript"/>
        </w:rPr>
        <w:t>2</w:t>
      </w:r>
      <w:r w:rsidRPr="00A81A4F">
        <w:rPr>
          <w:noProof/>
        </w:rPr>
        <w:t xml:space="preserve"> (the quadratic term of Z), XZ (the product of X and Z), and XZ</w:t>
      </w:r>
      <w:r w:rsidRPr="00A81A4F">
        <w:rPr>
          <w:noProof/>
          <w:vertAlign w:val="superscript"/>
        </w:rPr>
        <w:t>2</w:t>
      </w:r>
      <w:r w:rsidRPr="00A81A4F">
        <w:rPr>
          <w:noProof/>
        </w:rPr>
        <w:t xml:space="preserve"> (the product of X and Z</w:t>
      </w:r>
      <w:r w:rsidRPr="00A81A4F">
        <w:rPr>
          <w:noProof/>
          <w:vertAlign w:val="superscript"/>
        </w:rPr>
        <w:t>2</w:t>
      </w:r>
      <w:r w:rsidRPr="00A81A4F">
        <w:rPr>
          <w:noProof/>
        </w:rPr>
        <w:t>) – predict the dependent variable Y, where α is the intercept, β</w:t>
      </w:r>
      <w:r w:rsidRPr="00A81A4F">
        <w:rPr>
          <w:noProof/>
          <w:vertAlign w:val="subscript"/>
        </w:rPr>
        <w:t>1</w:t>
      </w:r>
      <w:r w:rsidRPr="00A81A4F">
        <w:rPr>
          <w:noProof/>
        </w:rPr>
        <w:t xml:space="preserve"> ~ β</w:t>
      </w:r>
      <w:r w:rsidRPr="00A81A4F">
        <w:rPr>
          <w:noProof/>
          <w:vertAlign w:val="subscript"/>
        </w:rPr>
        <w:t xml:space="preserve">5 </w:t>
      </w:r>
      <w:r w:rsidRPr="00A81A4F">
        <w:rPr>
          <w:noProof/>
        </w:rPr>
        <w:t>are the regression coefficients for X, Z, Z</w:t>
      </w:r>
      <w:r w:rsidRPr="00A81A4F">
        <w:rPr>
          <w:noProof/>
          <w:vertAlign w:val="superscript"/>
        </w:rPr>
        <w:t>2</w:t>
      </w:r>
      <w:r w:rsidRPr="00A81A4F">
        <w:rPr>
          <w:noProof/>
        </w:rPr>
        <w:t>, XZ and XZ</w:t>
      </w:r>
      <w:r w:rsidRPr="00A81A4F">
        <w:rPr>
          <w:noProof/>
          <w:vertAlign w:val="superscript"/>
        </w:rPr>
        <w:t>2</w:t>
      </w:r>
      <w:r w:rsidRPr="00A81A4F">
        <w:rPr>
          <w:noProof/>
        </w:rPr>
        <w:t>, and ↋ is a residual term. The product term (XZ</w:t>
      </w:r>
      <w:r w:rsidRPr="00A81A4F">
        <w:rPr>
          <w:noProof/>
          <w:vertAlign w:val="superscript"/>
        </w:rPr>
        <w:t>2</w:t>
      </w:r>
      <w:r w:rsidRPr="00A81A4F">
        <w:rPr>
          <w:noProof/>
        </w:rPr>
        <w:t>) permits the researcher to test for the nonlinear moderating effect of Z on the relationship between X and Y.</w:t>
      </w:r>
    </w:p>
    <w:p w14:paraId="6524ADE6" w14:textId="77777777" w:rsidR="002E0FEA" w:rsidRPr="00A81A4F" w:rsidRDefault="002E0FEA" w:rsidP="00935A9F">
      <w:pPr>
        <w:spacing w:after="0" w:line="480" w:lineRule="auto"/>
        <w:ind w:left="1134" w:right="1134"/>
        <w:jc w:val="both"/>
        <w:rPr>
          <w:noProof/>
        </w:rPr>
      </w:pPr>
      <w:r w:rsidRPr="00A81A4F">
        <w:rPr>
          <w:noProof/>
        </w:rPr>
        <w:t>Y = α + β</w:t>
      </w:r>
      <w:r w:rsidRPr="00A81A4F">
        <w:rPr>
          <w:noProof/>
          <w:vertAlign w:val="subscript"/>
        </w:rPr>
        <w:t>1</w:t>
      </w:r>
      <w:r w:rsidRPr="00A81A4F">
        <w:rPr>
          <w:noProof/>
        </w:rPr>
        <w:t>X + β</w:t>
      </w:r>
      <w:r w:rsidRPr="00A81A4F">
        <w:rPr>
          <w:noProof/>
          <w:vertAlign w:val="subscript"/>
        </w:rPr>
        <w:t>2</w:t>
      </w:r>
      <w:r w:rsidRPr="00A81A4F">
        <w:rPr>
          <w:noProof/>
        </w:rPr>
        <w:t>Z + β</w:t>
      </w:r>
      <w:r w:rsidRPr="00A81A4F">
        <w:rPr>
          <w:noProof/>
          <w:vertAlign w:val="subscript"/>
        </w:rPr>
        <w:t>3</w:t>
      </w:r>
      <w:r w:rsidRPr="00A81A4F">
        <w:rPr>
          <w:noProof/>
        </w:rPr>
        <w:t>Z</w:t>
      </w:r>
      <w:r w:rsidRPr="00A81A4F">
        <w:rPr>
          <w:noProof/>
          <w:vertAlign w:val="superscript"/>
        </w:rPr>
        <w:t>2</w:t>
      </w:r>
      <w:r w:rsidRPr="00A81A4F">
        <w:rPr>
          <w:noProof/>
        </w:rPr>
        <w:t xml:space="preserve"> + β</w:t>
      </w:r>
      <w:r w:rsidRPr="00A81A4F">
        <w:rPr>
          <w:noProof/>
          <w:vertAlign w:val="subscript"/>
        </w:rPr>
        <w:t>4</w:t>
      </w:r>
      <w:r w:rsidRPr="00A81A4F">
        <w:rPr>
          <w:noProof/>
        </w:rPr>
        <w:t>XZ + β</w:t>
      </w:r>
      <w:r w:rsidRPr="00A81A4F">
        <w:rPr>
          <w:noProof/>
          <w:vertAlign w:val="subscript"/>
        </w:rPr>
        <w:t>5</w:t>
      </w:r>
      <w:r w:rsidRPr="00A81A4F">
        <w:rPr>
          <w:noProof/>
        </w:rPr>
        <w:t>XZ</w:t>
      </w:r>
      <w:r w:rsidRPr="00A81A4F">
        <w:rPr>
          <w:noProof/>
          <w:vertAlign w:val="superscript"/>
        </w:rPr>
        <w:t>2</w:t>
      </w:r>
      <w:r w:rsidRPr="00A81A4F">
        <w:rPr>
          <w:noProof/>
        </w:rPr>
        <w:t xml:space="preserve"> + ↋.</w:t>
      </w:r>
      <w:r w:rsidRPr="00A81A4F">
        <w:rPr>
          <w:noProof/>
        </w:rPr>
        <w:tab/>
      </w:r>
      <w:r w:rsidRPr="00A81A4F">
        <w:rPr>
          <w:noProof/>
        </w:rPr>
        <w:tab/>
      </w:r>
      <w:r w:rsidRPr="00A81A4F">
        <w:rPr>
          <w:noProof/>
        </w:rPr>
        <w:tab/>
        <w:t xml:space="preserve">        (2)</w:t>
      </w:r>
    </w:p>
    <w:p w14:paraId="4B3037A8" w14:textId="77777777" w:rsidR="002E0FEA" w:rsidRPr="00A81A4F" w:rsidRDefault="002E0FEA" w:rsidP="00DF0C72">
      <w:pPr>
        <w:spacing w:after="0" w:line="480" w:lineRule="auto"/>
        <w:jc w:val="both"/>
        <w:rPr>
          <w:noProof/>
        </w:rPr>
      </w:pPr>
      <w:r w:rsidRPr="00A81A4F">
        <w:rPr>
          <w:noProof/>
        </w:rPr>
        <w:t>This research adopts this approach to test the nonlinear moderating effects of foreign environmental regulatory pressure (ERP)</w:t>
      </w:r>
      <w:r w:rsidRPr="00A81A4F">
        <w:t xml:space="preserve"> on </w:t>
      </w:r>
      <w:r w:rsidRPr="00A81A4F">
        <w:rPr>
          <w:noProof/>
        </w:rPr>
        <w:t>the relationship between proactive environmental strategy (PES) and inward-focused internationalization activities, as well as the nonlinear moderating effects of foreign environmental customer pressure (ECP) on the relationship between proactive environmental strategy and outward-focused internationalization activities. The specific equations are as follows:</w:t>
      </w:r>
    </w:p>
    <w:p w14:paraId="13D4167B" w14:textId="77777777" w:rsidR="002E0FEA" w:rsidRPr="00A81A4F" w:rsidRDefault="002E0FEA" w:rsidP="00935A9F">
      <w:pPr>
        <w:spacing w:after="0" w:line="480" w:lineRule="auto"/>
        <w:ind w:left="1134" w:right="1134"/>
        <w:jc w:val="both"/>
        <w:rPr>
          <w:noProof/>
        </w:rPr>
      </w:pPr>
      <w:bookmarkStart w:id="87" w:name="_Hlk63948040"/>
      <w:r w:rsidRPr="00A81A4F">
        <w:rPr>
          <w:noProof/>
        </w:rPr>
        <w:lastRenderedPageBreak/>
        <w:t>Inward-focused internationalization activities = α + β1PES + β</w:t>
      </w:r>
      <w:r w:rsidRPr="00A81A4F">
        <w:rPr>
          <w:noProof/>
          <w:vertAlign w:val="subscript"/>
        </w:rPr>
        <w:t>2</w:t>
      </w:r>
      <w:r w:rsidRPr="00A81A4F">
        <w:rPr>
          <w:noProof/>
        </w:rPr>
        <w:t>ERP + β</w:t>
      </w:r>
      <w:r w:rsidRPr="00A81A4F">
        <w:rPr>
          <w:noProof/>
          <w:vertAlign w:val="subscript"/>
        </w:rPr>
        <w:t>3</w:t>
      </w:r>
      <w:r w:rsidRPr="00A81A4F">
        <w:rPr>
          <w:noProof/>
        </w:rPr>
        <w:t>ERP</w:t>
      </w:r>
      <w:r w:rsidRPr="00A81A4F">
        <w:rPr>
          <w:noProof/>
          <w:vertAlign w:val="superscript"/>
        </w:rPr>
        <w:t>2</w:t>
      </w:r>
      <w:r w:rsidRPr="00A81A4F">
        <w:rPr>
          <w:noProof/>
        </w:rPr>
        <w:t xml:space="preserve"> + β</w:t>
      </w:r>
      <w:r w:rsidRPr="00A81A4F">
        <w:rPr>
          <w:noProof/>
          <w:vertAlign w:val="subscript"/>
        </w:rPr>
        <w:t>4</w:t>
      </w:r>
      <w:r w:rsidRPr="00A81A4F">
        <w:rPr>
          <w:noProof/>
        </w:rPr>
        <w:t>PS x ERP + β</w:t>
      </w:r>
      <w:r w:rsidRPr="00A81A4F">
        <w:rPr>
          <w:noProof/>
          <w:vertAlign w:val="subscript"/>
        </w:rPr>
        <w:t>5</w:t>
      </w:r>
      <w:r w:rsidRPr="00A81A4F">
        <w:rPr>
          <w:noProof/>
        </w:rPr>
        <w:t>PES x ERP</w:t>
      </w:r>
      <w:r w:rsidRPr="00A81A4F">
        <w:rPr>
          <w:noProof/>
          <w:vertAlign w:val="superscript"/>
        </w:rPr>
        <w:t>2</w:t>
      </w:r>
      <w:r w:rsidRPr="00A81A4F">
        <w:rPr>
          <w:noProof/>
        </w:rPr>
        <w:t xml:space="preserve"> + ↋</w:t>
      </w:r>
      <w:bookmarkEnd w:id="87"/>
      <w:r w:rsidRPr="00A81A4F">
        <w:rPr>
          <w:noProof/>
        </w:rPr>
        <w:t>.</w:t>
      </w:r>
      <w:r w:rsidRPr="00A81A4F">
        <w:rPr>
          <w:noProof/>
        </w:rPr>
        <w:tab/>
      </w:r>
      <w:r w:rsidRPr="00A81A4F">
        <w:rPr>
          <w:noProof/>
        </w:rPr>
        <w:tab/>
      </w:r>
      <w:r w:rsidRPr="00A81A4F">
        <w:rPr>
          <w:noProof/>
        </w:rPr>
        <w:tab/>
        <w:t xml:space="preserve">      (3)</w:t>
      </w:r>
    </w:p>
    <w:p w14:paraId="4A6F161E" w14:textId="77777777" w:rsidR="002E0FEA" w:rsidRPr="00A81A4F" w:rsidRDefault="002E0FEA" w:rsidP="002E1FE4">
      <w:pPr>
        <w:spacing w:after="0" w:line="480" w:lineRule="auto"/>
        <w:ind w:left="1134" w:right="1134"/>
        <w:jc w:val="both"/>
        <w:rPr>
          <w:noProof/>
        </w:rPr>
      </w:pPr>
      <w:r w:rsidRPr="00A81A4F">
        <w:rPr>
          <w:noProof/>
        </w:rPr>
        <w:t>Outward-focused internationalization activities = α + β1PES + β</w:t>
      </w:r>
      <w:r w:rsidRPr="00A81A4F">
        <w:rPr>
          <w:noProof/>
          <w:vertAlign w:val="subscript"/>
        </w:rPr>
        <w:t>2</w:t>
      </w:r>
      <w:r w:rsidRPr="00A81A4F">
        <w:rPr>
          <w:noProof/>
        </w:rPr>
        <w:t>ECP + β</w:t>
      </w:r>
      <w:r w:rsidRPr="00A81A4F">
        <w:rPr>
          <w:noProof/>
          <w:vertAlign w:val="subscript"/>
        </w:rPr>
        <w:t>3</w:t>
      </w:r>
      <w:r w:rsidRPr="00A81A4F">
        <w:rPr>
          <w:noProof/>
        </w:rPr>
        <w:t>ECP</w:t>
      </w:r>
      <w:r w:rsidRPr="00A81A4F">
        <w:rPr>
          <w:noProof/>
          <w:vertAlign w:val="superscript"/>
        </w:rPr>
        <w:t>2</w:t>
      </w:r>
      <w:r w:rsidRPr="00A81A4F">
        <w:rPr>
          <w:noProof/>
        </w:rPr>
        <w:t xml:space="preserve"> + β</w:t>
      </w:r>
      <w:r w:rsidRPr="00A81A4F">
        <w:rPr>
          <w:noProof/>
          <w:vertAlign w:val="subscript"/>
        </w:rPr>
        <w:t>4</w:t>
      </w:r>
      <w:r w:rsidRPr="00A81A4F">
        <w:rPr>
          <w:noProof/>
        </w:rPr>
        <w:t>PS x ECP + β</w:t>
      </w:r>
      <w:r w:rsidRPr="00A81A4F">
        <w:rPr>
          <w:noProof/>
          <w:vertAlign w:val="subscript"/>
        </w:rPr>
        <w:t>5</w:t>
      </w:r>
      <w:r w:rsidRPr="00A81A4F">
        <w:rPr>
          <w:noProof/>
        </w:rPr>
        <w:t>PES x ECP</w:t>
      </w:r>
      <w:r w:rsidRPr="00A81A4F">
        <w:rPr>
          <w:noProof/>
          <w:vertAlign w:val="superscript"/>
        </w:rPr>
        <w:t>2</w:t>
      </w:r>
      <w:r w:rsidRPr="00A81A4F">
        <w:rPr>
          <w:noProof/>
        </w:rPr>
        <w:t xml:space="preserve"> + ↋ .</w:t>
      </w:r>
      <w:r w:rsidRPr="00A81A4F">
        <w:rPr>
          <w:noProof/>
        </w:rPr>
        <w:tab/>
        <w:t xml:space="preserve"> </w:t>
      </w:r>
      <w:r w:rsidRPr="00A81A4F">
        <w:rPr>
          <w:noProof/>
        </w:rPr>
        <w:tab/>
      </w:r>
      <w:r w:rsidRPr="00A81A4F">
        <w:rPr>
          <w:noProof/>
        </w:rPr>
        <w:tab/>
        <w:t xml:space="preserve">        (4)</w:t>
      </w:r>
    </w:p>
    <w:p w14:paraId="22B067E6" w14:textId="77777777" w:rsidR="002E0FEA" w:rsidRPr="00A81A4F" w:rsidRDefault="002E0FEA" w:rsidP="00DF0C72">
      <w:pPr>
        <w:spacing w:after="0" w:line="480" w:lineRule="auto"/>
        <w:ind w:firstLine="720"/>
        <w:jc w:val="both"/>
      </w:pPr>
      <w:bookmarkStart w:id="88" w:name="_Hlk55032992"/>
      <w:r w:rsidRPr="00A81A4F">
        <w:t xml:space="preserve">Hypothesis 2 posits that foreign environmental regulatory pressure has an inverted U-shaped moderating effect on the relationship between proactive environmental strategy and inward-focused internationalization activities. </w:t>
      </w:r>
      <w:bookmarkEnd w:id="88"/>
      <w:r w:rsidRPr="00A81A4F">
        <w:t xml:space="preserve">Model 2 shows that the interaction effect of the proactive environmental strategy and foreign environmental regulatory pressure square is significant (β = -0.138, p &lt; .001), as the effect size (Cohen’s </w:t>
      </w:r>
      <w:r w:rsidRPr="00A81A4F">
        <w:rPr>
          <w:i/>
        </w:rPr>
        <w:t>f</w:t>
      </w:r>
      <w:r w:rsidRPr="00A81A4F">
        <w:rPr>
          <w:i/>
          <w:vertAlign w:val="superscript"/>
        </w:rPr>
        <w:t>2</w:t>
      </w:r>
      <w:r w:rsidRPr="00A81A4F">
        <w:t xml:space="preserve"> = 0.148) is greater than 0.020. Further, the plots in Figures 2a and 2b demonstrate the nonlinear moderating effect of the foreign environmental regulatory pressure on the relationship between proactive environmental strategy and inward-focused internationalization activities. These findings support Hypothesis 2. </w:t>
      </w:r>
    </w:p>
    <w:p w14:paraId="648EA4B7" w14:textId="77777777" w:rsidR="002E0FEA" w:rsidRPr="00A81A4F" w:rsidRDefault="002E0FEA" w:rsidP="008F2C25">
      <w:pPr>
        <w:spacing w:after="0" w:line="480" w:lineRule="auto"/>
        <w:ind w:firstLine="720"/>
        <w:jc w:val="both"/>
      </w:pPr>
      <w:r w:rsidRPr="00A81A4F">
        <w:t>Hypothesis 3 posits that foreign environmental customer pressure has an inverted U-shaped moderating effect on the relationship between proactive environmental strategy and outward-internationalization activities. Model 5 shows that the interaction effect of the proactive environmental strategy and foreign environmental customer pressure square is significant (</w:t>
      </w:r>
      <w:bookmarkStart w:id="89" w:name="_Hlk55032805"/>
      <w:r w:rsidRPr="00A81A4F">
        <w:t>β = -0.236, p &lt; .010</w:t>
      </w:r>
      <w:bookmarkEnd w:id="89"/>
      <w:r w:rsidRPr="00A81A4F">
        <w:t xml:space="preserve">), with an effect size (Cohen’s </w:t>
      </w:r>
      <w:r w:rsidRPr="00A81A4F">
        <w:rPr>
          <w:i/>
        </w:rPr>
        <w:t>f</w:t>
      </w:r>
      <w:r w:rsidRPr="00A81A4F">
        <w:rPr>
          <w:i/>
          <w:vertAlign w:val="superscript"/>
        </w:rPr>
        <w:t>2</w:t>
      </w:r>
      <w:r w:rsidRPr="00A81A4F">
        <w:t xml:space="preserve"> = 0.107) greater than 0.020. Further, the interaction plots in Figures 2c and 2d demonstrate the nonlinear moderating effects of foreign environmental customer pressure on the relationship between proactive environmental strategy and outward-focused internationalization activities. These findings support Hypothesis 3.</w:t>
      </w:r>
    </w:p>
    <w:p w14:paraId="4F51E93B" w14:textId="77777777" w:rsidR="002E0FEA" w:rsidRPr="00A81A4F" w:rsidRDefault="002E0FEA" w:rsidP="00F970C7">
      <w:pPr>
        <w:spacing w:after="0" w:line="480" w:lineRule="auto"/>
        <w:jc w:val="center"/>
      </w:pPr>
      <w:r w:rsidRPr="00A81A4F">
        <w:t xml:space="preserve">“Insert Figure 2 </w:t>
      </w:r>
      <w:proofErr w:type="gramStart"/>
      <w:r w:rsidRPr="00A81A4F">
        <w:t>Here</w:t>
      </w:r>
      <w:proofErr w:type="gramEnd"/>
      <w:r w:rsidRPr="00A81A4F">
        <w:t>”</w:t>
      </w:r>
    </w:p>
    <w:p w14:paraId="146D53BA" w14:textId="77777777" w:rsidR="002E0FEA" w:rsidRPr="00A81A4F" w:rsidRDefault="002E0FEA" w:rsidP="00DF0C72">
      <w:pPr>
        <w:spacing w:after="0" w:line="480" w:lineRule="auto"/>
        <w:jc w:val="both"/>
        <w:rPr>
          <w:i/>
        </w:rPr>
      </w:pPr>
      <w:r w:rsidRPr="00A81A4F">
        <w:rPr>
          <w:i/>
        </w:rPr>
        <w:t>5.2 Post-Hoc Analysis</w:t>
      </w:r>
    </w:p>
    <w:p w14:paraId="4131D180" w14:textId="77777777" w:rsidR="002E0FEA" w:rsidRPr="00A81A4F" w:rsidRDefault="002E0FEA" w:rsidP="00DF0C72">
      <w:pPr>
        <w:spacing w:after="0" w:line="480" w:lineRule="auto"/>
        <w:jc w:val="both"/>
      </w:pPr>
      <w:r w:rsidRPr="00A81A4F">
        <w:lastRenderedPageBreak/>
        <w:tab/>
        <w:t xml:space="preserve">We conduct several robustness checks to verify the rigor of our data analyses. First, we verify the arguments that foreign regulatory pressure mostly affects the relationship between proactive environmental strategy and inward-focused internationalization activities, and foreign customer pressure mostly affects the relationship between proactive environmental strategy and outward-focused internationalization activities. </w:t>
      </w:r>
      <w:bookmarkStart w:id="90" w:name="_Hlk65423454"/>
      <w:r w:rsidRPr="00A81A4F">
        <w:t xml:space="preserve">To do so, we estimate two regression models that include all the interaction effects. </w:t>
      </w:r>
      <w:bookmarkStart w:id="91" w:name="_Hlk63954374"/>
      <w:r w:rsidRPr="00A81A4F">
        <w:t xml:space="preserve">Model 3 shows that the interaction effect of the proactive environmental strategy and foreign environmental regulatory pressure square is still significant (β = -0.126, p &lt; .010), but the interaction effect of the proactive environmental strategy and foreign environmental customer pressure square is not significant (β = -0.122, n.s.). </w:t>
      </w:r>
      <w:bookmarkEnd w:id="91"/>
      <w:r w:rsidRPr="00A81A4F">
        <w:t xml:space="preserve">Model 6 shows that the interaction effect of the proactive environmental strategy and foreign environmental customer pressure square is still significant (β = -0.195, p &lt; .050), but the interaction effect of the proactive environmental strategy and foreign environmental regulatory pressure square is not significant (β = -0.043, n.s.). The results are in line with our arguments. </w:t>
      </w:r>
    </w:p>
    <w:bookmarkEnd w:id="90"/>
    <w:p w14:paraId="2F3EE78E" w14:textId="77777777" w:rsidR="002E0FEA" w:rsidRPr="00A81A4F" w:rsidRDefault="002E0FEA" w:rsidP="00DF0C72">
      <w:pPr>
        <w:spacing w:after="0" w:line="480" w:lineRule="auto"/>
        <w:jc w:val="both"/>
      </w:pPr>
      <w:r w:rsidRPr="00A81A4F">
        <w:tab/>
        <w:t xml:space="preserve">Second, as our data do not result from a randomized experiment, endogeneity may be a concern. We employ two approaches to correct for potential endogeneity </w:t>
      </w:r>
      <w:r w:rsidRPr="00A81A4F">
        <w:rPr>
          <w:noProof/>
        </w:rPr>
        <w:t>(Hamilton &amp; Nickerson, 2003)</w:t>
      </w:r>
      <w:r w:rsidRPr="00A81A4F">
        <w:t xml:space="preserve">. The first approach is to use a comprehensive set of control variables – such as industry, firm size, firm age, and technology turbulence –  to reduce the likelihood that unobserved industry and resources (including experiences) differences may bias our results.  The second approach is to conduct a two-stage regression to alleviate potential endogeneity concerns. Following </w:t>
      </w:r>
      <w:r w:rsidRPr="00A81A4F">
        <w:rPr>
          <w:noProof/>
        </w:rPr>
        <w:t>Jin, Zhou, and Wang (2016)</w:t>
      </w:r>
      <w:r w:rsidRPr="00A81A4F">
        <w:t xml:space="preserve"> approach, we regress proactive environmental strategy against firm size, competitive intensity, technology turbulence, and market turbulence to obtain the residuals of the variable, which are free of the influence of resource limitation and market uncertainty </w:t>
      </w:r>
      <w:r w:rsidRPr="00A81A4F">
        <w:rPr>
          <w:noProof/>
        </w:rPr>
        <w:t>(Aragón-Correa &amp; Sharma, 2003)</w:t>
      </w:r>
      <w:r w:rsidRPr="00A81A4F">
        <w:t xml:space="preserve">. We then use the residuals of </w:t>
      </w:r>
      <w:bookmarkStart w:id="92" w:name="_Hlk64014590"/>
      <w:r w:rsidRPr="00A81A4F">
        <w:t xml:space="preserve">proactive environmental strategy </w:t>
      </w:r>
      <w:bookmarkEnd w:id="92"/>
      <w:r w:rsidRPr="00A81A4F">
        <w:t xml:space="preserve">as the new independent variable. We perform the </w:t>
      </w:r>
      <w:r w:rsidRPr="00A81A4F">
        <w:lastRenderedPageBreak/>
        <w:t>same regression analysis using these new variables. As Table 3 shows, the new results match our original results in Table 2. Thus, endogeneity is not a concern for our study.</w:t>
      </w:r>
    </w:p>
    <w:p w14:paraId="1B45F413" w14:textId="77777777" w:rsidR="002E0FEA" w:rsidRPr="00A81A4F" w:rsidRDefault="002E0FEA" w:rsidP="006F1536">
      <w:pPr>
        <w:spacing w:after="0" w:line="480" w:lineRule="auto"/>
        <w:jc w:val="center"/>
      </w:pPr>
      <w:r w:rsidRPr="00A81A4F">
        <w:t xml:space="preserve">“Insert Table 3 </w:t>
      </w:r>
      <w:proofErr w:type="gramStart"/>
      <w:r w:rsidRPr="00A81A4F">
        <w:t>Here</w:t>
      </w:r>
      <w:proofErr w:type="gramEnd"/>
      <w:r w:rsidRPr="00A81A4F">
        <w:t>”</w:t>
      </w:r>
    </w:p>
    <w:p w14:paraId="65B14D4C" w14:textId="77777777" w:rsidR="002E0FEA" w:rsidRPr="00A81A4F" w:rsidRDefault="002E0FEA" w:rsidP="006F1536">
      <w:pPr>
        <w:spacing w:after="0" w:line="480" w:lineRule="auto"/>
        <w:jc w:val="both"/>
      </w:pPr>
      <w:r w:rsidRPr="00A81A4F">
        <w:tab/>
        <w:t xml:space="preserve">To check the robustness of the regression analysis, we also run a path analysis to examine </w:t>
      </w:r>
      <w:proofErr w:type="gramStart"/>
      <w:r w:rsidRPr="00A81A4F">
        <w:t>all of</w:t>
      </w:r>
      <w:proofErr w:type="gramEnd"/>
      <w:r w:rsidRPr="00A81A4F">
        <w:t xml:space="preserve"> the effects </w:t>
      </w:r>
      <w:bookmarkStart w:id="93" w:name="_Hlk55032862"/>
      <w:r w:rsidRPr="00A81A4F">
        <w:t>simultaneously.</w:t>
      </w:r>
      <w:bookmarkEnd w:id="93"/>
      <w:r w:rsidRPr="00A81A4F">
        <w:t xml:space="preserve">  </w:t>
      </w:r>
      <w:bookmarkStart w:id="94" w:name="_Hlk56263131"/>
      <w:r w:rsidRPr="00A81A4F">
        <w:t xml:space="preserve">Following </w:t>
      </w:r>
      <w:r w:rsidRPr="00A81A4F">
        <w:rPr>
          <w:noProof/>
        </w:rPr>
        <w:t>De Clercq, Dimov, and Thongpapanl (2013)</w:t>
      </w:r>
      <w:r w:rsidRPr="00A81A4F">
        <w:t xml:space="preserve"> approach, we sum all scales to represent relevant constructs and calculate the quadratic terms and product terms. Such an approach helps us resolve the nonlinearity estimation difficulties associated with estimates of all possible product terms among the interaction and quadratic items within the constructs </w:t>
      </w:r>
      <w:r w:rsidRPr="00A81A4F">
        <w:rPr>
          <w:noProof/>
        </w:rPr>
        <w:t>(Ping Jr, 1996)</w:t>
      </w:r>
      <w:r w:rsidRPr="00A81A4F">
        <w:t xml:space="preserve">. </w:t>
      </w:r>
      <w:bookmarkEnd w:id="94"/>
      <w:r w:rsidRPr="00A81A4F">
        <w:t xml:space="preserve">This issue will increase when testing multiple interaction and </w:t>
      </w:r>
      <w:bookmarkStart w:id="95" w:name="_Hlk55033181"/>
      <w:r w:rsidRPr="00A81A4F">
        <w:t>quadratic</w:t>
      </w:r>
      <w:bookmarkEnd w:id="95"/>
      <w:r w:rsidRPr="00A81A4F">
        <w:t xml:space="preserve"> terms with a relatively small sample size. Table 4 presents the results. Model 13 suggests that proactive environmental strategy can affect inward-focused </w:t>
      </w:r>
      <w:bookmarkStart w:id="96" w:name="_Hlk55032834"/>
      <w:r w:rsidRPr="00A81A4F">
        <w:t xml:space="preserve">(β = 0.155, p &lt; .050) </w:t>
      </w:r>
      <w:bookmarkEnd w:id="96"/>
      <w:r w:rsidRPr="00A81A4F">
        <w:t xml:space="preserve">and outward-focused </w:t>
      </w:r>
      <w:bookmarkStart w:id="97" w:name="_Hlk55033052"/>
      <w:r w:rsidRPr="00A81A4F">
        <w:t xml:space="preserve">(β = 0.162, p &lt; .050) </w:t>
      </w:r>
      <w:bookmarkEnd w:id="97"/>
      <w:r w:rsidRPr="00A81A4F">
        <w:t xml:space="preserve">activities simultaneously. Model 14 shows that the product of proactive environmental strategy and quadratic foreign environmental regulatory pressure affects inward-focused internationalization activities (β = -0.487, p &lt; .001), while the product of proactive environmental strategy and quadratic foreign environmental customer pressure affects outward-focused internationalization activities (β = -0.280, p &lt; .050). </w:t>
      </w:r>
      <w:bookmarkStart w:id="98" w:name="_Hlk56263214"/>
      <w:r w:rsidRPr="00A81A4F">
        <w:t xml:space="preserve">We also estimate a full model that includes all the variables and interaction terms (Model 15). The findings are still consistent with </w:t>
      </w:r>
      <w:bookmarkEnd w:id="98"/>
      <w:r w:rsidRPr="00A81A4F">
        <w:t>those found in Table 2.</w:t>
      </w:r>
    </w:p>
    <w:p w14:paraId="5DEF58FD" w14:textId="77777777" w:rsidR="002E0FEA" w:rsidRPr="00A81A4F" w:rsidRDefault="002E0FEA" w:rsidP="006F1536">
      <w:pPr>
        <w:spacing w:after="0" w:line="480" w:lineRule="auto"/>
        <w:jc w:val="center"/>
      </w:pPr>
      <w:r w:rsidRPr="00A81A4F">
        <w:t xml:space="preserve">“Insert Table 4 </w:t>
      </w:r>
      <w:proofErr w:type="gramStart"/>
      <w:r w:rsidRPr="00A81A4F">
        <w:t>Here</w:t>
      </w:r>
      <w:proofErr w:type="gramEnd"/>
      <w:r w:rsidRPr="00A81A4F">
        <w:t>”</w:t>
      </w:r>
    </w:p>
    <w:p w14:paraId="4235CFD5" w14:textId="77777777" w:rsidR="002E0FEA" w:rsidRPr="00A81A4F" w:rsidRDefault="002E0FEA" w:rsidP="003A1638">
      <w:pPr>
        <w:spacing w:after="0" w:line="480" w:lineRule="auto"/>
        <w:jc w:val="both"/>
      </w:pPr>
      <w:r w:rsidRPr="00A81A4F">
        <w:tab/>
        <w:t xml:space="preserve">In developing our hypotheses for the inverted U-shaped moderating effects, we suggest that foreign environmental regulatory pressure will moderate the effects of proactive environmental strategy on Chinese SMEs’ capability to acquire foreign knowledge (e.g., management skills and technologies) and financial capital (e.g., investment). We also suggest that foreign environmental customer pressure will moderate the effects of proactive environmental strategy on Chinese SMEs’ capability to build foreign supplier-buyer </w:t>
      </w:r>
      <w:r w:rsidRPr="00A81A4F">
        <w:lastRenderedPageBreak/>
        <w:t>relationships (e.g., alliances) and export (e.g., markets). To corroborate our arguments, we use a single item from our measurement (see Appendix 1) to capture different inward-focused (utilizing foreign management skills</w:t>
      </w:r>
      <w:r w:rsidRPr="00A81A4F">
        <w:rPr>
          <w:rStyle w:val="FootnoteReference"/>
        </w:rPr>
        <w:footnoteReference w:id="6"/>
      </w:r>
      <w:r w:rsidRPr="00A81A4F">
        <w:t xml:space="preserve"> and investments) and outward-focused (seeking foreign alliance and markets) activities. We then perform additional regression analyses to test the moderating effects. Table 5 (Models 16~23) and Figure 3 (</w:t>
      </w:r>
      <w:proofErr w:type="spellStart"/>
      <w:r w:rsidRPr="00A81A4F">
        <w:t>a~f</w:t>
      </w:r>
      <w:proofErr w:type="spellEnd"/>
      <w:r w:rsidRPr="00A81A4F">
        <w:t xml:space="preserve">) show that our results are in line with our arguments, except that foreign customer environmental pressure does not have an inverted </w:t>
      </w:r>
      <w:proofErr w:type="gramStart"/>
      <w:r w:rsidRPr="00A81A4F">
        <w:t>U shaped</w:t>
      </w:r>
      <w:proofErr w:type="gramEnd"/>
      <w:r w:rsidRPr="00A81A4F">
        <w:t xml:space="preserve"> moderating effect on the relationship between proactive environmental strategy and the activities of seeking foreign alliances (Models 20 and 21). A possible explanation is that Chinese SMEs supply products or parts (of products) to firms in the developed countries in alliance (supplier-buyer) relationships. Prior research shows that, in this situation, the developed country firms act as a shield (to some degree)against customer legitimation challenges to emerging country firms </w:t>
      </w:r>
      <w:r w:rsidRPr="00A81A4F">
        <w:rPr>
          <w:noProof/>
        </w:rPr>
        <w:t>(Klossek, Linke, &amp; Nippa, 2012)</w:t>
      </w:r>
      <w:r w:rsidRPr="00A81A4F">
        <w:t xml:space="preserve">. Applying it into our context, as Chinese SMEs are not facing developed country customers directly, foreign environmental customer pressure has fewer impacts on how they leverage their proactive environmental strategy to pursue international supplier-buyer relationships. </w:t>
      </w:r>
    </w:p>
    <w:p w14:paraId="2572E3C4" w14:textId="77777777" w:rsidR="002E0FEA" w:rsidRPr="00A81A4F" w:rsidRDefault="002E0FEA" w:rsidP="00DF0C72">
      <w:pPr>
        <w:spacing w:after="0" w:line="480" w:lineRule="auto"/>
        <w:jc w:val="both"/>
      </w:pPr>
    </w:p>
    <w:p w14:paraId="43989152" w14:textId="77777777" w:rsidR="002E0FEA" w:rsidRPr="00A81A4F" w:rsidRDefault="002E0FEA" w:rsidP="00DF0C72">
      <w:pPr>
        <w:spacing w:after="0" w:line="480" w:lineRule="auto"/>
        <w:jc w:val="both"/>
        <w:rPr>
          <w:b/>
        </w:rPr>
      </w:pPr>
      <w:r w:rsidRPr="00A81A4F">
        <w:rPr>
          <w:b/>
        </w:rPr>
        <w:t xml:space="preserve">6. Discussion </w:t>
      </w:r>
    </w:p>
    <w:p w14:paraId="4F0BDCB1" w14:textId="77777777" w:rsidR="002E0FEA" w:rsidRPr="00A81A4F" w:rsidRDefault="002E0FEA" w:rsidP="00DF0C72">
      <w:pPr>
        <w:spacing w:after="0" w:line="480" w:lineRule="auto"/>
        <w:jc w:val="both"/>
        <w:rPr>
          <w:i/>
        </w:rPr>
      </w:pPr>
      <w:r w:rsidRPr="00A81A4F">
        <w:rPr>
          <w:i/>
        </w:rPr>
        <w:t>6.1 Theoretical Contributions</w:t>
      </w:r>
    </w:p>
    <w:p w14:paraId="151E4D57" w14:textId="77777777" w:rsidR="002E0FEA" w:rsidRPr="00A81A4F" w:rsidRDefault="002E0FEA" w:rsidP="004438F6">
      <w:pPr>
        <w:spacing w:after="0" w:line="480" w:lineRule="auto"/>
        <w:jc w:val="both"/>
      </w:pPr>
      <w:r w:rsidRPr="00A81A4F">
        <w:tab/>
      </w:r>
      <w:bookmarkStart w:id="99" w:name="_Hlk65401906"/>
      <w:r w:rsidRPr="00A81A4F">
        <w:t xml:space="preserve">This work advances literature and theories concerning SME internationalization in several ways. First, </w:t>
      </w:r>
      <w:bookmarkStart w:id="100" w:name="_Hlk65399868"/>
      <w:r w:rsidRPr="00A81A4F">
        <w:t xml:space="preserve">previous SME internationalization research primarily focuses on the impact of proactive environmental strategy on outward-focused internationalization activities such as exporting </w:t>
      </w:r>
      <w:r w:rsidRPr="00A81A4F">
        <w:rPr>
          <w:noProof/>
        </w:rPr>
        <w:t>(e.g., Martín-Tapia</w:t>
      </w:r>
      <w:r w:rsidRPr="00A81A4F">
        <w:rPr>
          <w:i/>
          <w:noProof/>
        </w:rPr>
        <w:t xml:space="preserve"> et al.</w:t>
      </w:r>
      <w:r w:rsidRPr="00A81A4F">
        <w:rPr>
          <w:noProof/>
        </w:rPr>
        <w:t>, 2010; Martin-Tapia</w:t>
      </w:r>
      <w:r w:rsidRPr="00A81A4F">
        <w:rPr>
          <w:i/>
          <w:noProof/>
        </w:rPr>
        <w:t xml:space="preserve"> et al.</w:t>
      </w:r>
      <w:r w:rsidRPr="00A81A4F">
        <w:rPr>
          <w:noProof/>
        </w:rPr>
        <w:t>, 2008)</w:t>
      </w:r>
      <w:r w:rsidRPr="00A81A4F">
        <w:t xml:space="preserve">. However, we have argued that emerging country SMEs (such as Chinese SMEs) represent a unique opportunity to extend this strand of research. Suffering from the underdevelopment of institutions, which impedes </w:t>
      </w:r>
      <w:r w:rsidRPr="00A81A4F">
        <w:lastRenderedPageBreak/>
        <w:t xml:space="preserve">the development and flow of new knowledge and financial capital </w:t>
      </w:r>
      <w:proofErr w:type="gramStart"/>
      <w:r w:rsidRPr="00A81A4F">
        <w:t>and also</w:t>
      </w:r>
      <w:proofErr w:type="gramEnd"/>
      <w:r w:rsidRPr="00A81A4F">
        <w:t xml:space="preserve"> constrains economic opportunities, emerging country firms are trying to escape through internationalization </w:t>
      </w:r>
      <w:r w:rsidRPr="00A81A4F">
        <w:rPr>
          <w:noProof/>
        </w:rPr>
        <w:t>(Khanna &amp; Palepu, 2010; Marano</w:t>
      </w:r>
      <w:r w:rsidRPr="00A81A4F">
        <w:rPr>
          <w:i/>
          <w:noProof/>
        </w:rPr>
        <w:t xml:space="preserve"> et al.</w:t>
      </w:r>
      <w:r w:rsidRPr="00A81A4F">
        <w:rPr>
          <w:noProof/>
        </w:rPr>
        <w:t>, 2017; Nuruzzaman</w:t>
      </w:r>
      <w:r w:rsidRPr="00A81A4F">
        <w:rPr>
          <w:i/>
          <w:noProof/>
        </w:rPr>
        <w:t xml:space="preserve"> et al.</w:t>
      </w:r>
      <w:r w:rsidRPr="00A81A4F">
        <w:rPr>
          <w:noProof/>
        </w:rPr>
        <w:t>, 2020)</w:t>
      </w:r>
      <w:r w:rsidRPr="00A81A4F">
        <w:t xml:space="preserve">. This means that SMEs from emerging countries focus not only on outward-focused internationalization activities to generate more revenue in the foreign markets but also on inward-focused internationalization activities to acquire foreign resources </w:t>
      </w:r>
      <w:r w:rsidRPr="00A81A4F">
        <w:rPr>
          <w:noProof/>
        </w:rPr>
        <w:t>(Zhou</w:t>
      </w:r>
      <w:r w:rsidRPr="00A81A4F">
        <w:rPr>
          <w:i/>
          <w:noProof/>
        </w:rPr>
        <w:t xml:space="preserve"> et al.</w:t>
      </w:r>
      <w:r w:rsidRPr="00A81A4F">
        <w:rPr>
          <w:noProof/>
        </w:rPr>
        <w:t>, 2007)</w:t>
      </w:r>
      <w:r w:rsidRPr="00A81A4F">
        <w:t xml:space="preserve">. Our study demonstrates that proactive environmental strategy promotes both Chinese SMEs’ inward-focused and outward-focused internationalization activities. We shed new light on the crucial role of proactive environmental strategy in SME internationalization by including emerging country SMEs’ perspectives. </w:t>
      </w:r>
    </w:p>
    <w:bookmarkEnd w:id="100"/>
    <w:p w14:paraId="4689D0AE" w14:textId="77777777" w:rsidR="002E0FEA" w:rsidRPr="00A81A4F" w:rsidRDefault="002E0FEA" w:rsidP="004438F6">
      <w:pPr>
        <w:spacing w:after="0" w:line="480" w:lineRule="auto"/>
        <w:jc w:val="both"/>
      </w:pPr>
      <w:r w:rsidRPr="00A81A4F">
        <w:tab/>
        <w:t xml:space="preserve">Furthermore, </w:t>
      </w:r>
      <w:bookmarkStart w:id="101" w:name="_Hlk65400105"/>
      <w:r w:rsidRPr="00A81A4F">
        <w:t xml:space="preserve">the resource-based view has been traditionally used to claim that SMEs’ engagement in proactive environmental strategy can build up their competitiveness in international marketplaces </w:t>
      </w:r>
      <w:r w:rsidRPr="00A81A4F">
        <w:rPr>
          <w:noProof/>
        </w:rPr>
        <w:t>(Chan &amp; Ma, 2016; Martín-Tapia</w:t>
      </w:r>
      <w:r w:rsidRPr="00A81A4F">
        <w:rPr>
          <w:i/>
          <w:noProof/>
        </w:rPr>
        <w:t xml:space="preserve"> et al.</w:t>
      </w:r>
      <w:r w:rsidRPr="00A81A4F">
        <w:rPr>
          <w:noProof/>
        </w:rPr>
        <w:t>, 2010; Martin-Tapia</w:t>
      </w:r>
      <w:r w:rsidRPr="00A81A4F">
        <w:rPr>
          <w:i/>
          <w:noProof/>
        </w:rPr>
        <w:t xml:space="preserve"> et al.</w:t>
      </w:r>
      <w:r w:rsidRPr="00A81A4F">
        <w:rPr>
          <w:noProof/>
        </w:rPr>
        <w:t>, 2008)</w:t>
      </w:r>
      <w:r w:rsidRPr="00A81A4F">
        <w:t xml:space="preserve">. This aspect of the theory helps explain the impact of proactive environmental strategy on outward-focused internationalization activities. Still, it may not be useful to explain the impact of proactive environmental strategy on inward-focused internationalization activities. In this research, we draw on another aspect of the resource-based view which suggests that firms’ existing resources make it easier to acquire new resources </w:t>
      </w:r>
      <w:r w:rsidRPr="00A81A4F">
        <w:rPr>
          <w:noProof/>
        </w:rPr>
        <w:t>(Barney</w:t>
      </w:r>
      <w:r w:rsidRPr="00A81A4F">
        <w:rPr>
          <w:i/>
          <w:noProof/>
        </w:rPr>
        <w:t xml:space="preserve"> et al.</w:t>
      </w:r>
      <w:r w:rsidRPr="00A81A4F">
        <w:rPr>
          <w:noProof/>
        </w:rPr>
        <w:t>, 2011; Wernerfelt, 2011)</w:t>
      </w:r>
      <w:r w:rsidRPr="00A81A4F">
        <w:t xml:space="preserve"> to explain the relationship between proactive environmental strategy and inward-focused internationalization activities. Combining these two aspects of the resource-based view, we suggest that the engagement of proactive environmental strategy by Chinese SMEs can be considered a unique resource that supports the firms’ internationalization efforts by acquiring resources (inward-focused internationalization activities) and exploring economic opportunities (outward-focused internationalization activities) from developed countries. Our </w:t>
      </w:r>
      <w:r w:rsidRPr="00A81A4F">
        <w:lastRenderedPageBreak/>
        <w:t xml:space="preserve">efforts extend the applicability of the resource-based view to explain the relationship between proactive environmental strategy and SME internationalization more generally. </w:t>
      </w:r>
    </w:p>
    <w:bookmarkEnd w:id="101"/>
    <w:p w14:paraId="30178764" w14:textId="77777777" w:rsidR="002E0FEA" w:rsidRPr="00A81A4F" w:rsidRDefault="002E0FEA" w:rsidP="00A359A6">
      <w:pPr>
        <w:spacing w:after="0" w:line="480" w:lineRule="auto"/>
        <w:jc w:val="both"/>
      </w:pPr>
      <w:r w:rsidRPr="00A81A4F">
        <w:tab/>
        <w:t xml:space="preserve">Second, </w:t>
      </w:r>
      <w:bookmarkStart w:id="102" w:name="_Hlk65400340"/>
      <w:r w:rsidRPr="00A81A4F">
        <w:t xml:space="preserve">previous studies suggest that the effect of </w:t>
      </w:r>
      <w:bookmarkStart w:id="103" w:name="_Hlk64104569"/>
      <w:r w:rsidRPr="00A81A4F">
        <w:t>proactive environmental strategy on internationalization</w:t>
      </w:r>
      <w:bookmarkEnd w:id="103"/>
      <w:r w:rsidRPr="00A81A4F">
        <w:t xml:space="preserve"> mainly depends on how firms manage their internal resources and deal with market uncertainty </w:t>
      </w:r>
      <w:r w:rsidRPr="00A81A4F">
        <w:rPr>
          <w:noProof/>
        </w:rPr>
        <w:t>(Bıçakcıo</w:t>
      </w:r>
      <w:r w:rsidRPr="00A81A4F">
        <w:rPr>
          <w:rFonts w:ascii="Arial" w:hAnsi="Arial" w:cs="Arial"/>
          <w:noProof/>
        </w:rPr>
        <w:t>ğ</w:t>
      </w:r>
      <w:r w:rsidRPr="00A81A4F">
        <w:rPr>
          <w:noProof/>
        </w:rPr>
        <w:t>lu, Theoharakis, &amp; Tanyeri, 2019; Martin-Tapia</w:t>
      </w:r>
      <w:r w:rsidRPr="00A81A4F">
        <w:rPr>
          <w:i/>
          <w:noProof/>
        </w:rPr>
        <w:t xml:space="preserve"> et al.</w:t>
      </w:r>
      <w:r w:rsidRPr="00A81A4F">
        <w:rPr>
          <w:noProof/>
        </w:rPr>
        <w:t>, 2008)</w:t>
      </w:r>
      <w:r w:rsidRPr="00A81A4F">
        <w:t xml:space="preserve">. This current research differentiates between foreign environmental regulatory and customer pressures, representing coercive and normative institutional pressures, respectively </w:t>
      </w:r>
      <w:r w:rsidRPr="00A81A4F">
        <w:rPr>
          <w:noProof/>
        </w:rPr>
        <w:t>(Swaminathan &amp; Wade, 2018; Xu</w:t>
      </w:r>
      <w:r w:rsidRPr="00A81A4F">
        <w:rPr>
          <w:i/>
          <w:noProof/>
        </w:rPr>
        <w:t xml:space="preserve"> et al.</w:t>
      </w:r>
      <w:r w:rsidRPr="00A81A4F">
        <w:rPr>
          <w:noProof/>
        </w:rPr>
        <w:t>, 2018)</w:t>
      </w:r>
      <w:r w:rsidRPr="00A81A4F">
        <w:t xml:space="preserve">, and examines their moderating role in the relationship between proactive environmental strategy Chinese SME internationalization. We argue that understanding how foreign institutional pressures affect the ways in which SMEs leverage their proactive environmental strategy to support their internationalization efforts is of particular importance for SMEs in emerging countries (e.g., China). This is because emerging country firms (e.g., Chinese SMEs) often face legitimation challenges from developed country regulators and customers concerning environmental issues due to the negative stereotypes about the firms’ collective environmental records </w:t>
      </w:r>
      <w:r w:rsidRPr="00A81A4F">
        <w:rPr>
          <w:noProof/>
        </w:rPr>
        <w:t>(e.g., Deng &amp; Zhang, 2018; Park &amp; Ghauri, 2015)</w:t>
      </w:r>
      <w:r w:rsidRPr="00A81A4F">
        <w:t xml:space="preserve">. Our study demonstrates that foreign environmental regulatory pressure has an inverted U-shaped moderating effect on the relationship between proactive environmental strategy and inward-focused internationalization activities, while foreign environmental customer pressure has an inverted U-shaped moderating effect on the relationship between proactive environmental strategy and outward-focused internationalization activities. In doing so, we extend the research on the legitimation challenges facing emerging country SMEs in host countries </w:t>
      </w:r>
      <w:r w:rsidRPr="00A81A4F">
        <w:rPr>
          <w:noProof/>
        </w:rPr>
        <w:t>(e.g., Deng &amp; Zhang, 2018; Park &amp; Ghauri, 2015)</w:t>
      </w:r>
      <w:r w:rsidRPr="00A81A4F">
        <w:t xml:space="preserve"> and represent an initial attempt to assess the realization that the beneficial effects of proactive environmental strategy on emerging country SMEs’ various internationalization activities depend on different foreign institutional pressures. </w:t>
      </w:r>
    </w:p>
    <w:bookmarkEnd w:id="102"/>
    <w:p w14:paraId="11B1DB8D" w14:textId="77777777" w:rsidR="002E0FEA" w:rsidRPr="00A81A4F" w:rsidRDefault="002E0FEA" w:rsidP="00A359A6">
      <w:pPr>
        <w:spacing w:after="0" w:line="480" w:lineRule="auto"/>
        <w:jc w:val="both"/>
      </w:pPr>
      <w:r w:rsidRPr="00A81A4F">
        <w:lastRenderedPageBreak/>
        <w:tab/>
        <w:t xml:space="preserve">Moreover, </w:t>
      </w:r>
      <w:bookmarkStart w:id="104" w:name="_Hlk65400588"/>
      <w:r w:rsidRPr="00A81A4F">
        <w:t xml:space="preserve">we advance the use of institutional theory in line with the resource-based view to explain firms’ international business strategies </w:t>
      </w:r>
      <w:r w:rsidRPr="00A81A4F">
        <w:rPr>
          <w:noProof/>
        </w:rPr>
        <w:t>(He</w:t>
      </w:r>
      <w:r w:rsidRPr="00A81A4F">
        <w:rPr>
          <w:i/>
          <w:noProof/>
        </w:rPr>
        <w:t xml:space="preserve"> et al.</w:t>
      </w:r>
      <w:r w:rsidRPr="00A81A4F">
        <w:rPr>
          <w:noProof/>
        </w:rPr>
        <w:t>, 2013; Meyer</w:t>
      </w:r>
      <w:r w:rsidRPr="00A81A4F">
        <w:rPr>
          <w:i/>
          <w:noProof/>
        </w:rPr>
        <w:t xml:space="preserve"> et al.</w:t>
      </w:r>
      <w:r w:rsidRPr="00A81A4F">
        <w:rPr>
          <w:noProof/>
        </w:rPr>
        <w:t>, 2009)</w:t>
      </w:r>
      <w:r w:rsidRPr="00A81A4F">
        <w:t xml:space="preserve"> by showing that emerging country SMEs’ context represents a challenge. We also suggest that this challenge can be used to extend and generalize the theory once adequate attention is given to several areas. First, due to the underdevelopment of institutions, emerging country SMEs focus on both inward-focused and outward-focused internationalization activities </w:t>
      </w:r>
      <w:r w:rsidRPr="00A81A4F">
        <w:rPr>
          <w:noProof/>
        </w:rPr>
        <w:t>(Zhou</w:t>
      </w:r>
      <w:r w:rsidRPr="00A81A4F">
        <w:rPr>
          <w:i/>
          <w:noProof/>
        </w:rPr>
        <w:t xml:space="preserve"> et al.</w:t>
      </w:r>
      <w:r w:rsidRPr="00A81A4F">
        <w:rPr>
          <w:noProof/>
        </w:rPr>
        <w:t>, 2007)</w:t>
      </w:r>
      <w:r w:rsidRPr="00A81A4F">
        <w:t xml:space="preserve">. Emerging country SMEs need to use their resource advantage (i.e., proactive environmental strategy) to acquire resources (i.e., advanced management skills and investment) from developed countries and grow revenues in the foreign (developed countries) marketplaces. As a result, we need to employ different aspects of institutional theory to explain the effect of institutional environment in this situation. Drawing on institutional theory’s isomorphism logic </w:t>
      </w:r>
      <w:r w:rsidRPr="00A81A4F">
        <w:rPr>
          <w:noProof/>
        </w:rPr>
        <w:t>(Oliver, 1997)</w:t>
      </w:r>
      <w:r w:rsidRPr="00A81A4F">
        <w:t xml:space="preserve">, we argue that resource providers (i.e., knowledge creators and investors) in developed countries tend to adopt similar practices (isomorphism) to conform to regulatory pressure (gain legitimacy) to pursue environmental sustainability. This will affect emerging country SMEs’ use of resource advantage derived from engaging a proactive environmental strategy to pursue inward-focused internationalization activities. On the other hand, drawing on the institutional theory’s institutional distance logic </w:t>
      </w:r>
      <w:r w:rsidRPr="00A81A4F">
        <w:rPr>
          <w:noProof/>
        </w:rPr>
        <w:t>(He</w:t>
      </w:r>
      <w:r w:rsidRPr="00A81A4F">
        <w:rPr>
          <w:i/>
          <w:noProof/>
        </w:rPr>
        <w:t xml:space="preserve"> et al.</w:t>
      </w:r>
      <w:r w:rsidRPr="00A81A4F">
        <w:rPr>
          <w:noProof/>
        </w:rPr>
        <w:t>, 2013)</w:t>
      </w:r>
      <w:r w:rsidRPr="00A81A4F">
        <w:t xml:space="preserve">, we argue that emerging country SMEs can take advantage of their proactive environmental strategy (resource) to overcome customers’ legitimation challenges (mitigate customers’ negative perceptions about the firms’ environmental records and gain legitimacy) in the developed countries. </w:t>
      </w:r>
    </w:p>
    <w:bookmarkEnd w:id="104"/>
    <w:p w14:paraId="6F4069FD" w14:textId="77777777" w:rsidR="002E0FEA" w:rsidRPr="00A81A4F" w:rsidRDefault="002E0FEA" w:rsidP="00A359A6">
      <w:pPr>
        <w:spacing w:after="0" w:line="480" w:lineRule="auto"/>
        <w:jc w:val="both"/>
      </w:pPr>
      <w:r w:rsidRPr="00A81A4F">
        <w:tab/>
        <w:t xml:space="preserve">Second, </w:t>
      </w:r>
      <w:bookmarkStart w:id="105" w:name="_Hlk65850372"/>
      <w:bookmarkStart w:id="106" w:name="_Hlk65400716"/>
      <w:r w:rsidRPr="00A81A4F">
        <w:t>we identify that the moderating effects of foreign institutional pressures concerning environmental sustainability are not linear</w:t>
      </w:r>
      <w:bookmarkEnd w:id="105"/>
      <w:r w:rsidRPr="00A81A4F">
        <w:t xml:space="preserve">, unlike the linear effect assumptions from theorists who combine the resource-based view and institutional theory </w:t>
      </w:r>
      <w:r w:rsidRPr="00A81A4F">
        <w:rPr>
          <w:noProof/>
        </w:rPr>
        <w:t>(He</w:t>
      </w:r>
      <w:r w:rsidRPr="00A81A4F">
        <w:rPr>
          <w:i/>
          <w:noProof/>
        </w:rPr>
        <w:t xml:space="preserve"> et al.</w:t>
      </w:r>
      <w:r w:rsidRPr="00A81A4F">
        <w:rPr>
          <w:noProof/>
        </w:rPr>
        <w:t>, 2013; Oliver, 1997)</w:t>
      </w:r>
      <w:r w:rsidRPr="00A81A4F">
        <w:t xml:space="preserve">. </w:t>
      </w:r>
      <w:bookmarkStart w:id="107" w:name="_Hlk65850421"/>
      <w:r w:rsidRPr="00A81A4F">
        <w:t xml:space="preserve">Our reasoning behind this is that emerging country SMEs signify a unique </w:t>
      </w:r>
      <w:r w:rsidRPr="00A81A4F">
        <w:lastRenderedPageBreak/>
        <w:t xml:space="preserve">context. As emerging country SMEs, their lack of resources prevents them from introducing significant changes in their current practices to conform to stringent environmental regulatory pressures (e.g., adopt more complex and country-specific environmental practices) or fully realize the potential benefits from making the changes (e.g., move part of the operation to developed countries). Furthermore, the differences in institutional settings between emerging and developed countries may cause emerging country SMEs that choose to make additional investments in environmental practices (to conform to stringent environmental customer pressures) to lose competitive advantage in the home markets (e.g., home market customers are unwilling to pay a high price for </w:t>
      </w:r>
      <w:proofErr w:type="gramStart"/>
      <w:r w:rsidRPr="00A81A4F">
        <w:t>environmentally-friendly</w:t>
      </w:r>
      <w:proofErr w:type="gramEnd"/>
      <w:r w:rsidRPr="00A81A4F">
        <w:t xml:space="preserve"> products). As a result, emerging country SMEs will elect not to make changes in their current practices and eventually lose resource advantage in acquiring foreign resources and developing competitive advantage in the foreign marketplace. </w:t>
      </w:r>
      <w:bookmarkEnd w:id="107"/>
      <w:r w:rsidRPr="00A81A4F">
        <w:t>Thus, the moderating effect is nonlinear. Overall, the results support our arguments derived from combining the resource-based view and institutional theory that the optimal use of emerging country SMEs’ proactive environmental strategy to pursue different internationalization activities requires alignment with certain institutional conditions.</w:t>
      </w:r>
    </w:p>
    <w:bookmarkEnd w:id="99"/>
    <w:bookmarkEnd w:id="106"/>
    <w:p w14:paraId="152F10D7" w14:textId="77777777" w:rsidR="002E0FEA" w:rsidRPr="00A81A4F" w:rsidRDefault="002E0FEA" w:rsidP="00DF0C72">
      <w:pPr>
        <w:spacing w:after="0" w:line="480" w:lineRule="auto"/>
        <w:jc w:val="both"/>
      </w:pPr>
    </w:p>
    <w:p w14:paraId="49A5BA62" w14:textId="77777777" w:rsidR="002E0FEA" w:rsidRPr="00A81A4F" w:rsidRDefault="002E0FEA" w:rsidP="00DF0C72">
      <w:pPr>
        <w:spacing w:after="0" w:line="480" w:lineRule="auto"/>
        <w:jc w:val="both"/>
        <w:rPr>
          <w:i/>
        </w:rPr>
      </w:pPr>
      <w:r w:rsidRPr="00A81A4F">
        <w:rPr>
          <w:i/>
        </w:rPr>
        <w:t>6.2 Managerial Relevance</w:t>
      </w:r>
    </w:p>
    <w:p w14:paraId="75EC16DE" w14:textId="77777777" w:rsidR="002E0FEA" w:rsidRPr="00A81A4F" w:rsidRDefault="002E0FEA" w:rsidP="003A16F8">
      <w:pPr>
        <w:spacing w:after="0" w:line="480" w:lineRule="auto"/>
        <w:jc w:val="both"/>
      </w:pPr>
      <w:r w:rsidRPr="00A81A4F">
        <w:tab/>
        <w:t xml:space="preserve">One critical dilemma that SME managers face is whether to pursue environmental sustainability, bearing in mind the organizations’ resource limitations. Our findings suggest that SME managers must understand that organizations’ proactive environmental strategy can support their quest for both inward-focused and outward-focused internationalization activities. Therefore, SME managers that aspire towards internationalization can start by allocating resources to address their operations’ impact on the natural environment. More specifically, by converting to </w:t>
      </w:r>
      <w:proofErr w:type="gramStart"/>
      <w:r w:rsidRPr="00A81A4F">
        <w:t>environmentally-friendly</w:t>
      </w:r>
      <w:proofErr w:type="gramEnd"/>
      <w:r w:rsidRPr="00A81A4F">
        <w:t xml:space="preserve"> operations, SMEs can effectively utilize advanced foreign knowledge and attract foreign direct investment (inward-focused internationalization </w:t>
      </w:r>
      <w:r w:rsidRPr="00A81A4F">
        <w:lastRenderedPageBreak/>
        <w:t xml:space="preserve">activities). Moreover, proactive environmental strategy can provide SMEs with a competitive advantage in exporting and attracting foreign alliance partners in building supplier-buyer relationships (outward-focused internationalization activities). </w:t>
      </w:r>
    </w:p>
    <w:p w14:paraId="7D36379C" w14:textId="77777777" w:rsidR="002E0FEA" w:rsidRPr="00A81A4F" w:rsidRDefault="002E0FEA" w:rsidP="003A16F8">
      <w:pPr>
        <w:spacing w:after="0" w:line="480" w:lineRule="auto"/>
        <w:ind w:firstLine="720"/>
        <w:jc w:val="both"/>
      </w:pPr>
      <w:r w:rsidRPr="00A81A4F">
        <w:t xml:space="preserve">SME managers must also understand that the beneficial effects of proactive environmental strategy on internationalization activities are conditional on foreign institutional environments. More importantly, SME managers should realize the differential moderating effects of foreign environmental regulatory and customer pressures on the relationship between </w:t>
      </w:r>
      <w:bookmarkStart w:id="108" w:name="_Hlk64025295"/>
      <w:r w:rsidRPr="00A81A4F">
        <w:t xml:space="preserve">proactive environmental strategy </w:t>
      </w:r>
      <w:bookmarkEnd w:id="108"/>
      <w:r w:rsidRPr="00A81A4F">
        <w:t xml:space="preserve">and internationalization activities. </w:t>
      </w:r>
      <w:bookmarkStart w:id="109" w:name="_Hlk72057205"/>
      <w:r w:rsidRPr="00A81A4F">
        <w:t xml:space="preserve">This study finds that </w:t>
      </w:r>
      <w:bookmarkStart w:id="110" w:name="_Hlk64025283"/>
      <w:r w:rsidRPr="00A81A4F">
        <w:t xml:space="preserve">foreign environmental regulatory pressure </w:t>
      </w:r>
      <w:bookmarkEnd w:id="110"/>
      <w:r w:rsidRPr="00A81A4F">
        <w:t xml:space="preserve">exerts an inverted U-shaped moderating effect on the relationship between proactive environmental strategy and inward-focused internationalization activities. This means that a medium level of foreign environmental regulatory pressure maximizes the positive effects of proactive environmental strategy on inward-focused internationalization activities. </w:t>
      </w:r>
      <w:bookmarkEnd w:id="109"/>
      <w:r w:rsidRPr="00A81A4F">
        <w:t xml:space="preserve">Thus, when </w:t>
      </w:r>
      <w:bookmarkStart w:id="111" w:name="_Hlk72056730"/>
      <w:r w:rsidRPr="00A81A4F">
        <w:t xml:space="preserve">foreign environmental regulatory pressure is at low </w:t>
      </w:r>
      <w:bookmarkEnd w:id="111"/>
      <w:r w:rsidRPr="00A81A4F">
        <w:t xml:space="preserve">levels, SME managers should invest more in developing proactive environmental strategy. SMEs can capitalize on such a strategy to utilize foreign advanced management skills and foreign direct investment. Alternatively, SME managers should withhold their pursuit of proactive environmental strategy when foreign environmental regulatory pressure is above a medium level. In such a situation, SMEs’ proactive environmental strategy will not bring any benefits in facilitating inward-focused internationalization activities. In fact, our results show that the engagement of proactive environmental strategy can </w:t>
      </w:r>
      <w:proofErr w:type="gramStart"/>
      <w:r w:rsidRPr="00A81A4F">
        <w:t>actually damage</w:t>
      </w:r>
      <w:proofErr w:type="gramEnd"/>
      <w:r w:rsidRPr="00A81A4F">
        <w:t xml:space="preserve"> SMEs’ efforts in inward-focused internationalization activities when foreign environmental regulatory pressure is at high levels.</w:t>
      </w:r>
    </w:p>
    <w:p w14:paraId="24004A58" w14:textId="77777777" w:rsidR="002E0FEA" w:rsidRPr="00A81A4F" w:rsidRDefault="002E0FEA" w:rsidP="003A16F8">
      <w:pPr>
        <w:spacing w:after="0" w:line="480" w:lineRule="auto"/>
        <w:ind w:firstLine="720"/>
        <w:jc w:val="both"/>
      </w:pPr>
      <w:r w:rsidRPr="00A81A4F">
        <w:t xml:space="preserve">This study also finds that foreign environmental customer pressure exerts an inverted U-shaped moderating effect on the relationship between proactive environmental strategy and outward-focused internationalization activities. This indicates that a medium level of foreign </w:t>
      </w:r>
      <w:r w:rsidRPr="00A81A4F">
        <w:lastRenderedPageBreak/>
        <w:t xml:space="preserve">environmental customer pressure maximizes the positive effects of proactive environmental strategy on outward-focused internationalization activities. As a result, we recommend that SME managers engage in </w:t>
      </w:r>
      <w:proofErr w:type="gramStart"/>
      <w:r w:rsidRPr="00A81A4F">
        <w:t>environmentally-sustainable</w:t>
      </w:r>
      <w:proofErr w:type="gramEnd"/>
      <w:r w:rsidRPr="00A81A4F">
        <w:t xml:space="preserve"> practices when the levels of foreign environmental customer pressure are low. In such a situation, SMEs can take advantage of their proactive environmental strategy in seeking foreign markets. However, when foreign environmental customer pressure levels are high, we recommend that SME managers do not pursue proactive environmental strategy because such pursuit will not yield benefits. Moreover, our results suggest that proactive environmental strategy engagement can damage SMEs’ exporting efforts in such a situation. </w:t>
      </w:r>
    </w:p>
    <w:p w14:paraId="3A30D062" w14:textId="77777777" w:rsidR="002E0FEA" w:rsidRPr="00A81A4F" w:rsidRDefault="002E0FEA" w:rsidP="00DF0C72">
      <w:pPr>
        <w:spacing w:after="0" w:line="480" w:lineRule="auto"/>
        <w:ind w:firstLine="720"/>
        <w:jc w:val="both"/>
      </w:pPr>
    </w:p>
    <w:p w14:paraId="7DB72533" w14:textId="77777777" w:rsidR="002E0FEA" w:rsidRPr="00A81A4F" w:rsidRDefault="002E0FEA" w:rsidP="00DF0C72">
      <w:pPr>
        <w:spacing w:after="0" w:line="480" w:lineRule="auto"/>
        <w:jc w:val="both"/>
        <w:rPr>
          <w:i/>
        </w:rPr>
      </w:pPr>
      <w:r w:rsidRPr="00A81A4F">
        <w:rPr>
          <w:i/>
        </w:rPr>
        <w:t>6.3 Limitations and Further Research</w:t>
      </w:r>
    </w:p>
    <w:p w14:paraId="761B216A" w14:textId="77777777" w:rsidR="002E0FEA" w:rsidRPr="00A81A4F" w:rsidRDefault="002E0FEA" w:rsidP="00DF0C72">
      <w:pPr>
        <w:spacing w:after="0" w:line="480" w:lineRule="auto"/>
        <w:ind w:firstLine="720"/>
        <w:jc w:val="both"/>
      </w:pPr>
      <w:r w:rsidRPr="00A81A4F">
        <w:t xml:space="preserve">First, this research design may raise concerns about common method bias. In this research, we attempted to minimize the potential bias by collecting data from a two-wave survey. However, we still collected </w:t>
      </w:r>
      <w:proofErr w:type="gramStart"/>
      <w:r w:rsidRPr="00A81A4F">
        <w:t>all of</w:t>
      </w:r>
      <w:proofErr w:type="gramEnd"/>
      <w:r w:rsidRPr="00A81A4F">
        <w:t xml:space="preserve"> the data from the same SMEs. Future research might use dyadic data to combat this limitation. Furthermore, our six-month time-lag may be insufficient to observe the influence of proactive environmental strategy and institutional pressures on SMEs’ internationalization activities. Future research should adopt a more appropriate longitudinal survey design to obtain survey data over multiple periods with an appropriate time separation </w:t>
      </w:r>
      <w:r w:rsidRPr="00A81A4F">
        <w:rPr>
          <w:noProof/>
        </w:rPr>
        <w:t>(Menard, 2002)</w:t>
      </w:r>
      <w:r w:rsidRPr="00A81A4F">
        <w:t xml:space="preserve">. </w:t>
      </w:r>
    </w:p>
    <w:p w14:paraId="09DDE482" w14:textId="77777777" w:rsidR="002E0FEA" w:rsidRPr="00A81A4F" w:rsidRDefault="002E0FEA" w:rsidP="00DF0C72">
      <w:pPr>
        <w:spacing w:after="0" w:line="480" w:lineRule="auto"/>
        <w:ind w:firstLine="720"/>
        <w:jc w:val="both"/>
      </w:pPr>
      <w:r w:rsidRPr="00A81A4F">
        <w:t xml:space="preserve">Second, we focus our investigation on Chinese SMEs. Therefore, </w:t>
      </w:r>
      <w:bookmarkStart w:id="112" w:name="_Hlk56002669"/>
      <w:r w:rsidRPr="00A81A4F">
        <w:t xml:space="preserve">our findings’ generalizability remains limited to organizations located within a single country. SMEs in other countries (primarily emerging Southeast Asian, Latin American, or others) also consider internationalization as a means of achieving growth objectives and face pressure to comply with foreign countries’ environmental values when engaging in internationalization activities </w:t>
      </w:r>
      <w:r w:rsidRPr="00A81A4F">
        <w:rPr>
          <w:noProof/>
        </w:rPr>
        <w:t>(de Jesus Pacheco</w:t>
      </w:r>
      <w:r w:rsidRPr="00A81A4F">
        <w:rPr>
          <w:i/>
          <w:noProof/>
        </w:rPr>
        <w:t xml:space="preserve"> et al.</w:t>
      </w:r>
      <w:r w:rsidRPr="00A81A4F">
        <w:rPr>
          <w:noProof/>
        </w:rPr>
        <w:t>, 2018; Marano</w:t>
      </w:r>
      <w:r w:rsidRPr="00A81A4F">
        <w:rPr>
          <w:i/>
          <w:noProof/>
        </w:rPr>
        <w:t xml:space="preserve"> et al.</w:t>
      </w:r>
      <w:r w:rsidRPr="00A81A4F">
        <w:rPr>
          <w:noProof/>
        </w:rPr>
        <w:t>, 2017)</w:t>
      </w:r>
      <w:r w:rsidRPr="00A81A4F">
        <w:t xml:space="preserve">, simultaneously. </w:t>
      </w:r>
      <w:bookmarkStart w:id="113" w:name="_Hlk56329484"/>
      <w:r w:rsidRPr="00A81A4F">
        <w:t xml:space="preserve">Future studies on different </w:t>
      </w:r>
      <w:r w:rsidRPr="00A81A4F">
        <w:lastRenderedPageBreak/>
        <w:t>countries would help to generalize our findings and expand the boundary conditions.</w:t>
      </w:r>
      <w:bookmarkEnd w:id="112"/>
      <w:r w:rsidRPr="00A81A4F">
        <w:t xml:space="preserve"> </w:t>
      </w:r>
      <w:bookmarkEnd w:id="113"/>
      <w:r w:rsidRPr="00A81A4F">
        <w:t xml:space="preserve">Furthermore, in our survey instructions, we asked the respondents to choose a developed country where their firm has internationalized their activities and answer the questions from this perspective. </w:t>
      </w:r>
      <w:bookmarkStart w:id="114" w:name="_Hlk56068069"/>
      <w:r w:rsidRPr="00A81A4F">
        <w:t xml:space="preserve">However, we did not ask respondents to reveal which developed country they selected, and we do control for this effect. This approach ignores institutional environments’ unique features concerning environmental protection in different developed countries (e.g., the US vs. the European Union). </w:t>
      </w:r>
      <w:bookmarkStart w:id="115" w:name="_Hlk56329518"/>
      <w:r w:rsidRPr="00A81A4F">
        <w:t>Additional research should compare the effects of institutional pressures on Chinese (other emerging countries’) SMEs’ proactive environmental strategy-internationalization activities relationship between different developed countries to enhance the generalizability of our findings.</w:t>
      </w:r>
    </w:p>
    <w:bookmarkEnd w:id="114"/>
    <w:bookmarkEnd w:id="115"/>
    <w:p w14:paraId="20941297" w14:textId="77777777" w:rsidR="002E0FEA" w:rsidRPr="00A81A4F" w:rsidRDefault="002E0FEA" w:rsidP="00DF0C72">
      <w:pPr>
        <w:spacing w:after="0" w:line="480" w:lineRule="auto"/>
        <w:ind w:firstLine="720"/>
        <w:jc w:val="both"/>
      </w:pPr>
      <w:r w:rsidRPr="00A81A4F">
        <w:t xml:space="preserve">Third, we adapted the survey questions from prior studies. Our pilot study did not reveal any major issues regarding the use of the phasing/terminology or the questions' wording. However, some misunderstandings may still exist. For example, a question about inward-focused internationalization activities asked the respondents how their firm utilizes foreign direct investment. Even though we issued a clear instruction that the respondents should </w:t>
      </w:r>
      <w:bookmarkStart w:id="116" w:name="_Hlk56263825"/>
      <w:r w:rsidRPr="00A81A4F">
        <w:t>choose a foreign market where their organization has internationalized their activities and answer the question from this perspective</w:t>
      </w:r>
      <w:bookmarkEnd w:id="116"/>
      <w:r w:rsidRPr="00A81A4F">
        <w:t>, the respondents might have felt confused about whether the phrase “foreign direct investment” referred to the investment that the firm received from foreign organizations or the investment that the firm itself made in foreign organizations. While this confusion is highly unlikely, we still wish to recognize this limitation.  Researchers in the future should use more engaged methods (e.g., face-to-face on-site interviews) to collect survey data and so avoid the potential for confusion. Furthermore, we adopted a similar approach to previous studies to assess our variables by asking the executives about the perceptions of their SMEs’ practices. However, we cannot eliminate the possible existence of bias when rating such variables. Future research should consider using objective data to assess these variables.</w:t>
      </w:r>
    </w:p>
    <w:p w14:paraId="6B99E9A5" w14:textId="77777777" w:rsidR="002E0FEA" w:rsidRPr="00A81A4F" w:rsidRDefault="002E0FEA" w:rsidP="00DF0C72">
      <w:pPr>
        <w:spacing w:after="0" w:line="480" w:lineRule="auto"/>
        <w:ind w:firstLine="720"/>
        <w:jc w:val="both"/>
      </w:pPr>
      <w:r w:rsidRPr="00A81A4F">
        <w:lastRenderedPageBreak/>
        <w:t xml:space="preserve">Fourth, to distribute our two-wave survey data to a wide range of SME executives from different industrial sectors in multiple economic clusters in China, we decided to seek help from a third-party independent research agency with a </w:t>
      </w:r>
      <w:proofErr w:type="gramStart"/>
      <w:r w:rsidRPr="00A81A4F">
        <w:t>sound track</w:t>
      </w:r>
      <w:proofErr w:type="gramEnd"/>
      <w:r w:rsidRPr="00A81A4F">
        <w:t xml:space="preserve">-record for assisting many Chinese universities and scientific research institutes to collect survey data. Although we specified the terms and conditions regarding how we wanted our questionnaires to be distributed and completed, we could not monitor the entire data collection process in </w:t>
      </w:r>
      <w:proofErr w:type="gramStart"/>
      <w:r w:rsidRPr="00A81A4F">
        <w:t>great detail</w:t>
      </w:r>
      <w:proofErr w:type="gramEnd"/>
      <w:r w:rsidRPr="00A81A4F">
        <w:t>. Researchers in the future should consider engaging in data collection practices “first-hand” to give them better control over the whole data collection process.</w:t>
      </w:r>
    </w:p>
    <w:p w14:paraId="0AA54107" w14:textId="7B27BFB5" w:rsidR="002E0FEA" w:rsidRDefault="002E0FEA" w:rsidP="005259B8">
      <w:pPr>
        <w:spacing w:after="0" w:line="480" w:lineRule="auto"/>
        <w:ind w:firstLine="720"/>
        <w:jc w:val="both"/>
      </w:pPr>
      <w:r w:rsidRPr="00A81A4F">
        <w:t xml:space="preserve">Our findings also reveal other research opportunities. We examined the moderating roles of foreign environmental regulatory and customer pressures on the relationship between proactive environmental strategy and internationalization activities. This raises the question of whether other foreign (institutional) environmental pressures exist, such as investors, employees, and so on, as well as domestic (institutional) environmental pressures </w:t>
      </w:r>
      <w:r w:rsidRPr="00A81A4F">
        <w:rPr>
          <w:noProof/>
        </w:rPr>
        <w:t>(Li</w:t>
      </w:r>
      <w:r w:rsidRPr="00A81A4F">
        <w:rPr>
          <w:i/>
          <w:noProof/>
        </w:rPr>
        <w:t xml:space="preserve"> et al.</w:t>
      </w:r>
      <w:r w:rsidRPr="00A81A4F">
        <w:rPr>
          <w:noProof/>
        </w:rPr>
        <w:t>, 2019)</w:t>
      </w:r>
      <w:r w:rsidRPr="00A81A4F">
        <w:t xml:space="preserve"> that may influence the proactive environmental strategy-internationalization activities. Further researchers may wish to explore these topics. </w:t>
      </w:r>
    </w:p>
    <w:p w14:paraId="3EF28461" w14:textId="77777777" w:rsidR="002E0FEA" w:rsidRPr="00A81A4F" w:rsidRDefault="002E0FEA" w:rsidP="005259B8">
      <w:pPr>
        <w:spacing w:after="0" w:line="480" w:lineRule="auto"/>
        <w:ind w:firstLine="720"/>
        <w:jc w:val="both"/>
      </w:pPr>
    </w:p>
    <w:p w14:paraId="00BC542E" w14:textId="77777777" w:rsidR="002E0FEA" w:rsidRPr="00A81A4F" w:rsidRDefault="002E0FEA" w:rsidP="00EA55BB">
      <w:pPr>
        <w:spacing w:after="0" w:line="480" w:lineRule="auto"/>
        <w:jc w:val="both"/>
        <w:rPr>
          <w:b/>
          <w:bCs/>
        </w:rPr>
      </w:pPr>
      <w:r w:rsidRPr="00A81A4F">
        <w:rPr>
          <w:b/>
          <w:bCs/>
        </w:rPr>
        <w:t>7. Conclusion</w:t>
      </w:r>
    </w:p>
    <w:p w14:paraId="53F629BF" w14:textId="78CD605E" w:rsidR="002E0FEA" w:rsidRDefault="002E0FEA" w:rsidP="00DF0C72">
      <w:pPr>
        <w:spacing w:after="0" w:line="480" w:lineRule="auto"/>
        <w:ind w:firstLine="720"/>
        <w:jc w:val="both"/>
      </w:pPr>
      <w:bookmarkStart w:id="117" w:name="_Hlk65420130"/>
      <w:r w:rsidRPr="00A81A4F">
        <w:t xml:space="preserve">To conclude, this study directs greater attention to the effect of the proactive environmental strategy on Chinese SME internationalization, and particularly the role of the foreign institutional environment in this effect. We find that Chinese SMEs’ engagement in proactive environmental strategy enables them to pursue both inward-focused and outward-focused internationalization activities. Furthermore, we find that foreign environmental regulatory pressure has an inverted U-shaped moderating effect on the relationship between proactive environmental strategy and inward-focused internationalization activities. That is, foreign environmental regulatory pressure improves the effect of proactive environmental </w:t>
      </w:r>
      <w:r w:rsidRPr="00A81A4F">
        <w:lastRenderedPageBreak/>
        <w:t xml:space="preserve">strategy on inward-focused internationalization activities up to an optimal point (at a medium level). As the level of foreign environmental regulatory pressure exceeds this characteristic point, the positive impact of proactive environmental strategy on inward-focused internationalization activities decreases. We also find that foreign environmental customer pressure has an inverted U-shaped moderating effect on the relationship between proactive environmental strategy and outward-focused internationalization activities. In other words, the effect of proactive environmental strategy on outward-focused internationalization activities becomes stronger when the levels of foreign environmental customer pressure shift from low to </w:t>
      </w:r>
      <w:proofErr w:type="gramStart"/>
      <w:r w:rsidRPr="00A81A4F">
        <w:t>medium, but</w:t>
      </w:r>
      <w:proofErr w:type="gramEnd"/>
      <w:r w:rsidRPr="00A81A4F">
        <w:t xml:space="preserve"> weakens when foreign environmental customer pressure shifts from medium to high. This study is an important step toward enhancing our understanding of SME internationalization in the context of China’s emerging economy. In particular, we explain that Chinese SMEs can take advantage of their proactive environmental strategy in pursuing internationalization and their challenges when internationalizing activities to developed countries that favor </w:t>
      </w:r>
      <w:proofErr w:type="gramStart"/>
      <w:r w:rsidRPr="00A81A4F">
        <w:t>environmentally-friendly</w:t>
      </w:r>
      <w:proofErr w:type="gramEnd"/>
      <w:r w:rsidRPr="00A81A4F">
        <w:t xml:space="preserve"> business activities. We hope this will stimulate further conversations among international business researchers who seek to explore SME internationalization </w:t>
      </w:r>
      <w:proofErr w:type="gramStart"/>
      <w:r w:rsidRPr="00A81A4F">
        <w:t>in light of</w:t>
      </w:r>
      <w:proofErr w:type="gramEnd"/>
      <w:r w:rsidRPr="00A81A4F">
        <w:t xml:space="preserve"> the emergence of growing environmental concerns.</w:t>
      </w:r>
    </w:p>
    <w:p w14:paraId="79F6DBE6" w14:textId="4967B55D" w:rsidR="002E0FEA" w:rsidRDefault="002E0FEA" w:rsidP="00DF0C72">
      <w:pPr>
        <w:spacing w:after="0" w:line="480" w:lineRule="auto"/>
        <w:ind w:firstLine="720"/>
        <w:jc w:val="both"/>
      </w:pPr>
    </w:p>
    <w:p w14:paraId="2AA59B09" w14:textId="13DE8D22" w:rsidR="002E0FEA" w:rsidRDefault="002E0FEA" w:rsidP="00DF0C72">
      <w:pPr>
        <w:spacing w:after="0" w:line="480" w:lineRule="auto"/>
        <w:ind w:firstLine="720"/>
        <w:jc w:val="both"/>
      </w:pPr>
    </w:p>
    <w:p w14:paraId="5BD91935" w14:textId="19012AE5" w:rsidR="002E0FEA" w:rsidRDefault="002E0FEA" w:rsidP="00DF0C72">
      <w:pPr>
        <w:spacing w:after="0" w:line="480" w:lineRule="auto"/>
        <w:ind w:firstLine="720"/>
        <w:jc w:val="both"/>
      </w:pPr>
    </w:p>
    <w:p w14:paraId="5CD76024" w14:textId="79E2B9E1" w:rsidR="002E0FEA" w:rsidRDefault="002E0FEA" w:rsidP="00DF0C72">
      <w:pPr>
        <w:spacing w:after="0" w:line="480" w:lineRule="auto"/>
        <w:ind w:firstLine="720"/>
        <w:jc w:val="both"/>
      </w:pPr>
    </w:p>
    <w:p w14:paraId="0A01D6C4" w14:textId="3DFFD22E" w:rsidR="002E0FEA" w:rsidRDefault="002E0FEA" w:rsidP="00DF0C72">
      <w:pPr>
        <w:spacing w:after="0" w:line="480" w:lineRule="auto"/>
        <w:ind w:firstLine="720"/>
        <w:jc w:val="both"/>
      </w:pPr>
    </w:p>
    <w:p w14:paraId="1A2F016F" w14:textId="06ABCB18" w:rsidR="002E0FEA" w:rsidRDefault="002E0FEA" w:rsidP="00DF0C72">
      <w:pPr>
        <w:spacing w:after="0" w:line="480" w:lineRule="auto"/>
        <w:ind w:firstLine="720"/>
        <w:jc w:val="both"/>
      </w:pPr>
    </w:p>
    <w:p w14:paraId="079B18C3" w14:textId="041E3848" w:rsidR="002E0FEA" w:rsidRDefault="002E0FEA" w:rsidP="00DF0C72">
      <w:pPr>
        <w:spacing w:after="0" w:line="480" w:lineRule="auto"/>
        <w:ind w:firstLine="720"/>
        <w:jc w:val="both"/>
      </w:pPr>
    </w:p>
    <w:p w14:paraId="1661D64F" w14:textId="7F31C996" w:rsidR="002E0FEA" w:rsidRDefault="002E0FEA" w:rsidP="00DF0C72">
      <w:pPr>
        <w:spacing w:after="0" w:line="480" w:lineRule="auto"/>
        <w:ind w:firstLine="720"/>
        <w:jc w:val="both"/>
      </w:pPr>
    </w:p>
    <w:p w14:paraId="340F7847" w14:textId="77777777" w:rsidR="002E0FEA" w:rsidRPr="00A81A4F" w:rsidRDefault="002E0FEA" w:rsidP="00DF0C72">
      <w:pPr>
        <w:spacing w:after="0" w:line="480" w:lineRule="auto"/>
        <w:ind w:firstLine="720"/>
        <w:jc w:val="both"/>
      </w:pPr>
    </w:p>
    <w:bookmarkEnd w:id="117"/>
    <w:p w14:paraId="25AC77B4" w14:textId="77777777" w:rsidR="002E0FEA" w:rsidRPr="00A81A4F" w:rsidRDefault="002E0FEA" w:rsidP="00BA6EB5">
      <w:pPr>
        <w:pStyle w:val="EndNoteBibliography"/>
        <w:spacing w:after="240"/>
        <w:ind w:left="720" w:hanging="720"/>
        <w:rPr>
          <w:b/>
          <w:bCs/>
        </w:rPr>
      </w:pPr>
      <w:r w:rsidRPr="00A81A4F">
        <w:rPr>
          <w:b/>
          <w:bCs/>
        </w:rPr>
        <w:lastRenderedPageBreak/>
        <w:t>8. References</w:t>
      </w:r>
    </w:p>
    <w:p w14:paraId="6479083C" w14:textId="77777777" w:rsidR="002E0FEA" w:rsidRPr="00A81A4F" w:rsidRDefault="002E0FEA" w:rsidP="00FD0751">
      <w:pPr>
        <w:pStyle w:val="EndNoteBibliography"/>
        <w:spacing w:after="240"/>
        <w:ind w:left="720" w:hanging="720"/>
      </w:pPr>
      <w:bookmarkStart w:id="118" w:name="_ENREF_1"/>
      <w:r w:rsidRPr="00A81A4F">
        <w:t xml:space="preserve">Aguilera-Caracuel, J., Hurtado-Torres, N. E., Aragón-Correa, J. A., &amp; Rugman, A. M. (2013). Differentiated effects of formal and informal institutional distance between countries on the environmental performance of multinational enterprises. </w:t>
      </w:r>
      <w:r w:rsidRPr="00A81A4F">
        <w:rPr>
          <w:i/>
        </w:rPr>
        <w:t xml:space="preserve">Journal of Business Research, </w:t>
      </w:r>
      <w:r w:rsidRPr="00A81A4F">
        <w:t>66(12): 2657-2665.</w:t>
      </w:r>
      <w:bookmarkEnd w:id="118"/>
    </w:p>
    <w:p w14:paraId="123DC974" w14:textId="77777777" w:rsidR="002E0FEA" w:rsidRPr="00A81A4F" w:rsidRDefault="002E0FEA" w:rsidP="00FD0751">
      <w:pPr>
        <w:pStyle w:val="EndNoteBibliography"/>
        <w:spacing w:after="240"/>
        <w:ind w:left="720" w:hanging="720"/>
      </w:pPr>
      <w:bookmarkStart w:id="119" w:name="_ENREF_2"/>
      <w:r w:rsidRPr="00A81A4F">
        <w:t xml:space="preserve">Aiken, L. S., &amp; West, S. G. (1991). </w:t>
      </w:r>
      <w:r w:rsidRPr="00A81A4F">
        <w:rPr>
          <w:i/>
        </w:rPr>
        <w:t>Multiple regression: Testing and interpreting interactions</w:t>
      </w:r>
      <w:r w:rsidRPr="00A81A4F">
        <w:t>. Newbury Park, CA: Sage Publications, Inc.</w:t>
      </w:r>
      <w:bookmarkEnd w:id="119"/>
    </w:p>
    <w:p w14:paraId="676630F1" w14:textId="77777777" w:rsidR="002E0FEA" w:rsidRPr="00A81A4F" w:rsidRDefault="002E0FEA" w:rsidP="00FD0751">
      <w:pPr>
        <w:pStyle w:val="EndNoteBibliography"/>
        <w:spacing w:after="240"/>
        <w:ind w:left="720" w:hanging="720"/>
      </w:pPr>
      <w:bookmarkStart w:id="120" w:name="_ENREF_3"/>
      <w:r w:rsidRPr="00A81A4F">
        <w:t xml:space="preserve">Ambec, S., &amp; Paul, L. (2008). Does it pay to be green? A systematic overview. </w:t>
      </w:r>
      <w:r w:rsidRPr="00A81A4F">
        <w:rPr>
          <w:i/>
        </w:rPr>
        <w:t xml:space="preserve">Academy of Management Perspectives, </w:t>
      </w:r>
      <w:r w:rsidRPr="00A81A4F">
        <w:t>22(4): 45-62.</w:t>
      </w:r>
      <w:bookmarkEnd w:id="120"/>
    </w:p>
    <w:p w14:paraId="56708A88" w14:textId="77777777" w:rsidR="002E0FEA" w:rsidRPr="00A81A4F" w:rsidRDefault="002E0FEA" w:rsidP="00FD0751">
      <w:pPr>
        <w:pStyle w:val="EndNoteBibliography"/>
        <w:spacing w:after="240"/>
        <w:ind w:left="720" w:hanging="720"/>
      </w:pPr>
      <w:bookmarkStart w:id="121" w:name="_ENREF_4"/>
      <w:r w:rsidRPr="00A81A4F">
        <w:t xml:space="preserve">Aragon-Correa, J. A., Marcus, A. A., &amp; Vogel, D. (2020). The effects of mandatory and voluntary regulatory pressures on firms’ environmental strategies: A review and recommendations for future research. </w:t>
      </w:r>
      <w:r w:rsidRPr="00A81A4F">
        <w:rPr>
          <w:i/>
        </w:rPr>
        <w:t xml:space="preserve">Academy of Management Annals, </w:t>
      </w:r>
      <w:r w:rsidRPr="00A81A4F">
        <w:t>14(1): 339-365.</w:t>
      </w:r>
      <w:bookmarkEnd w:id="121"/>
    </w:p>
    <w:p w14:paraId="367F5C59" w14:textId="77777777" w:rsidR="002E0FEA" w:rsidRPr="00A81A4F" w:rsidRDefault="002E0FEA" w:rsidP="00FD0751">
      <w:pPr>
        <w:pStyle w:val="EndNoteBibliography"/>
        <w:spacing w:after="240"/>
        <w:ind w:left="720" w:hanging="720"/>
      </w:pPr>
      <w:bookmarkStart w:id="122" w:name="_ENREF_5"/>
      <w:r w:rsidRPr="00A81A4F">
        <w:t xml:space="preserve">Aragón-Correa, J. A., &amp; Sharma, S. (2003). A contingent resource-based view of proactive corporate environmental strategy. </w:t>
      </w:r>
      <w:r w:rsidRPr="00A81A4F">
        <w:rPr>
          <w:i/>
        </w:rPr>
        <w:t xml:space="preserve">Academy of Management Review, </w:t>
      </w:r>
      <w:r w:rsidRPr="00A81A4F">
        <w:t>28(1): 71-88.</w:t>
      </w:r>
      <w:bookmarkEnd w:id="122"/>
    </w:p>
    <w:p w14:paraId="4F068D1C" w14:textId="77777777" w:rsidR="002E0FEA" w:rsidRPr="00A81A4F" w:rsidRDefault="002E0FEA" w:rsidP="00FD0751">
      <w:pPr>
        <w:pStyle w:val="EndNoteBibliography"/>
        <w:spacing w:after="240"/>
        <w:ind w:left="720" w:hanging="720"/>
      </w:pPr>
      <w:bookmarkStart w:id="123" w:name="_ENREF_6"/>
      <w:r w:rsidRPr="00A81A4F">
        <w:t xml:space="preserve">Armstrong, J. S., &amp; Overton, T. S. (1977). Estimating nonresponse bias in mail surveys. </w:t>
      </w:r>
      <w:r w:rsidRPr="00A81A4F">
        <w:rPr>
          <w:i/>
        </w:rPr>
        <w:t xml:space="preserve">Journal of Marketing Research, </w:t>
      </w:r>
      <w:r w:rsidRPr="00A81A4F">
        <w:t>14(3): 396-402.</w:t>
      </w:r>
      <w:bookmarkEnd w:id="123"/>
    </w:p>
    <w:p w14:paraId="49604FA7" w14:textId="77777777" w:rsidR="002E0FEA" w:rsidRPr="00A81A4F" w:rsidRDefault="002E0FEA" w:rsidP="00FD0751">
      <w:pPr>
        <w:pStyle w:val="EndNoteBibliography"/>
        <w:spacing w:after="240"/>
        <w:ind w:left="720" w:hanging="720"/>
      </w:pPr>
      <w:bookmarkStart w:id="124" w:name="_ENREF_7"/>
      <w:r w:rsidRPr="00A81A4F">
        <w:t xml:space="preserve">Arora, P., &amp; De, P. (2020). Environmental sustainability practices and exports: The interplay of strategy and institutions in Latin America. </w:t>
      </w:r>
      <w:r w:rsidRPr="00A81A4F">
        <w:rPr>
          <w:i/>
        </w:rPr>
        <w:t xml:space="preserve">Journal of World Business, </w:t>
      </w:r>
      <w:r w:rsidRPr="00A81A4F">
        <w:t>55(4): 1-13.</w:t>
      </w:r>
      <w:bookmarkEnd w:id="124"/>
    </w:p>
    <w:p w14:paraId="0EDC8367" w14:textId="77777777" w:rsidR="002E0FEA" w:rsidRPr="00A81A4F" w:rsidRDefault="002E0FEA" w:rsidP="00FD0751">
      <w:pPr>
        <w:pStyle w:val="EndNoteBibliography"/>
        <w:spacing w:after="240"/>
        <w:ind w:left="720" w:hanging="720"/>
      </w:pPr>
      <w:bookmarkStart w:id="125" w:name="_ENREF_8"/>
      <w:r w:rsidRPr="00A81A4F">
        <w:t xml:space="preserve">Asghari, M. (2013). Does FDI promote MENA region’s environment quality? Pollution halo or pollution haven hypothesis. </w:t>
      </w:r>
      <w:r w:rsidRPr="00A81A4F">
        <w:rPr>
          <w:i/>
        </w:rPr>
        <w:t xml:space="preserve">International Journal of Scientific Research in Environmental Sciences, </w:t>
      </w:r>
      <w:r w:rsidRPr="00A81A4F">
        <w:t>1(6): 92-100.</w:t>
      </w:r>
      <w:bookmarkEnd w:id="125"/>
    </w:p>
    <w:p w14:paraId="3CA9AFB4" w14:textId="77777777" w:rsidR="002E0FEA" w:rsidRPr="00A81A4F" w:rsidRDefault="002E0FEA" w:rsidP="00FD0751">
      <w:pPr>
        <w:pStyle w:val="EndNoteBibliography"/>
        <w:spacing w:after="240"/>
        <w:ind w:left="720" w:hanging="720"/>
      </w:pPr>
      <w:bookmarkStart w:id="126" w:name="_ENREF_9"/>
      <w:r w:rsidRPr="00A81A4F">
        <w:t xml:space="preserve">Babin, R., &amp; Nicholson, B. (2011). How green is my outsourcer? Measuring sustainability in global IT outsourcing. </w:t>
      </w:r>
      <w:r w:rsidRPr="00A81A4F">
        <w:rPr>
          <w:i/>
        </w:rPr>
        <w:t xml:space="preserve">Strategic Outsourcing: An International Journal, </w:t>
      </w:r>
      <w:r w:rsidRPr="00A81A4F">
        <w:t>4: 47-66.</w:t>
      </w:r>
      <w:bookmarkEnd w:id="126"/>
    </w:p>
    <w:p w14:paraId="54C66973" w14:textId="77777777" w:rsidR="002E0FEA" w:rsidRPr="00A81A4F" w:rsidRDefault="002E0FEA" w:rsidP="00FD0751">
      <w:pPr>
        <w:pStyle w:val="EndNoteBibliography"/>
        <w:spacing w:after="240"/>
        <w:ind w:left="720" w:hanging="720"/>
      </w:pPr>
      <w:bookmarkStart w:id="127" w:name="_ENREF_10"/>
      <w:r w:rsidRPr="00A81A4F">
        <w:t xml:space="preserve">Bagheri, M., Mitchelmore, S., Bamiatzi, V., &amp; Nikolopoulos, K. (2019). Internationalization orientation in SMEs: The mediating role of technological innovation. </w:t>
      </w:r>
      <w:r w:rsidRPr="00A81A4F">
        <w:rPr>
          <w:i/>
        </w:rPr>
        <w:t xml:space="preserve">Journal of International Management, </w:t>
      </w:r>
      <w:r w:rsidRPr="00A81A4F">
        <w:t>25(1): 121-139.</w:t>
      </w:r>
      <w:bookmarkEnd w:id="127"/>
    </w:p>
    <w:p w14:paraId="5AC8518B" w14:textId="77777777" w:rsidR="002E0FEA" w:rsidRPr="00A81A4F" w:rsidRDefault="002E0FEA" w:rsidP="00FD0751">
      <w:pPr>
        <w:pStyle w:val="EndNoteBibliography"/>
        <w:spacing w:after="240"/>
        <w:ind w:left="720" w:hanging="720"/>
      </w:pPr>
      <w:bookmarkStart w:id="128" w:name="_ENREF_11"/>
      <w:r w:rsidRPr="00A81A4F">
        <w:lastRenderedPageBreak/>
        <w:t xml:space="preserve">Banerjee, S. B., Iyer, E. S., &amp; Kashyap, R. K. (2003). Corporate environmentalism: Antecedents and influence of industry type. </w:t>
      </w:r>
      <w:r w:rsidRPr="00A81A4F">
        <w:rPr>
          <w:i/>
        </w:rPr>
        <w:t xml:space="preserve">Journal of Marketing, </w:t>
      </w:r>
      <w:r w:rsidRPr="00A81A4F">
        <w:t>67(2): 106-122.</w:t>
      </w:r>
      <w:bookmarkEnd w:id="128"/>
    </w:p>
    <w:p w14:paraId="51ED297F" w14:textId="77777777" w:rsidR="002E0FEA" w:rsidRPr="00A81A4F" w:rsidRDefault="002E0FEA" w:rsidP="00FD0751">
      <w:pPr>
        <w:pStyle w:val="EndNoteBibliography"/>
        <w:spacing w:after="240"/>
        <w:ind w:left="720" w:hanging="720"/>
      </w:pPr>
      <w:bookmarkStart w:id="129" w:name="_ENREF_12"/>
      <w:r w:rsidRPr="00A81A4F">
        <w:t xml:space="preserve">Barney, J. B., Ketchen, D. J., &amp; Wright, M. (2011). The future of resource-based theory revitalization or decline? </w:t>
      </w:r>
      <w:r w:rsidRPr="00A81A4F">
        <w:rPr>
          <w:i/>
        </w:rPr>
        <w:t xml:space="preserve">Journal of Management, </w:t>
      </w:r>
      <w:r w:rsidRPr="00A81A4F">
        <w:t>37(5): 1299-1315.</w:t>
      </w:r>
      <w:bookmarkEnd w:id="129"/>
    </w:p>
    <w:p w14:paraId="125DCB79" w14:textId="77777777" w:rsidR="002E0FEA" w:rsidRPr="00A81A4F" w:rsidRDefault="002E0FEA" w:rsidP="00FD0751">
      <w:pPr>
        <w:pStyle w:val="EndNoteBibliography"/>
        <w:spacing w:after="240"/>
        <w:ind w:left="720" w:hanging="720"/>
      </w:pPr>
      <w:bookmarkStart w:id="130" w:name="_ENREF_13"/>
      <w:r w:rsidRPr="00A81A4F">
        <w:t xml:space="preserve">Baruch, Y., &amp; Holtom, B. C. (2008). Survey response rate levels and trends in organizational research. </w:t>
      </w:r>
      <w:r w:rsidRPr="00A81A4F">
        <w:rPr>
          <w:i/>
        </w:rPr>
        <w:t xml:space="preserve">Human Relations, </w:t>
      </w:r>
      <w:r w:rsidRPr="00A81A4F">
        <w:t>61(8): 1139-1160.</w:t>
      </w:r>
      <w:bookmarkEnd w:id="130"/>
    </w:p>
    <w:p w14:paraId="3353AEBC" w14:textId="77777777" w:rsidR="002E0FEA" w:rsidRPr="00A81A4F" w:rsidRDefault="002E0FEA" w:rsidP="00FD0751">
      <w:pPr>
        <w:pStyle w:val="EndNoteBibliography"/>
        <w:spacing w:after="240"/>
        <w:ind w:left="720" w:hanging="720"/>
      </w:pPr>
      <w:bookmarkStart w:id="131" w:name="_ENREF_14"/>
      <w:r w:rsidRPr="00A81A4F">
        <w:t>Bıçakcıo</w:t>
      </w:r>
      <w:r w:rsidRPr="00A81A4F">
        <w:rPr>
          <w:rFonts w:ascii="Arial" w:hAnsi="Arial" w:cs="Arial"/>
        </w:rPr>
        <w:t>ğ</w:t>
      </w:r>
      <w:r w:rsidRPr="00A81A4F">
        <w:t xml:space="preserve">lu, N., Theoharakis, V., &amp; Tanyeri, M. (2019). Green business strategy and export performance. </w:t>
      </w:r>
      <w:r w:rsidRPr="00A81A4F">
        <w:rPr>
          <w:i/>
        </w:rPr>
        <w:t xml:space="preserve">International Marketing Review, </w:t>
      </w:r>
      <w:r w:rsidRPr="00A81A4F">
        <w:t>37(1): 56-75.</w:t>
      </w:r>
      <w:bookmarkEnd w:id="131"/>
    </w:p>
    <w:p w14:paraId="2C632A9B" w14:textId="77777777" w:rsidR="002E0FEA" w:rsidRPr="00A81A4F" w:rsidRDefault="002E0FEA" w:rsidP="00FD0751">
      <w:pPr>
        <w:pStyle w:val="EndNoteBibliography"/>
        <w:spacing w:after="240"/>
        <w:ind w:left="720" w:hanging="720"/>
      </w:pPr>
      <w:bookmarkStart w:id="132" w:name="_ENREF_15"/>
      <w:r w:rsidRPr="00A81A4F">
        <w:t xml:space="preserve">CfK Custom Research. (2015). GfK Study Shows Chinese Consumers Among the Most Environmentally Conscious in the World. Retrieved: </w:t>
      </w:r>
      <w:r w:rsidRPr="002E0FEA">
        <w:t>https://en.prnasia.com/releases/global/GfK_Study_Shows_Chinese_Consumers_Among_the_Most_Environmentally_Conscious_in_the_World-120211.shtml</w:t>
      </w:r>
      <w:r w:rsidRPr="00A81A4F">
        <w:t>, Accessed: Feb 2021</w:t>
      </w:r>
      <w:bookmarkEnd w:id="132"/>
    </w:p>
    <w:p w14:paraId="73663AA5" w14:textId="77777777" w:rsidR="002E0FEA" w:rsidRPr="00A81A4F" w:rsidRDefault="002E0FEA" w:rsidP="00FD0751">
      <w:pPr>
        <w:pStyle w:val="EndNoteBibliography"/>
        <w:spacing w:after="240"/>
        <w:ind w:left="720" w:hanging="720"/>
      </w:pPr>
      <w:bookmarkStart w:id="133" w:name="_ENREF_16"/>
      <w:r w:rsidRPr="00A81A4F">
        <w:t>Chan, R. Y. K. (2005). Does</w:t>
      </w:r>
      <w:r w:rsidRPr="00A81A4F">
        <w:rPr>
          <w:rFonts w:hint="eastAsia"/>
        </w:rPr>
        <w:t xml:space="preserve"> the natural</w:t>
      </w:r>
      <w:r w:rsidRPr="00A81A4F">
        <w:rPr>
          <w:rFonts w:hint="eastAsia"/>
        </w:rPr>
        <w:t>‐</w:t>
      </w:r>
      <w:r w:rsidRPr="00A81A4F">
        <w:rPr>
          <w:rFonts w:hint="eastAsia"/>
        </w:rPr>
        <w:t>resource</w:t>
      </w:r>
      <w:r w:rsidRPr="00A81A4F">
        <w:rPr>
          <w:rFonts w:hint="eastAsia"/>
        </w:rPr>
        <w:t>‐</w:t>
      </w:r>
      <w:r w:rsidRPr="00A81A4F">
        <w:rPr>
          <w:rFonts w:hint="eastAsia"/>
        </w:rPr>
        <w:t xml:space="preserve">based view of the firm apply in an emerging economy? A survey of foreign invested enterprises in China. </w:t>
      </w:r>
      <w:r w:rsidRPr="00A81A4F">
        <w:rPr>
          <w:rFonts w:hint="eastAsia"/>
          <w:i/>
        </w:rPr>
        <w:t xml:space="preserve">Journal of Management Studies, </w:t>
      </w:r>
      <w:r w:rsidRPr="00A81A4F">
        <w:rPr>
          <w:rFonts w:hint="eastAsia"/>
        </w:rPr>
        <w:t>42(3): 625-672.</w:t>
      </w:r>
      <w:bookmarkEnd w:id="133"/>
    </w:p>
    <w:p w14:paraId="33E4D0F1" w14:textId="77777777" w:rsidR="002E0FEA" w:rsidRPr="00A81A4F" w:rsidRDefault="002E0FEA" w:rsidP="00FD0751">
      <w:pPr>
        <w:pStyle w:val="EndNoteBibliography"/>
        <w:spacing w:after="240"/>
        <w:ind w:left="720" w:hanging="720"/>
      </w:pPr>
      <w:bookmarkStart w:id="134" w:name="_ENREF_17"/>
      <w:r w:rsidRPr="00A81A4F">
        <w:t xml:space="preserve">Chan, R. Y. K., &amp; Ma, K. H. Y. (2016). Environmental orientation of exporting SMEs from an emerging economy: Its antecedents and consequences. </w:t>
      </w:r>
      <w:r w:rsidRPr="00A81A4F">
        <w:rPr>
          <w:i/>
        </w:rPr>
        <w:t xml:space="preserve">Management International Review, </w:t>
      </w:r>
      <w:r w:rsidRPr="00A81A4F">
        <w:t>56(5): 597-632.</w:t>
      </w:r>
      <w:bookmarkEnd w:id="134"/>
    </w:p>
    <w:p w14:paraId="6C3070E9" w14:textId="77777777" w:rsidR="002E0FEA" w:rsidRPr="00A81A4F" w:rsidRDefault="002E0FEA" w:rsidP="00FD0751">
      <w:pPr>
        <w:pStyle w:val="EndNoteBibliography"/>
        <w:spacing w:after="240"/>
        <w:ind w:left="720" w:hanging="720"/>
      </w:pPr>
      <w:bookmarkStart w:id="135" w:name="_ENREF_18"/>
      <w:r w:rsidRPr="00A81A4F">
        <w:t xml:space="preserve">Chen, P.-H., Ong, C.-F., &amp; Hsu, S.-C. (2016). The linkages between internationalization and environmental strategies of multinational construction firms. </w:t>
      </w:r>
      <w:r w:rsidRPr="00A81A4F">
        <w:rPr>
          <w:i/>
        </w:rPr>
        <w:t xml:space="preserve">Journal of Cleaner Production, </w:t>
      </w:r>
      <w:r w:rsidRPr="00A81A4F">
        <w:t>116(1): 207-216.</w:t>
      </w:r>
      <w:bookmarkEnd w:id="135"/>
    </w:p>
    <w:p w14:paraId="19687FCD" w14:textId="77777777" w:rsidR="002E0FEA" w:rsidRPr="00A81A4F" w:rsidRDefault="002E0FEA" w:rsidP="00FD0751">
      <w:pPr>
        <w:pStyle w:val="EndNoteBibliography"/>
        <w:spacing w:after="240"/>
        <w:ind w:left="720" w:hanging="720"/>
      </w:pPr>
      <w:bookmarkStart w:id="136" w:name="_ENREF_19"/>
      <w:r w:rsidRPr="00A81A4F">
        <w:t xml:space="preserve">Cheng, H.-L., &amp; Yu, C.-M. J. (2008). Institutional pressures and initiation of internationalization: Evidence from Taiwanese small-and medium-sized enterprises. </w:t>
      </w:r>
      <w:r w:rsidRPr="00A81A4F">
        <w:rPr>
          <w:i/>
        </w:rPr>
        <w:t xml:space="preserve">International Business Review, </w:t>
      </w:r>
      <w:r w:rsidRPr="00A81A4F">
        <w:t>17(3): 331-348.</w:t>
      </w:r>
      <w:bookmarkEnd w:id="136"/>
    </w:p>
    <w:p w14:paraId="58FB9757" w14:textId="77777777" w:rsidR="002E0FEA" w:rsidRPr="00A81A4F" w:rsidRDefault="002E0FEA" w:rsidP="00FD0751">
      <w:pPr>
        <w:pStyle w:val="EndNoteBibliography"/>
        <w:spacing w:after="240"/>
        <w:ind w:left="720" w:hanging="720"/>
      </w:pPr>
      <w:bookmarkStart w:id="137" w:name="_ENREF_20"/>
      <w:r w:rsidRPr="00A81A4F">
        <w:t xml:space="preserve">China Daily News. (2014). Consumers are more willing to pay for companies with a sense of environmental protection and social responsibility. Retrieved: </w:t>
      </w:r>
      <w:r w:rsidRPr="002E0FEA">
        <w:lastRenderedPageBreak/>
        <w:t>http://zqb.cyol.com/html/2014-06/23/nw.D110000zgqnb_20140623_3-10.htm</w:t>
      </w:r>
      <w:r w:rsidRPr="00A81A4F">
        <w:t>, Accessed: Feb 2021</w:t>
      </w:r>
      <w:bookmarkEnd w:id="137"/>
    </w:p>
    <w:p w14:paraId="46E9C377" w14:textId="77777777" w:rsidR="002E0FEA" w:rsidRPr="00A81A4F" w:rsidRDefault="002E0FEA" w:rsidP="00FD0751">
      <w:pPr>
        <w:pStyle w:val="EndNoteBibliography"/>
        <w:spacing w:after="240"/>
        <w:ind w:left="720" w:hanging="720"/>
      </w:pPr>
      <w:bookmarkStart w:id="138" w:name="_ENREF_21"/>
      <w:r w:rsidRPr="00A81A4F">
        <w:t xml:space="preserve">Chiou, C. Y., Hsu, C.-W., &amp; Hwang, W. Y. (2008). </w:t>
      </w:r>
      <w:r w:rsidRPr="00A81A4F">
        <w:rPr>
          <w:i/>
        </w:rPr>
        <w:t>Comparative investigation on green supplier selection of the American, Japanese and Taiwanese electronics industry in China.</w:t>
      </w:r>
      <w:r w:rsidRPr="00A81A4F">
        <w:t xml:space="preserve"> Paper presented at the 2008 IEEE International Conference on Industrial Engineering and Engineering Management, Singapore.</w:t>
      </w:r>
      <w:bookmarkEnd w:id="138"/>
    </w:p>
    <w:p w14:paraId="10FC846D" w14:textId="77777777" w:rsidR="002E0FEA" w:rsidRPr="00A81A4F" w:rsidRDefault="002E0FEA" w:rsidP="00FD0751">
      <w:pPr>
        <w:pStyle w:val="EndNoteBibliography"/>
        <w:spacing w:after="240"/>
        <w:ind w:left="720" w:hanging="720"/>
      </w:pPr>
      <w:bookmarkStart w:id="139" w:name="_ENREF_22"/>
      <w:r w:rsidRPr="00A81A4F">
        <w:t xml:space="preserve">Christmann, P. (2004). Multinational companies and the natural environment: Determinants of global environmental policy. </w:t>
      </w:r>
      <w:r w:rsidRPr="00A81A4F">
        <w:rPr>
          <w:i/>
        </w:rPr>
        <w:t xml:space="preserve">Academy of Management Journal, </w:t>
      </w:r>
      <w:r w:rsidRPr="00A81A4F">
        <w:t>47(5): 747-760.</w:t>
      </w:r>
      <w:bookmarkEnd w:id="139"/>
    </w:p>
    <w:p w14:paraId="4270F50E" w14:textId="77777777" w:rsidR="002E0FEA" w:rsidRPr="00A81A4F" w:rsidRDefault="002E0FEA" w:rsidP="00FD0751">
      <w:pPr>
        <w:pStyle w:val="EndNoteBibliography"/>
        <w:spacing w:after="240"/>
        <w:ind w:left="720" w:hanging="720"/>
      </w:pPr>
      <w:bookmarkStart w:id="140" w:name="_ENREF_23"/>
      <w:r w:rsidRPr="00A81A4F">
        <w:t xml:space="preserve">Christmann, P., &amp; Taylor, G. (2001). Globalization and the environment: Determinants of firm self-regulation in China. </w:t>
      </w:r>
      <w:r w:rsidRPr="00A81A4F">
        <w:rPr>
          <w:i/>
        </w:rPr>
        <w:t xml:space="preserve">Journal of International Business Studies, </w:t>
      </w:r>
      <w:r w:rsidRPr="00A81A4F">
        <w:t>32(3): 439-458.</w:t>
      </w:r>
      <w:bookmarkEnd w:id="140"/>
    </w:p>
    <w:p w14:paraId="0276016B" w14:textId="77777777" w:rsidR="002E0FEA" w:rsidRPr="00A81A4F" w:rsidRDefault="002E0FEA" w:rsidP="00FD0751">
      <w:pPr>
        <w:pStyle w:val="EndNoteBibliography"/>
        <w:spacing w:after="240"/>
        <w:ind w:left="720" w:hanging="720"/>
      </w:pPr>
      <w:bookmarkStart w:id="141" w:name="_ENREF_24"/>
      <w:r w:rsidRPr="00A81A4F">
        <w:t xml:space="preserve">Christmann, P., &amp; Taylor, G. (2002). Globalization and the environment: Strategies for international voluntary environmental initiatives. </w:t>
      </w:r>
      <w:r w:rsidRPr="00A81A4F">
        <w:rPr>
          <w:i/>
        </w:rPr>
        <w:t xml:space="preserve">Academy of Management Perspectives, </w:t>
      </w:r>
      <w:r w:rsidRPr="00A81A4F">
        <w:t>16(3): 121-135.</w:t>
      </w:r>
      <w:bookmarkEnd w:id="141"/>
    </w:p>
    <w:p w14:paraId="0421057F" w14:textId="77777777" w:rsidR="002E0FEA" w:rsidRPr="00A81A4F" w:rsidRDefault="002E0FEA" w:rsidP="00FD0751">
      <w:pPr>
        <w:pStyle w:val="EndNoteBibliography"/>
        <w:spacing w:after="240"/>
        <w:ind w:left="720" w:hanging="720"/>
      </w:pPr>
      <w:bookmarkStart w:id="142" w:name="_ENREF_25"/>
      <w:r w:rsidRPr="00A81A4F">
        <w:t>Cohen, J., Cohen, P., West, S. G., &amp; Aiken, L. S. (2003). Applied multiple regression/correlation analysis for the behavioral sciences. New York: Routledge.</w:t>
      </w:r>
      <w:bookmarkEnd w:id="142"/>
    </w:p>
    <w:p w14:paraId="01DC7F48" w14:textId="77777777" w:rsidR="002E0FEA" w:rsidRPr="00A81A4F" w:rsidRDefault="002E0FEA" w:rsidP="00FD0751">
      <w:pPr>
        <w:pStyle w:val="EndNoteBibliography"/>
        <w:spacing w:after="240"/>
        <w:ind w:left="720" w:hanging="720"/>
      </w:pPr>
      <w:bookmarkStart w:id="143" w:name="_ENREF_26"/>
      <w:r w:rsidRPr="00A81A4F">
        <w:t xml:space="preserve">Cuervo-Cazurra, A., &amp; Ramamurti, R. (2014). </w:t>
      </w:r>
      <w:r w:rsidRPr="00A81A4F">
        <w:rPr>
          <w:i/>
        </w:rPr>
        <w:t>Understanding multinationals from emerging markets</w:t>
      </w:r>
      <w:r w:rsidRPr="00A81A4F">
        <w:t>. Cambridge: Cambridge University Press.</w:t>
      </w:r>
      <w:bookmarkEnd w:id="143"/>
    </w:p>
    <w:p w14:paraId="030BA2BA" w14:textId="77777777" w:rsidR="002E0FEA" w:rsidRPr="00A81A4F" w:rsidRDefault="002E0FEA" w:rsidP="00FD0751">
      <w:pPr>
        <w:pStyle w:val="EndNoteBibliography"/>
        <w:spacing w:after="240"/>
        <w:ind w:left="720" w:hanging="720"/>
      </w:pPr>
      <w:bookmarkStart w:id="144" w:name="_ENREF_27"/>
      <w:r w:rsidRPr="00A81A4F">
        <w:t xml:space="preserve">De Clercq, D., Dimov, D., &amp; Thongpapanl, N. T. (2013). Organizational social capital, formalization, and internal knowledge sharing in entrepreneurial orientation formation. </w:t>
      </w:r>
      <w:r w:rsidRPr="00A81A4F">
        <w:rPr>
          <w:i/>
        </w:rPr>
        <w:t xml:space="preserve">Entrepreneurship Theory and Practice, </w:t>
      </w:r>
      <w:r w:rsidRPr="00A81A4F">
        <w:t>37(3): 505-537.</w:t>
      </w:r>
      <w:bookmarkEnd w:id="144"/>
    </w:p>
    <w:p w14:paraId="706E58EB" w14:textId="77777777" w:rsidR="002E0FEA" w:rsidRPr="00A81A4F" w:rsidRDefault="002E0FEA" w:rsidP="00FD0751">
      <w:pPr>
        <w:pStyle w:val="EndNoteBibliography"/>
        <w:spacing w:after="240"/>
        <w:ind w:left="720" w:hanging="720"/>
      </w:pPr>
      <w:bookmarkStart w:id="145" w:name="_ENREF_28"/>
      <w:r w:rsidRPr="00A81A4F">
        <w:t xml:space="preserve">de Jesus Pacheco, D. A., ten Caten, C. S., Jung, C. F., Navas, H. V. G., &amp; Cruz-Machado, V. A. (2018). Eco-innovation determinants in manufacturing SMEs from emerging markets: Systematic literature review and challenges. </w:t>
      </w:r>
      <w:r w:rsidRPr="00A81A4F">
        <w:rPr>
          <w:i/>
        </w:rPr>
        <w:t xml:space="preserve">Journal of Engineering and Technology Management, </w:t>
      </w:r>
      <w:r w:rsidRPr="00A81A4F">
        <w:t>48: 44-63.</w:t>
      </w:r>
      <w:bookmarkEnd w:id="145"/>
    </w:p>
    <w:p w14:paraId="545624C5" w14:textId="77777777" w:rsidR="002E0FEA" w:rsidRPr="00A81A4F" w:rsidRDefault="002E0FEA" w:rsidP="00FD0751">
      <w:pPr>
        <w:pStyle w:val="EndNoteBibliography"/>
        <w:spacing w:after="240"/>
        <w:ind w:left="720" w:hanging="720"/>
      </w:pPr>
      <w:bookmarkStart w:id="146" w:name="_ENREF_29"/>
      <w:r w:rsidRPr="00A81A4F">
        <w:t xml:space="preserve">de Oliveira, R. T., Nguyen, T., Liesch, P., Verreynne, M.-L., &amp; Indulska, M. (2021). Exporting to escape and learn: Vietnamese manufacturers in global value chains. </w:t>
      </w:r>
      <w:r w:rsidRPr="00A81A4F">
        <w:rPr>
          <w:i/>
        </w:rPr>
        <w:t xml:space="preserve">Journal of World Business, </w:t>
      </w:r>
      <w:r w:rsidRPr="00A81A4F">
        <w:t>56(4): 1-16.</w:t>
      </w:r>
      <w:bookmarkEnd w:id="146"/>
    </w:p>
    <w:p w14:paraId="07CD74C2" w14:textId="77777777" w:rsidR="002E0FEA" w:rsidRPr="00A81A4F" w:rsidRDefault="002E0FEA" w:rsidP="00FD0751">
      <w:pPr>
        <w:pStyle w:val="EndNoteBibliography"/>
        <w:spacing w:after="240"/>
        <w:ind w:left="720" w:hanging="720"/>
      </w:pPr>
      <w:bookmarkStart w:id="147" w:name="_ENREF_30"/>
      <w:r w:rsidRPr="00A81A4F">
        <w:lastRenderedPageBreak/>
        <w:t xml:space="preserve">del Brío, J. Á., &amp; Junquera, B. (2003). A review of the literature on environmental innovation management in SMEs: Implications for public policies. </w:t>
      </w:r>
      <w:r w:rsidRPr="00A81A4F">
        <w:rPr>
          <w:i/>
        </w:rPr>
        <w:t xml:space="preserve">Technovation, </w:t>
      </w:r>
      <w:r w:rsidRPr="00A81A4F">
        <w:t>23(12): 939-948.</w:t>
      </w:r>
      <w:bookmarkEnd w:id="147"/>
    </w:p>
    <w:p w14:paraId="7004EC1F" w14:textId="77777777" w:rsidR="002E0FEA" w:rsidRPr="00A81A4F" w:rsidRDefault="002E0FEA" w:rsidP="00FD0751">
      <w:pPr>
        <w:pStyle w:val="EndNoteBibliography"/>
        <w:spacing w:after="240"/>
        <w:ind w:left="720" w:hanging="720"/>
      </w:pPr>
      <w:bookmarkStart w:id="148" w:name="_ENREF_31"/>
      <w:r w:rsidRPr="00A81A4F">
        <w:t xml:space="preserve">Delmas, M. A., &amp; Toffel, M. W. (2008). Organizational responses to environmental demands: Opening the black box. </w:t>
      </w:r>
      <w:r w:rsidRPr="00A81A4F">
        <w:rPr>
          <w:i/>
        </w:rPr>
        <w:t xml:space="preserve">Strategic Management Journal, </w:t>
      </w:r>
      <w:r w:rsidRPr="00A81A4F">
        <w:t>29(10): 1027-1055.</w:t>
      </w:r>
      <w:bookmarkEnd w:id="148"/>
    </w:p>
    <w:p w14:paraId="07E36391" w14:textId="77777777" w:rsidR="002E0FEA" w:rsidRPr="00A81A4F" w:rsidRDefault="002E0FEA" w:rsidP="00FD0751">
      <w:pPr>
        <w:pStyle w:val="EndNoteBibliography"/>
        <w:spacing w:after="240"/>
        <w:ind w:left="720" w:hanging="720"/>
      </w:pPr>
      <w:bookmarkStart w:id="149" w:name="_ENREF_32"/>
      <w:r w:rsidRPr="00A81A4F">
        <w:t xml:space="preserve">Deng, P., &amp; Zhang, S. (2018). Institutional quality and internationalization of emerging market firms: Focusing on Chinese SMEs. </w:t>
      </w:r>
      <w:r w:rsidRPr="00A81A4F">
        <w:rPr>
          <w:i/>
        </w:rPr>
        <w:t xml:space="preserve">Journal of Business Research, </w:t>
      </w:r>
      <w:r w:rsidRPr="00A81A4F">
        <w:t>92: 279-289.</w:t>
      </w:r>
      <w:bookmarkEnd w:id="149"/>
    </w:p>
    <w:p w14:paraId="396F605B" w14:textId="77777777" w:rsidR="002E0FEA" w:rsidRPr="00A81A4F" w:rsidRDefault="002E0FEA" w:rsidP="00FD0751">
      <w:pPr>
        <w:pStyle w:val="EndNoteBibliography"/>
        <w:spacing w:after="240"/>
        <w:ind w:left="720" w:hanging="720"/>
      </w:pPr>
      <w:bookmarkStart w:id="150" w:name="_ENREF_33"/>
      <w:r w:rsidRPr="00A81A4F">
        <w:t xml:space="preserve">DeVellis, R. F. (2012). </w:t>
      </w:r>
      <w:r w:rsidRPr="00A81A4F">
        <w:rPr>
          <w:i/>
        </w:rPr>
        <w:t>Scale development: Theory and applications</w:t>
      </w:r>
      <w:r w:rsidRPr="00A81A4F">
        <w:t>. London: Sage publications.</w:t>
      </w:r>
      <w:bookmarkEnd w:id="150"/>
    </w:p>
    <w:p w14:paraId="00D0631F" w14:textId="77777777" w:rsidR="002E0FEA" w:rsidRPr="00A81A4F" w:rsidRDefault="002E0FEA" w:rsidP="00FD0751">
      <w:pPr>
        <w:pStyle w:val="EndNoteBibliography"/>
        <w:spacing w:after="240"/>
        <w:ind w:left="720" w:hanging="720"/>
      </w:pPr>
      <w:bookmarkStart w:id="151" w:name="_ENREF_34"/>
      <w:r w:rsidRPr="00A81A4F">
        <w:t xml:space="preserve">Dowell, G., Hart, S., &amp; Yeung, B. (2000). Do corporate global environmental standards create or destroy market value? </w:t>
      </w:r>
      <w:r w:rsidRPr="00A81A4F">
        <w:rPr>
          <w:i/>
        </w:rPr>
        <w:t xml:space="preserve">Management science, </w:t>
      </w:r>
      <w:r w:rsidRPr="00A81A4F">
        <w:t>46(8): 1059-1074.</w:t>
      </w:r>
      <w:bookmarkEnd w:id="151"/>
    </w:p>
    <w:p w14:paraId="55774A7E" w14:textId="77777777" w:rsidR="002E0FEA" w:rsidRPr="00A81A4F" w:rsidRDefault="002E0FEA" w:rsidP="00FD0751">
      <w:pPr>
        <w:pStyle w:val="EndNoteBibliography"/>
        <w:spacing w:after="240"/>
        <w:ind w:left="720" w:hanging="720"/>
      </w:pPr>
      <w:bookmarkStart w:id="152" w:name="_ENREF_35"/>
      <w:r w:rsidRPr="00A81A4F">
        <w:t xml:space="preserve">EPA. (2020). Progress cleaning the air and improving people's health. Retrieved: </w:t>
      </w:r>
      <w:r w:rsidRPr="002E0FEA">
        <w:t>https://www.epa.gov/clean-air-act-overview/progress-cleaning-air-and-improving-peoples-health#clean</w:t>
      </w:r>
      <w:r w:rsidRPr="00A81A4F">
        <w:t>, Accessed: Feb 2020</w:t>
      </w:r>
      <w:bookmarkEnd w:id="152"/>
    </w:p>
    <w:p w14:paraId="5C71A062" w14:textId="77777777" w:rsidR="002E0FEA" w:rsidRPr="00A81A4F" w:rsidRDefault="002E0FEA" w:rsidP="00FD0751">
      <w:pPr>
        <w:pStyle w:val="EndNoteBibliography"/>
        <w:spacing w:after="240"/>
        <w:ind w:left="720" w:hanging="720"/>
      </w:pPr>
      <w:bookmarkStart w:id="153" w:name="_ENREF_36"/>
      <w:r w:rsidRPr="00A81A4F">
        <w:t xml:space="preserve">Fornell, C., &amp; Larcker, D. F. (1981). Evaluating structural equation models with unobservable variables and measurement error. </w:t>
      </w:r>
      <w:r w:rsidRPr="00A81A4F">
        <w:rPr>
          <w:i/>
        </w:rPr>
        <w:t xml:space="preserve">Journal of Marketing Research, </w:t>
      </w:r>
      <w:r w:rsidRPr="00A81A4F">
        <w:t>18(1): 39-50.</w:t>
      </w:r>
      <w:bookmarkEnd w:id="153"/>
    </w:p>
    <w:p w14:paraId="0E22C864" w14:textId="77777777" w:rsidR="002E0FEA" w:rsidRPr="00A81A4F" w:rsidRDefault="002E0FEA" w:rsidP="00FD0751">
      <w:pPr>
        <w:pStyle w:val="EndNoteBibliography"/>
        <w:spacing w:after="240"/>
        <w:ind w:left="720" w:hanging="720"/>
      </w:pPr>
      <w:bookmarkStart w:id="154" w:name="_ENREF_37"/>
      <w:r w:rsidRPr="00A81A4F">
        <w:t xml:space="preserve">Groff, S. P., &amp; Rau, S. (2019). China’s city clusters: Pioneering future mega-urban governance. Retrieved: </w:t>
      </w:r>
      <w:r w:rsidRPr="002E0FEA">
        <w:t>https://americanaffairsjournal.org/2019/05/chinas-city-clusters-pioneering-future-mega-urban-governance/</w:t>
      </w:r>
      <w:r w:rsidRPr="00A81A4F">
        <w:t>, Accessed: April. 2020</w:t>
      </w:r>
      <w:bookmarkEnd w:id="154"/>
    </w:p>
    <w:p w14:paraId="676E504F" w14:textId="77777777" w:rsidR="002E0FEA" w:rsidRPr="00A81A4F" w:rsidRDefault="002E0FEA" w:rsidP="00FD0751">
      <w:pPr>
        <w:pStyle w:val="EndNoteBibliography"/>
        <w:spacing w:after="240"/>
        <w:ind w:left="720" w:hanging="720"/>
      </w:pPr>
      <w:bookmarkStart w:id="155" w:name="_ENREF_38"/>
      <w:r w:rsidRPr="00A81A4F">
        <w:t xml:space="preserve">Hair, J. F., Black, W., C., Babin, B. J., &amp; Anderson, R. E. (2010). </w:t>
      </w:r>
      <w:r w:rsidRPr="00A81A4F">
        <w:rPr>
          <w:i/>
        </w:rPr>
        <w:t>Multivariate data analysis (7th Edition)</w:t>
      </w:r>
      <w:r w:rsidRPr="00A81A4F">
        <w:t>. Upper Saddle River, NJ.: Prentice Hall.</w:t>
      </w:r>
      <w:bookmarkEnd w:id="155"/>
    </w:p>
    <w:p w14:paraId="0E0BD872" w14:textId="77777777" w:rsidR="002E0FEA" w:rsidRPr="00A81A4F" w:rsidRDefault="002E0FEA" w:rsidP="00FD0751">
      <w:pPr>
        <w:pStyle w:val="EndNoteBibliography"/>
        <w:spacing w:after="240"/>
        <w:ind w:left="720" w:hanging="720"/>
      </w:pPr>
      <w:bookmarkStart w:id="156" w:name="_ENREF_39"/>
      <w:r w:rsidRPr="00A81A4F">
        <w:t xml:space="preserve">Hamilton, B. H., &amp; Nickerson, J. A. (2003). Correcting for endogeneity in strategic management research. </w:t>
      </w:r>
      <w:r w:rsidRPr="00A81A4F">
        <w:rPr>
          <w:i/>
        </w:rPr>
        <w:t xml:space="preserve">Strategic Organization, </w:t>
      </w:r>
      <w:r w:rsidRPr="00A81A4F">
        <w:t>1(1): 51-78.</w:t>
      </w:r>
      <w:bookmarkEnd w:id="156"/>
    </w:p>
    <w:p w14:paraId="777B368C" w14:textId="77777777" w:rsidR="002E0FEA" w:rsidRPr="00A81A4F" w:rsidRDefault="002E0FEA" w:rsidP="00FD0751">
      <w:pPr>
        <w:pStyle w:val="EndNoteBibliography"/>
        <w:spacing w:after="240"/>
        <w:ind w:left="720" w:hanging="720"/>
      </w:pPr>
      <w:bookmarkStart w:id="157" w:name="_ENREF_40"/>
      <w:r w:rsidRPr="00A81A4F">
        <w:t xml:space="preserve">Hart, S. L. (1995). A natural-resource-based view of the firm. </w:t>
      </w:r>
      <w:r w:rsidRPr="00A81A4F">
        <w:rPr>
          <w:i/>
        </w:rPr>
        <w:t xml:space="preserve">Academy of Management Review, </w:t>
      </w:r>
      <w:r w:rsidRPr="00A81A4F">
        <w:t>20(4): 986-1014.</w:t>
      </w:r>
      <w:bookmarkEnd w:id="157"/>
    </w:p>
    <w:p w14:paraId="4CE88E59" w14:textId="77777777" w:rsidR="002E0FEA" w:rsidRPr="00A81A4F" w:rsidRDefault="002E0FEA" w:rsidP="00FD0751">
      <w:pPr>
        <w:pStyle w:val="EndNoteBibliography"/>
        <w:spacing w:after="240"/>
        <w:ind w:left="720" w:hanging="720"/>
      </w:pPr>
      <w:bookmarkStart w:id="158" w:name="_ENREF_41"/>
      <w:r w:rsidRPr="00A81A4F">
        <w:t xml:space="preserve">Haws, K. L., Winterich, K. P., &amp; Naylor, R. W. (2014). Seeing the world through GREEN-tinted glasses: Green consumption values and responses to environmentally friendly products. </w:t>
      </w:r>
      <w:r w:rsidRPr="00A81A4F">
        <w:rPr>
          <w:i/>
        </w:rPr>
        <w:t xml:space="preserve">Journal of Consumer Psychology, </w:t>
      </w:r>
      <w:r w:rsidRPr="00A81A4F">
        <w:t>24(3): 336-354.</w:t>
      </w:r>
      <w:bookmarkEnd w:id="158"/>
    </w:p>
    <w:p w14:paraId="10A9BEFB" w14:textId="77777777" w:rsidR="002E0FEA" w:rsidRPr="00A81A4F" w:rsidRDefault="002E0FEA" w:rsidP="00FD0751">
      <w:pPr>
        <w:pStyle w:val="EndNoteBibliography"/>
        <w:spacing w:after="240"/>
        <w:ind w:left="720" w:hanging="720"/>
      </w:pPr>
      <w:bookmarkStart w:id="159" w:name="_ENREF_42"/>
      <w:r w:rsidRPr="00A81A4F">
        <w:lastRenderedPageBreak/>
        <w:t xml:space="preserve">He, X., Brouthers, K. D., &amp; Filatotchev, I. (2013). Resource-based and institutional perspectives on export channel selection and export performance. </w:t>
      </w:r>
      <w:r w:rsidRPr="00A81A4F">
        <w:rPr>
          <w:i/>
        </w:rPr>
        <w:t xml:space="preserve">Journal of Management, </w:t>
      </w:r>
      <w:r w:rsidRPr="00A81A4F">
        <w:t>39(1): 27-47.</w:t>
      </w:r>
      <w:bookmarkEnd w:id="159"/>
    </w:p>
    <w:p w14:paraId="5B106412" w14:textId="77777777" w:rsidR="002E0FEA" w:rsidRPr="00A81A4F" w:rsidRDefault="002E0FEA" w:rsidP="00FD0751">
      <w:pPr>
        <w:pStyle w:val="EndNoteBibliography"/>
        <w:spacing w:after="240"/>
        <w:ind w:left="720" w:hanging="720"/>
      </w:pPr>
      <w:bookmarkStart w:id="160" w:name="_ENREF_43"/>
      <w:r w:rsidRPr="00A81A4F">
        <w:t xml:space="preserve">Hennart, J.-F., Majocchi, A., &amp; Forlani, E. (2019). The myth of the stay-at-home family firm: How family-managed SMEs can overcome their internationalization limitations. </w:t>
      </w:r>
      <w:r w:rsidRPr="00A81A4F">
        <w:rPr>
          <w:i/>
        </w:rPr>
        <w:t xml:space="preserve">Journal of International Business Studies, </w:t>
      </w:r>
      <w:r w:rsidRPr="00A81A4F">
        <w:t>50(5): 758-782.</w:t>
      </w:r>
      <w:bookmarkEnd w:id="160"/>
    </w:p>
    <w:p w14:paraId="1EDBEBEB" w14:textId="77777777" w:rsidR="002E0FEA" w:rsidRPr="00A81A4F" w:rsidRDefault="002E0FEA" w:rsidP="00FD0751">
      <w:pPr>
        <w:pStyle w:val="EndNoteBibliography"/>
        <w:spacing w:after="240"/>
        <w:ind w:left="720" w:hanging="720"/>
      </w:pPr>
      <w:bookmarkStart w:id="161" w:name="_ENREF_44"/>
      <w:r w:rsidRPr="00A81A4F">
        <w:t xml:space="preserve">Hertenstein, P., Sutherland, D., &amp; Anderson, J. (2017). Internationalization within networks: Exploring the relationship between inward and outward FDI in China’s auto components industry. </w:t>
      </w:r>
      <w:r w:rsidRPr="00A81A4F">
        <w:rPr>
          <w:i/>
        </w:rPr>
        <w:t xml:space="preserve">Asia Pacific Journal of Management, </w:t>
      </w:r>
      <w:r w:rsidRPr="00A81A4F">
        <w:t>34(1): 69-96.</w:t>
      </w:r>
      <w:bookmarkEnd w:id="161"/>
    </w:p>
    <w:p w14:paraId="75F666FE" w14:textId="77777777" w:rsidR="002E0FEA" w:rsidRPr="00A81A4F" w:rsidRDefault="002E0FEA" w:rsidP="00FD0751">
      <w:pPr>
        <w:pStyle w:val="EndNoteBibliography"/>
        <w:spacing w:after="240"/>
        <w:ind w:left="720" w:hanging="720"/>
      </w:pPr>
      <w:bookmarkStart w:id="162" w:name="_ENREF_45"/>
      <w:r w:rsidRPr="00A81A4F">
        <w:t xml:space="preserve">Hildebrandt, T., &amp; Turner, J. L. (2009). Green activism? Reassessing the role of environmental NGOs in China. In Schwartz, J. &amp; Shieh, S. (Eds.), </w:t>
      </w:r>
      <w:r w:rsidRPr="00A81A4F">
        <w:rPr>
          <w:i/>
        </w:rPr>
        <w:t>State and society responses to social welfare needs in China</w:t>
      </w:r>
      <w:r w:rsidRPr="00A81A4F">
        <w:t xml:space="preserve"> (pp. 105-126). London: Routledge.</w:t>
      </w:r>
      <w:bookmarkEnd w:id="162"/>
    </w:p>
    <w:p w14:paraId="08DA0933" w14:textId="77777777" w:rsidR="002E0FEA" w:rsidRPr="00A81A4F" w:rsidRDefault="002E0FEA" w:rsidP="00FD0751">
      <w:pPr>
        <w:pStyle w:val="EndNoteBibliography"/>
        <w:spacing w:after="240"/>
        <w:ind w:left="720" w:hanging="720"/>
      </w:pPr>
      <w:bookmarkStart w:id="163" w:name="_ENREF_46"/>
      <w:r w:rsidRPr="00A81A4F">
        <w:t xml:space="preserve">Hoffmann, R. (2019). Small and medium enterprises (SMEs) In China. Retrieved: </w:t>
      </w:r>
      <w:r w:rsidRPr="002E0FEA">
        <w:t>https://ecovis-beijing.com/smes-china/</w:t>
      </w:r>
      <w:r w:rsidRPr="00A81A4F">
        <w:t>, Accessed: Oct, 2019</w:t>
      </w:r>
      <w:bookmarkEnd w:id="163"/>
    </w:p>
    <w:p w14:paraId="2F9FA4CC" w14:textId="77777777" w:rsidR="002E0FEA" w:rsidRPr="00A81A4F" w:rsidRDefault="002E0FEA" w:rsidP="00FD0751">
      <w:pPr>
        <w:pStyle w:val="EndNoteBibliography"/>
        <w:spacing w:after="240"/>
        <w:ind w:left="720" w:hanging="720"/>
      </w:pPr>
      <w:bookmarkStart w:id="164" w:name="_ENREF_47"/>
      <w:r w:rsidRPr="00A81A4F">
        <w:t xml:space="preserve">Hult, G. T. M., Ketchen, D., &amp; Arrfelt, M. (2007). Strategic supply chain management: Improving performance through a culture of competitiveness and knowledge development. </w:t>
      </w:r>
      <w:r w:rsidRPr="00A81A4F">
        <w:rPr>
          <w:i/>
        </w:rPr>
        <w:t xml:space="preserve">Strategic Management Journal, </w:t>
      </w:r>
      <w:r w:rsidRPr="00A81A4F">
        <w:t>28(10): 1035-1052.</w:t>
      </w:r>
      <w:bookmarkEnd w:id="164"/>
    </w:p>
    <w:p w14:paraId="1A81F396" w14:textId="77777777" w:rsidR="002E0FEA" w:rsidRPr="00A81A4F" w:rsidRDefault="002E0FEA" w:rsidP="00FD0751">
      <w:pPr>
        <w:pStyle w:val="EndNoteBibliography"/>
        <w:spacing w:after="240"/>
        <w:ind w:left="720" w:hanging="720"/>
      </w:pPr>
      <w:bookmarkStart w:id="165" w:name="_ENREF_48"/>
      <w:r w:rsidRPr="00A81A4F">
        <w:t xml:space="preserve">Jin, J. L., Zhou, K. Z., &amp; Wang, Y. (2016). Exploitation and exploration in international joint ventures: Moderating effects of partner control imbalance and product similarity. </w:t>
      </w:r>
      <w:r w:rsidRPr="00A81A4F">
        <w:rPr>
          <w:i/>
        </w:rPr>
        <w:t xml:space="preserve">Journal of International Marketing, </w:t>
      </w:r>
      <w:r w:rsidRPr="00A81A4F">
        <w:t>24(4): 20-38.</w:t>
      </w:r>
      <w:bookmarkEnd w:id="165"/>
    </w:p>
    <w:p w14:paraId="066A944B" w14:textId="77777777" w:rsidR="002E0FEA" w:rsidRPr="00A81A4F" w:rsidRDefault="002E0FEA" w:rsidP="00FD0751">
      <w:pPr>
        <w:pStyle w:val="EndNoteBibliography"/>
        <w:spacing w:after="240"/>
        <w:ind w:left="720" w:hanging="720"/>
      </w:pPr>
      <w:bookmarkStart w:id="166" w:name="_ENREF_49"/>
      <w:r w:rsidRPr="00A81A4F">
        <w:t xml:space="preserve">Jones, D. A., Willness, C. R., &amp; Madey, S. (2014). Why are job seekers attracted by corporate social performance? Experimental and field tests of three signal-based mechanisms. </w:t>
      </w:r>
      <w:r w:rsidRPr="00A81A4F">
        <w:rPr>
          <w:i/>
        </w:rPr>
        <w:t xml:space="preserve">Academy of Management Journal, </w:t>
      </w:r>
      <w:r w:rsidRPr="00A81A4F">
        <w:t>57(2): 383-404.</w:t>
      </w:r>
      <w:bookmarkEnd w:id="166"/>
    </w:p>
    <w:p w14:paraId="41C7A9B5" w14:textId="77777777" w:rsidR="002E0FEA" w:rsidRPr="00A81A4F" w:rsidRDefault="002E0FEA" w:rsidP="00FD0751">
      <w:pPr>
        <w:pStyle w:val="EndNoteBibliography"/>
        <w:spacing w:after="240"/>
        <w:ind w:left="720" w:hanging="720"/>
      </w:pPr>
      <w:bookmarkStart w:id="167" w:name="_ENREF_50"/>
      <w:r w:rsidRPr="00A81A4F">
        <w:t xml:space="preserve">Kang, Y., Scott-Kennel, J., Battisti, M., &amp; Deakins, D. (2020). Linking inward/outward FDI and exploitation/exploration strategies: Development of a framework for SMEs. </w:t>
      </w:r>
      <w:r w:rsidRPr="00A81A4F">
        <w:rPr>
          <w:i/>
        </w:rPr>
        <w:t>International Business Review</w:t>
      </w:r>
      <w:r w:rsidRPr="00A81A4F">
        <w:t>: DOI: 10.1016/j.ibusrev.2020.101790.</w:t>
      </w:r>
      <w:bookmarkEnd w:id="167"/>
    </w:p>
    <w:p w14:paraId="23C661E4" w14:textId="77777777" w:rsidR="002E0FEA" w:rsidRPr="00A81A4F" w:rsidRDefault="002E0FEA" w:rsidP="00FD0751">
      <w:pPr>
        <w:pStyle w:val="EndNoteBibliography"/>
        <w:spacing w:after="240"/>
        <w:ind w:left="720" w:hanging="720"/>
      </w:pPr>
      <w:bookmarkStart w:id="168" w:name="_ENREF_51"/>
      <w:r w:rsidRPr="00A81A4F">
        <w:lastRenderedPageBreak/>
        <w:t xml:space="preserve">Katsikeas, C. S., Leonidou, C. N., &amp; Zeriti, A. (2016). Eco-friendly product development strategy: antecedents, outcomes, and contingent effects. </w:t>
      </w:r>
      <w:r w:rsidRPr="00A81A4F">
        <w:rPr>
          <w:i/>
        </w:rPr>
        <w:t xml:space="preserve">Journal of the Academy of Marketing Science, </w:t>
      </w:r>
      <w:r w:rsidRPr="00A81A4F">
        <w:t>44(6): 660-684.</w:t>
      </w:r>
      <w:bookmarkEnd w:id="168"/>
    </w:p>
    <w:p w14:paraId="0CA63934" w14:textId="77777777" w:rsidR="002E0FEA" w:rsidRPr="00A81A4F" w:rsidRDefault="002E0FEA" w:rsidP="00FD0751">
      <w:pPr>
        <w:pStyle w:val="EndNoteBibliography"/>
        <w:spacing w:after="240"/>
        <w:ind w:left="720" w:hanging="720"/>
      </w:pPr>
      <w:bookmarkStart w:id="169" w:name="_ENREF_52"/>
      <w:r w:rsidRPr="00A81A4F">
        <w:t xml:space="preserve">Khanna, T., &amp; Palepu, K. G. (2010). </w:t>
      </w:r>
      <w:r w:rsidRPr="00A81A4F">
        <w:rPr>
          <w:i/>
        </w:rPr>
        <w:t>Winning in emerging markets: A road map for strategy and execution</w:t>
      </w:r>
      <w:r w:rsidRPr="00A81A4F">
        <w:t>. Cambridge: Harvard Business Press.</w:t>
      </w:r>
      <w:bookmarkEnd w:id="169"/>
    </w:p>
    <w:p w14:paraId="5FED3D68" w14:textId="77777777" w:rsidR="002E0FEA" w:rsidRPr="00A81A4F" w:rsidRDefault="002E0FEA" w:rsidP="00FD0751">
      <w:pPr>
        <w:pStyle w:val="EndNoteBibliography"/>
        <w:spacing w:after="240"/>
        <w:ind w:left="720" w:hanging="720"/>
      </w:pPr>
      <w:bookmarkStart w:id="170" w:name="_ENREF_53"/>
      <w:r w:rsidRPr="00A81A4F">
        <w:t xml:space="preserve">Khavul, S., Prater, E., &amp; Swafford, P. M. (2012). International responsiveness of entrepreneurial new ventures from three leading emerging economies. </w:t>
      </w:r>
      <w:r w:rsidRPr="00A81A4F">
        <w:rPr>
          <w:i/>
        </w:rPr>
        <w:t xml:space="preserve">International Journal of Operations &amp; Production Management, </w:t>
      </w:r>
      <w:r w:rsidRPr="00A81A4F">
        <w:t>32(10): 1147-1177.</w:t>
      </w:r>
      <w:bookmarkEnd w:id="170"/>
    </w:p>
    <w:p w14:paraId="2B599D7E" w14:textId="77777777" w:rsidR="002E0FEA" w:rsidRPr="00A81A4F" w:rsidRDefault="002E0FEA" w:rsidP="00FD0751">
      <w:pPr>
        <w:pStyle w:val="EndNoteBibliography"/>
        <w:spacing w:after="240"/>
        <w:ind w:left="720" w:hanging="720"/>
      </w:pPr>
      <w:bookmarkStart w:id="171" w:name="_ENREF_54"/>
      <w:r w:rsidRPr="00A81A4F">
        <w:t xml:space="preserve">Kim, Y., &amp; Rhee, D.-E. (2019). Do stringent environmental regulations attract foreign direct investment in developing countries? Evidence on the “Race to the Top” from cross-country panel data. </w:t>
      </w:r>
      <w:r w:rsidRPr="00A81A4F">
        <w:rPr>
          <w:i/>
        </w:rPr>
        <w:t xml:space="preserve">Emerging Markets Finance and Trade, </w:t>
      </w:r>
      <w:r w:rsidRPr="00A81A4F">
        <w:t>55(12): 2796-2808.</w:t>
      </w:r>
      <w:bookmarkEnd w:id="171"/>
    </w:p>
    <w:p w14:paraId="27FBB507" w14:textId="77777777" w:rsidR="002E0FEA" w:rsidRPr="00A81A4F" w:rsidRDefault="002E0FEA" w:rsidP="00FD0751">
      <w:pPr>
        <w:pStyle w:val="EndNoteBibliography"/>
        <w:spacing w:after="240"/>
        <w:ind w:left="720" w:hanging="720"/>
      </w:pPr>
      <w:bookmarkStart w:id="172" w:name="_ENREF_55"/>
      <w:r w:rsidRPr="00A81A4F">
        <w:t xml:space="preserve">Klossek, A., Linke, B. M., &amp; Nippa, M. (2012). Chinese enterprises in Germany: Establishment modes and strategies to mitigate the liability of foreignness. </w:t>
      </w:r>
      <w:r w:rsidRPr="00A81A4F">
        <w:rPr>
          <w:i/>
        </w:rPr>
        <w:t xml:space="preserve">Journal of World Business, </w:t>
      </w:r>
      <w:r w:rsidRPr="00A81A4F">
        <w:t>47(1): 35-44.</w:t>
      </w:r>
      <w:bookmarkEnd w:id="172"/>
    </w:p>
    <w:p w14:paraId="7E5CA79A" w14:textId="77777777" w:rsidR="002E0FEA" w:rsidRPr="00A81A4F" w:rsidRDefault="002E0FEA" w:rsidP="00FD0751">
      <w:pPr>
        <w:pStyle w:val="EndNoteBibliography"/>
        <w:spacing w:after="240"/>
        <w:ind w:left="720" w:hanging="720"/>
      </w:pPr>
      <w:bookmarkStart w:id="173" w:name="_ENREF_56"/>
      <w:r w:rsidRPr="00A81A4F">
        <w:t xml:space="preserve">Koirala, S. (2018). SMEs: Key drivers of green and inclusive growth. Retrieved: </w:t>
      </w:r>
      <w:r w:rsidRPr="002E0FEA">
        <w:t>https://www.oecd-ilibrary.org/environment/smes-key-drivers-of-green-and-inclusive-growth_8a51fc0c-en</w:t>
      </w:r>
      <w:r w:rsidRPr="00A81A4F">
        <w:t>, Accessed: April, 2020</w:t>
      </w:r>
      <w:bookmarkEnd w:id="173"/>
    </w:p>
    <w:p w14:paraId="4396CBE3" w14:textId="77777777" w:rsidR="002E0FEA" w:rsidRPr="00A81A4F" w:rsidRDefault="002E0FEA" w:rsidP="00FD0751">
      <w:pPr>
        <w:pStyle w:val="EndNoteBibliography"/>
        <w:spacing w:after="240"/>
        <w:ind w:left="720" w:hanging="720"/>
      </w:pPr>
      <w:bookmarkStart w:id="174" w:name="_ENREF_57"/>
      <w:r w:rsidRPr="00A81A4F">
        <w:t xml:space="preserve">Korhonen, H., Luostarinen, R., &amp; Welch, L. (1996). Internationalization of SMEs: Inward-outward patterns and government policy. </w:t>
      </w:r>
      <w:r w:rsidRPr="00A81A4F">
        <w:rPr>
          <w:i/>
        </w:rPr>
        <w:t xml:space="preserve">Management International Review, </w:t>
      </w:r>
      <w:r w:rsidRPr="00A81A4F">
        <w:t>36(4): 315-329.</w:t>
      </w:r>
      <w:bookmarkEnd w:id="174"/>
    </w:p>
    <w:p w14:paraId="0B189092" w14:textId="77777777" w:rsidR="002E0FEA" w:rsidRPr="00A81A4F" w:rsidRDefault="002E0FEA" w:rsidP="00FD0751">
      <w:pPr>
        <w:pStyle w:val="EndNoteBibliography"/>
        <w:spacing w:after="240"/>
        <w:ind w:left="720" w:hanging="720"/>
      </w:pPr>
      <w:bookmarkStart w:id="175" w:name="_ENREF_58"/>
      <w:r w:rsidRPr="00A81A4F">
        <w:t xml:space="preserve">Kostova, T., Marano, V., &amp; Tallman, S. (2016). Headquarters–subsidiary relationships in MNCs: Fifty years of evolving research. </w:t>
      </w:r>
      <w:r w:rsidRPr="00A81A4F">
        <w:rPr>
          <w:i/>
        </w:rPr>
        <w:t xml:space="preserve">Journal of World Business, </w:t>
      </w:r>
      <w:r w:rsidRPr="00A81A4F">
        <w:t>51(1): 176-184.</w:t>
      </w:r>
      <w:bookmarkEnd w:id="175"/>
    </w:p>
    <w:p w14:paraId="486EE0FE" w14:textId="77777777" w:rsidR="002E0FEA" w:rsidRPr="00A81A4F" w:rsidRDefault="002E0FEA" w:rsidP="00FD0751">
      <w:pPr>
        <w:pStyle w:val="EndNoteBibliography"/>
        <w:spacing w:after="240"/>
        <w:ind w:left="720" w:hanging="720"/>
      </w:pPr>
      <w:bookmarkStart w:id="176" w:name="_ENREF_59"/>
      <w:r w:rsidRPr="00A81A4F">
        <w:t xml:space="preserve">Li, Y., Ye, F., Dai, J., Zhao, X., &amp; Sheu, C. (2019). The adoption of green practices by Chinese firms: Assessing the determinants and effects of top management championship. </w:t>
      </w:r>
      <w:r w:rsidRPr="00A81A4F">
        <w:rPr>
          <w:i/>
        </w:rPr>
        <w:t xml:space="preserve">International Journal of Operations &amp; Production Management, </w:t>
      </w:r>
      <w:r w:rsidRPr="00A81A4F">
        <w:t>39(4): 550-572.</w:t>
      </w:r>
      <w:bookmarkEnd w:id="176"/>
    </w:p>
    <w:p w14:paraId="60BA53B4" w14:textId="77777777" w:rsidR="002E0FEA" w:rsidRPr="00A81A4F" w:rsidRDefault="002E0FEA" w:rsidP="00FD0751">
      <w:pPr>
        <w:pStyle w:val="EndNoteBibliography"/>
        <w:spacing w:after="240"/>
        <w:ind w:left="720" w:hanging="720"/>
      </w:pPr>
      <w:bookmarkStart w:id="177" w:name="_ENREF_60"/>
      <w:r w:rsidRPr="00A81A4F">
        <w:t xml:space="preserve">Lin, C.-Y., &amp; Ho, Y.-H. (2011). Determinants of green practice adoption for logistics companies in China. </w:t>
      </w:r>
      <w:r w:rsidRPr="00A81A4F">
        <w:rPr>
          <w:i/>
        </w:rPr>
        <w:t xml:space="preserve">Journal of Business Ethics, </w:t>
      </w:r>
      <w:r w:rsidRPr="00A81A4F">
        <w:t>98(1): 67-83.</w:t>
      </w:r>
      <w:bookmarkEnd w:id="177"/>
    </w:p>
    <w:p w14:paraId="6729FBA7" w14:textId="77777777" w:rsidR="002E0FEA" w:rsidRPr="00A81A4F" w:rsidRDefault="002E0FEA" w:rsidP="00FD0751">
      <w:pPr>
        <w:pStyle w:val="EndNoteBibliography"/>
        <w:spacing w:after="240"/>
        <w:ind w:left="720" w:hanging="720"/>
      </w:pPr>
      <w:bookmarkStart w:id="178" w:name="_ENREF_61"/>
      <w:r w:rsidRPr="00A81A4F">
        <w:lastRenderedPageBreak/>
        <w:t xml:space="preserve">Lin, S. T., &amp; Niu, H. J. (2018). Green consumption: Environmental knowledge, environmental consciousness, social norms, and purchasing behavior. </w:t>
      </w:r>
      <w:r w:rsidRPr="00A81A4F">
        <w:rPr>
          <w:i/>
        </w:rPr>
        <w:t xml:space="preserve">Business Strategy and the Environment, </w:t>
      </w:r>
      <w:r w:rsidRPr="00A81A4F">
        <w:t>27(8): 1679-1688.</w:t>
      </w:r>
      <w:bookmarkEnd w:id="178"/>
    </w:p>
    <w:p w14:paraId="50A818A6" w14:textId="77777777" w:rsidR="002E0FEA" w:rsidRPr="00A81A4F" w:rsidRDefault="002E0FEA" w:rsidP="00FD0751">
      <w:pPr>
        <w:pStyle w:val="EndNoteBibliography"/>
        <w:spacing w:after="240"/>
        <w:ind w:left="720" w:hanging="720"/>
      </w:pPr>
      <w:bookmarkStart w:id="179" w:name="_ENREF_62"/>
      <w:r w:rsidRPr="00A81A4F">
        <w:t xml:space="preserve">Love, J. H., &amp; Roper, S. (2015). SME innovation, exporting and growth: A review of existing evidence. </w:t>
      </w:r>
      <w:r w:rsidRPr="00A81A4F">
        <w:rPr>
          <w:i/>
        </w:rPr>
        <w:t xml:space="preserve">International Small Business Journal, </w:t>
      </w:r>
      <w:r w:rsidRPr="00A81A4F">
        <w:t>33(1): 28-48.</w:t>
      </w:r>
      <w:bookmarkEnd w:id="179"/>
    </w:p>
    <w:p w14:paraId="5BC6701F" w14:textId="77777777" w:rsidR="002E0FEA" w:rsidRPr="00A81A4F" w:rsidRDefault="002E0FEA" w:rsidP="00FD0751">
      <w:pPr>
        <w:pStyle w:val="EndNoteBibliography"/>
        <w:spacing w:after="240"/>
        <w:ind w:left="720" w:hanging="720"/>
      </w:pPr>
      <w:bookmarkStart w:id="180" w:name="_ENREF_63"/>
      <w:r w:rsidRPr="00A81A4F">
        <w:t xml:space="preserve">Luo, Y., Jie, X., Li, X., &amp; Yao, L. (2018). Ranking Chinese SMEs green manufacturing drivers using a novel hybrid multi-criterion decision-making model. </w:t>
      </w:r>
      <w:r w:rsidRPr="00A81A4F">
        <w:rPr>
          <w:i/>
        </w:rPr>
        <w:t xml:space="preserve">Sustainability, </w:t>
      </w:r>
      <w:r w:rsidRPr="00A81A4F">
        <w:t>10(8): 2661-2684.</w:t>
      </w:r>
      <w:bookmarkEnd w:id="180"/>
    </w:p>
    <w:p w14:paraId="66C82A9A" w14:textId="77777777" w:rsidR="002E0FEA" w:rsidRPr="00A81A4F" w:rsidRDefault="002E0FEA" w:rsidP="00FD0751">
      <w:pPr>
        <w:pStyle w:val="EndNoteBibliography"/>
        <w:spacing w:after="240"/>
        <w:ind w:left="720" w:hanging="720"/>
      </w:pPr>
      <w:bookmarkStart w:id="181" w:name="_ENREF_64"/>
      <w:r w:rsidRPr="00A81A4F">
        <w:t xml:space="preserve">Marano, V., Tashman, P., &amp; Kostova, T. (2017). Escaping the iron cage: Liabilities of origin and CSR reporting of emerging market multinational enterprises. </w:t>
      </w:r>
      <w:r w:rsidRPr="00A81A4F">
        <w:rPr>
          <w:i/>
        </w:rPr>
        <w:t xml:space="preserve">Journal of International Business Studies, </w:t>
      </w:r>
      <w:r w:rsidRPr="00A81A4F">
        <w:t>48(3): 386-408.</w:t>
      </w:r>
      <w:bookmarkEnd w:id="181"/>
    </w:p>
    <w:p w14:paraId="281751E1" w14:textId="77777777" w:rsidR="002E0FEA" w:rsidRPr="00A81A4F" w:rsidRDefault="002E0FEA" w:rsidP="00FD0751">
      <w:pPr>
        <w:pStyle w:val="EndNoteBibliography"/>
        <w:spacing w:after="240"/>
        <w:ind w:left="720" w:hanging="720"/>
      </w:pPr>
      <w:bookmarkStart w:id="182" w:name="_ENREF_65"/>
      <w:r w:rsidRPr="00A81A4F">
        <w:t xml:space="preserve">Martín-Tapia, I., Aragón-Correa, J. A., &amp; Rueda-Manzanares, A. (2010). Environmental strategy and exports in medium, small and micro-enterprises. </w:t>
      </w:r>
      <w:r w:rsidRPr="00A81A4F">
        <w:rPr>
          <w:i/>
        </w:rPr>
        <w:t xml:space="preserve">Journal of World Business, </w:t>
      </w:r>
      <w:r w:rsidRPr="00A81A4F">
        <w:t>45(3): 266-275.</w:t>
      </w:r>
      <w:bookmarkEnd w:id="182"/>
    </w:p>
    <w:p w14:paraId="21ACE8DA" w14:textId="77777777" w:rsidR="002E0FEA" w:rsidRPr="00A81A4F" w:rsidRDefault="002E0FEA" w:rsidP="00FD0751">
      <w:pPr>
        <w:pStyle w:val="EndNoteBibliography"/>
        <w:spacing w:after="240"/>
        <w:ind w:left="720" w:hanging="720"/>
      </w:pPr>
      <w:bookmarkStart w:id="183" w:name="_ENREF_66"/>
      <w:r w:rsidRPr="00A81A4F">
        <w:t xml:space="preserve">Martin-Tapia, I., Aragon-Correa, J. A., &amp; Senise-Barrio, M. E. (2008). Being green and export intensity of SMEs: The moderating influence of perceived uncertainty. </w:t>
      </w:r>
      <w:r w:rsidRPr="00A81A4F">
        <w:rPr>
          <w:i/>
        </w:rPr>
        <w:t xml:space="preserve">Ecological Economics, </w:t>
      </w:r>
      <w:r w:rsidRPr="00A81A4F">
        <w:t>68(1-2): 56-67.</w:t>
      </w:r>
      <w:bookmarkEnd w:id="183"/>
    </w:p>
    <w:p w14:paraId="016DAAF2" w14:textId="77777777" w:rsidR="002E0FEA" w:rsidRPr="00A81A4F" w:rsidRDefault="002E0FEA" w:rsidP="00FD0751">
      <w:pPr>
        <w:pStyle w:val="EndNoteBibliography"/>
        <w:spacing w:after="240"/>
        <w:ind w:left="720" w:hanging="720"/>
      </w:pPr>
      <w:bookmarkStart w:id="184" w:name="_ENREF_67"/>
      <w:r w:rsidRPr="00A81A4F">
        <w:t xml:space="preserve">McWilliams, A., &amp; Siegel, D. S. (2011). Creating and capturing value: Strategic corporate social responsibility, resource-based theory, and sustainable competitive advantage. </w:t>
      </w:r>
      <w:r w:rsidRPr="00A81A4F">
        <w:rPr>
          <w:i/>
        </w:rPr>
        <w:t xml:space="preserve">Journal of Management, </w:t>
      </w:r>
      <w:r w:rsidRPr="00A81A4F">
        <w:t>37(5): 1480-1495.</w:t>
      </w:r>
      <w:bookmarkEnd w:id="184"/>
    </w:p>
    <w:p w14:paraId="6743BEC8" w14:textId="77777777" w:rsidR="002E0FEA" w:rsidRPr="00A81A4F" w:rsidRDefault="002E0FEA" w:rsidP="00FD0751">
      <w:pPr>
        <w:pStyle w:val="EndNoteBibliography"/>
        <w:spacing w:after="240"/>
        <w:ind w:left="720" w:hanging="720"/>
      </w:pPr>
      <w:bookmarkStart w:id="185" w:name="_ENREF_68"/>
      <w:r w:rsidRPr="00A81A4F">
        <w:t xml:space="preserve">Menard, S. (2002). </w:t>
      </w:r>
      <w:r w:rsidRPr="00A81A4F">
        <w:rPr>
          <w:i/>
        </w:rPr>
        <w:t>Longitudinal research</w:t>
      </w:r>
      <w:r w:rsidRPr="00A81A4F">
        <w:t xml:space="preserve"> (Vol. 76). London: Sage.</w:t>
      </w:r>
      <w:bookmarkEnd w:id="185"/>
    </w:p>
    <w:p w14:paraId="2CFAF9B1" w14:textId="77777777" w:rsidR="002E0FEA" w:rsidRPr="00A81A4F" w:rsidRDefault="002E0FEA" w:rsidP="00FD0751">
      <w:pPr>
        <w:pStyle w:val="EndNoteBibliography"/>
        <w:spacing w:after="240"/>
        <w:ind w:left="720" w:hanging="720"/>
      </w:pPr>
      <w:bookmarkStart w:id="186" w:name="_ENREF_69"/>
      <w:r w:rsidRPr="00A81A4F">
        <w:t xml:space="preserve">Meyer, K. E., Estrin, S., Bhaumik, S. K., &amp; Peng, M. W. (2009). Institutions, resources, and entry strategies in emerging economies. </w:t>
      </w:r>
      <w:r w:rsidRPr="00A81A4F">
        <w:rPr>
          <w:i/>
        </w:rPr>
        <w:t xml:space="preserve">Strategic Management Journal, </w:t>
      </w:r>
      <w:r w:rsidRPr="00A81A4F">
        <w:t>30(1): 61-80.</w:t>
      </w:r>
      <w:bookmarkEnd w:id="186"/>
    </w:p>
    <w:p w14:paraId="3349C3FB" w14:textId="77777777" w:rsidR="002E0FEA" w:rsidRPr="00A81A4F" w:rsidRDefault="002E0FEA" w:rsidP="00FD0751">
      <w:pPr>
        <w:pStyle w:val="EndNoteBibliography"/>
        <w:spacing w:after="240"/>
        <w:ind w:left="720" w:hanging="720"/>
      </w:pPr>
      <w:bookmarkStart w:id="187" w:name="_ENREF_70"/>
      <w:r w:rsidRPr="00A81A4F">
        <w:t xml:space="preserve">Mir, D. F., &amp; Feitelson, E. (2007). Factors affecting environmental behavior in micro-enterprises: Laundry and motor vehicle repair firms in Jerusalem. </w:t>
      </w:r>
      <w:r w:rsidRPr="00A81A4F">
        <w:rPr>
          <w:i/>
        </w:rPr>
        <w:t xml:space="preserve">International Small Business Journal, </w:t>
      </w:r>
      <w:r w:rsidRPr="00A81A4F">
        <w:t>25(4): 383-415.</w:t>
      </w:r>
      <w:bookmarkEnd w:id="187"/>
    </w:p>
    <w:p w14:paraId="2FF0555E" w14:textId="77777777" w:rsidR="002E0FEA" w:rsidRPr="00A81A4F" w:rsidRDefault="002E0FEA" w:rsidP="00FD0751">
      <w:pPr>
        <w:pStyle w:val="EndNoteBibliography"/>
        <w:spacing w:after="240"/>
        <w:ind w:left="720" w:hanging="720"/>
      </w:pPr>
      <w:bookmarkStart w:id="188" w:name="_ENREF_71"/>
      <w:r w:rsidRPr="00A81A4F">
        <w:lastRenderedPageBreak/>
        <w:t xml:space="preserve">Murphy, M. (1990). Minimizing attrition in longitudinal studies: Means or end. In Magnusson, D. &amp; Bergman, L.R. (Eds.), </w:t>
      </w:r>
      <w:r w:rsidRPr="00A81A4F">
        <w:rPr>
          <w:i/>
        </w:rPr>
        <w:t>Data Quality in Longitudinal Research</w:t>
      </w:r>
      <w:r w:rsidRPr="00A81A4F">
        <w:t xml:space="preserve"> (pp. 148-156). Cambridge: Cambridge University Press.</w:t>
      </w:r>
      <w:bookmarkEnd w:id="188"/>
    </w:p>
    <w:p w14:paraId="3207C12E" w14:textId="77777777" w:rsidR="002E0FEA" w:rsidRPr="00A81A4F" w:rsidRDefault="002E0FEA" w:rsidP="00FD0751">
      <w:pPr>
        <w:pStyle w:val="EndNoteBibliography"/>
        <w:spacing w:after="240"/>
        <w:ind w:left="720" w:hanging="720"/>
      </w:pPr>
      <w:bookmarkStart w:id="189" w:name="_ENREF_72"/>
      <w:r w:rsidRPr="00A81A4F">
        <w:t xml:space="preserve">Nuruzzaman, N., Singh, D., &amp; Gaur, A. S. (2020). Institutional support, hazards, and internationalization of emerging market firms. </w:t>
      </w:r>
      <w:r w:rsidRPr="00A81A4F">
        <w:rPr>
          <w:i/>
        </w:rPr>
        <w:t xml:space="preserve">Global Strategy Journal, </w:t>
      </w:r>
      <w:r w:rsidRPr="00A81A4F">
        <w:t>10(2): 361-385.</w:t>
      </w:r>
      <w:bookmarkEnd w:id="189"/>
    </w:p>
    <w:p w14:paraId="6E8AC6DE" w14:textId="77777777" w:rsidR="002E0FEA" w:rsidRPr="00A81A4F" w:rsidRDefault="002E0FEA" w:rsidP="00FD0751">
      <w:pPr>
        <w:pStyle w:val="EndNoteBibliography"/>
        <w:spacing w:after="240"/>
        <w:ind w:left="720" w:hanging="720"/>
      </w:pPr>
      <w:bookmarkStart w:id="190" w:name="_ENREF_73"/>
      <w:r w:rsidRPr="00A81A4F">
        <w:t xml:space="preserve">Oliver, C. (1997). Sustainable competitive advantage: Combining institutional and resource-based views. </w:t>
      </w:r>
      <w:r w:rsidRPr="00A81A4F">
        <w:rPr>
          <w:i/>
        </w:rPr>
        <w:t xml:space="preserve">Strategic Management Journal, </w:t>
      </w:r>
      <w:r w:rsidRPr="00A81A4F">
        <w:t>18(9): 697-713.</w:t>
      </w:r>
      <w:bookmarkEnd w:id="190"/>
    </w:p>
    <w:p w14:paraId="5CFC2596" w14:textId="77777777" w:rsidR="002E0FEA" w:rsidRPr="00A81A4F" w:rsidRDefault="002E0FEA" w:rsidP="00FD0751">
      <w:pPr>
        <w:pStyle w:val="EndNoteBibliography"/>
        <w:spacing w:after="240"/>
        <w:ind w:left="720" w:hanging="720"/>
      </w:pPr>
      <w:bookmarkStart w:id="191" w:name="_ENREF_74"/>
      <w:r w:rsidRPr="00A81A4F">
        <w:t xml:space="preserve">Park, B. I., &amp; Ghauri, P. N. (2015). Determinants influencing CSR practices in small and medium sized MNE subsidiaries: A stakeholder perspective. </w:t>
      </w:r>
      <w:r w:rsidRPr="00A81A4F">
        <w:rPr>
          <w:i/>
        </w:rPr>
        <w:t xml:space="preserve">Journal of World Business, </w:t>
      </w:r>
      <w:r w:rsidRPr="00A81A4F">
        <w:t>50(1): 192-204.</w:t>
      </w:r>
      <w:bookmarkEnd w:id="191"/>
    </w:p>
    <w:p w14:paraId="503ADDE8" w14:textId="77777777" w:rsidR="002E0FEA" w:rsidRPr="00A81A4F" w:rsidRDefault="002E0FEA" w:rsidP="00FD0751">
      <w:pPr>
        <w:pStyle w:val="EndNoteBibliography"/>
        <w:spacing w:after="240"/>
        <w:ind w:left="720" w:hanging="720"/>
      </w:pPr>
      <w:bookmarkStart w:id="192" w:name="_ENREF_75"/>
      <w:r w:rsidRPr="00A81A4F">
        <w:t xml:space="preserve">Peattie, K. (2010). Green consumption: Behavior and norms. </w:t>
      </w:r>
      <w:r w:rsidRPr="00A81A4F">
        <w:rPr>
          <w:i/>
        </w:rPr>
        <w:t xml:space="preserve">Annual Review of Environment and Resources, </w:t>
      </w:r>
      <w:r w:rsidRPr="00A81A4F">
        <w:t>35(1): 195-228.</w:t>
      </w:r>
      <w:bookmarkEnd w:id="192"/>
    </w:p>
    <w:p w14:paraId="7D5FF521" w14:textId="77777777" w:rsidR="002E0FEA" w:rsidRPr="00A81A4F" w:rsidRDefault="002E0FEA" w:rsidP="00FD0751">
      <w:pPr>
        <w:pStyle w:val="EndNoteBibliography"/>
        <w:spacing w:after="240"/>
        <w:ind w:left="720" w:hanging="720"/>
      </w:pPr>
      <w:bookmarkStart w:id="193" w:name="_ENREF_76"/>
      <w:r w:rsidRPr="00A81A4F">
        <w:t xml:space="preserve">Pesce, M., Tamai, I., Guo, D., Critto, A., Brombal, D., Wang, X., Cheng, H., &amp; Marcomini, A. (2020). Circular economy in China: Translating principles into practice. </w:t>
      </w:r>
      <w:r w:rsidRPr="00A81A4F">
        <w:rPr>
          <w:i/>
        </w:rPr>
        <w:t xml:space="preserve">Sustainability, </w:t>
      </w:r>
      <w:r w:rsidRPr="00A81A4F">
        <w:t>12(3): 1-31.</w:t>
      </w:r>
      <w:bookmarkEnd w:id="193"/>
    </w:p>
    <w:p w14:paraId="654BE9BF" w14:textId="77777777" w:rsidR="002E0FEA" w:rsidRPr="00A81A4F" w:rsidRDefault="002E0FEA" w:rsidP="00FD0751">
      <w:pPr>
        <w:pStyle w:val="EndNoteBibliography"/>
        <w:spacing w:after="240"/>
        <w:ind w:left="720" w:hanging="720"/>
      </w:pPr>
      <w:bookmarkStart w:id="194" w:name="_ENREF_77"/>
      <w:r w:rsidRPr="00A81A4F">
        <w:t xml:space="preserve">Ping Jr, R. A. (1996). Latent variable interaction and quadratic effect estimation: A two-step technique using structural equation analysis. </w:t>
      </w:r>
      <w:r w:rsidRPr="00A81A4F">
        <w:rPr>
          <w:i/>
        </w:rPr>
        <w:t xml:space="preserve">Psychological Bulletin, </w:t>
      </w:r>
      <w:r w:rsidRPr="00A81A4F">
        <w:t>119(1): 166-175.</w:t>
      </w:r>
      <w:bookmarkEnd w:id="194"/>
    </w:p>
    <w:p w14:paraId="2C5340D8" w14:textId="77777777" w:rsidR="002E0FEA" w:rsidRPr="00A81A4F" w:rsidRDefault="002E0FEA" w:rsidP="00FD0751">
      <w:pPr>
        <w:pStyle w:val="EndNoteBibliography"/>
        <w:spacing w:after="240"/>
        <w:ind w:left="720" w:hanging="720"/>
      </w:pPr>
      <w:bookmarkStart w:id="195" w:name="_ENREF_78"/>
      <w:r w:rsidRPr="00A81A4F">
        <w:t xml:space="preserve">Podsakoff, P. M., MacKenzie, S. B., Lee, J. Y., &amp; Podsakoff, N. P. (2003). Common method biases in behavioral research: A critical review of the literature and recommended remedies. </w:t>
      </w:r>
      <w:r w:rsidRPr="00A81A4F">
        <w:rPr>
          <w:i/>
        </w:rPr>
        <w:t xml:space="preserve">Journal of Applied Psychology, </w:t>
      </w:r>
      <w:r w:rsidRPr="00A81A4F">
        <w:t>88(5): 879-903.</w:t>
      </w:r>
      <w:bookmarkEnd w:id="195"/>
    </w:p>
    <w:p w14:paraId="10EB6CFF" w14:textId="77777777" w:rsidR="002E0FEA" w:rsidRPr="00A81A4F" w:rsidRDefault="002E0FEA" w:rsidP="00FD0751">
      <w:pPr>
        <w:pStyle w:val="EndNoteBibliography"/>
        <w:spacing w:after="240"/>
        <w:ind w:left="720" w:hanging="720"/>
      </w:pPr>
      <w:bookmarkStart w:id="196" w:name="_ENREF_79"/>
      <w:r w:rsidRPr="00A81A4F">
        <w:t xml:space="preserve">Prakash, A., &amp; Potoski, M. (2006). </w:t>
      </w:r>
      <w:r w:rsidRPr="00A81A4F">
        <w:rPr>
          <w:i/>
        </w:rPr>
        <w:t>The voluntary environmentalists: Green clubs, ISO 14001, and voluntary environmental regulations</w:t>
      </w:r>
      <w:r w:rsidRPr="00A81A4F">
        <w:t>. Cambridge: Cambridge University Press.</w:t>
      </w:r>
      <w:bookmarkEnd w:id="196"/>
    </w:p>
    <w:p w14:paraId="32C133E7" w14:textId="77777777" w:rsidR="002E0FEA" w:rsidRPr="00A81A4F" w:rsidRDefault="002E0FEA" w:rsidP="00FD0751">
      <w:pPr>
        <w:pStyle w:val="EndNoteBibliography"/>
        <w:spacing w:after="240"/>
        <w:ind w:left="720" w:hanging="720"/>
      </w:pPr>
      <w:bookmarkStart w:id="197" w:name="_ENREF_80"/>
      <w:r w:rsidRPr="00A81A4F">
        <w:t xml:space="preserve">Prakash, G., &amp; Pathak, P. (2017). Intention to buy eco-friendly packaged products among young consumers of India: A study on developing nation. </w:t>
      </w:r>
      <w:r w:rsidRPr="00A81A4F">
        <w:rPr>
          <w:i/>
        </w:rPr>
        <w:t xml:space="preserve">Journal of Cleaner Production, </w:t>
      </w:r>
      <w:r w:rsidRPr="00A81A4F">
        <w:t>141: 385-393.</w:t>
      </w:r>
      <w:bookmarkEnd w:id="197"/>
    </w:p>
    <w:p w14:paraId="38F0E069" w14:textId="77777777" w:rsidR="002E0FEA" w:rsidRPr="00A81A4F" w:rsidRDefault="002E0FEA" w:rsidP="00FD0751">
      <w:pPr>
        <w:pStyle w:val="EndNoteBibliography"/>
        <w:spacing w:after="240"/>
        <w:ind w:left="720" w:hanging="720"/>
      </w:pPr>
      <w:bookmarkStart w:id="198" w:name="_ENREF_81"/>
      <w:r w:rsidRPr="00A81A4F">
        <w:t xml:space="preserve">Priem, R. L., &amp; Butler, J. E. (2001). Is the resource-based “view” a useful perspective for strategic management research? </w:t>
      </w:r>
      <w:r w:rsidRPr="00A81A4F">
        <w:rPr>
          <w:i/>
        </w:rPr>
        <w:t xml:space="preserve">Academy of Management Review, </w:t>
      </w:r>
      <w:r w:rsidRPr="00A81A4F">
        <w:t>26(1): 22-40.</w:t>
      </w:r>
      <w:bookmarkEnd w:id="198"/>
    </w:p>
    <w:p w14:paraId="0BDDFE87" w14:textId="77777777" w:rsidR="002E0FEA" w:rsidRPr="00A81A4F" w:rsidRDefault="002E0FEA" w:rsidP="00FD0751">
      <w:pPr>
        <w:pStyle w:val="EndNoteBibliography"/>
        <w:spacing w:after="240"/>
        <w:ind w:left="720" w:hanging="720"/>
      </w:pPr>
      <w:bookmarkStart w:id="199" w:name="_ENREF_82"/>
      <w:r w:rsidRPr="00A81A4F">
        <w:lastRenderedPageBreak/>
        <w:t xml:space="preserve">Richardson, B. J. (2019). Socially and environmentally responsible investment. In Miles, K. (Ed.), </w:t>
      </w:r>
      <w:r w:rsidRPr="00A81A4F">
        <w:rPr>
          <w:i/>
        </w:rPr>
        <w:t>Research Handbook on Environment and Investment Law</w:t>
      </w:r>
      <w:r w:rsidRPr="00A81A4F">
        <w:t xml:space="preserve"> (pp. 504-524): Edward Elgar Publishing.</w:t>
      </w:r>
      <w:bookmarkEnd w:id="199"/>
    </w:p>
    <w:p w14:paraId="5E7A4779" w14:textId="77777777" w:rsidR="002E0FEA" w:rsidRPr="00A81A4F" w:rsidRDefault="002E0FEA" w:rsidP="00FD0751">
      <w:pPr>
        <w:pStyle w:val="EndNoteBibliography"/>
        <w:spacing w:after="240"/>
        <w:ind w:left="720" w:hanging="720"/>
      </w:pPr>
      <w:bookmarkStart w:id="200" w:name="_ENREF_83"/>
      <w:r w:rsidRPr="00A81A4F">
        <w:t xml:space="preserve">Salomon, R., &amp; Wu, Z. (2012). Institutional distance and local isomorphism strategy. </w:t>
      </w:r>
      <w:r w:rsidRPr="00A81A4F">
        <w:rPr>
          <w:i/>
        </w:rPr>
        <w:t xml:space="preserve">Journal of International Business Studies, </w:t>
      </w:r>
      <w:r w:rsidRPr="00A81A4F">
        <w:t>43(4): 343-367.</w:t>
      </w:r>
      <w:bookmarkEnd w:id="200"/>
    </w:p>
    <w:p w14:paraId="1414E346" w14:textId="77777777" w:rsidR="002E0FEA" w:rsidRPr="00A81A4F" w:rsidRDefault="002E0FEA" w:rsidP="00FD0751">
      <w:pPr>
        <w:pStyle w:val="EndNoteBibliography"/>
        <w:spacing w:after="240"/>
        <w:ind w:left="720" w:hanging="720"/>
      </w:pPr>
      <w:bookmarkStart w:id="201" w:name="_ENREF_84"/>
      <w:r w:rsidRPr="00A81A4F">
        <w:t xml:space="preserve">Schwens, C., Eiche, J., &amp; Kabst, R. (2011). The moderating impact of informal institutional distance and formal institutional risk on SME entry mode choice. </w:t>
      </w:r>
      <w:r w:rsidRPr="00A81A4F">
        <w:rPr>
          <w:i/>
        </w:rPr>
        <w:t xml:space="preserve">Journal of Management Studies, </w:t>
      </w:r>
      <w:r w:rsidRPr="00A81A4F">
        <w:t>48(2): 330-351.</w:t>
      </w:r>
      <w:bookmarkEnd w:id="201"/>
    </w:p>
    <w:p w14:paraId="005FA0A4" w14:textId="77777777" w:rsidR="002E0FEA" w:rsidRPr="00A81A4F" w:rsidRDefault="002E0FEA" w:rsidP="00FD0751">
      <w:pPr>
        <w:pStyle w:val="EndNoteBibliography"/>
        <w:spacing w:after="240"/>
        <w:ind w:left="720" w:hanging="720"/>
      </w:pPr>
      <w:bookmarkStart w:id="202" w:name="_ENREF_85"/>
      <w:r w:rsidRPr="00A81A4F">
        <w:t xml:space="preserve">Selya, A. S., Rose, J. S., Dierker, L. C., Hedeker, D., &amp; Mermelstein, R. J. (2012). A practical guide to calculating Cohen’s f2, a measure of local effect size, from PROC MIXED. </w:t>
      </w:r>
      <w:r w:rsidRPr="00A81A4F">
        <w:rPr>
          <w:i/>
        </w:rPr>
        <w:t xml:space="preserve">Frontiers in Psychology, </w:t>
      </w:r>
      <w:r w:rsidRPr="00A81A4F">
        <w:t>3(1): 1-6.</w:t>
      </w:r>
      <w:bookmarkEnd w:id="202"/>
    </w:p>
    <w:p w14:paraId="6FA26D7F" w14:textId="77777777" w:rsidR="002E0FEA" w:rsidRPr="00A81A4F" w:rsidRDefault="002E0FEA" w:rsidP="00FD0751">
      <w:pPr>
        <w:pStyle w:val="EndNoteBibliography"/>
        <w:spacing w:after="240"/>
        <w:ind w:left="720" w:hanging="720"/>
      </w:pPr>
      <w:bookmarkStart w:id="203" w:name="_ENREF_86"/>
      <w:r w:rsidRPr="00A81A4F">
        <w:t xml:space="preserve">Sheng, S., Zhou, K. Z., &amp; Li, J. J. (2011). The effects of business and political ties on firm performance: Evidence from China. </w:t>
      </w:r>
      <w:r w:rsidRPr="00A81A4F">
        <w:rPr>
          <w:i/>
        </w:rPr>
        <w:t xml:space="preserve">Journal of Marketing, </w:t>
      </w:r>
      <w:r w:rsidRPr="00A81A4F">
        <w:t>75(1): 1-15.</w:t>
      </w:r>
      <w:bookmarkEnd w:id="203"/>
    </w:p>
    <w:p w14:paraId="454F8AA3" w14:textId="77777777" w:rsidR="002E0FEA" w:rsidRPr="00A81A4F" w:rsidRDefault="002E0FEA" w:rsidP="00FD0751">
      <w:pPr>
        <w:pStyle w:val="EndNoteBibliography"/>
        <w:spacing w:after="240"/>
        <w:ind w:left="720" w:hanging="720"/>
      </w:pPr>
      <w:bookmarkStart w:id="204" w:name="_ENREF_87"/>
      <w:r w:rsidRPr="00A81A4F">
        <w:t xml:space="preserve">Sheng, Y., Zhao, J., Zhang, X., Song, J., &amp; Miao, Y. (2019). Innovation efficiency and spatial spillover in urban agglomerations: A case of the Beijing-Tianjin-Hebei, the Yangtze River Delta, and the Pearl River Delta. </w:t>
      </w:r>
      <w:r w:rsidRPr="00A81A4F">
        <w:rPr>
          <w:i/>
        </w:rPr>
        <w:t xml:space="preserve">Growth and Change, </w:t>
      </w:r>
      <w:r w:rsidRPr="00A81A4F">
        <w:t>50(4): 1280-1310.</w:t>
      </w:r>
      <w:bookmarkEnd w:id="204"/>
    </w:p>
    <w:p w14:paraId="17866DDA" w14:textId="77777777" w:rsidR="002E0FEA" w:rsidRPr="00A81A4F" w:rsidRDefault="002E0FEA" w:rsidP="00FD0751">
      <w:pPr>
        <w:pStyle w:val="EndNoteBibliography"/>
        <w:spacing w:after="240"/>
        <w:ind w:left="720" w:hanging="720"/>
      </w:pPr>
      <w:bookmarkStart w:id="205" w:name="_ENREF_88"/>
      <w:r w:rsidRPr="00A81A4F">
        <w:t xml:space="preserve">Swaminathan, A., &amp; Wade, J. B. (2018). Institutional Environment. In Augier, M. &amp; Teece, D.J. (Eds.), </w:t>
      </w:r>
      <w:r w:rsidRPr="00A81A4F">
        <w:rPr>
          <w:i/>
        </w:rPr>
        <w:t>The Palgrave Encyclopedia of Strategic Management</w:t>
      </w:r>
      <w:r w:rsidRPr="00A81A4F">
        <w:t xml:space="preserve"> (pp. 1-7).</w:t>
      </w:r>
      <w:bookmarkEnd w:id="205"/>
    </w:p>
    <w:p w14:paraId="1B31077C" w14:textId="77777777" w:rsidR="002E0FEA" w:rsidRPr="00A81A4F" w:rsidRDefault="002E0FEA" w:rsidP="00FD0751">
      <w:pPr>
        <w:pStyle w:val="EndNoteBibliography"/>
        <w:spacing w:after="240"/>
        <w:ind w:left="720" w:hanging="720"/>
      </w:pPr>
      <w:bookmarkStart w:id="206" w:name="_ENREF_89"/>
      <w:r w:rsidRPr="00A81A4F">
        <w:t xml:space="preserve">Tian, Y. A., Nicholson, J. D., Eklinder-Frick, J., &amp; Johanson, M. (2018). The interplay between social capital and international opportunities: A processual study of international ‘take-off’episodes in Chinese SMEs. </w:t>
      </w:r>
      <w:r w:rsidRPr="00A81A4F">
        <w:rPr>
          <w:i/>
        </w:rPr>
        <w:t xml:space="preserve">Industrial Marketing Management, </w:t>
      </w:r>
      <w:r w:rsidRPr="00A81A4F">
        <w:t>70: 180-192.</w:t>
      </w:r>
      <w:bookmarkEnd w:id="206"/>
    </w:p>
    <w:p w14:paraId="42F8D7DE" w14:textId="77777777" w:rsidR="002E0FEA" w:rsidRPr="00A81A4F" w:rsidRDefault="002E0FEA" w:rsidP="00FD0751">
      <w:pPr>
        <w:pStyle w:val="EndNoteBibliography"/>
        <w:spacing w:after="240"/>
        <w:ind w:left="720" w:hanging="720"/>
      </w:pPr>
      <w:bookmarkStart w:id="207" w:name="_ENREF_90"/>
      <w:r w:rsidRPr="00A81A4F">
        <w:rPr>
          <w:rFonts w:hint="eastAsia"/>
        </w:rPr>
        <w:t>Trumpp, C., &amp; Guenther, T. (2017). Too little or too much? Exploring U</w:t>
      </w:r>
      <w:r w:rsidRPr="00A81A4F">
        <w:rPr>
          <w:rFonts w:hint="eastAsia"/>
        </w:rPr>
        <w:t>‐</w:t>
      </w:r>
      <w:r w:rsidRPr="00A81A4F">
        <w:rPr>
          <w:rFonts w:hint="eastAsia"/>
        </w:rPr>
        <w:t xml:space="preserve">shaped relationships between corporate </w:t>
      </w:r>
      <w:r w:rsidRPr="00A81A4F">
        <w:t xml:space="preserve">environmental performance and corporate financial performance. </w:t>
      </w:r>
      <w:r w:rsidRPr="00A81A4F">
        <w:rPr>
          <w:i/>
        </w:rPr>
        <w:t xml:space="preserve">Business Strategy and the Environment, </w:t>
      </w:r>
      <w:r w:rsidRPr="00A81A4F">
        <w:t>26(1): 49-68.</w:t>
      </w:r>
      <w:bookmarkEnd w:id="207"/>
    </w:p>
    <w:p w14:paraId="5F7E45D9" w14:textId="77777777" w:rsidR="002E0FEA" w:rsidRPr="00A81A4F" w:rsidRDefault="002E0FEA" w:rsidP="00FD0751">
      <w:pPr>
        <w:pStyle w:val="EndNoteBibliography"/>
        <w:spacing w:after="240"/>
        <w:ind w:left="720" w:hanging="720"/>
      </w:pPr>
      <w:bookmarkStart w:id="208" w:name="_ENREF_91"/>
      <w:r w:rsidRPr="00A81A4F">
        <w:t xml:space="preserve">UK Exporting. (2018). Number of UK SMEs exporting on the rise. Retrieved: </w:t>
      </w:r>
      <w:r w:rsidRPr="002E0FEA">
        <w:t>https://www.export.org.uk/news/428549/Number-of-UK-SMEs-exporting-on-the-rise.htm</w:t>
      </w:r>
      <w:r w:rsidRPr="00A81A4F">
        <w:t>, Accessed: April, 2020</w:t>
      </w:r>
      <w:bookmarkEnd w:id="208"/>
    </w:p>
    <w:p w14:paraId="0A4A8CBF" w14:textId="77777777" w:rsidR="002E0FEA" w:rsidRPr="00A81A4F" w:rsidRDefault="002E0FEA" w:rsidP="00FD0751">
      <w:pPr>
        <w:pStyle w:val="EndNoteBibliography"/>
        <w:spacing w:after="240"/>
        <w:ind w:left="720" w:hanging="720"/>
      </w:pPr>
      <w:bookmarkStart w:id="209" w:name="_ENREF_92"/>
      <w:r w:rsidRPr="00A81A4F">
        <w:lastRenderedPageBreak/>
        <w:t xml:space="preserve">Wang, W., &amp; Ma, H. (2018). Export strategy, export intensity and learning: Integrating the resource perspective and institutional perspective. </w:t>
      </w:r>
      <w:r w:rsidRPr="00A81A4F">
        <w:rPr>
          <w:i/>
        </w:rPr>
        <w:t xml:space="preserve">Journal of World Business, </w:t>
      </w:r>
      <w:r w:rsidRPr="00A81A4F">
        <w:t>53(4): 581-592.</w:t>
      </w:r>
      <w:bookmarkEnd w:id="209"/>
    </w:p>
    <w:p w14:paraId="690638FA" w14:textId="77777777" w:rsidR="002E0FEA" w:rsidRPr="00A81A4F" w:rsidRDefault="002E0FEA" w:rsidP="00FD0751">
      <w:pPr>
        <w:pStyle w:val="EndNoteBibliography"/>
        <w:spacing w:after="240"/>
        <w:ind w:left="720" w:hanging="720"/>
      </w:pPr>
      <w:bookmarkStart w:id="210" w:name="_ENREF_93"/>
      <w:r w:rsidRPr="00A81A4F">
        <w:t xml:space="preserve">Welch, L. S., &amp; Luostarinen, R. K. (1993). Inward-outward connections in internationalization. </w:t>
      </w:r>
      <w:r w:rsidRPr="00A81A4F">
        <w:rPr>
          <w:i/>
        </w:rPr>
        <w:t xml:space="preserve">Journal of International Marketing, </w:t>
      </w:r>
      <w:r w:rsidRPr="00A81A4F">
        <w:t>1(1): 44-56.</w:t>
      </w:r>
      <w:bookmarkEnd w:id="210"/>
    </w:p>
    <w:p w14:paraId="2EC4B480" w14:textId="77777777" w:rsidR="002E0FEA" w:rsidRPr="00A81A4F" w:rsidRDefault="002E0FEA" w:rsidP="00FD0751">
      <w:pPr>
        <w:pStyle w:val="EndNoteBibliography"/>
        <w:spacing w:after="240"/>
        <w:ind w:left="720" w:hanging="720"/>
      </w:pPr>
      <w:bookmarkStart w:id="211" w:name="_ENREF_94"/>
      <w:r w:rsidRPr="00A81A4F">
        <w:t xml:space="preserve">Wernerfelt, B. (2011). Invited editorial: The use of resources in resource acquisition. </w:t>
      </w:r>
      <w:r w:rsidRPr="00A81A4F">
        <w:rPr>
          <w:i/>
        </w:rPr>
        <w:t xml:space="preserve">Journal of Management, </w:t>
      </w:r>
      <w:r w:rsidRPr="00A81A4F">
        <w:t>37(5): 1369-1373.</w:t>
      </w:r>
      <w:bookmarkEnd w:id="211"/>
    </w:p>
    <w:p w14:paraId="4B4D58A2" w14:textId="77777777" w:rsidR="002E0FEA" w:rsidRPr="00A81A4F" w:rsidRDefault="002E0FEA" w:rsidP="00FD0751">
      <w:pPr>
        <w:pStyle w:val="EndNoteBibliography"/>
        <w:spacing w:after="240"/>
        <w:ind w:left="720" w:hanging="720"/>
      </w:pPr>
      <w:bookmarkStart w:id="212" w:name="_ENREF_95"/>
      <w:r w:rsidRPr="00A81A4F">
        <w:t xml:space="preserve">White, K., Hardisty, D. J., &amp; Habib, R. (2019). The elusive green consumer. </w:t>
      </w:r>
      <w:r w:rsidRPr="00A81A4F">
        <w:rPr>
          <w:i/>
        </w:rPr>
        <w:t xml:space="preserve">Harvard Business Review, </w:t>
      </w:r>
      <w:r w:rsidRPr="00A81A4F">
        <w:t>97(4): 124-133.</w:t>
      </w:r>
      <w:bookmarkEnd w:id="212"/>
    </w:p>
    <w:p w14:paraId="714E194A" w14:textId="77777777" w:rsidR="002E0FEA" w:rsidRPr="00A81A4F" w:rsidRDefault="002E0FEA" w:rsidP="00FD0751">
      <w:pPr>
        <w:pStyle w:val="EndNoteBibliography"/>
        <w:spacing w:after="240"/>
        <w:ind w:left="720" w:hanging="720"/>
      </w:pPr>
      <w:bookmarkStart w:id="213" w:name="_ENREF_96"/>
      <w:r w:rsidRPr="00A81A4F">
        <w:t xml:space="preserve">Wijen, F., &amp; van Tulder, R. (2011). Integrating environmental and international strategies in a world of regulatory turbulence. </w:t>
      </w:r>
      <w:r w:rsidRPr="00A81A4F">
        <w:rPr>
          <w:i/>
        </w:rPr>
        <w:t xml:space="preserve">California Management Review, </w:t>
      </w:r>
      <w:r w:rsidRPr="00A81A4F">
        <w:t>53(4): 23-46.</w:t>
      </w:r>
      <w:bookmarkEnd w:id="213"/>
    </w:p>
    <w:p w14:paraId="5C2D0EF0" w14:textId="77777777" w:rsidR="002E0FEA" w:rsidRPr="00A81A4F" w:rsidRDefault="002E0FEA" w:rsidP="00FD0751">
      <w:pPr>
        <w:pStyle w:val="EndNoteBibliography"/>
        <w:spacing w:after="240"/>
        <w:ind w:left="720" w:hanging="720"/>
      </w:pPr>
      <w:bookmarkStart w:id="214" w:name="_ENREF_97"/>
      <w:r w:rsidRPr="00A81A4F">
        <w:t xml:space="preserve">Xu, X., Zeng, S., &amp; Chen, H. (2018). Signaling good by doing good: How does environmental corporate social responsibility affect international expansion? </w:t>
      </w:r>
      <w:r w:rsidRPr="00A81A4F">
        <w:rPr>
          <w:i/>
        </w:rPr>
        <w:t xml:space="preserve">Business Strategy and The Environment, </w:t>
      </w:r>
      <w:r w:rsidRPr="00A81A4F">
        <w:t>27(7): 946-959.</w:t>
      </w:r>
      <w:bookmarkEnd w:id="214"/>
    </w:p>
    <w:p w14:paraId="47A2EC1F" w14:textId="77777777" w:rsidR="002E0FEA" w:rsidRPr="00A81A4F" w:rsidRDefault="002E0FEA" w:rsidP="00FD0751">
      <w:pPr>
        <w:pStyle w:val="EndNoteBibliography"/>
        <w:spacing w:after="240"/>
        <w:ind w:left="720" w:hanging="720"/>
      </w:pPr>
      <w:bookmarkStart w:id="215" w:name="_ENREF_98"/>
      <w:r w:rsidRPr="00A81A4F">
        <w:t xml:space="preserve">Zeng, S. X., Meng, X. H., Zeng, R. C., Tam, C. M., Tam, V. W. Y., &amp; Jin, T. (2011). How environmental management driving forces affect environmental and economic performance of SMEs: A study in the Northern China district. </w:t>
      </w:r>
      <w:r w:rsidRPr="00A81A4F">
        <w:rPr>
          <w:i/>
        </w:rPr>
        <w:t xml:space="preserve">Journal of Cleaner Production, </w:t>
      </w:r>
      <w:r w:rsidRPr="00A81A4F">
        <w:t>19(13): 1426-1437.</w:t>
      </w:r>
      <w:bookmarkEnd w:id="215"/>
    </w:p>
    <w:p w14:paraId="5049406C" w14:textId="77777777" w:rsidR="002E0FEA" w:rsidRPr="00A81A4F" w:rsidRDefault="002E0FEA" w:rsidP="00FD0751">
      <w:pPr>
        <w:pStyle w:val="EndNoteBibliography"/>
        <w:spacing w:after="240"/>
        <w:ind w:left="720" w:hanging="720"/>
      </w:pPr>
      <w:bookmarkStart w:id="216" w:name="_ENREF_99"/>
      <w:r w:rsidRPr="00A81A4F">
        <w:t xml:space="preserve">Zhang, A., Venkatesh, V. G., Liu, Y., Wan, M., Qu, T., &amp; Huisingh, D. (2019). Barriers to smart waste management for a circular economy in China. </w:t>
      </w:r>
      <w:r w:rsidRPr="00A81A4F">
        <w:rPr>
          <w:i/>
        </w:rPr>
        <w:t xml:space="preserve">Journal of Cleaner Production, </w:t>
      </w:r>
      <w:r w:rsidRPr="00A81A4F">
        <w:t>240(1): 1-12.</w:t>
      </w:r>
      <w:bookmarkEnd w:id="216"/>
    </w:p>
    <w:p w14:paraId="25393CF0" w14:textId="77777777" w:rsidR="002E0FEA" w:rsidRPr="00A81A4F" w:rsidRDefault="002E0FEA" w:rsidP="00FD0751">
      <w:pPr>
        <w:pStyle w:val="EndNoteBibliography"/>
        <w:spacing w:after="240"/>
        <w:ind w:left="720" w:hanging="720"/>
      </w:pPr>
      <w:bookmarkStart w:id="217" w:name="_ENREF_100"/>
      <w:r w:rsidRPr="00A81A4F">
        <w:t xml:space="preserve">Zhang, B., Bi, J., &amp; Liu, B. (2009). Drivers and barriers to engage enterprises in environmental management initiatives in Suzhou Industrial Park, China. </w:t>
      </w:r>
      <w:r w:rsidRPr="00A81A4F">
        <w:rPr>
          <w:i/>
        </w:rPr>
        <w:t xml:space="preserve">Frontiers of Environmental Science &amp; Engineering in China, </w:t>
      </w:r>
      <w:r w:rsidRPr="00A81A4F">
        <w:t>3(2): 210-220.</w:t>
      </w:r>
      <w:bookmarkEnd w:id="217"/>
    </w:p>
    <w:p w14:paraId="1FE38487" w14:textId="77777777" w:rsidR="002E0FEA" w:rsidRPr="00A81A4F" w:rsidRDefault="002E0FEA" w:rsidP="00FD0751">
      <w:pPr>
        <w:pStyle w:val="EndNoteBibliography"/>
        <w:spacing w:after="240"/>
        <w:ind w:left="720" w:hanging="720"/>
      </w:pPr>
      <w:bookmarkStart w:id="218" w:name="_ENREF_101"/>
      <w:r w:rsidRPr="00A81A4F">
        <w:t xml:space="preserve">Zhang, X., Ma, X., Wang, Y., Li, X., &amp; Huo, D. (2016). What drives the internationalization of Chinese SMEs? The joint effects of international entrepreneurship characteristics, network ties, and firm ownership. </w:t>
      </w:r>
      <w:r w:rsidRPr="00A81A4F">
        <w:rPr>
          <w:i/>
        </w:rPr>
        <w:t xml:space="preserve">International Business Review, </w:t>
      </w:r>
      <w:r w:rsidRPr="00A81A4F">
        <w:t>25(2): 522-534.</w:t>
      </w:r>
      <w:bookmarkEnd w:id="218"/>
    </w:p>
    <w:p w14:paraId="765FF180" w14:textId="77777777" w:rsidR="002E0FEA" w:rsidRPr="00A81A4F" w:rsidRDefault="002E0FEA" w:rsidP="00FD0751">
      <w:pPr>
        <w:pStyle w:val="EndNoteBibliography"/>
        <w:spacing w:after="240"/>
        <w:ind w:left="720" w:hanging="720"/>
      </w:pPr>
      <w:bookmarkStart w:id="219" w:name="_ENREF_102"/>
      <w:r w:rsidRPr="00A81A4F">
        <w:lastRenderedPageBreak/>
        <w:t xml:space="preserve">Zhou, L., Wu, W.-p., &amp; Luo, X. (2007). Internationalization and the performance of born-global SMEs: The mediating role of social networks. </w:t>
      </w:r>
      <w:r w:rsidRPr="00A81A4F">
        <w:rPr>
          <w:i/>
        </w:rPr>
        <w:t xml:space="preserve">Journal of International Business Studies, </w:t>
      </w:r>
      <w:r w:rsidRPr="00A81A4F">
        <w:t>38(4): 673-690.</w:t>
      </w:r>
      <w:bookmarkEnd w:id="219"/>
    </w:p>
    <w:p w14:paraId="59C0C01F" w14:textId="77777777" w:rsidR="002E0FEA" w:rsidRPr="00A81A4F" w:rsidRDefault="002E0FEA" w:rsidP="00FD0751">
      <w:pPr>
        <w:pStyle w:val="EndNoteBibliography"/>
        <w:spacing w:after="240"/>
        <w:ind w:left="720" w:hanging="720"/>
      </w:pPr>
      <w:bookmarkStart w:id="220" w:name="_ENREF_103"/>
      <w:r w:rsidRPr="00A81A4F">
        <w:t xml:space="preserve">Zhu, Q. (2016). Institutional pressures and support from industrial zones for motivating sustainable production among Chinese manufacturers. </w:t>
      </w:r>
      <w:r w:rsidRPr="00A81A4F">
        <w:rPr>
          <w:i/>
        </w:rPr>
        <w:t xml:space="preserve">International Journal of Production Economics, </w:t>
      </w:r>
      <w:r w:rsidRPr="00A81A4F">
        <w:t>181: 402-409.</w:t>
      </w:r>
      <w:bookmarkEnd w:id="220"/>
    </w:p>
    <w:p w14:paraId="52975295" w14:textId="77777777" w:rsidR="002E0FEA" w:rsidRPr="00A81A4F" w:rsidRDefault="002E0FEA" w:rsidP="00FD0751">
      <w:pPr>
        <w:pStyle w:val="EndNoteBibliography"/>
        <w:spacing w:after="240"/>
        <w:ind w:left="720" w:hanging="720"/>
      </w:pPr>
      <w:bookmarkStart w:id="221" w:name="_ENREF_104"/>
      <w:r w:rsidRPr="00A81A4F">
        <w:t xml:space="preserve">Zhu, Q., &amp; Sarkis, J. (2007). The moderating effects of institutional pressures on emergent green supply chain practices and performance. </w:t>
      </w:r>
      <w:r w:rsidRPr="00A81A4F">
        <w:rPr>
          <w:i/>
        </w:rPr>
        <w:t xml:space="preserve">International Journal of Production Research, </w:t>
      </w:r>
      <w:r w:rsidRPr="00A81A4F">
        <w:t>45(19): 4333-4355.</w:t>
      </w:r>
      <w:bookmarkEnd w:id="221"/>
    </w:p>
    <w:p w14:paraId="1247F87F" w14:textId="77777777" w:rsidR="002E0FEA" w:rsidRPr="00A81A4F" w:rsidRDefault="002E0FEA" w:rsidP="00FD0751">
      <w:pPr>
        <w:pStyle w:val="EndNoteBibliography"/>
        <w:ind w:left="720" w:hanging="720"/>
      </w:pPr>
      <w:bookmarkStart w:id="222" w:name="_ENREF_105"/>
      <w:r w:rsidRPr="00A81A4F">
        <w:t xml:space="preserve">Zhu, Q., Sarkis, J., Cordeiro, J. J., &amp; Lai, K.-H. (2008). Firm-level correlates of emergent green supply chain management practices in the Chinese context. </w:t>
      </w:r>
      <w:r w:rsidRPr="00A81A4F">
        <w:rPr>
          <w:i/>
        </w:rPr>
        <w:t xml:space="preserve">Omega, </w:t>
      </w:r>
      <w:r w:rsidRPr="00A81A4F">
        <w:t>36(4): 577-591.</w:t>
      </w:r>
      <w:bookmarkEnd w:id="222"/>
    </w:p>
    <w:p w14:paraId="6E14D5DC" w14:textId="77777777" w:rsidR="002E0FEA" w:rsidRPr="00A81A4F" w:rsidRDefault="002E0FEA" w:rsidP="00DF0C72">
      <w:pPr>
        <w:spacing w:after="0" w:line="480" w:lineRule="auto"/>
        <w:ind w:firstLine="720"/>
        <w:jc w:val="both"/>
      </w:pPr>
    </w:p>
    <w:p w14:paraId="305D3BD4" w14:textId="77777777" w:rsidR="002E0FEA" w:rsidRPr="00A81A4F" w:rsidRDefault="002E0FEA" w:rsidP="008D3D54">
      <w:pPr>
        <w:spacing w:after="0" w:line="480" w:lineRule="auto"/>
        <w:jc w:val="both"/>
      </w:pPr>
    </w:p>
    <w:p w14:paraId="03CD04DE" w14:textId="77777777" w:rsidR="002E0FEA" w:rsidRPr="00A81A4F" w:rsidRDefault="002E0FEA" w:rsidP="008D3D54">
      <w:pPr>
        <w:spacing w:after="0" w:line="480" w:lineRule="auto"/>
        <w:jc w:val="both"/>
      </w:pPr>
    </w:p>
    <w:p w14:paraId="6B406BBF" w14:textId="77777777" w:rsidR="002E0FEA" w:rsidRPr="00A81A4F" w:rsidRDefault="002E0FEA" w:rsidP="008D3D54">
      <w:pPr>
        <w:spacing w:after="0" w:line="480" w:lineRule="auto"/>
        <w:jc w:val="both"/>
      </w:pPr>
    </w:p>
    <w:p w14:paraId="217279F2" w14:textId="77777777" w:rsidR="002E0FEA" w:rsidRPr="00A81A4F" w:rsidRDefault="002E0FEA" w:rsidP="008D3D54">
      <w:pPr>
        <w:spacing w:after="0" w:line="480" w:lineRule="auto"/>
        <w:jc w:val="both"/>
      </w:pPr>
    </w:p>
    <w:p w14:paraId="3FBD009F" w14:textId="77777777" w:rsidR="002E0FEA" w:rsidRPr="00A81A4F" w:rsidRDefault="002E0FEA" w:rsidP="008D3D54">
      <w:pPr>
        <w:spacing w:after="0" w:line="480" w:lineRule="auto"/>
        <w:jc w:val="both"/>
        <w:sectPr w:rsidR="002E0FEA" w:rsidRPr="00A81A4F" w:rsidSect="00090B6B">
          <w:footerReference w:type="default" r:id="rId7"/>
          <w:pgSz w:w="11906" w:h="16838"/>
          <w:pgMar w:top="1440" w:right="1440" w:bottom="1440" w:left="1440" w:header="708" w:footer="708" w:gutter="0"/>
          <w:cols w:space="708"/>
          <w:docGrid w:linePitch="360"/>
        </w:sectPr>
      </w:pPr>
    </w:p>
    <w:p w14:paraId="50CDA715" w14:textId="77777777" w:rsidR="002E0FEA" w:rsidRPr="00A81A4F" w:rsidRDefault="002E0FEA" w:rsidP="00E539CE">
      <w:pPr>
        <w:spacing w:after="0" w:line="240" w:lineRule="auto"/>
        <w:rPr>
          <w:rFonts w:cs="Calibri"/>
          <w:lang w:val="en-GB" w:eastAsia="en-US"/>
        </w:rPr>
      </w:pPr>
    </w:p>
    <w:p w14:paraId="7C8FA9DD" w14:textId="77777777" w:rsidR="002E0FEA" w:rsidRPr="00A81A4F" w:rsidRDefault="002E0FEA" w:rsidP="00E539CE">
      <w:pPr>
        <w:spacing w:after="0" w:line="240" w:lineRule="auto"/>
        <w:jc w:val="center"/>
        <w:rPr>
          <w:rFonts w:cs="Calibri"/>
          <w:b/>
          <w:lang w:val="en-GB" w:eastAsia="en-US"/>
        </w:rPr>
      </w:pPr>
      <w:r w:rsidRPr="00A81A4F">
        <w:rPr>
          <w:rFonts w:cs="Calibri"/>
          <w:b/>
          <w:lang w:val="en-GB" w:eastAsia="en-US"/>
        </w:rPr>
        <w:t>Figure 1: Conceptual Framework</w:t>
      </w:r>
    </w:p>
    <w:p w14:paraId="2E74904D" w14:textId="77777777" w:rsidR="002E0FEA" w:rsidRPr="00A81A4F" w:rsidRDefault="002E0FEA" w:rsidP="00E539CE">
      <w:pPr>
        <w:spacing w:after="0" w:line="240" w:lineRule="auto"/>
        <w:rPr>
          <w:rFonts w:cs="Calibri"/>
          <w:lang w:val="en-GB" w:eastAsia="en-US"/>
        </w:rPr>
      </w:pPr>
    </w:p>
    <w:p w14:paraId="48D0AE1E" w14:textId="77777777" w:rsidR="002E0FEA" w:rsidRPr="00A81A4F" w:rsidRDefault="002E0FEA" w:rsidP="00E539CE">
      <w:pPr>
        <w:spacing w:after="0" w:line="240" w:lineRule="auto"/>
        <w:rPr>
          <w:rFonts w:cs="Calibri"/>
          <w:lang w:val="en-GB" w:eastAsia="en-US"/>
        </w:rPr>
      </w:pPr>
    </w:p>
    <w:p w14:paraId="08B48E11" w14:textId="77777777" w:rsidR="002E0FEA" w:rsidRPr="00A81A4F" w:rsidRDefault="002E0FEA" w:rsidP="00E539CE">
      <w:pPr>
        <w:spacing w:after="0" w:line="240" w:lineRule="auto"/>
        <w:rPr>
          <w:rFonts w:cs="Calibri"/>
          <w:lang w:val="en-GB" w:eastAsia="en-US"/>
        </w:rPr>
      </w:pPr>
    </w:p>
    <w:p w14:paraId="11BADB80" w14:textId="77777777" w:rsidR="002E0FEA" w:rsidRPr="00A81A4F" w:rsidRDefault="002E0FEA" w:rsidP="00E539CE">
      <w:pPr>
        <w:spacing w:after="0" w:line="240" w:lineRule="auto"/>
        <w:rPr>
          <w:rFonts w:cs="Calibri"/>
          <w:lang w:val="en-GB" w:eastAsia="en-US"/>
        </w:rPr>
      </w:pPr>
    </w:p>
    <w:p w14:paraId="48836F41" w14:textId="77777777" w:rsidR="002E0FEA" w:rsidRPr="00A81A4F" w:rsidRDefault="002E0FEA" w:rsidP="00E539CE">
      <w:pPr>
        <w:spacing w:after="0" w:line="240" w:lineRule="auto"/>
        <w:rPr>
          <w:rFonts w:cs="Calibri"/>
          <w:lang w:val="en-GB" w:eastAsia="en-US"/>
        </w:rPr>
      </w:pPr>
    </w:p>
    <w:p w14:paraId="754FDB77" w14:textId="77777777" w:rsidR="002E0FEA" w:rsidRPr="00A81A4F" w:rsidRDefault="002E0FEA" w:rsidP="00E539CE">
      <w:pPr>
        <w:spacing w:after="0" w:line="240" w:lineRule="auto"/>
        <w:rPr>
          <w:rFonts w:cs="Calibri"/>
          <w:lang w:val="en-GB" w:eastAsia="en-US"/>
        </w:rPr>
      </w:pPr>
    </w:p>
    <w:p w14:paraId="13A34FAE" w14:textId="77777777" w:rsidR="002E0FEA" w:rsidRPr="00A81A4F" w:rsidRDefault="002E0FEA" w:rsidP="00E539CE">
      <w:pPr>
        <w:spacing w:after="0" w:line="240" w:lineRule="auto"/>
        <w:rPr>
          <w:rFonts w:cs="Calibri"/>
          <w:lang w:val="en-GB" w:eastAsia="en-US"/>
        </w:rPr>
      </w:pPr>
    </w:p>
    <w:p w14:paraId="7B348BF7" w14:textId="77777777" w:rsidR="002E0FEA" w:rsidRPr="00A81A4F" w:rsidRDefault="002E0FEA" w:rsidP="00E539CE">
      <w:pPr>
        <w:spacing w:after="0" w:line="240" w:lineRule="auto"/>
        <w:rPr>
          <w:rFonts w:cs="Calibri"/>
          <w:lang w:val="en-GB" w:eastAsia="en-US"/>
        </w:rPr>
      </w:pPr>
    </w:p>
    <w:p w14:paraId="29EA870E" w14:textId="77777777" w:rsidR="002E0FEA" w:rsidRPr="00A81A4F" w:rsidRDefault="00047839" w:rsidP="00E539CE">
      <w:pPr>
        <w:spacing w:after="0" w:line="240" w:lineRule="auto"/>
        <w:rPr>
          <w:rFonts w:cs="Calibri"/>
          <w:lang w:val="en-GB" w:eastAsia="en-US"/>
        </w:rPr>
      </w:pPr>
      <w:r>
        <w:rPr>
          <w:noProof/>
        </w:rPr>
        <w:pict w14:anchorId="07F39965">
          <v:shapetype id="_x0000_t202" coordsize="21600,21600" o:spt="202" path="m,l,21600r21600,l21600,xe">
            <v:stroke joinstyle="miter"/>
            <v:path gradientshapeok="t" o:connecttype="rect"/>
          </v:shapetype>
          <v:shape id="Text Box 2" o:spid="_x0000_s1026" type="#_x0000_t202" style="position:absolute;margin-left:248.5pt;margin-top:4.1pt;width:158.4pt;height:41.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HJZAIAANsEAAAOAAAAZHJzL2Uyb0RvYy54bWysVF1P2zAUfZ+0/2D5faQttE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" fillcolor="window" strokeweight=".5pt">
            <v:path arrowok="t"/>
            <v:textbox>
              <w:txbxContent>
                <w:p w14:paraId="2F0E21A1" w14:textId="77777777" w:rsidR="002E0FEA" w:rsidRDefault="002E0FEA" w:rsidP="00E539CE">
                  <w:pPr>
                    <w:jc w:val="center"/>
                  </w:pPr>
                  <w:r>
                    <w:t xml:space="preserve">Foreign Environmental </w:t>
                  </w:r>
                  <w:r w:rsidRPr="00B9019A">
                    <w:t xml:space="preserve">Regulatory </w:t>
                  </w:r>
                  <w:r>
                    <w:t>Pressure</w:t>
                  </w:r>
                </w:p>
              </w:txbxContent>
            </v:textbox>
          </v:shape>
        </w:pict>
      </w:r>
    </w:p>
    <w:p w14:paraId="254BF589" w14:textId="77777777" w:rsidR="002E0FEA" w:rsidRPr="00A81A4F" w:rsidRDefault="002E0FEA" w:rsidP="00E539CE">
      <w:pPr>
        <w:spacing w:after="0" w:line="240" w:lineRule="auto"/>
        <w:rPr>
          <w:rFonts w:cs="Calibri"/>
          <w:lang w:val="en-GB" w:eastAsia="en-US"/>
        </w:rPr>
      </w:pPr>
    </w:p>
    <w:p w14:paraId="6E174D40" w14:textId="77777777" w:rsidR="002E0FEA" w:rsidRPr="00A81A4F" w:rsidRDefault="002E0FEA" w:rsidP="00E539CE">
      <w:pPr>
        <w:spacing w:after="0" w:line="240" w:lineRule="auto"/>
        <w:rPr>
          <w:rFonts w:cs="Calibri"/>
          <w:lang w:val="en-GB" w:eastAsia="en-US"/>
        </w:rPr>
      </w:pPr>
    </w:p>
    <w:p w14:paraId="0EFB9134" w14:textId="77777777" w:rsidR="002E0FEA" w:rsidRPr="00A81A4F" w:rsidRDefault="00047839" w:rsidP="00E539CE">
      <w:pPr>
        <w:spacing w:after="0" w:line="240" w:lineRule="auto"/>
        <w:rPr>
          <w:rFonts w:cs="Calibri"/>
          <w:lang w:val="en-GB" w:eastAsia="en-US"/>
        </w:rPr>
      </w:pPr>
      <w:r>
        <w:rPr>
          <w:noProof/>
        </w:rPr>
        <w:pict w14:anchorId="27506A92">
          <v:shapetype id="_x0000_t32" coordsize="21600,21600" o:spt="32" o:oned="t" path="m,l21600,21600e" filled="f">
            <v:path arrowok="t" fillok="f" o:connecttype="none"/>
            <o:lock v:ext="edit" shapetype="t"/>
          </v:shapetype>
          <v:shape id="Straight Arrow Connector 25" o:spid="_x0000_s1032" type="#_x0000_t32" style="position:absolute;margin-left:326.15pt;margin-top:7.75pt;width:0;height:66.9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" strokecolor="windowText" strokeweight="1pt">
            <v:stroke endarrow="block" joinstyle="miter"/>
          </v:shape>
        </w:pict>
      </w:r>
    </w:p>
    <w:p w14:paraId="63FE4298" w14:textId="77777777" w:rsidR="002E0FEA" w:rsidRPr="00A81A4F" w:rsidRDefault="00047839" w:rsidP="00E539CE">
      <w:pPr>
        <w:spacing w:after="0" w:line="240" w:lineRule="auto"/>
        <w:rPr>
          <w:rFonts w:cs="Calibri"/>
          <w:lang w:val="en-GB" w:eastAsia="en-US"/>
        </w:rPr>
      </w:pPr>
      <w:r>
        <w:rPr>
          <w:noProof/>
        </w:rPr>
        <w:pict w14:anchorId="53152354">
          <v:shape id="Text Box 11" o:spid="_x0000_s1036" type="#_x0000_t202" style="position:absolute;margin-left:290.3pt;margin-top:6.9pt;width:35.7pt;height:21.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" filled="f" stroked="f" strokeweight=".5pt">
            <v:textbox>
              <w:txbxContent>
                <w:p w14:paraId="72477823" w14:textId="77777777" w:rsidR="002E0FEA" w:rsidRPr="00203EB5" w:rsidRDefault="002E0FEA" w:rsidP="00E539CE">
                  <w:pPr>
                    <w:jc w:val="center"/>
                    <w:rPr>
                      <w:lang w:val="en-GB"/>
                    </w:rPr>
                  </w:pPr>
                  <w:r>
                    <w:rPr>
                      <w:lang w:val="en-GB"/>
                    </w:rPr>
                    <w:t>H</w:t>
                  </w:r>
                  <w:r>
                    <w:rPr>
                      <w:vertAlign w:val="subscript"/>
                      <w:lang w:val="en-GB"/>
                    </w:rPr>
                    <w:t>2</w:t>
                  </w:r>
                  <w:r w:rsidRPr="0059205D">
                    <w:rPr>
                      <w:vertAlign w:val="subscript"/>
                      <w:lang w:val="en-GB"/>
                    </w:rPr>
                    <w:t xml:space="preserve"> </w:t>
                  </w:r>
                </w:p>
              </w:txbxContent>
            </v:textbox>
          </v:shape>
        </w:pict>
      </w:r>
    </w:p>
    <w:p w14:paraId="2C4D9EBB" w14:textId="77777777" w:rsidR="002E0FEA" w:rsidRPr="00A81A4F" w:rsidRDefault="00047839" w:rsidP="00E539CE">
      <w:pPr>
        <w:spacing w:after="0" w:line="240" w:lineRule="auto"/>
        <w:rPr>
          <w:rFonts w:cs="Calibri"/>
          <w:lang w:val="en-GB" w:eastAsia="en-US"/>
        </w:rPr>
      </w:pPr>
      <w:r>
        <w:rPr>
          <w:noProof/>
        </w:rPr>
        <w:pict w14:anchorId="6CF92182">
          <v:shape id="Text Box 5" o:spid="_x0000_s1034" type="#_x0000_t202" style="position:absolute;margin-left:418.85pt;margin-top:6.45pt;width:35.7pt;height:21.9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" filled="f" stroked="f" strokeweight=".5pt">
            <v:textbox>
              <w:txbxContent>
                <w:p w14:paraId="2838EF78" w14:textId="77777777" w:rsidR="002E0FEA" w:rsidRPr="00203EB5" w:rsidRDefault="002E0FEA" w:rsidP="00E539CE">
                  <w:pPr>
                    <w:jc w:val="center"/>
                    <w:rPr>
                      <w:lang w:val="en-GB"/>
                    </w:rPr>
                  </w:pPr>
                  <w:r>
                    <w:rPr>
                      <w:lang w:val="en-GB"/>
                    </w:rPr>
                    <w:t>H</w:t>
                  </w:r>
                  <w:r w:rsidRPr="0059205D">
                    <w:rPr>
                      <w:vertAlign w:val="subscript"/>
                      <w:lang w:val="en-GB"/>
                    </w:rPr>
                    <w:t>1</w:t>
                  </w:r>
                  <w:r>
                    <w:rPr>
                      <w:vertAlign w:val="subscript"/>
                      <w:lang w:val="en-GB"/>
                    </w:rPr>
                    <w:t>a</w:t>
                  </w:r>
                  <w:r w:rsidRPr="0059205D">
                    <w:rPr>
                      <w:vertAlign w:val="subscript"/>
                      <w:lang w:val="en-GB"/>
                    </w:rPr>
                    <w:t xml:space="preserve"> </w:t>
                  </w:r>
                </w:p>
              </w:txbxContent>
            </v:textbox>
          </v:shape>
        </w:pict>
      </w:r>
      <w:r>
        <w:rPr>
          <w:noProof/>
        </w:rPr>
        <w:pict w14:anchorId="2C8769D2">
          <v:shape id="Text Box 22" o:spid="_x0000_s1027" type="#_x0000_t202" style="position:absolute;margin-left:484.6pt;margin-top:4.6pt;width:164.65pt;height:42.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" fillcolor="window" strokeweight=".5pt">
            <v:path arrowok="t"/>
            <v:textbox>
              <w:txbxContent>
                <w:p w14:paraId="7546B0D1" w14:textId="77777777" w:rsidR="002E0FEA" w:rsidRDefault="002E0FEA" w:rsidP="00E539CE">
                  <w:pPr>
                    <w:jc w:val="center"/>
                  </w:pPr>
                  <w:r>
                    <w:t>In</w:t>
                  </w:r>
                  <w:r w:rsidRPr="00A91A74">
                    <w:t>ward-</w:t>
                  </w:r>
                  <w:r>
                    <w:t>f</w:t>
                  </w:r>
                  <w:r w:rsidRPr="00A91A74">
                    <w:t>ocused Internationalization Activities</w:t>
                  </w:r>
                </w:p>
              </w:txbxContent>
            </v:textbox>
          </v:shape>
        </w:pict>
      </w:r>
    </w:p>
    <w:p w14:paraId="38CF39C9" w14:textId="77777777" w:rsidR="002E0FEA" w:rsidRPr="00A81A4F" w:rsidRDefault="00047839" w:rsidP="00E539CE">
      <w:pPr>
        <w:spacing w:after="0" w:line="240" w:lineRule="auto"/>
        <w:rPr>
          <w:rFonts w:cs="Calibri"/>
          <w:lang w:val="en-GB" w:eastAsia="en-US"/>
        </w:rPr>
      </w:pPr>
      <w:r>
        <w:rPr>
          <w:noProof/>
        </w:rPr>
        <w:pict w14:anchorId="61F35ED9">
          <v:shape id="Straight Arrow Connector 17" o:spid="_x0000_s1029" type="#_x0000_t32" style="position:absolute;margin-left:211pt;margin-top:13.1pt;width:273.6pt;height:39.1pt;flip:y;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" strokecolor="windowText" strokeweight="1pt">
            <v:stroke endarrow="block" joinstyle="miter"/>
          </v:shape>
        </w:pict>
      </w:r>
    </w:p>
    <w:p w14:paraId="00E8A34C" w14:textId="77777777" w:rsidR="002E0FEA" w:rsidRPr="00A81A4F" w:rsidRDefault="002E0FEA" w:rsidP="00E539CE">
      <w:pPr>
        <w:spacing w:after="0" w:line="240" w:lineRule="auto"/>
        <w:rPr>
          <w:rFonts w:cs="Calibri"/>
          <w:lang w:val="en-GB" w:eastAsia="en-US"/>
        </w:rPr>
      </w:pPr>
    </w:p>
    <w:p w14:paraId="77CD54D3" w14:textId="77777777" w:rsidR="002E0FEA" w:rsidRPr="00A81A4F" w:rsidRDefault="00047839" w:rsidP="00E539CE">
      <w:pPr>
        <w:spacing w:after="0" w:line="240" w:lineRule="auto"/>
        <w:rPr>
          <w:rFonts w:cs="Calibri"/>
          <w:lang w:val="en-GB" w:eastAsia="en-US"/>
        </w:rPr>
      </w:pPr>
      <w:r>
        <w:rPr>
          <w:noProof/>
        </w:rPr>
        <w:pict w14:anchorId="508AA890">
          <v:shape id="_x0000_s1038" type="#_x0000_t202" style="position:absolute;margin-left:52.6pt;margin-top:9.8pt;width:158.4pt;height:41.9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" fillcolor="window" strokeweight=".5pt">
            <v:path arrowok="t"/>
            <v:textbox>
              <w:txbxContent>
                <w:p w14:paraId="1EA8CD20" w14:textId="77777777" w:rsidR="002E0FEA" w:rsidRDefault="002E0FEA" w:rsidP="00E539CE">
                  <w:pPr>
                    <w:jc w:val="center"/>
                  </w:pPr>
                  <w:r>
                    <w:t>Proactive Environmental</w:t>
                  </w:r>
                  <w:r w:rsidRPr="00063B7A">
                    <w:t xml:space="preserve"> </w:t>
                  </w:r>
                  <w:r>
                    <w:t>Strategy</w:t>
                  </w:r>
                </w:p>
              </w:txbxContent>
            </v:textbox>
          </v:shape>
        </w:pict>
      </w:r>
    </w:p>
    <w:p w14:paraId="1B3C2807" w14:textId="77777777" w:rsidR="002E0FEA" w:rsidRPr="00A81A4F" w:rsidRDefault="002E0FEA" w:rsidP="00E539CE">
      <w:pPr>
        <w:spacing w:after="0" w:line="240" w:lineRule="auto"/>
        <w:rPr>
          <w:rFonts w:cs="Calibri"/>
          <w:lang w:val="en-GB" w:eastAsia="en-US"/>
        </w:rPr>
      </w:pPr>
    </w:p>
    <w:p w14:paraId="6DD85FD8" w14:textId="77777777" w:rsidR="002E0FEA" w:rsidRPr="00A81A4F" w:rsidRDefault="00047839" w:rsidP="00E539CE">
      <w:pPr>
        <w:spacing w:after="0" w:line="240" w:lineRule="auto"/>
        <w:rPr>
          <w:rFonts w:cs="Calibri"/>
          <w:lang w:val="en-GB" w:eastAsia="en-US"/>
        </w:rPr>
      </w:pPr>
      <w:r>
        <w:rPr>
          <w:noProof/>
        </w:rPr>
        <w:pict w14:anchorId="72716E35">
          <v:shape id="Straight Arrow Connector 18" o:spid="_x0000_s1030" type="#_x0000_t32" style="position:absolute;margin-left:211pt;margin-top:9.5pt;width:273.6pt;height:22.3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" strokecolor="windowText" strokeweight="1pt">
            <v:stroke endarrow="block" joinstyle="miter"/>
          </v:shape>
        </w:pict>
      </w:r>
      <w:r>
        <w:rPr>
          <w:noProof/>
        </w:rPr>
        <w:pict w14:anchorId="049DD58D">
          <v:shape id="Text Box 23" o:spid="_x0000_s1028" type="#_x0000_t202" style="position:absolute;margin-left:484.6pt;margin-top:9.5pt;width:164.65pt;height:42.5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" fillcolor="window" strokeweight=".5pt">
            <v:path arrowok="t"/>
            <v:textbox>
              <w:txbxContent>
                <w:p w14:paraId="308653D5" w14:textId="77777777" w:rsidR="002E0FEA" w:rsidRDefault="002E0FEA" w:rsidP="00E539CE">
                  <w:pPr>
                    <w:jc w:val="center"/>
                  </w:pPr>
                  <w:r>
                    <w:t>Outward-focused I</w:t>
                  </w:r>
                  <w:r w:rsidRPr="00DC5A49">
                    <w:t xml:space="preserve">nternationalization </w:t>
                  </w:r>
                  <w:r>
                    <w:t>A</w:t>
                  </w:r>
                  <w:r w:rsidRPr="00DC5A49">
                    <w:t>ctivities</w:t>
                  </w:r>
                </w:p>
              </w:txbxContent>
            </v:textbox>
          </v:shape>
        </w:pict>
      </w:r>
    </w:p>
    <w:p w14:paraId="20E1D05D" w14:textId="77777777" w:rsidR="002E0FEA" w:rsidRPr="00A81A4F" w:rsidRDefault="00047839" w:rsidP="00E539CE">
      <w:pPr>
        <w:spacing w:after="0" w:line="240" w:lineRule="auto"/>
        <w:rPr>
          <w:rFonts w:cs="Calibri"/>
          <w:lang w:val="en-GB" w:eastAsia="en-US"/>
        </w:rPr>
      </w:pPr>
      <w:r>
        <w:rPr>
          <w:noProof/>
        </w:rPr>
        <w:pict w14:anchorId="36164416">
          <v:shape id="Straight Arrow Connector 19" o:spid="_x0000_s1031" type="#_x0000_t32" style="position:absolute;margin-left:326.5pt;margin-top:5.7pt;width:0;height:62.65pt;flip:x 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" strokecolor="windowText" strokeweight="1pt">
            <v:stroke endarrow="block" joinstyle="miter"/>
          </v:shape>
        </w:pict>
      </w:r>
    </w:p>
    <w:p w14:paraId="12035309" w14:textId="77777777" w:rsidR="002E0FEA" w:rsidRPr="00A81A4F" w:rsidRDefault="00047839" w:rsidP="00E539CE">
      <w:pPr>
        <w:spacing w:after="0" w:line="240" w:lineRule="auto"/>
        <w:rPr>
          <w:rFonts w:cs="Calibri"/>
          <w:lang w:val="en-GB" w:eastAsia="en-US"/>
        </w:rPr>
      </w:pPr>
      <w:r>
        <w:rPr>
          <w:noProof/>
        </w:rPr>
        <w:pict w14:anchorId="0F3ECCDF">
          <v:shape id="Text Box 9" o:spid="_x0000_s1035" type="#_x0000_t202" style="position:absolute;margin-left:426.35pt;margin-top:5.6pt;width:35.7pt;height:21.9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" filled="f" stroked="f" strokeweight=".5pt">
            <v:textbox>
              <w:txbxContent>
                <w:p w14:paraId="4D6F7EE4" w14:textId="77777777" w:rsidR="002E0FEA" w:rsidRPr="00203EB5" w:rsidRDefault="002E0FEA" w:rsidP="00E539CE">
                  <w:pPr>
                    <w:jc w:val="center"/>
                    <w:rPr>
                      <w:lang w:val="en-GB"/>
                    </w:rPr>
                  </w:pPr>
                  <w:r>
                    <w:rPr>
                      <w:lang w:val="en-GB"/>
                    </w:rPr>
                    <w:t>H</w:t>
                  </w:r>
                  <w:r>
                    <w:rPr>
                      <w:vertAlign w:val="subscript"/>
                      <w:lang w:val="en-GB"/>
                    </w:rPr>
                    <w:t>1b</w:t>
                  </w:r>
                  <w:r w:rsidRPr="0059205D">
                    <w:rPr>
                      <w:vertAlign w:val="subscript"/>
                      <w:lang w:val="en-GB"/>
                    </w:rPr>
                    <w:t xml:space="preserve"> </w:t>
                  </w:r>
                </w:p>
              </w:txbxContent>
            </v:textbox>
          </v:shape>
        </w:pict>
      </w:r>
    </w:p>
    <w:p w14:paraId="24952C2E" w14:textId="77777777" w:rsidR="002E0FEA" w:rsidRPr="00A81A4F" w:rsidRDefault="00047839" w:rsidP="00E539CE">
      <w:pPr>
        <w:spacing w:after="0" w:line="240" w:lineRule="auto"/>
        <w:rPr>
          <w:rFonts w:cs="Calibri"/>
          <w:lang w:val="en-GB" w:eastAsia="en-US"/>
        </w:rPr>
      </w:pPr>
      <w:r>
        <w:rPr>
          <w:noProof/>
        </w:rPr>
        <w:pict w14:anchorId="7746486C">
          <v:shape id="Text Box 12" o:spid="_x0000_s1037" type="#_x0000_t202" style="position:absolute;margin-left:290.3pt;margin-top:4.5pt;width:35.7pt;height:21.9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" filled="f" stroked="f" strokeweight=".5pt">
            <v:textbox>
              <w:txbxContent>
                <w:p w14:paraId="15E6E256" w14:textId="77777777" w:rsidR="002E0FEA" w:rsidRPr="00203EB5" w:rsidRDefault="002E0FEA" w:rsidP="00E539CE">
                  <w:pPr>
                    <w:jc w:val="center"/>
                    <w:rPr>
                      <w:lang w:val="en-GB"/>
                    </w:rPr>
                  </w:pPr>
                  <w:r>
                    <w:rPr>
                      <w:lang w:val="en-GB"/>
                    </w:rPr>
                    <w:t>H</w:t>
                  </w:r>
                  <w:r>
                    <w:rPr>
                      <w:vertAlign w:val="subscript"/>
                      <w:lang w:val="en-GB"/>
                    </w:rPr>
                    <w:t>3</w:t>
                  </w:r>
                  <w:r w:rsidRPr="0059205D">
                    <w:rPr>
                      <w:vertAlign w:val="subscript"/>
                      <w:lang w:val="en-GB"/>
                    </w:rPr>
                    <w:t xml:space="preserve"> </w:t>
                  </w:r>
                </w:p>
              </w:txbxContent>
            </v:textbox>
          </v:shape>
        </w:pict>
      </w:r>
    </w:p>
    <w:p w14:paraId="09CCA520" w14:textId="77777777" w:rsidR="002E0FEA" w:rsidRPr="00A81A4F" w:rsidRDefault="002E0FEA" w:rsidP="00E539CE">
      <w:pPr>
        <w:spacing w:after="0" w:line="240" w:lineRule="auto"/>
        <w:rPr>
          <w:rFonts w:cs="Calibri"/>
          <w:lang w:val="en-GB" w:eastAsia="en-US"/>
        </w:rPr>
      </w:pPr>
    </w:p>
    <w:p w14:paraId="0AE769E3" w14:textId="77777777" w:rsidR="002E0FEA" w:rsidRPr="00A81A4F" w:rsidRDefault="00047839" w:rsidP="00E539CE">
      <w:pPr>
        <w:spacing w:after="0" w:line="240" w:lineRule="auto"/>
        <w:rPr>
          <w:rFonts w:cs="Calibri"/>
          <w:lang w:val="en-GB" w:eastAsia="en-US"/>
        </w:rPr>
      </w:pPr>
      <w:r>
        <w:rPr>
          <w:noProof/>
        </w:rPr>
        <w:pict w14:anchorId="5E554707">
          <v:shape id="_x0000_s1033" type="#_x0000_t202" style="position:absolute;margin-left:248.55pt;margin-top:13pt;width:158.4pt;height:41.9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" fillcolor="window" strokeweight=".5pt">
            <v:path arrowok="t"/>
            <v:textbox>
              <w:txbxContent>
                <w:p w14:paraId="07A51451" w14:textId="77777777" w:rsidR="002E0FEA" w:rsidRDefault="002E0FEA" w:rsidP="00E539CE">
                  <w:pPr>
                    <w:jc w:val="center"/>
                  </w:pPr>
                  <w:r>
                    <w:t>Foreign Environmental Customer</w:t>
                  </w:r>
                  <w:r w:rsidRPr="00B9019A">
                    <w:t xml:space="preserve"> </w:t>
                  </w:r>
                  <w:r>
                    <w:t>Pressure</w:t>
                  </w:r>
                </w:p>
              </w:txbxContent>
            </v:textbox>
          </v:shape>
        </w:pict>
      </w:r>
    </w:p>
    <w:p w14:paraId="6AD5D1D9" w14:textId="77777777" w:rsidR="002E0FEA" w:rsidRPr="00A81A4F" w:rsidRDefault="002E0FEA" w:rsidP="00E539CE">
      <w:pPr>
        <w:spacing w:after="0" w:line="240" w:lineRule="auto"/>
        <w:rPr>
          <w:rFonts w:cs="Calibri"/>
          <w:lang w:val="en-GB" w:eastAsia="en-US"/>
        </w:rPr>
      </w:pPr>
    </w:p>
    <w:p w14:paraId="27E06E5D" w14:textId="77777777" w:rsidR="002E0FEA" w:rsidRPr="00A81A4F" w:rsidRDefault="002E0FEA" w:rsidP="00E539CE">
      <w:pPr>
        <w:spacing w:after="0" w:line="240" w:lineRule="auto"/>
        <w:rPr>
          <w:rFonts w:cs="Calibri"/>
          <w:lang w:val="en-GB" w:eastAsia="en-US"/>
        </w:rPr>
      </w:pPr>
    </w:p>
    <w:p w14:paraId="67F6BB6D" w14:textId="77777777" w:rsidR="002E0FEA" w:rsidRPr="00A81A4F" w:rsidRDefault="002E0FEA" w:rsidP="00E539CE">
      <w:pPr>
        <w:spacing w:after="0" w:line="240" w:lineRule="auto"/>
        <w:rPr>
          <w:rFonts w:cs="Calibri"/>
          <w:lang w:val="en-GB" w:eastAsia="en-US"/>
        </w:rPr>
      </w:pPr>
    </w:p>
    <w:p w14:paraId="7F813609" w14:textId="77777777" w:rsidR="002E0FEA" w:rsidRPr="00A81A4F" w:rsidRDefault="002E0FEA" w:rsidP="00E539CE">
      <w:pPr>
        <w:spacing w:after="0" w:line="240" w:lineRule="auto"/>
        <w:rPr>
          <w:rFonts w:cs="Calibri"/>
          <w:lang w:val="en-GB" w:eastAsia="en-US"/>
        </w:rPr>
      </w:pPr>
    </w:p>
    <w:p w14:paraId="1B02F7A0" w14:textId="77777777" w:rsidR="002E0FEA" w:rsidRPr="00A81A4F" w:rsidRDefault="002E0FEA" w:rsidP="00E539CE">
      <w:pPr>
        <w:tabs>
          <w:tab w:val="left" w:pos="1215"/>
        </w:tabs>
        <w:spacing w:after="0" w:line="240" w:lineRule="auto"/>
        <w:rPr>
          <w:rFonts w:cs="Calibri"/>
          <w:lang w:val="en-GB" w:eastAsia="en-US"/>
        </w:rPr>
      </w:pPr>
      <w:r w:rsidRPr="00A81A4F">
        <w:rPr>
          <w:rFonts w:cs="Calibri"/>
          <w:lang w:val="en-GB" w:eastAsia="en-US"/>
        </w:rPr>
        <w:tab/>
      </w:r>
    </w:p>
    <w:p w14:paraId="5BE26E72" w14:textId="77777777" w:rsidR="002E0FEA" w:rsidRPr="00A81A4F" w:rsidRDefault="002E0FEA" w:rsidP="00E539CE">
      <w:pPr>
        <w:tabs>
          <w:tab w:val="left" w:pos="1215"/>
        </w:tabs>
        <w:spacing w:after="0" w:line="240" w:lineRule="auto"/>
        <w:rPr>
          <w:rFonts w:cs="Calibri"/>
          <w:lang w:val="en-GB" w:eastAsia="en-US"/>
        </w:rPr>
      </w:pPr>
    </w:p>
    <w:p w14:paraId="18B3E388" w14:textId="77777777" w:rsidR="002E0FEA" w:rsidRPr="00A81A4F" w:rsidRDefault="002E0FEA" w:rsidP="00616DE1">
      <w:pPr>
        <w:spacing w:after="0" w:line="240" w:lineRule="auto"/>
        <w:jc w:val="center"/>
        <w:rPr>
          <w:rFonts w:cs="Calibri"/>
          <w:b/>
          <w:lang w:val="en-GB" w:eastAsia="en-US"/>
        </w:rPr>
      </w:pPr>
      <w:bookmarkStart w:id="223" w:name="_Hlk54358516"/>
      <w:r w:rsidRPr="00A81A4F">
        <w:rPr>
          <w:rFonts w:cs="Calibri"/>
          <w:b/>
          <w:bCs/>
          <w:lang w:val="en-GB" w:eastAsia="en-US"/>
        </w:rPr>
        <w:lastRenderedPageBreak/>
        <w:t>Figure 2. Graphical Representation</w:t>
      </w:r>
    </w:p>
    <w:bookmarkEnd w:id="223"/>
    <w:p w14:paraId="482CA342" w14:textId="77777777" w:rsidR="002E0FEA" w:rsidRPr="00A81A4F" w:rsidRDefault="002E0FEA" w:rsidP="00616DE1">
      <w:pPr>
        <w:spacing w:after="0" w:line="240" w:lineRule="auto"/>
        <w:rPr>
          <w:rFonts w:cs="Calibri"/>
          <w:lang w:val="en-GB" w:eastAsia="en-US"/>
        </w:rPr>
      </w:pPr>
    </w:p>
    <w:p w14:paraId="7380066C" w14:textId="77777777" w:rsidR="002E0FEA" w:rsidRPr="00A81A4F" w:rsidRDefault="002E0FEA" w:rsidP="00616DE1">
      <w:pPr>
        <w:spacing w:after="0" w:line="240" w:lineRule="auto"/>
        <w:rPr>
          <w:rFonts w:cs="Calibri"/>
          <w:lang w:val="en-GB" w:eastAsia="en-US"/>
        </w:rPr>
      </w:pPr>
      <w:r w:rsidRPr="00A81A4F">
        <w:rPr>
          <w:rFonts w:cs="Calibri"/>
          <w:lang w:val="en-GB" w:eastAsia="en-US"/>
        </w:rPr>
        <w:t>(a)</w:t>
      </w:r>
      <w:r w:rsidRPr="00A81A4F">
        <w:rPr>
          <w:rFonts w:cs="Calibri"/>
          <w:lang w:val="en-GB" w:eastAsia="en-US"/>
        </w:rPr>
        <w:tab/>
      </w:r>
      <w:r w:rsidRPr="00A81A4F">
        <w:rPr>
          <w:rFonts w:cs="Calibri"/>
          <w:lang w:val="en-GB" w:eastAsia="en-US"/>
        </w:rPr>
        <w:tab/>
      </w:r>
      <w:r w:rsidRPr="00A81A4F">
        <w:rPr>
          <w:rFonts w:cs="Calibri"/>
          <w:lang w:val="en-GB" w:eastAsia="en-US"/>
        </w:rPr>
        <w:tab/>
      </w:r>
      <w:r w:rsidRPr="00A81A4F">
        <w:rPr>
          <w:rFonts w:cs="Calibri"/>
          <w:lang w:val="en-GB" w:eastAsia="en-US"/>
        </w:rPr>
        <w:tab/>
      </w:r>
      <w:r w:rsidRPr="00A81A4F">
        <w:rPr>
          <w:rFonts w:cs="Calibri"/>
          <w:lang w:val="en-GB" w:eastAsia="en-US"/>
        </w:rPr>
        <w:tab/>
      </w:r>
      <w:r w:rsidRPr="00A81A4F">
        <w:rPr>
          <w:rFonts w:cs="Calibri"/>
          <w:lang w:val="en-GB" w:eastAsia="en-US"/>
        </w:rPr>
        <w:tab/>
        <w:t xml:space="preserve">     </w:t>
      </w:r>
      <w:r w:rsidRPr="00A81A4F">
        <w:rPr>
          <w:rFonts w:cs="Calibri"/>
          <w:lang w:val="en-GB" w:eastAsia="en-US"/>
        </w:rPr>
        <w:tab/>
      </w:r>
      <w:r w:rsidRPr="00A81A4F">
        <w:rPr>
          <w:rFonts w:cs="Calibri"/>
          <w:lang w:val="en-GB" w:eastAsia="en-US"/>
        </w:rPr>
        <w:tab/>
        <w:t xml:space="preserve">    </w:t>
      </w:r>
      <w:r w:rsidRPr="00A81A4F">
        <w:rPr>
          <w:rFonts w:cs="Calibri"/>
          <w:lang w:val="en-GB" w:eastAsia="en-US"/>
        </w:rPr>
        <w:tab/>
      </w:r>
      <w:r w:rsidRPr="00A81A4F">
        <w:rPr>
          <w:rFonts w:cs="Calibri"/>
          <w:lang w:val="en-GB" w:eastAsia="en-US"/>
        </w:rPr>
        <w:tab/>
        <w:t>(b)</w:t>
      </w:r>
    </w:p>
    <w:p w14:paraId="11834936" w14:textId="77777777" w:rsidR="002E0FEA" w:rsidRPr="00A81A4F" w:rsidRDefault="002E0FEA" w:rsidP="00616DE1">
      <w:pPr>
        <w:spacing w:after="0" w:line="240" w:lineRule="auto"/>
        <w:rPr>
          <w:rFonts w:cs="Calibri"/>
          <w:lang w:val="en-GB" w:eastAsia="en-US"/>
        </w:rPr>
      </w:pPr>
    </w:p>
    <w:p w14:paraId="749C4659" w14:textId="77777777" w:rsidR="002E0FEA" w:rsidRPr="00A81A4F" w:rsidRDefault="002E0FEA" w:rsidP="00616DE1">
      <w:pPr>
        <w:tabs>
          <w:tab w:val="left" w:pos="7275"/>
        </w:tabs>
        <w:spacing w:after="0" w:line="240" w:lineRule="auto"/>
        <w:rPr>
          <w:rFonts w:cs="Calibri"/>
          <w:lang w:val="en-GB" w:eastAsia="en-US"/>
        </w:rPr>
      </w:pPr>
      <w:r w:rsidRPr="00A81A4F">
        <w:rPr>
          <w:rFonts w:cs="Calibri"/>
          <w:noProof/>
          <w:lang w:val="en-GB"/>
        </w:rPr>
        <w:t xml:space="preserve"> </w:t>
      </w:r>
      <w:r w:rsidR="00EB03A1">
        <w:rPr>
          <w:rFonts w:cs="Calibri"/>
          <w:noProof/>
          <w:lang w:val="en-GB"/>
        </w:rPr>
        <w:pict w14:anchorId="0892B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311.8pt;height:170.3pt;visibility:visible" o:bordertopcolor="black" o:borderleftcolor="black" o:borderbottomcolor="black" o:borderrightcolor="black">
            <v:imagedata r:id="rId8" o:title=""/>
            <o:lock v:ext="edit" aspectratio="f"/>
            <w10:bordertop type="single" width="6"/>
            <w10:borderleft type="single" width="6"/>
            <w10:borderbottom type="single" width="6"/>
            <w10:borderright type="single" width="6"/>
          </v:shape>
        </w:pict>
      </w:r>
      <w:r w:rsidRPr="00A81A4F">
        <w:rPr>
          <w:rFonts w:cs="Calibri"/>
          <w:noProof/>
          <w:lang w:val="en-GB"/>
        </w:rPr>
        <w:tab/>
      </w:r>
      <w:r w:rsidRPr="00A81A4F">
        <w:rPr>
          <w:rFonts w:cs="Calibri"/>
          <w:lang w:val="en-GB" w:eastAsia="en-US"/>
        </w:rPr>
        <w:t xml:space="preserve"> </w:t>
      </w:r>
      <w:r w:rsidR="00EB03A1">
        <w:rPr>
          <w:rFonts w:cs="Calibri"/>
          <w:noProof/>
          <w:lang w:val="en-GB" w:eastAsia="en-US"/>
        </w:rPr>
        <w:pict w14:anchorId="7EB74DC1">
          <v:shape id="Picture 21" o:spid="_x0000_i1026" type="#_x0000_t75" style="width:311.8pt;height:170.3pt;visibility:visible" o:bordertopcolor="black" o:borderleftcolor="black" o:borderbottomcolor="black" o:borderrightcolor="black">
            <v:imagedata r:id="rId9" o:title=""/>
            <o:lock v:ext="edit" aspectratio="f"/>
            <w10:bordertop type="single" width="6"/>
            <w10:borderleft type="single" width="6"/>
            <w10:borderbottom type="single" width="6"/>
            <w10:borderright type="single" width="6"/>
          </v:shape>
        </w:pict>
      </w:r>
    </w:p>
    <w:p w14:paraId="2A43CB34" w14:textId="77777777" w:rsidR="002E0FEA" w:rsidRPr="00A81A4F" w:rsidRDefault="002E0FEA" w:rsidP="00616DE1">
      <w:pPr>
        <w:spacing w:after="0" w:line="240" w:lineRule="auto"/>
        <w:rPr>
          <w:rFonts w:cs="Calibri"/>
          <w:lang w:val="en-GB" w:eastAsia="en-US"/>
        </w:rPr>
      </w:pPr>
    </w:p>
    <w:p w14:paraId="05D761EF" w14:textId="77777777" w:rsidR="002E0FEA" w:rsidRPr="00A81A4F" w:rsidRDefault="002E0FEA" w:rsidP="00616DE1">
      <w:pPr>
        <w:spacing w:after="0" w:line="240" w:lineRule="auto"/>
        <w:rPr>
          <w:rFonts w:cs="Calibri"/>
          <w:lang w:val="en-GB" w:eastAsia="en-US"/>
        </w:rPr>
      </w:pPr>
      <w:r w:rsidRPr="00A81A4F">
        <w:rPr>
          <w:rFonts w:cs="Calibri"/>
          <w:lang w:val="en-GB" w:eastAsia="en-US"/>
        </w:rPr>
        <w:t>(c)</w:t>
      </w:r>
      <w:r w:rsidRPr="00A81A4F">
        <w:rPr>
          <w:rFonts w:cs="Calibri"/>
          <w:lang w:val="en-GB" w:eastAsia="en-US"/>
        </w:rPr>
        <w:tab/>
      </w:r>
      <w:r w:rsidRPr="00A81A4F">
        <w:rPr>
          <w:rFonts w:cs="Calibri"/>
          <w:lang w:val="en-GB" w:eastAsia="en-US"/>
        </w:rPr>
        <w:tab/>
      </w:r>
      <w:r w:rsidRPr="00A81A4F">
        <w:rPr>
          <w:rFonts w:cs="Calibri"/>
          <w:lang w:val="en-GB" w:eastAsia="en-US"/>
        </w:rPr>
        <w:tab/>
      </w:r>
      <w:r w:rsidRPr="00A81A4F">
        <w:rPr>
          <w:rFonts w:cs="Calibri"/>
          <w:lang w:val="en-GB" w:eastAsia="en-US"/>
        </w:rPr>
        <w:tab/>
      </w:r>
      <w:r w:rsidRPr="00A81A4F">
        <w:rPr>
          <w:rFonts w:cs="Calibri"/>
          <w:lang w:val="en-GB" w:eastAsia="en-US"/>
        </w:rPr>
        <w:tab/>
      </w:r>
      <w:r w:rsidRPr="00A81A4F">
        <w:rPr>
          <w:rFonts w:cs="Calibri"/>
          <w:lang w:val="en-GB" w:eastAsia="en-US"/>
        </w:rPr>
        <w:tab/>
        <w:t xml:space="preserve">     </w:t>
      </w:r>
      <w:r w:rsidRPr="00A81A4F">
        <w:rPr>
          <w:rFonts w:cs="Calibri"/>
          <w:lang w:val="en-GB" w:eastAsia="en-US"/>
        </w:rPr>
        <w:tab/>
      </w:r>
      <w:r w:rsidRPr="00A81A4F">
        <w:rPr>
          <w:rFonts w:cs="Calibri"/>
          <w:lang w:val="en-GB" w:eastAsia="en-US"/>
        </w:rPr>
        <w:tab/>
        <w:t xml:space="preserve">    </w:t>
      </w:r>
      <w:r w:rsidRPr="00A81A4F">
        <w:rPr>
          <w:rFonts w:cs="Calibri"/>
          <w:lang w:val="en-GB" w:eastAsia="en-US"/>
        </w:rPr>
        <w:tab/>
      </w:r>
      <w:r w:rsidRPr="00A81A4F">
        <w:rPr>
          <w:rFonts w:cs="Calibri"/>
          <w:lang w:val="en-GB" w:eastAsia="en-US"/>
        </w:rPr>
        <w:tab/>
        <w:t>(d)</w:t>
      </w:r>
    </w:p>
    <w:p w14:paraId="32D4D1B6" w14:textId="77777777" w:rsidR="002E0FEA" w:rsidRPr="00A81A4F" w:rsidRDefault="002E0FEA" w:rsidP="00616DE1">
      <w:pPr>
        <w:spacing w:after="0" w:line="240" w:lineRule="auto"/>
        <w:rPr>
          <w:rFonts w:cs="Calibri"/>
          <w:lang w:val="en-GB" w:eastAsia="en-US"/>
        </w:rPr>
      </w:pPr>
    </w:p>
    <w:p w14:paraId="297DFC53" w14:textId="77777777" w:rsidR="002E0FEA" w:rsidRPr="00A81A4F" w:rsidRDefault="00EB03A1" w:rsidP="00616DE1">
      <w:pPr>
        <w:spacing w:after="0" w:line="240" w:lineRule="auto"/>
        <w:jc w:val="both"/>
        <w:rPr>
          <w:rFonts w:cs="Calibri"/>
          <w:lang w:val="en-GB" w:eastAsia="en-US"/>
        </w:rPr>
        <w:sectPr w:rsidR="002E0FEA" w:rsidRPr="00A81A4F" w:rsidSect="00563888">
          <w:pgSz w:w="16838" w:h="11906" w:orient="landscape"/>
          <w:pgMar w:top="1440" w:right="1440" w:bottom="1440" w:left="1440" w:header="709" w:footer="709" w:gutter="0"/>
          <w:cols w:space="708"/>
          <w:docGrid w:linePitch="360"/>
        </w:sectPr>
      </w:pPr>
      <w:r>
        <w:rPr>
          <w:rFonts w:cs="Calibri"/>
          <w:noProof/>
          <w:lang w:val="en-GB"/>
        </w:rPr>
        <w:pict w14:anchorId="592ED461">
          <v:shape id="Picture 24" o:spid="_x0000_i1027" type="#_x0000_t75" style="width:311.8pt;height:170.3pt;visibility:visible" o:bordertopcolor="black" o:borderleftcolor="black" o:borderbottomcolor="black" o:borderrightcolor="black">
            <v:imagedata r:id="rId10" o:title=""/>
            <o:lock v:ext="edit" aspectratio="f"/>
            <w10:bordertop type="single" width="6"/>
            <w10:borderleft type="single" width="6"/>
            <w10:borderbottom type="single" width="6"/>
            <w10:borderright type="single" width="6"/>
          </v:shape>
        </w:pict>
      </w:r>
      <w:r w:rsidR="002E0FEA" w:rsidRPr="00A81A4F">
        <w:rPr>
          <w:rFonts w:cs="Calibri"/>
          <w:noProof/>
          <w:lang w:val="en-GB"/>
        </w:rPr>
        <w:tab/>
        <w:t xml:space="preserve"> </w:t>
      </w:r>
      <w:r w:rsidR="002E0FEA" w:rsidRPr="00A81A4F">
        <w:rPr>
          <w:rFonts w:cs="Calibri"/>
          <w:noProof/>
          <w:lang w:val="en-GB"/>
        </w:rPr>
        <w:tab/>
        <w:t xml:space="preserve">  </w:t>
      </w:r>
      <w:r>
        <w:rPr>
          <w:rFonts w:cs="Calibri"/>
          <w:noProof/>
          <w:lang w:val="en-GB"/>
        </w:rPr>
        <w:pict w14:anchorId="74968366">
          <v:shape id="Picture 27" o:spid="_x0000_i1028" type="#_x0000_t75" style="width:311.8pt;height:170.3pt;visibility:visible" o:bordertopcolor="black" o:borderleftcolor="black" o:borderbottomcolor="black" o:borderrightcolor="black">
            <v:imagedata r:id="rId11" o:title=""/>
            <o:lock v:ext="edit" aspectratio="f"/>
            <w10:bordertop type="single" width="6"/>
            <w10:borderleft type="single" width="6"/>
            <w10:borderbottom type="single" width="6"/>
            <w10:borderright type="single" width="6"/>
          </v:shape>
        </w:pict>
      </w:r>
    </w:p>
    <w:p w14:paraId="6145C162" w14:textId="77777777" w:rsidR="002E0FEA" w:rsidRPr="00A81A4F" w:rsidRDefault="002E0FEA" w:rsidP="00616DE1">
      <w:pPr>
        <w:autoSpaceDE w:val="0"/>
        <w:autoSpaceDN w:val="0"/>
        <w:adjustRightInd w:val="0"/>
        <w:spacing w:after="0" w:line="240" w:lineRule="auto"/>
        <w:jc w:val="center"/>
        <w:rPr>
          <w:b/>
          <w:lang w:val="en-GB"/>
        </w:rPr>
      </w:pPr>
      <w:r w:rsidRPr="00A81A4F">
        <w:rPr>
          <w:b/>
          <w:lang w:val="en-GB"/>
        </w:rPr>
        <w:lastRenderedPageBreak/>
        <w:t>Figure 3. Post-Hoc Analysis – Graphical Representation</w:t>
      </w:r>
    </w:p>
    <w:p w14:paraId="4C18C682" w14:textId="77777777" w:rsidR="002E0FEA" w:rsidRPr="00A81A4F" w:rsidRDefault="002E0FEA" w:rsidP="00616DE1">
      <w:pPr>
        <w:autoSpaceDE w:val="0"/>
        <w:autoSpaceDN w:val="0"/>
        <w:adjustRightInd w:val="0"/>
        <w:spacing w:after="0" w:line="240" w:lineRule="auto"/>
        <w:jc w:val="both"/>
        <w:rPr>
          <w:b/>
          <w:lang w:val="en-GB"/>
        </w:rPr>
      </w:pPr>
    </w:p>
    <w:p w14:paraId="6D84575E" w14:textId="77777777" w:rsidR="002E0FEA" w:rsidRPr="00A81A4F" w:rsidRDefault="002E0FEA" w:rsidP="00616DE1">
      <w:pPr>
        <w:numPr>
          <w:ilvl w:val="0"/>
          <w:numId w:val="1"/>
        </w:numPr>
        <w:autoSpaceDE w:val="0"/>
        <w:autoSpaceDN w:val="0"/>
        <w:adjustRightInd w:val="0"/>
        <w:spacing w:after="0" w:line="240" w:lineRule="auto"/>
        <w:ind w:left="4678" w:hanging="4678"/>
        <w:contextualSpacing/>
        <w:jc w:val="both"/>
        <w:rPr>
          <w:bCs/>
          <w:lang w:val="en-GB"/>
        </w:rPr>
      </w:pPr>
      <w:r>
        <w:rPr>
          <w:bCs/>
          <w:lang w:val="en-GB"/>
        </w:rPr>
        <w:t xml:space="preserve">                                                                  </w:t>
      </w:r>
      <w:r w:rsidRPr="00A81A4F">
        <w:rPr>
          <w:bCs/>
          <w:lang w:val="en-GB"/>
        </w:rPr>
        <w:t xml:space="preserve">(b) </w:t>
      </w:r>
    </w:p>
    <w:p w14:paraId="0918B1CE" w14:textId="77777777" w:rsidR="002E0FEA" w:rsidRPr="00A81A4F" w:rsidRDefault="002E0FEA" w:rsidP="00616DE1">
      <w:pPr>
        <w:autoSpaceDE w:val="0"/>
        <w:autoSpaceDN w:val="0"/>
        <w:adjustRightInd w:val="0"/>
        <w:spacing w:after="0" w:line="240" w:lineRule="auto"/>
        <w:ind w:left="5400"/>
        <w:contextualSpacing/>
        <w:jc w:val="both"/>
        <w:rPr>
          <w:bCs/>
          <w:lang w:val="en-GB"/>
        </w:rPr>
      </w:pPr>
    </w:p>
    <w:p w14:paraId="1369DAAB" w14:textId="77777777" w:rsidR="002E0FEA" w:rsidRPr="00A81A4F" w:rsidRDefault="002E0FEA" w:rsidP="00616DE1">
      <w:pPr>
        <w:tabs>
          <w:tab w:val="left" w:pos="5096"/>
        </w:tabs>
        <w:autoSpaceDE w:val="0"/>
        <w:autoSpaceDN w:val="0"/>
        <w:adjustRightInd w:val="0"/>
        <w:spacing w:after="0" w:line="240" w:lineRule="auto"/>
        <w:jc w:val="both"/>
        <w:rPr>
          <w:bCs/>
          <w:lang w:val="en-GB"/>
        </w:rPr>
      </w:pPr>
      <w:r w:rsidRPr="00A81A4F">
        <w:rPr>
          <w:bCs/>
          <w:noProof/>
          <w:lang w:val="en-GB"/>
        </w:rPr>
        <w:t xml:space="preserve"> </w:t>
      </w:r>
      <w:r w:rsidR="00EB03A1">
        <w:rPr>
          <w:noProof/>
          <w:lang w:val="en-GB"/>
        </w:rPr>
        <w:pict w14:anchorId="4D3BCB0D">
          <v:shape id="Picture 29" o:spid="_x0000_i1029" type="#_x0000_t75" style="width:212.85pt;height:155.9pt;visibility:visible" o:bordertopcolor="black" o:borderleftcolor="black" o:borderbottomcolor="black" o:borderrightcolor="black">
            <v:imagedata r:id="rId12" o:title=""/>
            <o:lock v:ext="edit" aspectratio="f"/>
            <w10:bordertop type="single" width="6"/>
            <w10:borderleft type="single" width="6"/>
            <w10:borderbottom type="single" width="6"/>
            <w10:borderright type="single" width="6"/>
          </v:shape>
        </w:pict>
      </w:r>
      <w:r w:rsidRPr="00A81A4F">
        <w:rPr>
          <w:bCs/>
          <w:noProof/>
          <w:lang w:val="en-GB"/>
        </w:rPr>
        <w:t xml:space="preserve">     </w:t>
      </w:r>
      <w:r w:rsidR="00EB03A1">
        <w:rPr>
          <w:noProof/>
          <w:lang w:val="en-GB"/>
        </w:rPr>
        <w:pict w14:anchorId="09E99A40">
          <v:shape id="Picture 3" o:spid="_x0000_i1030" type="#_x0000_t75" style="width:212.85pt;height:155.9pt;visibility:visible" o:bordertopcolor="black" o:borderleftcolor="black" o:borderbottomcolor="black" o:borderrightcolor="black">
            <v:imagedata r:id="rId13" o:title=""/>
            <o:lock v:ext="edit" aspectratio="f"/>
            <w10:bordertop type="single" width="6"/>
            <w10:borderleft type="single" width="6"/>
            <w10:borderbottom type="single" width="6"/>
            <w10:borderright type="single" width="6"/>
          </v:shape>
        </w:pict>
      </w:r>
    </w:p>
    <w:p w14:paraId="5EF699C0" w14:textId="77777777" w:rsidR="002E0FEA" w:rsidRPr="00A81A4F" w:rsidRDefault="002E0FEA" w:rsidP="00616DE1">
      <w:pPr>
        <w:autoSpaceDE w:val="0"/>
        <w:autoSpaceDN w:val="0"/>
        <w:adjustRightInd w:val="0"/>
        <w:spacing w:after="0" w:line="240" w:lineRule="auto"/>
        <w:jc w:val="both"/>
        <w:rPr>
          <w:bCs/>
          <w:lang w:val="en-GB"/>
        </w:rPr>
      </w:pPr>
    </w:p>
    <w:p w14:paraId="35754D77" w14:textId="77777777" w:rsidR="002E0FEA" w:rsidRPr="00A81A4F" w:rsidRDefault="002E0FEA" w:rsidP="00616DE1">
      <w:pPr>
        <w:autoSpaceDE w:val="0"/>
        <w:autoSpaceDN w:val="0"/>
        <w:adjustRightInd w:val="0"/>
        <w:spacing w:after="0" w:line="240" w:lineRule="auto"/>
        <w:jc w:val="both"/>
        <w:rPr>
          <w:bCs/>
          <w:lang w:val="en-GB"/>
        </w:rPr>
      </w:pPr>
      <w:r w:rsidRPr="00A81A4F">
        <w:rPr>
          <w:bCs/>
          <w:lang w:val="en-GB"/>
        </w:rPr>
        <w:t>(c)</w:t>
      </w:r>
      <w:r w:rsidRPr="00A81A4F">
        <w:rPr>
          <w:bCs/>
          <w:lang w:val="en-GB"/>
        </w:rPr>
        <w:tab/>
      </w:r>
      <w:r w:rsidRPr="00A81A4F">
        <w:rPr>
          <w:bCs/>
          <w:lang w:val="en-GB"/>
        </w:rPr>
        <w:tab/>
      </w:r>
      <w:r w:rsidRPr="00A81A4F">
        <w:rPr>
          <w:bCs/>
          <w:lang w:val="en-GB"/>
        </w:rPr>
        <w:tab/>
      </w:r>
      <w:r w:rsidRPr="00A81A4F">
        <w:rPr>
          <w:bCs/>
          <w:lang w:val="en-GB"/>
        </w:rPr>
        <w:tab/>
      </w:r>
      <w:r w:rsidRPr="00A81A4F">
        <w:rPr>
          <w:bCs/>
          <w:lang w:val="en-GB"/>
        </w:rPr>
        <w:tab/>
      </w:r>
      <w:r w:rsidRPr="00A81A4F">
        <w:rPr>
          <w:bCs/>
          <w:lang w:val="en-GB"/>
        </w:rPr>
        <w:tab/>
        <w:t xml:space="preserve">      (d)</w:t>
      </w:r>
      <w:r w:rsidRPr="00A81A4F">
        <w:rPr>
          <w:bCs/>
          <w:lang w:val="en-GB"/>
        </w:rPr>
        <w:br w:type="textWrapping" w:clear="all"/>
      </w:r>
    </w:p>
    <w:p w14:paraId="7029AB97" w14:textId="77777777" w:rsidR="002E0FEA" w:rsidRPr="00A81A4F" w:rsidRDefault="002E0FEA" w:rsidP="00616DE1">
      <w:pPr>
        <w:autoSpaceDE w:val="0"/>
        <w:autoSpaceDN w:val="0"/>
        <w:adjustRightInd w:val="0"/>
        <w:spacing w:after="0" w:line="240" w:lineRule="auto"/>
        <w:rPr>
          <w:b/>
          <w:lang w:val="en-GB"/>
        </w:rPr>
      </w:pPr>
      <w:r w:rsidRPr="00A81A4F">
        <w:rPr>
          <w:b/>
          <w:lang w:val="en-GB"/>
        </w:rPr>
        <w:t xml:space="preserve"> </w:t>
      </w:r>
      <w:r w:rsidR="00EB03A1">
        <w:rPr>
          <w:b/>
          <w:noProof/>
          <w:lang w:val="en-GB"/>
        </w:rPr>
        <w:pict w14:anchorId="61CF4BA2">
          <v:shape id="Picture 4" o:spid="_x0000_i1031" type="#_x0000_t75" style="width:212.85pt;height:155.9pt;visibility:visible" o:bordertopcolor="black" o:borderleftcolor="black" o:borderbottomcolor="black" o:borderrightcolor="black">
            <v:imagedata r:id="rId14" o:title=""/>
            <o:lock v:ext="edit" aspectratio="f"/>
            <w10:bordertop type="single" width="6"/>
            <w10:borderleft type="single" width="6"/>
            <w10:borderbottom type="single" width="6"/>
            <w10:borderright type="single" width="6"/>
          </v:shape>
        </w:pict>
      </w:r>
      <w:r w:rsidRPr="00A81A4F">
        <w:rPr>
          <w:b/>
          <w:lang w:val="en-GB"/>
        </w:rPr>
        <w:t xml:space="preserve">     </w:t>
      </w:r>
      <w:r w:rsidR="00EB03A1">
        <w:rPr>
          <w:b/>
          <w:noProof/>
          <w:lang w:val="en-GB"/>
        </w:rPr>
        <w:pict w14:anchorId="68958381">
          <v:shape id="Picture 6" o:spid="_x0000_i1032" type="#_x0000_t75" style="width:212.85pt;height:155.9pt;visibility:visible" o:bordertopcolor="black" o:borderleftcolor="black" o:borderbottomcolor="black" o:borderrightcolor="black">
            <v:imagedata r:id="rId15" o:title=""/>
            <o:lock v:ext="edit" aspectratio="f"/>
            <w10:bordertop type="single" width="6"/>
            <w10:borderleft type="single" width="6"/>
            <w10:borderbottom type="single" width="6"/>
            <w10:borderright type="single" width="6"/>
          </v:shape>
        </w:pict>
      </w:r>
    </w:p>
    <w:p w14:paraId="09A8A623" w14:textId="77777777" w:rsidR="002E0FEA" w:rsidRPr="00A81A4F" w:rsidRDefault="002E0FEA" w:rsidP="00616DE1">
      <w:pPr>
        <w:autoSpaceDE w:val="0"/>
        <w:autoSpaceDN w:val="0"/>
        <w:adjustRightInd w:val="0"/>
        <w:spacing w:after="0" w:line="240" w:lineRule="auto"/>
        <w:jc w:val="center"/>
        <w:rPr>
          <w:b/>
          <w:lang w:val="en-GB"/>
        </w:rPr>
      </w:pPr>
    </w:p>
    <w:p w14:paraId="25FA3DF2" w14:textId="77777777" w:rsidR="002E0FEA" w:rsidRPr="00A81A4F" w:rsidRDefault="002E0FEA" w:rsidP="00616DE1">
      <w:pPr>
        <w:autoSpaceDE w:val="0"/>
        <w:autoSpaceDN w:val="0"/>
        <w:adjustRightInd w:val="0"/>
        <w:spacing w:after="0" w:line="240" w:lineRule="auto"/>
        <w:rPr>
          <w:bCs/>
          <w:lang w:val="en-GB"/>
        </w:rPr>
      </w:pPr>
      <w:r w:rsidRPr="00A81A4F">
        <w:rPr>
          <w:bCs/>
          <w:lang w:val="en-GB"/>
        </w:rPr>
        <w:t>(e)</w:t>
      </w:r>
      <w:r w:rsidRPr="00A81A4F">
        <w:rPr>
          <w:bCs/>
          <w:lang w:val="en-GB"/>
        </w:rPr>
        <w:tab/>
      </w:r>
      <w:r w:rsidRPr="00A81A4F">
        <w:rPr>
          <w:bCs/>
          <w:lang w:val="en-GB"/>
        </w:rPr>
        <w:tab/>
      </w:r>
      <w:r w:rsidRPr="00A81A4F">
        <w:rPr>
          <w:bCs/>
          <w:lang w:val="en-GB"/>
        </w:rPr>
        <w:tab/>
      </w:r>
      <w:r w:rsidRPr="00A81A4F">
        <w:rPr>
          <w:bCs/>
          <w:lang w:val="en-GB"/>
        </w:rPr>
        <w:tab/>
      </w:r>
      <w:r w:rsidRPr="00A81A4F">
        <w:rPr>
          <w:bCs/>
          <w:lang w:val="en-GB"/>
        </w:rPr>
        <w:tab/>
      </w:r>
      <w:r w:rsidRPr="00A81A4F">
        <w:rPr>
          <w:bCs/>
          <w:lang w:val="en-GB"/>
        </w:rPr>
        <w:tab/>
        <w:t xml:space="preserve">    (f)</w:t>
      </w:r>
    </w:p>
    <w:p w14:paraId="0C272D5B" w14:textId="77777777" w:rsidR="002E0FEA" w:rsidRPr="00A81A4F" w:rsidRDefault="002E0FEA" w:rsidP="00616DE1">
      <w:pPr>
        <w:autoSpaceDE w:val="0"/>
        <w:autoSpaceDN w:val="0"/>
        <w:adjustRightInd w:val="0"/>
        <w:spacing w:after="0" w:line="240" w:lineRule="auto"/>
        <w:rPr>
          <w:bCs/>
          <w:lang w:val="en-GB"/>
        </w:rPr>
      </w:pPr>
    </w:p>
    <w:p w14:paraId="5603B7A0" w14:textId="77777777" w:rsidR="002E0FEA" w:rsidRPr="00A81A4F" w:rsidRDefault="002E0FEA" w:rsidP="00616DE1">
      <w:pPr>
        <w:autoSpaceDE w:val="0"/>
        <w:autoSpaceDN w:val="0"/>
        <w:adjustRightInd w:val="0"/>
        <w:spacing w:after="0" w:line="240" w:lineRule="auto"/>
        <w:rPr>
          <w:b/>
          <w:lang w:val="en-GB"/>
        </w:rPr>
      </w:pPr>
      <w:r w:rsidRPr="00A81A4F">
        <w:rPr>
          <w:b/>
          <w:noProof/>
          <w:lang w:val="en-GB"/>
        </w:rPr>
        <w:t xml:space="preserve"> </w:t>
      </w:r>
      <w:r w:rsidR="00EB03A1">
        <w:rPr>
          <w:b/>
          <w:noProof/>
          <w:lang w:val="en-GB"/>
        </w:rPr>
        <w:pict w14:anchorId="4AE2DD28">
          <v:shape id="Picture 26" o:spid="_x0000_i1033" type="#_x0000_t75" style="width:212.85pt;height:155.9pt;visibility:visible" o:bordertopcolor="black" o:borderleftcolor="black" o:borderbottomcolor="black" o:borderrightcolor="black">
            <v:imagedata r:id="rId16" o:title=""/>
            <o:lock v:ext="edit" aspectratio="f"/>
            <w10:bordertop type="single" width="6"/>
            <w10:borderleft type="single" width="6"/>
            <w10:borderbottom type="single" width="6"/>
            <w10:borderright type="single" width="6"/>
          </v:shape>
        </w:pict>
      </w:r>
      <w:r w:rsidRPr="00A81A4F">
        <w:rPr>
          <w:b/>
          <w:noProof/>
          <w:lang w:val="en-GB"/>
        </w:rPr>
        <w:t xml:space="preserve">     </w:t>
      </w:r>
      <w:r w:rsidR="00EB03A1">
        <w:rPr>
          <w:b/>
          <w:noProof/>
          <w:lang w:val="en-GB"/>
        </w:rPr>
        <w:pict w14:anchorId="7C4B1395">
          <v:shape id="Picture 30" o:spid="_x0000_i1034" type="#_x0000_t75" style="width:212.85pt;height:155.9pt;visibility:visible" o:bordertopcolor="black" o:borderleftcolor="black" o:borderbottomcolor="black" o:borderrightcolor="black">
            <v:imagedata r:id="rId17" o:title=""/>
            <o:lock v:ext="edit" aspectratio="f"/>
            <w10:bordertop type="single" width="6"/>
            <w10:borderleft type="single" width="6"/>
            <w10:borderbottom type="single" width="6"/>
            <w10:borderright type="single" width="6"/>
          </v:shape>
        </w:pict>
      </w:r>
    </w:p>
    <w:p w14:paraId="67A85E79" w14:textId="77777777" w:rsidR="002E0FEA" w:rsidRPr="00A81A4F" w:rsidRDefault="002E0FEA" w:rsidP="00616DE1">
      <w:pPr>
        <w:autoSpaceDE w:val="0"/>
        <w:autoSpaceDN w:val="0"/>
        <w:adjustRightInd w:val="0"/>
        <w:spacing w:after="0" w:line="240" w:lineRule="auto"/>
        <w:jc w:val="center"/>
        <w:rPr>
          <w:b/>
          <w:lang w:val="en-GB"/>
        </w:rPr>
      </w:pPr>
    </w:p>
    <w:p w14:paraId="413D30A2" w14:textId="77777777" w:rsidR="002E0FEA" w:rsidRPr="00A81A4F" w:rsidRDefault="002E0FEA" w:rsidP="00616DE1">
      <w:pPr>
        <w:autoSpaceDE w:val="0"/>
        <w:autoSpaceDN w:val="0"/>
        <w:adjustRightInd w:val="0"/>
        <w:spacing w:after="0" w:line="240" w:lineRule="auto"/>
        <w:jc w:val="center"/>
        <w:rPr>
          <w:b/>
          <w:lang w:val="en-GB"/>
        </w:rPr>
      </w:pPr>
    </w:p>
    <w:p w14:paraId="637F872C" w14:textId="77777777" w:rsidR="002E0FEA" w:rsidRPr="00A81A4F" w:rsidRDefault="002E0FEA" w:rsidP="00616DE1">
      <w:pPr>
        <w:autoSpaceDE w:val="0"/>
        <w:autoSpaceDN w:val="0"/>
        <w:adjustRightInd w:val="0"/>
        <w:spacing w:after="0" w:line="240" w:lineRule="auto"/>
        <w:jc w:val="center"/>
        <w:rPr>
          <w:b/>
          <w:lang w:val="en-GB"/>
        </w:rPr>
      </w:pPr>
    </w:p>
    <w:p w14:paraId="2E719866" w14:textId="77777777" w:rsidR="002E0FEA" w:rsidRDefault="002E0FEA" w:rsidP="00E539CE">
      <w:pPr>
        <w:tabs>
          <w:tab w:val="left" w:pos="1215"/>
        </w:tabs>
        <w:spacing w:after="0" w:line="240" w:lineRule="auto"/>
        <w:jc w:val="center"/>
        <w:rPr>
          <w:rFonts w:cs="Calibri"/>
          <w:b/>
          <w:lang w:val="en-GB" w:eastAsia="en-US"/>
        </w:rPr>
      </w:pPr>
    </w:p>
    <w:p w14:paraId="56F04CBB" w14:textId="77777777" w:rsidR="002E0FEA" w:rsidRDefault="002E0FEA" w:rsidP="00E539CE">
      <w:pPr>
        <w:tabs>
          <w:tab w:val="left" w:pos="1215"/>
        </w:tabs>
        <w:spacing w:after="0" w:line="240" w:lineRule="auto"/>
        <w:jc w:val="center"/>
        <w:rPr>
          <w:rFonts w:cs="Calibri"/>
          <w:b/>
          <w:lang w:val="en-GB" w:eastAsia="en-US"/>
        </w:rPr>
      </w:pPr>
    </w:p>
    <w:p w14:paraId="5BBC8D4E" w14:textId="77777777" w:rsidR="002E0FEA" w:rsidRDefault="002E0FEA" w:rsidP="00E539CE">
      <w:pPr>
        <w:tabs>
          <w:tab w:val="left" w:pos="1215"/>
        </w:tabs>
        <w:spacing w:after="0" w:line="240" w:lineRule="auto"/>
        <w:jc w:val="center"/>
        <w:rPr>
          <w:rFonts w:cs="Calibri"/>
          <w:b/>
          <w:lang w:val="en-GB" w:eastAsia="en-US"/>
        </w:rPr>
      </w:pPr>
    </w:p>
    <w:p w14:paraId="6B85CE56" w14:textId="77777777" w:rsidR="002E0FEA" w:rsidRDefault="002E0FEA" w:rsidP="00E539CE">
      <w:pPr>
        <w:tabs>
          <w:tab w:val="left" w:pos="1215"/>
        </w:tabs>
        <w:spacing w:after="0" w:line="240" w:lineRule="auto"/>
        <w:jc w:val="center"/>
        <w:rPr>
          <w:rFonts w:cs="Calibri"/>
          <w:b/>
          <w:lang w:val="en-GB" w:eastAsia="en-US"/>
        </w:rPr>
        <w:sectPr w:rsidR="002E0FEA" w:rsidSect="00616DE1">
          <w:pgSz w:w="11906" w:h="16838"/>
          <w:pgMar w:top="1440" w:right="1440" w:bottom="1440" w:left="1440" w:header="709" w:footer="709" w:gutter="0"/>
          <w:cols w:space="708"/>
          <w:docGrid w:linePitch="360"/>
        </w:sectPr>
      </w:pPr>
    </w:p>
    <w:p w14:paraId="0749B3C1" w14:textId="77777777" w:rsidR="002E0FEA" w:rsidRPr="00A81A4F" w:rsidRDefault="002E0FEA" w:rsidP="00E539CE">
      <w:pPr>
        <w:tabs>
          <w:tab w:val="left" w:pos="1215"/>
        </w:tabs>
        <w:spacing w:after="0" w:line="240" w:lineRule="auto"/>
        <w:jc w:val="center"/>
        <w:rPr>
          <w:rFonts w:cs="Calibri"/>
          <w:b/>
          <w:lang w:val="en-GB" w:eastAsia="en-US"/>
        </w:rPr>
      </w:pPr>
      <w:r w:rsidRPr="00A81A4F">
        <w:rPr>
          <w:rFonts w:cs="Calibri"/>
          <w:b/>
          <w:lang w:val="en-GB" w:eastAsia="en-US"/>
        </w:rPr>
        <w:lastRenderedPageBreak/>
        <w:t>Table 1: Descriptive Statistics</w:t>
      </w:r>
    </w:p>
    <w:tbl>
      <w:tblPr>
        <w:tblW w:w="0" w:type="auto"/>
        <w:tblBorders>
          <w:top w:val="single" w:sz="4" w:space="0" w:color="auto"/>
          <w:bottom w:val="single" w:sz="4" w:space="0" w:color="auto"/>
        </w:tblBorders>
        <w:tblLook w:val="04A0" w:firstRow="1" w:lastRow="0" w:firstColumn="1" w:lastColumn="0" w:noHBand="0" w:noVBand="1"/>
      </w:tblPr>
      <w:tblGrid>
        <w:gridCol w:w="4820"/>
        <w:gridCol w:w="1008"/>
        <w:gridCol w:w="1008"/>
        <w:gridCol w:w="1008"/>
        <w:gridCol w:w="1008"/>
        <w:gridCol w:w="1008"/>
        <w:gridCol w:w="1008"/>
        <w:gridCol w:w="1008"/>
        <w:gridCol w:w="1008"/>
        <w:gridCol w:w="1008"/>
      </w:tblGrid>
      <w:tr w:rsidR="002E0FEA" w:rsidRPr="00A81A4F" w14:paraId="5CFF2BB8" w14:textId="77777777" w:rsidTr="00620CED">
        <w:tc>
          <w:tcPr>
            <w:tcW w:w="4820" w:type="dxa"/>
            <w:tcBorders>
              <w:top w:val="single" w:sz="4" w:space="0" w:color="auto"/>
              <w:bottom w:val="single" w:sz="4" w:space="0" w:color="auto"/>
            </w:tcBorders>
            <w:shd w:val="clear" w:color="auto" w:fill="auto"/>
            <w:vAlign w:val="center"/>
          </w:tcPr>
          <w:p w14:paraId="3181A5FE" w14:textId="77777777" w:rsidR="002E0FEA" w:rsidRPr="00A81A4F" w:rsidRDefault="002E0FEA" w:rsidP="00E539CE">
            <w:pPr>
              <w:spacing w:after="0" w:line="240" w:lineRule="auto"/>
              <w:rPr>
                <w:sz w:val="20"/>
                <w:szCs w:val="20"/>
                <w:lang w:val="en-GB" w:eastAsia="en-US"/>
              </w:rPr>
            </w:pPr>
          </w:p>
        </w:tc>
        <w:tc>
          <w:tcPr>
            <w:tcW w:w="1008" w:type="dxa"/>
            <w:tcBorders>
              <w:top w:val="single" w:sz="4" w:space="0" w:color="auto"/>
              <w:bottom w:val="single" w:sz="4" w:space="0" w:color="auto"/>
            </w:tcBorders>
            <w:shd w:val="clear" w:color="auto" w:fill="auto"/>
            <w:vAlign w:val="center"/>
          </w:tcPr>
          <w:p w14:paraId="55C9C190"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Mean</w:t>
            </w:r>
          </w:p>
        </w:tc>
        <w:tc>
          <w:tcPr>
            <w:tcW w:w="1008" w:type="dxa"/>
            <w:tcBorders>
              <w:top w:val="single" w:sz="4" w:space="0" w:color="auto"/>
              <w:bottom w:val="single" w:sz="4" w:space="0" w:color="auto"/>
            </w:tcBorders>
            <w:shd w:val="clear" w:color="auto" w:fill="auto"/>
            <w:vAlign w:val="center"/>
          </w:tcPr>
          <w:p w14:paraId="3813854F"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SD</w:t>
            </w:r>
          </w:p>
        </w:tc>
        <w:tc>
          <w:tcPr>
            <w:tcW w:w="1008" w:type="dxa"/>
            <w:tcBorders>
              <w:top w:val="single" w:sz="4" w:space="0" w:color="auto"/>
              <w:bottom w:val="single" w:sz="4" w:space="0" w:color="auto"/>
            </w:tcBorders>
            <w:shd w:val="clear" w:color="auto" w:fill="auto"/>
            <w:vAlign w:val="center"/>
          </w:tcPr>
          <w:p w14:paraId="5FEDF2ED"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CR</w:t>
            </w:r>
          </w:p>
        </w:tc>
        <w:tc>
          <w:tcPr>
            <w:tcW w:w="1008" w:type="dxa"/>
            <w:tcBorders>
              <w:top w:val="single" w:sz="4" w:space="0" w:color="auto"/>
              <w:bottom w:val="single" w:sz="4" w:space="0" w:color="auto"/>
            </w:tcBorders>
            <w:shd w:val="clear" w:color="auto" w:fill="auto"/>
            <w:vAlign w:val="center"/>
          </w:tcPr>
          <w:p w14:paraId="468D560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AVE</w:t>
            </w:r>
          </w:p>
        </w:tc>
        <w:tc>
          <w:tcPr>
            <w:tcW w:w="1008" w:type="dxa"/>
            <w:tcBorders>
              <w:top w:val="single" w:sz="4" w:space="0" w:color="auto"/>
              <w:bottom w:val="single" w:sz="4" w:space="0" w:color="auto"/>
            </w:tcBorders>
            <w:shd w:val="clear" w:color="auto" w:fill="auto"/>
            <w:vAlign w:val="center"/>
          </w:tcPr>
          <w:p w14:paraId="3729FB8C"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1</w:t>
            </w:r>
          </w:p>
        </w:tc>
        <w:tc>
          <w:tcPr>
            <w:tcW w:w="1008" w:type="dxa"/>
            <w:tcBorders>
              <w:top w:val="single" w:sz="4" w:space="0" w:color="auto"/>
              <w:bottom w:val="single" w:sz="4" w:space="0" w:color="auto"/>
            </w:tcBorders>
            <w:shd w:val="clear" w:color="auto" w:fill="auto"/>
            <w:vAlign w:val="center"/>
          </w:tcPr>
          <w:p w14:paraId="60A3FBC1"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2</w:t>
            </w:r>
          </w:p>
        </w:tc>
        <w:tc>
          <w:tcPr>
            <w:tcW w:w="1008" w:type="dxa"/>
            <w:tcBorders>
              <w:top w:val="single" w:sz="4" w:space="0" w:color="auto"/>
              <w:bottom w:val="single" w:sz="4" w:space="0" w:color="auto"/>
            </w:tcBorders>
            <w:shd w:val="clear" w:color="auto" w:fill="auto"/>
            <w:vAlign w:val="center"/>
          </w:tcPr>
          <w:p w14:paraId="0DFE0969"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3</w:t>
            </w:r>
          </w:p>
        </w:tc>
        <w:tc>
          <w:tcPr>
            <w:tcW w:w="1008" w:type="dxa"/>
            <w:tcBorders>
              <w:top w:val="single" w:sz="4" w:space="0" w:color="auto"/>
              <w:bottom w:val="single" w:sz="4" w:space="0" w:color="auto"/>
            </w:tcBorders>
            <w:shd w:val="clear" w:color="auto" w:fill="auto"/>
            <w:vAlign w:val="center"/>
          </w:tcPr>
          <w:p w14:paraId="65BBC301"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4</w:t>
            </w:r>
          </w:p>
        </w:tc>
        <w:tc>
          <w:tcPr>
            <w:tcW w:w="1008" w:type="dxa"/>
            <w:tcBorders>
              <w:top w:val="single" w:sz="4" w:space="0" w:color="auto"/>
              <w:bottom w:val="single" w:sz="4" w:space="0" w:color="auto"/>
            </w:tcBorders>
            <w:shd w:val="clear" w:color="auto" w:fill="auto"/>
            <w:vAlign w:val="center"/>
          </w:tcPr>
          <w:p w14:paraId="6F34F09A"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5</w:t>
            </w:r>
          </w:p>
        </w:tc>
      </w:tr>
      <w:tr w:rsidR="002E0FEA" w:rsidRPr="00A81A4F" w14:paraId="35809D28" w14:textId="77777777" w:rsidTr="00620CED">
        <w:tc>
          <w:tcPr>
            <w:tcW w:w="4820" w:type="dxa"/>
            <w:tcBorders>
              <w:top w:val="single" w:sz="4" w:space="0" w:color="auto"/>
              <w:bottom w:val="nil"/>
            </w:tcBorders>
            <w:shd w:val="clear" w:color="auto" w:fill="auto"/>
            <w:vAlign w:val="center"/>
          </w:tcPr>
          <w:p w14:paraId="443D21B6" w14:textId="77777777" w:rsidR="002E0FEA" w:rsidRPr="00A81A4F" w:rsidRDefault="002E0FEA" w:rsidP="00E539CE">
            <w:pPr>
              <w:spacing w:after="0" w:line="240" w:lineRule="auto"/>
              <w:rPr>
                <w:b/>
                <w:sz w:val="20"/>
                <w:szCs w:val="20"/>
                <w:lang w:val="en-GB" w:eastAsia="en-US"/>
              </w:rPr>
            </w:pPr>
          </w:p>
        </w:tc>
        <w:tc>
          <w:tcPr>
            <w:tcW w:w="1008" w:type="dxa"/>
            <w:tcBorders>
              <w:top w:val="single" w:sz="4" w:space="0" w:color="auto"/>
              <w:bottom w:val="nil"/>
            </w:tcBorders>
            <w:shd w:val="clear" w:color="auto" w:fill="auto"/>
            <w:vAlign w:val="center"/>
          </w:tcPr>
          <w:p w14:paraId="78432439"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42D18822"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7B6049B4"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37F877ED"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521D8A8D"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525919B0"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3F3B664E"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64D0915B"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single" w:sz="4" w:space="0" w:color="auto"/>
              <w:bottom w:val="nil"/>
            </w:tcBorders>
            <w:shd w:val="clear" w:color="auto" w:fill="auto"/>
            <w:vAlign w:val="center"/>
          </w:tcPr>
          <w:p w14:paraId="306533CA" w14:textId="77777777" w:rsidR="002E0FEA" w:rsidRPr="00A81A4F" w:rsidRDefault="002E0FEA" w:rsidP="00E539CE">
            <w:pPr>
              <w:spacing w:after="0" w:line="240" w:lineRule="auto"/>
              <w:jc w:val="center"/>
              <w:rPr>
                <w:rFonts w:cs="Calibri"/>
                <w:sz w:val="20"/>
                <w:szCs w:val="20"/>
                <w:lang w:val="en-GB" w:eastAsia="en-US"/>
              </w:rPr>
            </w:pPr>
          </w:p>
        </w:tc>
      </w:tr>
      <w:tr w:rsidR="002E0FEA" w:rsidRPr="00A81A4F" w14:paraId="541BBE78" w14:textId="77777777" w:rsidTr="00620CED">
        <w:tc>
          <w:tcPr>
            <w:tcW w:w="4820" w:type="dxa"/>
            <w:tcBorders>
              <w:top w:val="nil"/>
            </w:tcBorders>
            <w:shd w:val="clear" w:color="auto" w:fill="auto"/>
            <w:vAlign w:val="center"/>
          </w:tcPr>
          <w:p w14:paraId="2219DA08"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1. Information Technology</w:t>
            </w:r>
          </w:p>
        </w:tc>
        <w:tc>
          <w:tcPr>
            <w:tcW w:w="1008" w:type="dxa"/>
            <w:tcBorders>
              <w:top w:val="nil"/>
            </w:tcBorders>
            <w:shd w:val="clear" w:color="auto" w:fill="auto"/>
            <w:vAlign w:val="center"/>
          </w:tcPr>
          <w:p w14:paraId="54CE17DB" w14:textId="77777777" w:rsidR="002E0FEA" w:rsidRPr="00A81A4F" w:rsidRDefault="002E0FEA" w:rsidP="00E539CE">
            <w:pPr>
              <w:spacing w:after="0" w:line="240" w:lineRule="auto"/>
              <w:jc w:val="center"/>
              <w:rPr>
                <w:rFonts w:cs="Calibri"/>
                <w:sz w:val="20"/>
                <w:szCs w:val="20"/>
                <w:lang w:val="en-GB" w:eastAsia="en-US"/>
              </w:rPr>
            </w:pPr>
            <w:r w:rsidRPr="00A81A4F">
              <w:rPr>
                <w:rFonts w:cs="Calibri"/>
                <w:sz w:val="20"/>
                <w:szCs w:val="20"/>
                <w:lang w:val="en-GB" w:eastAsia="en-US"/>
              </w:rPr>
              <w:t>---</w:t>
            </w:r>
          </w:p>
        </w:tc>
        <w:tc>
          <w:tcPr>
            <w:tcW w:w="1008" w:type="dxa"/>
            <w:tcBorders>
              <w:top w:val="nil"/>
            </w:tcBorders>
            <w:shd w:val="clear" w:color="auto" w:fill="auto"/>
            <w:vAlign w:val="center"/>
          </w:tcPr>
          <w:p w14:paraId="01761A2F" w14:textId="77777777" w:rsidR="002E0FEA" w:rsidRPr="00A81A4F" w:rsidRDefault="002E0FEA" w:rsidP="00E539CE">
            <w:pPr>
              <w:spacing w:after="0" w:line="240" w:lineRule="auto"/>
              <w:jc w:val="center"/>
              <w:rPr>
                <w:rFonts w:cs="Calibri"/>
                <w:sz w:val="20"/>
                <w:szCs w:val="20"/>
                <w:lang w:val="en-GB" w:eastAsia="en-US"/>
              </w:rPr>
            </w:pPr>
            <w:r w:rsidRPr="00A81A4F">
              <w:rPr>
                <w:rFonts w:cs="Calibri"/>
                <w:sz w:val="20"/>
                <w:szCs w:val="20"/>
                <w:lang w:val="en-GB" w:eastAsia="en-US"/>
              </w:rPr>
              <w:t>---</w:t>
            </w:r>
          </w:p>
        </w:tc>
        <w:tc>
          <w:tcPr>
            <w:tcW w:w="1008" w:type="dxa"/>
            <w:tcBorders>
              <w:top w:val="nil"/>
            </w:tcBorders>
            <w:shd w:val="clear" w:color="auto" w:fill="auto"/>
            <w:vAlign w:val="center"/>
          </w:tcPr>
          <w:p w14:paraId="2AD72696" w14:textId="77777777" w:rsidR="002E0FEA" w:rsidRPr="00A81A4F" w:rsidRDefault="002E0FEA" w:rsidP="00E539CE">
            <w:pPr>
              <w:spacing w:after="0" w:line="240" w:lineRule="auto"/>
              <w:jc w:val="center"/>
              <w:rPr>
                <w:rFonts w:cs="Calibri"/>
                <w:sz w:val="20"/>
                <w:szCs w:val="20"/>
                <w:lang w:val="en-GB" w:eastAsia="en-US"/>
              </w:rPr>
            </w:pPr>
            <w:r w:rsidRPr="00A81A4F">
              <w:rPr>
                <w:rFonts w:cs="Calibri"/>
                <w:sz w:val="20"/>
                <w:szCs w:val="20"/>
                <w:lang w:val="en-GB" w:eastAsia="en-US"/>
              </w:rPr>
              <w:t>---</w:t>
            </w:r>
          </w:p>
        </w:tc>
        <w:tc>
          <w:tcPr>
            <w:tcW w:w="1008" w:type="dxa"/>
            <w:tcBorders>
              <w:top w:val="nil"/>
            </w:tcBorders>
            <w:shd w:val="clear" w:color="auto" w:fill="auto"/>
            <w:vAlign w:val="center"/>
          </w:tcPr>
          <w:p w14:paraId="1AF01419" w14:textId="77777777" w:rsidR="002E0FEA" w:rsidRPr="00A81A4F" w:rsidRDefault="002E0FEA" w:rsidP="00E539CE">
            <w:pPr>
              <w:spacing w:after="0" w:line="240" w:lineRule="auto"/>
              <w:jc w:val="center"/>
              <w:rPr>
                <w:rFonts w:cs="Calibri"/>
                <w:sz w:val="20"/>
                <w:szCs w:val="20"/>
                <w:lang w:val="en-GB" w:eastAsia="en-US"/>
              </w:rPr>
            </w:pPr>
            <w:r w:rsidRPr="00A81A4F">
              <w:rPr>
                <w:rFonts w:cs="Calibri"/>
                <w:sz w:val="20"/>
                <w:szCs w:val="20"/>
                <w:lang w:val="en-GB" w:eastAsia="en-US"/>
              </w:rPr>
              <w:t>---</w:t>
            </w:r>
          </w:p>
        </w:tc>
        <w:tc>
          <w:tcPr>
            <w:tcW w:w="1008" w:type="dxa"/>
            <w:tcBorders>
              <w:top w:val="nil"/>
            </w:tcBorders>
            <w:shd w:val="clear" w:color="auto" w:fill="auto"/>
            <w:vAlign w:val="center"/>
          </w:tcPr>
          <w:p w14:paraId="073FCCA1" w14:textId="77777777" w:rsidR="002E0FEA" w:rsidRPr="00A81A4F" w:rsidRDefault="002E0FEA" w:rsidP="00E539CE">
            <w:pPr>
              <w:spacing w:after="0" w:line="240" w:lineRule="auto"/>
              <w:jc w:val="center"/>
              <w:rPr>
                <w:rFonts w:cs="Calibri"/>
                <w:sz w:val="20"/>
                <w:szCs w:val="20"/>
                <w:lang w:val="en-GB" w:eastAsia="en-US"/>
              </w:rPr>
            </w:pPr>
            <w:r w:rsidRPr="00A81A4F">
              <w:rPr>
                <w:rFonts w:cs="Calibri"/>
                <w:sz w:val="20"/>
                <w:szCs w:val="20"/>
                <w:lang w:val="en-GB" w:eastAsia="en-US"/>
              </w:rPr>
              <w:t>---</w:t>
            </w:r>
          </w:p>
        </w:tc>
        <w:tc>
          <w:tcPr>
            <w:tcW w:w="1008" w:type="dxa"/>
            <w:tcBorders>
              <w:top w:val="nil"/>
            </w:tcBorders>
            <w:shd w:val="clear" w:color="auto" w:fill="auto"/>
            <w:vAlign w:val="center"/>
          </w:tcPr>
          <w:p w14:paraId="3599E789"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nil"/>
            </w:tcBorders>
            <w:shd w:val="clear" w:color="auto" w:fill="auto"/>
            <w:vAlign w:val="center"/>
          </w:tcPr>
          <w:p w14:paraId="6C5446F3"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nil"/>
            </w:tcBorders>
            <w:shd w:val="clear" w:color="auto" w:fill="auto"/>
            <w:vAlign w:val="center"/>
          </w:tcPr>
          <w:p w14:paraId="7832C811" w14:textId="77777777" w:rsidR="002E0FEA" w:rsidRPr="00A81A4F" w:rsidRDefault="002E0FEA" w:rsidP="00E539CE">
            <w:pPr>
              <w:spacing w:after="0" w:line="240" w:lineRule="auto"/>
              <w:jc w:val="center"/>
              <w:rPr>
                <w:rFonts w:cs="Calibri"/>
                <w:sz w:val="20"/>
                <w:szCs w:val="20"/>
                <w:lang w:val="en-GB" w:eastAsia="en-US"/>
              </w:rPr>
            </w:pPr>
          </w:p>
        </w:tc>
        <w:tc>
          <w:tcPr>
            <w:tcW w:w="1008" w:type="dxa"/>
            <w:tcBorders>
              <w:top w:val="nil"/>
            </w:tcBorders>
            <w:shd w:val="clear" w:color="auto" w:fill="auto"/>
            <w:vAlign w:val="center"/>
          </w:tcPr>
          <w:p w14:paraId="4F3234AD" w14:textId="77777777" w:rsidR="002E0FEA" w:rsidRPr="00A81A4F" w:rsidRDefault="002E0FEA" w:rsidP="00E539CE">
            <w:pPr>
              <w:spacing w:after="0" w:line="240" w:lineRule="auto"/>
              <w:jc w:val="center"/>
              <w:rPr>
                <w:rFonts w:cs="Calibri"/>
                <w:sz w:val="20"/>
                <w:szCs w:val="20"/>
                <w:lang w:val="en-GB" w:eastAsia="en-US"/>
              </w:rPr>
            </w:pPr>
          </w:p>
        </w:tc>
      </w:tr>
      <w:tr w:rsidR="002E0FEA" w:rsidRPr="00A81A4F" w14:paraId="50D36D9B" w14:textId="77777777" w:rsidTr="00620CED">
        <w:tc>
          <w:tcPr>
            <w:tcW w:w="4820" w:type="dxa"/>
            <w:shd w:val="clear" w:color="auto" w:fill="auto"/>
            <w:vAlign w:val="center"/>
          </w:tcPr>
          <w:p w14:paraId="4766D178"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2. Machinery and Equipment</w:t>
            </w:r>
          </w:p>
        </w:tc>
        <w:tc>
          <w:tcPr>
            <w:tcW w:w="1008" w:type="dxa"/>
            <w:shd w:val="clear" w:color="auto" w:fill="auto"/>
            <w:vAlign w:val="center"/>
          </w:tcPr>
          <w:p w14:paraId="4E7EB432"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w:t>
            </w:r>
          </w:p>
        </w:tc>
        <w:tc>
          <w:tcPr>
            <w:tcW w:w="1008" w:type="dxa"/>
            <w:shd w:val="clear" w:color="auto" w:fill="auto"/>
            <w:vAlign w:val="center"/>
          </w:tcPr>
          <w:p w14:paraId="6DD3C691"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w:t>
            </w:r>
          </w:p>
        </w:tc>
        <w:tc>
          <w:tcPr>
            <w:tcW w:w="1008" w:type="dxa"/>
            <w:shd w:val="clear" w:color="auto" w:fill="auto"/>
            <w:vAlign w:val="center"/>
          </w:tcPr>
          <w:p w14:paraId="707591C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6967395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80EBC2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-0.389*</w:t>
            </w:r>
          </w:p>
        </w:tc>
        <w:tc>
          <w:tcPr>
            <w:tcW w:w="1008" w:type="dxa"/>
            <w:shd w:val="clear" w:color="auto" w:fill="auto"/>
            <w:vAlign w:val="center"/>
          </w:tcPr>
          <w:p w14:paraId="28551B4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640551D5"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3B2131B2"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037C40ED" w14:textId="77777777" w:rsidR="002E0FEA" w:rsidRPr="00A81A4F" w:rsidRDefault="002E0FEA" w:rsidP="00E539CE">
            <w:pPr>
              <w:spacing w:after="0" w:line="240" w:lineRule="auto"/>
              <w:jc w:val="center"/>
              <w:rPr>
                <w:sz w:val="20"/>
                <w:szCs w:val="20"/>
                <w:lang w:val="en-GB" w:eastAsia="en-US"/>
              </w:rPr>
            </w:pPr>
          </w:p>
        </w:tc>
      </w:tr>
      <w:tr w:rsidR="002E0FEA" w:rsidRPr="00A81A4F" w14:paraId="1F8B5567" w14:textId="77777777" w:rsidTr="00620CED">
        <w:tc>
          <w:tcPr>
            <w:tcW w:w="4820" w:type="dxa"/>
            <w:shd w:val="clear" w:color="auto" w:fill="auto"/>
            <w:vAlign w:val="center"/>
          </w:tcPr>
          <w:p w14:paraId="5A20C546"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3. Electronic Goods</w:t>
            </w:r>
          </w:p>
        </w:tc>
        <w:tc>
          <w:tcPr>
            <w:tcW w:w="1008" w:type="dxa"/>
            <w:shd w:val="clear" w:color="auto" w:fill="auto"/>
            <w:vAlign w:val="center"/>
          </w:tcPr>
          <w:p w14:paraId="363CF2D6"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w:t>
            </w:r>
          </w:p>
        </w:tc>
        <w:tc>
          <w:tcPr>
            <w:tcW w:w="1008" w:type="dxa"/>
            <w:shd w:val="clear" w:color="auto" w:fill="auto"/>
            <w:vAlign w:val="center"/>
          </w:tcPr>
          <w:p w14:paraId="5B3CBE81"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w:t>
            </w:r>
          </w:p>
        </w:tc>
        <w:tc>
          <w:tcPr>
            <w:tcW w:w="1008" w:type="dxa"/>
            <w:shd w:val="clear" w:color="auto" w:fill="auto"/>
            <w:vAlign w:val="center"/>
          </w:tcPr>
          <w:p w14:paraId="44652EA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78BAD98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338510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-0.157*</w:t>
            </w:r>
          </w:p>
        </w:tc>
        <w:tc>
          <w:tcPr>
            <w:tcW w:w="1008" w:type="dxa"/>
            <w:shd w:val="clear" w:color="auto" w:fill="auto"/>
            <w:vAlign w:val="center"/>
          </w:tcPr>
          <w:p w14:paraId="128A82B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-0.318*</w:t>
            </w:r>
          </w:p>
        </w:tc>
        <w:tc>
          <w:tcPr>
            <w:tcW w:w="1008" w:type="dxa"/>
            <w:shd w:val="clear" w:color="auto" w:fill="auto"/>
            <w:vAlign w:val="center"/>
          </w:tcPr>
          <w:p w14:paraId="66C49CC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1FBEC43A"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747AA14F" w14:textId="77777777" w:rsidR="002E0FEA" w:rsidRPr="00A81A4F" w:rsidRDefault="002E0FEA" w:rsidP="00E539CE">
            <w:pPr>
              <w:spacing w:after="0" w:line="240" w:lineRule="auto"/>
              <w:jc w:val="center"/>
              <w:rPr>
                <w:sz w:val="20"/>
                <w:szCs w:val="20"/>
                <w:lang w:val="en-GB" w:eastAsia="en-US"/>
              </w:rPr>
            </w:pPr>
          </w:p>
        </w:tc>
      </w:tr>
      <w:tr w:rsidR="002E0FEA" w:rsidRPr="00A81A4F" w14:paraId="79BA5C16" w14:textId="77777777" w:rsidTr="00620CED">
        <w:tc>
          <w:tcPr>
            <w:tcW w:w="4820" w:type="dxa"/>
            <w:shd w:val="clear" w:color="auto" w:fill="auto"/>
            <w:vAlign w:val="center"/>
          </w:tcPr>
          <w:p w14:paraId="3F581414"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4. Consumer Goods</w:t>
            </w:r>
          </w:p>
        </w:tc>
        <w:tc>
          <w:tcPr>
            <w:tcW w:w="1008" w:type="dxa"/>
            <w:shd w:val="clear" w:color="auto" w:fill="auto"/>
            <w:vAlign w:val="center"/>
          </w:tcPr>
          <w:p w14:paraId="31071DEE"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w:t>
            </w:r>
          </w:p>
        </w:tc>
        <w:tc>
          <w:tcPr>
            <w:tcW w:w="1008" w:type="dxa"/>
            <w:shd w:val="clear" w:color="auto" w:fill="auto"/>
            <w:vAlign w:val="center"/>
          </w:tcPr>
          <w:p w14:paraId="7914050E"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w:t>
            </w:r>
          </w:p>
        </w:tc>
        <w:tc>
          <w:tcPr>
            <w:tcW w:w="1008" w:type="dxa"/>
            <w:shd w:val="clear" w:color="auto" w:fill="auto"/>
            <w:vAlign w:val="center"/>
          </w:tcPr>
          <w:p w14:paraId="1012E2E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F96575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05A22FC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-0.142*</w:t>
            </w:r>
          </w:p>
        </w:tc>
        <w:tc>
          <w:tcPr>
            <w:tcW w:w="1008" w:type="dxa"/>
            <w:shd w:val="clear" w:color="auto" w:fill="auto"/>
            <w:vAlign w:val="center"/>
          </w:tcPr>
          <w:p w14:paraId="3A109AF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-0.287*</w:t>
            </w:r>
          </w:p>
        </w:tc>
        <w:tc>
          <w:tcPr>
            <w:tcW w:w="1008" w:type="dxa"/>
            <w:shd w:val="clear" w:color="auto" w:fill="auto"/>
            <w:vAlign w:val="center"/>
          </w:tcPr>
          <w:p w14:paraId="2A16119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-0.116</w:t>
            </w:r>
          </w:p>
        </w:tc>
        <w:tc>
          <w:tcPr>
            <w:tcW w:w="1008" w:type="dxa"/>
            <w:shd w:val="clear" w:color="auto" w:fill="auto"/>
            <w:vAlign w:val="center"/>
          </w:tcPr>
          <w:p w14:paraId="2BAD53C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373BA2F" w14:textId="77777777" w:rsidR="002E0FEA" w:rsidRPr="00A81A4F" w:rsidRDefault="002E0FEA" w:rsidP="00E539CE">
            <w:pPr>
              <w:spacing w:after="0" w:line="240" w:lineRule="auto"/>
              <w:jc w:val="center"/>
              <w:rPr>
                <w:sz w:val="20"/>
                <w:szCs w:val="20"/>
                <w:lang w:val="en-GB" w:eastAsia="en-US"/>
              </w:rPr>
            </w:pPr>
          </w:p>
        </w:tc>
      </w:tr>
      <w:tr w:rsidR="002E0FEA" w:rsidRPr="00A81A4F" w14:paraId="6C0A6F62" w14:textId="77777777" w:rsidTr="00620CED">
        <w:tc>
          <w:tcPr>
            <w:tcW w:w="4820" w:type="dxa"/>
            <w:shd w:val="clear" w:color="auto" w:fill="auto"/>
            <w:vAlign w:val="center"/>
          </w:tcPr>
          <w:p w14:paraId="7D6BAEFA"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5. Firm Size</w:t>
            </w:r>
          </w:p>
        </w:tc>
        <w:tc>
          <w:tcPr>
            <w:tcW w:w="1008" w:type="dxa"/>
            <w:shd w:val="clear" w:color="auto" w:fill="auto"/>
            <w:vAlign w:val="center"/>
          </w:tcPr>
          <w:p w14:paraId="272497BF"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2.341</w:t>
            </w:r>
          </w:p>
        </w:tc>
        <w:tc>
          <w:tcPr>
            <w:tcW w:w="1008" w:type="dxa"/>
            <w:shd w:val="clear" w:color="auto" w:fill="auto"/>
            <w:vAlign w:val="center"/>
          </w:tcPr>
          <w:p w14:paraId="41DE35A8"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0.423</w:t>
            </w:r>
          </w:p>
        </w:tc>
        <w:tc>
          <w:tcPr>
            <w:tcW w:w="1008" w:type="dxa"/>
            <w:shd w:val="clear" w:color="auto" w:fill="auto"/>
            <w:vAlign w:val="center"/>
          </w:tcPr>
          <w:p w14:paraId="04BD3B8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6AA0BD0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3805E0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-0.190*</w:t>
            </w:r>
          </w:p>
        </w:tc>
        <w:tc>
          <w:tcPr>
            <w:tcW w:w="1008" w:type="dxa"/>
            <w:shd w:val="clear" w:color="auto" w:fill="auto"/>
            <w:vAlign w:val="center"/>
          </w:tcPr>
          <w:p w14:paraId="5EA3297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0.229*</w:t>
            </w:r>
          </w:p>
        </w:tc>
        <w:tc>
          <w:tcPr>
            <w:tcW w:w="1008" w:type="dxa"/>
            <w:shd w:val="clear" w:color="auto" w:fill="auto"/>
            <w:vAlign w:val="center"/>
          </w:tcPr>
          <w:p w14:paraId="347BE4E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-0.056</w:t>
            </w:r>
          </w:p>
        </w:tc>
        <w:tc>
          <w:tcPr>
            <w:tcW w:w="1008" w:type="dxa"/>
            <w:shd w:val="clear" w:color="auto" w:fill="auto"/>
            <w:vAlign w:val="center"/>
          </w:tcPr>
          <w:p w14:paraId="100822E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-0.134</w:t>
            </w:r>
          </w:p>
        </w:tc>
        <w:tc>
          <w:tcPr>
            <w:tcW w:w="1008" w:type="dxa"/>
            <w:shd w:val="clear" w:color="auto" w:fill="auto"/>
            <w:vAlign w:val="center"/>
          </w:tcPr>
          <w:p w14:paraId="232F638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r>
      <w:tr w:rsidR="002E0FEA" w:rsidRPr="00A81A4F" w14:paraId="0F4F9F4D" w14:textId="77777777" w:rsidTr="00620CED">
        <w:tc>
          <w:tcPr>
            <w:tcW w:w="4820" w:type="dxa"/>
            <w:shd w:val="clear" w:color="auto" w:fill="auto"/>
            <w:vAlign w:val="center"/>
          </w:tcPr>
          <w:p w14:paraId="67600307"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6. Firm Age</w:t>
            </w:r>
          </w:p>
        </w:tc>
        <w:tc>
          <w:tcPr>
            <w:tcW w:w="1008" w:type="dxa"/>
            <w:shd w:val="clear" w:color="auto" w:fill="auto"/>
            <w:vAlign w:val="center"/>
          </w:tcPr>
          <w:p w14:paraId="69610A44"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3.293</w:t>
            </w:r>
          </w:p>
        </w:tc>
        <w:tc>
          <w:tcPr>
            <w:tcW w:w="1008" w:type="dxa"/>
            <w:shd w:val="clear" w:color="auto" w:fill="auto"/>
            <w:vAlign w:val="center"/>
          </w:tcPr>
          <w:p w14:paraId="4AD3D407"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0.121</w:t>
            </w:r>
          </w:p>
        </w:tc>
        <w:tc>
          <w:tcPr>
            <w:tcW w:w="1008" w:type="dxa"/>
            <w:shd w:val="clear" w:color="auto" w:fill="auto"/>
            <w:vAlign w:val="center"/>
          </w:tcPr>
          <w:p w14:paraId="3B79FE0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5212A16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2FC64D2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0.034</w:t>
            </w:r>
          </w:p>
        </w:tc>
        <w:tc>
          <w:tcPr>
            <w:tcW w:w="1008" w:type="dxa"/>
            <w:shd w:val="clear" w:color="auto" w:fill="auto"/>
            <w:vAlign w:val="center"/>
          </w:tcPr>
          <w:p w14:paraId="658B74A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-0.078</w:t>
            </w:r>
          </w:p>
        </w:tc>
        <w:tc>
          <w:tcPr>
            <w:tcW w:w="1008" w:type="dxa"/>
            <w:shd w:val="clear" w:color="auto" w:fill="auto"/>
            <w:vAlign w:val="center"/>
          </w:tcPr>
          <w:p w14:paraId="3206816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0.027</w:t>
            </w:r>
          </w:p>
        </w:tc>
        <w:tc>
          <w:tcPr>
            <w:tcW w:w="1008" w:type="dxa"/>
            <w:shd w:val="clear" w:color="auto" w:fill="auto"/>
            <w:vAlign w:val="center"/>
          </w:tcPr>
          <w:p w14:paraId="3E9E633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0.02</w:t>
            </w:r>
          </w:p>
        </w:tc>
        <w:tc>
          <w:tcPr>
            <w:tcW w:w="1008" w:type="dxa"/>
            <w:shd w:val="clear" w:color="auto" w:fill="auto"/>
            <w:vAlign w:val="center"/>
          </w:tcPr>
          <w:p w14:paraId="5D51344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-0.026</w:t>
            </w:r>
          </w:p>
        </w:tc>
      </w:tr>
      <w:tr w:rsidR="002E0FEA" w:rsidRPr="00A81A4F" w14:paraId="6A206E8A" w14:textId="77777777" w:rsidTr="00620CED">
        <w:tc>
          <w:tcPr>
            <w:tcW w:w="4820" w:type="dxa"/>
            <w:shd w:val="clear" w:color="auto" w:fill="auto"/>
            <w:vAlign w:val="center"/>
          </w:tcPr>
          <w:p w14:paraId="7C9F0B16"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7. Competitive Intensity</w:t>
            </w:r>
          </w:p>
        </w:tc>
        <w:tc>
          <w:tcPr>
            <w:tcW w:w="1008" w:type="dxa"/>
            <w:shd w:val="clear" w:color="auto" w:fill="auto"/>
            <w:vAlign w:val="center"/>
          </w:tcPr>
          <w:p w14:paraId="7C793B15"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5.431</w:t>
            </w:r>
          </w:p>
        </w:tc>
        <w:tc>
          <w:tcPr>
            <w:tcW w:w="1008" w:type="dxa"/>
            <w:shd w:val="clear" w:color="auto" w:fill="auto"/>
            <w:vAlign w:val="center"/>
          </w:tcPr>
          <w:p w14:paraId="51DC8AA4"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1.183</w:t>
            </w:r>
          </w:p>
        </w:tc>
        <w:tc>
          <w:tcPr>
            <w:tcW w:w="1008" w:type="dxa"/>
            <w:shd w:val="clear" w:color="auto" w:fill="auto"/>
            <w:vAlign w:val="center"/>
          </w:tcPr>
          <w:p w14:paraId="14BF92B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146C47D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190D5A1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-0.040</w:t>
            </w:r>
          </w:p>
        </w:tc>
        <w:tc>
          <w:tcPr>
            <w:tcW w:w="1008" w:type="dxa"/>
            <w:shd w:val="clear" w:color="auto" w:fill="auto"/>
            <w:vAlign w:val="center"/>
          </w:tcPr>
          <w:p w14:paraId="3045699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0.161*</w:t>
            </w:r>
          </w:p>
        </w:tc>
        <w:tc>
          <w:tcPr>
            <w:tcW w:w="1008" w:type="dxa"/>
            <w:shd w:val="clear" w:color="auto" w:fill="auto"/>
            <w:vAlign w:val="center"/>
          </w:tcPr>
          <w:p w14:paraId="71F1764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0.122</w:t>
            </w:r>
          </w:p>
        </w:tc>
        <w:tc>
          <w:tcPr>
            <w:tcW w:w="1008" w:type="dxa"/>
            <w:shd w:val="clear" w:color="auto" w:fill="auto"/>
            <w:vAlign w:val="center"/>
          </w:tcPr>
          <w:p w14:paraId="5753CEF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-0.091</w:t>
            </w:r>
          </w:p>
        </w:tc>
        <w:tc>
          <w:tcPr>
            <w:tcW w:w="1008" w:type="dxa"/>
            <w:shd w:val="clear" w:color="auto" w:fill="auto"/>
            <w:vAlign w:val="center"/>
          </w:tcPr>
          <w:p w14:paraId="453700A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0.047</w:t>
            </w:r>
          </w:p>
        </w:tc>
      </w:tr>
      <w:tr w:rsidR="002E0FEA" w:rsidRPr="00A81A4F" w14:paraId="5ED74885" w14:textId="77777777" w:rsidTr="00620CED">
        <w:tc>
          <w:tcPr>
            <w:tcW w:w="4820" w:type="dxa"/>
            <w:shd w:val="clear" w:color="auto" w:fill="auto"/>
            <w:vAlign w:val="center"/>
          </w:tcPr>
          <w:p w14:paraId="793D919A"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8. Market Turbulence</w:t>
            </w:r>
          </w:p>
        </w:tc>
        <w:tc>
          <w:tcPr>
            <w:tcW w:w="1008" w:type="dxa"/>
            <w:shd w:val="clear" w:color="auto" w:fill="auto"/>
            <w:vAlign w:val="center"/>
          </w:tcPr>
          <w:p w14:paraId="4A07A93F"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5.190</w:t>
            </w:r>
          </w:p>
        </w:tc>
        <w:tc>
          <w:tcPr>
            <w:tcW w:w="1008" w:type="dxa"/>
            <w:shd w:val="clear" w:color="auto" w:fill="auto"/>
            <w:vAlign w:val="center"/>
          </w:tcPr>
          <w:p w14:paraId="22F4A9BC"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1.147</w:t>
            </w:r>
          </w:p>
        </w:tc>
        <w:tc>
          <w:tcPr>
            <w:tcW w:w="1008" w:type="dxa"/>
            <w:shd w:val="clear" w:color="auto" w:fill="auto"/>
            <w:vAlign w:val="center"/>
          </w:tcPr>
          <w:p w14:paraId="1F204E9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573C0A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4B2EA0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-0.061</w:t>
            </w:r>
          </w:p>
        </w:tc>
        <w:tc>
          <w:tcPr>
            <w:tcW w:w="1008" w:type="dxa"/>
            <w:shd w:val="clear" w:color="auto" w:fill="auto"/>
            <w:vAlign w:val="center"/>
          </w:tcPr>
          <w:p w14:paraId="4EC84E0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0.045</w:t>
            </w:r>
          </w:p>
        </w:tc>
        <w:tc>
          <w:tcPr>
            <w:tcW w:w="1008" w:type="dxa"/>
            <w:shd w:val="clear" w:color="auto" w:fill="auto"/>
            <w:vAlign w:val="center"/>
          </w:tcPr>
          <w:p w14:paraId="756653A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0.006</w:t>
            </w:r>
          </w:p>
        </w:tc>
        <w:tc>
          <w:tcPr>
            <w:tcW w:w="1008" w:type="dxa"/>
            <w:shd w:val="clear" w:color="auto" w:fill="auto"/>
            <w:vAlign w:val="center"/>
          </w:tcPr>
          <w:p w14:paraId="71A5450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0.116</w:t>
            </w:r>
          </w:p>
        </w:tc>
        <w:tc>
          <w:tcPr>
            <w:tcW w:w="1008" w:type="dxa"/>
            <w:shd w:val="clear" w:color="auto" w:fill="auto"/>
            <w:vAlign w:val="center"/>
          </w:tcPr>
          <w:p w14:paraId="6C56F3E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0.010</w:t>
            </w:r>
          </w:p>
        </w:tc>
      </w:tr>
      <w:tr w:rsidR="002E0FEA" w:rsidRPr="00A81A4F" w14:paraId="34F962BA" w14:textId="77777777" w:rsidTr="00620CED">
        <w:tc>
          <w:tcPr>
            <w:tcW w:w="4820" w:type="dxa"/>
            <w:shd w:val="clear" w:color="auto" w:fill="auto"/>
            <w:vAlign w:val="center"/>
          </w:tcPr>
          <w:p w14:paraId="0405F64E"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 xml:space="preserve">9. Foreign Environmental Regulatory Pressure </w:t>
            </w:r>
          </w:p>
        </w:tc>
        <w:tc>
          <w:tcPr>
            <w:tcW w:w="1008" w:type="dxa"/>
            <w:shd w:val="clear" w:color="auto" w:fill="auto"/>
            <w:vAlign w:val="center"/>
          </w:tcPr>
          <w:p w14:paraId="73C6B598"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5.447</w:t>
            </w:r>
          </w:p>
        </w:tc>
        <w:tc>
          <w:tcPr>
            <w:tcW w:w="1008" w:type="dxa"/>
            <w:shd w:val="clear" w:color="auto" w:fill="auto"/>
            <w:vAlign w:val="center"/>
          </w:tcPr>
          <w:p w14:paraId="29318F51"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0.922</w:t>
            </w:r>
          </w:p>
        </w:tc>
        <w:tc>
          <w:tcPr>
            <w:tcW w:w="1008" w:type="dxa"/>
            <w:shd w:val="clear" w:color="auto" w:fill="auto"/>
            <w:vAlign w:val="center"/>
          </w:tcPr>
          <w:p w14:paraId="6D53DD15"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0.758</w:t>
            </w:r>
          </w:p>
        </w:tc>
        <w:tc>
          <w:tcPr>
            <w:tcW w:w="1008" w:type="dxa"/>
            <w:shd w:val="clear" w:color="auto" w:fill="auto"/>
            <w:vAlign w:val="center"/>
          </w:tcPr>
          <w:p w14:paraId="4555537B"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0.511</w:t>
            </w:r>
          </w:p>
        </w:tc>
        <w:tc>
          <w:tcPr>
            <w:tcW w:w="1008" w:type="dxa"/>
            <w:shd w:val="clear" w:color="auto" w:fill="auto"/>
            <w:vAlign w:val="center"/>
          </w:tcPr>
          <w:p w14:paraId="7570826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-0.092</w:t>
            </w:r>
          </w:p>
        </w:tc>
        <w:tc>
          <w:tcPr>
            <w:tcW w:w="1008" w:type="dxa"/>
            <w:shd w:val="clear" w:color="auto" w:fill="auto"/>
            <w:vAlign w:val="center"/>
          </w:tcPr>
          <w:p w14:paraId="784798C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0.125</w:t>
            </w:r>
          </w:p>
        </w:tc>
        <w:tc>
          <w:tcPr>
            <w:tcW w:w="1008" w:type="dxa"/>
            <w:shd w:val="clear" w:color="auto" w:fill="auto"/>
            <w:vAlign w:val="center"/>
          </w:tcPr>
          <w:p w14:paraId="6DBC47A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0.069</w:t>
            </w:r>
          </w:p>
        </w:tc>
        <w:tc>
          <w:tcPr>
            <w:tcW w:w="1008" w:type="dxa"/>
            <w:shd w:val="clear" w:color="auto" w:fill="auto"/>
            <w:vAlign w:val="center"/>
          </w:tcPr>
          <w:p w14:paraId="6B16CC2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0.013</w:t>
            </w:r>
          </w:p>
        </w:tc>
        <w:tc>
          <w:tcPr>
            <w:tcW w:w="1008" w:type="dxa"/>
            <w:shd w:val="clear" w:color="auto" w:fill="auto"/>
            <w:vAlign w:val="center"/>
          </w:tcPr>
          <w:p w14:paraId="64A1F9C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0.133</w:t>
            </w:r>
          </w:p>
        </w:tc>
      </w:tr>
      <w:tr w:rsidR="002E0FEA" w:rsidRPr="00A81A4F" w14:paraId="132C194A" w14:textId="77777777" w:rsidTr="00620CED">
        <w:tc>
          <w:tcPr>
            <w:tcW w:w="4820" w:type="dxa"/>
            <w:shd w:val="clear" w:color="auto" w:fill="auto"/>
            <w:vAlign w:val="center"/>
          </w:tcPr>
          <w:p w14:paraId="5E4D3BF5"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 xml:space="preserve">10. Foreign Environmental Customer Pressure </w:t>
            </w:r>
          </w:p>
        </w:tc>
        <w:tc>
          <w:tcPr>
            <w:tcW w:w="1008" w:type="dxa"/>
            <w:shd w:val="clear" w:color="auto" w:fill="auto"/>
            <w:vAlign w:val="center"/>
          </w:tcPr>
          <w:p w14:paraId="5401FD4B"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5.562</w:t>
            </w:r>
          </w:p>
        </w:tc>
        <w:tc>
          <w:tcPr>
            <w:tcW w:w="1008" w:type="dxa"/>
            <w:shd w:val="clear" w:color="auto" w:fill="auto"/>
            <w:vAlign w:val="center"/>
          </w:tcPr>
          <w:p w14:paraId="6B5F1789"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0.843</w:t>
            </w:r>
          </w:p>
        </w:tc>
        <w:tc>
          <w:tcPr>
            <w:tcW w:w="1008" w:type="dxa"/>
            <w:shd w:val="clear" w:color="auto" w:fill="auto"/>
            <w:vAlign w:val="center"/>
          </w:tcPr>
          <w:p w14:paraId="3A16D530"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0.753</w:t>
            </w:r>
          </w:p>
        </w:tc>
        <w:tc>
          <w:tcPr>
            <w:tcW w:w="1008" w:type="dxa"/>
            <w:shd w:val="clear" w:color="auto" w:fill="auto"/>
            <w:vAlign w:val="center"/>
          </w:tcPr>
          <w:p w14:paraId="18FD5401"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0.504</w:t>
            </w:r>
          </w:p>
        </w:tc>
        <w:tc>
          <w:tcPr>
            <w:tcW w:w="1008" w:type="dxa"/>
            <w:shd w:val="clear" w:color="auto" w:fill="auto"/>
            <w:vAlign w:val="center"/>
          </w:tcPr>
          <w:p w14:paraId="498C5B5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-0.084</w:t>
            </w:r>
          </w:p>
        </w:tc>
        <w:tc>
          <w:tcPr>
            <w:tcW w:w="1008" w:type="dxa"/>
            <w:shd w:val="clear" w:color="auto" w:fill="auto"/>
            <w:vAlign w:val="center"/>
          </w:tcPr>
          <w:p w14:paraId="2899F70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0.046</w:t>
            </w:r>
          </w:p>
        </w:tc>
        <w:tc>
          <w:tcPr>
            <w:tcW w:w="1008" w:type="dxa"/>
            <w:shd w:val="clear" w:color="auto" w:fill="auto"/>
            <w:vAlign w:val="center"/>
          </w:tcPr>
          <w:p w14:paraId="35A74F4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0.121</w:t>
            </w:r>
          </w:p>
        </w:tc>
        <w:tc>
          <w:tcPr>
            <w:tcW w:w="1008" w:type="dxa"/>
            <w:shd w:val="clear" w:color="auto" w:fill="auto"/>
            <w:vAlign w:val="center"/>
          </w:tcPr>
          <w:p w14:paraId="6E99B21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0.027</w:t>
            </w:r>
          </w:p>
        </w:tc>
        <w:tc>
          <w:tcPr>
            <w:tcW w:w="1008" w:type="dxa"/>
            <w:shd w:val="clear" w:color="auto" w:fill="auto"/>
            <w:vAlign w:val="center"/>
          </w:tcPr>
          <w:p w14:paraId="1952A90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0.102</w:t>
            </w:r>
          </w:p>
        </w:tc>
      </w:tr>
      <w:tr w:rsidR="002E0FEA" w:rsidRPr="00A81A4F" w14:paraId="1726C25F" w14:textId="77777777" w:rsidTr="00620CED">
        <w:tc>
          <w:tcPr>
            <w:tcW w:w="4820" w:type="dxa"/>
            <w:shd w:val="clear" w:color="auto" w:fill="auto"/>
            <w:vAlign w:val="center"/>
          </w:tcPr>
          <w:p w14:paraId="1DD2DCE3"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11. Inward-focused Internationalization Activities</w:t>
            </w:r>
          </w:p>
        </w:tc>
        <w:tc>
          <w:tcPr>
            <w:tcW w:w="1008" w:type="dxa"/>
            <w:shd w:val="clear" w:color="auto" w:fill="auto"/>
            <w:vAlign w:val="center"/>
          </w:tcPr>
          <w:p w14:paraId="3D70C25D"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4.882</w:t>
            </w:r>
          </w:p>
        </w:tc>
        <w:tc>
          <w:tcPr>
            <w:tcW w:w="1008" w:type="dxa"/>
            <w:shd w:val="clear" w:color="auto" w:fill="auto"/>
            <w:vAlign w:val="center"/>
          </w:tcPr>
          <w:p w14:paraId="29DD31B8"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1.222</w:t>
            </w:r>
          </w:p>
        </w:tc>
        <w:tc>
          <w:tcPr>
            <w:tcW w:w="1008" w:type="dxa"/>
            <w:shd w:val="clear" w:color="auto" w:fill="auto"/>
            <w:vAlign w:val="center"/>
          </w:tcPr>
          <w:p w14:paraId="25C921B5"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0.680</w:t>
            </w:r>
          </w:p>
        </w:tc>
        <w:tc>
          <w:tcPr>
            <w:tcW w:w="1008" w:type="dxa"/>
            <w:shd w:val="clear" w:color="auto" w:fill="auto"/>
            <w:vAlign w:val="center"/>
          </w:tcPr>
          <w:p w14:paraId="301EE9A2"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0.516</w:t>
            </w:r>
          </w:p>
        </w:tc>
        <w:tc>
          <w:tcPr>
            <w:tcW w:w="1008" w:type="dxa"/>
            <w:shd w:val="clear" w:color="auto" w:fill="auto"/>
            <w:vAlign w:val="center"/>
          </w:tcPr>
          <w:p w14:paraId="2CF5AD4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0.016</w:t>
            </w:r>
          </w:p>
        </w:tc>
        <w:tc>
          <w:tcPr>
            <w:tcW w:w="1008" w:type="dxa"/>
            <w:shd w:val="clear" w:color="auto" w:fill="auto"/>
            <w:vAlign w:val="center"/>
          </w:tcPr>
          <w:p w14:paraId="6804D32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0.106</w:t>
            </w:r>
          </w:p>
        </w:tc>
        <w:tc>
          <w:tcPr>
            <w:tcW w:w="1008" w:type="dxa"/>
            <w:shd w:val="clear" w:color="auto" w:fill="auto"/>
            <w:vAlign w:val="center"/>
          </w:tcPr>
          <w:p w14:paraId="1C24997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0.053</w:t>
            </w:r>
          </w:p>
        </w:tc>
        <w:tc>
          <w:tcPr>
            <w:tcW w:w="1008" w:type="dxa"/>
            <w:shd w:val="clear" w:color="auto" w:fill="auto"/>
            <w:vAlign w:val="center"/>
          </w:tcPr>
          <w:p w14:paraId="43213DF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-0.055</w:t>
            </w:r>
          </w:p>
        </w:tc>
        <w:tc>
          <w:tcPr>
            <w:tcW w:w="1008" w:type="dxa"/>
            <w:shd w:val="clear" w:color="auto" w:fill="auto"/>
            <w:vAlign w:val="center"/>
          </w:tcPr>
          <w:p w14:paraId="6D52A8E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0.192*</w:t>
            </w:r>
          </w:p>
        </w:tc>
      </w:tr>
      <w:tr w:rsidR="002E0FEA" w:rsidRPr="00A81A4F" w14:paraId="34EBF75E" w14:textId="77777777" w:rsidTr="00620CED">
        <w:tc>
          <w:tcPr>
            <w:tcW w:w="4820" w:type="dxa"/>
            <w:tcBorders>
              <w:bottom w:val="nil"/>
            </w:tcBorders>
            <w:shd w:val="clear" w:color="auto" w:fill="auto"/>
            <w:vAlign w:val="center"/>
          </w:tcPr>
          <w:p w14:paraId="44FB742D"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12. Outward-focused Internationalization Activities</w:t>
            </w:r>
          </w:p>
        </w:tc>
        <w:tc>
          <w:tcPr>
            <w:tcW w:w="1008" w:type="dxa"/>
            <w:tcBorders>
              <w:bottom w:val="nil"/>
            </w:tcBorders>
            <w:shd w:val="clear" w:color="auto" w:fill="auto"/>
            <w:vAlign w:val="center"/>
          </w:tcPr>
          <w:p w14:paraId="7DA4CEFE"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5.133</w:t>
            </w:r>
          </w:p>
        </w:tc>
        <w:tc>
          <w:tcPr>
            <w:tcW w:w="1008" w:type="dxa"/>
            <w:tcBorders>
              <w:bottom w:val="nil"/>
            </w:tcBorders>
            <w:shd w:val="clear" w:color="auto" w:fill="auto"/>
            <w:vAlign w:val="center"/>
          </w:tcPr>
          <w:p w14:paraId="36A5CEA6"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1.149</w:t>
            </w:r>
          </w:p>
        </w:tc>
        <w:tc>
          <w:tcPr>
            <w:tcW w:w="1008" w:type="dxa"/>
            <w:tcBorders>
              <w:bottom w:val="nil"/>
            </w:tcBorders>
            <w:shd w:val="clear" w:color="auto" w:fill="auto"/>
            <w:vAlign w:val="center"/>
          </w:tcPr>
          <w:p w14:paraId="11F59132"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0.743</w:t>
            </w:r>
          </w:p>
        </w:tc>
        <w:tc>
          <w:tcPr>
            <w:tcW w:w="1008" w:type="dxa"/>
            <w:tcBorders>
              <w:bottom w:val="nil"/>
            </w:tcBorders>
            <w:shd w:val="clear" w:color="auto" w:fill="auto"/>
            <w:vAlign w:val="center"/>
          </w:tcPr>
          <w:p w14:paraId="14CFEB4E"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0.592</w:t>
            </w:r>
          </w:p>
        </w:tc>
        <w:tc>
          <w:tcPr>
            <w:tcW w:w="1008" w:type="dxa"/>
            <w:tcBorders>
              <w:bottom w:val="nil"/>
            </w:tcBorders>
            <w:shd w:val="clear" w:color="auto" w:fill="auto"/>
            <w:vAlign w:val="center"/>
          </w:tcPr>
          <w:p w14:paraId="0782D56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-0.062</w:t>
            </w:r>
          </w:p>
        </w:tc>
        <w:tc>
          <w:tcPr>
            <w:tcW w:w="1008" w:type="dxa"/>
            <w:tcBorders>
              <w:bottom w:val="nil"/>
            </w:tcBorders>
            <w:shd w:val="clear" w:color="auto" w:fill="auto"/>
            <w:vAlign w:val="center"/>
          </w:tcPr>
          <w:p w14:paraId="4141572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0.230*</w:t>
            </w:r>
          </w:p>
        </w:tc>
        <w:tc>
          <w:tcPr>
            <w:tcW w:w="1008" w:type="dxa"/>
            <w:tcBorders>
              <w:bottom w:val="nil"/>
            </w:tcBorders>
            <w:shd w:val="clear" w:color="auto" w:fill="auto"/>
            <w:vAlign w:val="center"/>
          </w:tcPr>
          <w:p w14:paraId="02B9A71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0.037</w:t>
            </w:r>
          </w:p>
        </w:tc>
        <w:tc>
          <w:tcPr>
            <w:tcW w:w="1008" w:type="dxa"/>
            <w:tcBorders>
              <w:bottom w:val="nil"/>
            </w:tcBorders>
            <w:shd w:val="clear" w:color="auto" w:fill="auto"/>
            <w:vAlign w:val="center"/>
          </w:tcPr>
          <w:p w14:paraId="274B3BF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-0.052</w:t>
            </w:r>
          </w:p>
        </w:tc>
        <w:tc>
          <w:tcPr>
            <w:tcW w:w="1008" w:type="dxa"/>
            <w:tcBorders>
              <w:bottom w:val="nil"/>
            </w:tcBorders>
            <w:shd w:val="clear" w:color="auto" w:fill="auto"/>
            <w:vAlign w:val="center"/>
          </w:tcPr>
          <w:p w14:paraId="0C47AE0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0.196*</w:t>
            </w:r>
          </w:p>
        </w:tc>
      </w:tr>
      <w:tr w:rsidR="002E0FEA" w:rsidRPr="00A81A4F" w14:paraId="582005C4" w14:textId="77777777" w:rsidTr="00620CED">
        <w:tc>
          <w:tcPr>
            <w:tcW w:w="4820" w:type="dxa"/>
            <w:tcBorders>
              <w:top w:val="nil"/>
              <w:bottom w:val="single" w:sz="4" w:space="0" w:color="auto"/>
            </w:tcBorders>
            <w:shd w:val="clear" w:color="auto" w:fill="auto"/>
            <w:vAlign w:val="center"/>
          </w:tcPr>
          <w:p w14:paraId="5B7DAD29"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13. Proactive Environmental Strategy</w:t>
            </w:r>
          </w:p>
        </w:tc>
        <w:tc>
          <w:tcPr>
            <w:tcW w:w="1008" w:type="dxa"/>
            <w:tcBorders>
              <w:top w:val="nil"/>
              <w:bottom w:val="single" w:sz="4" w:space="0" w:color="auto"/>
            </w:tcBorders>
            <w:shd w:val="clear" w:color="auto" w:fill="auto"/>
            <w:vAlign w:val="center"/>
          </w:tcPr>
          <w:p w14:paraId="7F68D9D4"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5.597</w:t>
            </w:r>
          </w:p>
        </w:tc>
        <w:tc>
          <w:tcPr>
            <w:tcW w:w="1008" w:type="dxa"/>
            <w:tcBorders>
              <w:top w:val="nil"/>
              <w:bottom w:val="single" w:sz="4" w:space="0" w:color="auto"/>
            </w:tcBorders>
            <w:shd w:val="clear" w:color="auto" w:fill="auto"/>
            <w:vAlign w:val="center"/>
          </w:tcPr>
          <w:p w14:paraId="74799558"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0.865</w:t>
            </w:r>
          </w:p>
        </w:tc>
        <w:tc>
          <w:tcPr>
            <w:tcW w:w="1008" w:type="dxa"/>
            <w:tcBorders>
              <w:top w:val="nil"/>
              <w:bottom w:val="single" w:sz="4" w:space="0" w:color="auto"/>
            </w:tcBorders>
            <w:shd w:val="clear" w:color="auto" w:fill="auto"/>
            <w:vAlign w:val="center"/>
          </w:tcPr>
          <w:p w14:paraId="77635092"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0.772</w:t>
            </w:r>
          </w:p>
        </w:tc>
        <w:tc>
          <w:tcPr>
            <w:tcW w:w="1008" w:type="dxa"/>
            <w:tcBorders>
              <w:top w:val="nil"/>
              <w:bottom w:val="single" w:sz="4" w:space="0" w:color="auto"/>
            </w:tcBorders>
            <w:shd w:val="clear" w:color="auto" w:fill="auto"/>
            <w:vAlign w:val="center"/>
          </w:tcPr>
          <w:p w14:paraId="3816D7C4" w14:textId="77777777" w:rsidR="002E0FEA" w:rsidRPr="00A81A4F" w:rsidRDefault="002E0FEA" w:rsidP="00E539CE">
            <w:pPr>
              <w:spacing w:after="0" w:line="240" w:lineRule="auto"/>
              <w:jc w:val="center"/>
              <w:rPr>
                <w:sz w:val="20"/>
                <w:szCs w:val="20"/>
                <w:lang w:val="en-GB" w:eastAsia="en-US"/>
              </w:rPr>
            </w:pPr>
            <w:r w:rsidRPr="00A81A4F">
              <w:rPr>
                <w:rFonts w:cs="Calibri"/>
                <w:sz w:val="20"/>
                <w:szCs w:val="20"/>
                <w:lang w:val="en-GB" w:eastAsia="en-US"/>
              </w:rPr>
              <w:t>0.531</w:t>
            </w:r>
          </w:p>
        </w:tc>
        <w:tc>
          <w:tcPr>
            <w:tcW w:w="1008" w:type="dxa"/>
            <w:tcBorders>
              <w:top w:val="nil"/>
              <w:bottom w:val="single" w:sz="4" w:space="0" w:color="auto"/>
            </w:tcBorders>
            <w:shd w:val="clear" w:color="auto" w:fill="auto"/>
            <w:vAlign w:val="center"/>
          </w:tcPr>
          <w:p w14:paraId="5F60553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-0.019</w:t>
            </w:r>
          </w:p>
        </w:tc>
        <w:tc>
          <w:tcPr>
            <w:tcW w:w="1008" w:type="dxa"/>
            <w:tcBorders>
              <w:top w:val="nil"/>
              <w:bottom w:val="single" w:sz="4" w:space="0" w:color="auto"/>
            </w:tcBorders>
            <w:shd w:val="clear" w:color="auto" w:fill="auto"/>
            <w:vAlign w:val="center"/>
          </w:tcPr>
          <w:p w14:paraId="0DB2F99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0.009</w:t>
            </w:r>
          </w:p>
        </w:tc>
        <w:tc>
          <w:tcPr>
            <w:tcW w:w="1008" w:type="dxa"/>
            <w:tcBorders>
              <w:top w:val="nil"/>
              <w:bottom w:val="single" w:sz="4" w:space="0" w:color="auto"/>
            </w:tcBorders>
            <w:shd w:val="clear" w:color="auto" w:fill="auto"/>
            <w:vAlign w:val="center"/>
          </w:tcPr>
          <w:p w14:paraId="261E46C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0.052</w:t>
            </w:r>
          </w:p>
        </w:tc>
        <w:tc>
          <w:tcPr>
            <w:tcW w:w="1008" w:type="dxa"/>
            <w:tcBorders>
              <w:top w:val="nil"/>
              <w:bottom w:val="single" w:sz="4" w:space="0" w:color="auto"/>
            </w:tcBorders>
            <w:shd w:val="clear" w:color="auto" w:fill="auto"/>
            <w:vAlign w:val="center"/>
          </w:tcPr>
          <w:p w14:paraId="728D7B0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-0.043</w:t>
            </w:r>
          </w:p>
        </w:tc>
        <w:tc>
          <w:tcPr>
            <w:tcW w:w="1008" w:type="dxa"/>
            <w:tcBorders>
              <w:top w:val="nil"/>
              <w:bottom w:val="single" w:sz="4" w:space="0" w:color="auto"/>
            </w:tcBorders>
            <w:shd w:val="clear" w:color="auto" w:fill="auto"/>
            <w:vAlign w:val="center"/>
          </w:tcPr>
          <w:p w14:paraId="38B6CE9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0.121</w:t>
            </w:r>
          </w:p>
        </w:tc>
      </w:tr>
      <w:tr w:rsidR="002E0FEA" w:rsidRPr="00A81A4F" w14:paraId="635CEDE2" w14:textId="77777777" w:rsidTr="00620CED">
        <w:tc>
          <w:tcPr>
            <w:tcW w:w="4820" w:type="dxa"/>
            <w:tcBorders>
              <w:top w:val="single" w:sz="4" w:space="0" w:color="auto"/>
              <w:bottom w:val="single" w:sz="4" w:space="0" w:color="auto"/>
            </w:tcBorders>
            <w:shd w:val="clear" w:color="auto" w:fill="auto"/>
            <w:vAlign w:val="center"/>
          </w:tcPr>
          <w:p w14:paraId="5F8A0FA9" w14:textId="77777777" w:rsidR="002E0FEA" w:rsidRPr="00A81A4F" w:rsidRDefault="002E0FEA" w:rsidP="00E539CE">
            <w:pPr>
              <w:spacing w:after="0" w:line="240" w:lineRule="auto"/>
              <w:rPr>
                <w:b/>
                <w:sz w:val="20"/>
                <w:szCs w:val="20"/>
                <w:lang w:val="en-GB" w:eastAsia="en-US"/>
              </w:rPr>
            </w:pPr>
          </w:p>
        </w:tc>
        <w:tc>
          <w:tcPr>
            <w:tcW w:w="1008" w:type="dxa"/>
            <w:tcBorders>
              <w:top w:val="single" w:sz="4" w:space="0" w:color="auto"/>
              <w:bottom w:val="single" w:sz="4" w:space="0" w:color="auto"/>
            </w:tcBorders>
            <w:shd w:val="clear" w:color="auto" w:fill="auto"/>
            <w:vAlign w:val="center"/>
          </w:tcPr>
          <w:p w14:paraId="4E87AFF8"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6</w:t>
            </w:r>
          </w:p>
        </w:tc>
        <w:tc>
          <w:tcPr>
            <w:tcW w:w="1008" w:type="dxa"/>
            <w:tcBorders>
              <w:top w:val="single" w:sz="4" w:space="0" w:color="auto"/>
              <w:bottom w:val="single" w:sz="4" w:space="0" w:color="auto"/>
            </w:tcBorders>
            <w:shd w:val="clear" w:color="auto" w:fill="auto"/>
            <w:vAlign w:val="center"/>
          </w:tcPr>
          <w:p w14:paraId="4676944F"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7</w:t>
            </w:r>
          </w:p>
        </w:tc>
        <w:tc>
          <w:tcPr>
            <w:tcW w:w="1008" w:type="dxa"/>
            <w:tcBorders>
              <w:top w:val="single" w:sz="4" w:space="0" w:color="auto"/>
              <w:bottom w:val="single" w:sz="4" w:space="0" w:color="auto"/>
            </w:tcBorders>
            <w:shd w:val="clear" w:color="auto" w:fill="auto"/>
            <w:vAlign w:val="center"/>
          </w:tcPr>
          <w:p w14:paraId="4E24850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8</w:t>
            </w:r>
          </w:p>
        </w:tc>
        <w:tc>
          <w:tcPr>
            <w:tcW w:w="1008" w:type="dxa"/>
            <w:tcBorders>
              <w:top w:val="single" w:sz="4" w:space="0" w:color="auto"/>
              <w:bottom w:val="single" w:sz="4" w:space="0" w:color="auto"/>
            </w:tcBorders>
            <w:shd w:val="clear" w:color="auto" w:fill="auto"/>
            <w:vAlign w:val="center"/>
          </w:tcPr>
          <w:p w14:paraId="6A10075A"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9</w:t>
            </w:r>
          </w:p>
        </w:tc>
        <w:tc>
          <w:tcPr>
            <w:tcW w:w="1008" w:type="dxa"/>
            <w:tcBorders>
              <w:top w:val="single" w:sz="4" w:space="0" w:color="auto"/>
              <w:bottom w:val="single" w:sz="4" w:space="0" w:color="auto"/>
            </w:tcBorders>
            <w:shd w:val="clear" w:color="auto" w:fill="auto"/>
            <w:vAlign w:val="center"/>
          </w:tcPr>
          <w:p w14:paraId="03F6EF2D"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10</w:t>
            </w:r>
          </w:p>
        </w:tc>
        <w:tc>
          <w:tcPr>
            <w:tcW w:w="1008" w:type="dxa"/>
            <w:tcBorders>
              <w:top w:val="single" w:sz="4" w:space="0" w:color="auto"/>
              <w:bottom w:val="single" w:sz="4" w:space="0" w:color="auto"/>
            </w:tcBorders>
            <w:shd w:val="clear" w:color="auto" w:fill="auto"/>
            <w:vAlign w:val="center"/>
          </w:tcPr>
          <w:p w14:paraId="33423EE8"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11</w:t>
            </w:r>
          </w:p>
        </w:tc>
        <w:tc>
          <w:tcPr>
            <w:tcW w:w="1008" w:type="dxa"/>
            <w:tcBorders>
              <w:top w:val="single" w:sz="4" w:space="0" w:color="auto"/>
              <w:bottom w:val="single" w:sz="4" w:space="0" w:color="auto"/>
            </w:tcBorders>
            <w:shd w:val="clear" w:color="auto" w:fill="auto"/>
            <w:vAlign w:val="center"/>
          </w:tcPr>
          <w:p w14:paraId="0F740E8B"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12</w:t>
            </w:r>
          </w:p>
        </w:tc>
        <w:tc>
          <w:tcPr>
            <w:tcW w:w="1008" w:type="dxa"/>
            <w:tcBorders>
              <w:top w:val="single" w:sz="4" w:space="0" w:color="auto"/>
              <w:bottom w:val="single" w:sz="4" w:space="0" w:color="auto"/>
            </w:tcBorders>
            <w:shd w:val="clear" w:color="auto" w:fill="auto"/>
            <w:vAlign w:val="center"/>
          </w:tcPr>
          <w:p w14:paraId="725EB02D"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13</w:t>
            </w:r>
          </w:p>
        </w:tc>
        <w:tc>
          <w:tcPr>
            <w:tcW w:w="1008" w:type="dxa"/>
            <w:tcBorders>
              <w:top w:val="single" w:sz="4" w:space="0" w:color="auto"/>
              <w:bottom w:val="single" w:sz="4" w:space="0" w:color="auto"/>
            </w:tcBorders>
            <w:shd w:val="clear" w:color="auto" w:fill="auto"/>
            <w:vAlign w:val="center"/>
          </w:tcPr>
          <w:p w14:paraId="3599ABB4" w14:textId="77777777" w:rsidR="002E0FEA" w:rsidRPr="00A81A4F" w:rsidRDefault="002E0FEA" w:rsidP="00E539CE">
            <w:pPr>
              <w:spacing w:after="0" w:line="240" w:lineRule="auto"/>
              <w:jc w:val="center"/>
              <w:rPr>
                <w:b/>
                <w:sz w:val="20"/>
                <w:szCs w:val="20"/>
                <w:lang w:val="en-GB" w:eastAsia="en-US"/>
              </w:rPr>
            </w:pPr>
          </w:p>
        </w:tc>
      </w:tr>
      <w:tr w:rsidR="002E0FEA" w:rsidRPr="00A81A4F" w14:paraId="6FF36038" w14:textId="77777777" w:rsidTr="00620CED">
        <w:tc>
          <w:tcPr>
            <w:tcW w:w="4820" w:type="dxa"/>
            <w:tcBorders>
              <w:top w:val="single" w:sz="4" w:space="0" w:color="auto"/>
            </w:tcBorders>
            <w:shd w:val="clear" w:color="auto" w:fill="auto"/>
            <w:vAlign w:val="center"/>
          </w:tcPr>
          <w:p w14:paraId="7F1EDA9A"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6. Firm Age</w:t>
            </w:r>
          </w:p>
        </w:tc>
        <w:tc>
          <w:tcPr>
            <w:tcW w:w="1008" w:type="dxa"/>
            <w:tcBorders>
              <w:top w:val="single" w:sz="4" w:space="0" w:color="auto"/>
            </w:tcBorders>
            <w:shd w:val="clear" w:color="auto" w:fill="auto"/>
            <w:vAlign w:val="center"/>
          </w:tcPr>
          <w:p w14:paraId="5DB54E8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tcBorders>
              <w:top w:val="single" w:sz="4" w:space="0" w:color="auto"/>
            </w:tcBorders>
            <w:shd w:val="clear" w:color="auto" w:fill="auto"/>
            <w:vAlign w:val="center"/>
          </w:tcPr>
          <w:p w14:paraId="0F92E312" w14:textId="77777777" w:rsidR="002E0FEA" w:rsidRPr="00A81A4F" w:rsidRDefault="002E0FEA" w:rsidP="00E539CE">
            <w:pPr>
              <w:spacing w:after="0" w:line="240" w:lineRule="auto"/>
              <w:jc w:val="center"/>
              <w:rPr>
                <w:sz w:val="20"/>
                <w:szCs w:val="20"/>
                <w:lang w:val="en-GB" w:eastAsia="en-US"/>
              </w:rPr>
            </w:pPr>
          </w:p>
        </w:tc>
        <w:tc>
          <w:tcPr>
            <w:tcW w:w="1008" w:type="dxa"/>
            <w:tcBorders>
              <w:top w:val="single" w:sz="4" w:space="0" w:color="auto"/>
            </w:tcBorders>
            <w:shd w:val="clear" w:color="auto" w:fill="auto"/>
            <w:vAlign w:val="center"/>
          </w:tcPr>
          <w:p w14:paraId="111DE257" w14:textId="77777777" w:rsidR="002E0FEA" w:rsidRPr="00A81A4F" w:rsidRDefault="002E0FEA" w:rsidP="00E539CE">
            <w:pPr>
              <w:spacing w:after="0" w:line="240" w:lineRule="auto"/>
              <w:jc w:val="center"/>
              <w:rPr>
                <w:sz w:val="20"/>
                <w:szCs w:val="20"/>
                <w:lang w:val="en-GB" w:eastAsia="en-US"/>
              </w:rPr>
            </w:pPr>
          </w:p>
        </w:tc>
        <w:tc>
          <w:tcPr>
            <w:tcW w:w="1008" w:type="dxa"/>
            <w:tcBorders>
              <w:top w:val="single" w:sz="4" w:space="0" w:color="auto"/>
            </w:tcBorders>
            <w:shd w:val="clear" w:color="auto" w:fill="auto"/>
            <w:vAlign w:val="center"/>
          </w:tcPr>
          <w:p w14:paraId="4280CAF1" w14:textId="77777777" w:rsidR="002E0FEA" w:rsidRPr="00A81A4F" w:rsidRDefault="002E0FEA" w:rsidP="00E539CE">
            <w:pPr>
              <w:spacing w:after="0" w:line="240" w:lineRule="auto"/>
              <w:jc w:val="center"/>
              <w:rPr>
                <w:sz w:val="20"/>
                <w:szCs w:val="20"/>
                <w:lang w:val="en-GB" w:eastAsia="en-US"/>
              </w:rPr>
            </w:pPr>
          </w:p>
        </w:tc>
        <w:tc>
          <w:tcPr>
            <w:tcW w:w="1008" w:type="dxa"/>
            <w:tcBorders>
              <w:top w:val="single" w:sz="4" w:space="0" w:color="auto"/>
            </w:tcBorders>
            <w:shd w:val="clear" w:color="auto" w:fill="auto"/>
            <w:vAlign w:val="center"/>
          </w:tcPr>
          <w:p w14:paraId="61F66740" w14:textId="77777777" w:rsidR="002E0FEA" w:rsidRPr="00A81A4F" w:rsidRDefault="002E0FEA" w:rsidP="00E539CE">
            <w:pPr>
              <w:spacing w:after="0" w:line="240" w:lineRule="auto"/>
              <w:jc w:val="center"/>
              <w:rPr>
                <w:sz w:val="20"/>
                <w:szCs w:val="20"/>
                <w:lang w:val="en-GB" w:eastAsia="en-US"/>
              </w:rPr>
            </w:pPr>
          </w:p>
        </w:tc>
        <w:tc>
          <w:tcPr>
            <w:tcW w:w="1008" w:type="dxa"/>
            <w:tcBorders>
              <w:top w:val="single" w:sz="4" w:space="0" w:color="auto"/>
            </w:tcBorders>
            <w:shd w:val="clear" w:color="auto" w:fill="auto"/>
            <w:vAlign w:val="center"/>
          </w:tcPr>
          <w:p w14:paraId="44E3EB13" w14:textId="77777777" w:rsidR="002E0FEA" w:rsidRPr="00A81A4F" w:rsidRDefault="002E0FEA" w:rsidP="00E539CE">
            <w:pPr>
              <w:spacing w:after="0" w:line="240" w:lineRule="auto"/>
              <w:jc w:val="center"/>
              <w:rPr>
                <w:sz w:val="20"/>
                <w:szCs w:val="20"/>
                <w:lang w:val="en-GB" w:eastAsia="en-US"/>
              </w:rPr>
            </w:pPr>
          </w:p>
        </w:tc>
        <w:tc>
          <w:tcPr>
            <w:tcW w:w="1008" w:type="dxa"/>
            <w:tcBorders>
              <w:top w:val="single" w:sz="4" w:space="0" w:color="auto"/>
            </w:tcBorders>
            <w:shd w:val="clear" w:color="auto" w:fill="auto"/>
            <w:vAlign w:val="center"/>
          </w:tcPr>
          <w:p w14:paraId="76BE1629" w14:textId="77777777" w:rsidR="002E0FEA" w:rsidRPr="00A81A4F" w:rsidRDefault="002E0FEA" w:rsidP="00E539CE">
            <w:pPr>
              <w:spacing w:after="0" w:line="240" w:lineRule="auto"/>
              <w:jc w:val="center"/>
              <w:rPr>
                <w:sz w:val="20"/>
                <w:szCs w:val="20"/>
                <w:lang w:val="en-GB" w:eastAsia="en-US"/>
              </w:rPr>
            </w:pPr>
          </w:p>
        </w:tc>
        <w:tc>
          <w:tcPr>
            <w:tcW w:w="1008" w:type="dxa"/>
            <w:tcBorders>
              <w:top w:val="single" w:sz="4" w:space="0" w:color="auto"/>
            </w:tcBorders>
            <w:shd w:val="clear" w:color="auto" w:fill="auto"/>
            <w:vAlign w:val="center"/>
          </w:tcPr>
          <w:p w14:paraId="75651010" w14:textId="77777777" w:rsidR="002E0FEA" w:rsidRPr="00A81A4F" w:rsidRDefault="002E0FEA" w:rsidP="00E539CE">
            <w:pPr>
              <w:spacing w:after="0" w:line="240" w:lineRule="auto"/>
              <w:jc w:val="center"/>
              <w:rPr>
                <w:sz w:val="20"/>
                <w:szCs w:val="20"/>
                <w:lang w:val="en-GB" w:eastAsia="en-US"/>
              </w:rPr>
            </w:pPr>
          </w:p>
        </w:tc>
        <w:tc>
          <w:tcPr>
            <w:tcW w:w="1008" w:type="dxa"/>
            <w:tcBorders>
              <w:top w:val="single" w:sz="4" w:space="0" w:color="auto"/>
            </w:tcBorders>
            <w:shd w:val="clear" w:color="auto" w:fill="auto"/>
            <w:vAlign w:val="center"/>
          </w:tcPr>
          <w:p w14:paraId="412628AE" w14:textId="77777777" w:rsidR="002E0FEA" w:rsidRPr="00A81A4F" w:rsidRDefault="002E0FEA" w:rsidP="00E539CE">
            <w:pPr>
              <w:spacing w:after="0" w:line="240" w:lineRule="auto"/>
              <w:jc w:val="center"/>
              <w:rPr>
                <w:sz w:val="20"/>
                <w:szCs w:val="20"/>
                <w:lang w:val="en-GB" w:eastAsia="en-US"/>
              </w:rPr>
            </w:pPr>
          </w:p>
        </w:tc>
      </w:tr>
      <w:tr w:rsidR="002E0FEA" w:rsidRPr="00A81A4F" w14:paraId="4710B76F" w14:textId="77777777" w:rsidTr="00620CED">
        <w:tc>
          <w:tcPr>
            <w:tcW w:w="4820" w:type="dxa"/>
            <w:shd w:val="clear" w:color="auto" w:fill="auto"/>
            <w:vAlign w:val="center"/>
          </w:tcPr>
          <w:p w14:paraId="66BF2958"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7. Competitive Intensity</w:t>
            </w:r>
          </w:p>
        </w:tc>
        <w:tc>
          <w:tcPr>
            <w:tcW w:w="1008" w:type="dxa"/>
            <w:shd w:val="clear" w:color="auto" w:fill="auto"/>
            <w:vAlign w:val="center"/>
          </w:tcPr>
          <w:p w14:paraId="4EA20F7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0.086</w:t>
            </w:r>
          </w:p>
        </w:tc>
        <w:tc>
          <w:tcPr>
            <w:tcW w:w="1008" w:type="dxa"/>
            <w:shd w:val="clear" w:color="auto" w:fill="auto"/>
            <w:vAlign w:val="center"/>
          </w:tcPr>
          <w:p w14:paraId="3A38947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27A538BB"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087E360E"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6CEC5B93"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428201DA"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108DCDF5"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2B22E79A"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751BD03D" w14:textId="77777777" w:rsidR="002E0FEA" w:rsidRPr="00A81A4F" w:rsidRDefault="002E0FEA" w:rsidP="00E539CE">
            <w:pPr>
              <w:spacing w:after="0" w:line="240" w:lineRule="auto"/>
              <w:jc w:val="center"/>
              <w:rPr>
                <w:sz w:val="20"/>
                <w:szCs w:val="20"/>
                <w:lang w:val="en-GB" w:eastAsia="en-US"/>
              </w:rPr>
            </w:pPr>
          </w:p>
        </w:tc>
      </w:tr>
      <w:tr w:rsidR="002E0FEA" w:rsidRPr="00A81A4F" w14:paraId="670AB137" w14:textId="77777777" w:rsidTr="00620CED">
        <w:tc>
          <w:tcPr>
            <w:tcW w:w="4820" w:type="dxa"/>
            <w:shd w:val="clear" w:color="auto" w:fill="auto"/>
            <w:vAlign w:val="center"/>
          </w:tcPr>
          <w:p w14:paraId="675A0027" w14:textId="77777777" w:rsidR="002E0FEA" w:rsidRPr="00A81A4F" w:rsidRDefault="002E0FEA" w:rsidP="00E539CE">
            <w:pPr>
              <w:spacing w:after="0" w:line="240" w:lineRule="auto"/>
              <w:rPr>
                <w:b/>
                <w:sz w:val="20"/>
                <w:szCs w:val="20"/>
                <w:lang w:val="en-GB" w:eastAsia="en-US"/>
              </w:rPr>
            </w:pPr>
            <w:r w:rsidRPr="00A81A4F">
              <w:rPr>
                <w:b/>
                <w:sz w:val="20"/>
                <w:szCs w:val="20"/>
                <w:lang w:val="en-GB" w:eastAsia="en-US"/>
              </w:rPr>
              <w:t>8. Market Turbulence</w:t>
            </w:r>
          </w:p>
        </w:tc>
        <w:tc>
          <w:tcPr>
            <w:tcW w:w="1008" w:type="dxa"/>
            <w:shd w:val="clear" w:color="auto" w:fill="auto"/>
            <w:vAlign w:val="center"/>
          </w:tcPr>
          <w:p w14:paraId="02C4C86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-0.048</w:t>
            </w:r>
          </w:p>
        </w:tc>
        <w:tc>
          <w:tcPr>
            <w:tcW w:w="1008" w:type="dxa"/>
            <w:shd w:val="clear" w:color="auto" w:fill="auto"/>
            <w:vAlign w:val="center"/>
          </w:tcPr>
          <w:p w14:paraId="524941B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0.318*</w:t>
            </w:r>
          </w:p>
        </w:tc>
        <w:tc>
          <w:tcPr>
            <w:tcW w:w="1008" w:type="dxa"/>
            <w:shd w:val="clear" w:color="auto" w:fill="auto"/>
            <w:vAlign w:val="center"/>
          </w:tcPr>
          <w:p w14:paraId="5F6B77C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w:t>
            </w:r>
          </w:p>
        </w:tc>
        <w:tc>
          <w:tcPr>
            <w:tcW w:w="1008" w:type="dxa"/>
            <w:shd w:val="clear" w:color="auto" w:fill="auto"/>
            <w:vAlign w:val="center"/>
          </w:tcPr>
          <w:p w14:paraId="38DE0945"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391673F5"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2D6B5A51"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0A74A6E0"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3832A3DC"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09C50984" w14:textId="77777777" w:rsidR="002E0FEA" w:rsidRPr="00A81A4F" w:rsidRDefault="002E0FEA" w:rsidP="00E539CE">
            <w:pPr>
              <w:spacing w:after="0" w:line="240" w:lineRule="auto"/>
              <w:jc w:val="center"/>
              <w:rPr>
                <w:sz w:val="20"/>
                <w:szCs w:val="20"/>
                <w:lang w:val="en-GB" w:eastAsia="en-US"/>
              </w:rPr>
            </w:pPr>
          </w:p>
        </w:tc>
      </w:tr>
      <w:tr w:rsidR="002E0FEA" w:rsidRPr="00A81A4F" w14:paraId="4456F03B" w14:textId="77777777" w:rsidTr="00620CED">
        <w:tc>
          <w:tcPr>
            <w:tcW w:w="4820" w:type="dxa"/>
            <w:shd w:val="clear" w:color="auto" w:fill="auto"/>
            <w:vAlign w:val="center"/>
          </w:tcPr>
          <w:p w14:paraId="203D87E3"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 xml:space="preserve">9. Foreign Environmental Regulatory Pressure </w:t>
            </w:r>
          </w:p>
        </w:tc>
        <w:tc>
          <w:tcPr>
            <w:tcW w:w="1008" w:type="dxa"/>
            <w:shd w:val="clear" w:color="auto" w:fill="auto"/>
            <w:vAlign w:val="center"/>
          </w:tcPr>
          <w:p w14:paraId="7392E16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0.034</w:t>
            </w:r>
          </w:p>
        </w:tc>
        <w:tc>
          <w:tcPr>
            <w:tcW w:w="1008" w:type="dxa"/>
            <w:shd w:val="clear" w:color="auto" w:fill="auto"/>
            <w:vAlign w:val="center"/>
          </w:tcPr>
          <w:p w14:paraId="64DF549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0.386*</w:t>
            </w:r>
          </w:p>
        </w:tc>
        <w:tc>
          <w:tcPr>
            <w:tcW w:w="1008" w:type="dxa"/>
            <w:shd w:val="clear" w:color="auto" w:fill="auto"/>
            <w:vAlign w:val="center"/>
          </w:tcPr>
          <w:p w14:paraId="66BCE2A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0.304*</w:t>
            </w:r>
          </w:p>
        </w:tc>
        <w:tc>
          <w:tcPr>
            <w:tcW w:w="1008" w:type="dxa"/>
            <w:shd w:val="clear" w:color="auto" w:fill="auto"/>
            <w:vAlign w:val="center"/>
          </w:tcPr>
          <w:p w14:paraId="7750B4B3"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0.715</w:t>
            </w:r>
          </w:p>
        </w:tc>
        <w:tc>
          <w:tcPr>
            <w:tcW w:w="1008" w:type="dxa"/>
            <w:shd w:val="clear" w:color="auto" w:fill="auto"/>
            <w:vAlign w:val="center"/>
          </w:tcPr>
          <w:p w14:paraId="6E313D85"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72121950"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3B6217F6"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3D3E029F"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0EF767D4" w14:textId="77777777" w:rsidR="002E0FEA" w:rsidRPr="00A81A4F" w:rsidRDefault="002E0FEA" w:rsidP="00E539CE">
            <w:pPr>
              <w:spacing w:after="0" w:line="240" w:lineRule="auto"/>
              <w:jc w:val="center"/>
              <w:rPr>
                <w:sz w:val="20"/>
                <w:szCs w:val="20"/>
                <w:lang w:val="en-GB" w:eastAsia="en-US"/>
              </w:rPr>
            </w:pPr>
          </w:p>
        </w:tc>
      </w:tr>
      <w:tr w:rsidR="002E0FEA" w:rsidRPr="00A81A4F" w14:paraId="7172AE7F" w14:textId="77777777" w:rsidTr="00620CED">
        <w:tc>
          <w:tcPr>
            <w:tcW w:w="4820" w:type="dxa"/>
            <w:shd w:val="clear" w:color="auto" w:fill="auto"/>
            <w:vAlign w:val="center"/>
          </w:tcPr>
          <w:p w14:paraId="564AD475"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 xml:space="preserve">10. Foreign Environmental Customer Pressure </w:t>
            </w:r>
          </w:p>
        </w:tc>
        <w:tc>
          <w:tcPr>
            <w:tcW w:w="1008" w:type="dxa"/>
            <w:shd w:val="clear" w:color="auto" w:fill="auto"/>
            <w:vAlign w:val="center"/>
          </w:tcPr>
          <w:p w14:paraId="0FC5823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0.049</w:t>
            </w:r>
          </w:p>
        </w:tc>
        <w:tc>
          <w:tcPr>
            <w:tcW w:w="1008" w:type="dxa"/>
            <w:shd w:val="clear" w:color="auto" w:fill="auto"/>
            <w:vAlign w:val="center"/>
          </w:tcPr>
          <w:p w14:paraId="27215F8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0.386*</w:t>
            </w:r>
          </w:p>
        </w:tc>
        <w:tc>
          <w:tcPr>
            <w:tcW w:w="1008" w:type="dxa"/>
            <w:shd w:val="clear" w:color="auto" w:fill="auto"/>
            <w:vAlign w:val="center"/>
          </w:tcPr>
          <w:p w14:paraId="465ABF4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0.342*</w:t>
            </w:r>
          </w:p>
        </w:tc>
        <w:tc>
          <w:tcPr>
            <w:tcW w:w="1008" w:type="dxa"/>
            <w:shd w:val="clear" w:color="auto" w:fill="auto"/>
            <w:vAlign w:val="center"/>
          </w:tcPr>
          <w:p w14:paraId="226986C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0.645*</w:t>
            </w:r>
          </w:p>
        </w:tc>
        <w:tc>
          <w:tcPr>
            <w:tcW w:w="1008" w:type="dxa"/>
            <w:shd w:val="clear" w:color="auto" w:fill="auto"/>
            <w:vAlign w:val="center"/>
          </w:tcPr>
          <w:p w14:paraId="456339CF"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0.710</w:t>
            </w:r>
          </w:p>
        </w:tc>
        <w:tc>
          <w:tcPr>
            <w:tcW w:w="1008" w:type="dxa"/>
            <w:shd w:val="clear" w:color="auto" w:fill="auto"/>
            <w:vAlign w:val="center"/>
          </w:tcPr>
          <w:p w14:paraId="0AAD8DAC"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3F20C04C"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667E0204"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0B204E90" w14:textId="77777777" w:rsidR="002E0FEA" w:rsidRPr="00A81A4F" w:rsidRDefault="002E0FEA" w:rsidP="00E539CE">
            <w:pPr>
              <w:spacing w:after="0" w:line="240" w:lineRule="auto"/>
              <w:jc w:val="center"/>
              <w:rPr>
                <w:sz w:val="20"/>
                <w:szCs w:val="20"/>
                <w:lang w:val="en-GB" w:eastAsia="en-US"/>
              </w:rPr>
            </w:pPr>
          </w:p>
        </w:tc>
      </w:tr>
      <w:tr w:rsidR="002E0FEA" w:rsidRPr="00A81A4F" w14:paraId="734B21ED" w14:textId="77777777" w:rsidTr="00620CED">
        <w:tc>
          <w:tcPr>
            <w:tcW w:w="4820" w:type="dxa"/>
            <w:shd w:val="clear" w:color="auto" w:fill="auto"/>
            <w:vAlign w:val="center"/>
          </w:tcPr>
          <w:p w14:paraId="579D2337"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11. Inward-focused Internationalization Activities</w:t>
            </w:r>
          </w:p>
        </w:tc>
        <w:tc>
          <w:tcPr>
            <w:tcW w:w="1008" w:type="dxa"/>
            <w:shd w:val="clear" w:color="auto" w:fill="auto"/>
            <w:vAlign w:val="center"/>
          </w:tcPr>
          <w:p w14:paraId="425CD02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-0.059</w:t>
            </w:r>
          </w:p>
        </w:tc>
        <w:tc>
          <w:tcPr>
            <w:tcW w:w="1008" w:type="dxa"/>
            <w:shd w:val="clear" w:color="auto" w:fill="auto"/>
            <w:vAlign w:val="center"/>
          </w:tcPr>
          <w:p w14:paraId="7DAADDA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0.184*</w:t>
            </w:r>
          </w:p>
        </w:tc>
        <w:tc>
          <w:tcPr>
            <w:tcW w:w="1008" w:type="dxa"/>
            <w:shd w:val="clear" w:color="auto" w:fill="auto"/>
            <w:vAlign w:val="center"/>
          </w:tcPr>
          <w:p w14:paraId="1F056BC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0.250*</w:t>
            </w:r>
          </w:p>
        </w:tc>
        <w:tc>
          <w:tcPr>
            <w:tcW w:w="1008" w:type="dxa"/>
            <w:shd w:val="clear" w:color="auto" w:fill="auto"/>
            <w:vAlign w:val="center"/>
          </w:tcPr>
          <w:p w14:paraId="2E04F96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0.351*</w:t>
            </w:r>
          </w:p>
        </w:tc>
        <w:tc>
          <w:tcPr>
            <w:tcW w:w="1008" w:type="dxa"/>
            <w:shd w:val="clear" w:color="auto" w:fill="auto"/>
            <w:vAlign w:val="center"/>
          </w:tcPr>
          <w:p w14:paraId="0FE1AAA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0.277*</w:t>
            </w:r>
          </w:p>
        </w:tc>
        <w:tc>
          <w:tcPr>
            <w:tcW w:w="1008" w:type="dxa"/>
            <w:shd w:val="clear" w:color="auto" w:fill="auto"/>
            <w:vAlign w:val="center"/>
          </w:tcPr>
          <w:p w14:paraId="5F5CC3A0"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0.718</w:t>
            </w:r>
          </w:p>
        </w:tc>
        <w:tc>
          <w:tcPr>
            <w:tcW w:w="1008" w:type="dxa"/>
            <w:shd w:val="clear" w:color="auto" w:fill="auto"/>
            <w:vAlign w:val="center"/>
          </w:tcPr>
          <w:p w14:paraId="04C9ADBE"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481AF29E"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4CDA71C3" w14:textId="77777777" w:rsidR="002E0FEA" w:rsidRPr="00A81A4F" w:rsidRDefault="002E0FEA" w:rsidP="00E539CE">
            <w:pPr>
              <w:spacing w:after="0" w:line="240" w:lineRule="auto"/>
              <w:jc w:val="center"/>
              <w:rPr>
                <w:sz w:val="20"/>
                <w:szCs w:val="20"/>
                <w:lang w:val="en-GB" w:eastAsia="en-US"/>
              </w:rPr>
            </w:pPr>
          </w:p>
        </w:tc>
      </w:tr>
      <w:tr w:rsidR="002E0FEA" w:rsidRPr="00A81A4F" w14:paraId="6F749F7E" w14:textId="77777777" w:rsidTr="00620CED">
        <w:tc>
          <w:tcPr>
            <w:tcW w:w="4820" w:type="dxa"/>
            <w:shd w:val="clear" w:color="auto" w:fill="auto"/>
            <w:vAlign w:val="center"/>
          </w:tcPr>
          <w:p w14:paraId="24616401"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12. Outward-focused Internationalization Activities</w:t>
            </w:r>
          </w:p>
        </w:tc>
        <w:tc>
          <w:tcPr>
            <w:tcW w:w="1008" w:type="dxa"/>
            <w:shd w:val="clear" w:color="auto" w:fill="auto"/>
            <w:vAlign w:val="center"/>
          </w:tcPr>
          <w:p w14:paraId="47464B3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-0.048</w:t>
            </w:r>
          </w:p>
        </w:tc>
        <w:tc>
          <w:tcPr>
            <w:tcW w:w="1008" w:type="dxa"/>
            <w:shd w:val="clear" w:color="auto" w:fill="auto"/>
            <w:vAlign w:val="center"/>
          </w:tcPr>
          <w:p w14:paraId="6EC0301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0.191*</w:t>
            </w:r>
          </w:p>
        </w:tc>
        <w:tc>
          <w:tcPr>
            <w:tcW w:w="1008" w:type="dxa"/>
            <w:shd w:val="clear" w:color="auto" w:fill="auto"/>
            <w:vAlign w:val="center"/>
          </w:tcPr>
          <w:p w14:paraId="5E016AD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0.248*</w:t>
            </w:r>
          </w:p>
        </w:tc>
        <w:tc>
          <w:tcPr>
            <w:tcW w:w="1008" w:type="dxa"/>
            <w:shd w:val="clear" w:color="auto" w:fill="auto"/>
            <w:vAlign w:val="center"/>
          </w:tcPr>
          <w:p w14:paraId="776BE85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0.266*</w:t>
            </w:r>
          </w:p>
        </w:tc>
        <w:tc>
          <w:tcPr>
            <w:tcW w:w="1008" w:type="dxa"/>
            <w:shd w:val="clear" w:color="auto" w:fill="auto"/>
            <w:vAlign w:val="center"/>
          </w:tcPr>
          <w:p w14:paraId="01BDE4B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0.263*</w:t>
            </w:r>
          </w:p>
        </w:tc>
        <w:tc>
          <w:tcPr>
            <w:tcW w:w="1008" w:type="dxa"/>
            <w:shd w:val="clear" w:color="auto" w:fill="auto"/>
            <w:vAlign w:val="center"/>
          </w:tcPr>
          <w:p w14:paraId="6CFD264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0.621*</w:t>
            </w:r>
          </w:p>
        </w:tc>
        <w:tc>
          <w:tcPr>
            <w:tcW w:w="1008" w:type="dxa"/>
            <w:shd w:val="clear" w:color="auto" w:fill="auto"/>
            <w:vAlign w:val="center"/>
          </w:tcPr>
          <w:p w14:paraId="46B1BEFE"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0.769</w:t>
            </w:r>
          </w:p>
        </w:tc>
        <w:tc>
          <w:tcPr>
            <w:tcW w:w="1008" w:type="dxa"/>
            <w:shd w:val="clear" w:color="auto" w:fill="auto"/>
            <w:vAlign w:val="center"/>
          </w:tcPr>
          <w:p w14:paraId="2BF90159" w14:textId="77777777" w:rsidR="002E0FEA" w:rsidRPr="00A81A4F" w:rsidRDefault="002E0FEA" w:rsidP="00E539CE">
            <w:pPr>
              <w:spacing w:after="0" w:line="240" w:lineRule="auto"/>
              <w:jc w:val="center"/>
              <w:rPr>
                <w:sz w:val="20"/>
                <w:szCs w:val="20"/>
                <w:lang w:val="en-GB" w:eastAsia="en-US"/>
              </w:rPr>
            </w:pPr>
          </w:p>
        </w:tc>
        <w:tc>
          <w:tcPr>
            <w:tcW w:w="1008" w:type="dxa"/>
            <w:shd w:val="clear" w:color="auto" w:fill="auto"/>
            <w:vAlign w:val="center"/>
          </w:tcPr>
          <w:p w14:paraId="0AB57C77" w14:textId="77777777" w:rsidR="002E0FEA" w:rsidRPr="00A81A4F" w:rsidRDefault="002E0FEA" w:rsidP="00E539CE">
            <w:pPr>
              <w:spacing w:after="0" w:line="240" w:lineRule="auto"/>
              <w:jc w:val="center"/>
              <w:rPr>
                <w:sz w:val="20"/>
                <w:szCs w:val="20"/>
                <w:lang w:val="en-GB" w:eastAsia="en-US"/>
              </w:rPr>
            </w:pPr>
          </w:p>
        </w:tc>
      </w:tr>
      <w:tr w:rsidR="002E0FEA" w:rsidRPr="00A81A4F" w14:paraId="1FBB8FE4" w14:textId="77777777" w:rsidTr="00620CED">
        <w:tc>
          <w:tcPr>
            <w:tcW w:w="4820" w:type="dxa"/>
            <w:shd w:val="clear" w:color="auto" w:fill="auto"/>
            <w:vAlign w:val="center"/>
          </w:tcPr>
          <w:p w14:paraId="6817A2CD" w14:textId="77777777" w:rsidR="002E0FEA" w:rsidRPr="00A81A4F" w:rsidRDefault="002E0FEA" w:rsidP="00E539CE">
            <w:pPr>
              <w:spacing w:after="0" w:line="240" w:lineRule="auto"/>
              <w:ind w:left="313" w:hanging="313"/>
              <w:rPr>
                <w:b/>
                <w:sz w:val="20"/>
                <w:szCs w:val="20"/>
                <w:lang w:val="en-GB" w:eastAsia="en-US"/>
              </w:rPr>
            </w:pPr>
            <w:r w:rsidRPr="00A81A4F">
              <w:rPr>
                <w:b/>
                <w:sz w:val="20"/>
                <w:szCs w:val="20"/>
                <w:lang w:val="en-GB" w:eastAsia="en-US"/>
              </w:rPr>
              <w:t>13. Proactive Environmental Strategy</w:t>
            </w:r>
          </w:p>
        </w:tc>
        <w:tc>
          <w:tcPr>
            <w:tcW w:w="1008" w:type="dxa"/>
            <w:shd w:val="clear" w:color="auto" w:fill="auto"/>
            <w:vAlign w:val="center"/>
          </w:tcPr>
          <w:p w14:paraId="6DCD806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0.050</w:t>
            </w:r>
          </w:p>
        </w:tc>
        <w:tc>
          <w:tcPr>
            <w:tcW w:w="1008" w:type="dxa"/>
            <w:shd w:val="clear" w:color="auto" w:fill="auto"/>
            <w:vAlign w:val="center"/>
          </w:tcPr>
          <w:p w14:paraId="7FC3681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0.151*</w:t>
            </w:r>
          </w:p>
        </w:tc>
        <w:tc>
          <w:tcPr>
            <w:tcW w:w="1008" w:type="dxa"/>
            <w:shd w:val="clear" w:color="auto" w:fill="auto"/>
            <w:vAlign w:val="center"/>
          </w:tcPr>
          <w:p w14:paraId="067C828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0.191*</w:t>
            </w:r>
          </w:p>
        </w:tc>
        <w:tc>
          <w:tcPr>
            <w:tcW w:w="1008" w:type="dxa"/>
            <w:shd w:val="clear" w:color="auto" w:fill="auto"/>
            <w:vAlign w:val="center"/>
          </w:tcPr>
          <w:p w14:paraId="71A88F5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0.605*</w:t>
            </w:r>
          </w:p>
        </w:tc>
        <w:tc>
          <w:tcPr>
            <w:tcW w:w="1008" w:type="dxa"/>
            <w:shd w:val="clear" w:color="auto" w:fill="auto"/>
            <w:vAlign w:val="center"/>
          </w:tcPr>
          <w:p w14:paraId="6A8F168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0.667*</w:t>
            </w:r>
          </w:p>
        </w:tc>
        <w:tc>
          <w:tcPr>
            <w:tcW w:w="1008" w:type="dxa"/>
            <w:shd w:val="clear" w:color="auto" w:fill="auto"/>
            <w:vAlign w:val="center"/>
          </w:tcPr>
          <w:p w14:paraId="0E61107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0.239*</w:t>
            </w:r>
          </w:p>
        </w:tc>
        <w:tc>
          <w:tcPr>
            <w:tcW w:w="1008" w:type="dxa"/>
            <w:shd w:val="clear" w:color="auto" w:fill="auto"/>
            <w:vAlign w:val="center"/>
          </w:tcPr>
          <w:p w14:paraId="3CC0842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0.191*</w:t>
            </w:r>
          </w:p>
        </w:tc>
        <w:tc>
          <w:tcPr>
            <w:tcW w:w="1008" w:type="dxa"/>
            <w:shd w:val="clear" w:color="auto" w:fill="auto"/>
            <w:vAlign w:val="center"/>
          </w:tcPr>
          <w:p w14:paraId="4099F853"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0.729</w:t>
            </w:r>
          </w:p>
        </w:tc>
        <w:tc>
          <w:tcPr>
            <w:tcW w:w="1008" w:type="dxa"/>
            <w:shd w:val="clear" w:color="auto" w:fill="auto"/>
            <w:vAlign w:val="center"/>
          </w:tcPr>
          <w:p w14:paraId="6DD8582C" w14:textId="77777777" w:rsidR="002E0FEA" w:rsidRPr="00A81A4F" w:rsidRDefault="002E0FEA" w:rsidP="00E539CE">
            <w:pPr>
              <w:spacing w:after="0" w:line="240" w:lineRule="auto"/>
              <w:jc w:val="center"/>
              <w:rPr>
                <w:b/>
                <w:sz w:val="20"/>
                <w:szCs w:val="20"/>
                <w:lang w:val="en-GB" w:eastAsia="en-US"/>
              </w:rPr>
            </w:pPr>
          </w:p>
        </w:tc>
      </w:tr>
    </w:tbl>
    <w:p w14:paraId="798BD3B3" w14:textId="77777777" w:rsidR="002E0FEA" w:rsidRPr="00A81A4F" w:rsidRDefault="002E0FEA" w:rsidP="00E539CE">
      <w:pPr>
        <w:spacing w:after="0" w:line="240" w:lineRule="auto"/>
        <w:rPr>
          <w:rFonts w:cs="Calibri"/>
          <w:sz w:val="16"/>
          <w:szCs w:val="16"/>
          <w:lang w:val="en-GB" w:eastAsia="en-US"/>
        </w:rPr>
      </w:pPr>
      <w:r w:rsidRPr="00A81A4F">
        <w:rPr>
          <w:rFonts w:cs="Calibri"/>
          <w:sz w:val="16"/>
          <w:szCs w:val="16"/>
          <w:lang w:val="en-GB" w:eastAsia="en-US"/>
        </w:rPr>
        <w:t>Notes:</w:t>
      </w:r>
    </w:p>
    <w:p w14:paraId="04456AE0" w14:textId="77777777" w:rsidR="002E0FEA" w:rsidRPr="00A81A4F" w:rsidRDefault="002E0FEA" w:rsidP="00E539CE">
      <w:pPr>
        <w:spacing w:after="0" w:line="240" w:lineRule="auto"/>
        <w:rPr>
          <w:rFonts w:cs="Calibri"/>
          <w:sz w:val="16"/>
          <w:szCs w:val="16"/>
          <w:lang w:val="en-GB" w:eastAsia="en-US"/>
        </w:rPr>
      </w:pPr>
      <w:r w:rsidRPr="00A81A4F">
        <w:rPr>
          <w:rFonts w:cs="Calibri"/>
          <w:sz w:val="16"/>
          <w:szCs w:val="16"/>
          <w:lang w:val="en-GB" w:eastAsia="en-US"/>
        </w:rPr>
        <w:t>N = 211; *p &lt; 0.05.</w:t>
      </w:r>
    </w:p>
    <w:p w14:paraId="7621B5C4" w14:textId="77777777" w:rsidR="002E0FEA" w:rsidRPr="00A81A4F" w:rsidRDefault="002E0FEA" w:rsidP="00E539CE">
      <w:pPr>
        <w:spacing w:after="0" w:line="240" w:lineRule="auto"/>
        <w:rPr>
          <w:rFonts w:cs="Calibri"/>
          <w:sz w:val="16"/>
          <w:szCs w:val="16"/>
          <w:lang w:val="en-GB" w:eastAsia="en-US"/>
        </w:rPr>
      </w:pPr>
      <w:r w:rsidRPr="00A81A4F">
        <w:rPr>
          <w:rFonts w:cs="Calibri"/>
          <w:sz w:val="16"/>
          <w:szCs w:val="16"/>
          <w:lang w:val="en-GB" w:eastAsia="en-US"/>
        </w:rPr>
        <w:t>SD = Standard Deviation; CR = Composite Reliability; Average Variance Extracted = AVE.</w:t>
      </w:r>
    </w:p>
    <w:p w14:paraId="0647085B" w14:textId="77777777" w:rsidR="002E0FEA" w:rsidRPr="00A81A4F" w:rsidRDefault="002E0FEA" w:rsidP="00E539CE">
      <w:pPr>
        <w:spacing w:after="0" w:line="240" w:lineRule="auto"/>
        <w:rPr>
          <w:rFonts w:cs="Calibri"/>
          <w:sz w:val="16"/>
          <w:szCs w:val="16"/>
          <w:lang w:val="en-GB" w:eastAsia="en-US"/>
        </w:rPr>
      </w:pPr>
      <w:r w:rsidRPr="00A81A4F">
        <w:rPr>
          <w:rFonts w:cs="Calibri"/>
          <w:sz w:val="16"/>
          <w:szCs w:val="16"/>
          <w:lang w:val="en-GB" w:eastAsia="en-US"/>
        </w:rPr>
        <w:t>Average Variance Extracted (AVE) square roots are shown in bold on the correlation matrix diagonal.</w:t>
      </w:r>
    </w:p>
    <w:p w14:paraId="6E18511D" w14:textId="77777777" w:rsidR="002E0FEA" w:rsidRPr="00A81A4F" w:rsidRDefault="002E0FEA" w:rsidP="00E539CE">
      <w:pPr>
        <w:spacing w:after="0" w:line="240" w:lineRule="auto"/>
        <w:rPr>
          <w:rFonts w:cs="Calibri"/>
          <w:sz w:val="16"/>
          <w:szCs w:val="16"/>
          <w:lang w:val="en-GB" w:eastAsia="en-US"/>
        </w:rPr>
      </w:pPr>
      <w:r w:rsidRPr="00A81A4F">
        <w:rPr>
          <w:rFonts w:cs="Calibri"/>
          <w:sz w:val="16"/>
          <w:szCs w:val="16"/>
          <w:lang w:val="en-GB" w:eastAsia="en-US"/>
        </w:rPr>
        <w:t>Industrial Sector Dummies: “Other sectors” as the benchmark.</w:t>
      </w:r>
    </w:p>
    <w:p w14:paraId="35ECBF5F" w14:textId="77777777" w:rsidR="002E0FEA" w:rsidRPr="00A81A4F" w:rsidRDefault="002E0FEA" w:rsidP="00E539CE">
      <w:pPr>
        <w:spacing w:after="0" w:line="240" w:lineRule="auto"/>
        <w:rPr>
          <w:rFonts w:cs="Calibri"/>
          <w:lang w:val="en-GB" w:eastAsia="en-US"/>
        </w:rPr>
      </w:pPr>
    </w:p>
    <w:p w14:paraId="56766079" w14:textId="77777777" w:rsidR="002E0FEA" w:rsidRPr="00A81A4F" w:rsidRDefault="002E0FEA" w:rsidP="00E539CE">
      <w:pPr>
        <w:spacing w:after="0" w:line="240" w:lineRule="auto"/>
        <w:rPr>
          <w:rFonts w:cs="Calibri"/>
          <w:lang w:val="en-GB" w:eastAsia="en-US"/>
        </w:rPr>
      </w:pPr>
    </w:p>
    <w:p w14:paraId="165FEE4E" w14:textId="77777777" w:rsidR="002E0FEA" w:rsidRPr="00A81A4F" w:rsidRDefault="002E0FEA" w:rsidP="00E539CE">
      <w:pPr>
        <w:spacing w:after="0" w:line="240" w:lineRule="auto"/>
        <w:rPr>
          <w:rFonts w:cs="Calibri"/>
          <w:lang w:val="en-GB" w:eastAsia="en-US"/>
        </w:rPr>
      </w:pPr>
    </w:p>
    <w:p w14:paraId="7945F2D6" w14:textId="77777777" w:rsidR="002E0FEA" w:rsidRPr="00A81A4F" w:rsidRDefault="002E0FEA" w:rsidP="00E539CE">
      <w:pPr>
        <w:spacing w:after="0" w:line="240" w:lineRule="auto"/>
        <w:rPr>
          <w:rFonts w:cs="Calibri"/>
          <w:lang w:val="en-GB" w:eastAsia="en-US"/>
        </w:rPr>
      </w:pPr>
    </w:p>
    <w:p w14:paraId="0B81E70B" w14:textId="77777777" w:rsidR="002E0FEA" w:rsidRPr="00A81A4F" w:rsidRDefault="002E0FEA" w:rsidP="00E539CE">
      <w:pPr>
        <w:spacing w:after="0" w:line="240" w:lineRule="auto"/>
        <w:rPr>
          <w:rFonts w:cs="Calibri"/>
          <w:lang w:val="en-GB" w:eastAsia="en-US"/>
        </w:rPr>
      </w:pPr>
    </w:p>
    <w:p w14:paraId="118948AC" w14:textId="77777777" w:rsidR="002E0FEA" w:rsidRPr="00A81A4F" w:rsidRDefault="002E0FEA" w:rsidP="00E539CE">
      <w:pPr>
        <w:spacing w:after="0" w:line="240" w:lineRule="auto"/>
        <w:rPr>
          <w:rFonts w:cs="Calibri"/>
          <w:lang w:val="en-GB" w:eastAsia="en-US"/>
        </w:rPr>
      </w:pPr>
    </w:p>
    <w:p w14:paraId="5AB5A063" w14:textId="77777777" w:rsidR="002E0FEA" w:rsidRPr="00A81A4F" w:rsidRDefault="002E0FEA" w:rsidP="00E539CE">
      <w:pPr>
        <w:spacing w:after="0" w:line="240" w:lineRule="auto"/>
        <w:rPr>
          <w:rFonts w:cs="Calibri"/>
          <w:lang w:val="en-GB" w:eastAsia="en-US"/>
        </w:rPr>
      </w:pPr>
    </w:p>
    <w:p w14:paraId="04D6CEC2" w14:textId="77777777" w:rsidR="002E0FEA" w:rsidRPr="00A81A4F" w:rsidRDefault="002E0FEA" w:rsidP="00E539CE">
      <w:pPr>
        <w:spacing w:after="0" w:line="240" w:lineRule="auto"/>
        <w:jc w:val="center"/>
        <w:rPr>
          <w:rFonts w:cs="Calibri"/>
          <w:b/>
          <w:lang w:val="en-GB" w:eastAsia="en-US"/>
        </w:rPr>
      </w:pPr>
    </w:p>
    <w:p w14:paraId="3FC6A552" w14:textId="77777777" w:rsidR="002E0FEA" w:rsidRPr="00A81A4F" w:rsidRDefault="002E0FEA" w:rsidP="00E539CE">
      <w:pPr>
        <w:spacing w:after="0" w:line="240" w:lineRule="auto"/>
        <w:jc w:val="center"/>
        <w:rPr>
          <w:rFonts w:cs="Calibri"/>
          <w:b/>
          <w:lang w:val="en-GB" w:eastAsia="en-US"/>
        </w:rPr>
      </w:pPr>
      <w:r w:rsidRPr="00A81A4F">
        <w:rPr>
          <w:rFonts w:cs="Calibri"/>
          <w:b/>
          <w:lang w:val="en-GB" w:eastAsia="en-US"/>
        </w:rPr>
        <w:lastRenderedPageBreak/>
        <w:t xml:space="preserve">Table 2: Regression Results </w:t>
      </w:r>
    </w:p>
    <w:tbl>
      <w:tblPr>
        <w:tblW w:w="13887" w:type="dxa"/>
        <w:tblBorders>
          <w:top w:val="single" w:sz="4" w:space="0" w:color="auto"/>
          <w:bottom w:val="single" w:sz="4" w:space="0" w:color="auto"/>
        </w:tblBorders>
        <w:tblLayout w:type="fixed"/>
        <w:tblCellMar>
          <w:left w:w="85" w:type="dxa"/>
          <w:right w:w="85" w:type="dxa"/>
        </w:tblCellMar>
        <w:tblLook w:val="04A0" w:firstRow="1" w:lastRow="0" w:firstColumn="1" w:lastColumn="0" w:noHBand="0" w:noVBand="1"/>
      </w:tblPr>
      <w:tblGrid>
        <w:gridCol w:w="4253"/>
        <w:gridCol w:w="1554"/>
        <w:gridCol w:w="1657"/>
        <w:gridCol w:w="1606"/>
        <w:gridCol w:w="1605"/>
        <w:gridCol w:w="1606"/>
        <w:gridCol w:w="1606"/>
      </w:tblGrid>
      <w:tr w:rsidR="002E0FEA" w:rsidRPr="00A81A4F" w14:paraId="3F54DCA1" w14:textId="77777777" w:rsidTr="00620CED">
        <w:tc>
          <w:tcPr>
            <w:tcW w:w="4253" w:type="dxa"/>
            <w:tcBorders>
              <w:top w:val="single" w:sz="4" w:space="0" w:color="auto"/>
              <w:bottom w:val="single" w:sz="4" w:space="0" w:color="auto"/>
            </w:tcBorders>
            <w:shd w:val="clear" w:color="auto" w:fill="auto"/>
          </w:tcPr>
          <w:p w14:paraId="42C10126" w14:textId="77777777" w:rsidR="002E0FEA" w:rsidRPr="00A81A4F" w:rsidRDefault="002E0FEA" w:rsidP="00E539CE">
            <w:pPr>
              <w:spacing w:after="0" w:line="240" w:lineRule="auto"/>
              <w:jc w:val="both"/>
              <w:rPr>
                <w:b/>
                <w:sz w:val="20"/>
                <w:szCs w:val="20"/>
                <w:lang w:val="en-GB" w:eastAsia="en-US"/>
              </w:rPr>
            </w:pPr>
          </w:p>
        </w:tc>
        <w:tc>
          <w:tcPr>
            <w:tcW w:w="1554" w:type="dxa"/>
            <w:tcBorders>
              <w:top w:val="single" w:sz="4" w:space="0" w:color="auto"/>
              <w:bottom w:val="single" w:sz="4" w:space="0" w:color="auto"/>
            </w:tcBorders>
            <w:shd w:val="clear" w:color="auto" w:fill="auto"/>
          </w:tcPr>
          <w:p w14:paraId="0155D7CA"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w:t>
            </w:r>
          </w:p>
        </w:tc>
        <w:tc>
          <w:tcPr>
            <w:tcW w:w="1657" w:type="dxa"/>
            <w:tcBorders>
              <w:top w:val="single" w:sz="4" w:space="0" w:color="auto"/>
              <w:bottom w:val="single" w:sz="4" w:space="0" w:color="auto"/>
            </w:tcBorders>
          </w:tcPr>
          <w:p w14:paraId="554410B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2</w:t>
            </w:r>
          </w:p>
        </w:tc>
        <w:tc>
          <w:tcPr>
            <w:tcW w:w="1606" w:type="dxa"/>
            <w:tcBorders>
              <w:top w:val="single" w:sz="4" w:space="0" w:color="auto"/>
              <w:bottom w:val="single" w:sz="4" w:space="0" w:color="auto"/>
            </w:tcBorders>
            <w:shd w:val="clear" w:color="auto" w:fill="auto"/>
          </w:tcPr>
          <w:p w14:paraId="2F41F607"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3</w:t>
            </w:r>
          </w:p>
        </w:tc>
        <w:tc>
          <w:tcPr>
            <w:tcW w:w="1605" w:type="dxa"/>
            <w:tcBorders>
              <w:top w:val="single" w:sz="4" w:space="0" w:color="auto"/>
              <w:bottom w:val="single" w:sz="4" w:space="0" w:color="auto"/>
            </w:tcBorders>
            <w:shd w:val="clear" w:color="auto" w:fill="auto"/>
          </w:tcPr>
          <w:p w14:paraId="10883CAB"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4</w:t>
            </w:r>
          </w:p>
        </w:tc>
        <w:tc>
          <w:tcPr>
            <w:tcW w:w="1606" w:type="dxa"/>
            <w:tcBorders>
              <w:top w:val="single" w:sz="4" w:space="0" w:color="auto"/>
              <w:bottom w:val="single" w:sz="4" w:space="0" w:color="auto"/>
            </w:tcBorders>
          </w:tcPr>
          <w:p w14:paraId="558C2298"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5</w:t>
            </w:r>
          </w:p>
        </w:tc>
        <w:tc>
          <w:tcPr>
            <w:tcW w:w="1606" w:type="dxa"/>
            <w:tcBorders>
              <w:top w:val="single" w:sz="4" w:space="0" w:color="auto"/>
              <w:bottom w:val="single" w:sz="4" w:space="0" w:color="auto"/>
            </w:tcBorders>
            <w:shd w:val="clear" w:color="auto" w:fill="auto"/>
          </w:tcPr>
          <w:p w14:paraId="7C17FD14"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6</w:t>
            </w:r>
          </w:p>
        </w:tc>
      </w:tr>
      <w:tr w:rsidR="002E0FEA" w:rsidRPr="00A81A4F" w14:paraId="7535C4A4" w14:textId="77777777" w:rsidTr="00620CED">
        <w:tc>
          <w:tcPr>
            <w:tcW w:w="4253" w:type="dxa"/>
            <w:tcBorders>
              <w:top w:val="single" w:sz="4" w:space="0" w:color="auto"/>
              <w:bottom w:val="nil"/>
            </w:tcBorders>
            <w:shd w:val="clear" w:color="auto" w:fill="auto"/>
          </w:tcPr>
          <w:p w14:paraId="35A0E9C6" w14:textId="77777777" w:rsidR="002E0FEA" w:rsidRPr="00A81A4F" w:rsidRDefault="002E0FEA" w:rsidP="00E539CE">
            <w:pPr>
              <w:spacing w:after="0" w:line="240" w:lineRule="auto"/>
              <w:jc w:val="center"/>
              <w:rPr>
                <w:b/>
                <w:sz w:val="20"/>
                <w:szCs w:val="20"/>
                <w:lang w:val="en-GB" w:eastAsia="en-US"/>
              </w:rPr>
            </w:pPr>
          </w:p>
        </w:tc>
        <w:tc>
          <w:tcPr>
            <w:tcW w:w="4817" w:type="dxa"/>
            <w:gridSpan w:val="3"/>
            <w:tcBorders>
              <w:top w:val="single" w:sz="4" w:space="0" w:color="auto"/>
              <w:bottom w:val="double" w:sz="4" w:space="0" w:color="auto"/>
            </w:tcBorders>
            <w:shd w:val="clear" w:color="auto" w:fill="auto"/>
          </w:tcPr>
          <w:p w14:paraId="7935303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Inward-focused Internationalization Activities</w:t>
            </w:r>
          </w:p>
        </w:tc>
        <w:tc>
          <w:tcPr>
            <w:tcW w:w="4817" w:type="dxa"/>
            <w:gridSpan w:val="3"/>
            <w:tcBorders>
              <w:top w:val="single" w:sz="4" w:space="0" w:color="auto"/>
              <w:bottom w:val="double" w:sz="4" w:space="0" w:color="auto"/>
            </w:tcBorders>
            <w:shd w:val="clear" w:color="auto" w:fill="auto"/>
          </w:tcPr>
          <w:p w14:paraId="08886FC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Outward-focused Internationalization Activities</w:t>
            </w:r>
          </w:p>
        </w:tc>
      </w:tr>
      <w:tr w:rsidR="002E0FEA" w:rsidRPr="00A81A4F" w14:paraId="0C6F4AEF" w14:textId="77777777" w:rsidTr="00620CED">
        <w:tc>
          <w:tcPr>
            <w:tcW w:w="4253" w:type="dxa"/>
            <w:tcBorders>
              <w:top w:val="nil"/>
            </w:tcBorders>
            <w:shd w:val="clear" w:color="auto" w:fill="auto"/>
          </w:tcPr>
          <w:p w14:paraId="2AC5B81F"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Controls</w:t>
            </w:r>
          </w:p>
        </w:tc>
        <w:tc>
          <w:tcPr>
            <w:tcW w:w="1554" w:type="dxa"/>
            <w:tcBorders>
              <w:top w:val="double" w:sz="4" w:space="0" w:color="auto"/>
            </w:tcBorders>
            <w:shd w:val="clear" w:color="auto" w:fill="auto"/>
          </w:tcPr>
          <w:p w14:paraId="7E355081" w14:textId="77777777" w:rsidR="002E0FEA" w:rsidRPr="00A81A4F" w:rsidRDefault="002E0FEA" w:rsidP="00E539CE">
            <w:pPr>
              <w:spacing w:after="0" w:line="240" w:lineRule="auto"/>
              <w:jc w:val="both"/>
              <w:rPr>
                <w:b/>
                <w:sz w:val="20"/>
                <w:szCs w:val="20"/>
                <w:lang w:val="en-GB" w:eastAsia="en-US"/>
              </w:rPr>
            </w:pPr>
          </w:p>
        </w:tc>
        <w:tc>
          <w:tcPr>
            <w:tcW w:w="1657" w:type="dxa"/>
            <w:tcBorders>
              <w:top w:val="double" w:sz="4" w:space="0" w:color="auto"/>
            </w:tcBorders>
          </w:tcPr>
          <w:p w14:paraId="5E5E5D7F" w14:textId="77777777" w:rsidR="002E0FEA" w:rsidRPr="00A81A4F" w:rsidRDefault="002E0FEA" w:rsidP="00E539CE">
            <w:pPr>
              <w:spacing w:after="0" w:line="240" w:lineRule="auto"/>
              <w:jc w:val="both"/>
              <w:rPr>
                <w:b/>
                <w:sz w:val="20"/>
                <w:szCs w:val="20"/>
                <w:lang w:val="en-GB" w:eastAsia="en-US"/>
              </w:rPr>
            </w:pPr>
          </w:p>
        </w:tc>
        <w:tc>
          <w:tcPr>
            <w:tcW w:w="1606" w:type="dxa"/>
            <w:tcBorders>
              <w:top w:val="double" w:sz="4" w:space="0" w:color="auto"/>
            </w:tcBorders>
            <w:shd w:val="clear" w:color="auto" w:fill="auto"/>
          </w:tcPr>
          <w:p w14:paraId="6535BC0F" w14:textId="77777777" w:rsidR="002E0FEA" w:rsidRPr="00A81A4F" w:rsidRDefault="002E0FEA" w:rsidP="00E539CE">
            <w:pPr>
              <w:spacing w:after="0" w:line="240" w:lineRule="auto"/>
              <w:jc w:val="both"/>
              <w:rPr>
                <w:b/>
                <w:sz w:val="20"/>
                <w:szCs w:val="20"/>
                <w:lang w:val="en-GB" w:eastAsia="en-US"/>
              </w:rPr>
            </w:pPr>
          </w:p>
        </w:tc>
        <w:tc>
          <w:tcPr>
            <w:tcW w:w="1605" w:type="dxa"/>
            <w:tcBorders>
              <w:top w:val="double" w:sz="4" w:space="0" w:color="auto"/>
            </w:tcBorders>
            <w:shd w:val="clear" w:color="auto" w:fill="auto"/>
          </w:tcPr>
          <w:p w14:paraId="597C6D01" w14:textId="77777777" w:rsidR="002E0FEA" w:rsidRPr="00A81A4F" w:rsidRDefault="002E0FEA" w:rsidP="00E539CE">
            <w:pPr>
              <w:spacing w:after="0" w:line="240" w:lineRule="auto"/>
              <w:jc w:val="both"/>
              <w:rPr>
                <w:b/>
                <w:sz w:val="20"/>
                <w:szCs w:val="20"/>
                <w:lang w:val="en-GB" w:eastAsia="en-US"/>
              </w:rPr>
            </w:pPr>
          </w:p>
        </w:tc>
        <w:tc>
          <w:tcPr>
            <w:tcW w:w="1606" w:type="dxa"/>
            <w:tcBorders>
              <w:top w:val="double" w:sz="4" w:space="0" w:color="auto"/>
            </w:tcBorders>
          </w:tcPr>
          <w:p w14:paraId="156EAC3D" w14:textId="77777777" w:rsidR="002E0FEA" w:rsidRPr="00A81A4F" w:rsidRDefault="002E0FEA" w:rsidP="00E539CE">
            <w:pPr>
              <w:spacing w:after="0" w:line="240" w:lineRule="auto"/>
              <w:jc w:val="both"/>
              <w:rPr>
                <w:b/>
                <w:sz w:val="20"/>
                <w:szCs w:val="20"/>
                <w:lang w:val="en-GB" w:eastAsia="en-US"/>
              </w:rPr>
            </w:pPr>
          </w:p>
        </w:tc>
        <w:tc>
          <w:tcPr>
            <w:tcW w:w="1606" w:type="dxa"/>
            <w:tcBorders>
              <w:top w:val="double" w:sz="4" w:space="0" w:color="auto"/>
            </w:tcBorders>
            <w:shd w:val="clear" w:color="auto" w:fill="auto"/>
          </w:tcPr>
          <w:p w14:paraId="51D250B7" w14:textId="77777777" w:rsidR="002E0FEA" w:rsidRPr="00A81A4F" w:rsidRDefault="002E0FEA" w:rsidP="00E539CE">
            <w:pPr>
              <w:spacing w:after="0" w:line="240" w:lineRule="auto"/>
              <w:jc w:val="both"/>
              <w:rPr>
                <w:b/>
                <w:sz w:val="20"/>
                <w:szCs w:val="20"/>
                <w:lang w:val="en-GB" w:eastAsia="en-US"/>
              </w:rPr>
            </w:pPr>
          </w:p>
        </w:tc>
      </w:tr>
      <w:tr w:rsidR="002E0FEA" w:rsidRPr="00A81A4F" w14:paraId="2A3ECCBA" w14:textId="77777777" w:rsidTr="00620CED">
        <w:tc>
          <w:tcPr>
            <w:tcW w:w="4253" w:type="dxa"/>
            <w:tcBorders>
              <w:top w:val="nil"/>
            </w:tcBorders>
            <w:shd w:val="clear" w:color="auto" w:fill="auto"/>
            <w:vAlign w:val="center"/>
          </w:tcPr>
          <w:p w14:paraId="249A6D1F"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Information Technology</w:t>
            </w:r>
          </w:p>
        </w:tc>
        <w:tc>
          <w:tcPr>
            <w:tcW w:w="1554" w:type="dxa"/>
            <w:shd w:val="clear" w:color="auto" w:fill="auto"/>
          </w:tcPr>
          <w:p w14:paraId="5358FDE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0.482(1.761)†</w:t>
            </w:r>
          </w:p>
        </w:tc>
        <w:tc>
          <w:tcPr>
            <w:tcW w:w="1657" w:type="dxa"/>
          </w:tcPr>
          <w:p w14:paraId="18105C62" w14:textId="77777777" w:rsidR="002E0FEA" w:rsidRPr="00A81A4F" w:rsidRDefault="002E0FEA" w:rsidP="00E539CE">
            <w:pPr>
              <w:spacing w:after="0" w:line="240" w:lineRule="auto"/>
              <w:jc w:val="center"/>
              <w:rPr>
                <w:sz w:val="20"/>
                <w:szCs w:val="20"/>
                <w:lang w:val="en-GB" w:eastAsia="en-US"/>
              </w:rPr>
            </w:pPr>
            <w:r w:rsidRPr="00A81A4F">
              <w:rPr>
                <w:sz w:val="20"/>
                <w:szCs w:val="20"/>
              </w:rPr>
              <w:t>0.438(1.690)†</w:t>
            </w:r>
          </w:p>
        </w:tc>
        <w:tc>
          <w:tcPr>
            <w:tcW w:w="1606" w:type="dxa"/>
            <w:shd w:val="clear" w:color="auto" w:fill="auto"/>
          </w:tcPr>
          <w:p w14:paraId="46B4E58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0.374(1.421)</w:t>
            </w:r>
          </w:p>
        </w:tc>
        <w:tc>
          <w:tcPr>
            <w:tcW w:w="1605" w:type="dxa"/>
            <w:shd w:val="clear" w:color="auto" w:fill="auto"/>
          </w:tcPr>
          <w:p w14:paraId="24D75D2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0.478(1.880)†</w:t>
            </w:r>
          </w:p>
        </w:tc>
        <w:tc>
          <w:tcPr>
            <w:tcW w:w="1606" w:type="dxa"/>
          </w:tcPr>
          <w:p w14:paraId="751CFEC6" w14:textId="77777777" w:rsidR="002E0FEA" w:rsidRPr="00A81A4F" w:rsidRDefault="002E0FEA" w:rsidP="00E539CE">
            <w:pPr>
              <w:spacing w:after="0" w:line="240" w:lineRule="auto"/>
              <w:jc w:val="center"/>
              <w:rPr>
                <w:sz w:val="20"/>
                <w:szCs w:val="20"/>
                <w:lang w:val="en-GB" w:eastAsia="en-US"/>
              </w:rPr>
            </w:pPr>
            <w:r w:rsidRPr="00A81A4F">
              <w:rPr>
                <w:sz w:val="20"/>
                <w:szCs w:val="20"/>
              </w:rPr>
              <w:t>0.343(1.387)</w:t>
            </w:r>
          </w:p>
        </w:tc>
        <w:tc>
          <w:tcPr>
            <w:tcW w:w="1606" w:type="dxa"/>
            <w:shd w:val="clear" w:color="auto" w:fill="auto"/>
          </w:tcPr>
          <w:p w14:paraId="7466E3D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0.399(1.660)†</w:t>
            </w:r>
          </w:p>
        </w:tc>
      </w:tr>
      <w:tr w:rsidR="002E0FEA" w:rsidRPr="00A81A4F" w14:paraId="2F754770" w14:textId="77777777" w:rsidTr="00620CED">
        <w:tc>
          <w:tcPr>
            <w:tcW w:w="4253" w:type="dxa"/>
            <w:shd w:val="clear" w:color="auto" w:fill="auto"/>
            <w:vAlign w:val="center"/>
          </w:tcPr>
          <w:p w14:paraId="4640C287"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Machinery and Equipment</w:t>
            </w:r>
          </w:p>
        </w:tc>
        <w:tc>
          <w:tcPr>
            <w:tcW w:w="1554" w:type="dxa"/>
            <w:shd w:val="clear" w:color="auto" w:fill="auto"/>
          </w:tcPr>
          <w:p w14:paraId="3D738F6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0.359(1.601)</w:t>
            </w:r>
          </w:p>
        </w:tc>
        <w:tc>
          <w:tcPr>
            <w:tcW w:w="1657" w:type="dxa"/>
          </w:tcPr>
          <w:p w14:paraId="155164DF" w14:textId="77777777" w:rsidR="002E0FEA" w:rsidRPr="00A81A4F" w:rsidRDefault="002E0FEA" w:rsidP="00E539CE">
            <w:pPr>
              <w:spacing w:after="0" w:line="240" w:lineRule="auto"/>
              <w:jc w:val="center"/>
              <w:rPr>
                <w:sz w:val="20"/>
                <w:szCs w:val="20"/>
                <w:lang w:val="en-GB" w:eastAsia="en-US"/>
              </w:rPr>
            </w:pPr>
            <w:r w:rsidRPr="00A81A4F">
              <w:rPr>
                <w:sz w:val="20"/>
                <w:szCs w:val="20"/>
              </w:rPr>
              <w:t>0.291(1.364)</w:t>
            </w:r>
          </w:p>
        </w:tc>
        <w:tc>
          <w:tcPr>
            <w:tcW w:w="1606" w:type="dxa"/>
            <w:shd w:val="clear" w:color="auto" w:fill="auto"/>
          </w:tcPr>
          <w:p w14:paraId="6E977B8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0.266(1.233)</w:t>
            </w:r>
          </w:p>
        </w:tc>
        <w:tc>
          <w:tcPr>
            <w:tcW w:w="1605" w:type="dxa"/>
            <w:shd w:val="clear" w:color="auto" w:fill="auto"/>
          </w:tcPr>
          <w:p w14:paraId="446BC76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0.727(3.497)**</w:t>
            </w:r>
          </w:p>
        </w:tc>
        <w:tc>
          <w:tcPr>
            <w:tcW w:w="1606" w:type="dxa"/>
          </w:tcPr>
          <w:p w14:paraId="75CEC6DC" w14:textId="77777777" w:rsidR="002E0FEA" w:rsidRPr="00A81A4F" w:rsidRDefault="002E0FEA" w:rsidP="00E539CE">
            <w:pPr>
              <w:spacing w:after="0" w:line="240" w:lineRule="auto"/>
              <w:jc w:val="center"/>
              <w:rPr>
                <w:sz w:val="20"/>
                <w:szCs w:val="20"/>
                <w:lang w:val="en-GB" w:eastAsia="en-US"/>
              </w:rPr>
            </w:pPr>
            <w:r w:rsidRPr="00A81A4F">
              <w:rPr>
                <w:sz w:val="20"/>
                <w:szCs w:val="20"/>
              </w:rPr>
              <w:t>0.643(3.193)**</w:t>
            </w:r>
          </w:p>
        </w:tc>
        <w:tc>
          <w:tcPr>
            <w:tcW w:w="1606" w:type="dxa"/>
            <w:shd w:val="clear" w:color="auto" w:fill="auto"/>
          </w:tcPr>
          <w:p w14:paraId="18AFE87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0.617(3.138)**</w:t>
            </w:r>
          </w:p>
        </w:tc>
      </w:tr>
      <w:tr w:rsidR="002E0FEA" w:rsidRPr="00A81A4F" w14:paraId="505C40A2" w14:textId="77777777" w:rsidTr="00620CED">
        <w:tc>
          <w:tcPr>
            <w:tcW w:w="4253" w:type="dxa"/>
            <w:shd w:val="clear" w:color="auto" w:fill="auto"/>
            <w:vAlign w:val="center"/>
          </w:tcPr>
          <w:p w14:paraId="41426E5A"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Electronic Goods</w:t>
            </w:r>
          </w:p>
        </w:tc>
        <w:tc>
          <w:tcPr>
            <w:tcW w:w="1554" w:type="dxa"/>
            <w:shd w:val="clear" w:color="auto" w:fill="auto"/>
          </w:tcPr>
          <w:p w14:paraId="2C90444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0.488(1.607)</w:t>
            </w:r>
          </w:p>
        </w:tc>
        <w:tc>
          <w:tcPr>
            <w:tcW w:w="1657" w:type="dxa"/>
          </w:tcPr>
          <w:p w14:paraId="3598C3AB" w14:textId="77777777" w:rsidR="002E0FEA" w:rsidRPr="00A81A4F" w:rsidRDefault="002E0FEA" w:rsidP="00E539CE">
            <w:pPr>
              <w:spacing w:after="0" w:line="240" w:lineRule="auto"/>
              <w:jc w:val="center"/>
              <w:rPr>
                <w:sz w:val="20"/>
                <w:szCs w:val="20"/>
                <w:lang w:val="en-GB" w:eastAsia="en-US"/>
              </w:rPr>
            </w:pPr>
            <w:r w:rsidRPr="00A81A4F">
              <w:rPr>
                <w:sz w:val="20"/>
                <w:szCs w:val="20"/>
              </w:rPr>
              <w:t>0.223(0.762)</w:t>
            </w:r>
          </w:p>
        </w:tc>
        <w:tc>
          <w:tcPr>
            <w:tcW w:w="1606" w:type="dxa"/>
            <w:shd w:val="clear" w:color="auto" w:fill="auto"/>
          </w:tcPr>
          <w:p w14:paraId="4097497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0.199(0.675)</w:t>
            </w:r>
          </w:p>
        </w:tc>
        <w:tc>
          <w:tcPr>
            <w:tcW w:w="1605" w:type="dxa"/>
            <w:shd w:val="clear" w:color="auto" w:fill="auto"/>
          </w:tcPr>
          <w:p w14:paraId="06EA4BF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0.550(1.951)†</w:t>
            </w:r>
          </w:p>
        </w:tc>
        <w:tc>
          <w:tcPr>
            <w:tcW w:w="1606" w:type="dxa"/>
          </w:tcPr>
          <w:p w14:paraId="65715EF4" w14:textId="77777777" w:rsidR="002E0FEA" w:rsidRPr="00A81A4F" w:rsidRDefault="002E0FEA" w:rsidP="00E539CE">
            <w:pPr>
              <w:spacing w:after="0" w:line="240" w:lineRule="auto"/>
              <w:jc w:val="center"/>
              <w:rPr>
                <w:sz w:val="20"/>
                <w:szCs w:val="20"/>
                <w:lang w:val="en-GB" w:eastAsia="en-US"/>
              </w:rPr>
            </w:pPr>
            <w:r w:rsidRPr="00A81A4F">
              <w:rPr>
                <w:sz w:val="20"/>
                <w:szCs w:val="20"/>
              </w:rPr>
              <w:t>0.421(1.537)</w:t>
            </w:r>
          </w:p>
        </w:tc>
        <w:tc>
          <w:tcPr>
            <w:tcW w:w="1606" w:type="dxa"/>
            <w:shd w:val="clear" w:color="auto" w:fill="auto"/>
          </w:tcPr>
          <w:p w14:paraId="4954AC2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0.354(1.314)</w:t>
            </w:r>
          </w:p>
        </w:tc>
      </w:tr>
      <w:tr w:rsidR="002E0FEA" w:rsidRPr="00A81A4F" w14:paraId="25969E4F" w14:textId="77777777" w:rsidTr="00620CED">
        <w:tc>
          <w:tcPr>
            <w:tcW w:w="4253" w:type="dxa"/>
            <w:shd w:val="clear" w:color="auto" w:fill="auto"/>
            <w:vAlign w:val="center"/>
          </w:tcPr>
          <w:p w14:paraId="7E286E19"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Consumer Goods</w:t>
            </w:r>
          </w:p>
        </w:tc>
        <w:tc>
          <w:tcPr>
            <w:tcW w:w="1554" w:type="dxa"/>
            <w:shd w:val="clear" w:color="auto" w:fill="auto"/>
          </w:tcPr>
          <w:p w14:paraId="7014C0D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0.144(0.449)</w:t>
            </w:r>
          </w:p>
        </w:tc>
        <w:tc>
          <w:tcPr>
            <w:tcW w:w="1657" w:type="dxa"/>
          </w:tcPr>
          <w:p w14:paraId="67362F59" w14:textId="77777777" w:rsidR="002E0FEA" w:rsidRPr="00A81A4F" w:rsidRDefault="002E0FEA" w:rsidP="00E539CE">
            <w:pPr>
              <w:spacing w:after="0" w:line="240" w:lineRule="auto"/>
              <w:jc w:val="center"/>
              <w:rPr>
                <w:sz w:val="20"/>
                <w:szCs w:val="20"/>
                <w:lang w:val="en-GB" w:eastAsia="en-US"/>
              </w:rPr>
            </w:pPr>
            <w:r w:rsidRPr="00A81A4F">
              <w:rPr>
                <w:sz w:val="20"/>
                <w:szCs w:val="20"/>
              </w:rPr>
              <w:t>0.068(0.223)</w:t>
            </w:r>
          </w:p>
        </w:tc>
        <w:tc>
          <w:tcPr>
            <w:tcW w:w="1606" w:type="dxa"/>
            <w:shd w:val="clear" w:color="auto" w:fill="auto"/>
          </w:tcPr>
          <w:p w14:paraId="24C35B4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0.065(0.212)</w:t>
            </w:r>
          </w:p>
        </w:tc>
        <w:tc>
          <w:tcPr>
            <w:tcW w:w="1605" w:type="dxa"/>
            <w:shd w:val="clear" w:color="auto" w:fill="auto"/>
          </w:tcPr>
          <w:p w14:paraId="7592570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0.367(1.230)</w:t>
            </w:r>
          </w:p>
        </w:tc>
        <w:tc>
          <w:tcPr>
            <w:tcW w:w="1606" w:type="dxa"/>
          </w:tcPr>
          <w:p w14:paraId="0A20F738" w14:textId="77777777" w:rsidR="002E0FEA" w:rsidRPr="00A81A4F" w:rsidRDefault="002E0FEA" w:rsidP="00E539CE">
            <w:pPr>
              <w:spacing w:after="0" w:line="240" w:lineRule="auto"/>
              <w:jc w:val="center"/>
              <w:rPr>
                <w:sz w:val="20"/>
                <w:szCs w:val="20"/>
                <w:lang w:val="en-GB" w:eastAsia="en-US"/>
              </w:rPr>
            </w:pPr>
            <w:r w:rsidRPr="00A81A4F">
              <w:rPr>
                <w:sz w:val="20"/>
                <w:szCs w:val="20"/>
              </w:rPr>
              <w:t>0.292(1.015)</w:t>
            </w:r>
          </w:p>
        </w:tc>
        <w:tc>
          <w:tcPr>
            <w:tcW w:w="1606" w:type="dxa"/>
            <w:shd w:val="clear" w:color="auto" w:fill="auto"/>
          </w:tcPr>
          <w:p w14:paraId="2DB8CCD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0.331(1.183)</w:t>
            </w:r>
          </w:p>
        </w:tc>
      </w:tr>
      <w:tr w:rsidR="002E0FEA" w:rsidRPr="00A81A4F" w14:paraId="78600F2E" w14:textId="77777777" w:rsidTr="00620CED">
        <w:tc>
          <w:tcPr>
            <w:tcW w:w="4253" w:type="dxa"/>
            <w:shd w:val="clear" w:color="auto" w:fill="auto"/>
          </w:tcPr>
          <w:p w14:paraId="1E440682"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Firm Size</w:t>
            </w:r>
          </w:p>
        </w:tc>
        <w:tc>
          <w:tcPr>
            <w:tcW w:w="1554" w:type="dxa"/>
            <w:shd w:val="clear" w:color="auto" w:fill="auto"/>
          </w:tcPr>
          <w:p w14:paraId="32BA597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-0.540(-0.813)</w:t>
            </w:r>
          </w:p>
        </w:tc>
        <w:tc>
          <w:tcPr>
            <w:tcW w:w="1657" w:type="dxa"/>
          </w:tcPr>
          <w:p w14:paraId="32079CA0" w14:textId="77777777" w:rsidR="002E0FEA" w:rsidRPr="00A81A4F" w:rsidRDefault="002E0FEA" w:rsidP="00E539CE">
            <w:pPr>
              <w:spacing w:after="0" w:line="240" w:lineRule="auto"/>
              <w:jc w:val="center"/>
              <w:rPr>
                <w:sz w:val="20"/>
                <w:szCs w:val="20"/>
                <w:lang w:val="en-GB" w:eastAsia="en-US"/>
              </w:rPr>
            </w:pPr>
            <w:r w:rsidRPr="00A81A4F">
              <w:rPr>
                <w:sz w:val="20"/>
                <w:szCs w:val="20"/>
              </w:rPr>
              <w:t>0.428(2.287)*</w:t>
            </w:r>
          </w:p>
        </w:tc>
        <w:tc>
          <w:tcPr>
            <w:tcW w:w="1606" w:type="dxa"/>
            <w:shd w:val="clear" w:color="auto" w:fill="auto"/>
          </w:tcPr>
          <w:p w14:paraId="691070E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0.415(2.204)*</w:t>
            </w:r>
          </w:p>
        </w:tc>
        <w:tc>
          <w:tcPr>
            <w:tcW w:w="1605" w:type="dxa"/>
            <w:shd w:val="clear" w:color="auto" w:fill="auto"/>
          </w:tcPr>
          <w:p w14:paraId="36C8326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0.403(2.210)*</w:t>
            </w:r>
          </w:p>
        </w:tc>
        <w:tc>
          <w:tcPr>
            <w:tcW w:w="1606" w:type="dxa"/>
          </w:tcPr>
          <w:p w14:paraId="39423CC9" w14:textId="77777777" w:rsidR="002E0FEA" w:rsidRPr="00A81A4F" w:rsidRDefault="002E0FEA" w:rsidP="00E539CE">
            <w:pPr>
              <w:spacing w:after="0" w:line="240" w:lineRule="auto"/>
              <w:jc w:val="center"/>
              <w:rPr>
                <w:sz w:val="20"/>
                <w:szCs w:val="20"/>
                <w:lang w:val="en-GB" w:eastAsia="en-US"/>
              </w:rPr>
            </w:pPr>
            <w:r w:rsidRPr="00A81A4F">
              <w:rPr>
                <w:sz w:val="20"/>
                <w:szCs w:val="20"/>
              </w:rPr>
              <w:t>0.352(2.009)*</w:t>
            </w:r>
          </w:p>
        </w:tc>
        <w:tc>
          <w:tcPr>
            <w:tcW w:w="1606" w:type="dxa"/>
            <w:shd w:val="clear" w:color="auto" w:fill="auto"/>
          </w:tcPr>
          <w:p w14:paraId="3D22BAA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0.362(2.109)*</w:t>
            </w:r>
          </w:p>
        </w:tc>
      </w:tr>
      <w:tr w:rsidR="002E0FEA" w:rsidRPr="00A81A4F" w14:paraId="264361EC" w14:textId="77777777" w:rsidTr="00620CED">
        <w:tc>
          <w:tcPr>
            <w:tcW w:w="4253" w:type="dxa"/>
            <w:shd w:val="clear" w:color="auto" w:fill="auto"/>
          </w:tcPr>
          <w:p w14:paraId="1833487B"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Firm Age</w:t>
            </w:r>
          </w:p>
        </w:tc>
        <w:tc>
          <w:tcPr>
            <w:tcW w:w="1554" w:type="dxa"/>
            <w:shd w:val="clear" w:color="auto" w:fill="auto"/>
          </w:tcPr>
          <w:p w14:paraId="0270586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0.501(2.552)*</w:t>
            </w:r>
          </w:p>
        </w:tc>
        <w:tc>
          <w:tcPr>
            <w:tcW w:w="1657" w:type="dxa"/>
          </w:tcPr>
          <w:p w14:paraId="2AFBFFFF" w14:textId="77777777" w:rsidR="002E0FEA" w:rsidRPr="00A81A4F" w:rsidRDefault="002E0FEA" w:rsidP="00E539CE">
            <w:pPr>
              <w:spacing w:after="0" w:line="240" w:lineRule="auto"/>
              <w:jc w:val="center"/>
              <w:rPr>
                <w:sz w:val="20"/>
                <w:szCs w:val="20"/>
                <w:lang w:val="en-GB" w:eastAsia="en-US"/>
              </w:rPr>
            </w:pPr>
            <w:r w:rsidRPr="00A81A4F">
              <w:rPr>
                <w:sz w:val="20"/>
                <w:szCs w:val="20"/>
              </w:rPr>
              <w:t>-0.604(-0.962)</w:t>
            </w:r>
          </w:p>
        </w:tc>
        <w:tc>
          <w:tcPr>
            <w:tcW w:w="1606" w:type="dxa"/>
            <w:shd w:val="clear" w:color="auto" w:fill="auto"/>
          </w:tcPr>
          <w:p w14:paraId="2098A34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-0.607(-0.959)</w:t>
            </w:r>
          </w:p>
        </w:tc>
        <w:tc>
          <w:tcPr>
            <w:tcW w:w="1605" w:type="dxa"/>
            <w:shd w:val="clear" w:color="auto" w:fill="auto"/>
          </w:tcPr>
          <w:p w14:paraId="1ABD53E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-0.385(-0.624)</w:t>
            </w:r>
          </w:p>
        </w:tc>
        <w:tc>
          <w:tcPr>
            <w:tcW w:w="1606" w:type="dxa"/>
          </w:tcPr>
          <w:p w14:paraId="6C49A993" w14:textId="77777777" w:rsidR="002E0FEA" w:rsidRPr="00A81A4F" w:rsidRDefault="002E0FEA" w:rsidP="00E539CE">
            <w:pPr>
              <w:spacing w:after="0" w:line="240" w:lineRule="auto"/>
              <w:jc w:val="center"/>
              <w:rPr>
                <w:sz w:val="20"/>
                <w:szCs w:val="20"/>
                <w:lang w:val="en-GB" w:eastAsia="en-US"/>
              </w:rPr>
            </w:pPr>
            <w:r w:rsidRPr="00A81A4F">
              <w:rPr>
                <w:sz w:val="20"/>
                <w:szCs w:val="20"/>
              </w:rPr>
              <w:t>-0.363(-0.609)</w:t>
            </w:r>
          </w:p>
        </w:tc>
        <w:tc>
          <w:tcPr>
            <w:tcW w:w="1606" w:type="dxa"/>
            <w:shd w:val="clear" w:color="auto" w:fill="auto"/>
          </w:tcPr>
          <w:p w14:paraId="60FB5D9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-0.446(-0.772)</w:t>
            </w:r>
          </w:p>
        </w:tc>
      </w:tr>
      <w:tr w:rsidR="002E0FEA" w:rsidRPr="00A81A4F" w14:paraId="691546BF" w14:textId="77777777" w:rsidTr="00620CED">
        <w:tc>
          <w:tcPr>
            <w:tcW w:w="4253" w:type="dxa"/>
            <w:shd w:val="clear" w:color="auto" w:fill="auto"/>
          </w:tcPr>
          <w:p w14:paraId="02106751"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Competitive Intensity</w:t>
            </w:r>
          </w:p>
        </w:tc>
        <w:tc>
          <w:tcPr>
            <w:tcW w:w="1554" w:type="dxa"/>
            <w:shd w:val="clear" w:color="auto" w:fill="auto"/>
          </w:tcPr>
          <w:p w14:paraId="4A5833F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0.048(0.615)</w:t>
            </w:r>
          </w:p>
        </w:tc>
        <w:tc>
          <w:tcPr>
            <w:tcW w:w="1657" w:type="dxa"/>
          </w:tcPr>
          <w:p w14:paraId="34CE64A6" w14:textId="77777777" w:rsidR="002E0FEA" w:rsidRPr="00A81A4F" w:rsidRDefault="002E0FEA" w:rsidP="00E539CE">
            <w:pPr>
              <w:spacing w:after="0" w:line="240" w:lineRule="auto"/>
              <w:jc w:val="center"/>
              <w:rPr>
                <w:sz w:val="20"/>
                <w:szCs w:val="20"/>
                <w:lang w:val="en-GB" w:eastAsia="en-US"/>
              </w:rPr>
            </w:pPr>
            <w:r w:rsidRPr="00A81A4F">
              <w:rPr>
                <w:sz w:val="20"/>
                <w:szCs w:val="20"/>
              </w:rPr>
              <w:t>-0.056(-0.725)</w:t>
            </w:r>
          </w:p>
        </w:tc>
        <w:tc>
          <w:tcPr>
            <w:tcW w:w="1606" w:type="dxa"/>
            <w:shd w:val="clear" w:color="auto" w:fill="auto"/>
          </w:tcPr>
          <w:p w14:paraId="6CF7FD9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-0.063(-0.792)</w:t>
            </w:r>
          </w:p>
        </w:tc>
        <w:tc>
          <w:tcPr>
            <w:tcW w:w="1605" w:type="dxa"/>
            <w:shd w:val="clear" w:color="auto" w:fill="auto"/>
          </w:tcPr>
          <w:p w14:paraId="00C82FB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0.085(1.167)</w:t>
            </w:r>
          </w:p>
        </w:tc>
        <w:tc>
          <w:tcPr>
            <w:tcW w:w="1606" w:type="dxa"/>
          </w:tcPr>
          <w:p w14:paraId="1ADA8F2A" w14:textId="77777777" w:rsidR="002E0FEA" w:rsidRPr="00A81A4F" w:rsidRDefault="002E0FEA" w:rsidP="00E539CE">
            <w:pPr>
              <w:spacing w:after="0" w:line="240" w:lineRule="auto"/>
              <w:jc w:val="center"/>
              <w:rPr>
                <w:sz w:val="20"/>
                <w:szCs w:val="20"/>
                <w:lang w:val="en-GB" w:eastAsia="en-US"/>
              </w:rPr>
            </w:pPr>
            <w:r w:rsidRPr="00A81A4F">
              <w:rPr>
                <w:sz w:val="20"/>
                <w:szCs w:val="20"/>
              </w:rPr>
              <w:t>0.020(0.265)</w:t>
            </w:r>
          </w:p>
        </w:tc>
        <w:tc>
          <w:tcPr>
            <w:tcW w:w="1606" w:type="dxa"/>
            <w:shd w:val="clear" w:color="auto" w:fill="auto"/>
          </w:tcPr>
          <w:p w14:paraId="4DB30D6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0.014(0.197)</w:t>
            </w:r>
          </w:p>
        </w:tc>
      </w:tr>
      <w:tr w:rsidR="002E0FEA" w:rsidRPr="00A81A4F" w14:paraId="638D9C3B" w14:textId="77777777" w:rsidTr="00620CED">
        <w:tc>
          <w:tcPr>
            <w:tcW w:w="4253" w:type="dxa"/>
            <w:shd w:val="clear" w:color="auto" w:fill="auto"/>
          </w:tcPr>
          <w:p w14:paraId="70480352"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Technology Turbulence</w:t>
            </w:r>
          </w:p>
        </w:tc>
        <w:tc>
          <w:tcPr>
            <w:tcW w:w="1554" w:type="dxa"/>
            <w:shd w:val="clear" w:color="auto" w:fill="auto"/>
          </w:tcPr>
          <w:p w14:paraId="15B45D3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0.067(0.712)</w:t>
            </w:r>
          </w:p>
        </w:tc>
        <w:tc>
          <w:tcPr>
            <w:tcW w:w="1657" w:type="dxa"/>
          </w:tcPr>
          <w:p w14:paraId="436A087D" w14:textId="77777777" w:rsidR="002E0FEA" w:rsidRPr="00A81A4F" w:rsidRDefault="002E0FEA" w:rsidP="00E539CE">
            <w:pPr>
              <w:spacing w:after="0" w:line="240" w:lineRule="auto"/>
              <w:jc w:val="center"/>
              <w:rPr>
                <w:sz w:val="20"/>
                <w:szCs w:val="20"/>
                <w:lang w:val="en-GB" w:eastAsia="en-US"/>
              </w:rPr>
            </w:pPr>
            <w:r w:rsidRPr="00A81A4F">
              <w:rPr>
                <w:sz w:val="20"/>
                <w:szCs w:val="20"/>
              </w:rPr>
              <w:t>0.021(0.224)</w:t>
            </w:r>
          </w:p>
        </w:tc>
        <w:tc>
          <w:tcPr>
            <w:tcW w:w="1606" w:type="dxa"/>
            <w:shd w:val="clear" w:color="auto" w:fill="auto"/>
          </w:tcPr>
          <w:p w14:paraId="55D46BA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0.034(0.344)</w:t>
            </w:r>
          </w:p>
        </w:tc>
        <w:tc>
          <w:tcPr>
            <w:tcW w:w="1605" w:type="dxa"/>
            <w:shd w:val="clear" w:color="auto" w:fill="auto"/>
          </w:tcPr>
          <w:p w14:paraId="5132505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-0.124(-1.426)</w:t>
            </w:r>
          </w:p>
        </w:tc>
        <w:tc>
          <w:tcPr>
            <w:tcW w:w="1606" w:type="dxa"/>
          </w:tcPr>
          <w:p w14:paraId="123FEFD2" w14:textId="77777777" w:rsidR="002E0FEA" w:rsidRPr="00A81A4F" w:rsidRDefault="002E0FEA" w:rsidP="00E539CE">
            <w:pPr>
              <w:spacing w:after="0" w:line="240" w:lineRule="auto"/>
              <w:jc w:val="center"/>
              <w:rPr>
                <w:sz w:val="20"/>
                <w:szCs w:val="20"/>
                <w:lang w:val="en-GB" w:eastAsia="en-US"/>
              </w:rPr>
            </w:pPr>
            <w:r w:rsidRPr="00A81A4F">
              <w:rPr>
                <w:sz w:val="20"/>
                <w:szCs w:val="20"/>
              </w:rPr>
              <w:t>-0.151(-1.753)†</w:t>
            </w:r>
          </w:p>
        </w:tc>
        <w:tc>
          <w:tcPr>
            <w:tcW w:w="1606" w:type="dxa"/>
            <w:shd w:val="clear" w:color="auto" w:fill="auto"/>
          </w:tcPr>
          <w:p w14:paraId="39E00E3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-0.210(-2.326)*</w:t>
            </w:r>
          </w:p>
        </w:tc>
      </w:tr>
      <w:tr w:rsidR="002E0FEA" w:rsidRPr="00A81A4F" w14:paraId="740CA450" w14:textId="77777777" w:rsidTr="00620CED">
        <w:tc>
          <w:tcPr>
            <w:tcW w:w="4253" w:type="dxa"/>
            <w:shd w:val="clear" w:color="auto" w:fill="auto"/>
          </w:tcPr>
          <w:p w14:paraId="4AAF7E3E"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Market Turbulence</w:t>
            </w:r>
          </w:p>
        </w:tc>
        <w:tc>
          <w:tcPr>
            <w:tcW w:w="1554" w:type="dxa"/>
            <w:shd w:val="clear" w:color="auto" w:fill="auto"/>
          </w:tcPr>
          <w:p w14:paraId="498ADF3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0.191(2.485)*</w:t>
            </w:r>
          </w:p>
        </w:tc>
        <w:tc>
          <w:tcPr>
            <w:tcW w:w="1657" w:type="dxa"/>
          </w:tcPr>
          <w:p w14:paraId="6FA176B9" w14:textId="77777777" w:rsidR="002E0FEA" w:rsidRPr="00A81A4F" w:rsidRDefault="002E0FEA" w:rsidP="00E539CE">
            <w:pPr>
              <w:spacing w:after="0" w:line="240" w:lineRule="auto"/>
              <w:jc w:val="center"/>
              <w:rPr>
                <w:sz w:val="20"/>
                <w:szCs w:val="20"/>
                <w:lang w:val="en-GB" w:eastAsia="en-US"/>
              </w:rPr>
            </w:pPr>
            <w:r w:rsidRPr="00A81A4F">
              <w:rPr>
                <w:sz w:val="20"/>
                <w:szCs w:val="20"/>
              </w:rPr>
              <w:t>0.070(0.917)</w:t>
            </w:r>
          </w:p>
        </w:tc>
        <w:tc>
          <w:tcPr>
            <w:tcW w:w="1606" w:type="dxa"/>
            <w:shd w:val="clear" w:color="auto" w:fill="auto"/>
          </w:tcPr>
          <w:p w14:paraId="2054973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0.074(0.954)</w:t>
            </w:r>
          </w:p>
        </w:tc>
        <w:tc>
          <w:tcPr>
            <w:tcW w:w="1605" w:type="dxa"/>
            <w:shd w:val="clear" w:color="auto" w:fill="auto"/>
          </w:tcPr>
          <w:p w14:paraId="6838C93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0.211(2.959)**</w:t>
            </w:r>
          </w:p>
        </w:tc>
        <w:tc>
          <w:tcPr>
            <w:tcW w:w="1606" w:type="dxa"/>
          </w:tcPr>
          <w:p w14:paraId="658BB5A4" w14:textId="77777777" w:rsidR="002E0FEA" w:rsidRPr="00A81A4F" w:rsidRDefault="002E0FEA" w:rsidP="00E539CE">
            <w:pPr>
              <w:spacing w:after="0" w:line="240" w:lineRule="auto"/>
              <w:jc w:val="center"/>
              <w:rPr>
                <w:sz w:val="20"/>
                <w:szCs w:val="20"/>
                <w:lang w:val="en-GB" w:eastAsia="en-US"/>
              </w:rPr>
            </w:pPr>
            <w:r w:rsidRPr="00A81A4F">
              <w:rPr>
                <w:sz w:val="20"/>
                <w:szCs w:val="20"/>
              </w:rPr>
              <w:t>0.177(2.481)*</w:t>
            </w:r>
          </w:p>
        </w:tc>
        <w:tc>
          <w:tcPr>
            <w:tcW w:w="1606" w:type="dxa"/>
            <w:shd w:val="clear" w:color="auto" w:fill="auto"/>
          </w:tcPr>
          <w:p w14:paraId="3BC4480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0.131(1.849)†</w:t>
            </w:r>
          </w:p>
        </w:tc>
      </w:tr>
      <w:tr w:rsidR="002E0FEA" w:rsidRPr="00A81A4F" w14:paraId="6A4B2067" w14:textId="77777777" w:rsidTr="00620CED">
        <w:tc>
          <w:tcPr>
            <w:tcW w:w="4253" w:type="dxa"/>
            <w:shd w:val="clear" w:color="auto" w:fill="auto"/>
          </w:tcPr>
          <w:p w14:paraId="2408747F" w14:textId="77777777" w:rsidR="002E0FEA" w:rsidRPr="00A81A4F" w:rsidRDefault="002E0FEA" w:rsidP="00E539CE">
            <w:pPr>
              <w:spacing w:after="0" w:line="240" w:lineRule="auto"/>
              <w:jc w:val="center"/>
              <w:rPr>
                <w:b/>
                <w:sz w:val="20"/>
                <w:szCs w:val="20"/>
                <w:lang w:val="en-GB" w:eastAsia="en-US"/>
              </w:rPr>
            </w:pPr>
          </w:p>
        </w:tc>
        <w:tc>
          <w:tcPr>
            <w:tcW w:w="1554" w:type="dxa"/>
            <w:shd w:val="clear" w:color="auto" w:fill="auto"/>
          </w:tcPr>
          <w:p w14:paraId="7369E11C" w14:textId="77777777" w:rsidR="002E0FEA" w:rsidRPr="00A81A4F" w:rsidRDefault="002E0FEA" w:rsidP="00E539CE">
            <w:pPr>
              <w:spacing w:after="0" w:line="240" w:lineRule="auto"/>
              <w:jc w:val="center"/>
              <w:rPr>
                <w:sz w:val="20"/>
                <w:szCs w:val="20"/>
                <w:lang w:val="en-GB" w:eastAsia="en-US"/>
              </w:rPr>
            </w:pPr>
          </w:p>
        </w:tc>
        <w:tc>
          <w:tcPr>
            <w:tcW w:w="1657" w:type="dxa"/>
          </w:tcPr>
          <w:p w14:paraId="3FEDD91F"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22AF4E1C" w14:textId="77777777" w:rsidR="002E0FEA" w:rsidRPr="00A81A4F" w:rsidRDefault="002E0FEA" w:rsidP="00E539CE">
            <w:pPr>
              <w:spacing w:after="0" w:line="240" w:lineRule="auto"/>
              <w:jc w:val="center"/>
              <w:rPr>
                <w:sz w:val="20"/>
                <w:szCs w:val="20"/>
                <w:lang w:val="en-GB" w:eastAsia="en-US"/>
              </w:rPr>
            </w:pPr>
          </w:p>
        </w:tc>
        <w:tc>
          <w:tcPr>
            <w:tcW w:w="1605" w:type="dxa"/>
            <w:shd w:val="clear" w:color="auto" w:fill="auto"/>
          </w:tcPr>
          <w:p w14:paraId="3A544577" w14:textId="77777777" w:rsidR="002E0FEA" w:rsidRPr="00A81A4F" w:rsidRDefault="002E0FEA" w:rsidP="00E539CE">
            <w:pPr>
              <w:spacing w:after="0" w:line="240" w:lineRule="auto"/>
              <w:jc w:val="center"/>
              <w:rPr>
                <w:sz w:val="20"/>
                <w:szCs w:val="20"/>
                <w:lang w:val="en-GB" w:eastAsia="en-US"/>
              </w:rPr>
            </w:pPr>
          </w:p>
        </w:tc>
        <w:tc>
          <w:tcPr>
            <w:tcW w:w="1606" w:type="dxa"/>
          </w:tcPr>
          <w:p w14:paraId="4DF9B009"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7EE31FE2" w14:textId="77777777" w:rsidR="002E0FEA" w:rsidRPr="00A81A4F" w:rsidRDefault="002E0FEA" w:rsidP="00E539CE">
            <w:pPr>
              <w:spacing w:after="0" w:line="240" w:lineRule="auto"/>
              <w:jc w:val="center"/>
              <w:rPr>
                <w:sz w:val="20"/>
                <w:szCs w:val="20"/>
                <w:lang w:val="en-GB" w:eastAsia="en-US"/>
              </w:rPr>
            </w:pPr>
          </w:p>
        </w:tc>
      </w:tr>
      <w:tr w:rsidR="002E0FEA" w:rsidRPr="00A81A4F" w14:paraId="506AFF4A" w14:textId="77777777" w:rsidTr="00620CED">
        <w:tc>
          <w:tcPr>
            <w:tcW w:w="4253" w:type="dxa"/>
            <w:shd w:val="clear" w:color="auto" w:fill="auto"/>
          </w:tcPr>
          <w:p w14:paraId="5F2700A2"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Independent Variables</w:t>
            </w:r>
          </w:p>
        </w:tc>
        <w:tc>
          <w:tcPr>
            <w:tcW w:w="1554" w:type="dxa"/>
            <w:shd w:val="clear" w:color="auto" w:fill="auto"/>
          </w:tcPr>
          <w:p w14:paraId="7650324C" w14:textId="77777777" w:rsidR="002E0FEA" w:rsidRPr="00A81A4F" w:rsidRDefault="002E0FEA" w:rsidP="00E539CE">
            <w:pPr>
              <w:spacing w:after="0" w:line="240" w:lineRule="auto"/>
              <w:jc w:val="both"/>
              <w:rPr>
                <w:b/>
                <w:sz w:val="20"/>
                <w:szCs w:val="20"/>
                <w:lang w:val="en-GB" w:eastAsia="en-US"/>
              </w:rPr>
            </w:pPr>
          </w:p>
        </w:tc>
        <w:tc>
          <w:tcPr>
            <w:tcW w:w="1657" w:type="dxa"/>
          </w:tcPr>
          <w:p w14:paraId="7DA67994"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76931939" w14:textId="77777777" w:rsidR="002E0FEA" w:rsidRPr="00A81A4F" w:rsidRDefault="002E0FEA" w:rsidP="00E539CE">
            <w:pPr>
              <w:spacing w:after="0" w:line="240" w:lineRule="auto"/>
              <w:jc w:val="center"/>
              <w:rPr>
                <w:sz w:val="20"/>
                <w:szCs w:val="20"/>
                <w:lang w:val="en-GB" w:eastAsia="en-US"/>
              </w:rPr>
            </w:pPr>
          </w:p>
        </w:tc>
        <w:tc>
          <w:tcPr>
            <w:tcW w:w="1605" w:type="dxa"/>
            <w:shd w:val="clear" w:color="auto" w:fill="auto"/>
          </w:tcPr>
          <w:p w14:paraId="043BA6A8" w14:textId="77777777" w:rsidR="002E0FEA" w:rsidRPr="00A81A4F" w:rsidRDefault="002E0FEA" w:rsidP="00E539CE">
            <w:pPr>
              <w:spacing w:after="0" w:line="240" w:lineRule="auto"/>
              <w:jc w:val="both"/>
              <w:rPr>
                <w:b/>
                <w:sz w:val="20"/>
                <w:szCs w:val="20"/>
                <w:lang w:val="en-GB" w:eastAsia="en-US"/>
              </w:rPr>
            </w:pPr>
          </w:p>
        </w:tc>
        <w:tc>
          <w:tcPr>
            <w:tcW w:w="1606" w:type="dxa"/>
          </w:tcPr>
          <w:p w14:paraId="7F7533C0"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4E4F39D8" w14:textId="77777777" w:rsidR="002E0FEA" w:rsidRPr="00A81A4F" w:rsidRDefault="002E0FEA" w:rsidP="00E539CE">
            <w:pPr>
              <w:spacing w:after="0" w:line="240" w:lineRule="auto"/>
              <w:jc w:val="center"/>
              <w:rPr>
                <w:sz w:val="20"/>
                <w:szCs w:val="20"/>
                <w:lang w:val="en-GB" w:eastAsia="en-US"/>
              </w:rPr>
            </w:pPr>
          </w:p>
        </w:tc>
      </w:tr>
      <w:tr w:rsidR="002E0FEA" w:rsidRPr="00A81A4F" w14:paraId="22131A97" w14:textId="77777777" w:rsidTr="00620CED">
        <w:tc>
          <w:tcPr>
            <w:tcW w:w="4253" w:type="dxa"/>
            <w:shd w:val="clear" w:color="auto" w:fill="auto"/>
          </w:tcPr>
          <w:p w14:paraId="33D0A255" w14:textId="77777777" w:rsidR="002E0FEA" w:rsidRPr="00A81A4F" w:rsidRDefault="002E0FEA" w:rsidP="00E539CE">
            <w:pPr>
              <w:spacing w:after="0" w:line="240" w:lineRule="auto"/>
              <w:jc w:val="both"/>
              <w:rPr>
                <w:b/>
                <w:sz w:val="20"/>
                <w:szCs w:val="20"/>
                <w:lang w:val="en-GB" w:eastAsia="en-US"/>
              </w:rPr>
            </w:pPr>
            <w:r w:rsidRPr="00A81A4F">
              <w:rPr>
                <w:sz w:val="20"/>
                <w:szCs w:val="20"/>
                <w:lang w:val="en-GB" w:eastAsia="en-US"/>
              </w:rPr>
              <w:t>Proactive Environmental Strategy (PES)</w:t>
            </w:r>
          </w:p>
        </w:tc>
        <w:tc>
          <w:tcPr>
            <w:tcW w:w="1554" w:type="dxa"/>
            <w:shd w:val="clear" w:color="auto" w:fill="auto"/>
          </w:tcPr>
          <w:p w14:paraId="65F078A9" w14:textId="77777777" w:rsidR="002E0FEA" w:rsidRPr="00A81A4F" w:rsidRDefault="002E0FEA" w:rsidP="00E539CE">
            <w:pPr>
              <w:spacing w:after="0" w:line="240" w:lineRule="auto"/>
              <w:jc w:val="center"/>
              <w:rPr>
                <w:b/>
                <w:sz w:val="20"/>
                <w:szCs w:val="20"/>
                <w:lang w:val="en-GB" w:eastAsia="en-US"/>
              </w:rPr>
            </w:pPr>
            <w:r w:rsidRPr="00A81A4F">
              <w:rPr>
                <w:sz w:val="20"/>
                <w:szCs w:val="20"/>
                <w:lang w:val="en-GB" w:eastAsia="en-US"/>
              </w:rPr>
              <w:t>0.217(2.139)*</w:t>
            </w:r>
          </w:p>
        </w:tc>
        <w:tc>
          <w:tcPr>
            <w:tcW w:w="1657" w:type="dxa"/>
          </w:tcPr>
          <w:p w14:paraId="5551C6CE" w14:textId="77777777" w:rsidR="002E0FEA" w:rsidRPr="00A81A4F" w:rsidRDefault="002E0FEA" w:rsidP="00E539CE">
            <w:pPr>
              <w:spacing w:after="0" w:line="240" w:lineRule="auto"/>
              <w:jc w:val="center"/>
              <w:rPr>
                <w:sz w:val="20"/>
                <w:szCs w:val="20"/>
                <w:lang w:val="en-GB" w:eastAsia="en-US"/>
              </w:rPr>
            </w:pPr>
            <w:r w:rsidRPr="00A81A4F">
              <w:rPr>
                <w:sz w:val="20"/>
                <w:szCs w:val="20"/>
              </w:rPr>
              <w:t>0.246(1.877)†</w:t>
            </w:r>
          </w:p>
        </w:tc>
        <w:tc>
          <w:tcPr>
            <w:tcW w:w="1606" w:type="dxa"/>
            <w:shd w:val="clear" w:color="auto" w:fill="auto"/>
          </w:tcPr>
          <w:p w14:paraId="3D44BDC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0.331(2.082)*</w:t>
            </w:r>
          </w:p>
        </w:tc>
        <w:tc>
          <w:tcPr>
            <w:tcW w:w="1605" w:type="dxa"/>
            <w:shd w:val="clear" w:color="auto" w:fill="auto"/>
          </w:tcPr>
          <w:p w14:paraId="113064B1" w14:textId="77777777" w:rsidR="002E0FEA" w:rsidRPr="00A81A4F" w:rsidRDefault="002E0FEA" w:rsidP="00E539CE">
            <w:pPr>
              <w:spacing w:after="0" w:line="240" w:lineRule="auto"/>
              <w:jc w:val="center"/>
              <w:rPr>
                <w:b/>
                <w:sz w:val="20"/>
                <w:szCs w:val="20"/>
                <w:lang w:val="en-GB" w:eastAsia="en-US"/>
              </w:rPr>
            </w:pPr>
            <w:r w:rsidRPr="00A81A4F">
              <w:rPr>
                <w:sz w:val="20"/>
                <w:szCs w:val="20"/>
                <w:lang w:val="en-GB" w:eastAsia="en-US"/>
              </w:rPr>
              <w:t>0.214(2.278)*</w:t>
            </w:r>
          </w:p>
        </w:tc>
        <w:tc>
          <w:tcPr>
            <w:tcW w:w="1606" w:type="dxa"/>
          </w:tcPr>
          <w:p w14:paraId="08938A09" w14:textId="77777777" w:rsidR="002E0FEA" w:rsidRPr="00A81A4F" w:rsidRDefault="002E0FEA" w:rsidP="00E539CE">
            <w:pPr>
              <w:spacing w:after="0" w:line="240" w:lineRule="auto"/>
              <w:jc w:val="center"/>
              <w:rPr>
                <w:sz w:val="20"/>
                <w:szCs w:val="20"/>
                <w:lang w:val="en-GB" w:eastAsia="en-US"/>
              </w:rPr>
            </w:pPr>
            <w:r w:rsidRPr="00A81A4F">
              <w:rPr>
                <w:sz w:val="20"/>
                <w:szCs w:val="20"/>
              </w:rPr>
              <w:t>0.229(1.735)†</w:t>
            </w:r>
          </w:p>
        </w:tc>
        <w:tc>
          <w:tcPr>
            <w:tcW w:w="1606" w:type="dxa"/>
            <w:shd w:val="clear" w:color="auto" w:fill="auto"/>
          </w:tcPr>
          <w:p w14:paraId="1F23236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0.401(2.763)**</w:t>
            </w:r>
          </w:p>
        </w:tc>
      </w:tr>
      <w:tr w:rsidR="002E0FEA" w:rsidRPr="00A81A4F" w14:paraId="37DCF427" w14:textId="77777777" w:rsidTr="00620CED">
        <w:tc>
          <w:tcPr>
            <w:tcW w:w="4253" w:type="dxa"/>
            <w:shd w:val="clear" w:color="auto" w:fill="auto"/>
          </w:tcPr>
          <w:p w14:paraId="51EFCE59" w14:textId="77777777" w:rsidR="002E0FEA" w:rsidRPr="00A81A4F" w:rsidRDefault="002E0FEA" w:rsidP="00E539CE">
            <w:pPr>
              <w:spacing w:after="0" w:line="240" w:lineRule="auto"/>
              <w:jc w:val="center"/>
              <w:rPr>
                <w:b/>
                <w:sz w:val="20"/>
                <w:szCs w:val="20"/>
                <w:lang w:val="en-GB" w:eastAsia="en-US"/>
              </w:rPr>
            </w:pPr>
          </w:p>
        </w:tc>
        <w:tc>
          <w:tcPr>
            <w:tcW w:w="1554" w:type="dxa"/>
            <w:shd w:val="clear" w:color="auto" w:fill="auto"/>
          </w:tcPr>
          <w:p w14:paraId="77CC0EB6" w14:textId="77777777" w:rsidR="002E0FEA" w:rsidRPr="00A81A4F" w:rsidRDefault="002E0FEA" w:rsidP="00E539CE">
            <w:pPr>
              <w:spacing w:after="0" w:line="240" w:lineRule="auto"/>
              <w:jc w:val="both"/>
              <w:rPr>
                <w:b/>
                <w:sz w:val="20"/>
                <w:szCs w:val="20"/>
                <w:lang w:val="en-GB" w:eastAsia="en-US"/>
              </w:rPr>
            </w:pPr>
          </w:p>
        </w:tc>
        <w:tc>
          <w:tcPr>
            <w:tcW w:w="1657" w:type="dxa"/>
          </w:tcPr>
          <w:p w14:paraId="6A5D48E9"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17C308F6" w14:textId="77777777" w:rsidR="002E0FEA" w:rsidRPr="00A81A4F" w:rsidRDefault="002E0FEA" w:rsidP="00E539CE">
            <w:pPr>
              <w:spacing w:after="0" w:line="240" w:lineRule="auto"/>
              <w:jc w:val="center"/>
              <w:rPr>
                <w:sz w:val="20"/>
                <w:szCs w:val="20"/>
                <w:lang w:val="en-GB" w:eastAsia="en-US"/>
              </w:rPr>
            </w:pPr>
          </w:p>
        </w:tc>
        <w:tc>
          <w:tcPr>
            <w:tcW w:w="1605" w:type="dxa"/>
            <w:shd w:val="clear" w:color="auto" w:fill="auto"/>
          </w:tcPr>
          <w:p w14:paraId="303B7194" w14:textId="77777777" w:rsidR="002E0FEA" w:rsidRPr="00A81A4F" w:rsidRDefault="002E0FEA" w:rsidP="00E539CE">
            <w:pPr>
              <w:spacing w:after="0" w:line="240" w:lineRule="auto"/>
              <w:jc w:val="both"/>
              <w:rPr>
                <w:b/>
                <w:sz w:val="20"/>
                <w:szCs w:val="20"/>
                <w:lang w:val="en-GB" w:eastAsia="en-US"/>
              </w:rPr>
            </w:pPr>
          </w:p>
        </w:tc>
        <w:tc>
          <w:tcPr>
            <w:tcW w:w="1606" w:type="dxa"/>
          </w:tcPr>
          <w:p w14:paraId="7380F4AF"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3537C713" w14:textId="77777777" w:rsidR="002E0FEA" w:rsidRPr="00A81A4F" w:rsidRDefault="002E0FEA" w:rsidP="00E539CE">
            <w:pPr>
              <w:spacing w:after="0" w:line="240" w:lineRule="auto"/>
              <w:jc w:val="center"/>
              <w:rPr>
                <w:sz w:val="20"/>
                <w:szCs w:val="20"/>
                <w:lang w:val="en-GB" w:eastAsia="en-US"/>
              </w:rPr>
            </w:pPr>
          </w:p>
        </w:tc>
      </w:tr>
      <w:tr w:rsidR="002E0FEA" w:rsidRPr="00A81A4F" w14:paraId="14061300" w14:textId="77777777" w:rsidTr="00620CED">
        <w:tc>
          <w:tcPr>
            <w:tcW w:w="4253" w:type="dxa"/>
            <w:shd w:val="clear" w:color="auto" w:fill="auto"/>
          </w:tcPr>
          <w:p w14:paraId="328F4440"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Moderator</w:t>
            </w:r>
          </w:p>
        </w:tc>
        <w:tc>
          <w:tcPr>
            <w:tcW w:w="1554" w:type="dxa"/>
            <w:shd w:val="clear" w:color="auto" w:fill="auto"/>
          </w:tcPr>
          <w:p w14:paraId="3D3A1B0D" w14:textId="77777777" w:rsidR="002E0FEA" w:rsidRPr="00A81A4F" w:rsidRDefault="002E0FEA" w:rsidP="00E539CE">
            <w:pPr>
              <w:spacing w:after="0" w:line="240" w:lineRule="auto"/>
              <w:jc w:val="both"/>
              <w:rPr>
                <w:b/>
                <w:sz w:val="20"/>
                <w:szCs w:val="20"/>
                <w:lang w:val="en-GB" w:eastAsia="en-US"/>
              </w:rPr>
            </w:pPr>
          </w:p>
        </w:tc>
        <w:tc>
          <w:tcPr>
            <w:tcW w:w="1657" w:type="dxa"/>
          </w:tcPr>
          <w:p w14:paraId="792C865B"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3C2B3996" w14:textId="77777777" w:rsidR="002E0FEA" w:rsidRPr="00A81A4F" w:rsidRDefault="002E0FEA" w:rsidP="00E539CE">
            <w:pPr>
              <w:spacing w:after="0" w:line="240" w:lineRule="auto"/>
              <w:jc w:val="center"/>
              <w:rPr>
                <w:sz w:val="20"/>
                <w:szCs w:val="20"/>
                <w:lang w:val="en-GB" w:eastAsia="en-US"/>
              </w:rPr>
            </w:pPr>
          </w:p>
        </w:tc>
        <w:tc>
          <w:tcPr>
            <w:tcW w:w="1605" w:type="dxa"/>
            <w:shd w:val="clear" w:color="auto" w:fill="auto"/>
          </w:tcPr>
          <w:p w14:paraId="614CF1F4" w14:textId="77777777" w:rsidR="002E0FEA" w:rsidRPr="00A81A4F" w:rsidRDefault="002E0FEA" w:rsidP="00E539CE">
            <w:pPr>
              <w:spacing w:after="0" w:line="240" w:lineRule="auto"/>
              <w:jc w:val="both"/>
              <w:rPr>
                <w:b/>
                <w:sz w:val="20"/>
                <w:szCs w:val="20"/>
                <w:lang w:val="en-GB" w:eastAsia="en-US"/>
              </w:rPr>
            </w:pPr>
          </w:p>
        </w:tc>
        <w:tc>
          <w:tcPr>
            <w:tcW w:w="1606" w:type="dxa"/>
          </w:tcPr>
          <w:p w14:paraId="5FEAFBE6"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54CE93B9" w14:textId="77777777" w:rsidR="002E0FEA" w:rsidRPr="00A81A4F" w:rsidRDefault="002E0FEA" w:rsidP="00E539CE">
            <w:pPr>
              <w:spacing w:after="0" w:line="240" w:lineRule="auto"/>
              <w:jc w:val="center"/>
              <w:rPr>
                <w:sz w:val="20"/>
                <w:szCs w:val="20"/>
                <w:lang w:val="en-GB" w:eastAsia="en-US"/>
              </w:rPr>
            </w:pPr>
          </w:p>
        </w:tc>
      </w:tr>
      <w:tr w:rsidR="002E0FEA" w:rsidRPr="00A81A4F" w14:paraId="23CFD064" w14:textId="77777777" w:rsidTr="00620CED">
        <w:tc>
          <w:tcPr>
            <w:tcW w:w="4253" w:type="dxa"/>
            <w:shd w:val="clear" w:color="auto" w:fill="auto"/>
          </w:tcPr>
          <w:p w14:paraId="4813A4F7"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 xml:space="preserve">Foreign Environmental Regulatory Pressure (ERP) </w:t>
            </w:r>
          </w:p>
        </w:tc>
        <w:tc>
          <w:tcPr>
            <w:tcW w:w="1554" w:type="dxa"/>
            <w:shd w:val="clear" w:color="auto" w:fill="auto"/>
          </w:tcPr>
          <w:p w14:paraId="34AC79E3" w14:textId="77777777" w:rsidR="002E0FEA" w:rsidRPr="00A81A4F" w:rsidRDefault="002E0FEA" w:rsidP="00E539CE">
            <w:pPr>
              <w:spacing w:after="0" w:line="240" w:lineRule="auto"/>
              <w:jc w:val="both"/>
              <w:rPr>
                <w:b/>
                <w:sz w:val="20"/>
                <w:szCs w:val="20"/>
                <w:lang w:val="en-GB" w:eastAsia="en-US"/>
              </w:rPr>
            </w:pPr>
          </w:p>
        </w:tc>
        <w:tc>
          <w:tcPr>
            <w:tcW w:w="1657" w:type="dxa"/>
          </w:tcPr>
          <w:p w14:paraId="57CCD15B" w14:textId="77777777" w:rsidR="002E0FEA" w:rsidRPr="00A81A4F" w:rsidRDefault="002E0FEA" w:rsidP="00E539CE">
            <w:pPr>
              <w:spacing w:after="0" w:line="240" w:lineRule="auto"/>
              <w:jc w:val="center"/>
              <w:rPr>
                <w:sz w:val="20"/>
                <w:szCs w:val="20"/>
                <w:lang w:val="en-GB" w:eastAsia="en-US"/>
              </w:rPr>
            </w:pPr>
            <w:r w:rsidRPr="00A81A4F">
              <w:rPr>
                <w:sz w:val="20"/>
                <w:szCs w:val="20"/>
              </w:rPr>
              <w:t>0.367(2.597)*</w:t>
            </w:r>
          </w:p>
        </w:tc>
        <w:tc>
          <w:tcPr>
            <w:tcW w:w="1606" w:type="dxa"/>
            <w:shd w:val="clear" w:color="auto" w:fill="auto"/>
          </w:tcPr>
          <w:p w14:paraId="67886C5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0.370(2.526)*</w:t>
            </w:r>
          </w:p>
        </w:tc>
        <w:tc>
          <w:tcPr>
            <w:tcW w:w="1605" w:type="dxa"/>
            <w:shd w:val="clear" w:color="auto" w:fill="auto"/>
          </w:tcPr>
          <w:p w14:paraId="77B249F5" w14:textId="77777777" w:rsidR="002E0FEA" w:rsidRPr="00A81A4F" w:rsidRDefault="002E0FEA" w:rsidP="00E539CE">
            <w:pPr>
              <w:spacing w:after="0" w:line="240" w:lineRule="auto"/>
              <w:jc w:val="both"/>
              <w:rPr>
                <w:b/>
                <w:sz w:val="20"/>
                <w:szCs w:val="20"/>
                <w:lang w:val="en-GB" w:eastAsia="en-US"/>
              </w:rPr>
            </w:pPr>
          </w:p>
        </w:tc>
        <w:tc>
          <w:tcPr>
            <w:tcW w:w="1606" w:type="dxa"/>
          </w:tcPr>
          <w:p w14:paraId="0DCC26DB"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6BFB53E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0.050(0.370)</w:t>
            </w:r>
          </w:p>
        </w:tc>
      </w:tr>
      <w:tr w:rsidR="002E0FEA" w:rsidRPr="00A81A4F" w14:paraId="4F7FAD6F" w14:textId="77777777" w:rsidTr="00620CED">
        <w:tc>
          <w:tcPr>
            <w:tcW w:w="4253" w:type="dxa"/>
            <w:shd w:val="clear" w:color="auto" w:fill="auto"/>
          </w:tcPr>
          <w:p w14:paraId="767A5AC6"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Foreign ERP</w:t>
            </w:r>
            <w:r w:rsidRPr="00A81A4F">
              <w:rPr>
                <w:sz w:val="20"/>
                <w:szCs w:val="20"/>
                <w:vertAlign w:val="superscript"/>
                <w:lang w:val="en-GB" w:eastAsia="en-US"/>
              </w:rPr>
              <w:t>2</w:t>
            </w:r>
            <w:r w:rsidRPr="00A81A4F">
              <w:rPr>
                <w:sz w:val="20"/>
                <w:szCs w:val="20"/>
                <w:lang w:val="en-GB" w:eastAsia="en-US"/>
              </w:rPr>
              <w:t xml:space="preserve"> </w:t>
            </w:r>
          </w:p>
        </w:tc>
        <w:tc>
          <w:tcPr>
            <w:tcW w:w="1554" w:type="dxa"/>
            <w:shd w:val="clear" w:color="auto" w:fill="auto"/>
          </w:tcPr>
          <w:p w14:paraId="4EF964F3" w14:textId="77777777" w:rsidR="002E0FEA" w:rsidRPr="00A81A4F" w:rsidRDefault="002E0FEA" w:rsidP="00E539CE">
            <w:pPr>
              <w:spacing w:after="0" w:line="240" w:lineRule="auto"/>
              <w:jc w:val="both"/>
              <w:rPr>
                <w:b/>
                <w:sz w:val="20"/>
                <w:szCs w:val="20"/>
                <w:lang w:val="en-GB" w:eastAsia="en-US"/>
              </w:rPr>
            </w:pPr>
          </w:p>
        </w:tc>
        <w:tc>
          <w:tcPr>
            <w:tcW w:w="1657" w:type="dxa"/>
          </w:tcPr>
          <w:p w14:paraId="50A2A467" w14:textId="77777777" w:rsidR="002E0FEA" w:rsidRPr="00A81A4F" w:rsidRDefault="002E0FEA" w:rsidP="00E539CE">
            <w:pPr>
              <w:spacing w:after="0" w:line="240" w:lineRule="auto"/>
              <w:jc w:val="center"/>
              <w:rPr>
                <w:sz w:val="20"/>
                <w:szCs w:val="20"/>
                <w:lang w:val="en-GB" w:eastAsia="en-US"/>
              </w:rPr>
            </w:pPr>
            <w:r w:rsidRPr="00A81A4F">
              <w:rPr>
                <w:sz w:val="20"/>
                <w:szCs w:val="20"/>
              </w:rPr>
              <w:t>-0.039(-0.700)</w:t>
            </w:r>
          </w:p>
        </w:tc>
        <w:tc>
          <w:tcPr>
            <w:tcW w:w="1606" w:type="dxa"/>
            <w:shd w:val="clear" w:color="auto" w:fill="auto"/>
          </w:tcPr>
          <w:p w14:paraId="0A89F35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-0.014(-0.231)</w:t>
            </w:r>
          </w:p>
        </w:tc>
        <w:tc>
          <w:tcPr>
            <w:tcW w:w="1605" w:type="dxa"/>
            <w:shd w:val="clear" w:color="auto" w:fill="auto"/>
          </w:tcPr>
          <w:p w14:paraId="6949F87F" w14:textId="77777777" w:rsidR="002E0FEA" w:rsidRPr="00A81A4F" w:rsidRDefault="002E0FEA" w:rsidP="00E539CE">
            <w:pPr>
              <w:spacing w:after="0" w:line="240" w:lineRule="auto"/>
              <w:jc w:val="both"/>
              <w:rPr>
                <w:b/>
                <w:sz w:val="20"/>
                <w:szCs w:val="20"/>
                <w:lang w:val="en-GB" w:eastAsia="en-US"/>
              </w:rPr>
            </w:pPr>
          </w:p>
        </w:tc>
        <w:tc>
          <w:tcPr>
            <w:tcW w:w="1606" w:type="dxa"/>
          </w:tcPr>
          <w:p w14:paraId="55CF0570"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021089B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0.065(0.448)</w:t>
            </w:r>
          </w:p>
        </w:tc>
      </w:tr>
      <w:tr w:rsidR="002E0FEA" w:rsidRPr="00A81A4F" w14:paraId="7ED1A50B" w14:textId="77777777" w:rsidTr="00620CED">
        <w:tc>
          <w:tcPr>
            <w:tcW w:w="4253" w:type="dxa"/>
            <w:shd w:val="clear" w:color="auto" w:fill="auto"/>
          </w:tcPr>
          <w:p w14:paraId="702D5C82"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Foreign Environmental Customer Pressure (ECP)</w:t>
            </w:r>
          </w:p>
        </w:tc>
        <w:tc>
          <w:tcPr>
            <w:tcW w:w="1554" w:type="dxa"/>
            <w:shd w:val="clear" w:color="auto" w:fill="auto"/>
          </w:tcPr>
          <w:p w14:paraId="1742C843" w14:textId="77777777" w:rsidR="002E0FEA" w:rsidRPr="00A81A4F" w:rsidRDefault="002E0FEA" w:rsidP="00E539CE">
            <w:pPr>
              <w:spacing w:after="0" w:line="240" w:lineRule="auto"/>
              <w:jc w:val="both"/>
              <w:rPr>
                <w:b/>
                <w:sz w:val="20"/>
                <w:szCs w:val="20"/>
                <w:lang w:val="en-GB" w:eastAsia="en-US"/>
              </w:rPr>
            </w:pPr>
          </w:p>
        </w:tc>
        <w:tc>
          <w:tcPr>
            <w:tcW w:w="1657" w:type="dxa"/>
          </w:tcPr>
          <w:p w14:paraId="78096E81"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1CE1459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-0.003(-0.020)</w:t>
            </w:r>
          </w:p>
        </w:tc>
        <w:tc>
          <w:tcPr>
            <w:tcW w:w="1605" w:type="dxa"/>
            <w:shd w:val="clear" w:color="auto" w:fill="auto"/>
          </w:tcPr>
          <w:p w14:paraId="0937C671" w14:textId="77777777" w:rsidR="002E0FEA" w:rsidRPr="00A81A4F" w:rsidRDefault="002E0FEA" w:rsidP="00E539CE">
            <w:pPr>
              <w:spacing w:after="0" w:line="240" w:lineRule="auto"/>
              <w:jc w:val="both"/>
              <w:rPr>
                <w:b/>
                <w:sz w:val="20"/>
                <w:szCs w:val="20"/>
                <w:lang w:val="en-GB" w:eastAsia="en-US"/>
              </w:rPr>
            </w:pPr>
          </w:p>
        </w:tc>
        <w:tc>
          <w:tcPr>
            <w:tcW w:w="1606" w:type="dxa"/>
          </w:tcPr>
          <w:p w14:paraId="3BC497F2" w14:textId="77777777" w:rsidR="002E0FEA" w:rsidRPr="00A81A4F" w:rsidRDefault="002E0FEA" w:rsidP="00E539CE">
            <w:pPr>
              <w:spacing w:after="0" w:line="240" w:lineRule="auto"/>
              <w:jc w:val="center"/>
              <w:rPr>
                <w:sz w:val="20"/>
                <w:szCs w:val="20"/>
                <w:lang w:val="en-GB" w:eastAsia="en-US"/>
              </w:rPr>
            </w:pPr>
            <w:r w:rsidRPr="00A81A4F">
              <w:rPr>
                <w:sz w:val="20"/>
                <w:szCs w:val="20"/>
              </w:rPr>
              <w:t>0.189(1.327)</w:t>
            </w:r>
          </w:p>
        </w:tc>
        <w:tc>
          <w:tcPr>
            <w:tcW w:w="1606" w:type="dxa"/>
            <w:shd w:val="clear" w:color="auto" w:fill="auto"/>
          </w:tcPr>
          <w:p w14:paraId="0005EFE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-0.118(-2.143)*</w:t>
            </w:r>
          </w:p>
        </w:tc>
      </w:tr>
      <w:tr w:rsidR="002E0FEA" w:rsidRPr="00A81A4F" w14:paraId="6174FF63" w14:textId="77777777" w:rsidTr="00620CED">
        <w:tc>
          <w:tcPr>
            <w:tcW w:w="4253" w:type="dxa"/>
            <w:shd w:val="clear" w:color="auto" w:fill="auto"/>
          </w:tcPr>
          <w:p w14:paraId="4BB58A50"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Foreign ECP</w:t>
            </w:r>
            <w:r w:rsidRPr="00A81A4F">
              <w:rPr>
                <w:sz w:val="20"/>
                <w:szCs w:val="20"/>
                <w:vertAlign w:val="superscript"/>
                <w:lang w:val="en-GB" w:eastAsia="en-US"/>
              </w:rPr>
              <w:t>2</w:t>
            </w:r>
          </w:p>
        </w:tc>
        <w:tc>
          <w:tcPr>
            <w:tcW w:w="1554" w:type="dxa"/>
            <w:shd w:val="clear" w:color="auto" w:fill="auto"/>
          </w:tcPr>
          <w:p w14:paraId="0E87F54F" w14:textId="77777777" w:rsidR="002E0FEA" w:rsidRPr="00A81A4F" w:rsidRDefault="002E0FEA" w:rsidP="00E539CE">
            <w:pPr>
              <w:spacing w:after="0" w:line="240" w:lineRule="auto"/>
              <w:jc w:val="both"/>
              <w:rPr>
                <w:b/>
                <w:sz w:val="20"/>
                <w:szCs w:val="20"/>
                <w:lang w:val="en-GB" w:eastAsia="en-US"/>
              </w:rPr>
            </w:pPr>
          </w:p>
        </w:tc>
        <w:tc>
          <w:tcPr>
            <w:tcW w:w="1657" w:type="dxa"/>
          </w:tcPr>
          <w:p w14:paraId="10DA8DCD"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2B7EAA7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-0.168(-1.093)</w:t>
            </w:r>
          </w:p>
        </w:tc>
        <w:tc>
          <w:tcPr>
            <w:tcW w:w="1605" w:type="dxa"/>
            <w:shd w:val="clear" w:color="auto" w:fill="auto"/>
          </w:tcPr>
          <w:p w14:paraId="355F8661" w14:textId="77777777" w:rsidR="002E0FEA" w:rsidRPr="00A81A4F" w:rsidRDefault="002E0FEA" w:rsidP="00E539CE">
            <w:pPr>
              <w:spacing w:after="0" w:line="240" w:lineRule="auto"/>
              <w:jc w:val="both"/>
              <w:rPr>
                <w:b/>
                <w:sz w:val="20"/>
                <w:szCs w:val="20"/>
                <w:lang w:val="en-GB" w:eastAsia="en-US"/>
              </w:rPr>
            </w:pPr>
          </w:p>
        </w:tc>
        <w:tc>
          <w:tcPr>
            <w:tcW w:w="1606" w:type="dxa"/>
          </w:tcPr>
          <w:p w14:paraId="2CB31294" w14:textId="77777777" w:rsidR="002E0FEA" w:rsidRPr="00A81A4F" w:rsidRDefault="002E0FEA" w:rsidP="00E539CE">
            <w:pPr>
              <w:spacing w:after="0" w:line="240" w:lineRule="auto"/>
              <w:jc w:val="center"/>
              <w:rPr>
                <w:sz w:val="20"/>
                <w:szCs w:val="20"/>
                <w:lang w:val="en-GB" w:eastAsia="en-US"/>
              </w:rPr>
            </w:pPr>
            <w:r w:rsidRPr="00A81A4F">
              <w:rPr>
                <w:sz w:val="20"/>
                <w:szCs w:val="20"/>
              </w:rPr>
              <w:t>-0.373(-2.998)**</w:t>
            </w:r>
          </w:p>
        </w:tc>
        <w:tc>
          <w:tcPr>
            <w:tcW w:w="1606" w:type="dxa"/>
            <w:shd w:val="clear" w:color="auto" w:fill="auto"/>
          </w:tcPr>
          <w:p w14:paraId="6CDC7B5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-0.101(-0.718)</w:t>
            </w:r>
          </w:p>
        </w:tc>
      </w:tr>
      <w:tr w:rsidR="002E0FEA" w:rsidRPr="00A81A4F" w14:paraId="648452F9" w14:textId="77777777" w:rsidTr="00620CED">
        <w:tc>
          <w:tcPr>
            <w:tcW w:w="4253" w:type="dxa"/>
            <w:shd w:val="clear" w:color="auto" w:fill="auto"/>
          </w:tcPr>
          <w:p w14:paraId="6076751F" w14:textId="77777777" w:rsidR="002E0FEA" w:rsidRPr="00A81A4F" w:rsidRDefault="002E0FEA" w:rsidP="00E539CE">
            <w:pPr>
              <w:spacing w:after="0" w:line="240" w:lineRule="auto"/>
              <w:jc w:val="center"/>
              <w:rPr>
                <w:b/>
                <w:sz w:val="20"/>
                <w:szCs w:val="20"/>
                <w:lang w:val="en-GB" w:eastAsia="en-US"/>
              </w:rPr>
            </w:pPr>
          </w:p>
        </w:tc>
        <w:tc>
          <w:tcPr>
            <w:tcW w:w="1554" w:type="dxa"/>
            <w:shd w:val="clear" w:color="auto" w:fill="auto"/>
          </w:tcPr>
          <w:p w14:paraId="3B77FF47" w14:textId="77777777" w:rsidR="002E0FEA" w:rsidRPr="00A81A4F" w:rsidRDefault="002E0FEA" w:rsidP="00E539CE">
            <w:pPr>
              <w:spacing w:after="0" w:line="240" w:lineRule="auto"/>
              <w:jc w:val="both"/>
              <w:rPr>
                <w:b/>
                <w:sz w:val="20"/>
                <w:szCs w:val="20"/>
                <w:lang w:val="en-GB" w:eastAsia="en-US"/>
              </w:rPr>
            </w:pPr>
          </w:p>
        </w:tc>
        <w:tc>
          <w:tcPr>
            <w:tcW w:w="1657" w:type="dxa"/>
          </w:tcPr>
          <w:p w14:paraId="0589188B" w14:textId="77777777" w:rsidR="002E0FEA" w:rsidRPr="00A81A4F" w:rsidRDefault="002E0FEA" w:rsidP="00E539CE">
            <w:pPr>
              <w:spacing w:after="0" w:line="240" w:lineRule="auto"/>
              <w:jc w:val="both"/>
              <w:rPr>
                <w:b/>
                <w:sz w:val="20"/>
                <w:szCs w:val="20"/>
                <w:lang w:val="en-GB" w:eastAsia="en-US"/>
              </w:rPr>
            </w:pPr>
          </w:p>
        </w:tc>
        <w:tc>
          <w:tcPr>
            <w:tcW w:w="1606" w:type="dxa"/>
            <w:shd w:val="clear" w:color="auto" w:fill="auto"/>
          </w:tcPr>
          <w:p w14:paraId="777F467D" w14:textId="77777777" w:rsidR="002E0FEA" w:rsidRPr="00A81A4F" w:rsidRDefault="002E0FEA" w:rsidP="00E539CE">
            <w:pPr>
              <w:spacing w:after="0" w:line="240" w:lineRule="auto"/>
              <w:jc w:val="both"/>
              <w:rPr>
                <w:b/>
                <w:sz w:val="20"/>
                <w:szCs w:val="20"/>
                <w:lang w:val="en-GB" w:eastAsia="en-US"/>
              </w:rPr>
            </w:pPr>
          </w:p>
        </w:tc>
        <w:tc>
          <w:tcPr>
            <w:tcW w:w="1605" w:type="dxa"/>
            <w:shd w:val="clear" w:color="auto" w:fill="auto"/>
          </w:tcPr>
          <w:p w14:paraId="68C019E0" w14:textId="77777777" w:rsidR="002E0FEA" w:rsidRPr="00A81A4F" w:rsidRDefault="002E0FEA" w:rsidP="00E539CE">
            <w:pPr>
              <w:spacing w:after="0" w:line="240" w:lineRule="auto"/>
              <w:jc w:val="both"/>
              <w:rPr>
                <w:b/>
                <w:sz w:val="20"/>
                <w:szCs w:val="20"/>
                <w:lang w:val="en-GB" w:eastAsia="en-US"/>
              </w:rPr>
            </w:pPr>
          </w:p>
        </w:tc>
        <w:tc>
          <w:tcPr>
            <w:tcW w:w="1606" w:type="dxa"/>
          </w:tcPr>
          <w:p w14:paraId="2CAD98F1" w14:textId="77777777" w:rsidR="002E0FEA" w:rsidRPr="00A81A4F" w:rsidRDefault="002E0FEA" w:rsidP="00E539CE">
            <w:pPr>
              <w:spacing w:after="0" w:line="240" w:lineRule="auto"/>
              <w:jc w:val="both"/>
              <w:rPr>
                <w:b/>
                <w:sz w:val="20"/>
                <w:szCs w:val="20"/>
                <w:lang w:val="en-GB" w:eastAsia="en-US"/>
              </w:rPr>
            </w:pPr>
          </w:p>
        </w:tc>
        <w:tc>
          <w:tcPr>
            <w:tcW w:w="1606" w:type="dxa"/>
            <w:shd w:val="clear" w:color="auto" w:fill="auto"/>
          </w:tcPr>
          <w:p w14:paraId="1AD124FA" w14:textId="77777777" w:rsidR="002E0FEA" w:rsidRPr="00A81A4F" w:rsidRDefault="002E0FEA" w:rsidP="00E539CE">
            <w:pPr>
              <w:spacing w:after="0" w:line="240" w:lineRule="auto"/>
              <w:jc w:val="both"/>
              <w:rPr>
                <w:b/>
                <w:sz w:val="20"/>
                <w:szCs w:val="20"/>
                <w:lang w:val="en-GB" w:eastAsia="en-US"/>
              </w:rPr>
            </w:pPr>
          </w:p>
        </w:tc>
      </w:tr>
      <w:tr w:rsidR="002E0FEA" w:rsidRPr="00A81A4F" w14:paraId="5A59D26C" w14:textId="77777777" w:rsidTr="00620CED">
        <w:tc>
          <w:tcPr>
            <w:tcW w:w="4253" w:type="dxa"/>
            <w:shd w:val="clear" w:color="auto" w:fill="auto"/>
          </w:tcPr>
          <w:p w14:paraId="4370179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Interactions</w:t>
            </w:r>
          </w:p>
        </w:tc>
        <w:tc>
          <w:tcPr>
            <w:tcW w:w="1554" w:type="dxa"/>
            <w:shd w:val="clear" w:color="auto" w:fill="auto"/>
          </w:tcPr>
          <w:p w14:paraId="3E45BC5F" w14:textId="77777777" w:rsidR="002E0FEA" w:rsidRPr="00A81A4F" w:rsidRDefault="002E0FEA" w:rsidP="00E539CE">
            <w:pPr>
              <w:spacing w:after="0" w:line="240" w:lineRule="auto"/>
              <w:jc w:val="both"/>
              <w:rPr>
                <w:b/>
                <w:sz w:val="20"/>
                <w:szCs w:val="20"/>
                <w:lang w:val="en-GB" w:eastAsia="en-US"/>
              </w:rPr>
            </w:pPr>
          </w:p>
        </w:tc>
        <w:tc>
          <w:tcPr>
            <w:tcW w:w="1657" w:type="dxa"/>
          </w:tcPr>
          <w:p w14:paraId="14584B0D" w14:textId="77777777" w:rsidR="002E0FEA" w:rsidRPr="00A81A4F" w:rsidRDefault="002E0FEA" w:rsidP="00E539CE">
            <w:pPr>
              <w:spacing w:after="0" w:line="240" w:lineRule="auto"/>
              <w:jc w:val="both"/>
              <w:rPr>
                <w:b/>
                <w:sz w:val="20"/>
                <w:szCs w:val="20"/>
                <w:lang w:val="en-GB" w:eastAsia="en-US"/>
              </w:rPr>
            </w:pPr>
          </w:p>
        </w:tc>
        <w:tc>
          <w:tcPr>
            <w:tcW w:w="1606" w:type="dxa"/>
            <w:shd w:val="clear" w:color="auto" w:fill="auto"/>
          </w:tcPr>
          <w:p w14:paraId="1A43F097" w14:textId="77777777" w:rsidR="002E0FEA" w:rsidRPr="00A81A4F" w:rsidRDefault="002E0FEA" w:rsidP="00E539CE">
            <w:pPr>
              <w:spacing w:after="0" w:line="240" w:lineRule="auto"/>
              <w:jc w:val="both"/>
              <w:rPr>
                <w:b/>
                <w:sz w:val="20"/>
                <w:szCs w:val="20"/>
                <w:lang w:val="en-GB" w:eastAsia="en-US"/>
              </w:rPr>
            </w:pPr>
          </w:p>
        </w:tc>
        <w:tc>
          <w:tcPr>
            <w:tcW w:w="1605" w:type="dxa"/>
            <w:shd w:val="clear" w:color="auto" w:fill="auto"/>
          </w:tcPr>
          <w:p w14:paraId="3B71938B" w14:textId="77777777" w:rsidR="002E0FEA" w:rsidRPr="00A81A4F" w:rsidRDefault="002E0FEA" w:rsidP="00E539CE">
            <w:pPr>
              <w:spacing w:after="0" w:line="240" w:lineRule="auto"/>
              <w:jc w:val="both"/>
              <w:rPr>
                <w:b/>
                <w:sz w:val="20"/>
                <w:szCs w:val="20"/>
                <w:lang w:val="en-GB" w:eastAsia="en-US"/>
              </w:rPr>
            </w:pPr>
          </w:p>
        </w:tc>
        <w:tc>
          <w:tcPr>
            <w:tcW w:w="1606" w:type="dxa"/>
          </w:tcPr>
          <w:p w14:paraId="0F36084D" w14:textId="77777777" w:rsidR="002E0FEA" w:rsidRPr="00A81A4F" w:rsidRDefault="002E0FEA" w:rsidP="00E539CE">
            <w:pPr>
              <w:spacing w:after="0" w:line="240" w:lineRule="auto"/>
              <w:jc w:val="both"/>
              <w:rPr>
                <w:b/>
                <w:sz w:val="20"/>
                <w:szCs w:val="20"/>
                <w:lang w:val="en-GB" w:eastAsia="en-US"/>
              </w:rPr>
            </w:pPr>
          </w:p>
        </w:tc>
        <w:tc>
          <w:tcPr>
            <w:tcW w:w="1606" w:type="dxa"/>
            <w:shd w:val="clear" w:color="auto" w:fill="auto"/>
          </w:tcPr>
          <w:p w14:paraId="26E92C6B" w14:textId="77777777" w:rsidR="002E0FEA" w:rsidRPr="00A81A4F" w:rsidRDefault="002E0FEA" w:rsidP="00E539CE">
            <w:pPr>
              <w:spacing w:after="0" w:line="240" w:lineRule="auto"/>
              <w:jc w:val="both"/>
              <w:rPr>
                <w:b/>
                <w:sz w:val="20"/>
                <w:szCs w:val="20"/>
                <w:lang w:val="en-GB" w:eastAsia="en-US"/>
              </w:rPr>
            </w:pPr>
          </w:p>
        </w:tc>
      </w:tr>
      <w:tr w:rsidR="002E0FEA" w:rsidRPr="00A81A4F" w14:paraId="703C2E0A" w14:textId="77777777" w:rsidTr="00620CED">
        <w:tc>
          <w:tcPr>
            <w:tcW w:w="4253" w:type="dxa"/>
            <w:shd w:val="clear" w:color="auto" w:fill="auto"/>
          </w:tcPr>
          <w:p w14:paraId="42EA5300"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ERP</w:t>
            </w:r>
          </w:p>
        </w:tc>
        <w:tc>
          <w:tcPr>
            <w:tcW w:w="1554" w:type="dxa"/>
            <w:shd w:val="clear" w:color="auto" w:fill="auto"/>
          </w:tcPr>
          <w:p w14:paraId="327EF1B4" w14:textId="77777777" w:rsidR="002E0FEA" w:rsidRPr="00A81A4F" w:rsidRDefault="002E0FEA" w:rsidP="00E539CE">
            <w:pPr>
              <w:spacing w:after="0" w:line="240" w:lineRule="auto"/>
              <w:jc w:val="both"/>
              <w:rPr>
                <w:sz w:val="20"/>
                <w:szCs w:val="20"/>
                <w:lang w:val="en-GB" w:eastAsia="en-US"/>
              </w:rPr>
            </w:pPr>
          </w:p>
        </w:tc>
        <w:tc>
          <w:tcPr>
            <w:tcW w:w="1657" w:type="dxa"/>
          </w:tcPr>
          <w:p w14:paraId="4B0B63E7" w14:textId="77777777" w:rsidR="002E0FEA" w:rsidRPr="00A81A4F" w:rsidRDefault="002E0FEA" w:rsidP="00E539CE">
            <w:pPr>
              <w:spacing w:after="0" w:line="240" w:lineRule="auto"/>
              <w:jc w:val="center"/>
              <w:rPr>
                <w:sz w:val="20"/>
                <w:szCs w:val="20"/>
                <w:lang w:val="en-GB" w:eastAsia="en-US"/>
              </w:rPr>
            </w:pPr>
            <w:r w:rsidRPr="00A81A4F">
              <w:rPr>
                <w:sz w:val="20"/>
                <w:szCs w:val="20"/>
              </w:rPr>
              <w:t>-0.255(-1.849)†</w:t>
            </w:r>
          </w:p>
        </w:tc>
        <w:tc>
          <w:tcPr>
            <w:tcW w:w="1606" w:type="dxa"/>
            <w:shd w:val="clear" w:color="auto" w:fill="auto"/>
          </w:tcPr>
          <w:p w14:paraId="0F0462C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-0.236(-1.384)</w:t>
            </w:r>
          </w:p>
        </w:tc>
        <w:tc>
          <w:tcPr>
            <w:tcW w:w="1605" w:type="dxa"/>
            <w:shd w:val="clear" w:color="auto" w:fill="auto"/>
          </w:tcPr>
          <w:p w14:paraId="364DEED7" w14:textId="77777777" w:rsidR="002E0FEA" w:rsidRPr="00A81A4F" w:rsidRDefault="002E0FEA" w:rsidP="00E539CE">
            <w:pPr>
              <w:spacing w:after="0" w:line="240" w:lineRule="auto"/>
              <w:jc w:val="center"/>
              <w:rPr>
                <w:rFonts w:cs="Calibri"/>
                <w:sz w:val="20"/>
                <w:szCs w:val="20"/>
                <w:lang w:val="en-GB" w:eastAsia="en-US"/>
              </w:rPr>
            </w:pPr>
          </w:p>
        </w:tc>
        <w:tc>
          <w:tcPr>
            <w:tcW w:w="1606" w:type="dxa"/>
          </w:tcPr>
          <w:p w14:paraId="66D08EB0"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69FED4F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0.182(1.166)</w:t>
            </w:r>
          </w:p>
        </w:tc>
      </w:tr>
      <w:tr w:rsidR="002E0FEA" w:rsidRPr="00A81A4F" w14:paraId="7DAA8CE5" w14:textId="77777777" w:rsidTr="00620CED">
        <w:tc>
          <w:tcPr>
            <w:tcW w:w="4253" w:type="dxa"/>
            <w:shd w:val="clear" w:color="auto" w:fill="auto"/>
          </w:tcPr>
          <w:p w14:paraId="4FBF2593"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ERP</w:t>
            </w:r>
            <w:r w:rsidRPr="00A81A4F">
              <w:rPr>
                <w:sz w:val="20"/>
                <w:szCs w:val="20"/>
                <w:vertAlign w:val="superscript"/>
                <w:lang w:val="en-GB" w:eastAsia="en-US"/>
              </w:rPr>
              <w:t>2</w:t>
            </w:r>
          </w:p>
        </w:tc>
        <w:tc>
          <w:tcPr>
            <w:tcW w:w="1554" w:type="dxa"/>
            <w:shd w:val="clear" w:color="auto" w:fill="auto"/>
          </w:tcPr>
          <w:p w14:paraId="731160A0" w14:textId="77777777" w:rsidR="002E0FEA" w:rsidRPr="00A81A4F" w:rsidRDefault="002E0FEA" w:rsidP="00E539CE">
            <w:pPr>
              <w:spacing w:after="0" w:line="240" w:lineRule="auto"/>
              <w:jc w:val="both"/>
              <w:rPr>
                <w:sz w:val="20"/>
                <w:szCs w:val="20"/>
                <w:lang w:val="en-GB" w:eastAsia="en-US"/>
              </w:rPr>
            </w:pPr>
          </w:p>
        </w:tc>
        <w:tc>
          <w:tcPr>
            <w:tcW w:w="1657" w:type="dxa"/>
          </w:tcPr>
          <w:p w14:paraId="7CB4CD5D" w14:textId="77777777" w:rsidR="002E0FEA" w:rsidRPr="00A81A4F" w:rsidRDefault="002E0FEA" w:rsidP="00E539CE">
            <w:pPr>
              <w:spacing w:after="0" w:line="240" w:lineRule="auto"/>
              <w:jc w:val="center"/>
              <w:rPr>
                <w:sz w:val="20"/>
                <w:szCs w:val="20"/>
                <w:lang w:val="en-GB" w:eastAsia="en-US"/>
              </w:rPr>
            </w:pPr>
            <w:r w:rsidRPr="00A81A4F">
              <w:rPr>
                <w:sz w:val="20"/>
                <w:szCs w:val="20"/>
              </w:rPr>
              <w:t>-0.138(-3.725)***</w:t>
            </w:r>
          </w:p>
        </w:tc>
        <w:tc>
          <w:tcPr>
            <w:tcW w:w="1606" w:type="dxa"/>
            <w:shd w:val="clear" w:color="auto" w:fill="auto"/>
          </w:tcPr>
          <w:p w14:paraId="3F3750B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-0.126(-3.062)**</w:t>
            </w:r>
          </w:p>
        </w:tc>
        <w:tc>
          <w:tcPr>
            <w:tcW w:w="1605" w:type="dxa"/>
            <w:shd w:val="clear" w:color="auto" w:fill="auto"/>
          </w:tcPr>
          <w:p w14:paraId="48202D8F" w14:textId="77777777" w:rsidR="002E0FEA" w:rsidRPr="00A81A4F" w:rsidRDefault="002E0FEA" w:rsidP="00E539CE">
            <w:pPr>
              <w:spacing w:after="0" w:line="240" w:lineRule="auto"/>
              <w:jc w:val="center"/>
              <w:rPr>
                <w:rFonts w:cs="Calibri"/>
                <w:sz w:val="20"/>
                <w:szCs w:val="20"/>
                <w:lang w:val="en-GB" w:eastAsia="en-US"/>
              </w:rPr>
            </w:pPr>
          </w:p>
        </w:tc>
        <w:tc>
          <w:tcPr>
            <w:tcW w:w="1606" w:type="dxa"/>
          </w:tcPr>
          <w:p w14:paraId="15809FD1"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027FD8B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-0.043(-1.141)</w:t>
            </w:r>
          </w:p>
        </w:tc>
      </w:tr>
      <w:tr w:rsidR="002E0FEA" w:rsidRPr="00A81A4F" w14:paraId="413BE607" w14:textId="77777777" w:rsidTr="00620CED">
        <w:tc>
          <w:tcPr>
            <w:tcW w:w="4253" w:type="dxa"/>
            <w:shd w:val="clear" w:color="auto" w:fill="auto"/>
          </w:tcPr>
          <w:p w14:paraId="12EC1CEA"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ECP</w:t>
            </w:r>
          </w:p>
        </w:tc>
        <w:tc>
          <w:tcPr>
            <w:tcW w:w="1554" w:type="dxa"/>
            <w:shd w:val="clear" w:color="auto" w:fill="auto"/>
          </w:tcPr>
          <w:p w14:paraId="071E00D2" w14:textId="77777777" w:rsidR="002E0FEA" w:rsidRPr="00A81A4F" w:rsidRDefault="002E0FEA" w:rsidP="00E539CE">
            <w:pPr>
              <w:spacing w:after="0" w:line="240" w:lineRule="auto"/>
              <w:jc w:val="both"/>
              <w:rPr>
                <w:sz w:val="20"/>
                <w:szCs w:val="20"/>
                <w:lang w:val="en-GB" w:eastAsia="en-US"/>
              </w:rPr>
            </w:pPr>
          </w:p>
        </w:tc>
        <w:tc>
          <w:tcPr>
            <w:tcW w:w="1657" w:type="dxa"/>
          </w:tcPr>
          <w:p w14:paraId="25123A87"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475C166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-0.011(-0.056)</w:t>
            </w:r>
          </w:p>
        </w:tc>
        <w:tc>
          <w:tcPr>
            <w:tcW w:w="1605" w:type="dxa"/>
            <w:shd w:val="clear" w:color="auto" w:fill="auto"/>
          </w:tcPr>
          <w:p w14:paraId="32D41A3A" w14:textId="77777777" w:rsidR="002E0FEA" w:rsidRPr="00A81A4F" w:rsidRDefault="002E0FEA" w:rsidP="00E539CE">
            <w:pPr>
              <w:spacing w:after="0" w:line="240" w:lineRule="auto"/>
              <w:jc w:val="center"/>
              <w:rPr>
                <w:rFonts w:cs="Calibri"/>
                <w:sz w:val="20"/>
                <w:szCs w:val="20"/>
                <w:lang w:val="en-GB" w:eastAsia="en-US"/>
              </w:rPr>
            </w:pPr>
          </w:p>
        </w:tc>
        <w:tc>
          <w:tcPr>
            <w:tcW w:w="1606" w:type="dxa"/>
          </w:tcPr>
          <w:p w14:paraId="0DFEEE60" w14:textId="77777777" w:rsidR="002E0FEA" w:rsidRPr="00A81A4F" w:rsidRDefault="002E0FEA" w:rsidP="00E539CE">
            <w:pPr>
              <w:spacing w:after="0" w:line="240" w:lineRule="auto"/>
              <w:jc w:val="center"/>
              <w:rPr>
                <w:sz w:val="20"/>
                <w:szCs w:val="20"/>
                <w:lang w:val="en-GB" w:eastAsia="en-US"/>
              </w:rPr>
            </w:pPr>
            <w:r w:rsidRPr="00A81A4F">
              <w:rPr>
                <w:sz w:val="20"/>
                <w:szCs w:val="20"/>
              </w:rPr>
              <w:t>-0.142(-0.935)</w:t>
            </w:r>
          </w:p>
        </w:tc>
        <w:tc>
          <w:tcPr>
            <w:tcW w:w="1606" w:type="dxa"/>
            <w:shd w:val="clear" w:color="auto" w:fill="auto"/>
          </w:tcPr>
          <w:p w14:paraId="080BA16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-0.520(-2.879)**</w:t>
            </w:r>
          </w:p>
        </w:tc>
      </w:tr>
      <w:tr w:rsidR="002E0FEA" w:rsidRPr="00A81A4F" w14:paraId="2C2B3683" w14:textId="77777777" w:rsidTr="00620CED">
        <w:tc>
          <w:tcPr>
            <w:tcW w:w="4253" w:type="dxa"/>
            <w:shd w:val="clear" w:color="auto" w:fill="auto"/>
          </w:tcPr>
          <w:p w14:paraId="31F46CD1"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ECP</w:t>
            </w:r>
            <w:r w:rsidRPr="00A81A4F">
              <w:rPr>
                <w:sz w:val="20"/>
                <w:szCs w:val="20"/>
                <w:vertAlign w:val="superscript"/>
                <w:lang w:val="en-GB" w:eastAsia="en-US"/>
              </w:rPr>
              <w:t>2</w:t>
            </w:r>
          </w:p>
        </w:tc>
        <w:tc>
          <w:tcPr>
            <w:tcW w:w="1554" w:type="dxa"/>
            <w:shd w:val="clear" w:color="auto" w:fill="auto"/>
          </w:tcPr>
          <w:p w14:paraId="08FF5257" w14:textId="77777777" w:rsidR="002E0FEA" w:rsidRPr="00A81A4F" w:rsidRDefault="002E0FEA" w:rsidP="00E539CE">
            <w:pPr>
              <w:spacing w:after="0" w:line="240" w:lineRule="auto"/>
              <w:jc w:val="both"/>
              <w:rPr>
                <w:sz w:val="20"/>
                <w:szCs w:val="20"/>
                <w:lang w:val="en-GB" w:eastAsia="en-US"/>
              </w:rPr>
            </w:pPr>
          </w:p>
        </w:tc>
        <w:tc>
          <w:tcPr>
            <w:tcW w:w="1657" w:type="dxa"/>
          </w:tcPr>
          <w:p w14:paraId="460680DD" w14:textId="77777777" w:rsidR="002E0FEA" w:rsidRPr="00A81A4F" w:rsidRDefault="002E0FEA" w:rsidP="00E539CE">
            <w:pPr>
              <w:spacing w:after="0" w:line="240" w:lineRule="auto"/>
              <w:jc w:val="center"/>
              <w:rPr>
                <w:sz w:val="20"/>
                <w:szCs w:val="20"/>
                <w:lang w:val="en-GB" w:eastAsia="en-US"/>
              </w:rPr>
            </w:pPr>
          </w:p>
        </w:tc>
        <w:tc>
          <w:tcPr>
            <w:tcW w:w="1606" w:type="dxa"/>
            <w:shd w:val="clear" w:color="auto" w:fill="auto"/>
          </w:tcPr>
          <w:p w14:paraId="028A6D0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-0.122(-1.264)</w:t>
            </w:r>
          </w:p>
        </w:tc>
        <w:tc>
          <w:tcPr>
            <w:tcW w:w="1605" w:type="dxa"/>
            <w:shd w:val="clear" w:color="auto" w:fill="auto"/>
          </w:tcPr>
          <w:p w14:paraId="1385C871" w14:textId="77777777" w:rsidR="002E0FEA" w:rsidRPr="00A81A4F" w:rsidRDefault="002E0FEA" w:rsidP="00E539CE">
            <w:pPr>
              <w:spacing w:after="0" w:line="240" w:lineRule="auto"/>
              <w:jc w:val="center"/>
              <w:rPr>
                <w:rFonts w:cs="Calibri"/>
                <w:sz w:val="20"/>
                <w:szCs w:val="20"/>
                <w:lang w:val="en-GB" w:eastAsia="en-US"/>
              </w:rPr>
            </w:pPr>
          </w:p>
        </w:tc>
        <w:tc>
          <w:tcPr>
            <w:tcW w:w="1606" w:type="dxa"/>
          </w:tcPr>
          <w:p w14:paraId="0E674630" w14:textId="77777777" w:rsidR="002E0FEA" w:rsidRPr="00A81A4F" w:rsidRDefault="002E0FEA" w:rsidP="00E539CE">
            <w:pPr>
              <w:spacing w:after="0" w:line="240" w:lineRule="auto"/>
              <w:jc w:val="center"/>
              <w:rPr>
                <w:sz w:val="20"/>
                <w:szCs w:val="20"/>
                <w:lang w:val="en-GB" w:eastAsia="en-US"/>
              </w:rPr>
            </w:pPr>
            <w:r w:rsidRPr="00A81A4F">
              <w:rPr>
                <w:sz w:val="20"/>
                <w:szCs w:val="20"/>
              </w:rPr>
              <w:t>-0.236(-2.635)**</w:t>
            </w:r>
          </w:p>
        </w:tc>
        <w:tc>
          <w:tcPr>
            <w:tcW w:w="1606" w:type="dxa"/>
            <w:shd w:val="clear" w:color="auto" w:fill="auto"/>
          </w:tcPr>
          <w:p w14:paraId="2AFC4D3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-0.195(-2.206)*</w:t>
            </w:r>
          </w:p>
        </w:tc>
      </w:tr>
      <w:tr w:rsidR="002E0FEA" w:rsidRPr="00A81A4F" w14:paraId="30DB0CCE" w14:textId="77777777" w:rsidTr="00620CED">
        <w:tc>
          <w:tcPr>
            <w:tcW w:w="4253" w:type="dxa"/>
            <w:tcBorders>
              <w:bottom w:val="nil"/>
            </w:tcBorders>
            <w:shd w:val="clear" w:color="auto" w:fill="auto"/>
          </w:tcPr>
          <w:p w14:paraId="10D6F8EA" w14:textId="77777777" w:rsidR="002E0FEA" w:rsidRPr="00A81A4F" w:rsidRDefault="002E0FEA" w:rsidP="00E539CE">
            <w:pPr>
              <w:spacing w:after="0" w:line="240" w:lineRule="auto"/>
              <w:jc w:val="both"/>
              <w:rPr>
                <w:sz w:val="20"/>
                <w:szCs w:val="20"/>
                <w:lang w:val="en-GB" w:eastAsia="en-US"/>
              </w:rPr>
            </w:pPr>
          </w:p>
        </w:tc>
        <w:tc>
          <w:tcPr>
            <w:tcW w:w="1554" w:type="dxa"/>
            <w:tcBorders>
              <w:bottom w:val="nil"/>
            </w:tcBorders>
            <w:shd w:val="clear" w:color="auto" w:fill="auto"/>
          </w:tcPr>
          <w:p w14:paraId="2217DAC3" w14:textId="77777777" w:rsidR="002E0FEA" w:rsidRPr="00A81A4F" w:rsidRDefault="002E0FEA" w:rsidP="00E539CE">
            <w:pPr>
              <w:spacing w:after="0" w:line="240" w:lineRule="auto"/>
              <w:jc w:val="both"/>
              <w:rPr>
                <w:sz w:val="20"/>
                <w:szCs w:val="20"/>
                <w:lang w:val="en-GB" w:eastAsia="en-US"/>
              </w:rPr>
            </w:pPr>
          </w:p>
        </w:tc>
        <w:tc>
          <w:tcPr>
            <w:tcW w:w="1657" w:type="dxa"/>
            <w:tcBorders>
              <w:bottom w:val="nil"/>
            </w:tcBorders>
          </w:tcPr>
          <w:p w14:paraId="083035B2" w14:textId="77777777" w:rsidR="002E0FEA" w:rsidRPr="00A81A4F" w:rsidRDefault="002E0FEA" w:rsidP="00E539CE">
            <w:pPr>
              <w:spacing w:after="0" w:line="240" w:lineRule="auto"/>
              <w:jc w:val="center"/>
              <w:rPr>
                <w:sz w:val="20"/>
                <w:szCs w:val="20"/>
                <w:lang w:val="en-GB" w:eastAsia="en-US"/>
              </w:rPr>
            </w:pPr>
          </w:p>
        </w:tc>
        <w:tc>
          <w:tcPr>
            <w:tcW w:w="1606" w:type="dxa"/>
            <w:tcBorders>
              <w:bottom w:val="nil"/>
            </w:tcBorders>
            <w:shd w:val="clear" w:color="auto" w:fill="auto"/>
          </w:tcPr>
          <w:p w14:paraId="3C88B2C0" w14:textId="77777777" w:rsidR="002E0FEA" w:rsidRPr="00A81A4F" w:rsidRDefault="002E0FEA" w:rsidP="00E539CE">
            <w:pPr>
              <w:spacing w:after="0" w:line="240" w:lineRule="auto"/>
              <w:jc w:val="center"/>
              <w:rPr>
                <w:sz w:val="20"/>
                <w:szCs w:val="20"/>
                <w:lang w:val="en-GB" w:eastAsia="en-US"/>
              </w:rPr>
            </w:pPr>
          </w:p>
        </w:tc>
        <w:tc>
          <w:tcPr>
            <w:tcW w:w="1605" w:type="dxa"/>
            <w:tcBorders>
              <w:bottom w:val="nil"/>
            </w:tcBorders>
            <w:shd w:val="clear" w:color="auto" w:fill="auto"/>
          </w:tcPr>
          <w:p w14:paraId="633E355B" w14:textId="77777777" w:rsidR="002E0FEA" w:rsidRPr="00A81A4F" w:rsidRDefault="002E0FEA" w:rsidP="00E539CE">
            <w:pPr>
              <w:spacing w:after="0" w:line="240" w:lineRule="auto"/>
              <w:jc w:val="center"/>
              <w:rPr>
                <w:rFonts w:cs="Calibri"/>
                <w:sz w:val="20"/>
                <w:szCs w:val="20"/>
                <w:lang w:val="en-GB" w:eastAsia="en-US"/>
              </w:rPr>
            </w:pPr>
          </w:p>
        </w:tc>
        <w:tc>
          <w:tcPr>
            <w:tcW w:w="1606" w:type="dxa"/>
            <w:tcBorders>
              <w:bottom w:val="nil"/>
            </w:tcBorders>
          </w:tcPr>
          <w:p w14:paraId="6491DA72" w14:textId="77777777" w:rsidR="002E0FEA" w:rsidRPr="00A81A4F" w:rsidRDefault="002E0FEA" w:rsidP="00E539CE">
            <w:pPr>
              <w:spacing w:after="0" w:line="240" w:lineRule="auto"/>
              <w:jc w:val="center"/>
              <w:rPr>
                <w:sz w:val="20"/>
                <w:szCs w:val="20"/>
                <w:lang w:val="en-GB" w:eastAsia="en-US"/>
              </w:rPr>
            </w:pPr>
          </w:p>
        </w:tc>
        <w:tc>
          <w:tcPr>
            <w:tcW w:w="1606" w:type="dxa"/>
            <w:tcBorders>
              <w:bottom w:val="nil"/>
            </w:tcBorders>
            <w:shd w:val="clear" w:color="auto" w:fill="auto"/>
          </w:tcPr>
          <w:p w14:paraId="4A7620F4" w14:textId="77777777" w:rsidR="002E0FEA" w:rsidRPr="00A81A4F" w:rsidRDefault="002E0FEA" w:rsidP="00E539CE">
            <w:pPr>
              <w:spacing w:after="0" w:line="240" w:lineRule="auto"/>
              <w:jc w:val="center"/>
              <w:rPr>
                <w:sz w:val="20"/>
                <w:szCs w:val="20"/>
                <w:lang w:val="en-GB" w:eastAsia="en-US"/>
              </w:rPr>
            </w:pPr>
          </w:p>
        </w:tc>
      </w:tr>
      <w:tr w:rsidR="002E0FEA" w:rsidRPr="00A81A4F" w14:paraId="7C47CEE1" w14:textId="77777777" w:rsidTr="00620CED">
        <w:tc>
          <w:tcPr>
            <w:tcW w:w="4253" w:type="dxa"/>
            <w:tcBorders>
              <w:top w:val="nil"/>
              <w:bottom w:val="single" w:sz="4" w:space="0" w:color="auto"/>
            </w:tcBorders>
            <w:shd w:val="clear" w:color="auto" w:fill="auto"/>
          </w:tcPr>
          <w:p w14:paraId="5E86FE58"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Intercept</w:t>
            </w:r>
          </w:p>
        </w:tc>
        <w:tc>
          <w:tcPr>
            <w:tcW w:w="1554" w:type="dxa"/>
            <w:tcBorders>
              <w:top w:val="nil"/>
              <w:bottom w:val="single" w:sz="4" w:space="0" w:color="auto"/>
            </w:tcBorders>
            <w:shd w:val="clear" w:color="auto" w:fill="auto"/>
          </w:tcPr>
          <w:p w14:paraId="7BD8690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3.563(1.530)</w:t>
            </w:r>
          </w:p>
        </w:tc>
        <w:tc>
          <w:tcPr>
            <w:tcW w:w="1657" w:type="dxa"/>
            <w:tcBorders>
              <w:top w:val="nil"/>
              <w:bottom w:val="single" w:sz="4" w:space="0" w:color="auto"/>
            </w:tcBorders>
          </w:tcPr>
          <w:p w14:paraId="38433E4A" w14:textId="77777777" w:rsidR="002E0FEA" w:rsidRPr="00A81A4F" w:rsidRDefault="002E0FEA" w:rsidP="00E539CE">
            <w:pPr>
              <w:spacing w:after="0" w:line="240" w:lineRule="auto"/>
              <w:jc w:val="center"/>
              <w:rPr>
                <w:sz w:val="20"/>
                <w:szCs w:val="20"/>
                <w:lang w:val="en-GB" w:eastAsia="en-US"/>
              </w:rPr>
            </w:pPr>
            <w:r w:rsidRPr="00A81A4F">
              <w:rPr>
                <w:sz w:val="20"/>
                <w:szCs w:val="20"/>
              </w:rPr>
              <w:t>5.552(2.485)*</w:t>
            </w:r>
          </w:p>
        </w:tc>
        <w:tc>
          <w:tcPr>
            <w:tcW w:w="1606" w:type="dxa"/>
            <w:tcBorders>
              <w:top w:val="nil"/>
              <w:bottom w:val="single" w:sz="4" w:space="0" w:color="auto"/>
            </w:tcBorders>
            <w:shd w:val="clear" w:color="auto" w:fill="auto"/>
          </w:tcPr>
          <w:p w14:paraId="06B96EA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5.624(2.491)*</w:t>
            </w:r>
          </w:p>
        </w:tc>
        <w:tc>
          <w:tcPr>
            <w:tcW w:w="1605" w:type="dxa"/>
            <w:tcBorders>
              <w:top w:val="nil"/>
              <w:bottom w:val="single" w:sz="4" w:space="0" w:color="auto"/>
            </w:tcBorders>
            <w:shd w:val="clear" w:color="auto" w:fill="auto"/>
          </w:tcPr>
          <w:p w14:paraId="12D5F6D9" w14:textId="77777777" w:rsidR="002E0FEA" w:rsidRPr="00A81A4F" w:rsidRDefault="002E0FEA" w:rsidP="00E539CE">
            <w:pPr>
              <w:spacing w:after="0" w:line="240" w:lineRule="auto"/>
              <w:jc w:val="center"/>
              <w:rPr>
                <w:rFonts w:cs="Calibri"/>
                <w:sz w:val="20"/>
                <w:szCs w:val="20"/>
                <w:lang w:val="en-GB" w:eastAsia="en-US"/>
              </w:rPr>
            </w:pPr>
            <w:r w:rsidRPr="00A81A4F">
              <w:rPr>
                <w:sz w:val="20"/>
                <w:szCs w:val="20"/>
                <w:lang w:val="en-GB" w:eastAsia="en-US"/>
              </w:rPr>
              <w:t>4.075(1.885)†</w:t>
            </w:r>
          </w:p>
        </w:tc>
        <w:tc>
          <w:tcPr>
            <w:tcW w:w="1606" w:type="dxa"/>
            <w:tcBorders>
              <w:top w:val="nil"/>
              <w:bottom w:val="single" w:sz="4" w:space="0" w:color="auto"/>
            </w:tcBorders>
          </w:tcPr>
          <w:p w14:paraId="356BACF0" w14:textId="77777777" w:rsidR="002E0FEA" w:rsidRPr="00A81A4F" w:rsidRDefault="002E0FEA" w:rsidP="00E539CE">
            <w:pPr>
              <w:spacing w:after="0" w:line="240" w:lineRule="auto"/>
              <w:jc w:val="center"/>
              <w:rPr>
                <w:sz w:val="20"/>
                <w:szCs w:val="20"/>
                <w:lang w:val="en-GB" w:eastAsia="en-US"/>
              </w:rPr>
            </w:pPr>
            <w:r w:rsidRPr="00A81A4F">
              <w:rPr>
                <w:sz w:val="20"/>
                <w:szCs w:val="20"/>
              </w:rPr>
              <w:t>5.124(2.437)*</w:t>
            </w:r>
          </w:p>
        </w:tc>
        <w:tc>
          <w:tcPr>
            <w:tcW w:w="1606" w:type="dxa"/>
            <w:tcBorders>
              <w:top w:val="nil"/>
              <w:bottom w:val="single" w:sz="4" w:space="0" w:color="auto"/>
            </w:tcBorders>
            <w:shd w:val="clear" w:color="auto" w:fill="auto"/>
          </w:tcPr>
          <w:p w14:paraId="7ED63F5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5.967(2.896)**</w:t>
            </w:r>
          </w:p>
        </w:tc>
      </w:tr>
      <w:tr w:rsidR="002E0FEA" w:rsidRPr="00A81A4F" w14:paraId="22105B2C" w14:textId="77777777" w:rsidTr="00620CED">
        <w:tc>
          <w:tcPr>
            <w:tcW w:w="4253" w:type="dxa"/>
            <w:tcBorders>
              <w:top w:val="single" w:sz="4" w:space="0" w:color="auto"/>
            </w:tcBorders>
            <w:shd w:val="clear" w:color="auto" w:fill="auto"/>
          </w:tcPr>
          <w:p w14:paraId="69D88074"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Summary</w:t>
            </w:r>
          </w:p>
        </w:tc>
        <w:tc>
          <w:tcPr>
            <w:tcW w:w="1554" w:type="dxa"/>
            <w:tcBorders>
              <w:top w:val="single" w:sz="4" w:space="0" w:color="auto"/>
            </w:tcBorders>
            <w:shd w:val="clear" w:color="auto" w:fill="auto"/>
          </w:tcPr>
          <w:p w14:paraId="31C4BF94" w14:textId="77777777" w:rsidR="002E0FEA" w:rsidRPr="00A81A4F" w:rsidRDefault="002E0FEA" w:rsidP="00E539CE">
            <w:pPr>
              <w:spacing w:after="0" w:line="240" w:lineRule="auto"/>
              <w:jc w:val="both"/>
              <w:rPr>
                <w:b/>
                <w:sz w:val="20"/>
                <w:szCs w:val="20"/>
                <w:lang w:val="en-GB" w:eastAsia="en-US"/>
              </w:rPr>
            </w:pPr>
          </w:p>
        </w:tc>
        <w:tc>
          <w:tcPr>
            <w:tcW w:w="1657" w:type="dxa"/>
            <w:tcBorders>
              <w:top w:val="single" w:sz="4" w:space="0" w:color="auto"/>
            </w:tcBorders>
          </w:tcPr>
          <w:p w14:paraId="63F657A5" w14:textId="77777777" w:rsidR="002E0FEA" w:rsidRPr="00A81A4F" w:rsidRDefault="002E0FEA" w:rsidP="00E539CE">
            <w:pPr>
              <w:spacing w:after="0" w:line="240" w:lineRule="auto"/>
              <w:jc w:val="both"/>
              <w:rPr>
                <w:b/>
                <w:sz w:val="20"/>
                <w:szCs w:val="20"/>
                <w:lang w:val="en-GB" w:eastAsia="en-US"/>
              </w:rPr>
            </w:pPr>
          </w:p>
        </w:tc>
        <w:tc>
          <w:tcPr>
            <w:tcW w:w="1606" w:type="dxa"/>
            <w:tcBorders>
              <w:top w:val="single" w:sz="4" w:space="0" w:color="auto"/>
            </w:tcBorders>
            <w:shd w:val="clear" w:color="auto" w:fill="auto"/>
          </w:tcPr>
          <w:p w14:paraId="7C8D4EB2" w14:textId="77777777" w:rsidR="002E0FEA" w:rsidRPr="00A81A4F" w:rsidRDefault="002E0FEA" w:rsidP="00E539CE">
            <w:pPr>
              <w:spacing w:after="0" w:line="240" w:lineRule="auto"/>
              <w:jc w:val="both"/>
              <w:rPr>
                <w:b/>
                <w:sz w:val="20"/>
                <w:szCs w:val="20"/>
                <w:lang w:val="en-GB" w:eastAsia="en-US"/>
              </w:rPr>
            </w:pPr>
          </w:p>
        </w:tc>
        <w:tc>
          <w:tcPr>
            <w:tcW w:w="1605" w:type="dxa"/>
            <w:tcBorders>
              <w:top w:val="single" w:sz="4" w:space="0" w:color="auto"/>
            </w:tcBorders>
            <w:shd w:val="clear" w:color="auto" w:fill="auto"/>
          </w:tcPr>
          <w:p w14:paraId="5411093C" w14:textId="77777777" w:rsidR="002E0FEA" w:rsidRPr="00A81A4F" w:rsidRDefault="002E0FEA" w:rsidP="00E539CE">
            <w:pPr>
              <w:spacing w:after="0" w:line="240" w:lineRule="auto"/>
              <w:jc w:val="both"/>
              <w:rPr>
                <w:b/>
                <w:sz w:val="20"/>
                <w:szCs w:val="20"/>
                <w:lang w:val="en-GB" w:eastAsia="en-US"/>
              </w:rPr>
            </w:pPr>
          </w:p>
        </w:tc>
        <w:tc>
          <w:tcPr>
            <w:tcW w:w="1606" w:type="dxa"/>
            <w:tcBorders>
              <w:top w:val="single" w:sz="4" w:space="0" w:color="auto"/>
            </w:tcBorders>
          </w:tcPr>
          <w:p w14:paraId="2C9C2554" w14:textId="77777777" w:rsidR="002E0FEA" w:rsidRPr="00A81A4F" w:rsidRDefault="002E0FEA" w:rsidP="00E539CE">
            <w:pPr>
              <w:spacing w:after="0" w:line="240" w:lineRule="auto"/>
              <w:jc w:val="both"/>
              <w:rPr>
                <w:b/>
                <w:sz w:val="20"/>
                <w:szCs w:val="20"/>
                <w:lang w:val="en-GB" w:eastAsia="en-US"/>
              </w:rPr>
            </w:pPr>
          </w:p>
        </w:tc>
        <w:tc>
          <w:tcPr>
            <w:tcW w:w="1606" w:type="dxa"/>
            <w:tcBorders>
              <w:top w:val="single" w:sz="4" w:space="0" w:color="auto"/>
            </w:tcBorders>
            <w:shd w:val="clear" w:color="auto" w:fill="auto"/>
          </w:tcPr>
          <w:p w14:paraId="7D50DBE2" w14:textId="77777777" w:rsidR="002E0FEA" w:rsidRPr="00A81A4F" w:rsidRDefault="002E0FEA" w:rsidP="00E539CE">
            <w:pPr>
              <w:spacing w:after="0" w:line="240" w:lineRule="auto"/>
              <w:jc w:val="both"/>
              <w:rPr>
                <w:b/>
                <w:sz w:val="20"/>
                <w:szCs w:val="20"/>
                <w:lang w:val="en-GB" w:eastAsia="en-US"/>
              </w:rPr>
            </w:pPr>
          </w:p>
        </w:tc>
      </w:tr>
      <w:tr w:rsidR="002E0FEA" w:rsidRPr="00A81A4F" w14:paraId="5A3C2E38" w14:textId="77777777" w:rsidTr="00620CED">
        <w:tc>
          <w:tcPr>
            <w:tcW w:w="4253" w:type="dxa"/>
            <w:shd w:val="clear" w:color="auto" w:fill="auto"/>
            <w:vAlign w:val="center"/>
          </w:tcPr>
          <w:p w14:paraId="68867A61"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F-Value</w:t>
            </w:r>
          </w:p>
        </w:tc>
        <w:tc>
          <w:tcPr>
            <w:tcW w:w="1554" w:type="dxa"/>
            <w:shd w:val="clear" w:color="auto" w:fill="auto"/>
          </w:tcPr>
          <w:p w14:paraId="0A11BB7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3.859</w:t>
            </w:r>
          </w:p>
        </w:tc>
        <w:tc>
          <w:tcPr>
            <w:tcW w:w="1657" w:type="dxa"/>
          </w:tcPr>
          <w:p w14:paraId="6550E6F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5.175</w:t>
            </w:r>
          </w:p>
        </w:tc>
        <w:tc>
          <w:tcPr>
            <w:tcW w:w="1606" w:type="dxa"/>
            <w:shd w:val="clear" w:color="auto" w:fill="auto"/>
          </w:tcPr>
          <w:p w14:paraId="6BB8A64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4.134</w:t>
            </w:r>
          </w:p>
        </w:tc>
        <w:tc>
          <w:tcPr>
            <w:tcW w:w="1605" w:type="dxa"/>
            <w:shd w:val="clear" w:color="auto" w:fill="auto"/>
          </w:tcPr>
          <w:p w14:paraId="25D0063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4.494</w:t>
            </w:r>
          </w:p>
        </w:tc>
        <w:tc>
          <w:tcPr>
            <w:tcW w:w="1606" w:type="dxa"/>
          </w:tcPr>
          <w:p w14:paraId="388BB27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4.975</w:t>
            </w:r>
          </w:p>
        </w:tc>
        <w:tc>
          <w:tcPr>
            <w:tcW w:w="1606" w:type="dxa"/>
            <w:shd w:val="clear" w:color="auto" w:fill="auto"/>
          </w:tcPr>
          <w:p w14:paraId="624A5F7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2.052</w:t>
            </w:r>
          </w:p>
        </w:tc>
      </w:tr>
      <w:tr w:rsidR="002E0FEA" w:rsidRPr="00A81A4F" w14:paraId="5C8F66E0" w14:textId="77777777" w:rsidTr="00620CED">
        <w:tc>
          <w:tcPr>
            <w:tcW w:w="4253" w:type="dxa"/>
            <w:shd w:val="clear" w:color="auto" w:fill="auto"/>
            <w:vAlign w:val="center"/>
          </w:tcPr>
          <w:p w14:paraId="51C5EEB6"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P-Value</w:t>
            </w:r>
          </w:p>
        </w:tc>
        <w:tc>
          <w:tcPr>
            <w:tcW w:w="1554" w:type="dxa"/>
            <w:shd w:val="clear" w:color="auto" w:fill="auto"/>
          </w:tcPr>
          <w:p w14:paraId="3163AA3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657" w:type="dxa"/>
          </w:tcPr>
          <w:p w14:paraId="5784C6C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606" w:type="dxa"/>
            <w:shd w:val="clear" w:color="auto" w:fill="auto"/>
          </w:tcPr>
          <w:p w14:paraId="1BC9D9B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605" w:type="dxa"/>
            <w:shd w:val="clear" w:color="auto" w:fill="auto"/>
          </w:tcPr>
          <w:p w14:paraId="29B2282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606" w:type="dxa"/>
          </w:tcPr>
          <w:p w14:paraId="32BA745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606" w:type="dxa"/>
            <w:shd w:val="clear" w:color="auto" w:fill="auto"/>
          </w:tcPr>
          <w:p w14:paraId="360E459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r>
      <w:tr w:rsidR="002E0FEA" w:rsidRPr="00A81A4F" w14:paraId="4F8ECD74" w14:textId="77777777" w:rsidTr="00620CED">
        <w:tc>
          <w:tcPr>
            <w:tcW w:w="4253" w:type="dxa"/>
            <w:shd w:val="clear" w:color="auto" w:fill="auto"/>
            <w:vAlign w:val="center"/>
          </w:tcPr>
          <w:p w14:paraId="046A76BF"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R-Square</w:t>
            </w:r>
          </w:p>
        </w:tc>
        <w:tc>
          <w:tcPr>
            <w:tcW w:w="1554" w:type="dxa"/>
            <w:shd w:val="clear" w:color="auto" w:fill="auto"/>
          </w:tcPr>
          <w:p w14:paraId="035A28E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0.162</w:t>
            </w:r>
          </w:p>
        </w:tc>
        <w:tc>
          <w:tcPr>
            <w:tcW w:w="1657" w:type="dxa"/>
          </w:tcPr>
          <w:p w14:paraId="34E0ADA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0.270</w:t>
            </w:r>
          </w:p>
        </w:tc>
        <w:tc>
          <w:tcPr>
            <w:tcW w:w="1606" w:type="dxa"/>
            <w:shd w:val="clear" w:color="auto" w:fill="auto"/>
          </w:tcPr>
          <w:p w14:paraId="2A733AF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0.279</w:t>
            </w:r>
          </w:p>
        </w:tc>
        <w:tc>
          <w:tcPr>
            <w:tcW w:w="1605" w:type="dxa"/>
            <w:shd w:val="clear" w:color="auto" w:fill="auto"/>
          </w:tcPr>
          <w:p w14:paraId="21AAA26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0.183</w:t>
            </w:r>
          </w:p>
        </w:tc>
        <w:tc>
          <w:tcPr>
            <w:tcW w:w="1606" w:type="dxa"/>
          </w:tcPr>
          <w:p w14:paraId="2A25F10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0.262</w:t>
            </w:r>
          </w:p>
        </w:tc>
        <w:tc>
          <w:tcPr>
            <w:tcW w:w="1606" w:type="dxa"/>
            <w:shd w:val="clear" w:color="auto" w:fill="auto"/>
          </w:tcPr>
          <w:p w14:paraId="0C9BC98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0.321</w:t>
            </w:r>
          </w:p>
        </w:tc>
      </w:tr>
      <w:tr w:rsidR="002E0FEA" w:rsidRPr="00A81A4F" w14:paraId="039B71FB" w14:textId="77777777" w:rsidTr="00620CED">
        <w:tc>
          <w:tcPr>
            <w:tcW w:w="4253" w:type="dxa"/>
            <w:shd w:val="clear" w:color="auto" w:fill="auto"/>
            <w:vAlign w:val="center"/>
          </w:tcPr>
          <w:p w14:paraId="346CC8B0"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Adjusted R-Square</w:t>
            </w:r>
          </w:p>
        </w:tc>
        <w:tc>
          <w:tcPr>
            <w:tcW w:w="1554" w:type="dxa"/>
            <w:shd w:val="clear" w:color="auto" w:fill="auto"/>
          </w:tcPr>
          <w:p w14:paraId="4C5BD0D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0.120</w:t>
            </w:r>
          </w:p>
        </w:tc>
        <w:tc>
          <w:tcPr>
            <w:tcW w:w="1657" w:type="dxa"/>
          </w:tcPr>
          <w:p w14:paraId="7967BE3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0.218</w:t>
            </w:r>
          </w:p>
        </w:tc>
        <w:tc>
          <w:tcPr>
            <w:tcW w:w="1606" w:type="dxa"/>
            <w:shd w:val="clear" w:color="auto" w:fill="auto"/>
          </w:tcPr>
          <w:p w14:paraId="1BF841D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0.212</w:t>
            </w:r>
          </w:p>
        </w:tc>
        <w:tc>
          <w:tcPr>
            <w:tcW w:w="1605" w:type="dxa"/>
            <w:shd w:val="clear" w:color="auto" w:fill="auto"/>
          </w:tcPr>
          <w:p w14:paraId="1E024EB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0.143</w:t>
            </w:r>
          </w:p>
        </w:tc>
        <w:tc>
          <w:tcPr>
            <w:tcW w:w="1606" w:type="dxa"/>
          </w:tcPr>
          <w:p w14:paraId="599371A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0.209</w:t>
            </w:r>
          </w:p>
        </w:tc>
        <w:tc>
          <w:tcPr>
            <w:tcW w:w="1606" w:type="dxa"/>
            <w:shd w:val="clear" w:color="auto" w:fill="auto"/>
          </w:tcPr>
          <w:p w14:paraId="087B774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0.258</w:t>
            </w:r>
          </w:p>
        </w:tc>
      </w:tr>
    </w:tbl>
    <w:p w14:paraId="7D704A79" w14:textId="77777777" w:rsidR="002E0FEA" w:rsidRPr="00A81A4F" w:rsidRDefault="002E0FEA" w:rsidP="00E539CE">
      <w:pPr>
        <w:spacing w:after="0" w:line="240" w:lineRule="auto"/>
        <w:rPr>
          <w:rFonts w:cs="Calibri"/>
          <w:sz w:val="16"/>
          <w:szCs w:val="16"/>
          <w:lang w:val="en-GB" w:eastAsia="en-US"/>
        </w:rPr>
      </w:pPr>
      <w:r w:rsidRPr="00A81A4F">
        <w:rPr>
          <w:rFonts w:cs="Calibri"/>
          <w:sz w:val="16"/>
          <w:szCs w:val="16"/>
          <w:lang w:val="en-GB" w:eastAsia="en-US"/>
        </w:rPr>
        <w:t xml:space="preserve">Notes: *** p &lt; 0.001; ** p &lt; 0.010; * p &lt; 0.050; </w:t>
      </w:r>
      <w:r w:rsidRPr="00A81A4F">
        <w:rPr>
          <w:sz w:val="16"/>
          <w:szCs w:val="16"/>
        </w:rPr>
        <w:t>† p &lt; 0.100.</w:t>
      </w:r>
    </w:p>
    <w:p w14:paraId="57E60F2C" w14:textId="77777777" w:rsidR="002E0FEA" w:rsidRPr="00A81A4F" w:rsidRDefault="002E0FEA" w:rsidP="00E539CE">
      <w:pPr>
        <w:spacing w:after="0" w:line="240" w:lineRule="auto"/>
        <w:rPr>
          <w:rFonts w:cs="Calibri"/>
          <w:sz w:val="16"/>
          <w:szCs w:val="16"/>
          <w:lang w:val="en-GB" w:eastAsia="en-US"/>
        </w:rPr>
      </w:pPr>
      <w:r w:rsidRPr="00A81A4F">
        <w:rPr>
          <w:rFonts w:cs="Calibri"/>
          <w:sz w:val="16"/>
          <w:szCs w:val="16"/>
          <w:lang w:val="en-GB" w:eastAsia="en-US"/>
        </w:rPr>
        <w:t>Unstandardized coefficients are reported with t-value in parentheses.</w:t>
      </w:r>
    </w:p>
    <w:p w14:paraId="2FE0F7B5" w14:textId="77777777" w:rsidR="002E0FEA" w:rsidRPr="00A81A4F" w:rsidRDefault="002E0FEA" w:rsidP="00E539CE">
      <w:pPr>
        <w:spacing w:after="0" w:line="240" w:lineRule="auto"/>
        <w:jc w:val="center"/>
        <w:rPr>
          <w:rFonts w:cs="Calibri"/>
          <w:b/>
          <w:bCs/>
          <w:lang w:val="en-GB" w:eastAsia="en-US"/>
        </w:rPr>
      </w:pPr>
    </w:p>
    <w:p w14:paraId="648BA3BB" w14:textId="77777777" w:rsidR="002E0FEA" w:rsidRPr="00A81A4F" w:rsidRDefault="002E0FEA" w:rsidP="00E539CE">
      <w:pPr>
        <w:spacing w:after="0" w:line="240" w:lineRule="auto"/>
        <w:jc w:val="center"/>
        <w:rPr>
          <w:rFonts w:cs="Calibri"/>
          <w:b/>
          <w:lang w:val="en-GB" w:eastAsia="en-US"/>
        </w:rPr>
      </w:pPr>
      <w:bookmarkStart w:id="224" w:name="_Hlk54338576"/>
      <w:r w:rsidRPr="00A81A4F">
        <w:rPr>
          <w:rFonts w:cs="Calibri"/>
          <w:b/>
          <w:lang w:val="en-GB" w:eastAsia="en-US"/>
        </w:rPr>
        <w:lastRenderedPageBreak/>
        <w:t>Table 3: Post-Hoc Analysis – Two-Stage Regression</w:t>
      </w:r>
    </w:p>
    <w:tbl>
      <w:tblPr>
        <w:tblW w:w="14029" w:type="dxa"/>
        <w:tblBorders>
          <w:top w:val="single" w:sz="4" w:space="0" w:color="auto"/>
          <w:bottom w:val="single" w:sz="4" w:space="0" w:color="auto"/>
        </w:tblBorders>
        <w:tblLayout w:type="fixed"/>
        <w:tblCellMar>
          <w:left w:w="85" w:type="dxa"/>
          <w:right w:w="85" w:type="dxa"/>
        </w:tblCellMar>
        <w:tblLook w:val="04A0" w:firstRow="1" w:lastRow="0" w:firstColumn="1" w:lastColumn="0" w:noHBand="0" w:noVBand="1"/>
      </w:tblPr>
      <w:tblGrid>
        <w:gridCol w:w="4809"/>
        <w:gridCol w:w="1423"/>
        <w:gridCol w:w="1560"/>
        <w:gridCol w:w="1559"/>
        <w:gridCol w:w="1510"/>
        <w:gridCol w:w="1608"/>
        <w:gridCol w:w="1560"/>
      </w:tblGrid>
      <w:tr w:rsidR="002E0FEA" w:rsidRPr="00A81A4F" w14:paraId="51799F81" w14:textId="77777777" w:rsidTr="00620CED">
        <w:tc>
          <w:tcPr>
            <w:tcW w:w="4809" w:type="dxa"/>
            <w:tcBorders>
              <w:top w:val="single" w:sz="4" w:space="0" w:color="auto"/>
              <w:bottom w:val="single" w:sz="4" w:space="0" w:color="auto"/>
            </w:tcBorders>
            <w:shd w:val="clear" w:color="auto" w:fill="auto"/>
          </w:tcPr>
          <w:p w14:paraId="5C1539FD" w14:textId="77777777" w:rsidR="002E0FEA" w:rsidRPr="00A81A4F" w:rsidRDefault="002E0FEA" w:rsidP="00E539CE">
            <w:pPr>
              <w:spacing w:after="0" w:line="240" w:lineRule="auto"/>
              <w:jc w:val="both"/>
              <w:rPr>
                <w:b/>
                <w:sz w:val="20"/>
                <w:szCs w:val="20"/>
                <w:lang w:val="en-GB" w:eastAsia="en-US"/>
              </w:rPr>
            </w:pPr>
          </w:p>
        </w:tc>
        <w:tc>
          <w:tcPr>
            <w:tcW w:w="1423" w:type="dxa"/>
            <w:tcBorders>
              <w:top w:val="single" w:sz="4" w:space="0" w:color="auto"/>
              <w:bottom w:val="single" w:sz="4" w:space="0" w:color="auto"/>
            </w:tcBorders>
            <w:shd w:val="clear" w:color="auto" w:fill="auto"/>
          </w:tcPr>
          <w:p w14:paraId="355E7ED2"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7</w:t>
            </w:r>
          </w:p>
        </w:tc>
        <w:tc>
          <w:tcPr>
            <w:tcW w:w="1560" w:type="dxa"/>
            <w:tcBorders>
              <w:top w:val="single" w:sz="4" w:space="0" w:color="auto"/>
              <w:bottom w:val="single" w:sz="4" w:space="0" w:color="auto"/>
            </w:tcBorders>
          </w:tcPr>
          <w:p w14:paraId="053404F3"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8</w:t>
            </w:r>
          </w:p>
        </w:tc>
        <w:tc>
          <w:tcPr>
            <w:tcW w:w="1559" w:type="dxa"/>
            <w:tcBorders>
              <w:top w:val="single" w:sz="4" w:space="0" w:color="auto"/>
              <w:bottom w:val="single" w:sz="4" w:space="0" w:color="auto"/>
            </w:tcBorders>
            <w:shd w:val="clear" w:color="auto" w:fill="auto"/>
          </w:tcPr>
          <w:p w14:paraId="37AE9CC5"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9</w:t>
            </w:r>
          </w:p>
        </w:tc>
        <w:tc>
          <w:tcPr>
            <w:tcW w:w="1510" w:type="dxa"/>
            <w:tcBorders>
              <w:top w:val="single" w:sz="4" w:space="0" w:color="auto"/>
              <w:bottom w:val="single" w:sz="4" w:space="0" w:color="auto"/>
            </w:tcBorders>
            <w:shd w:val="clear" w:color="auto" w:fill="auto"/>
          </w:tcPr>
          <w:p w14:paraId="40C0F7C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10</w:t>
            </w:r>
          </w:p>
        </w:tc>
        <w:tc>
          <w:tcPr>
            <w:tcW w:w="1608" w:type="dxa"/>
            <w:tcBorders>
              <w:top w:val="single" w:sz="4" w:space="0" w:color="auto"/>
              <w:bottom w:val="single" w:sz="4" w:space="0" w:color="auto"/>
            </w:tcBorders>
          </w:tcPr>
          <w:p w14:paraId="45EE485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11</w:t>
            </w:r>
          </w:p>
        </w:tc>
        <w:tc>
          <w:tcPr>
            <w:tcW w:w="1560" w:type="dxa"/>
            <w:tcBorders>
              <w:top w:val="single" w:sz="4" w:space="0" w:color="auto"/>
              <w:bottom w:val="single" w:sz="4" w:space="0" w:color="auto"/>
            </w:tcBorders>
            <w:shd w:val="clear" w:color="auto" w:fill="auto"/>
          </w:tcPr>
          <w:p w14:paraId="6159EA2D"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12</w:t>
            </w:r>
          </w:p>
        </w:tc>
      </w:tr>
      <w:tr w:rsidR="002E0FEA" w:rsidRPr="00A81A4F" w14:paraId="46403B15" w14:textId="77777777" w:rsidTr="00620CED">
        <w:tc>
          <w:tcPr>
            <w:tcW w:w="4809" w:type="dxa"/>
            <w:tcBorders>
              <w:top w:val="single" w:sz="4" w:space="0" w:color="auto"/>
            </w:tcBorders>
            <w:shd w:val="clear" w:color="auto" w:fill="auto"/>
          </w:tcPr>
          <w:p w14:paraId="41E90BED" w14:textId="77777777" w:rsidR="002E0FEA" w:rsidRPr="00A81A4F" w:rsidRDefault="002E0FEA" w:rsidP="00E539CE">
            <w:pPr>
              <w:spacing w:after="0" w:line="240" w:lineRule="auto"/>
              <w:jc w:val="center"/>
              <w:rPr>
                <w:b/>
                <w:sz w:val="20"/>
                <w:szCs w:val="20"/>
                <w:lang w:val="en-GB" w:eastAsia="en-US"/>
              </w:rPr>
            </w:pPr>
          </w:p>
        </w:tc>
        <w:tc>
          <w:tcPr>
            <w:tcW w:w="4542" w:type="dxa"/>
            <w:gridSpan w:val="3"/>
            <w:tcBorders>
              <w:top w:val="single" w:sz="4" w:space="0" w:color="auto"/>
              <w:bottom w:val="double" w:sz="4" w:space="0" w:color="auto"/>
            </w:tcBorders>
          </w:tcPr>
          <w:p w14:paraId="247B6AC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Inward-Focused Internationalization Activities</w:t>
            </w:r>
          </w:p>
        </w:tc>
        <w:tc>
          <w:tcPr>
            <w:tcW w:w="4678" w:type="dxa"/>
            <w:gridSpan w:val="3"/>
            <w:tcBorders>
              <w:top w:val="single" w:sz="4" w:space="0" w:color="auto"/>
              <w:bottom w:val="double" w:sz="4" w:space="0" w:color="auto"/>
            </w:tcBorders>
            <w:shd w:val="clear" w:color="auto" w:fill="auto"/>
          </w:tcPr>
          <w:p w14:paraId="2DBCFCE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Outward-Focused Internationalization Activities</w:t>
            </w:r>
          </w:p>
        </w:tc>
      </w:tr>
      <w:tr w:rsidR="002E0FEA" w:rsidRPr="00A81A4F" w14:paraId="623D368F" w14:textId="77777777" w:rsidTr="00620CED">
        <w:tc>
          <w:tcPr>
            <w:tcW w:w="4809" w:type="dxa"/>
            <w:shd w:val="clear" w:color="auto" w:fill="auto"/>
          </w:tcPr>
          <w:p w14:paraId="292781CD"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Controls</w:t>
            </w:r>
          </w:p>
        </w:tc>
        <w:tc>
          <w:tcPr>
            <w:tcW w:w="1423" w:type="dxa"/>
            <w:tcBorders>
              <w:top w:val="double" w:sz="4" w:space="0" w:color="auto"/>
            </w:tcBorders>
            <w:shd w:val="clear" w:color="auto" w:fill="auto"/>
          </w:tcPr>
          <w:p w14:paraId="6BAB61E6" w14:textId="77777777" w:rsidR="002E0FEA" w:rsidRPr="00A81A4F" w:rsidRDefault="002E0FEA" w:rsidP="00E539CE">
            <w:pPr>
              <w:spacing w:after="0" w:line="240" w:lineRule="auto"/>
              <w:jc w:val="both"/>
              <w:rPr>
                <w:b/>
                <w:sz w:val="20"/>
                <w:szCs w:val="20"/>
                <w:lang w:val="en-GB" w:eastAsia="en-US"/>
              </w:rPr>
            </w:pPr>
          </w:p>
        </w:tc>
        <w:tc>
          <w:tcPr>
            <w:tcW w:w="1560" w:type="dxa"/>
            <w:tcBorders>
              <w:top w:val="double" w:sz="4" w:space="0" w:color="auto"/>
            </w:tcBorders>
          </w:tcPr>
          <w:p w14:paraId="28D798E3" w14:textId="77777777" w:rsidR="002E0FEA" w:rsidRPr="00A81A4F" w:rsidRDefault="002E0FEA" w:rsidP="00E539CE">
            <w:pPr>
              <w:spacing w:after="0" w:line="240" w:lineRule="auto"/>
              <w:jc w:val="both"/>
              <w:rPr>
                <w:b/>
                <w:sz w:val="20"/>
                <w:szCs w:val="20"/>
                <w:lang w:val="en-GB" w:eastAsia="en-US"/>
              </w:rPr>
            </w:pPr>
          </w:p>
        </w:tc>
        <w:tc>
          <w:tcPr>
            <w:tcW w:w="1559" w:type="dxa"/>
            <w:tcBorders>
              <w:top w:val="double" w:sz="4" w:space="0" w:color="auto"/>
            </w:tcBorders>
            <w:shd w:val="clear" w:color="auto" w:fill="auto"/>
          </w:tcPr>
          <w:p w14:paraId="7210F854" w14:textId="77777777" w:rsidR="002E0FEA" w:rsidRPr="00A81A4F" w:rsidRDefault="002E0FEA" w:rsidP="00E539CE">
            <w:pPr>
              <w:spacing w:after="0" w:line="240" w:lineRule="auto"/>
              <w:jc w:val="both"/>
              <w:rPr>
                <w:b/>
                <w:sz w:val="20"/>
                <w:szCs w:val="20"/>
                <w:lang w:val="en-GB" w:eastAsia="en-US"/>
              </w:rPr>
            </w:pPr>
          </w:p>
        </w:tc>
        <w:tc>
          <w:tcPr>
            <w:tcW w:w="1510" w:type="dxa"/>
            <w:tcBorders>
              <w:top w:val="double" w:sz="4" w:space="0" w:color="auto"/>
            </w:tcBorders>
            <w:shd w:val="clear" w:color="auto" w:fill="auto"/>
          </w:tcPr>
          <w:p w14:paraId="1013B3BE" w14:textId="77777777" w:rsidR="002E0FEA" w:rsidRPr="00A81A4F" w:rsidRDefault="002E0FEA" w:rsidP="00E539CE">
            <w:pPr>
              <w:spacing w:after="0" w:line="240" w:lineRule="auto"/>
              <w:jc w:val="both"/>
              <w:rPr>
                <w:b/>
                <w:sz w:val="20"/>
                <w:szCs w:val="20"/>
                <w:lang w:val="en-GB" w:eastAsia="en-US"/>
              </w:rPr>
            </w:pPr>
          </w:p>
        </w:tc>
        <w:tc>
          <w:tcPr>
            <w:tcW w:w="1608" w:type="dxa"/>
            <w:tcBorders>
              <w:top w:val="double" w:sz="4" w:space="0" w:color="auto"/>
            </w:tcBorders>
          </w:tcPr>
          <w:p w14:paraId="5EE33200" w14:textId="77777777" w:rsidR="002E0FEA" w:rsidRPr="00A81A4F" w:rsidRDefault="002E0FEA" w:rsidP="00E539CE">
            <w:pPr>
              <w:spacing w:after="0" w:line="240" w:lineRule="auto"/>
              <w:jc w:val="both"/>
              <w:rPr>
                <w:b/>
                <w:sz w:val="20"/>
                <w:szCs w:val="20"/>
                <w:lang w:val="en-GB" w:eastAsia="en-US"/>
              </w:rPr>
            </w:pPr>
          </w:p>
        </w:tc>
        <w:tc>
          <w:tcPr>
            <w:tcW w:w="1560" w:type="dxa"/>
            <w:tcBorders>
              <w:top w:val="double" w:sz="4" w:space="0" w:color="auto"/>
            </w:tcBorders>
            <w:shd w:val="clear" w:color="auto" w:fill="auto"/>
          </w:tcPr>
          <w:p w14:paraId="4D0209C2" w14:textId="77777777" w:rsidR="002E0FEA" w:rsidRPr="00A81A4F" w:rsidRDefault="002E0FEA" w:rsidP="00E539CE">
            <w:pPr>
              <w:spacing w:after="0" w:line="240" w:lineRule="auto"/>
              <w:jc w:val="both"/>
              <w:rPr>
                <w:b/>
                <w:sz w:val="20"/>
                <w:szCs w:val="20"/>
                <w:lang w:val="en-GB" w:eastAsia="en-US"/>
              </w:rPr>
            </w:pPr>
          </w:p>
        </w:tc>
      </w:tr>
      <w:tr w:rsidR="002E0FEA" w:rsidRPr="00A81A4F" w14:paraId="75B2F636" w14:textId="77777777" w:rsidTr="00620CED">
        <w:tc>
          <w:tcPr>
            <w:tcW w:w="4809" w:type="dxa"/>
            <w:tcBorders>
              <w:top w:val="nil"/>
            </w:tcBorders>
            <w:shd w:val="clear" w:color="auto" w:fill="auto"/>
            <w:vAlign w:val="center"/>
          </w:tcPr>
          <w:p w14:paraId="6162F90B"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Information Technology</w:t>
            </w:r>
          </w:p>
        </w:tc>
        <w:tc>
          <w:tcPr>
            <w:tcW w:w="1423" w:type="dxa"/>
            <w:shd w:val="clear" w:color="auto" w:fill="auto"/>
          </w:tcPr>
          <w:p w14:paraId="2CF906D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0.482(1.761)†</w:t>
            </w:r>
          </w:p>
        </w:tc>
        <w:tc>
          <w:tcPr>
            <w:tcW w:w="1560" w:type="dxa"/>
          </w:tcPr>
          <w:p w14:paraId="68876860" w14:textId="77777777" w:rsidR="002E0FEA" w:rsidRPr="00A81A4F" w:rsidRDefault="002E0FEA" w:rsidP="00E539CE">
            <w:pPr>
              <w:spacing w:after="0" w:line="240" w:lineRule="auto"/>
              <w:jc w:val="center"/>
              <w:rPr>
                <w:sz w:val="20"/>
                <w:szCs w:val="20"/>
                <w:lang w:val="en-GB" w:eastAsia="en-US"/>
              </w:rPr>
            </w:pPr>
            <w:r w:rsidRPr="00A81A4F">
              <w:rPr>
                <w:sz w:val="20"/>
                <w:szCs w:val="20"/>
              </w:rPr>
              <w:t>0.395(1.502)</w:t>
            </w:r>
          </w:p>
        </w:tc>
        <w:tc>
          <w:tcPr>
            <w:tcW w:w="1559" w:type="dxa"/>
            <w:shd w:val="clear" w:color="auto" w:fill="auto"/>
          </w:tcPr>
          <w:p w14:paraId="2DBC0CA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0.381(1.417)</w:t>
            </w:r>
          </w:p>
        </w:tc>
        <w:tc>
          <w:tcPr>
            <w:tcW w:w="1510" w:type="dxa"/>
            <w:shd w:val="clear" w:color="auto" w:fill="auto"/>
          </w:tcPr>
          <w:p w14:paraId="223E647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0.478(1.880)†</w:t>
            </w:r>
          </w:p>
        </w:tc>
        <w:tc>
          <w:tcPr>
            <w:tcW w:w="1608" w:type="dxa"/>
          </w:tcPr>
          <w:p w14:paraId="4EA033F8" w14:textId="77777777" w:rsidR="002E0FEA" w:rsidRPr="00A81A4F" w:rsidRDefault="002E0FEA" w:rsidP="00E539CE">
            <w:pPr>
              <w:spacing w:after="0" w:line="240" w:lineRule="auto"/>
              <w:jc w:val="center"/>
              <w:rPr>
                <w:sz w:val="20"/>
                <w:szCs w:val="20"/>
                <w:lang w:val="en-GB" w:eastAsia="en-US"/>
              </w:rPr>
            </w:pPr>
            <w:r w:rsidRPr="00A81A4F">
              <w:rPr>
                <w:sz w:val="20"/>
                <w:szCs w:val="20"/>
              </w:rPr>
              <w:t>0.358(1.446)</w:t>
            </w:r>
          </w:p>
        </w:tc>
        <w:tc>
          <w:tcPr>
            <w:tcW w:w="1560" w:type="dxa"/>
            <w:shd w:val="clear" w:color="auto" w:fill="auto"/>
          </w:tcPr>
          <w:p w14:paraId="72F680A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0.432(1.783)†</w:t>
            </w:r>
          </w:p>
        </w:tc>
      </w:tr>
      <w:tr w:rsidR="002E0FEA" w:rsidRPr="00A81A4F" w14:paraId="737315F7" w14:textId="77777777" w:rsidTr="00620CED">
        <w:tc>
          <w:tcPr>
            <w:tcW w:w="4809" w:type="dxa"/>
            <w:shd w:val="clear" w:color="auto" w:fill="auto"/>
            <w:vAlign w:val="center"/>
          </w:tcPr>
          <w:p w14:paraId="6D9C6A94"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Machinery and Equipment</w:t>
            </w:r>
          </w:p>
        </w:tc>
        <w:tc>
          <w:tcPr>
            <w:tcW w:w="1423" w:type="dxa"/>
            <w:shd w:val="clear" w:color="auto" w:fill="auto"/>
          </w:tcPr>
          <w:p w14:paraId="24B19E7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0.359(1.601)</w:t>
            </w:r>
          </w:p>
        </w:tc>
        <w:tc>
          <w:tcPr>
            <w:tcW w:w="1560" w:type="dxa"/>
          </w:tcPr>
          <w:p w14:paraId="4D17ED1A" w14:textId="77777777" w:rsidR="002E0FEA" w:rsidRPr="00A81A4F" w:rsidRDefault="002E0FEA" w:rsidP="00E539CE">
            <w:pPr>
              <w:spacing w:after="0" w:line="240" w:lineRule="auto"/>
              <w:jc w:val="center"/>
              <w:rPr>
                <w:sz w:val="20"/>
                <w:szCs w:val="20"/>
                <w:lang w:val="en-GB" w:eastAsia="en-US"/>
              </w:rPr>
            </w:pPr>
            <w:r w:rsidRPr="00A81A4F">
              <w:rPr>
                <w:sz w:val="20"/>
                <w:szCs w:val="20"/>
              </w:rPr>
              <w:t>0.244(1.124)</w:t>
            </w:r>
          </w:p>
        </w:tc>
        <w:tc>
          <w:tcPr>
            <w:tcW w:w="1559" w:type="dxa"/>
            <w:shd w:val="clear" w:color="auto" w:fill="auto"/>
          </w:tcPr>
          <w:p w14:paraId="29EFE40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0.226(1.027)</w:t>
            </w:r>
          </w:p>
        </w:tc>
        <w:tc>
          <w:tcPr>
            <w:tcW w:w="1510" w:type="dxa"/>
            <w:shd w:val="clear" w:color="auto" w:fill="auto"/>
          </w:tcPr>
          <w:p w14:paraId="730C85E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0.727(3.497)**</w:t>
            </w:r>
          </w:p>
        </w:tc>
        <w:tc>
          <w:tcPr>
            <w:tcW w:w="1608" w:type="dxa"/>
          </w:tcPr>
          <w:p w14:paraId="42793406" w14:textId="77777777" w:rsidR="002E0FEA" w:rsidRPr="00A81A4F" w:rsidRDefault="002E0FEA" w:rsidP="00E539CE">
            <w:pPr>
              <w:spacing w:after="0" w:line="240" w:lineRule="auto"/>
              <w:jc w:val="center"/>
              <w:rPr>
                <w:sz w:val="20"/>
                <w:szCs w:val="20"/>
                <w:lang w:val="en-GB" w:eastAsia="en-US"/>
              </w:rPr>
            </w:pPr>
            <w:r w:rsidRPr="00A81A4F">
              <w:rPr>
                <w:sz w:val="20"/>
                <w:szCs w:val="20"/>
              </w:rPr>
              <w:t>0.660(3.267)**</w:t>
            </w:r>
          </w:p>
        </w:tc>
        <w:tc>
          <w:tcPr>
            <w:tcW w:w="1560" w:type="dxa"/>
            <w:shd w:val="clear" w:color="auto" w:fill="auto"/>
          </w:tcPr>
          <w:p w14:paraId="3ECDAD0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0.602(3.034)**</w:t>
            </w:r>
          </w:p>
        </w:tc>
      </w:tr>
      <w:tr w:rsidR="002E0FEA" w:rsidRPr="00A81A4F" w14:paraId="68FDFC52" w14:textId="77777777" w:rsidTr="00620CED">
        <w:tc>
          <w:tcPr>
            <w:tcW w:w="4809" w:type="dxa"/>
            <w:shd w:val="clear" w:color="auto" w:fill="auto"/>
            <w:vAlign w:val="center"/>
          </w:tcPr>
          <w:p w14:paraId="211EA8AE"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Electronic Goods</w:t>
            </w:r>
          </w:p>
        </w:tc>
        <w:tc>
          <w:tcPr>
            <w:tcW w:w="1423" w:type="dxa"/>
            <w:shd w:val="clear" w:color="auto" w:fill="auto"/>
          </w:tcPr>
          <w:p w14:paraId="3039F01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0.488(1.607)</w:t>
            </w:r>
          </w:p>
        </w:tc>
        <w:tc>
          <w:tcPr>
            <w:tcW w:w="1560" w:type="dxa"/>
          </w:tcPr>
          <w:p w14:paraId="39BD0DEE" w14:textId="77777777" w:rsidR="002E0FEA" w:rsidRPr="00A81A4F" w:rsidRDefault="002E0FEA" w:rsidP="00E539CE">
            <w:pPr>
              <w:spacing w:after="0" w:line="240" w:lineRule="auto"/>
              <w:jc w:val="center"/>
              <w:rPr>
                <w:sz w:val="20"/>
                <w:szCs w:val="20"/>
                <w:lang w:val="en-GB" w:eastAsia="en-US"/>
              </w:rPr>
            </w:pPr>
            <w:r w:rsidRPr="00A81A4F">
              <w:rPr>
                <w:sz w:val="20"/>
                <w:szCs w:val="20"/>
              </w:rPr>
              <w:t>0.225(0.758)</w:t>
            </w:r>
          </w:p>
        </w:tc>
        <w:tc>
          <w:tcPr>
            <w:tcW w:w="1559" w:type="dxa"/>
            <w:shd w:val="clear" w:color="auto" w:fill="auto"/>
          </w:tcPr>
          <w:p w14:paraId="24CC404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0.202(0.675)</w:t>
            </w:r>
          </w:p>
        </w:tc>
        <w:tc>
          <w:tcPr>
            <w:tcW w:w="1510" w:type="dxa"/>
            <w:shd w:val="clear" w:color="auto" w:fill="auto"/>
          </w:tcPr>
          <w:p w14:paraId="4ACB7F7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0.550(1.951)†</w:t>
            </w:r>
          </w:p>
        </w:tc>
        <w:tc>
          <w:tcPr>
            <w:tcW w:w="1608" w:type="dxa"/>
          </w:tcPr>
          <w:p w14:paraId="7BE612F4" w14:textId="77777777" w:rsidR="002E0FEA" w:rsidRPr="00A81A4F" w:rsidRDefault="002E0FEA" w:rsidP="00E539CE">
            <w:pPr>
              <w:spacing w:after="0" w:line="240" w:lineRule="auto"/>
              <w:jc w:val="center"/>
              <w:rPr>
                <w:sz w:val="20"/>
                <w:szCs w:val="20"/>
                <w:lang w:val="en-GB" w:eastAsia="en-US"/>
              </w:rPr>
            </w:pPr>
            <w:r w:rsidRPr="00A81A4F">
              <w:rPr>
                <w:sz w:val="20"/>
                <w:szCs w:val="20"/>
              </w:rPr>
              <w:t>0.414(1.510)</w:t>
            </w:r>
          </w:p>
        </w:tc>
        <w:tc>
          <w:tcPr>
            <w:tcW w:w="1560" w:type="dxa"/>
            <w:shd w:val="clear" w:color="auto" w:fill="auto"/>
          </w:tcPr>
          <w:p w14:paraId="44721E3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0.347(1.282)</w:t>
            </w:r>
          </w:p>
        </w:tc>
      </w:tr>
      <w:tr w:rsidR="002E0FEA" w:rsidRPr="00A81A4F" w14:paraId="5116E472" w14:textId="77777777" w:rsidTr="00620CED">
        <w:tc>
          <w:tcPr>
            <w:tcW w:w="4809" w:type="dxa"/>
            <w:shd w:val="clear" w:color="auto" w:fill="auto"/>
            <w:vAlign w:val="center"/>
          </w:tcPr>
          <w:p w14:paraId="72C5B58B"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Consumer Goods</w:t>
            </w:r>
          </w:p>
        </w:tc>
        <w:tc>
          <w:tcPr>
            <w:tcW w:w="1423" w:type="dxa"/>
            <w:shd w:val="clear" w:color="auto" w:fill="auto"/>
          </w:tcPr>
          <w:p w14:paraId="25D29AF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0.144(0.449)</w:t>
            </w:r>
          </w:p>
        </w:tc>
        <w:tc>
          <w:tcPr>
            <w:tcW w:w="1560" w:type="dxa"/>
          </w:tcPr>
          <w:p w14:paraId="1B8EFCB9" w14:textId="77777777" w:rsidR="002E0FEA" w:rsidRPr="00A81A4F" w:rsidRDefault="002E0FEA" w:rsidP="00E539CE">
            <w:pPr>
              <w:spacing w:after="0" w:line="240" w:lineRule="auto"/>
              <w:jc w:val="center"/>
              <w:rPr>
                <w:sz w:val="20"/>
                <w:szCs w:val="20"/>
                <w:lang w:val="en-GB" w:eastAsia="en-US"/>
              </w:rPr>
            </w:pPr>
            <w:r w:rsidRPr="00A81A4F">
              <w:rPr>
                <w:sz w:val="20"/>
                <w:szCs w:val="20"/>
              </w:rPr>
              <w:t>0.050(0.162)</w:t>
            </w:r>
          </w:p>
        </w:tc>
        <w:tc>
          <w:tcPr>
            <w:tcW w:w="1559" w:type="dxa"/>
            <w:shd w:val="clear" w:color="auto" w:fill="auto"/>
          </w:tcPr>
          <w:p w14:paraId="578211A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0.052(0.167)</w:t>
            </w:r>
          </w:p>
        </w:tc>
        <w:tc>
          <w:tcPr>
            <w:tcW w:w="1510" w:type="dxa"/>
            <w:shd w:val="clear" w:color="auto" w:fill="auto"/>
          </w:tcPr>
          <w:p w14:paraId="33EB582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0.367(1.230)</w:t>
            </w:r>
          </w:p>
        </w:tc>
        <w:tc>
          <w:tcPr>
            <w:tcW w:w="1608" w:type="dxa"/>
          </w:tcPr>
          <w:p w14:paraId="66A2BEDD" w14:textId="77777777" w:rsidR="002E0FEA" w:rsidRPr="00A81A4F" w:rsidRDefault="002E0FEA" w:rsidP="00E539CE">
            <w:pPr>
              <w:spacing w:after="0" w:line="240" w:lineRule="auto"/>
              <w:jc w:val="center"/>
              <w:rPr>
                <w:sz w:val="20"/>
                <w:szCs w:val="20"/>
                <w:lang w:val="en-GB" w:eastAsia="en-US"/>
              </w:rPr>
            </w:pPr>
            <w:r w:rsidRPr="00A81A4F">
              <w:rPr>
                <w:sz w:val="20"/>
                <w:szCs w:val="20"/>
              </w:rPr>
              <w:t>0.304(1.054)</w:t>
            </w:r>
          </w:p>
        </w:tc>
        <w:tc>
          <w:tcPr>
            <w:tcW w:w="1560" w:type="dxa"/>
            <w:shd w:val="clear" w:color="auto" w:fill="auto"/>
          </w:tcPr>
          <w:p w14:paraId="0C81228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0.327(1.166)</w:t>
            </w:r>
          </w:p>
        </w:tc>
      </w:tr>
      <w:tr w:rsidR="002E0FEA" w:rsidRPr="00A81A4F" w14:paraId="15B6890F" w14:textId="77777777" w:rsidTr="00620CED">
        <w:tc>
          <w:tcPr>
            <w:tcW w:w="4809" w:type="dxa"/>
            <w:shd w:val="clear" w:color="auto" w:fill="auto"/>
          </w:tcPr>
          <w:p w14:paraId="7646BADC"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Firm Size</w:t>
            </w:r>
          </w:p>
        </w:tc>
        <w:tc>
          <w:tcPr>
            <w:tcW w:w="1423" w:type="dxa"/>
            <w:shd w:val="clear" w:color="auto" w:fill="auto"/>
          </w:tcPr>
          <w:p w14:paraId="127B74C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0.554(2.842)**</w:t>
            </w:r>
          </w:p>
        </w:tc>
        <w:tc>
          <w:tcPr>
            <w:tcW w:w="1560" w:type="dxa"/>
          </w:tcPr>
          <w:p w14:paraId="253B844E" w14:textId="77777777" w:rsidR="002E0FEA" w:rsidRPr="00A81A4F" w:rsidRDefault="002E0FEA" w:rsidP="00E539CE">
            <w:pPr>
              <w:spacing w:after="0" w:line="240" w:lineRule="auto"/>
              <w:jc w:val="center"/>
              <w:rPr>
                <w:sz w:val="20"/>
                <w:szCs w:val="20"/>
                <w:lang w:val="en-GB" w:eastAsia="en-US"/>
              </w:rPr>
            </w:pPr>
            <w:r w:rsidRPr="00A81A4F">
              <w:rPr>
                <w:sz w:val="20"/>
                <w:szCs w:val="20"/>
              </w:rPr>
              <w:t>0.466(2.441)*</w:t>
            </w:r>
          </w:p>
        </w:tc>
        <w:tc>
          <w:tcPr>
            <w:tcW w:w="1559" w:type="dxa"/>
            <w:shd w:val="clear" w:color="auto" w:fill="auto"/>
          </w:tcPr>
          <w:p w14:paraId="774F7CE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0.462(2.373)*</w:t>
            </w:r>
          </w:p>
        </w:tc>
        <w:tc>
          <w:tcPr>
            <w:tcW w:w="1510" w:type="dxa"/>
            <w:shd w:val="clear" w:color="auto" w:fill="auto"/>
          </w:tcPr>
          <w:p w14:paraId="3F77783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0.454(2.513)*</w:t>
            </w:r>
          </w:p>
        </w:tc>
        <w:tc>
          <w:tcPr>
            <w:tcW w:w="1608" w:type="dxa"/>
          </w:tcPr>
          <w:p w14:paraId="654BCF23" w14:textId="77777777" w:rsidR="002E0FEA" w:rsidRPr="00A81A4F" w:rsidRDefault="002E0FEA" w:rsidP="00E539CE">
            <w:pPr>
              <w:spacing w:after="0" w:line="240" w:lineRule="auto"/>
              <w:jc w:val="center"/>
              <w:rPr>
                <w:sz w:val="20"/>
                <w:szCs w:val="20"/>
                <w:lang w:val="en-GB" w:eastAsia="en-US"/>
              </w:rPr>
            </w:pPr>
            <w:r w:rsidRPr="00A81A4F">
              <w:rPr>
                <w:sz w:val="20"/>
                <w:szCs w:val="20"/>
              </w:rPr>
              <w:t>0.381(2.166)*</w:t>
            </w:r>
          </w:p>
        </w:tc>
        <w:tc>
          <w:tcPr>
            <w:tcW w:w="1560" w:type="dxa"/>
            <w:shd w:val="clear" w:color="auto" w:fill="auto"/>
          </w:tcPr>
          <w:p w14:paraId="285666E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0.462(2.635)**</w:t>
            </w:r>
          </w:p>
        </w:tc>
      </w:tr>
      <w:tr w:rsidR="002E0FEA" w:rsidRPr="00A81A4F" w14:paraId="451A1289" w14:textId="77777777" w:rsidTr="00620CED">
        <w:tc>
          <w:tcPr>
            <w:tcW w:w="4809" w:type="dxa"/>
            <w:shd w:val="clear" w:color="auto" w:fill="auto"/>
          </w:tcPr>
          <w:p w14:paraId="16B4AF76"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Firm Age</w:t>
            </w:r>
          </w:p>
        </w:tc>
        <w:tc>
          <w:tcPr>
            <w:tcW w:w="1423" w:type="dxa"/>
            <w:shd w:val="clear" w:color="auto" w:fill="auto"/>
          </w:tcPr>
          <w:p w14:paraId="2CBBFF6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-0.540(-0.813)</w:t>
            </w:r>
          </w:p>
        </w:tc>
        <w:tc>
          <w:tcPr>
            <w:tcW w:w="1560" w:type="dxa"/>
          </w:tcPr>
          <w:p w14:paraId="43413150" w14:textId="77777777" w:rsidR="002E0FEA" w:rsidRPr="00A81A4F" w:rsidRDefault="002E0FEA" w:rsidP="00E539CE">
            <w:pPr>
              <w:spacing w:after="0" w:line="240" w:lineRule="auto"/>
              <w:jc w:val="center"/>
              <w:rPr>
                <w:sz w:val="20"/>
                <w:szCs w:val="20"/>
                <w:lang w:val="en-GB" w:eastAsia="en-US"/>
              </w:rPr>
            </w:pPr>
            <w:r w:rsidRPr="00A81A4F">
              <w:rPr>
                <w:sz w:val="20"/>
                <w:szCs w:val="20"/>
              </w:rPr>
              <w:t>-0.676(-1.066)</w:t>
            </w:r>
          </w:p>
        </w:tc>
        <w:tc>
          <w:tcPr>
            <w:tcW w:w="1559" w:type="dxa"/>
            <w:shd w:val="clear" w:color="auto" w:fill="auto"/>
          </w:tcPr>
          <w:p w14:paraId="370D945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-0.672(-1.044)</w:t>
            </w:r>
          </w:p>
        </w:tc>
        <w:tc>
          <w:tcPr>
            <w:tcW w:w="1510" w:type="dxa"/>
            <w:shd w:val="clear" w:color="auto" w:fill="auto"/>
          </w:tcPr>
          <w:p w14:paraId="1EFFC17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-0.385(-0.624)</w:t>
            </w:r>
          </w:p>
        </w:tc>
        <w:tc>
          <w:tcPr>
            <w:tcW w:w="1608" w:type="dxa"/>
          </w:tcPr>
          <w:p w14:paraId="54AEBEFC" w14:textId="77777777" w:rsidR="002E0FEA" w:rsidRPr="00A81A4F" w:rsidRDefault="002E0FEA" w:rsidP="00E539CE">
            <w:pPr>
              <w:spacing w:after="0" w:line="240" w:lineRule="auto"/>
              <w:jc w:val="center"/>
              <w:rPr>
                <w:sz w:val="20"/>
                <w:szCs w:val="20"/>
                <w:lang w:val="en-GB" w:eastAsia="en-US"/>
              </w:rPr>
            </w:pPr>
            <w:r w:rsidRPr="00A81A4F">
              <w:rPr>
                <w:sz w:val="20"/>
                <w:szCs w:val="20"/>
              </w:rPr>
              <w:t>-0.374(-0.625)</w:t>
            </w:r>
          </w:p>
        </w:tc>
        <w:tc>
          <w:tcPr>
            <w:tcW w:w="1560" w:type="dxa"/>
            <w:shd w:val="clear" w:color="auto" w:fill="auto"/>
          </w:tcPr>
          <w:p w14:paraId="4EE1BCF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-0.507(-0.874)</w:t>
            </w:r>
          </w:p>
        </w:tc>
      </w:tr>
      <w:tr w:rsidR="002E0FEA" w:rsidRPr="00A81A4F" w14:paraId="09992214" w14:textId="77777777" w:rsidTr="00620CED">
        <w:tc>
          <w:tcPr>
            <w:tcW w:w="4809" w:type="dxa"/>
            <w:shd w:val="clear" w:color="auto" w:fill="auto"/>
          </w:tcPr>
          <w:p w14:paraId="1445F953"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Competitive Intensity</w:t>
            </w:r>
          </w:p>
        </w:tc>
        <w:tc>
          <w:tcPr>
            <w:tcW w:w="1423" w:type="dxa"/>
            <w:shd w:val="clear" w:color="auto" w:fill="auto"/>
          </w:tcPr>
          <w:p w14:paraId="5B7A99A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0.044(0.559)</w:t>
            </w:r>
          </w:p>
        </w:tc>
        <w:tc>
          <w:tcPr>
            <w:tcW w:w="1560" w:type="dxa"/>
          </w:tcPr>
          <w:p w14:paraId="0966685A" w14:textId="77777777" w:rsidR="002E0FEA" w:rsidRPr="00A81A4F" w:rsidRDefault="002E0FEA" w:rsidP="00E539CE">
            <w:pPr>
              <w:spacing w:after="0" w:line="240" w:lineRule="auto"/>
              <w:jc w:val="center"/>
              <w:rPr>
                <w:sz w:val="20"/>
                <w:szCs w:val="20"/>
                <w:lang w:val="en-GB" w:eastAsia="en-US"/>
              </w:rPr>
            </w:pPr>
            <w:r w:rsidRPr="00A81A4F">
              <w:rPr>
                <w:sz w:val="20"/>
                <w:szCs w:val="20"/>
              </w:rPr>
              <w:t>-0.042(-0.546)</w:t>
            </w:r>
          </w:p>
        </w:tc>
        <w:tc>
          <w:tcPr>
            <w:tcW w:w="1559" w:type="dxa"/>
            <w:shd w:val="clear" w:color="auto" w:fill="auto"/>
          </w:tcPr>
          <w:p w14:paraId="38BE0AC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-0.045(-0.566)</w:t>
            </w:r>
          </w:p>
        </w:tc>
        <w:tc>
          <w:tcPr>
            <w:tcW w:w="1510" w:type="dxa"/>
            <w:shd w:val="clear" w:color="auto" w:fill="auto"/>
          </w:tcPr>
          <w:p w14:paraId="6DAF619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0.081(1.108)</w:t>
            </w:r>
          </w:p>
        </w:tc>
        <w:tc>
          <w:tcPr>
            <w:tcW w:w="1608" w:type="dxa"/>
          </w:tcPr>
          <w:p w14:paraId="7C3F784D" w14:textId="77777777" w:rsidR="002E0FEA" w:rsidRPr="00A81A4F" w:rsidRDefault="002E0FEA" w:rsidP="00E539CE">
            <w:pPr>
              <w:spacing w:after="0" w:line="240" w:lineRule="auto"/>
              <w:jc w:val="center"/>
              <w:rPr>
                <w:sz w:val="20"/>
                <w:szCs w:val="20"/>
                <w:lang w:val="en-GB" w:eastAsia="en-US"/>
              </w:rPr>
            </w:pPr>
            <w:r w:rsidRPr="00A81A4F">
              <w:rPr>
                <w:sz w:val="20"/>
                <w:szCs w:val="20"/>
              </w:rPr>
              <w:t>0.017(0.233)</w:t>
            </w:r>
          </w:p>
        </w:tc>
        <w:tc>
          <w:tcPr>
            <w:tcW w:w="1560" w:type="dxa"/>
            <w:shd w:val="clear" w:color="auto" w:fill="auto"/>
          </w:tcPr>
          <w:p w14:paraId="29F726D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0.013(0.180)</w:t>
            </w:r>
          </w:p>
        </w:tc>
      </w:tr>
      <w:tr w:rsidR="002E0FEA" w:rsidRPr="00A81A4F" w14:paraId="4E5C27EC" w14:textId="77777777" w:rsidTr="00620CED">
        <w:tc>
          <w:tcPr>
            <w:tcW w:w="4809" w:type="dxa"/>
            <w:shd w:val="clear" w:color="auto" w:fill="auto"/>
          </w:tcPr>
          <w:p w14:paraId="52BD204C"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Technology Turbulence</w:t>
            </w:r>
          </w:p>
        </w:tc>
        <w:tc>
          <w:tcPr>
            <w:tcW w:w="1423" w:type="dxa"/>
            <w:shd w:val="clear" w:color="auto" w:fill="auto"/>
          </w:tcPr>
          <w:p w14:paraId="3C8CE4F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0.134(1.526)</w:t>
            </w:r>
          </w:p>
        </w:tc>
        <w:tc>
          <w:tcPr>
            <w:tcW w:w="1560" w:type="dxa"/>
          </w:tcPr>
          <w:p w14:paraId="0437C985" w14:textId="77777777" w:rsidR="002E0FEA" w:rsidRPr="00A81A4F" w:rsidRDefault="002E0FEA" w:rsidP="00E539CE">
            <w:pPr>
              <w:spacing w:after="0" w:line="240" w:lineRule="auto"/>
              <w:jc w:val="center"/>
              <w:rPr>
                <w:sz w:val="20"/>
                <w:szCs w:val="20"/>
                <w:lang w:val="en-GB" w:eastAsia="en-US"/>
              </w:rPr>
            </w:pPr>
            <w:r w:rsidRPr="00A81A4F">
              <w:rPr>
                <w:sz w:val="20"/>
                <w:szCs w:val="20"/>
              </w:rPr>
              <w:t>0.054(0.554)</w:t>
            </w:r>
          </w:p>
        </w:tc>
        <w:tc>
          <w:tcPr>
            <w:tcW w:w="1559" w:type="dxa"/>
            <w:shd w:val="clear" w:color="auto" w:fill="auto"/>
          </w:tcPr>
          <w:p w14:paraId="6B3AB03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0.056(0.538)</w:t>
            </w:r>
          </w:p>
        </w:tc>
        <w:tc>
          <w:tcPr>
            <w:tcW w:w="1510" w:type="dxa"/>
            <w:shd w:val="clear" w:color="auto" w:fill="auto"/>
          </w:tcPr>
          <w:p w14:paraId="4587BB1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-0.058(-0.713)</w:t>
            </w:r>
          </w:p>
        </w:tc>
        <w:tc>
          <w:tcPr>
            <w:tcW w:w="1608" w:type="dxa"/>
          </w:tcPr>
          <w:p w14:paraId="03227F7D" w14:textId="77777777" w:rsidR="002E0FEA" w:rsidRPr="00A81A4F" w:rsidRDefault="002E0FEA" w:rsidP="00E539CE">
            <w:pPr>
              <w:spacing w:after="0" w:line="240" w:lineRule="auto"/>
              <w:jc w:val="center"/>
              <w:rPr>
                <w:sz w:val="20"/>
                <w:szCs w:val="20"/>
                <w:lang w:val="en-GB" w:eastAsia="en-US"/>
              </w:rPr>
            </w:pPr>
            <w:r w:rsidRPr="00A81A4F">
              <w:rPr>
                <w:sz w:val="20"/>
                <w:szCs w:val="20"/>
              </w:rPr>
              <w:t>-0.129(-1.514)</w:t>
            </w:r>
          </w:p>
        </w:tc>
        <w:tc>
          <w:tcPr>
            <w:tcW w:w="1560" w:type="dxa"/>
            <w:shd w:val="clear" w:color="auto" w:fill="auto"/>
          </w:tcPr>
          <w:p w14:paraId="5D818F1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-0.142(-1.531)</w:t>
            </w:r>
          </w:p>
        </w:tc>
      </w:tr>
      <w:tr w:rsidR="002E0FEA" w:rsidRPr="00A81A4F" w14:paraId="540FEA0F" w14:textId="77777777" w:rsidTr="00620CED">
        <w:tc>
          <w:tcPr>
            <w:tcW w:w="4809" w:type="dxa"/>
            <w:shd w:val="clear" w:color="auto" w:fill="auto"/>
          </w:tcPr>
          <w:p w14:paraId="40747827"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Market Turbulence</w:t>
            </w:r>
          </w:p>
        </w:tc>
        <w:tc>
          <w:tcPr>
            <w:tcW w:w="1423" w:type="dxa"/>
            <w:shd w:val="clear" w:color="auto" w:fill="auto"/>
          </w:tcPr>
          <w:p w14:paraId="4F324DD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0.201(2.629)**</w:t>
            </w:r>
          </w:p>
        </w:tc>
        <w:tc>
          <w:tcPr>
            <w:tcW w:w="1560" w:type="dxa"/>
          </w:tcPr>
          <w:p w14:paraId="57E099CD" w14:textId="77777777" w:rsidR="002E0FEA" w:rsidRPr="00A81A4F" w:rsidRDefault="002E0FEA" w:rsidP="00E539CE">
            <w:pPr>
              <w:spacing w:after="0" w:line="240" w:lineRule="auto"/>
              <w:jc w:val="center"/>
              <w:rPr>
                <w:sz w:val="20"/>
                <w:szCs w:val="20"/>
                <w:lang w:val="en-GB" w:eastAsia="en-US"/>
              </w:rPr>
            </w:pPr>
            <w:r w:rsidRPr="00A81A4F">
              <w:rPr>
                <w:sz w:val="20"/>
                <w:szCs w:val="20"/>
              </w:rPr>
              <w:t>0.093(1.221)</w:t>
            </w:r>
          </w:p>
        </w:tc>
        <w:tc>
          <w:tcPr>
            <w:tcW w:w="1559" w:type="dxa"/>
            <w:shd w:val="clear" w:color="auto" w:fill="auto"/>
          </w:tcPr>
          <w:p w14:paraId="5E793AD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0.093(1.179)</w:t>
            </w:r>
          </w:p>
        </w:tc>
        <w:tc>
          <w:tcPr>
            <w:tcW w:w="1510" w:type="dxa"/>
            <w:shd w:val="clear" w:color="auto" w:fill="auto"/>
          </w:tcPr>
          <w:p w14:paraId="6BD437F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0.221(3.112)**</w:t>
            </w:r>
          </w:p>
        </w:tc>
        <w:tc>
          <w:tcPr>
            <w:tcW w:w="1608" w:type="dxa"/>
          </w:tcPr>
          <w:p w14:paraId="47747026" w14:textId="77777777" w:rsidR="002E0FEA" w:rsidRPr="00A81A4F" w:rsidRDefault="002E0FEA" w:rsidP="00E539CE">
            <w:pPr>
              <w:spacing w:after="0" w:line="240" w:lineRule="auto"/>
              <w:jc w:val="center"/>
              <w:rPr>
                <w:sz w:val="20"/>
                <w:szCs w:val="20"/>
                <w:lang w:val="en-GB" w:eastAsia="en-US"/>
              </w:rPr>
            </w:pPr>
            <w:r w:rsidRPr="00A81A4F">
              <w:rPr>
                <w:sz w:val="20"/>
                <w:szCs w:val="20"/>
              </w:rPr>
              <w:t>0.177(2.482)*</w:t>
            </w:r>
          </w:p>
        </w:tc>
        <w:tc>
          <w:tcPr>
            <w:tcW w:w="1560" w:type="dxa"/>
            <w:shd w:val="clear" w:color="auto" w:fill="auto"/>
          </w:tcPr>
          <w:p w14:paraId="58FF453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0.142(2.006)*</w:t>
            </w:r>
          </w:p>
        </w:tc>
      </w:tr>
      <w:tr w:rsidR="002E0FEA" w:rsidRPr="00A81A4F" w14:paraId="71B31E42" w14:textId="77777777" w:rsidTr="00620CED">
        <w:tc>
          <w:tcPr>
            <w:tcW w:w="4809" w:type="dxa"/>
            <w:shd w:val="clear" w:color="auto" w:fill="auto"/>
          </w:tcPr>
          <w:p w14:paraId="0193246F" w14:textId="77777777" w:rsidR="002E0FEA" w:rsidRPr="00A81A4F" w:rsidRDefault="002E0FEA" w:rsidP="00E539CE">
            <w:pPr>
              <w:spacing w:after="0" w:line="240" w:lineRule="auto"/>
              <w:jc w:val="center"/>
              <w:rPr>
                <w:b/>
                <w:sz w:val="20"/>
                <w:szCs w:val="20"/>
                <w:lang w:val="en-GB" w:eastAsia="en-US"/>
              </w:rPr>
            </w:pPr>
          </w:p>
        </w:tc>
        <w:tc>
          <w:tcPr>
            <w:tcW w:w="1423" w:type="dxa"/>
            <w:shd w:val="clear" w:color="auto" w:fill="auto"/>
          </w:tcPr>
          <w:p w14:paraId="04E967C8" w14:textId="77777777" w:rsidR="002E0FEA" w:rsidRPr="00A81A4F" w:rsidRDefault="002E0FEA" w:rsidP="00E539CE">
            <w:pPr>
              <w:spacing w:after="0" w:line="240" w:lineRule="auto"/>
              <w:jc w:val="both"/>
              <w:rPr>
                <w:b/>
                <w:sz w:val="20"/>
                <w:szCs w:val="20"/>
                <w:lang w:val="en-GB" w:eastAsia="en-US"/>
              </w:rPr>
            </w:pPr>
          </w:p>
        </w:tc>
        <w:tc>
          <w:tcPr>
            <w:tcW w:w="1560" w:type="dxa"/>
          </w:tcPr>
          <w:p w14:paraId="093F12A4"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53BAD847" w14:textId="77777777" w:rsidR="002E0FEA" w:rsidRPr="00A81A4F" w:rsidRDefault="002E0FEA" w:rsidP="00E539CE">
            <w:pPr>
              <w:spacing w:after="0" w:line="240" w:lineRule="auto"/>
              <w:jc w:val="center"/>
              <w:rPr>
                <w:sz w:val="20"/>
                <w:szCs w:val="20"/>
                <w:lang w:val="en-GB" w:eastAsia="en-US"/>
              </w:rPr>
            </w:pPr>
          </w:p>
        </w:tc>
        <w:tc>
          <w:tcPr>
            <w:tcW w:w="1510" w:type="dxa"/>
            <w:shd w:val="clear" w:color="auto" w:fill="auto"/>
          </w:tcPr>
          <w:p w14:paraId="42080D4A" w14:textId="77777777" w:rsidR="002E0FEA" w:rsidRPr="00A81A4F" w:rsidRDefault="002E0FEA" w:rsidP="00E539CE">
            <w:pPr>
              <w:spacing w:after="0" w:line="240" w:lineRule="auto"/>
              <w:jc w:val="both"/>
              <w:rPr>
                <w:b/>
                <w:sz w:val="20"/>
                <w:szCs w:val="20"/>
                <w:lang w:val="en-GB" w:eastAsia="en-US"/>
              </w:rPr>
            </w:pPr>
          </w:p>
        </w:tc>
        <w:tc>
          <w:tcPr>
            <w:tcW w:w="1608" w:type="dxa"/>
          </w:tcPr>
          <w:p w14:paraId="49F2B8B5"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7FA4D603" w14:textId="77777777" w:rsidR="002E0FEA" w:rsidRPr="00A81A4F" w:rsidRDefault="002E0FEA" w:rsidP="00E539CE">
            <w:pPr>
              <w:spacing w:after="0" w:line="240" w:lineRule="auto"/>
              <w:jc w:val="center"/>
              <w:rPr>
                <w:sz w:val="20"/>
                <w:szCs w:val="20"/>
                <w:lang w:val="en-GB" w:eastAsia="en-US"/>
              </w:rPr>
            </w:pPr>
          </w:p>
        </w:tc>
      </w:tr>
      <w:tr w:rsidR="002E0FEA" w:rsidRPr="00A81A4F" w14:paraId="3BC5BC01" w14:textId="77777777" w:rsidTr="00620CED">
        <w:tc>
          <w:tcPr>
            <w:tcW w:w="4809" w:type="dxa"/>
            <w:shd w:val="clear" w:color="auto" w:fill="auto"/>
          </w:tcPr>
          <w:p w14:paraId="7F9CBCD7"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Independent Variables</w:t>
            </w:r>
          </w:p>
        </w:tc>
        <w:tc>
          <w:tcPr>
            <w:tcW w:w="1423" w:type="dxa"/>
            <w:shd w:val="clear" w:color="auto" w:fill="auto"/>
          </w:tcPr>
          <w:p w14:paraId="3B056F7A" w14:textId="77777777" w:rsidR="002E0FEA" w:rsidRPr="00A81A4F" w:rsidRDefault="002E0FEA" w:rsidP="00E539CE">
            <w:pPr>
              <w:spacing w:after="0" w:line="240" w:lineRule="auto"/>
              <w:jc w:val="both"/>
              <w:rPr>
                <w:b/>
                <w:sz w:val="20"/>
                <w:szCs w:val="20"/>
                <w:lang w:val="en-GB" w:eastAsia="en-US"/>
              </w:rPr>
            </w:pPr>
          </w:p>
        </w:tc>
        <w:tc>
          <w:tcPr>
            <w:tcW w:w="1560" w:type="dxa"/>
          </w:tcPr>
          <w:p w14:paraId="5A928066"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4154A42B" w14:textId="77777777" w:rsidR="002E0FEA" w:rsidRPr="00A81A4F" w:rsidRDefault="002E0FEA" w:rsidP="00E539CE">
            <w:pPr>
              <w:spacing w:after="0" w:line="240" w:lineRule="auto"/>
              <w:jc w:val="center"/>
              <w:rPr>
                <w:sz w:val="20"/>
                <w:szCs w:val="20"/>
                <w:lang w:val="en-GB" w:eastAsia="en-US"/>
              </w:rPr>
            </w:pPr>
          </w:p>
        </w:tc>
        <w:tc>
          <w:tcPr>
            <w:tcW w:w="1510" w:type="dxa"/>
            <w:shd w:val="clear" w:color="auto" w:fill="auto"/>
          </w:tcPr>
          <w:p w14:paraId="672ADAAA" w14:textId="77777777" w:rsidR="002E0FEA" w:rsidRPr="00A81A4F" w:rsidRDefault="002E0FEA" w:rsidP="00E539CE">
            <w:pPr>
              <w:spacing w:after="0" w:line="240" w:lineRule="auto"/>
              <w:jc w:val="both"/>
              <w:rPr>
                <w:b/>
                <w:sz w:val="20"/>
                <w:szCs w:val="20"/>
                <w:lang w:val="en-GB" w:eastAsia="en-US"/>
              </w:rPr>
            </w:pPr>
          </w:p>
        </w:tc>
        <w:tc>
          <w:tcPr>
            <w:tcW w:w="1608" w:type="dxa"/>
          </w:tcPr>
          <w:p w14:paraId="72138BD0"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72E7A584" w14:textId="77777777" w:rsidR="002E0FEA" w:rsidRPr="00A81A4F" w:rsidRDefault="002E0FEA" w:rsidP="00E539CE">
            <w:pPr>
              <w:spacing w:after="0" w:line="240" w:lineRule="auto"/>
              <w:jc w:val="center"/>
              <w:rPr>
                <w:sz w:val="20"/>
                <w:szCs w:val="20"/>
                <w:lang w:val="en-GB" w:eastAsia="en-US"/>
              </w:rPr>
            </w:pPr>
          </w:p>
        </w:tc>
      </w:tr>
      <w:tr w:rsidR="002E0FEA" w:rsidRPr="00A81A4F" w14:paraId="67A629B6" w14:textId="77777777" w:rsidTr="00620CED">
        <w:tc>
          <w:tcPr>
            <w:tcW w:w="4809" w:type="dxa"/>
            <w:shd w:val="clear" w:color="auto" w:fill="auto"/>
          </w:tcPr>
          <w:p w14:paraId="2BCA405D" w14:textId="77777777" w:rsidR="002E0FEA" w:rsidRPr="00A81A4F" w:rsidRDefault="002E0FEA" w:rsidP="00E539CE">
            <w:pPr>
              <w:spacing w:after="0" w:line="240" w:lineRule="auto"/>
              <w:rPr>
                <w:b/>
                <w:sz w:val="20"/>
                <w:szCs w:val="20"/>
                <w:lang w:val="en-GB" w:eastAsia="en-US"/>
              </w:rPr>
            </w:pPr>
            <w:r w:rsidRPr="00A81A4F">
              <w:rPr>
                <w:sz w:val="20"/>
                <w:szCs w:val="20"/>
                <w:lang w:val="en-GB" w:eastAsia="en-US"/>
              </w:rPr>
              <w:t xml:space="preserve">Proactive Environmental Strategy </w:t>
            </w:r>
            <w:r w:rsidRPr="00A81A4F">
              <w:rPr>
                <w:sz w:val="20"/>
                <w:szCs w:val="20"/>
                <w:vertAlign w:val="subscript"/>
                <w:lang w:val="en-GB" w:eastAsia="en-US"/>
              </w:rPr>
              <w:t>Residual</w:t>
            </w:r>
            <w:r w:rsidRPr="00A81A4F">
              <w:rPr>
                <w:sz w:val="20"/>
                <w:szCs w:val="20"/>
                <w:lang w:val="en-GB" w:eastAsia="en-US"/>
              </w:rPr>
              <w:t xml:space="preserve"> (</w:t>
            </w:r>
            <w:proofErr w:type="spellStart"/>
            <w:r w:rsidRPr="00A81A4F">
              <w:rPr>
                <w:sz w:val="20"/>
                <w:szCs w:val="20"/>
                <w:lang w:val="en-GB" w:eastAsia="en-US"/>
              </w:rPr>
              <w:t>PES</w:t>
            </w:r>
            <w:r w:rsidRPr="00A81A4F">
              <w:rPr>
                <w:sz w:val="20"/>
                <w:szCs w:val="20"/>
                <w:vertAlign w:val="subscript"/>
                <w:lang w:val="en-GB" w:eastAsia="en-US"/>
              </w:rPr>
              <w:t>Residual</w:t>
            </w:r>
            <w:proofErr w:type="spellEnd"/>
            <w:r w:rsidRPr="00A81A4F">
              <w:rPr>
                <w:sz w:val="20"/>
                <w:szCs w:val="20"/>
                <w:lang w:val="en-GB" w:eastAsia="en-US"/>
              </w:rPr>
              <w:t>)</w:t>
            </w:r>
          </w:p>
        </w:tc>
        <w:tc>
          <w:tcPr>
            <w:tcW w:w="1423" w:type="dxa"/>
            <w:shd w:val="clear" w:color="auto" w:fill="auto"/>
          </w:tcPr>
          <w:p w14:paraId="09140D00" w14:textId="77777777" w:rsidR="002E0FEA" w:rsidRPr="00A81A4F" w:rsidRDefault="002E0FEA" w:rsidP="00E539CE">
            <w:pPr>
              <w:spacing w:after="0" w:line="240" w:lineRule="auto"/>
              <w:jc w:val="center"/>
              <w:rPr>
                <w:b/>
                <w:sz w:val="20"/>
                <w:szCs w:val="20"/>
                <w:lang w:val="en-GB" w:eastAsia="en-US"/>
              </w:rPr>
            </w:pPr>
            <w:r w:rsidRPr="00A81A4F">
              <w:rPr>
                <w:sz w:val="20"/>
                <w:szCs w:val="20"/>
                <w:lang w:val="en-GB" w:eastAsia="en-US"/>
              </w:rPr>
              <w:t>0.217(2.139)*</w:t>
            </w:r>
          </w:p>
        </w:tc>
        <w:tc>
          <w:tcPr>
            <w:tcW w:w="1560" w:type="dxa"/>
          </w:tcPr>
          <w:p w14:paraId="61436AFA" w14:textId="77777777" w:rsidR="002E0FEA" w:rsidRPr="00A81A4F" w:rsidRDefault="002E0FEA" w:rsidP="00E539CE">
            <w:pPr>
              <w:spacing w:after="0" w:line="240" w:lineRule="auto"/>
              <w:jc w:val="center"/>
              <w:rPr>
                <w:sz w:val="20"/>
                <w:szCs w:val="20"/>
                <w:lang w:val="en-GB" w:eastAsia="en-US"/>
              </w:rPr>
            </w:pPr>
            <w:r w:rsidRPr="00A81A4F">
              <w:rPr>
                <w:sz w:val="20"/>
                <w:szCs w:val="20"/>
              </w:rPr>
              <w:t>0.234(1.773)†</w:t>
            </w:r>
          </w:p>
        </w:tc>
        <w:tc>
          <w:tcPr>
            <w:tcW w:w="1559" w:type="dxa"/>
            <w:shd w:val="clear" w:color="auto" w:fill="auto"/>
          </w:tcPr>
          <w:p w14:paraId="726BD89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0.267(1.639)</w:t>
            </w:r>
          </w:p>
        </w:tc>
        <w:tc>
          <w:tcPr>
            <w:tcW w:w="1510" w:type="dxa"/>
            <w:shd w:val="clear" w:color="auto" w:fill="auto"/>
          </w:tcPr>
          <w:p w14:paraId="2E6084DA" w14:textId="77777777" w:rsidR="002E0FEA" w:rsidRPr="00A81A4F" w:rsidRDefault="002E0FEA" w:rsidP="00E539CE">
            <w:pPr>
              <w:spacing w:after="0" w:line="240" w:lineRule="auto"/>
              <w:jc w:val="center"/>
              <w:rPr>
                <w:b/>
                <w:sz w:val="20"/>
                <w:szCs w:val="20"/>
                <w:lang w:val="en-GB" w:eastAsia="en-US"/>
              </w:rPr>
            </w:pPr>
            <w:r w:rsidRPr="00A81A4F">
              <w:rPr>
                <w:sz w:val="20"/>
                <w:szCs w:val="20"/>
                <w:lang w:val="en-GB" w:eastAsia="en-US"/>
              </w:rPr>
              <w:t>0.214(2.278)*</w:t>
            </w:r>
          </w:p>
        </w:tc>
        <w:tc>
          <w:tcPr>
            <w:tcW w:w="1608" w:type="dxa"/>
          </w:tcPr>
          <w:p w14:paraId="47D56601" w14:textId="77777777" w:rsidR="002E0FEA" w:rsidRPr="00A81A4F" w:rsidRDefault="002E0FEA" w:rsidP="00E539CE">
            <w:pPr>
              <w:spacing w:after="0" w:line="240" w:lineRule="auto"/>
              <w:jc w:val="center"/>
              <w:rPr>
                <w:sz w:val="20"/>
                <w:szCs w:val="20"/>
                <w:lang w:val="en-GB" w:eastAsia="en-US"/>
              </w:rPr>
            </w:pPr>
            <w:r w:rsidRPr="00A81A4F">
              <w:rPr>
                <w:sz w:val="20"/>
                <w:szCs w:val="20"/>
              </w:rPr>
              <w:t>0.235(1.746)†</w:t>
            </w:r>
          </w:p>
        </w:tc>
        <w:tc>
          <w:tcPr>
            <w:tcW w:w="1560" w:type="dxa"/>
            <w:shd w:val="clear" w:color="auto" w:fill="auto"/>
          </w:tcPr>
          <w:p w14:paraId="60B700C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0.389(2.654)**</w:t>
            </w:r>
          </w:p>
        </w:tc>
      </w:tr>
      <w:tr w:rsidR="002E0FEA" w:rsidRPr="00A81A4F" w14:paraId="24E16DE0" w14:textId="77777777" w:rsidTr="00620CED">
        <w:tc>
          <w:tcPr>
            <w:tcW w:w="4809" w:type="dxa"/>
            <w:shd w:val="clear" w:color="auto" w:fill="auto"/>
          </w:tcPr>
          <w:p w14:paraId="6C9B0D45" w14:textId="77777777" w:rsidR="002E0FEA" w:rsidRPr="00A81A4F" w:rsidRDefault="002E0FEA" w:rsidP="00E539CE">
            <w:pPr>
              <w:spacing w:after="0" w:line="240" w:lineRule="auto"/>
              <w:jc w:val="center"/>
              <w:rPr>
                <w:b/>
                <w:sz w:val="20"/>
                <w:szCs w:val="20"/>
                <w:lang w:val="en-GB" w:eastAsia="en-US"/>
              </w:rPr>
            </w:pPr>
          </w:p>
        </w:tc>
        <w:tc>
          <w:tcPr>
            <w:tcW w:w="1423" w:type="dxa"/>
            <w:shd w:val="clear" w:color="auto" w:fill="auto"/>
          </w:tcPr>
          <w:p w14:paraId="13590E53" w14:textId="77777777" w:rsidR="002E0FEA" w:rsidRPr="00A81A4F" w:rsidRDefault="002E0FEA" w:rsidP="00E539CE">
            <w:pPr>
              <w:spacing w:after="0" w:line="240" w:lineRule="auto"/>
              <w:jc w:val="both"/>
              <w:rPr>
                <w:b/>
                <w:sz w:val="20"/>
                <w:szCs w:val="20"/>
                <w:lang w:val="en-GB" w:eastAsia="en-US"/>
              </w:rPr>
            </w:pPr>
          </w:p>
        </w:tc>
        <w:tc>
          <w:tcPr>
            <w:tcW w:w="1560" w:type="dxa"/>
          </w:tcPr>
          <w:p w14:paraId="5A873C2D"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111C62C4" w14:textId="77777777" w:rsidR="002E0FEA" w:rsidRPr="00A81A4F" w:rsidRDefault="002E0FEA" w:rsidP="00E539CE">
            <w:pPr>
              <w:spacing w:after="0" w:line="240" w:lineRule="auto"/>
              <w:jc w:val="center"/>
              <w:rPr>
                <w:sz w:val="20"/>
                <w:szCs w:val="20"/>
                <w:lang w:val="en-GB" w:eastAsia="en-US"/>
              </w:rPr>
            </w:pPr>
          </w:p>
        </w:tc>
        <w:tc>
          <w:tcPr>
            <w:tcW w:w="1510" w:type="dxa"/>
            <w:shd w:val="clear" w:color="auto" w:fill="auto"/>
          </w:tcPr>
          <w:p w14:paraId="0905B992" w14:textId="77777777" w:rsidR="002E0FEA" w:rsidRPr="00A81A4F" w:rsidRDefault="002E0FEA" w:rsidP="00E539CE">
            <w:pPr>
              <w:spacing w:after="0" w:line="240" w:lineRule="auto"/>
              <w:jc w:val="both"/>
              <w:rPr>
                <w:b/>
                <w:sz w:val="20"/>
                <w:szCs w:val="20"/>
                <w:lang w:val="en-GB" w:eastAsia="en-US"/>
              </w:rPr>
            </w:pPr>
          </w:p>
        </w:tc>
        <w:tc>
          <w:tcPr>
            <w:tcW w:w="1608" w:type="dxa"/>
          </w:tcPr>
          <w:p w14:paraId="3BACCAA4"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6EE6BCAF" w14:textId="77777777" w:rsidR="002E0FEA" w:rsidRPr="00A81A4F" w:rsidRDefault="002E0FEA" w:rsidP="00E539CE">
            <w:pPr>
              <w:spacing w:after="0" w:line="240" w:lineRule="auto"/>
              <w:jc w:val="center"/>
              <w:rPr>
                <w:sz w:val="20"/>
                <w:szCs w:val="20"/>
                <w:lang w:val="en-GB" w:eastAsia="en-US"/>
              </w:rPr>
            </w:pPr>
          </w:p>
        </w:tc>
      </w:tr>
      <w:tr w:rsidR="002E0FEA" w:rsidRPr="00A81A4F" w14:paraId="273F64C6" w14:textId="77777777" w:rsidTr="00620CED">
        <w:tc>
          <w:tcPr>
            <w:tcW w:w="4809" w:type="dxa"/>
            <w:shd w:val="clear" w:color="auto" w:fill="auto"/>
          </w:tcPr>
          <w:p w14:paraId="7740FE37"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Moderator</w:t>
            </w:r>
          </w:p>
        </w:tc>
        <w:tc>
          <w:tcPr>
            <w:tcW w:w="1423" w:type="dxa"/>
            <w:shd w:val="clear" w:color="auto" w:fill="auto"/>
          </w:tcPr>
          <w:p w14:paraId="13658E00" w14:textId="77777777" w:rsidR="002E0FEA" w:rsidRPr="00A81A4F" w:rsidRDefault="002E0FEA" w:rsidP="00E539CE">
            <w:pPr>
              <w:spacing w:after="0" w:line="240" w:lineRule="auto"/>
              <w:jc w:val="both"/>
              <w:rPr>
                <w:b/>
                <w:sz w:val="20"/>
                <w:szCs w:val="20"/>
                <w:lang w:val="en-GB" w:eastAsia="en-US"/>
              </w:rPr>
            </w:pPr>
          </w:p>
        </w:tc>
        <w:tc>
          <w:tcPr>
            <w:tcW w:w="1560" w:type="dxa"/>
          </w:tcPr>
          <w:p w14:paraId="3A055FF4"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7B3EF831" w14:textId="77777777" w:rsidR="002E0FEA" w:rsidRPr="00A81A4F" w:rsidRDefault="002E0FEA" w:rsidP="00E539CE">
            <w:pPr>
              <w:spacing w:after="0" w:line="240" w:lineRule="auto"/>
              <w:jc w:val="center"/>
              <w:rPr>
                <w:sz w:val="20"/>
                <w:szCs w:val="20"/>
                <w:lang w:val="en-GB" w:eastAsia="en-US"/>
              </w:rPr>
            </w:pPr>
          </w:p>
        </w:tc>
        <w:tc>
          <w:tcPr>
            <w:tcW w:w="1510" w:type="dxa"/>
            <w:shd w:val="clear" w:color="auto" w:fill="auto"/>
          </w:tcPr>
          <w:p w14:paraId="39C466DD" w14:textId="77777777" w:rsidR="002E0FEA" w:rsidRPr="00A81A4F" w:rsidRDefault="002E0FEA" w:rsidP="00E539CE">
            <w:pPr>
              <w:spacing w:after="0" w:line="240" w:lineRule="auto"/>
              <w:jc w:val="both"/>
              <w:rPr>
                <w:b/>
                <w:sz w:val="20"/>
                <w:szCs w:val="20"/>
                <w:lang w:val="en-GB" w:eastAsia="en-US"/>
              </w:rPr>
            </w:pPr>
          </w:p>
        </w:tc>
        <w:tc>
          <w:tcPr>
            <w:tcW w:w="1608" w:type="dxa"/>
          </w:tcPr>
          <w:p w14:paraId="3EAAF7E3"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3FF4A3DE" w14:textId="77777777" w:rsidR="002E0FEA" w:rsidRPr="00A81A4F" w:rsidRDefault="002E0FEA" w:rsidP="00E539CE">
            <w:pPr>
              <w:spacing w:after="0" w:line="240" w:lineRule="auto"/>
              <w:jc w:val="center"/>
              <w:rPr>
                <w:sz w:val="20"/>
                <w:szCs w:val="20"/>
                <w:lang w:val="en-GB" w:eastAsia="en-US"/>
              </w:rPr>
            </w:pPr>
          </w:p>
        </w:tc>
      </w:tr>
      <w:tr w:rsidR="002E0FEA" w:rsidRPr="00A81A4F" w14:paraId="04620032" w14:textId="77777777" w:rsidTr="00620CED">
        <w:tc>
          <w:tcPr>
            <w:tcW w:w="4809" w:type="dxa"/>
            <w:shd w:val="clear" w:color="auto" w:fill="auto"/>
          </w:tcPr>
          <w:p w14:paraId="4609D3B3"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 xml:space="preserve">Foreign Environmental Regulatory Pressure (ERP) </w:t>
            </w:r>
          </w:p>
        </w:tc>
        <w:tc>
          <w:tcPr>
            <w:tcW w:w="1423" w:type="dxa"/>
            <w:shd w:val="clear" w:color="auto" w:fill="auto"/>
          </w:tcPr>
          <w:p w14:paraId="020B56B8" w14:textId="77777777" w:rsidR="002E0FEA" w:rsidRPr="00A81A4F" w:rsidRDefault="002E0FEA" w:rsidP="00E539CE">
            <w:pPr>
              <w:spacing w:after="0" w:line="240" w:lineRule="auto"/>
              <w:jc w:val="both"/>
              <w:rPr>
                <w:b/>
                <w:sz w:val="20"/>
                <w:szCs w:val="20"/>
                <w:lang w:val="en-GB" w:eastAsia="en-US"/>
              </w:rPr>
            </w:pPr>
          </w:p>
        </w:tc>
        <w:tc>
          <w:tcPr>
            <w:tcW w:w="1560" w:type="dxa"/>
          </w:tcPr>
          <w:p w14:paraId="080A7869" w14:textId="77777777" w:rsidR="002E0FEA" w:rsidRPr="00A81A4F" w:rsidRDefault="002E0FEA" w:rsidP="00E539CE">
            <w:pPr>
              <w:spacing w:after="0" w:line="240" w:lineRule="auto"/>
              <w:jc w:val="center"/>
              <w:rPr>
                <w:sz w:val="20"/>
                <w:szCs w:val="20"/>
                <w:lang w:val="en-GB" w:eastAsia="en-US"/>
              </w:rPr>
            </w:pPr>
            <w:r w:rsidRPr="00A81A4F">
              <w:rPr>
                <w:sz w:val="20"/>
                <w:szCs w:val="20"/>
              </w:rPr>
              <w:t>0.353(2.511)**</w:t>
            </w:r>
          </w:p>
        </w:tc>
        <w:tc>
          <w:tcPr>
            <w:tcW w:w="1559" w:type="dxa"/>
            <w:shd w:val="clear" w:color="auto" w:fill="auto"/>
          </w:tcPr>
          <w:p w14:paraId="14BA040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0.351(2.414)*</w:t>
            </w:r>
          </w:p>
        </w:tc>
        <w:tc>
          <w:tcPr>
            <w:tcW w:w="1510" w:type="dxa"/>
            <w:shd w:val="clear" w:color="auto" w:fill="auto"/>
          </w:tcPr>
          <w:p w14:paraId="3F394DA3" w14:textId="77777777" w:rsidR="002E0FEA" w:rsidRPr="00A81A4F" w:rsidRDefault="002E0FEA" w:rsidP="00E539CE">
            <w:pPr>
              <w:spacing w:after="0" w:line="240" w:lineRule="auto"/>
              <w:jc w:val="both"/>
              <w:rPr>
                <w:b/>
                <w:sz w:val="20"/>
                <w:szCs w:val="20"/>
                <w:lang w:val="en-GB" w:eastAsia="en-US"/>
              </w:rPr>
            </w:pPr>
          </w:p>
        </w:tc>
        <w:tc>
          <w:tcPr>
            <w:tcW w:w="1608" w:type="dxa"/>
          </w:tcPr>
          <w:p w14:paraId="14642D4A"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622A1B3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0.078(0.597)</w:t>
            </w:r>
          </w:p>
        </w:tc>
      </w:tr>
      <w:tr w:rsidR="002E0FEA" w:rsidRPr="00A81A4F" w14:paraId="630E28C7" w14:textId="77777777" w:rsidTr="00620CED">
        <w:tc>
          <w:tcPr>
            <w:tcW w:w="4809" w:type="dxa"/>
            <w:shd w:val="clear" w:color="auto" w:fill="auto"/>
          </w:tcPr>
          <w:p w14:paraId="3EAE2607"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Foreign ERP</w:t>
            </w:r>
            <w:r w:rsidRPr="00A81A4F">
              <w:rPr>
                <w:sz w:val="20"/>
                <w:szCs w:val="20"/>
                <w:vertAlign w:val="superscript"/>
                <w:lang w:val="en-GB" w:eastAsia="en-US"/>
              </w:rPr>
              <w:t>2</w:t>
            </w:r>
            <w:r w:rsidRPr="00A81A4F">
              <w:rPr>
                <w:sz w:val="20"/>
                <w:szCs w:val="20"/>
                <w:lang w:val="en-GB" w:eastAsia="en-US"/>
              </w:rPr>
              <w:t xml:space="preserve"> </w:t>
            </w:r>
          </w:p>
        </w:tc>
        <w:tc>
          <w:tcPr>
            <w:tcW w:w="1423" w:type="dxa"/>
            <w:shd w:val="clear" w:color="auto" w:fill="auto"/>
          </w:tcPr>
          <w:p w14:paraId="39F5A64C" w14:textId="77777777" w:rsidR="002E0FEA" w:rsidRPr="00A81A4F" w:rsidRDefault="002E0FEA" w:rsidP="00E539CE">
            <w:pPr>
              <w:spacing w:after="0" w:line="240" w:lineRule="auto"/>
              <w:jc w:val="both"/>
              <w:rPr>
                <w:b/>
                <w:sz w:val="20"/>
                <w:szCs w:val="20"/>
                <w:lang w:val="en-GB" w:eastAsia="en-US"/>
              </w:rPr>
            </w:pPr>
          </w:p>
        </w:tc>
        <w:tc>
          <w:tcPr>
            <w:tcW w:w="1560" w:type="dxa"/>
          </w:tcPr>
          <w:p w14:paraId="1FF97D97" w14:textId="77777777" w:rsidR="002E0FEA" w:rsidRPr="00A81A4F" w:rsidRDefault="002E0FEA" w:rsidP="00E539CE">
            <w:pPr>
              <w:spacing w:after="0" w:line="240" w:lineRule="auto"/>
              <w:jc w:val="center"/>
              <w:rPr>
                <w:sz w:val="20"/>
                <w:szCs w:val="20"/>
                <w:lang w:val="en-GB" w:eastAsia="en-US"/>
              </w:rPr>
            </w:pPr>
            <w:r w:rsidRPr="00A81A4F">
              <w:rPr>
                <w:sz w:val="20"/>
                <w:szCs w:val="20"/>
              </w:rPr>
              <w:t>0.033(0.633)</w:t>
            </w:r>
          </w:p>
        </w:tc>
        <w:tc>
          <w:tcPr>
            <w:tcW w:w="1559" w:type="dxa"/>
            <w:shd w:val="clear" w:color="auto" w:fill="auto"/>
          </w:tcPr>
          <w:p w14:paraId="4153C46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-0.029(-0.185)</w:t>
            </w:r>
          </w:p>
        </w:tc>
        <w:tc>
          <w:tcPr>
            <w:tcW w:w="1510" w:type="dxa"/>
            <w:shd w:val="clear" w:color="auto" w:fill="auto"/>
          </w:tcPr>
          <w:p w14:paraId="45A16B65" w14:textId="77777777" w:rsidR="002E0FEA" w:rsidRPr="00A81A4F" w:rsidRDefault="002E0FEA" w:rsidP="00E539CE">
            <w:pPr>
              <w:spacing w:after="0" w:line="240" w:lineRule="auto"/>
              <w:jc w:val="both"/>
              <w:rPr>
                <w:b/>
                <w:sz w:val="20"/>
                <w:szCs w:val="20"/>
                <w:lang w:val="en-GB" w:eastAsia="en-US"/>
              </w:rPr>
            </w:pPr>
          </w:p>
        </w:tc>
        <w:tc>
          <w:tcPr>
            <w:tcW w:w="1608" w:type="dxa"/>
          </w:tcPr>
          <w:p w14:paraId="5CA1D755"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47CEC95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-0.011(-0.078)</w:t>
            </w:r>
          </w:p>
        </w:tc>
      </w:tr>
      <w:tr w:rsidR="002E0FEA" w:rsidRPr="00A81A4F" w14:paraId="7BECF545" w14:textId="77777777" w:rsidTr="00620CED">
        <w:tc>
          <w:tcPr>
            <w:tcW w:w="4809" w:type="dxa"/>
            <w:shd w:val="clear" w:color="auto" w:fill="auto"/>
          </w:tcPr>
          <w:p w14:paraId="313F39E7"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Foreign Environmental Customer Pressure (ECP)</w:t>
            </w:r>
          </w:p>
        </w:tc>
        <w:tc>
          <w:tcPr>
            <w:tcW w:w="1423" w:type="dxa"/>
            <w:shd w:val="clear" w:color="auto" w:fill="auto"/>
          </w:tcPr>
          <w:p w14:paraId="619D2410" w14:textId="77777777" w:rsidR="002E0FEA" w:rsidRPr="00A81A4F" w:rsidRDefault="002E0FEA" w:rsidP="00E539CE">
            <w:pPr>
              <w:spacing w:after="0" w:line="240" w:lineRule="auto"/>
              <w:jc w:val="both"/>
              <w:rPr>
                <w:b/>
                <w:sz w:val="20"/>
                <w:szCs w:val="20"/>
                <w:lang w:val="en-GB" w:eastAsia="en-US"/>
              </w:rPr>
            </w:pPr>
          </w:p>
        </w:tc>
        <w:tc>
          <w:tcPr>
            <w:tcW w:w="1560" w:type="dxa"/>
          </w:tcPr>
          <w:p w14:paraId="647D6F26"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3B1DEFE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0.043(0.747)</w:t>
            </w:r>
          </w:p>
        </w:tc>
        <w:tc>
          <w:tcPr>
            <w:tcW w:w="1510" w:type="dxa"/>
            <w:shd w:val="clear" w:color="auto" w:fill="auto"/>
          </w:tcPr>
          <w:p w14:paraId="068853DF" w14:textId="77777777" w:rsidR="002E0FEA" w:rsidRPr="00A81A4F" w:rsidRDefault="002E0FEA" w:rsidP="00E539CE">
            <w:pPr>
              <w:spacing w:after="0" w:line="240" w:lineRule="auto"/>
              <w:jc w:val="both"/>
              <w:rPr>
                <w:b/>
                <w:sz w:val="20"/>
                <w:szCs w:val="20"/>
                <w:lang w:val="en-GB" w:eastAsia="en-US"/>
              </w:rPr>
            </w:pPr>
          </w:p>
        </w:tc>
        <w:tc>
          <w:tcPr>
            <w:tcW w:w="1608" w:type="dxa"/>
          </w:tcPr>
          <w:p w14:paraId="37065047" w14:textId="77777777" w:rsidR="002E0FEA" w:rsidRPr="00A81A4F" w:rsidRDefault="002E0FEA" w:rsidP="00E539CE">
            <w:pPr>
              <w:spacing w:after="0" w:line="240" w:lineRule="auto"/>
              <w:jc w:val="center"/>
              <w:rPr>
                <w:sz w:val="20"/>
                <w:szCs w:val="20"/>
                <w:lang w:val="en-GB" w:eastAsia="en-US"/>
              </w:rPr>
            </w:pPr>
            <w:r w:rsidRPr="00A81A4F">
              <w:rPr>
                <w:sz w:val="20"/>
                <w:szCs w:val="20"/>
              </w:rPr>
              <w:t>0.146(1.057)</w:t>
            </w:r>
          </w:p>
        </w:tc>
        <w:tc>
          <w:tcPr>
            <w:tcW w:w="1560" w:type="dxa"/>
            <w:shd w:val="clear" w:color="auto" w:fill="auto"/>
          </w:tcPr>
          <w:p w14:paraId="08428B7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-0.051(-0.985)</w:t>
            </w:r>
          </w:p>
        </w:tc>
      </w:tr>
      <w:tr w:rsidR="002E0FEA" w:rsidRPr="00A81A4F" w14:paraId="198731BB" w14:textId="77777777" w:rsidTr="00620CED">
        <w:tc>
          <w:tcPr>
            <w:tcW w:w="4809" w:type="dxa"/>
            <w:shd w:val="clear" w:color="auto" w:fill="auto"/>
          </w:tcPr>
          <w:p w14:paraId="4C8A5C3D"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Foreign ECP</w:t>
            </w:r>
            <w:r w:rsidRPr="00A81A4F">
              <w:rPr>
                <w:sz w:val="20"/>
                <w:szCs w:val="20"/>
                <w:vertAlign w:val="superscript"/>
                <w:lang w:val="en-GB" w:eastAsia="en-US"/>
              </w:rPr>
              <w:t>2</w:t>
            </w:r>
          </w:p>
        </w:tc>
        <w:tc>
          <w:tcPr>
            <w:tcW w:w="1423" w:type="dxa"/>
            <w:shd w:val="clear" w:color="auto" w:fill="auto"/>
          </w:tcPr>
          <w:p w14:paraId="730179E2" w14:textId="77777777" w:rsidR="002E0FEA" w:rsidRPr="00A81A4F" w:rsidRDefault="002E0FEA" w:rsidP="00E539CE">
            <w:pPr>
              <w:spacing w:after="0" w:line="240" w:lineRule="auto"/>
              <w:jc w:val="both"/>
              <w:rPr>
                <w:b/>
                <w:sz w:val="20"/>
                <w:szCs w:val="20"/>
                <w:lang w:val="en-GB" w:eastAsia="en-US"/>
              </w:rPr>
            </w:pPr>
          </w:p>
        </w:tc>
        <w:tc>
          <w:tcPr>
            <w:tcW w:w="1560" w:type="dxa"/>
          </w:tcPr>
          <w:p w14:paraId="1AADB842"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158277D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-0.094(-0.682)</w:t>
            </w:r>
          </w:p>
        </w:tc>
        <w:tc>
          <w:tcPr>
            <w:tcW w:w="1510" w:type="dxa"/>
            <w:shd w:val="clear" w:color="auto" w:fill="auto"/>
          </w:tcPr>
          <w:p w14:paraId="493C7854" w14:textId="77777777" w:rsidR="002E0FEA" w:rsidRPr="00A81A4F" w:rsidRDefault="002E0FEA" w:rsidP="00E539CE">
            <w:pPr>
              <w:spacing w:after="0" w:line="240" w:lineRule="auto"/>
              <w:jc w:val="both"/>
              <w:rPr>
                <w:b/>
                <w:sz w:val="20"/>
                <w:szCs w:val="20"/>
                <w:lang w:val="en-GB" w:eastAsia="en-US"/>
              </w:rPr>
            </w:pPr>
          </w:p>
        </w:tc>
        <w:tc>
          <w:tcPr>
            <w:tcW w:w="1608" w:type="dxa"/>
          </w:tcPr>
          <w:p w14:paraId="2FE106B5" w14:textId="77777777" w:rsidR="002E0FEA" w:rsidRPr="00A81A4F" w:rsidRDefault="002E0FEA" w:rsidP="00E539CE">
            <w:pPr>
              <w:spacing w:after="0" w:line="240" w:lineRule="auto"/>
              <w:jc w:val="center"/>
              <w:rPr>
                <w:sz w:val="20"/>
                <w:szCs w:val="20"/>
                <w:lang w:val="en-GB" w:eastAsia="en-US"/>
              </w:rPr>
            </w:pPr>
            <w:r w:rsidRPr="00A81A4F">
              <w:rPr>
                <w:sz w:val="20"/>
                <w:szCs w:val="20"/>
              </w:rPr>
              <w:t>-0.356(-3.396)**</w:t>
            </w:r>
          </w:p>
        </w:tc>
        <w:tc>
          <w:tcPr>
            <w:tcW w:w="1560" w:type="dxa"/>
            <w:shd w:val="clear" w:color="auto" w:fill="auto"/>
          </w:tcPr>
          <w:p w14:paraId="66CB1F9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-0.118(-0.948)</w:t>
            </w:r>
          </w:p>
        </w:tc>
      </w:tr>
      <w:tr w:rsidR="002E0FEA" w:rsidRPr="00A81A4F" w14:paraId="3B3DD37F" w14:textId="77777777" w:rsidTr="00620CED">
        <w:tc>
          <w:tcPr>
            <w:tcW w:w="4809" w:type="dxa"/>
            <w:shd w:val="clear" w:color="auto" w:fill="auto"/>
          </w:tcPr>
          <w:p w14:paraId="728B98EA" w14:textId="77777777" w:rsidR="002E0FEA" w:rsidRPr="00A81A4F" w:rsidRDefault="002E0FEA" w:rsidP="00E539CE">
            <w:pPr>
              <w:spacing w:after="0" w:line="240" w:lineRule="auto"/>
              <w:jc w:val="center"/>
              <w:rPr>
                <w:b/>
                <w:sz w:val="20"/>
                <w:szCs w:val="20"/>
                <w:lang w:val="en-GB" w:eastAsia="en-US"/>
              </w:rPr>
            </w:pPr>
          </w:p>
        </w:tc>
        <w:tc>
          <w:tcPr>
            <w:tcW w:w="1423" w:type="dxa"/>
            <w:shd w:val="clear" w:color="auto" w:fill="auto"/>
          </w:tcPr>
          <w:p w14:paraId="70763BDF" w14:textId="77777777" w:rsidR="002E0FEA" w:rsidRPr="00A81A4F" w:rsidRDefault="002E0FEA" w:rsidP="00E539CE">
            <w:pPr>
              <w:spacing w:after="0" w:line="240" w:lineRule="auto"/>
              <w:jc w:val="both"/>
              <w:rPr>
                <w:b/>
                <w:sz w:val="20"/>
                <w:szCs w:val="20"/>
                <w:lang w:val="en-GB" w:eastAsia="en-US"/>
              </w:rPr>
            </w:pPr>
          </w:p>
        </w:tc>
        <w:tc>
          <w:tcPr>
            <w:tcW w:w="1560" w:type="dxa"/>
          </w:tcPr>
          <w:p w14:paraId="02E3C563" w14:textId="77777777" w:rsidR="002E0FEA" w:rsidRPr="00A81A4F" w:rsidRDefault="002E0FEA" w:rsidP="00E539CE">
            <w:pPr>
              <w:spacing w:after="0" w:line="240" w:lineRule="auto"/>
              <w:jc w:val="both"/>
              <w:rPr>
                <w:b/>
                <w:sz w:val="20"/>
                <w:szCs w:val="20"/>
                <w:lang w:val="en-GB" w:eastAsia="en-US"/>
              </w:rPr>
            </w:pPr>
          </w:p>
        </w:tc>
        <w:tc>
          <w:tcPr>
            <w:tcW w:w="1559" w:type="dxa"/>
            <w:shd w:val="clear" w:color="auto" w:fill="auto"/>
          </w:tcPr>
          <w:p w14:paraId="771825AD" w14:textId="77777777" w:rsidR="002E0FEA" w:rsidRPr="00A81A4F" w:rsidRDefault="002E0FEA" w:rsidP="00E539CE">
            <w:pPr>
              <w:spacing w:after="0" w:line="240" w:lineRule="auto"/>
              <w:jc w:val="both"/>
              <w:rPr>
                <w:b/>
                <w:sz w:val="20"/>
                <w:szCs w:val="20"/>
                <w:lang w:val="en-GB" w:eastAsia="en-US"/>
              </w:rPr>
            </w:pPr>
          </w:p>
        </w:tc>
        <w:tc>
          <w:tcPr>
            <w:tcW w:w="1510" w:type="dxa"/>
            <w:shd w:val="clear" w:color="auto" w:fill="auto"/>
          </w:tcPr>
          <w:p w14:paraId="746A5F53" w14:textId="77777777" w:rsidR="002E0FEA" w:rsidRPr="00A81A4F" w:rsidRDefault="002E0FEA" w:rsidP="00E539CE">
            <w:pPr>
              <w:spacing w:after="0" w:line="240" w:lineRule="auto"/>
              <w:jc w:val="both"/>
              <w:rPr>
                <w:b/>
                <w:sz w:val="20"/>
                <w:szCs w:val="20"/>
                <w:lang w:val="en-GB" w:eastAsia="en-US"/>
              </w:rPr>
            </w:pPr>
          </w:p>
        </w:tc>
        <w:tc>
          <w:tcPr>
            <w:tcW w:w="1608" w:type="dxa"/>
          </w:tcPr>
          <w:p w14:paraId="2FD7DF46" w14:textId="77777777" w:rsidR="002E0FEA" w:rsidRPr="00A81A4F" w:rsidRDefault="002E0FEA" w:rsidP="00E539CE">
            <w:pPr>
              <w:spacing w:after="0" w:line="240" w:lineRule="auto"/>
              <w:jc w:val="both"/>
              <w:rPr>
                <w:b/>
                <w:sz w:val="20"/>
                <w:szCs w:val="20"/>
                <w:lang w:val="en-GB" w:eastAsia="en-US"/>
              </w:rPr>
            </w:pPr>
          </w:p>
        </w:tc>
        <w:tc>
          <w:tcPr>
            <w:tcW w:w="1560" w:type="dxa"/>
            <w:shd w:val="clear" w:color="auto" w:fill="auto"/>
          </w:tcPr>
          <w:p w14:paraId="079D5E78" w14:textId="77777777" w:rsidR="002E0FEA" w:rsidRPr="00A81A4F" w:rsidRDefault="002E0FEA" w:rsidP="00E539CE">
            <w:pPr>
              <w:spacing w:after="0" w:line="240" w:lineRule="auto"/>
              <w:jc w:val="both"/>
              <w:rPr>
                <w:b/>
                <w:sz w:val="20"/>
                <w:szCs w:val="20"/>
                <w:lang w:val="en-GB" w:eastAsia="en-US"/>
              </w:rPr>
            </w:pPr>
          </w:p>
        </w:tc>
      </w:tr>
      <w:tr w:rsidR="002E0FEA" w:rsidRPr="00A81A4F" w14:paraId="23F0BB66" w14:textId="77777777" w:rsidTr="00620CED">
        <w:tc>
          <w:tcPr>
            <w:tcW w:w="4809" w:type="dxa"/>
            <w:shd w:val="clear" w:color="auto" w:fill="auto"/>
          </w:tcPr>
          <w:p w14:paraId="4DE787ED"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Interactions</w:t>
            </w:r>
          </w:p>
        </w:tc>
        <w:tc>
          <w:tcPr>
            <w:tcW w:w="1423" w:type="dxa"/>
            <w:shd w:val="clear" w:color="auto" w:fill="auto"/>
          </w:tcPr>
          <w:p w14:paraId="4656724D" w14:textId="77777777" w:rsidR="002E0FEA" w:rsidRPr="00A81A4F" w:rsidRDefault="002E0FEA" w:rsidP="00E539CE">
            <w:pPr>
              <w:spacing w:after="0" w:line="240" w:lineRule="auto"/>
              <w:jc w:val="both"/>
              <w:rPr>
                <w:b/>
                <w:sz w:val="20"/>
                <w:szCs w:val="20"/>
                <w:lang w:val="en-GB" w:eastAsia="en-US"/>
              </w:rPr>
            </w:pPr>
          </w:p>
        </w:tc>
        <w:tc>
          <w:tcPr>
            <w:tcW w:w="1560" w:type="dxa"/>
          </w:tcPr>
          <w:p w14:paraId="7D6BE0B1" w14:textId="77777777" w:rsidR="002E0FEA" w:rsidRPr="00A81A4F" w:rsidRDefault="002E0FEA" w:rsidP="00E539CE">
            <w:pPr>
              <w:spacing w:after="0" w:line="240" w:lineRule="auto"/>
              <w:jc w:val="both"/>
              <w:rPr>
                <w:b/>
                <w:sz w:val="20"/>
                <w:szCs w:val="20"/>
                <w:lang w:val="en-GB" w:eastAsia="en-US"/>
              </w:rPr>
            </w:pPr>
          </w:p>
        </w:tc>
        <w:tc>
          <w:tcPr>
            <w:tcW w:w="1559" w:type="dxa"/>
            <w:shd w:val="clear" w:color="auto" w:fill="auto"/>
          </w:tcPr>
          <w:p w14:paraId="2E97D5A5" w14:textId="77777777" w:rsidR="002E0FEA" w:rsidRPr="00A81A4F" w:rsidRDefault="002E0FEA" w:rsidP="00E539CE">
            <w:pPr>
              <w:spacing w:after="0" w:line="240" w:lineRule="auto"/>
              <w:jc w:val="both"/>
              <w:rPr>
                <w:b/>
                <w:sz w:val="20"/>
                <w:szCs w:val="20"/>
                <w:lang w:val="en-GB" w:eastAsia="en-US"/>
              </w:rPr>
            </w:pPr>
          </w:p>
        </w:tc>
        <w:tc>
          <w:tcPr>
            <w:tcW w:w="1510" w:type="dxa"/>
            <w:shd w:val="clear" w:color="auto" w:fill="auto"/>
          </w:tcPr>
          <w:p w14:paraId="11EBF1C9" w14:textId="77777777" w:rsidR="002E0FEA" w:rsidRPr="00A81A4F" w:rsidRDefault="002E0FEA" w:rsidP="00E539CE">
            <w:pPr>
              <w:spacing w:after="0" w:line="240" w:lineRule="auto"/>
              <w:jc w:val="both"/>
              <w:rPr>
                <w:b/>
                <w:sz w:val="20"/>
                <w:szCs w:val="20"/>
                <w:lang w:val="en-GB" w:eastAsia="en-US"/>
              </w:rPr>
            </w:pPr>
          </w:p>
        </w:tc>
        <w:tc>
          <w:tcPr>
            <w:tcW w:w="1608" w:type="dxa"/>
          </w:tcPr>
          <w:p w14:paraId="23A77381" w14:textId="77777777" w:rsidR="002E0FEA" w:rsidRPr="00A81A4F" w:rsidRDefault="002E0FEA" w:rsidP="00E539CE">
            <w:pPr>
              <w:spacing w:after="0" w:line="240" w:lineRule="auto"/>
              <w:jc w:val="both"/>
              <w:rPr>
                <w:b/>
                <w:sz w:val="20"/>
                <w:szCs w:val="20"/>
                <w:lang w:val="en-GB" w:eastAsia="en-US"/>
              </w:rPr>
            </w:pPr>
          </w:p>
        </w:tc>
        <w:tc>
          <w:tcPr>
            <w:tcW w:w="1560" w:type="dxa"/>
            <w:shd w:val="clear" w:color="auto" w:fill="auto"/>
          </w:tcPr>
          <w:p w14:paraId="6A06DA47" w14:textId="77777777" w:rsidR="002E0FEA" w:rsidRPr="00A81A4F" w:rsidRDefault="002E0FEA" w:rsidP="00E539CE">
            <w:pPr>
              <w:spacing w:after="0" w:line="240" w:lineRule="auto"/>
              <w:jc w:val="both"/>
              <w:rPr>
                <w:b/>
                <w:sz w:val="20"/>
                <w:szCs w:val="20"/>
                <w:lang w:val="en-GB" w:eastAsia="en-US"/>
              </w:rPr>
            </w:pPr>
          </w:p>
        </w:tc>
      </w:tr>
      <w:tr w:rsidR="002E0FEA" w:rsidRPr="00A81A4F" w14:paraId="3AE4D791" w14:textId="77777777" w:rsidTr="00620CED">
        <w:tc>
          <w:tcPr>
            <w:tcW w:w="4809" w:type="dxa"/>
            <w:shd w:val="clear" w:color="auto" w:fill="auto"/>
          </w:tcPr>
          <w:p w14:paraId="6551F738" w14:textId="77777777" w:rsidR="002E0FEA" w:rsidRPr="00A81A4F" w:rsidRDefault="002E0FEA" w:rsidP="00E539CE">
            <w:pPr>
              <w:spacing w:after="0" w:line="240" w:lineRule="auto"/>
              <w:jc w:val="both"/>
              <w:rPr>
                <w:sz w:val="20"/>
                <w:szCs w:val="20"/>
                <w:lang w:val="en-GB" w:eastAsia="en-US"/>
              </w:rPr>
            </w:pPr>
            <w:proofErr w:type="spellStart"/>
            <w:r w:rsidRPr="00A81A4F">
              <w:rPr>
                <w:sz w:val="20"/>
                <w:szCs w:val="20"/>
                <w:lang w:val="en-GB" w:eastAsia="en-US"/>
              </w:rPr>
              <w:t>PES</w:t>
            </w:r>
            <w:r w:rsidRPr="00A81A4F">
              <w:rPr>
                <w:sz w:val="20"/>
                <w:szCs w:val="20"/>
                <w:vertAlign w:val="subscript"/>
                <w:lang w:val="en-GB" w:eastAsia="en-US"/>
              </w:rPr>
              <w:t>Residual</w:t>
            </w:r>
            <w:proofErr w:type="spellEnd"/>
            <w:r w:rsidRPr="00A81A4F">
              <w:rPr>
                <w:sz w:val="20"/>
                <w:szCs w:val="20"/>
                <w:lang w:val="en-GB" w:eastAsia="en-US"/>
              </w:rPr>
              <w:t xml:space="preserve"> x Foreign ERP</w:t>
            </w:r>
          </w:p>
        </w:tc>
        <w:tc>
          <w:tcPr>
            <w:tcW w:w="1423" w:type="dxa"/>
            <w:shd w:val="clear" w:color="auto" w:fill="auto"/>
          </w:tcPr>
          <w:p w14:paraId="1485FDE8" w14:textId="77777777" w:rsidR="002E0FEA" w:rsidRPr="00A81A4F" w:rsidRDefault="002E0FEA" w:rsidP="00E539CE">
            <w:pPr>
              <w:spacing w:after="0" w:line="240" w:lineRule="auto"/>
              <w:jc w:val="both"/>
              <w:rPr>
                <w:sz w:val="20"/>
                <w:szCs w:val="20"/>
                <w:lang w:val="en-GB" w:eastAsia="en-US"/>
              </w:rPr>
            </w:pPr>
          </w:p>
        </w:tc>
        <w:tc>
          <w:tcPr>
            <w:tcW w:w="1560" w:type="dxa"/>
          </w:tcPr>
          <w:p w14:paraId="736A6999" w14:textId="77777777" w:rsidR="002E0FEA" w:rsidRPr="00A81A4F" w:rsidRDefault="002E0FEA" w:rsidP="00E539CE">
            <w:pPr>
              <w:spacing w:after="0" w:line="240" w:lineRule="auto"/>
              <w:jc w:val="center"/>
              <w:rPr>
                <w:sz w:val="20"/>
                <w:szCs w:val="20"/>
                <w:lang w:val="en-GB" w:eastAsia="en-US"/>
              </w:rPr>
            </w:pPr>
            <w:r w:rsidRPr="00A81A4F">
              <w:rPr>
                <w:sz w:val="20"/>
                <w:szCs w:val="20"/>
              </w:rPr>
              <w:t>-0.319(-2.222)*</w:t>
            </w:r>
          </w:p>
        </w:tc>
        <w:tc>
          <w:tcPr>
            <w:tcW w:w="1559" w:type="dxa"/>
            <w:shd w:val="clear" w:color="auto" w:fill="auto"/>
          </w:tcPr>
          <w:p w14:paraId="5461F4E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-0.241(-1.433)</w:t>
            </w:r>
          </w:p>
        </w:tc>
        <w:tc>
          <w:tcPr>
            <w:tcW w:w="1510" w:type="dxa"/>
            <w:shd w:val="clear" w:color="auto" w:fill="auto"/>
          </w:tcPr>
          <w:p w14:paraId="4CFC8E4B" w14:textId="77777777" w:rsidR="002E0FEA" w:rsidRPr="00A81A4F" w:rsidRDefault="002E0FEA" w:rsidP="00E539CE">
            <w:pPr>
              <w:spacing w:after="0" w:line="240" w:lineRule="auto"/>
              <w:jc w:val="center"/>
              <w:rPr>
                <w:rFonts w:cs="Calibri"/>
                <w:sz w:val="20"/>
                <w:szCs w:val="20"/>
                <w:lang w:val="en-GB" w:eastAsia="en-US"/>
              </w:rPr>
            </w:pPr>
          </w:p>
        </w:tc>
        <w:tc>
          <w:tcPr>
            <w:tcW w:w="1608" w:type="dxa"/>
          </w:tcPr>
          <w:p w14:paraId="0FEBA752"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5E7EA09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0.158(1.040)</w:t>
            </w:r>
          </w:p>
        </w:tc>
      </w:tr>
      <w:tr w:rsidR="002E0FEA" w:rsidRPr="00A81A4F" w14:paraId="5F03EB33" w14:textId="77777777" w:rsidTr="00620CED">
        <w:tc>
          <w:tcPr>
            <w:tcW w:w="4809" w:type="dxa"/>
            <w:shd w:val="clear" w:color="auto" w:fill="auto"/>
          </w:tcPr>
          <w:p w14:paraId="782EAD6A" w14:textId="77777777" w:rsidR="002E0FEA" w:rsidRPr="00A81A4F" w:rsidRDefault="002E0FEA" w:rsidP="00E539CE">
            <w:pPr>
              <w:spacing w:after="0" w:line="240" w:lineRule="auto"/>
              <w:jc w:val="both"/>
              <w:rPr>
                <w:sz w:val="20"/>
                <w:szCs w:val="20"/>
                <w:lang w:val="en-GB" w:eastAsia="en-US"/>
              </w:rPr>
            </w:pPr>
            <w:proofErr w:type="spellStart"/>
            <w:r w:rsidRPr="00A81A4F">
              <w:rPr>
                <w:sz w:val="20"/>
                <w:szCs w:val="20"/>
                <w:lang w:val="en-GB" w:eastAsia="en-US"/>
              </w:rPr>
              <w:t>PES</w:t>
            </w:r>
            <w:r w:rsidRPr="00A81A4F">
              <w:rPr>
                <w:sz w:val="20"/>
                <w:szCs w:val="20"/>
                <w:vertAlign w:val="subscript"/>
                <w:lang w:val="en-GB" w:eastAsia="en-US"/>
              </w:rPr>
              <w:t>Residual</w:t>
            </w:r>
            <w:proofErr w:type="spellEnd"/>
            <w:r w:rsidRPr="00A81A4F">
              <w:rPr>
                <w:sz w:val="20"/>
                <w:szCs w:val="20"/>
                <w:lang w:val="en-GB" w:eastAsia="en-US"/>
              </w:rPr>
              <w:t xml:space="preserve"> x Foreign ERP</w:t>
            </w:r>
            <w:r w:rsidRPr="00A81A4F">
              <w:rPr>
                <w:sz w:val="20"/>
                <w:szCs w:val="20"/>
                <w:vertAlign w:val="superscript"/>
                <w:lang w:val="en-GB" w:eastAsia="en-US"/>
              </w:rPr>
              <w:t>2</w:t>
            </w:r>
          </w:p>
        </w:tc>
        <w:tc>
          <w:tcPr>
            <w:tcW w:w="1423" w:type="dxa"/>
            <w:shd w:val="clear" w:color="auto" w:fill="auto"/>
          </w:tcPr>
          <w:p w14:paraId="31BFB03F" w14:textId="77777777" w:rsidR="002E0FEA" w:rsidRPr="00A81A4F" w:rsidRDefault="002E0FEA" w:rsidP="00E539CE">
            <w:pPr>
              <w:spacing w:after="0" w:line="240" w:lineRule="auto"/>
              <w:jc w:val="both"/>
              <w:rPr>
                <w:sz w:val="20"/>
                <w:szCs w:val="20"/>
                <w:lang w:val="en-GB" w:eastAsia="en-US"/>
              </w:rPr>
            </w:pPr>
          </w:p>
        </w:tc>
        <w:tc>
          <w:tcPr>
            <w:tcW w:w="1560" w:type="dxa"/>
          </w:tcPr>
          <w:p w14:paraId="21D93ABA" w14:textId="77777777" w:rsidR="002E0FEA" w:rsidRPr="00A81A4F" w:rsidRDefault="002E0FEA" w:rsidP="00E539CE">
            <w:pPr>
              <w:spacing w:after="0" w:line="240" w:lineRule="auto"/>
              <w:jc w:val="center"/>
              <w:rPr>
                <w:sz w:val="20"/>
                <w:szCs w:val="20"/>
                <w:lang w:val="en-GB" w:eastAsia="en-US"/>
              </w:rPr>
            </w:pPr>
            <w:r w:rsidRPr="00A81A4F">
              <w:rPr>
                <w:sz w:val="20"/>
                <w:szCs w:val="20"/>
              </w:rPr>
              <w:t>-0.140(-3.536)**</w:t>
            </w:r>
          </w:p>
        </w:tc>
        <w:tc>
          <w:tcPr>
            <w:tcW w:w="1559" w:type="dxa"/>
            <w:shd w:val="clear" w:color="auto" w:fill="auto"/>
          </w:tcPr>
          <w:p w14:paraId="25AEC33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-0.125(-2.977)**</w:t>
            </w:r>
          </w:p>
        </w:tc>
        <w:tc>
          <w:tcPr>
            <w:tcW w:w="1510" w:type="dxa"/>
            <w:shd w:val="clear" w:color="auto" w:fill="auto"/>
          </w:tcPr>
          <w:p w14:paraId="3C84FAEA" w14:textId="77777777" w:rsidR="002E0FEA" w:rsidRPr="00A81A4F" w:rsidRDefault="002E0FEA" w:rsidP="00E539CE">
            <w:pPr>
              <w:spacing w:after="0" w:line="240" w:lineRule="auto"/>
              <w:jc w:val="center"/>
              <w:rPr>
                <w:rFonts w:cs="Calibri"/>
                <w:sz w:val="20"/>
                <w:szCs w:val="20"/>
                <w:lang w:val="en-GB" w:eastAsia="en-US"/>
              </w:rPr>
            </w:pPr>
          </w:p>
        </w:tc>
        <w:tc>
          <w:tcPr>
            <w:tcW w:w="1608" w:type="dxa"/>
          </w:tcPr>
          <w:p w14:paraId="549AB13B" w14:textId="77777777" w:rsidR="002E0FEA" w:rsidRPr="00A81A4F" w:rsidRDefault="002E0FEA" w:rsidP="00E539CE">
            <w:pPr>
              <w:spacing w:after="0" w:line="240" w:lineRule="auto"/>
              <w:jc w:val="center"/>
              <w:rPr>
                <w:sz w:val="20"/>
                <w:szCs w:val="20"/>
                <w:lang w:val="en-GB" w:eastAsia="en-US"/>
              </w:rPr>
            </w:pPr>
          </w:p>
        </w:tc>
        <w:tc>
          <w:tcPr>
            <w:tcW w:w="1560" w:type="dxa"/>
            <w:shd w:val="clear" w:color="auto" w:fill="auto"/>
          </w:tcPr>
          <w:p w14:paraId="4D8E168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-0.050(-1.331)</w:t>
            </w:r>
          </w:p>
        </w:tc>
      </w:tr>
      <w:tr w:rsidR="002E0FEA" w:rsidRPr="00A81A4F" w14:paraId="7BB6774A" w14:textId="77777777" w:rsidTr="00620CED">
        <w:tc>
          <w:tcPr>
            <w:tcW w:w="4809" w:type="dxa"/>
            <w:shd w:val="clear" w:color="auto" w:fill="auto"/>
          </w:tcPr>
          <w:p w14:paraId="3462E469" w14:textId="77777777" w:rsidR="002E0FEA" w:rsidRPr="00A81A4F" w:rsidRDefault="002E0FEA" w:rsidP="00E539CE">
            <w:pPr>
              <w:spacing w:after="0" w:line="240" w:lineRule="auto"/>
              <w:jc w:val="both"/>
              <w:rPr>
                <w:sz w:val="20"/>
                <w:szCs w:val="20"/>
                <w:lang w:val="en-GB" w:eastAsia="en-US"/>
              </w:rPr>
            </w:pPr>
            <w:proofErr w:type="spellStart"/>
            <w:r w:rsidRPr="00A81A4F">
              <w:rPr>
                <w:sz w:val="20"/>
                <w:szCs w:val="20"/>
                <w:lang w:val="en-GB" w:eastAsia="en-US"/>
              </w:rPr>
              <w:t>PES</w:t>
            </w:r>
            <w:r w:rsidRPr="00A81A4F">
              <w:rPr>
                <w:sz w:val="20"/>
                <w:szCs w:val="20"/>
                <w:vertAlign w:val="subscript"/>
                <w:lang w:val="en-GB" w:eastAsia="en-US"/>
              </w:rPr>
              <w:t>Residual</w:t>
            </w:r>
            <w:proofErr w:type="spellEnd"/>
            <w:r w:rsidRPr="00A81A4F">
              <w:rPr>
                <w:sz w:val="20"/>
                <w:szCs w:val="20"/>
                <w:lang w:val="en-GB" w:eastAsia="en-US"/>
              </w:rPr>
              <w:t xml:space="preserve"> x Foreign ECP</w:t>
            </w:r>
          </w:p>
        </w:tc>
        <w:tc>
          <w:tcPr>
            <w:tcW w:w="1423" w:type="dxa"/>
            <w:shd w:val="clear" w:color="auto" w:fill="auto"/>
          </w:tcPr>
          <w:p w14:paraId="50E164AA" w14:textId="77777777" w:rsidR="002E0FEA" w:rsidRPr="00A81A4F" w:rsidRDefault="002E0FEA" w:rsidP="00E539CE">
            <w:pPr>
              <w:spacing w:after="0" w:line="240" w:lineRule="auto"/>
              <w:jc w:val="both"/>
              <w:rPr>
                <w:sz w:val="20"/>
                <w:szCs w:val="20"/>
                <w:lang w:val="en-GB" w:eastAsia="en-US"/>
              </w:rPr>
            </w:pPr>
          </w:p>
        </w:tc>
        <w:tc>
          <w:tcPr>
            <w:tcW w:w="1560" w:type="dxa"/>
          </w:tcPr>
          <w:p w14:paraId="71DFA366"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2B8C717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-0.095(-0.484)</w:t>
            </w:r>
          </w:p>
        </w:tc>
        <w:tc>
          <w:tcPr>
            <w:tcW w:w="1510" w:type="dxa"/>
            <w:shd w:val="clear" w:color="auto" w:fill="auto"/>
          </w:tcPr>
          <w:p w14:paraId="45EAEF47" w14:textId="77777777" w:rsidR="002E0FEA" w:rsidRPr="00A81A4F" w:rsidRDefault="002E0FEA" w:rsidP="00E539CE">
            <w:pPr>
              <w:spacing w:after="0" w:line="240" w:lineRule="auto"/>
              <w:jc w:val="center"/>
              <w:rPr>
                <w:rFonts w:cs="Calibri"/>
                <w:sz w:val="20"/>
                <w:szCs w:val="20"/>
                <w:lang w:val="en-GB" w:eastAsia="en-US"/>
              </w:rPr>
            </w:pPr>
          </w:p>
        </w:tc>
        <w:tc>
          <w:tcPr>
            <w:tcW w:w="1608" w:type="dxa"/>
          </w:tcPr>
          <w:p w14:paraId="60EA3DF9" w14:textId="77777777" w:rsidR="002E0FEA" w:rsidRPr="00A81A4F" w:rsidRDefault="002E0FEA" w:rsidP="00E539CE">
            <w:pPr>
              <w:spacing w:after="0" w:line="240" w:lineRule="auto"/>
              <w:jc w:val="center"/>
              <w:rPr>
                <w:sz w:val="20"/>
                <w:szCs w:val="20"/>
                <w:lang w:val="en-GB" w:eastAsia="en-US"/>
              </w:rPr>
            </w:pPr>
            <w:r w:rsidRPr="00A81A4F">
              <w:rPr>
                <w:sz w:val="20"/>
                <w:szCs w:val="20"/>
              </w:rPr>
              <w:t>-0.131(-0.906)</w:t>
            </w:r>
          </w:p>
        </w:tc>
        <w:tc>
          <w:tcPr>
            <w:tcW w:w="1560" w:type="dxa"/>
            <w:shd w:val="clear" w:color="auto" w:fill="auto"/>
          </w:tcPr>
          <w:p w14:paraId="155868B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-0.541(-3.059)**</w:t>
            </w:r>
          </w:p>
        </w:tc>
      </w:tr>
      <w:tr w:rsidR="002E0FEA" w:rsidRPr="00A81A4F" w14:paraId="0F9B50E9" w14:textId="77777777" w:rsidTr="00620CED">
        <w:tc>
          <w:tcPr>
            <w:tcW w:w="4809" w:type="dxa"/>
            <w:shd w:val="clear" w:color="auto" w:fill="auto"/>
          </w:tcPr>
          <w:p w14:paraId="220B5C47" w14:textId="77777777" w:rsidR="002E0FEA" w:rsidRPr="00A81A4F" w:rsidRDefault="002E0FEA" w:rsidP="00E539CE">
            <w:pPr>
              <w:spacing w:after="0" w:line="240" w:lineRule="auto"/>
              <w:jc w:val="both"/>
              <w:rPr>
                <w:sz w:val="20"/>
                <w:szCs w:val="20"/>
                <w:lang w:val="en-GB" w:eastAsia="en-US"/>
              </w:rPr>
            </w:pPr>
            <w:proofErr w:type="spellStart"/>
            <w:r w:rsidRPr="00A81A4F">
              <w:rPr>
                <w:sz w:val="20"/>
                <w:szCs w:val="20"/>
                <w:lang w:val="en-GB" w:eastAsia="en-US"/>
              </w:rPr>
              <w:t>PES</w:t>
            </w:r>
            <w:r w:rsidRPr="00A81A4F">
              <w:rPr>
                <w:sz w:val="20"/>
                <w:szCs w:val="20"/>
                <w:vertAlign w:val="subscript"/>
                <w:lang w:val="en-GB" w:eastAsia="en-US"/>
              </w:rPr>
              <w:t>Residual</w:t>
            </w:r>
            <w:proofErr w:type="spellEnd"/>
            <w:r w:rsidRPr="00A81A4F">
              <w:rPr>
                <w:sz w:val="20"/>
                <w:szCs w:val="20"/>
                <w:lang w:val="en-GB" w:eastAsia="en-US"/>
              </w:rPr>
              <w:t xml:space="preserve"> x Foreign ECP</w:t>
            </w:r>
            <w:r w:rsidRPr="00A81A4F">
              <w:rPr>
                <w:sz w:val="20"/>
                <w:szCs w:val="20"/>
                <w:vertAlign w:val="superscript"/>
                <w:lang w:val="en-GB" w:eastAsia="en-US"/>
              </w:rPr>
              <w:t>2</w:t>
            </w:r>
          </w:p>
        </w:tc>
        <w:tc>
          <w:tcPr>
            <w:tcW w:w="1423" w:type="dxa"/>
            <w:shd w:val="clear" w:color="auto" w:fill="auto"/>
          </w:tcPr>
          <w:p w14:paraId="28DFD627" w14:textId="77777777" w:rsidR="002E0FEA" w:rsidRPr="00A81A4F" w:rsidRDefault="002E0FEA" w:rsidP="00E539CE">
            <w:pPr>
              <w:spacing w:after="0" w:line="240" w:lineRule="auto"/>
              <w:jc w:val="both"/>
              <w:rPr>
                <w:sz w:val="20"/>
                <w:szCs w:val="20"/>
                <w:lang w:val="en-GB" w:eastAsia="en-US"/>
              </w:rPr>
            </w:pPr>
          </w:p>
        </w:tc>
        <w:tc>
          <w:tcPr>
            <w:tcW w:w="1560" w:type="dxa"/>
          </w:tcPr>
          <w:p w14:paraId="2E275F26" w14:textId="77777777" w:rsidR="002E0FEA" w:rsidRPr="00A81A4F" w:rsidRDefault="002E0FEA" w:rsidP="00E539CE">
            <w:pPr>
              <w:spacing w:after="0" w:line="240" w:lineRule="auto"/>
              <w:jc w:val="center"/>
              <w:rPr>
                <w:sz w:val="20"/>
                <w:szCs w:val="20"/>
                <w:lang w:val="en-GB" w:eastAsia="en-US"/>
              </w:rPr>
            </w:pPr>
          </w:p>
        </w:tc>
        <w:tc>
          <w:tcPr>
            <w:tcW w:w="1559" w:type="dxa"/>
            <w:shd w:val="clear" w:color="auto" w:fill="auto"/>
          </w:tcPr>
          <w:p w14:paraId="377A0B7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-0.059(-0.558)</w:t>
            </w:r>
          </w:p>
        </w:tc>
        <w:tc>
          <w:tcPr>
            <w:tcW w:w="1510" w:type="dxa"/>
            <w:shd w:val="clear" w:color="auto" w:fill="auto"/>
          </w:tcPr>
          <w:p w14:paraId="6017E70B" w14:textId="77777777" w:rsidR="002E0FEA" w:rsidRPr="00A81A4F" w:rsidRDefault="002E0FEA" w:rsidP="00E539CE">
            <w:pPr>
              <w:spacing w:after="0" w:line="240" w:lineRule="auto"/>
              <w:jc w:val="center"/>
              <w:rPr>
                <w:rFonts w:cs="Calibri"/>
                <w:sz w:val="20"/>
                <w:szCs w:val="20"/>
                <w:lang w:val="en-GB" w:eastAsia="en-US"/>
              </w:rPr>
            </w:pPr>
          </w:p>
        </w:tc>
        <w:tc>
          <w:tcPr>
            <w:tcW w:w="1608" w:type="dxa"/>
          </w:tcPr>
          <w:p w14:paraId="10077E05" w14:textId="77777777" w:rsidR="002E0FEA" w:rsidRPr="00A81A4F" w:rsidRDefault="002E0FEA" w:rsidP="00E539CE">
            <w:pPr>
              <w:spacing w:after="0" w:line="240" w:lineRule="auto"/>
              <w:jc w:val="center"/>
              <w:rPr>
                <w:sz w:val="20"/>
                <w:szCs w:val="20"/>
                <w:lang w:val="en-GB" w:eastAsia="en-US"/>
              </w:rPr>
            </w:pPr>
            <w:r w:rsidRPr="00A81A4F">
              <w:rPr>
                <w:sz w:val="20"/>
                <w:szCs w:val="20"/>
              </w:rPr>
              <w:t>-0.229(-2.424)*</w:t>
            </w:r>
          </w:p>
        </w:tc>
        <w:tc>
          <w:tcPr>
            <w:tcW w:w="1560" w:type="dxa"/>
            <w:shd w:val="clear" w:color="auto" w:fill="auto"/>
          </w:tcPr>
          <w:p w14:paraId="0A7A444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-0.157(-1.662)†</w:t>
            </w:r>
          </w:p>
        </w:tc>
      </w:tr>
      <w:tr w:rsidR="002E0FEA" w:rsidRPr="00A81A4F" w14:paraId="4B4FAB30" w14:textId="77777777" w:rsidTr="00620CED">
        <w:tc>
          <w:tcPr>
            <w:tcW w:w="4809" w:type="dxa"/>
            <w:tcBorders>
              <w:bottom w:val="nil"/>
            </w:tcBorders>
            <w:shd w:val="clear" w:color="auto" w:fill="auto"/>
          </w:tcPr>
          <w:p w14:paraId="547BB5B0" w14:textId="77777777" w:rsidR="002E0FEA" w:rsidRPr="00A81A4F" w:rsidRDefault="002E0FEA" w:rsidP="00E539CE">
            <w:pPr>
              <w:spacing w:after="0" w:line="240" w:lineRule="auto"/>
              <w:jc w:val="both"/>
              <w:rPr>
                <w:sz w:val="20"/>
                <w:szCs w:val="20"/>
                <w:lang w:val="en-GB" w:eastAsia="en-US"/>
              </w:rPr>
            </w:pPr>
          </w:p>
        </w:tc>
        <w:tc>
          <w:tcPr>
            <w:tcW w:w="1423" w:type="dxa"/>
            <w:tcBorders>
              <w:bottom w:val="nil"/>
            </w:tcBorders>
            <w:shd w:val="clear" w:color="auto" w:fill="auto"/>
          </w:tcPr>
          <w:p w14:paraId="28F5FFE0" w14:textId="77777777" w:rsidR="002E0FEA" w:rsidRPr="00A81A4F" w:rsidRDefault="002E0FEA" w:rsidP="00E539CE">
            <w:pPr>
              <w:spacing w:after="0" w:line="240" w:lineRule="auto"/>
              <w:jc w:val="both"/>
              <w:rPr>
                <w:sz w:val="20"/>
                <w:szCs w:val="20"/>
                <w:lang w:val="en-GB" w:eastAsia="en-US"/>
              </w:rPr>
            </w:pPr>
          </w:p>
        </w:tc>
        <w:tc>
          <w:tcPr>
            <w:tcW w:w="1560" w:type="dxa"/>
            <w:tcBorders>
              <w:bottom w:val="nil"/>
            </w:tcBorders>
          </w:tcPr>
          <w:p w14:paraId="0065ED2D" w14:textId="77777777" w:rsidR="002E0FEA" w:rsidRPr="00A81A4F" w:rsidRDefault="002E0FEA" w:rsidP="00E539CE">
            <w:pPr>
              <w:spacing w:after="0" w:line="240" w:lineRule="auto"/>
              <w:jc w:val="center"/>
              <w:rPr>
                <w:sz w:val="20"/>
                <w:szCs w:val="20"/>
                <w:lang w:val="en-GB" w:eastAsia="en-US"/>
              </w:rPr>
            </w:pPr>
          </w:p>
        </w:tc>
        <w:tc>
          <w:tcPr>
            <w:tcW w:w="1559" w:type="dxa"/>
            <w:tcBorders>
              <w:bottom w:val="nil"/>
            </w:tcBorders>
            <w:shd w:val="clear" w:color="auto" w:fill="auto"/>
          </w:tcPr>
          <w:p w14:paraId="61487EAF" w14:textId="77777777" w:rsidR="002E0FEA" w:rsidRPr="00A81A4F" w:rsidRDefault="002E0FEA" w:rsidP="00E539CE">
            <w:pPr>
              <w:spacing w:after="0" w:line="240" w:lineRule="auto"/>
              <w:jc w:val="center"/>
              <w:rPr>
                <w:sz w:val="20"/>
                <w:szCs w:val="20"/>
                <w:lang w:val="en-GB" w:eastAsia="en-US"/>
              </w:rPr>
            </w:pPr>
          </w:p>
        </w:tc>
        <w:tc>
          <w:tcPr>
            <w:tcW w:w="1510" w:type="dxa"/>
            <w:tcBorders>
              <w:bottom w:val="nil"/>
            </w:tcBorders>
            <w:shd w:val="clear" w:color="auto" w:fill="auto"/>
          </w:tcPr>
          <w:p w14:paraId="3530E747" w14:textId="77777777" w:rsidR="002E0FEA" w:rsidRPr="00A81A4F" w:rsidRDefault="002E0FEA" w:rsidP="00E539CE">
            <w:pPr>
              <w:spacing w:after="0" w:line="240" w:lineRule="auto"/>
              <w:jc w:val="center"/>
              <w:rPr>
                <w:rFonts w:cs="Calibri"/>
                <w:sz w:val="20"/>
                <w:szCs w:val="20"/>
                <w:lang w:val="en-GB" w:eastAsia="en-US"/>
              </w:rPr>
            </w:pPr>
          </w:p>
        </w:tc>
        <w:tc>
          <w:tcPr>
            <w:tcW w:w="1608" w:type="dxa"/>
            <w:tcBorders>
              <w:bottom w:val="nil"/>
            </w:tcBorders>
          </w:tcPr>
          <w:p w14:paraId="30255FA4" w14:textId="77777777" w:rsidR="002E0FEA" w:rsidRPr="00A81A4F" w:rsidRDefault="002E0FEA" w:rsidP="00E539CE">
            <w:pPr>
              <w:spacing w:after="0" w:line="240" w:lineRule="auto"/>
              <w:jc w:val="center"/>
              <w:rPr>
                <w:sz w:val="20"/>
                <w:szCs w:val="20"/>
                <w:lang w:val="en-GB" w:eastAsia="en-US"/>
              </w:rPr>
            </w:pPr>
          </w:p>
        </w:tc>
        <w:tc>
          <w:tcPr>
            <w:tcW w:w="1560" w:type="dxa"/>
            <w:tcBorders>
              <w:bottom w:val="nil"/>
            </w:tcBorders>
            <w:shd w:val="clear" w:color="auto" w:fill="auto"/>
          </w:tcPr>
          <w:p w14:paraId="24D2F00B" w14:textId="77777777" w:rsidR="002E0FEA" w:rsidRPr="00A81A4F" w:rsidRDefault="002E0FEA" w:rsidP="00E539CE">
            <w:pPr>
              <w:spacing w:after="0" w:line="240" w:lineRule="auto"/>
              <w:jc w:val="center"/>
              <w:rPr>
                <w:sz w:val="20"/>
                <w:szCs w:val="20"/>
                <w:lang w:val="en-GB" w:eastAsia="en-US"/>
              </w:rPr>
            </w:pPr>
          </w:p>
        </w:tc>
      </w:tr>
      <w:tr w:rsidR="002E0FEA" w:rsidRPr="00A81A4F" w14:paraId="39AFD127" w14:textId="77777777" w:rsidTr="00620CED">
        <w:tc>
          <w:tcPr>
            <w:tcW w:w="4809" w:type="dxa"/>
            <w:tcBorders>
              <w:top w:val="nil"/>
              <w:bottom w:val="single" w:sz="4" w:space="0" w:color="auto"/>
            </w:tcBorders>
            <w:shd w:val="clear" w:color="auto" w:fill="auto"/>
          </w:tcPr>
          <w:p w14:paraId="4A673E6F"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Intercept</w:t>
            </w:r>
          </w:p>
        </w:tc>
        <w:tc>
          <w:tcPr>
            <w:tcW w:w="1423" w:type="dxa"/>
            <w:tcBorders>
              <w:top w:val="nil"/>
              <w:bottom w:val="single" w:sz="4" w:space="0" w:color="auto"/>
            </w:tcBorders>
            <w:shd w:val="clear" w:color="auto" w:fill="auto"/>
          </w:tcPr>
          <w:p w14:paraId="75D2F4A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3.054(1.328)</w:t>
            </w:r>
          </w:p>
        </w:tc>
        <w:tc>
          <w:tcPr>
            <w:tcW w:w="1560" w:type="dxa"/>
            <w:tcBorders>
              <w:top w:val="nil"/>
              <w:bottom w:val="single" w:sz="4" w:space="0" w:color="auto"/>
            </w:tcBorders>
          </w:tcPr>
          <w:p w14:paraId="39016E36" w14:textId="77777777" w:rsidR="002E0FEA" w:rsidRPr="00A81A4F" w:rsidRDefault="002E0FEA" w:rsidP="00E539CE">
            <w:pPr>
              <w:spacing w:after="0" w:line="240" w:lineRule="auto"/>
              <w:jc w:val="center"/>
              <w:rPr>
                <w:sz w:val="20"/>
                <w:szCs w:val="20"/>
                <w:lang w:val="en-GB" w:eastAsia="en-US"/>
              </w:rPr>
            </w:pPr>
            <w:r w:rsidRPr="00A81A4F">
              <w:rPr>
                <w:sz w:val="20"/>
                <w:szCs w:val="20"/>
              </w:rPr>
              <w:t>5.320(2.350)*</w:t>
            </w:r>
          </w:p>
        </w:tc>
        <w:tc>
          <w:tcPr>
            <w:tcW w:w="1559" w:type="dxa"/>
            <w:tcBorders>
              <w:top w:val="nil"/>
              <w:bottom w:val="single" w:sz="4" w:space="0" w:color="auto"/>
            </w:tcBorders>
            <w:shd w:val="clear" w:color="auto" w:fill="auto"/>
          </w:tcPr>
          <w:p w14:paraId="06EDCDA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5.395(2.330)*</w:t>
            </w:r>
          </w:p>
        </w:tc>
        <w:tc>
          <w:tcPr>
            <w:tcW w:w="1510" w:type="dxa"/>
            <w:tcBorders>
              <w:top w:val="nil"/>
              <w:bottom w:val="single" w:sz="4" w:space="0" w:color="auto"/>
            </w:tcBorders>
            <w:shd w:val="clear" w:color="auto" w:fill="auto"/>
          </w:tcPr>
          <w:p w14:paraId="6BF871A9" w14:textId="77777777" w:rsidR="002E0FEA" w:rsidRPr="00A81A4F" w:rsidRDefault="002E0FEA" w:rsidP="00E539CE">
            <w:pPr>
              <w:spacing w:after="0" w:line="240" w:lineRule="auto"/>
              <w:jc w:val="center"/>
              <w:rPr>
                <w:rFonts w:cs="Calibri"/>
                <w:sz w:val="20"/>
                <w:szCs w:val="20"/>
                <w:lang w:val="en-GB" w:eastAsia="en-US"/>
              </w:rPr>
            </w:pPr>
            <w:r w:rsidRPr="00A81A4F">
              <w:rPr>
                <w:sz w:val="20"/>
                <w:szCs w:val="20"/>
                <w:lang w:val="en-GB" w:eastAsia="en-US"/>
              </w:rPr>
              <w:t>3.572(1.674)†</w:t>
            </w:r>
          </w:p>
        </w:tc>
        <w:tc>
          <w:tcPr>
            <w:tcW w:w="1608" w:type="dxa"/>
            <w:tcBorders>
              <w:top w:val="nil"/>
              <w:bottom w:val="single" w:sz="4" w:space="0" w:color="auto"/>
            </w:tcBorders>
          </w:tcPr>
          <w:p w14:paraId="352D5E5A" w14:textId="77777777" w:rsidR="002E0FEA" w:rsidRPr="00A81A4F" w:rsidRDefault="002E0FEA" w:rsidP="00E539CE">
            <w:pPr>
              <w:spacing w:after="0" w:line="240" w:lineRule="auto"/>
              <w:jc w:val="center"/>
              <w:rPr>
                <w:sz w:val="20"/>
                <w:szCs w:val="20"/>
                <w:lang w:val="en-GB" w:eastAsia="en-US"/>
              </w:rPr>
            </w:pPr>
            <w:r w:rsidRPr="00A81A4F">
              <w:rPr>
                <w:sz w:val="20"/>
                <w:szCs w:val="20"/>
              </w:rPr>
              <w:t>4.971(2.354)*</w:t>
            </w:r>
          </w:p>
        </w:tc>
        <w:tc>
          <w:tcPr>
            <w:tcW w:w="1560" w:type="dxa"/>
            <w:tcBorders>
              <w:top w:val="nil"/>
              <w:bottom w:val="single" w:sz="4" w:space="0" w:color="auto"/>
            </w:tcBorders>
            <w:shd w:val="clear" w:color="auto" w:fill="auto"/>
          </w:tcPr>
          <w:p w14:paraId="2889633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 xml:space="preserve">5.502(2.636)** </w:t>
            </w:r>
          </w:p>
        </w:tc>
      </w:tr>
      <w:tr w:rsidR="002E0FEA" w:rsidRPr="00A81A4F" w14:paraId="04A082E3" w14:textId="77777777" w:rsidTr="00620CED">
        <w:tc>
          <w:tcPr>
            <w:tcW w:w="4809" w:type="dxa"/>
            <w:tcBorders>
              <w:top w:val="single" w:sz="4" w:space="0" w:color="auto"/>
            </w:tcBorders>
            <w:shd w:val="clear" w:color="auto" w:fill="auto"/>
          </w:tcPr>
          <w:p w14:paraId="28F7AA6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Summary</w:t>
            </w:r>
          </w:p>
        </w:tc>
        <w:tc>
          <w:tcPr>
            <w:tcW w:w="1423" w:type="dxa"/>
            <w:tcBorders>
              <w:top w:val="single" w:sz="4" w:space="0" w:color="auto"/>
            </w:tcBorders>
            <w:shd w:val="clear" w:color="auto" w:fill="auto"/>
          </w:tcPr>
          <w:p w14:paraId="4050CDBE" w14:textId="77777777" w:rsidR="002E0FEA" w:rsidRPr="00A81A4F" w:rsidRDefault="002E0FEA" w:rsidP="00E539CE">
            <w:pPr>
              <w:spacing w:after="0" w:line="240" w:lineRule="auto"/>
              <w:jc w:val="both"/>
              <w:rPr>
                <w:b/>
                <w:sz w:val="20"/>
                <w:szCs w:val="20"/>
                <w:lang w:val="en-GB" w:eastAsia="en-US"/>
              </w:rPr>
            </w:pPr>
          </w:p>
        </w:tc>
        <w:tc>
          <w:tcPr>
            <w:tcW w:w="1560" w:type="dxa"/>
            <w:tcBorders>
              <w:top w:val="single" w:sz="4" w:space="0" w:color="auto"/>
            </w:tcBorders>
          </w:tcPr>
          <w:p w14:paraId="76F1BED2" w14:textId="77777777" w:rsidR="002E0FEA" w:rsidRPr="00A81A4F" w:rsidRDefault="002E0FEA" w:rsidP="00E539CE">
            <w:pPr>
              <w:spacing w:after="0" w:line="240" w:lineRule="auto"/>
              <w:jc w:val="both"/>
              <w:rPr>
                <w:b/>
                <w:sz w:val="20"/>
                <w:szCs w:val="20"/>
                <w:lang w:val="en-GB" w:eastAsia="en-US"/>
              </w:rPr>
            </w:pPr>
          </w:p>
        </w:tc>
        <w:tc>
          <w:tcPr>
            <w:tcW w:w="1559" w:type="dxa"/>
            <w:tcBorders>
              <w:top w:val="single" w:sz="4" w:space="0" w:color="auto"/>
            </w:tcBorders>
            <w:shd w:val="clear" w:color="auto" w:fill="auto"/>
          </w:tcPr>
          <w:p w14:paraId="33328576" w14:textId="77777777" w:rsidR="002E0FEA" w:rsidRPr="00A81A4F" w:rsidRDefault="002E0FEA" w:rsidP="00E539CE">
            <w:pPr>
              <w:spacing w:after="0" w:line="240" w:lineRule="auto"/>
              <w:jc w:val="both"/>
              <w:rPr>
                <w:b/>
                <w:sz w:val="20"/>
                <w:szCs w:val="20"/>
                <w:lang w:val="en-GB" w:eastAsia="en-US"/>
              </w:rPr>
            </w:pPr>
          </w:p>
        </w:tc>
        <w:tc>
          <w:tcPr>
            <w:tcW w:w="1510" w:type="dxa"/>
            <w:tcBorders>
              <w:top w:val="single" w:sz="4" w:space="0" w:color="auto"/>
            </w:tcBorders>
            <w:shd w:val="clear" w:color="auto" w:fill="auto"/>
          </w:tcPr>
          <w:p w14:paraId="3436CD6B" w14:textId="77777777" w:rsidR="002E0FEA" w:rsidRPr="00A81A4F" w:rsidRDefault="002E0FEA" w:rsidP="00E539CE">
            <w:pPr>
              <w:spacing w:after="0" w:line="240" w:lineRule="auto"/>
              <w:jc w:val="both"/>
              <w:rPr>
                <w:b/>
                <w:sz w:val="20"/>
                <w:szCs w:val="20"/>
                <w:lang w:val="en-GB" w:eastAsia="en-US"/>
              </w:rPr>
            </w:pPr>
          </w:p>
        </w:tc>
        <w:tc>
          <w:tcPr>
            <w:tcW w:w="1608" w:type="dxa"/>
            <w:tcBorders>
              <w:top w:val="single" w:sz="4" w:space="0" w:color="auto"/>
            </w:tcBorders>
          </w:tcPr>
          <w:p w14:paraId="35735BA3" w14:textId="77777777" w:rsidR="002E0FEA" w:rsidRPr="00A81A4F" w:rsidRDefault="002E0FEA" w:rsidP="00E539CE">
            <w:pPr>
              <w:spacing w:after="0" w:line="240" w:lineRule="auto"/>
              <w:jc w:val="both"/>
              <w:rPr>
                <w:b/>
                <w:sz w:val="20"/>
                <w:szCs w:val="20"/>
                <w:lang w:val="en-GB" w:eastAsia="en-US"/>
              </w:rPr>
            </w:pPr>
          </w:p>
        </w:tc>
        <w:tc>
          <w:tcPr>
            <w:tcW w:w="1560" w:type="dxa"/>
            <w:tcBorders>
              <w:top w:val="single" w:sz="4" w:space="0" w:color="auto"/>
            </w:tcBorders>
            <w:shd w:val="clear" w:color="auto" w:fill="auto"/>
          </w:tcPr>
          <w:p w14:paraId="258F46EC" w14:textId="77777777" w:rsidR="002E0FEA" w:rsidRPr="00A81A4F" w:rsidRDefault="002E0FEA" w:rsidP="00E539CE">
            <w:pPr>
              <w:spacing w:after="0" w:line="240" w:lineRule="auto"/>
              <w:jc w:val="both"/>
              <w:rPr>
                <w:b/>
                <w:sz w:val="20"/>
                <w:szCs w:val="20"/>
                <w:lang w:val="en-GB" w:eastAsia="en-US"/>
              </w:rPr>
            </w:pPr>
          </w:p>
        </w:tc>
      </w:tr>
      <w:tr w:rsidR="002E0FEA" w:rsidRPr="00A81A4F" w14:paraId="2FDE517B" w14:textId="77777777" w:rsidTr="00620CED">
        <w:tc>
          <w:tcPr>
            <w:tcW w:w="4809" w:type="dxa"/>
            <w:shd w:val="clear" w:color="auto" w:fill="auto"/>
            <w:vAlign w:val="center"/>
          </w:tcPr>
          <w:p w14:paraId="1CC9E5F4"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F-Value</w:t>
            </w:r>
          </w:p>
        </w:tc>
        <w:tc>
          <w:tcPr>
            <w:tcW w:w="1423" w:type="dxa"/>
            <w:shd w:val="clear" w:color="auto" w:fill="auto"/>
          </w:tcPr>
          <w:p w14:paraId="088790E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3.859</w:t>
            </w:r>
          </w:p>
        </w:tc>
        <w:tc>
          <w:tcPr>
            <w:tcW w:w="1560" w:type="dxa"/>
          </w:tcPr>
          <w:p w14:paraId="53CF419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4.768</w:t>
            </w:r>
          </w:p>
        </w:tc>
        <w:tc>
          <w:tcPr>
            <w:tcW w:w="1559" w:type="dxa"/>
            <w:shd w:val="clear" w:color="auto" w:fill="auto"/>
          </w:tcPr>
          <w:p w14:paraId="51141CD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3.739</w:t>
            </w:r>
          </w:p>
        </w:tc>
        <w:tc>
          <w:tcPr>
            <w:tcW w:w="1510" w:type="dxa"/>
            <w:shd w:val="clear" w:color="auto" w:fill="auto"/>
          </w:tcPr>
          <w:p w14:paraId="0BA4306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4.494</w:t>
            </w:r>
          </w:p>
        </w:tc>
        <w:tc>
          <w:tcPr>
            <w:tcW w:w="1608" w:type="dxa"/>
          </w:tcPr>
          <w:p w14:paraId="34E21C1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4.885</w:t>
            </w:r>
          </w:p>
        </w:tc>
        <w:tc>
          <w:tcPr>
            <w:tcW w:w="1560" w:type="dxa"/>
            <w:shd w:val="clear" w:color="auto" w:fill="auto"/>
          </w:tcPr>
          <w:p w14:paraId="615C601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5.007</w:t>
            </w:r>
          </w:p>
        </w:tc>
      </w:tr>
      <w:tr w:rsidR="002E0FEA" w:rsidRPr="00A81A4F" w14:paraId="079E09D3" w14:textId="77777777" w:rsidTr="00620CED">
        <w:tc>
          <w:tcPr>
            <w:tcW w:w="4809" w:type="dxa"/>
            <w:shd w:val="clear" w:color="auto" w:fill="auto"/>
            <w:vAlign w:val="center"/>
          </w:tcPr>
          <w:p w14:paraId="7EE8A556"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P-Value</w:t>
            </w:r>
          </w:p>
        </w:tc>
        <w:tc>
          <w:tcPr>
            <w:tcW w:w="1423" w:type="dxa"/>
            <w:shd w:val="clear" w:color="auto" w:fill="auto"/>
          </w:tcPr>
          <w:p w14:paraId="3E1BC34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60" w:type="dxa"/>
          </w:tcPr>
          <w:p w14:paraId="4A1FA8DA"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59" w:type="dxa"/>
            <w:shd w:val="clear" w:color="auto" w:fill="auto"/>
          </w:tcPr>
          <w:p w14:paraId="3B9D8B2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10" w:type="dxa"/>
            <w:shd w:val="clear" w:color="auto" w:fill="auto"/>
          </w:tcPr>
          <w:p w14:paraId="25F0872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608" w:type="dxa"/>
          </w:tcPr>
          <w:p w14:paraId="177E96A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60" w:type="dxa"/>
            <w:shd w:val="clear" w:color="auto" w:fill="auto"/>
          </w:tcPr>
          <w:p w14:paraId="6E672FB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r>
      <w:tr w:rsidR="002E0FEA" w:rsidRPr="00A81A4F" w14:paraId="733BEAB6" w14:textId="77777777" w:rsidTr="00620CED">
        <w:tc>
          <w:tcPr>
            <w:tcW w:w="4809" w:type="dxa"/>
            <w:shd w:val="clear" w:color="auto" w:fill="auto"/>
            <w:vAlign w:val="center"/>
          </w:tcPr>
          <w:p w14:paraId="54EB99D3"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R-Square</w:t>
            </w:r>
          </w:p>
        </w:tc>
        <w:tc>
          <w:tcPr>
            <w:tcW w:w="1423" w:type="dxa"/>
            <w:shd w:val="clear" w:color="auto" w:fill="auto"/>
          </w:tcPr>
          <w:p w14:paraId="6D791A0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0.162</w:t>
            </w:r>
          </w:p>
        </w:tc>
        <w:tc>
          <w:tcPr>
            <w:tcW w:w="1560" w:type="dxa"/>
          </w:tcPr>
          <w:p w14:paraId="59E776D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0.254</w:t>
            </w:r>
          </w:p>
        </w:tc>
        <w:tc>
          <w:tcPr>
            <w:tcW w:w="1559" w:type="dxa"/>
            <w:shd w:val="clear" w:color="auto" w:fill="auto"/>
          </w:tcPr>
          <w:p w14:paraId="1FC73E9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0.260</w:t>
            </w:r>
          </w:p>
        </w:tc>
        <w:tc>
          <w:tcPr>
            <w:tcW w:w="1510" w:type="dxa"/>
            <w:shd w:val="clear" w:color="auto" w:fill="auto"/>
          </w:tcPr>
          <w:p w14:paraId="39BA20C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0.183</w:t>
            </w:r>
          </w:p>
        </w:tc>
        <w:tc>
          <w:tcPr>
            <w:tcW w:w="1608" w:type="dxa"/>
          </w:tcPr>
          <w:p w14:paraId="3488ED1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0.259</w:t>
            </w:r>
          </w:p>
        </w:tc>
        <w:tc>
          <w:tcPr>
            <w:tcW w:w="1560" w:type="dxa"/>
            <w:shd w:val="clear" w:color="auto" w:fill="auto"/>
          </w:tcPr>
          <w:p w14:paraId="03FBF03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0.319</w:t>
            </w:r>
          </w:p>
        </w:tc>
      </w:tr>
      <w:tr w:rsidR="002E0FEA" w:rsidRPr="00A81A4F" w14:paraId="27685612" w14:textId="77777777" w:rsidTr="00620CED">
        <w:tc>
          <w:tcPr>
            <w:tcW w:w="4809" w:type="dxa"/>
            <w:shd w:val="clear" w:color="auto" w:fill="auto"/>
            <w:vAlign w:val="center"/>
          </w:tcPr>
          <w:p w14:paraId="5CA83BCE"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Adjusted R-Square</w:t>
            </w:r>
          </w:p>
        </w:tc>
        <w:tc>
          <w:tcPr>
            <w:tcW w:w="1423" w:type="dxa"/>
            <w:shd w:val="clear" w:color="auto" w:fill="auto"/>
          </w:tcPr>
          <w:p w14:paraId="3D0B390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0.120</w:t>
            </w:r>
          </w:p>
        </w:tc>
        <w:tc>
          <w:tcPr>
            <w:tcW w:w="1560" w:type="dxa"/>
          </w:tcPr>
          <w:p w14:paraId="7298CB8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0.201</w:t>
            </w:r>
          </w:p>
        </w:tc>
        <w:tc>
          <w:tcPr>
            <w:tcW w:w="1559" w:type="dxa"/>
            <w:shd w:val="clear" w:color="auto" w:fill="auto"/>
          </w:tcPr>
          <w:p w14:paraId="6AC4635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0.190</w:t>
            </w:r>
          </w:p>
        </w:tc>
        <w:tc>
          <w:tcPr>
            <w:tcW w:w="1510" w:type="dxa"/>
            <w:shd w:val="clear" w:color="auto" w:fill="auto"/>
          </w:tcPr>
          <w:p w14:paraId="0B23D91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0.143</w:t>
            </w:r>
          </w:p>
        </w:tc>
        <w:tc>
          <w:tcPr>
            <w:tcW w:w="1608" w:type="dxa"/>
          </w:tcPr>
          <w:p w14:paraId="794C5B7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0.206</w:t>
            </w:r>
          </w:p>
        </w:tc>
        <w:tc>
          <w:tcPr>
            <w:tcW w:w="1560" w:type="dxa"/>
            <w:shd w:val="clear" w:color="auto" w:fill="auto"/>
          </w:tcPr>
          <w:p w14:paraId="015EA83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0.256</w:t>
            </w:r>
          </w:p>
        </w:tc>
      </w:tr>
    </w:tbl>
    <w:p w14:paraId="68BAAF54" w14:textId="77777777" w:rsidR="002E0FEA" w:rsidRPr="00A81A4F" w:rsidRDefault="002E0FEA" w:rsidP="00E539CE">
      <w:pPr>
        <w:autoSpaceDE w:val="0"/>
        <w:autoSpaceDN w:val="0"/>
        <w:adjustRightInd w:val="0"/>
        <w:spacing w:after="0" w:line="240" w:lineRule="auto"/>
        <w:jc w:val="both"/>
        <w:rPr>
          <w:sz w:val="16"/>
          <w:szCs w:val="16"/>
          <w:lang w:val="en-GB"/>
        </w:rPr>
      </w:pPr>
      <w:r w:rsidRPr="00A81A4F">
        <w:rPr>
          <w:sz w:val="16"/>
          <w:szCs w:val="16"/>
          <w:lang w:val="en-GB"/>
        </w:rPr>
        <w:t>Notes: *** p &lt; 0.001; ** p &lt; 0.010; * p &lt; 0.050; † p &lt; 0.100.</w:t>
      </w:r>
    </w:p>
    <w:p w14:paraId="5CE51719" w14:textId="77777777" w:rsidR="002E0FEA" w:rsidRPr="00A81A4F" w:rsidRDefault="002E0FEA" w:rsidP="00E539CE">
      <w:pPr>
        <w:autoSpaceDE w:val="0"/>
        <w:autoSpaceDN w:val="0"/>
        <w:adjustRightInd w:val="0"/>
        <w:spacing w:after="0" w:line="240" w:lineRule="auto"/>
        <w:jc w:val="both"/>
        <w:rPr>
          <w:sz w:val="16"/>
          <w:szCs w:val="16"/>
          <w:lang w:val="en-GB"/>
        </w:rPr>
      </w:pPr>
      <w:r w:rsidRPr="00A81A4F">
        <w:rPr>
          <w:sz w:val="16"/>
          <w:szCs w:val="16"/>
          <w:lang w:val="en-GB"/>
        </w:rPr>
        <w:t>Unstandardized Coefficients are reported with t-value in parentheses.</w:t>
      </w:r>
    </w:p>
    <w:p w14:paraId="5BB3F9B0" w14:textId="77777777" w:rsidR="002E0FEA" w:rsidRPr="00A81A4F" w:rsidRDefault="002E0FEA" w:rsidP="00E539CE">
      <w:pPr>
        <w:autoSpaceDE w:val="0"/>
        <w:autoSpaceDN w:val="0"/>
        <w:adjustRightInd w:val="0"/>
        <w:spacing w:after="0" w:line="240" w:lineRule="auto"/>
        <w:jc w:val="both"/>
        <w:rPr>
          <w:sz w:val="16"/>
          <w:szCs w:val="16"/>
          <w:lang w:val="en-GB"/>
        </w:rPr>
      </w:pPr>
      <w:proofErr w:type="spellStart"/>
      <w:r w:rsidRPr="00A81A4F">
        <w:rPr>
          <w:sz w:val="18"/>
          <w:szCs w:val="18"/>
          <w:lang w:val="en-GB" w:eastAsia="en-US"/>
        </w:rPr>
        <w:t>PES</w:t>
      </w:r>
      <w:r w:rsidRPr="00A81A4F">
        <w:rPr>
          <w:sz w:val="18"/>
          <w:szCs w:val="18"/>
          <w:vertAlign w:val="subscript"/>
          <w:lang w:val="en-GB" w:eastAsia="en-US"/>
        </w:rPr>
        <w:t>Residual</w:t>
      </w:r>
      <w:proofErr w:type="spellEnd"/>
      <w:r w:rsidRPr="00A81A4F">
        <w:rPr>
          <w:sz w:val="18"/>
          <w:szCs w:val="18"/>
          <w:vertAlign w:val="subscript"/>
          <w:lang w:val="en-GB" w:eastAsia="en-US"/>
        </w:rPr>
        <w:t xml:space="preserve"> </w:t>
      </w:r>
      <w:r w:rsidRPr="00A81A4F">
        <w:rPr>
          <w:sz w:val="18"/>
          <w:szCs w:val="18"/>
          <w:lang w:val="en-GB" w:eastAsia="en-US"/>
        </w:rPr>
        <w:t xml:space="preserve">= PES – </w:t>
      </w:r>
      <w:proofErr w:type="spellStart"/>
      <w:r w:rsidRPr="00A81A4F">
        <w:rPr>
          <w:sz w:val="18"/>
          <w:szCs w:val="18"/>
          <w:lang w:val="en-GB" w:eastAsia="en-US"/>
        </w:rPr>
        <w:t>PES</w:t>
      </w:r>
      <w:r w:rsidRPr="00A81A4F">
        <w:rPr>
          <w:sz w:val="18"/>
          <w:szCs w:val="18"/>
          <w:vertAlign w:val="subscript"/>
          <w:lang w:val="en-GB" w:eastAsia="en-US"/>
        </w:rPr>
        <w:t>predicted</w:t>
      </w:r>
      <w:proofErr w:type="spellEnd"/>
      <w:r w:rsidRPr="00A81A4F">
        <w:rPr>
          <w:sz w:val="18"/>
          <w:szCs w:val="18"/>
          <w:vertAlign w:val="subscript"/>
          <w:lang w:val="en-GB" w:eastAsia="en-US"/>
        </w:rPr>
        <w:t>.</w:t>
      </w:r>
    </w:p>
    <w:bookmarkEnd w:id="224"/>
    <w:p w14:paraId="227ECC73" w14:textId="77777777" w:rsidR="002E0FEA" w:rsidRPr="00A81A4F" w:rsidRDefault="002E0FEA" w:rsidP="00E539CE">
      <w:pPr>
        <w:autoSpaceDE w:val="0"/>
        <w:autoSpaceDN w:val="0"/>
        <w:adjustRightInd w:val="0"/>
        <w:spacing w:after="0" w:line="240" w:lineRule="auto"/>
        <w:jc w:val="center"/>
        <w:rPr>
          <w:b/>
          <w:lang w:val="en-GB"/>
        </w:rPr>
        <w:sectPr w:rsidR="002E0FEA" w:rsidRPr="00A81A4F" w:rsidSect="00616DE1">
          <w:pgSz w:w="16838" w:h="11906" w:orient="landscape"/>
          <w:pgMar w:top="1440" w:right="1440" w:bottom="1440" w:left="1440" w:header="709" w:footer="709" w:gutter="0"/>
          <w:cols w:space="708"/>
          <w:docGrid w:linePitch="360"/>
        </w:sectPr>
      </w:pPr>
    </w:p>
    <w:p w14:paraId="757626C0" w14:textId="77777777" w:rsidR="002E0FEA" w:rsidRPr="00A81A4F" w:rsidRDefault="002E0FEA" w:rsidP="00E539CE">
      <w:pPr>
        <w:spacing w:after="0" w:line="240" w:lineRule="auto"/>
        <w:jc w:val="center"/>
        <w:rPr>
          <w:rFonts w:cs="Calibri"/>
          <w:b/>
          <w:lang w:val="en-GB" w:eastAsia="en-US"/>
        </w:rPr>
      </w:pPr>
      <w:r w:rsidRPr="00616DE1">
        <w:rPr>
          <w:rFonts w:cs="Calibri"/>
          <w:b/>
          <w:lang w:val="en-GB" w:eastAsia="en-US"/>
        </w:rPr>
        <w:lastRenderedPageBreak/>
        <w:t>Table 4: Post-Hoc</w:t>
      </w:r>
      <w:r>
        <w:rPr>
          <w:rFonts w:cs="Calibri"/>
          <w:b/>
          <w:lang w:val="en-GB" w:eastAsia="en-US"/>
        </w:rPr>
        <w:t xml:space="preserve"> </w:t>
      </w:r>
      <w:r w:rsidRPr="00A81A4F">
        <w:rPr>
          <w:rFonts w:cs="Calibri"/>
          <w:b/>
          <w:lang w:val="en-GB" w:eastAsia="en-US"/>
        </w:rPr>
        <w:t>Analysis – Path Analysis</w:t>
      </w:r>
    </w:p>
    <w:tbl>
      <w:tblPr>
        <w:tblW w:w="9356" w:type="dxa"/>
        <w:tblBorders>
          <w:top w:val="single" w:sz="4" w:space="0" w:color="auto"/>
          <w:bottom w:val="single" w:sz="4" w:space="0" w:color="auto"/>
        </w:tblBorders>
        <w:tblLayout w:type="fixed"/>
        <w:tblCellMar>
          <w:left w:w="85" w:type="dxa"/>
          <w:right w:w="85" w:type="dxa"/>
        </w:tblCellMar>
        <w:tblLook w:val="04A0" w:firstRow="1" w:lastRow="0" w:firstColumn="1" w:lastColumn="0" w:noHBand="0" w:noVBand="1"/>
      </w:tblPr>
      <w:tblGrid>
        <w:gridCol w:w="4390"/>
        <w:gridCol w:w="1655"/>
        <w:gridCol w:w="1655"/>
        <w:gridCol w:w="1656"/>
      </w:tblGrid>
      <w:tr w:rsidR="002E0FEA" w:rsidRPr="00A81A4F" w14:paraId="40FC570C" w14:textId="77777777" w:rsidTr="00620CED">
        <w:tc>
          <w:tcPr>
            <w:tcW w:w="4390" w:type="dxa"/>
            <w:tcBorders>
              <w:top w:val="single" w:sz="4" w:space="0" w:color="auto"/>
              <w:bottom w:val="single" w:sz="4" w:space="0" w:color="auto"/>
            </w:tcBorders>
            <w:shd w:val="clear" w:color="auto" w:fill="auto"/>
          </w:tcPr>
          <w:p w14:paraId="50B97ED2" w14:textId="77777777" w:rsidR="002E0FEA" w:rsidRPr="00A81A4F" w:rsidRDefault="002E0FEA" w:rsidP="00E539CE">
            <w:pPr>
              <w:autoSpaceDE w:val="0"/>
              <w:autoSpaceDN w:val="0"/>
              <w:adjustRightInd w:val="0"/>
              <w:spacing w:after="0" w:line="240" w:lineRule="auto"/>
              <w:jc w:val="center"/>
              <w:rPr>
                <w:b/>
                <w:sz w:val="20"/>
                <w:szCs w:val="20"/>
                <w:lang w:val="en-GB"/>
              </w:rPr>
            </w:pPr>
            <w:r w:rsidRPr="00A81A4F">
              <w:rPr>
                <w:b/>
                <w:sz w:val="20"/>
                <w:szCs w:val="20"/>
                <w:lang w:val="en-GB"/>
              </w:rPr>
              <w:t>Path Relationship</w:t>
            </w:r>
          </w:p>
        </w:tc>
        <w:tc>
          <w:tcPr>
            <w:tcW w:w="1655" w:type="dxa"/>
            <w:tcBorders>
              <w:top w:val="single" w:sz="4" w:space="0" w:color="auto"/>
              <w:bottom w:val="single" w:sz="4" w:space="0" w:color="auto"/>
            </w:tcBorders>
            <w:shd w:val="clear" w:color="auto" w:fill="auto"/>
          </w:tcPr>
          <w:p w14:paraId="77432DDB" w14:textId="77777777" w:rsidR="002E0FEA" w:rsidRPr="00A81A4F" w:rsidRDefault="002E0FEA" w:rsidP="00E539CE">
            <w:pPr>
              <w:autoSpaceDE w:val="0"/>
              <w:autoSpaceDN w:val="0"/>
              <w:adjustRightInd w:val="0"/>
              <w:spacing w:after="0" w:line="240" w:lineRule="auto"/>
              <w:jc w:val="center"/>
              <w:rPr>
                <w:b/>
                <w:sz w:val="20"/>
                <w:szCs w:val="20"/>
                <w:lang w:val="en-GB"/>
              </w:rPr>
            </w:pPr>
            <w:r w:rsidRPr="00A81A4F">
              <w:rPr>
                <w:b/>
                <w:sz w:val="20"/>
                <w:szCs w:val="20"/>
                <w:lang w:val="en-GB"/>
              </w:rPr>
              <w:t>Model 13</w:t>
            </w:r>
          </w:p>
        </w:tc>
        <w:tc>
          <w:tcPr>
            <w:tcW w:w="1655" w:type="dxa"/>
            <w:tcBorders>
              <w:top w:val="single" w:sz="4" w:space="0" w:color="auto"/>
              <w:bottom w:val="single" w:sz="4" w:space="0" w:color="auto"/>
            </w:tcBorders>
            <w:shd w:val="clear" w:color="auto" w:fill="auto"/>
          </w:tcPr>
          <w:p w14:paraId="67431627" w14:textId="77777777" w:rsidR="002E0FEA" w:rsidRPr="00A81A4F" w:rsidRDefault="002E0FEA" w:rsidP="00E539CE">
            <w:pPr>
              <w:autoSpaceDE w:val="0"/>
              <w:autoSpaceDN w:val="0"/>
              <w:adjustRightInd w:val="0"/>
              <w:spacing w:after="0" w:line="240" w:lineRule="auto"/>
              <w:jc w:val="center"/>
              <w:rPr>
                <w:b/>
                <w:sz w:val="20"/>
                <w:szCs w:val="20"/>
                <w:lang w:val="en-GB"/>
              </w:rPr>
            </w:pPr>
            <w:r w:rsidRPr="00A81A4F">
              <w:rPr>
                <w:b/>
                <w:sz w:val="20"/>
                <w:szCs w:val="20"/>
                <w:lang w:val="en-GB"/>
              </w:rPr>
              <w:t>Model 14</w:t>
            </w:r>
          </w:p>
        </w:tc>
        <w:tc>
          <w:tcPr>
            <w:tcW w:w="1656" w:type="dxa"/>
            <w:tcBorders>
              <w:top w:val="single" w:sz="4" w:space="0" w:color="auto"/>
              <w:bottom w:val="single" w:sz="4" w:space="0" w:color="auto"/>
            </w:tcBorders>
            <w:shd w:val="clear" w:color="auto" w:fill="auto"/>
          </w:tcPr>
          <w:p w14:paraId="13B5D014" w14:textId="77777777" w:rsidR="002E0FEA" w:rsidRPr="00A81A4F" w:rsidRDefault="002E0FEA" w:rsidP="00E539CE">
            <w:pPr>
              <w:autoSpaceDE w:val="0"/>
              <w:autoSpaceDN w:val="0"/>
              <w:adjustRightInd w:val="0"/>
              <w:spacing w:after="0" w:line="240" w:lineRule="auto"/>
              <w:jc w:val="center"/>
              <w:rPr>
                <w:b/>
                <w:sz w:val="20"/>
                <w:szCs w:val="20"/>
                <w:lang w:val="en-GB"/>
              </w:rPr>
            </w:pPr>
            <w:r w:rsidRPr="00A81A4F">
              <w:rPr>
                <w:b/>
                <w:sz w:val="20"/>
                <w:szCs w:val="20"/>
                <w:lang w:val="en-GB"/>
              </w:rPr>
              <w:t>Model 15</w:t>
            </w:r>
          </w:p>
        </w:tc>
      </w:tr>
      <w:tr w:rsidR="002E0FEA" w:rsidRPr="00A81A4F" w14:paraId="074E1A8D" w14:textId="77777777" w:rsidTr="00620CED">
        <w:tc>
          <w:tcPr>
            <w:tcW w:w="4390" w:type="dxa"/>
            <w:tcBorders>
              <w:top w:val="single" w:sz="4" w:space="0" w:color="auto"/>
            </w:tcBorders>
            <w:shd w:val="clear" w:color="auto" w:fill="auto"/>
          </w:tcPr>
          <w:p w14:paraId="2BA441A6" w14:textId="77777777" w:rsidR="002E0FEA" w:rsidRPr="00A81A4F" w:rsidRDefault="002E0FEA" w:rsidP="00E539CE">
            <w:pPr>
              <w:autoSpaceDE w:val="0"/>
              <w:autoSpaceDN w:val="0"/>
              <w:adjustRightInd w:val="0"/>
              <w:spacing w:after="0" w:line="240" w:lineRule="auto"/>
              <w:rPr>
                <w:b/>
                <w:sz w:val="20"/>
                <w:szCs w:val="20"/>
                <w:lang w:val="en-GB"/>
              </w:rPr>
            </w:pPr>
            <w:r w:rsidRPr="00A81A4F">
              <w:rPr>
                <w:b/>
                <w:sz w:val="20"/>
                <w:szCs w:val="20"/>
                <w:lang w:val="en-GB"/>
              </w:rPr>
              <w:t>Control Path:</w:t>
            </w:r>
          </w:p>
        </w:tc>
        <w:tc>
          <w:tcPr>
            <w:tcW w:w="1655" w:type="dxa"/>
            <w:tcBorders>
              <w:top w:val="single" w:sz="4" w:space="0" w:color="auto"/>
            </w:tcBorders>
            <w:shd w:val="clear" w:color="auto" w:fill="auto"/>
          </w:tcPr>
          <w:p w14:paraId="5777526C"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tcBorders>
              <w:top w:val="single" w:sz="4" w:space="0" w:color="auto"/>
            </w:tcBorders>
            <w:shd w:val="clear" w:color="auto" w:fill="auto"/>
          </w:tcPr>
          <w:p w14:paraId="17A1E043"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6" w:type="dxa"/>
            <w:tcBorders>
              <w:top w:val="single" w:sz="4" w:space="0" w:color="auto"/>
            </w:tcBorders>
            <w:shd w:val="clear" w:color="auto" w:fill="auto"/>
          </w:tcPr>
          <w:p w14:paraId="38253AD0"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69A03D6E" w14:textId="77777777" w:rsidTr="00620CED">
        <w:tc>
          <w:tcPr>
            <w:tcW w:w="4390" w:type="dxa"/>
            <w:shd w:val="clear" w:color="auto" w:fill="auto"/>
          </w:tcPr>
          <w:p w14:paraId="5A5D56A8"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Information Technology </w:t>
            </w:r>
            <w:r w:rsidRPr="00A81A4F">
              <w:rPr>
                <w:sz w:val="20"/>
                <w:szCs w:val="20"/>
                <w:lang w:val="en-GB" w:eastAsia="en-US"/>
              </w:rPr>
              <w:sym w:font="Wingdings" w:char="F0E0"/>
            </w:r>
            <w:r w:rsidRPr="00A81A4F">
              <w:rPr>
                <w:sz w:val="20"/>
                <w:szCs w:val="20"/>
                <w:lang w:val="en-GB" w:eastAsia="en-US"/>
              </w:rPr>
              <w:t xml:space="preserve"> </w:t>
            </w:r>
            <w:bookmarkStart w:id="225" w:name="_Hlk61355752"/>
            <w:r w:rsidRPr="00A81A4F">
              <w:rPr>
                <w:sz w:val="20"/>
                <w:szCs w:val="20"/>
                <w:lang w:val="en-GB" w:eastAsia="en-US"/>
              </w:rPr>
              <w:t>Inward-focused Internationalization Activities (IFIA)</w:t>
            </w:r>
            <w:bookmarkEnd w:id="225"/>
          </w:p>
        </w:tc>
        <w:tc>
          <w:tcPr>
            <w:tcW w:w="1655" w:type="dxa"/>
            <w:shd w:val="clear" w:color="auto" w:fill="auto"/>
          </w:tcPr>
          <w:p w14:paraId="49D25727" w14:textId="77777777" w:rsidR="002E0FEA" w:rsidRPr="00A81A4F" w:rsidRDefault="002E0FEA" w:rsidP="00E539CE">
            <w:pPr>
              <w:spacing w:after="0"/>
              <w:jc w:val="center"/>
              <w:rPr>
                <w:sz w:val="20"/>
                <w:szCs w:val="20"/>
              </w:rPr>
            </w:pPr>
            <w:r w:rsidRPr="00A81A4F">
              <w:rPr>
                <w:sz w:val="20"/>
                <w:szCs w:val="20"/>
              </w:rPr>
              <w:t>0.147(1.807)†</w:t>
            </w:r>
          </w:p>
        </w:tc>
        <w:tc>
          <w:tcPr>
            <w:tcW w:w="1655" w:type="dxa"/>
            <w:shd w:val="clear" w:color="auto" w:fill="auto"/>
          </w:tcPr>
          <w:p w14:paraId="25665121" w14:textId="77777777" w:rsidR="002E0FEA" w:rsidRPr="00A81A4F" w:rsidRDefault="002E0FEA" w:rsidP="00E539CE">
            <w:pPr>
              <w:spacing w:after="0"/>
              <w:jc w:val="center"/>
              <w:rPr>
                <w:sz w:val="20"/>
                <w:szCs w:val="20"/>
              </w:rPr>
            </w:pPr>
            <w:r w:rsidRPr="00A81A4F">
              <w:rPr>
                <w:sz w:val="20"/>
                <w:szCs w:val="20"/>
              </w:rPr>
              <w:t>0.141(1.770)†</w:t>
            </w:r>
          </w:p>
        </w:tc>
        <w:tc>
          <w:tcPr>
            <w:tcW w:w="1656" w:type="dxa"/>
            <w:shd w:val="clear" w:color="auto" w:fill="auto"/>
          </w:tcPr>
          <w:p w14:paraId="61433049" w14:textId="77777777" w:rsidR="002E0FEA" w:rsidRPr="00A81A4F" w:rsidRDefault="002E0FEA" w:rsidP="00E539CE">
            <w:pPr>
              <w:spacing w:after="0"/>
              <w:jc w:val="center"/>
              <w:rPr>
                <w:sz w:val="20"/>
                <w:szCs w:val="20"/>
              </w:rPr>
            </w:pPr>
            <w:r w:rsidRPr="00A81A4F">
              <w:rPr>
                <w:sz w:val="20"/>
                <w:szCs w:val="20"/>
              </w:rPr>
              <w:t>0.115(1.512)</w:t>
            </w:r>
          </w:p>
        </w:tc>
      </w:tr>
      <w:tr w:rsidR="002E0FEA" w:rsidRPr="00A81A4F" w14:paraId="70764357" w14:textId="77777777" w:rsidTr="00620CED">
        <w:tc>
          <w:tcPr>
            <w:tcW w:w="4390" w:type="dxa"/>
            <w:shd w:val="clear" w:color="auto" w:fill="auto"/>
          </w:tcPr>
          <w:p w14:paraId="436187CB"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Information Technology </w:t>
            </w:r>
            <w:r w:rsidRPr="00A81A4F">
              <w:rPr>
                <w:sz w:val="20"/>
                <w:szCs w:val="20"/>
                <w:lang w:val="en-GB" w:eastAsia="en-US"/>
              </w:rPr>
              <w:sym w:font="Wingdings" w:char="F0E0"/>
            </w:r>
            <w:r w:rsidRPr="00A81A4F">
              <w:rPr>
                <w:sz w:val="20"/>
                <w:szCs w:val="20"/>
                <w:lang w:val="en-GB" w:eastAsia="en-US"/>
              </w:rPr>
              <w:t xml:space="preserve"> Outward-focused Internationalization Activities (OFIA)</w:t>
            </w:r>
          </w:p>
        </w:tc>
        <w:tc>
          <w:tcPr>
            <w:tcW w:w="1655" w:type="dxa"/>
            <w:shd w:val="clear" w:color="auto" w:fill="auto"/>
          </w:tcPr>
          <w:p w14:paraId="0FA340A1" w14:textId="77777777" w:rsidR="002E0FEA" w:rsidRPr="00A81A4F" w:rsidRDefault="002E0FEA" w:rsidP="00E539CE">
            <w:pPr>
              <w:spacing w:after="0"/>
              <w:jc w:val="center"/>
              <w:rPr>
                <w:sz w:val="20"/>
                <w:szCs w:val="20"/>
              </w:rPr>
            </w:pPr>
            <w:r w:rsidRPr="00A81A4F">
              <w:rPr>
                <w:sz w:val="20"/>
                <w:szCs w:val="20"/>
              </w:rPr>
              <w:t>0.154(1.928)†</w:t>
            </w:r>
          </w:p>
        </w:tc>
        <w:tc>
          <w:tcPr>
            <w:tcW w:w="1655" w:type="dxa"/>
            <w:shd w:val="clear" w:color="auto" w:fill="auto"/>
          </w:tcPr>
          <w:p w14:paraId="04F317B7" w14:textId="77777777" w:rsidR="002E0FEA" w:rsidRPr="00A81A4F" w:rsidRDefault="002E0FEA" w:rsidP="00E539CE">
            <w:pPr>
              <w:spacing w:after="0"/>
              <w:jc w:val="center"/>
              <w:rPr>
                <w:sz w:val="20"/>
                <w:szCs w:val="20"/>
              </w:rPr>
            </w:pPr>
            <w:r w:rsidRPr="00A81A4F">
              <w:rPr>
                <w:sz w:val="20"/>
                <w:szCs w:val="20"/>
              </w:rPr>
              <w:t>0.127(1.634)</w:t>
            </w:r>
          </w:p>
        </w:tc>
        <w:tc>
          <w:tcPr>
            <w:tcW w:w="1656" w:type="dxa"/>
            <w:shd w:val="clear" w:color="auto" w:fill="auto"/>
          </w:tcPr>
          <w:p w14:paraId="7CE175EF" w14:textId="77777777" w:rsidR="002E0FEA" w:rsidRPr="00A81A4F" w:rsidRDefault="002E0FEA" w:rsidP="00E539CE">
            <w:pPr>
              <w:spacing w:after="0"/>
              <w:jc w:val="center"/>
              <w:rPr>
                <w:sz w:val="20"/>
                <w:szCs w:val="20"/>
              </w:rPr>
            </w:pPr>
            <w:r w:rsidRPr="00A81A4F">
              <w:rPr>
                <w:sz w:val="20"/>
                <w:szCs w:val="20"/>
              </w:rPr>
              <w:t>0.128(1.767)†</w:t>
            </w:r>
          </w:p>
        </w:tc>
      </w:tr>
      <w:tr w:rsidR="002E0FEA" w:rsidRPr="00A81A4F" w14:paraId="0286F766" w14:textId="77777777" w:rsidTr="00620CED">
        <w:tc>
          <w:tcPr>
            <w:tcW w:w="4390" w:type="dxa"/>
            <w:shd w:val="clear" w:color="auto" w:fill="auto"/>
          </w:tcPr>
          <w:p w14:paraId="040241A4"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Machinery and Equipment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tcPr>
          <w:p w14:paraId="659CECBE" w14:textId="77777777" w:rsidR="002E0FEA" w:rsidRPr="00A81A4F" w:rsidRDefault="002E0FEA" w:rsidP="00E539CE">
            <w:pPr>
              <w:spacing w:after="0"/>
              <w:jc w:val="center"/>
              <w:rPr>
                <w:sz w:val="20"/>
                <w:szCs w:val="20"/>
              </w:rPr>
            </w:pPr>
            <w:r w:rsidRPr="00A81A4F">
              <w:rPr>
                <w:sz w:val="20"/>
                <w:szCs w:val="20"/>
              </w:rPr>
              <w:t>0.148(1.643)</w:t>
            </w:r>
          </w:p>
        </w:tc>
        <w:tc>
          <w:tcPr>
            <w:tcW w:w="1655" w:type="dxa"/>
            <w:shd w:val="clear" w:color="auto" w:fill="auto"/>
          </w:tcPr>
          <w:p w14:paraId="50332FC1" w14:textId="77777777" w:rsidR="002E0FEA" w:rsidRPr="00A81A4F" w:rsidRDefault="002E0FEA" w:rsidP="00E539CE">
            <w:pPr>
              <w:spacing w:after="0"/>
              <w:jc w:val="center"/>
              <w:rPr>
                <w:sz w:val="20"/>
                <w:szCs w:val="20"/>
              </w:rPr>
            </w:pPr>
            <w:r w:rsidRPr="00A81A4F">
              <w:rPr>
                <w:sz w:val="20"/>
                <w:szCs w:val="20"/>
              </w:rPr>
              <w:t>0.124(1.407)</w:t>
            </w:r>
          </w:p>
        </w:tc>
        <w:tc>
          <w:tcPr>
            <w:tcW w:w="1656" w:type="dxa"/>
            <w:shd w:val="clear" w:color="auto" w:fill="auto"/>
          </w:tcPr>
          <w:p w14:paraId="56BBED2F" w14:textId="77777777" w:rsidR="002E0FEA" w:rsidRPr="00A81A4F" w:rsidRDefault="002E0FEA" w:rsidP="00E539CE">
            <w:pPr>
              <w:spacing w:after="0"/>
              <w:jc w:val="center"/>
              <w:rPr>
                <w:sz w:val="20"/>
                <w:szCs w:val="20"/>
              </w:rPr>
            </w:pPr>
            <w:r w:rsidRPr="00A81A4F">
              <w:rPr>
                <w:sz w:val="20"/>
                <w:szCs w:val="20"/>
              </w:rPr>
              <w:t>0.110(1.314)</w:t>
            </w:r>
          </w:p>
        </w:tc>
      </w:tr>
      <w:tr w:rsidR="002E0FEA" w:rsidRPr="00A81A4F" w14:paraId="79891E48" w14:textId="77777777" w:rsidTr="00620CED">
        <w:tc>
          <w:tcPr>
            <w:tcW w:w="4390" w:type="dxa"/>
            <w:shd w:val="clear" w:color="auto" w:fill="auto"/>
          </w:tcPr>
          <w:p w14:paraId="0ECDB6EF"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Machinery and Equipment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tcPr>
          <w:p w14:paraId="04EFAF1E" w14:textId="77777777" w:rsidR="002E0FEA" w:rsidRPr="00A81A4F" w:rsidRDefault="002E0FEA" w:rsidP="00E539CE">
            <w:pPr>
              <w:spacing w:after="0"/>
              <w:jc w:val="center"/>
              <w:rPr>
                <w:sz w:val="20"/>
                <w:szCs w:val="20"/>
              </w:rPr>
            </w:pPr>
            <w:r w:rsidRPr="00A81A4F">
              <w:rPr>
                <w:sz w:val="20"/>
                <w:szCs w:val="20"/>
              </w:rPr>
              <w:t>0.316(3.590)***</w:t>
            </w:r>
          </w:p>
        </w:tc>
        <w:tc>
          <w:tcPr>
            <w:tcW w:w="1655" w:type="dxa"/>
            <w:shd w:val="clear" w:color="auto" w:fill="auto"/>
          </w:tcPr>
          <w:p w14:paraId="7A1DD688" w14:textId="77777777" w:rsidR="002E0FEA" w:rsidRPr="00A81A4F" w:rsidRDefault="002E0FEA" w:rsidP="00E539CE">
            <w:pPr>
              <w:spacing w:after="0"/>
              <w:jc w:val="center"/>
              <w:rPr>
                <w:sz w:val="20"/>
                <w:szCs w:val="20"/>
              </w:rPr>
            </w:pPr>
            <w:r w:rsidRPr="00A81A4F">
              <w:rPr>
                <w:sz w:val="20"/>
                <w:szCs w:val="20"/>
              </w:rPr>
              <w:t>0.288(3.359)***</w:t>
            </w:r>
          </w:p>
        </w:tc>
        <w:tc>
          <w:tcPr>
            <w:tcW w:w="1656" w:type="dxa"/>
            <w:shd w:val="clear" w:color="auto" w:fill="auto"/>
          </w:tcPr>
          <w:p w14:paraId="65BC07EE" w14:textId="77777777" w:rsidR="002E0FEA" w:rsidRPr="00A81A4F" w:rsidRDefault="002E0FEA" w:rsidP="00E539CE">
            <w:pPr>
              <w:spacing w:after="0"/>
              <w:jc w:val="center"/>
              <w:rPr>
                <w:sz w:val="20"/>
                <w:szCs w:val="20"/>
              </w:rPr>
            </w:pPr>
            <w:r w:rsidRPr="00A81A4F">
              <w:rPr>
                <w:sz w:val="20"/>
                <w:szCs w:val="20"/>
              </w:rPr>
              <w:t>0.268(3.344)***</w:t>
            </w:r>
          </w:p>
        </w:tc>
      </w:tr>
      <w:tr w:rsidR="002E0FEA" w:rsidRPr="00A81A4F" w14:paraId="124E90FD" w14:textId="77777777" w:rsidTr="00620CED">
        <w:tc>
          <w:tcPr>
            <w:tcW w:w="4390" w:type="dxa"/>
            <w:shd w:val="clear" w:color="auto" w:fill="auto"/>
          </w:tcPr>
          <w:p w14:paraId="1C5BB4C8"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Electronic Goods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tcPr>
          <w:p w14:paraId="0533239E" w14:textId="77777777" w:rsidR="002E0FEA" w:rsidRPr="00A81A4F" w:rsidRDefault="002E0FEA" w:rsidP="00E539CE">
            <w:pPr>
              <w:spacing w:after="0"/>
              <w:jc w:val="center"/>
              <w:rPr>
                <w:sz w:val="20"/>
                <w:szCs w:val="20"/>
              </w:rPr>
            </w:pPr>
            <w:r w:rsidRPr="00A81A4F">
              <w:rPr>
                <w:sz w:val="20"/>
                <w:szCs w:val="20"/>
              </w:rPr>
              <w:t>0.129(1.648)†</w:t>
            </w:r>
          </w:p>
        </w:tc>
        <w:tc>
          <w:tcPr>
            <w:tcW w:w="1655" w:type="dxa"/>
            <w:shd w:val="clear" w:color="auto" w:fill="auto"/>
          </w:tcPr>
          <w:p w14:paraId="15EA1867" w14:textId="77777777" w:rsidR="002E0FEA" w:rsidRPr="00A81A4F" w:rsidRDefault="002E0FEA" w:rsidP="00E539CE">
            <w:pPr>
              <w:spacing w:after="0"/>
              <w:jc w:val="center"/>
              <w:rPr>
                <w:sz w:val="20"/>
                <w:szCs w:val="20"/>
              </w:rPr>
            </w:pPr>
            <w:r w:rsidRPr="00A81A4F">
              <w:rPr>
                <w:sz w:val="20"/>
                <w:szCs w:val="20"/>
              </w:rPr>
              <w:t>0.080(1.053)</w:t>
            </w:r>
          </w:p>
        </w:tc>
        <w:tc>
          <w:tcPr>
            <w:tcW w:w="1656" w:type="dxa"/>
            <w:shd w:val="clear" w:color="auto" w:fill="auto"/>
          </w:tcPr>
          <w:p w14:paraId="50B6DD24" w14:textId="77777777" w:rsidR="002E0FEA" w:rsidRPr="00A81A4F" w:rsidRDefault="002E0FEA" w:rsidP="00E539CE">
            <w:pPr>
              <w:spacing w:after="0"/>
              <w:jc w:val="center"/>
              <w:rPr>
                <w:sz w:val="20"/>
                <w:szCs w:val="20"/>
              </w:rPr>
            </w:pPr>
            <w:r w:rsidRPr="00A81A4F">
              <w:rPr>
                <w:sz w:val="20"/>
                <w:szCs w:val="20"/>
              </w:rPr>
              <w:t>0.053(0.725)</w:t>
            </w:r>
          </w:p>
        </w:tc>
      </w:tr>
      <w:tr w:rsidR="002E0FEA" w:rsidRPr="00A81A4F" w14:paraId="1D7CD107" w14:textId="77777777" w:rsidTr="00620CED">
        <w:tc>
          <w:tcPr>
            <w:tcW w:w="4390" w:type="dxa"/>
            <w:shd w:val="clear" w:color="auto" w:fill="auto"/>
          </w:tcPr>
          <w:p w14:paraId="6B1CE464"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Electronic Goods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tcPr>
          <w:p w14:paraId="4E72D028" w14:textId="77777777" w:rsidR="002E0FEA" w:rsidRPr="00A81A4F" w:rsidRDefault="002E0FEA" w:rsidP="00E539CE">
            <w:pPr>
              <w:spacing w:after="0"/>
              <w:jc w:val="center"/>
              <w:rPr>
                <w:sz w:val="20"/>
                <w:szCs w:val="20"/>
              </w:rPr>
            </w:pPr>
            <w:r w:rsidRPr="00A81A4F">
              <w:rPr>
                <w:sz w:val="20"/>
                <w:szCs w:val="20"/>
              </w:rPr>
              <w:t>0.153(2.001)*</w:t>
            </w:r>
          </w:p>
        </w:tc>
        <w:tc>
          <w:tcPr>
            <w:tcW w:w="1655" w:type="dxa"/>
            <w:shd w:val="clear" w:color="auto" w:fill="auto"/>
          </w:tcPr>
          <w:p w14:paraId="25A863E0" w14:textId="77777777" w:rsidR="002E0FEA" w:rsidRPr="00A81A4F" w:rsidRDefault="002E0FEA" w:rsidP="00E539CE">
            <w:pPr>
              <w:spacing w:after="0"/>
              <w:jc w:val="center"/>
              <w:rPr>
                <w:sz w:val="20"/>
                <w:szCs w:val="20"/>
              </w:rPr>
            </w:pPr>
            <w:r w:rsidRPr="00A81A4F">
              <w:rPr>
                <w:sz w:val="20"/>
                <w:szCs w:val="20"/>
              </w:rPr>
              <w:t>0.129(1.728)†</w:t>
            </w:r>
          </w:p>
        </w:tc>
        <w:tc>
          <w:tcPr>
            <w:tcW w:w="1656" w:type="dxa"/>
            <w:shd w:val="clear" w:color="auto" w:fill="auto"/>
          </w:tcPr>
          <w:p w14:paraId="480C5DF1" w14:textId="77777777" w:rsidR="002E0FEA" w:rsidRPr="00A81A4F" w:rsidRDefault="002E0FEA" w:rsidP="00E539CE">
            <w:pPr>
              <w:spacing w:after="0"/>
              <w:jc w:val="center"/>
              <w:rPr>
                <w:sz w:val="20"/>
                <w:szCs w:val="20"/>
              </w:rPr>
            </w:pPr>
            <w:r w:rsidRPr="00A81A4F">
              <w:rPr>
                <w:sz w:val="20"/>
                <w:szCs w:val="20"/>
              </w:rPr>
              <w:t>0.098(1.412)</w:t>
            </w:r>
          </w:p>
        </w:tc>
      </w:tr>
      <w:tr w:rsidR="002E0FEA" w:rsidRPr="00A81A4F" w14:paraId="37C986E3" w14:textId="77777777" w:rsidTr="00620CED">
        <w:tc>
          <w:tcPr>
            <w:tcW w:w="4390" w:type="dxa"/>
            <w:shd w:val="clear" w:color="auto" w:fill="auto"/>
          </w:tcPr>
          <w:p w14:paraId="586BB14A"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Consumer Goods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tcPr>
          <w:p w14:paraId="367D431E" w14:textId="77777777" w:rsidR="002E0FEA" w:rsidRPr="00A81A4F" w:rsidRDefault="002E0FEA" w:rsidP="00E539CE">
            <w:pPr>
              <w:spacing w:after="0"/>
              <w:jc w:val="center"/>
              <w:rPr>
                <w:sz w:val="20"/>
                <w:szCs w:val="20"/>
              </w:rPr>
            </w:pPr>
            <w:r w:rsidRPr="00A81A4F">
              <w:rPr>
                <w:sz w:val="20"/>
                <w:szCs w:val="20"/>
              </w:rPr>
              <w:t>0.035(0.462)</w:t>
            </w:r>
          </w:p>
        </w:tc>
        <w:tc>
          <w:tcPr>
            <w:tcW w:w="1655" w:type="dxa"/>
            <w:shd w:val="clear" w:color="auto" w:fill="auto"/>
          </w:tcPr>
          <w:p w14:paraId="7E84AA90" w14:textId="77777777" w:rsidR="002E0FEA" w:rsidRPr="00A81A4F" w:rsidRDefault="002E0FEA" w:rsidP="00E539CE">
            <w:pPr>
              <w:spacing w:after="0"/>
              <w:jc w:val="center"/>
              <w:rPr>
                <w:sz w:val="20"/>
                <w:szCs w:val="20"/>
              </w:rPr>
            </w:pPr>
            <w:r w:rsidRPr="00A81A4F">
              <w:rPr>
                <w:sz w:val="20"/>
                <w:szCs w:val="20"/>
              </w:rPr>
              <w:t>0.017(0.235)</w:t>
            </w:r>
          </w:p>
        </w:tc>
        <w:tc>
          <w:tcPr>
            <w:tcW w:w="1656" w:type="dxa"/>
            <w:shd w:val="clear" w:color="auto" w:fill="auto"/>
          </w:tcPr>
          <w:p w14:paraId="42906041" w14:textId="77777777" w:rsidR="002E0FEA" w:rsidRPr="00A81A4F" w:rsidRDefault="002E0FEA" w:rsidP="00E539CE">
            <w:pPr>
              <w:spacing w:after="0"/>
              <w:jc w:val="center"/>
              <w:rPr>
                <w:sz w:val="20"/>
                <w:szCs w:val="20"/>
              </w:rPr>
            </w:pPr>
            <w:r w:rsidRPr="00A81A4F">
              <w:rPr>
                <w:sz w:val="20"/>
                <w:szCs w:val="20"/>
              </w:rPr>
              <w:t>0.016(0.224)</w:t>
            </w:r>
          </w:p>
        </w:tc>
      </w:tr>
      <w:tr w:rsidR="002E0FEA" w:rsidRPr="00A81A4F" w14:paraId="5DBAA082" w14:textId="77777777" w:rsidTr="00620CED">
        <w:tc>
          <w:tcPr>
            <w:tcW w:w="4390" w:type="dxa"/>
            <w:shd w:val="clear" w:color="auto" w:fill="auto"/>
          </w:tcPr>
          <w:p w14:paraId="4948942C"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Consumer Goods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tcPr>
          <w:p w14:paraId="0069306F" w14:textId="77777777" w:rsidR="002E0FEA" w:rsidRPr="00A81A4F" w:rsidRDefault="002E0FEA" w:rsidP="00E539CE">
            <w:pPr>
              <w:spacing w:after="0"/>
              <w:jc w:val="center"/>
              <w:rPr>
                <w:sz w:val="20"/>
                <w:szCs w:val="20"/>
              </w:rPr>
            </w:pPr>
            <w:r w:rsidRPr="00A81A4F">
              <w:rPr>
                <w:sz w:val="20"/>
                <w:szCs w:val="20"/>
              </w:rPr>
              <w:t>0.094(1.264)</w:t>
            </w:r>
          </w:p>
        </w:tc>
        <w:tc>
          <w:tcPr>
            <w:tcW w:w="1655" w:type="dxa"/>
            <w:shd w:val="clear" w:color="auto" w:fill="auto"/>
          </w:tcPr>
          <w:p w14:paraId="5E73BAA2" w14:textId="77777777" w:rsidR="002E0FEA" w:rsidRPr="00A81A4F" w:rsidRDefault="002E0FEA" w:rsidP="00E539CE">
            <w:pPr>
              <w:spacing w:after="0"/>
              <w:jc w:val="center"/>
              <w:rPr>
                <w:sz w:val="20"/>
                <w:szCs w:val="20"/>
              </w:rPr>
            </w:pPr>
            <w:r w:rsidRPr="00A81A4F">
              <w:rPr>
                <w:sz w:val="20"/>
                <w:szCs w:val="20"/>
              </w:rPr>
              <w:t>0.079(1.083)</w:t>
            </w:r>
          </w:p>
        </w:tc>
        <w:tc>
          <w:tcPr>
            <w:tcW w:w="1656" w:type="dxa"/>
            <w:shd w:val="clear" w:color="auto" w:fill="auto"/>
          </w:tcPr>
          <w:p w14:paraId="18CBCE6B" w14:textId="77777777" w:rsidR="002E0FEA" w:rsidRPr="00A81A4F" w:rsidRDefault="002E0FEA" w:rsidP="00E539CE">
            <w:pPr>
              <w:spacing w:after="0"/>
              <w:jc w:val="center"/>
              <w:rPr>
                <w:sz w:val="20"/>
                <w:szCs w:val="20"/>
              </w:rPr>
            </w:pPr>
            <w:r w:rsidRPr="00A81A4F">
              <w:rPr>
                <w:sz w:val="20"/>
                <w:szCs w:val="20"/>
              </w:rPr>
              <w:t>0.085(1.251)</w:t>
            </w:r>
          </w:p>
        </w:tc>
      </w:tr>
      <w:tr w:rsidR="002E0FEA" w:rsidRPr="00A81A4F" w14:paraId="2B8C49B9" w14:textId="77777777" w:rsidTr="00620CED">
        <w:tc>
          <w:tcPr>
            <w:tcW w:w="4390" w:type="dxa"/>
            <w:shd w:val="clear" w:color="auto" w:fill="auto"/>
          </w:tcPr>
          <w:p w14:paraId="5BAC798F"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Firm Size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tcPr>
          <w:p w14:paraId="02C05718" w14:textId="77777777" w:rsidR="002E0FEA" w:rsidRPr="00A81A4F" w:rsidRDefault="002E0FEA" w:rsidP="00E539CE">
            <w:pPr>
              <w:spacing w:after="0"/>
              <w:jc w:val="center"/>
              <w:rPr>
                <w:sz w:val="20"/>
                <w:szCs w:val="20"/>
              </w:rPr>
            </w:pPr>
            <w:r w:rsidRPr="00A81A4F">
              <w:rPr>
                <w:sz w:val="20"/>
                <w:szCs w:val="20"/>
              </w:rPr>
              <w:t>0.176(2.637)**</w:t>
            </w:r>
          </w:p>
        </w:tc>
        <w:tc>
          <w:tcPr>
            <w:tcW w:w="1655" w:type="dxa"/>
            <w:shd w:val="clear" w:color="auto" w:fill="auto"/>
          </w:tcPr>
          <w:p w14:paraId="27D9D5AA" w14:textId="77777777" w:rsidR="002E0FEA" w:rsidRPr="00A81A4F" w:rsidRDefault="002E0FEA" w:rsidP="00E539CE">
            <w:pPr>
              <w:spacing w:after="0"/>
              <w:jc w:val="center"/>
              <w:rPr>
                <w:sz w:val="20"/>
                <w:szCs w:val="20"/>
              </w:rPr>
            </w:pPr>
            <w:r w:rsidRPr="00A81A4F">
              <w:rPr>
                <w:sz w:val="20"/>
                <w:szCs w:val="20"/>
              </w:rPr>
              <w:t>0.156(2.398)*</w:t>
            </w:r>
          </w:p>
        </w:tc>
        <w:tc>
          <w:tcPr>
            <w:tcW w:w="1656" w:type="dxa"/>
            <w:shd w:val="clear" w:color="auto" w:fill="auto"/>
          </w:tcPr>
          <w:p w14:paraId="6AE69919" w14:textId="77777777" w:rsidR="002E0FEA" w:rsidRPr="00A81A4F" w:rsidRDefault="002E0FEA" w:rsidP="00E539CE">
            <w:pPr>
              <w:spacing w:after="0"/>
              <w:jc w:val="center"/>
              <w:rPr>
                <w:sz w:val="20"/>
                <w:szCs w:val="20"/>
              </w:rPr>
            </w:pPr>
            <w:r w:rsidRPr="00A81A4F">
              <w:rPr>
                <w:sz w:val="20"/>
                <w:szCs w:val="20"/>
              </w:rPr>
              <w:t>0.146(2.352)*</w:t>
            </w:r>
          </w:p>
        </w:tc>
      </w:tr>
      <w:tr w:rsidR="002E0FEA" w:rsidRPr="00A81A4F" w14:paraId="3BB86D84" w14:textId="77777777" w:rsidTr="00620CED">
        <w:tc>
          <w:tcPr>
            <w:tcW w:w="4390" w:type="dxa"/>
            <w:shd w:val="clear" w:color="auto" w:fill="auto"/>
          </w:tcPr>
          <w:p w14:paraId="3FF4F894"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Firm Size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tcPr>
          <w:p w14:paraId="33F10C59" w14:textId="77777777" w:rsidR="002E0FEA" w:rsidRPr="00A81A4F" w:rsidRDefault="002E0FEA" w:rsidP="00E539CE">
            <w:pPr>
              <w:spacing w:after="0"/>
              <w:jc w:val="center"/>
              <w:rPr>
                <w:sz w:val="20"/>
                <w:szCs w:val="20"/>
              </w:rPr>
            </w:pPr>
            <w:r w:rsidRPr="00A81A4F">
              <w:rPr>
                <w:sz w:val="20"/>
                <w:szCs w:val="20"/>
              </w:rPr>
              <w:t>0.149(2.283)*</w:t>
            </w:r>
          </w:p>
        </w:tc>
        <w:tc>
          <w:tcPr>
            <w:tcW w:w="1655" w:type="dxa"/>
            <w:shd w:val="clear" w:color="auto" w:fill="auto"/>
          </w:tcPr>
          <w:p w14:paraId="41739038" w14:textId="77777777" w:rsidR="002E0FEA" w:rsidRPr="00A81A4F" w:rsidRDefault="002E0FEA" w:rsidP="00E539CE">
            <w:pPr>
              <w:spacing w:after="0"/>
              <w:jc w:val="center"/>
              <w:rPr>
                <w:sz w:val="20"/>
                <w:szCs w:val="20"/>
              </w:rPr>
            </w:pPr>
            <w:r w:rsidRPr="00A81A4F">
              <w:rPr>
                <w:sz w:val="20"/>
                <w:szCs w:val="20"/>
              </w:rPr>
              <w:t>0.136(2.133)*</w:t>
            </w:r>
          </w:p>
        </w:tc>
        <w:tc>
          <w:tcPr>
            <w:tcW w:w="1656" w:type="dxa"/>
            <w:shd w:val="clear" w:color="auto" w:fill="auto"/>
          </w:tcPr>
          <w:p w14:paraId="09707EAD" w14:textId="77777777" w:rsidR="002E0FEA" w:rsidRPr="00A81A4F" w:rsidRDefault="002E0FEA" w:rsidP="00E539CE">
            <w:pPr>
              <w:spacing w:after="0"/>
              <w:jc w:val="center"/>
              <w:rPr>
                <w:sz w:val="20"/>
                <w:szCs w:val="20"/>
              </w:rPr>
            </w:pPr>
            <w:r w:rsidRPr="00A81A4F">
              <w:rPr>
                <w:sz w:val="20"/>
                <w:szCs w:val="20"/>
              </w:rPr>
              <w:t>0.134(2.250)*</w:t>
            </w:r>
          </w:p>
        </w:tc>
      </w:tr>
      <w:tr w:rsidR="002E0FEA" w:rsidRPr="00A81A4F" w14:paraId="57FABADD" w14:textId="77777777" w:rsidTr="00620CED">
        <w:tc>
          <w:tcPr>
            <w:tcW w:w="4390" w:type="dxa"/>
            <w:shd w:val="clear" w:color="auto" w:fill="auto"/>
          </w:tcPr>
          <w:p w14:paraId="2D4E4369"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Firm Age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tcPr>
          <w:p w14:paraId="2E7CE08C" w14:textId="77777777" w:rsidR="002E0FEA" w:rsidRPr="00A81A4F" w:rsidRDefault="002E0FEA" w:rsidP="00E539CE">
            <w:pPr>
              <w:spacing w:after="0"/>
              <w:jc w:val="center"/>
              <w:rPr>
                <w:sz w:val="20"/>
                <w:szCs w:val="20"/>
              </w:rPr>
            </w:pPr>
            <w:r w:rsidRPr="00A81A4F">
              <w:rPr>
                <w:sz w:val="20"/>
                <w:szCs w:val="20"/>
              </w:rPr>
              <w:t>-0.054(-0.835)</w:t>
            </w:r>
          </w:p>
        </w:tc>
        <w:tc>
          <w:tcPr>
            <w:tcW w:w="1655" w:type="dxa"/>
            <w:shd w:val="clear" w:color="auto" w:fill="auto"/>
          </w:tcPr>
          <w:p w14:paraId="07BF26B1" w14:textId="77777777" w:rsidR="002E0FEA" w:rsidRPr="00A81A4F" w:rsidRDefault="002E0FEA" w:rsidP="00E539CE">
            <w:pPr>
              <w:spacing w:after="0"/>
              <w:jc w:val="center"/>
              <w:rPr>
                <w:sz w:val="20"/>
                <w:szCs w:val="20"/>
              </w:rPr>
            </w:pPr>
            <w:r w:rsidRPr="00A81A4F">
              <w:rPr>
                <w:sz w:val="20"/>
                <w:szCs w:val="20"/>
              </w:rPr>
              <w:t>-0.061(-0.967)</w:t>
            </w:r>
          </w:p>
        </w:tc>
        <w:tc>
          <w:tcPr>
            <w:tcW w:w="1656" w:type="dxa"/>
            <w:shd w:val="clear" w:color="auto" w:fill="auto"/>
          </w:tcPr>
          <w:p w14:paraId="4B3C00E2" w14:textId="77777777" w:rsidR="002E0FEA" w:rsidRPr="00A81A4F" w:rsidRDefault="002E0FEA" w:rsidP="00E539CE">
            <w:pPr>
              <w:spacing w:after="0"/>
              <w:jc w:val="center"/>
              <w:rPr>
                <w:sz w:val="20"/>
                <w:szCs w:val="20"/>
              </w:rPr>
            </w:pPr>
            <w:r w:rsidRPr="00A81A4F">
              <w:rPr>
                <w:sz w:val="20"/>
                <w:szCs w:val="20"/>
              </w:rPr>
              <w:t>-0.061(-1.012)</w:t>
            </w:r>
          </w:p>
        </w:tc>
      </w:tr>
      <w:tr w:rsidR="002E0FEA" w:rsidRPr="00A81A4F" w14:paraId="2DEF6C78" w14:textId="77777777" w:rsidTr="00620CED">
        <w:tc>
          <w:tcPr>
            <w:tcW w:w="4390" w:type="dxa"/>
            <w:shd w:val="clear" w:color="auto" w:fill="auto"/>
          </w:tcPr>
          <w:p w14:paraId="48DF852E"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Firm Age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tcPr>
          <w:p w14:paraId="420507D5" w14:textId="77777777" w:rsidR="002E0FEA" w:rsidRPr="00A81A4F" w:rsidRDefault="002E0FEA" w:rsidP="00E539CE">
            <w:pPr>
              <w:spacing w:after="0"/>
              <w:jc w:val="center"/>
              <w:rPr>
                <w:sz w:val="20"/>
                <w:szCs w:val="20"/>
              </w:rPr>
            </w:pPr>
            <w:r w:rsidRPr="00A81A4F">
              <w:rPr>
                <w:sz w:val="20"/>
                <w:szCs w:val="20"/>
              </w:rPr>
              <w:t>-0.041(-0.641)</w:t>
            </w:r>
          </w:p>
        </w:tc>
        <w:tc>
          <w:tcPr>
            <w:tcW w:w="1655" w:type="dxa"/>
            <w:shd w:val="clear" w:color="auto" w:fill="auto"/>
          </w:tcPr>
          <w:p w14:paraId="560A5337" w14:textId="77777777" w:rsidR="002E0FEA" w:rsidRPr="00A81A4F" w:rsidRDefault="002E0FEA" w:rsidP="00E539CE">
            <w:pPr>
              <w:spacing w:after="0"/>
              <w:jc w:val="center"/>
              <w:rPr>
                <w:sz w:val="20"/>
                <w:szCs w:val="20"/>
              </w:rPr>
            </w:pPr>
            <w:r w:rsidRPr="00A81A4F">
              <w:rPr>
                <w:sz w:val="20"/>
                <w:szCs w:val="20"/>
              </w:rPr>
              <w:t>-0.040(-0.645)</w:t>
            </w:r>
          </w:p>
        </w:tc>
        <w:tc>
          <w:tcPr>
            <w:tcW w:w="1656" w:type="dxa"/>
            <w:shd w:val="clear" w:color="auto" w:fill="auto"/>
          </w:tcPr>
          <w:p w14:paraId="652740D7" w14:textId="77777777" w:rsidR="002E0FEA" w:rsidRPr="00A81A4F" w:rsidRDefault="002E0FEA" w:rsidP="00E539CE">
            <w:pPr>
              <w:spacing w:after="0"/>
              <w:jc w:val="center"/>
              <w:rPr>
                <w:sz w:val="20"/>
                <w:szCs w:val="20"/>
              </w:rPr>
            </w:pPr>
            <w:r w:rsidRPr="00A81A4F">
              <w:rPr>
                <w:sz w:val="20"/>
                <w:szCs w:val="20"/>
              </w:rPr>
              <w:t>-0.047(-0.815)</w:t>
            </w:r>
          </w:p>
        </w:tc>
      </w:tr>
      <w:tr w:rsidR="002E0FEA" w:rsidRPr="00A81A4F" w14:paraId="6602CEAA" w14:textId="77777777" w:rsidTr="00620CED">
        <w:tc>
          <w:tcPr>
            <w:tcW w:w="4390" w:type="dxa"/>
            <w:shd w:val="clear" w:color="auto" w:fill="auto"/>
          </w:tcPr>
          <w:p w14:paraId="552114CE"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Competitive Intensity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tcPr>
          <w:p w14:paraId="7127FB2C" w14:textId="77777777" w:rsidR="002E0FEA" w:rsidRPr="00A81A4F" w:rsidRDefault="002E0FEA" w:rsidP="00E539CE">
            <w:pPr>
              <w:spacing w:after="0"/>
              <w:jc w:val="center"/>
              <w:rPr>
                <w:sz w:val="20"/>
                <w:szCs w:val="20"/>
              </w:rPr>
            </w:pPr>
            <w:r w:rsidRPr="00A81A4F">
              <w:rPr>
                <w:sz w:val="20"/>
                <w:szCs w:val="20"/>
              </w:rPr>
              <w:t>0.047(0.631)</w:t>
            </w:r>
          </w:p>
        </w:tc>
        <w:tc>
          <w:tcPr>
            <w:tcW w:w="1655" w:type="dxa"/>
            <w:shd w:val="clear" w:color="auto" w:fill="auto"/>
          </w:tcPr>
          <w:p w14:paraId="25DBCD1C" w14:textId="77777777" w:rsidR="002E0FEA" w:rsidRPr="00A81A4F" w:rsidRDefault="002E0FEA" w:rsidP="00E539CE">
            <w:pPr>
              <w:spacing w:after="0"/>
              <w:jc w:val="center"/>
              <w:rPr>
                <w:sz w:val="20"/>
                <w:szCs w:val="20"/>
              </w:rPr>
            </w:pPr>
            <w:r w:rsidRPr="00A81A4F">
              <w:rPr>
                <w:sz w:val="20"/>
                <w:szCs w:val="20"/>
              </w:rPr>
              <w:t>-0.023(-0.308)</w:t>
            </w:r>
          </w:p>
        </w:tc>
        <w:tc>
          <w:tcPr>
            <w:tcW w:w="1656" w:type="dxa"/>
            <w:shd w:val="clear" w:color="auto" w:fill="auto"/>
          </w:tcPr>
          <w:p w14:paraId="7C58640A" w14:textId="77777777" w:rsidR="002E0FEA" w:rsidRPr="00A81A4F" w:rsidRDefault="002E0FEA" w:rsidP="00E539CE">
            <w:pPr>
              <w:spacing w:after="0"/>
              <w:jc w:val="center"/>
              <w:rPr>
                <w:sz w:val="20"/>
                <w:szCs w:val="20"/>
              </w:rPr>
            </w:pPr>
            <w:r w:rsidRPr="00A81A4F">
              <w:rPr>
                <w:sz w:val="20"/>
                <w:szCs w:val="20"/>
              </w:rPr>
              <w:t>-0.063(-0.896)</w:t>
            </w:r>
          </w:p>
        </w:tc>
      </w:tr>
      <w:tr w:rsidR="002E0FEA" w:rsidRPr="00A81A4F" w14:paraId="3CB0E051" w14:textId="77777777" w:rsidTr="00620CED">
        <w:tc>
          <w:tcPr>
            <w:tcW w:w="4390" w:type="dxa"/>
            <w:shd w:val="clear" w:color="auto" w:fill="auto"/>
          </w:tcPr>
          <w:p w14:paraId="14BF337E"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Competitive Intensity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tcPr>
          <w:p w14:paraId="06271330" w14:textId="77777777" w:rsidR="002E0FEA" w:rsidRPr="00A81A4F" w:rsidRDefault="002E0FEA" w:rsidP="00E539CE">
            <w:pPr>
              <w:spacing w:after="0"/>
              <w:jc w:val="center"/>
              <w:rPr>
                <w:sz w:val="20"/>
                <w:szCs w:val="20"/>
              </w:rPr>
            </w:pPr>
            <w:r w:rsidRPr="00A81A4F">
              <w:rPr>
                <w:sz w:val="20"/>
                <w:szCs w:val="20"/>
              </w:rPr>
              <w:t>0.088(1.197)</w:t>
            </w:r>
          </w:p>
        </w:tc>
        <w:tc>
          <w:tcPr>
            <w:tcW w:w="1655" w:type="dxa"/>
            <w:shd w:val="clear" w:color="auto" w:fill="auto"/>
          </w:tcPr>
          <w:p w14:paraId="2417C493" w14:textId="77777777" w:rsidR="002E0FEA" w:rsidRPr="00A81A4F" w:rsidRDefault="002E0FEA" w:rsidP="00E539CE">
            <w:pPr>
              <w:spacing w:after="0"/>
              <w:jc w:val="center"/>
              <w:rPr>
                <w:sz w:val="20"/>
                <w:szCs w:val="20"/>
              </w:rPr>
            </w:pPr>
            <w:r w:rsidRPr="00A81A4F">
              <w:rPr>
                <w:sz w:val="20"/>
                <w:szCs w:val="20"/>
              </w:rPr>
              <w:t>0.042(0.586)</w:t>
            </w:r>
          </w:p>
        </w:tc>
        <w:tc>
          <w:tcPr>
            <w:tcW w:w="1656" w:type="dxa"/>
            <w:shd w:val="clear" w:color="auto" w:fill="auto"/>
          </w:tcPr>
          <w:p w14:paraId="3EDCEE5B" w14:textId="77777777" w:rsidR="002E0FEA" w:rsidRPr="00A81A4F" w:rsidRDefault="002E0FEA" w:rsidP="00E539CE">
            <w:pPr>
              <w:spacing w:after="0"/>
              <w:jc w:val="center"/>
              <w:rPr>
                <w:sz w:val="20"/>
                <w:szCs w:val="20"/>
              </w:rPr>
            </w:pPr>
            <w:r w:rsidRPr="00A81A4F">
              <w:rPr>
                <w:sz w:val="20"/>
                <w:szCs w:val="20"/>
              </w:rPr>
              <w:t>0.015(0.222)</w:t>
            </w:r>
          </w:p>
        </w:tc>
      </w:tr>
      <w:tr w:rsidR="002E0FEA" w:rsidRPr="00A81A4F" w14:paraId="5AD0EB23" w14:textId="77777777" w:rsidTr="00620CED">
        <w:tc>
          <w:tcPr>
            <w:tcW w:w="4390" w:type="dxa"/>
            <w:shd w:val="clear" w:color="auto" w:fill="auto"/>
          </w:tcPr>
          <w:p w14:paraId="689A534C"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Technology Turbulence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tcPr>
          <w:p w14:paraId="037A7C94" w14:textId="77777777" w:rsidR="002E0FEA" w:rsidRPr="00A81A4F" w:rsidRDefault="002E0FEA" w:rsidP="00E539CE">
            <w:pPr>
              <w:spacing w:after="0"/>
              <w:jc w:val="center"/>
              <w:rPr>
                <w:sz w:val="20"/>
                <w:szCs w:val="20"/>
              </w:rPr>
            </w:pPr>
            <w:r w:rsidRPr="00A81A4F">
              <w:rPr>
                <w:sz w:val="20"/>
                <w:szCs w:val="20"/>
              </w:rPr>
              <w:t>0.058(0.781)</w:t>
            </w:r>
          </w:p>
        </w:tc>
        <w:tc>
          <w:tcPr>
            <w:tcW w:w="1655" w:type="dxa"/>
            <w:shd w:val="clear" w:color="auto" w:fill="auto"/>
          </w:tcPr>
          <w:p w14:paraId="0D09F7CF" w14:textId="77777777" w:rsidR="002E0FEA" w:rsidRPr="00A81A4F" w:rsidRDefault="002E0FEA" w:rsidP="00E539CE">
            <w:pPr>
              <w:spacing w:after="0"/>
              <w:jc w:val="center"/>
              <w:rPr>
                <w:sz w:val="20"/>
                <w:szCs w:val="20"/>
              </w:rPr>
            </w:pPr>
            <w:r w:rsidRPr="00A81A4F">
              <w:rPr>
                <w:sz w:val="20"/>
                <w:szCs w:val="20"/>
              </w:rPr>
              <w:t>0.027(0.373)</w:t>
            </w:r>
          </w:p>
        </w:tc>
        <w:tc>
          <w:tcPr>
            <w:tcW w:w="1656" w:type="dxa"/>
            <w:shd w:val="clear" w:color="auto" w:fill="auto"/>
          </w:tcPr>
          <w:p w14:paraId="527482F6" w14:textId="77777777" w:rsidR="002E0FEA" w:rsidRPr="00A81A4F" w:rsidRDefault="002E0FEA" w:rsidP="00E539CE">
            <w:pPr>
              <w:spacing w:after="0"/>
              <w:jc w:val="center"/>
              <w:rPr>
                <w:sz w:val="20"/>
                <w:szCs w:val="20"/>
              </w:rPr>
            </w:pPr>
            <w:r w:rsidRPr="00A81A4F">
              <w:rPr>
                <w:sz w:val="20"/>
                <w:szCs w:val="20"/>
              </w:rPr>
              <w:t>0.030(0.430)</w:t>
            </w:r>
          </w:p>
        </w:tc>
      </w:tr>
      <w:tr w:rsidR="002E0FEA" w:rsidRPr="00A81A4F" w14:paraId="60990F26" w14:textId="77777777" w:rsidTr="00620CED">
        <w:tc>
          <w:tcPr>
            <w:tcW w:w="4390" w:type="dxa"/>
            <w:shd w:val="clear" w:color="auto" w:fill="auto"/>
          </w:tcPr>
          <w:p w14:paraId="1BD97A67"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Technology Turbulence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tcPr>
          <w:p w14:paraId="01398F59" w14:textId="77777777" w:rsidR="002E0FEA" w:rsidRPr="00A81A4F" w:rsidRDefault="002E0FEA" w:rsidP="00E539CE">
            <w:pPr>
              <w:spacing w:after="0"/>
              <w:jc w:val="center"/>
              <w:rPr>
                <w:sz w:val="20"/>
                <w:szCs w:val="20"/>
              </w:rPr>
            </w:pPr>
            <w:r w:rsidRPr="00A81A4F">
              <w:rPr>
                <w:sz w:val="20"/>
                <w:szCs w:val="20"/>
              </w:rPr>
              <w:t>-0.113(-1.564)</w:t>
            </w:r>
          </w:p>
        </w:tc>
        <w:tc>
          <w:tcPr>
            <w:tcW w:w="1655" w:type="dxa"/>
            <w:shd w:val="clear" w:color="auto" w:fill="auto"/>
          </w:tcPr>
          <w:p w14:paraId="183CF937" w14:textId="77777777" w:rsidR="002E0FEA" w:rsidRPr="00A81A4F" w:rsidRDefault="002E0FEA" w:rsidP="00E539CE">
            <w:pPr>
              <w:spacing w:after="0"/>
              <w:jc w:val="center"/>
              <w:rPr>
                <w:sz w:val="20"/>
                <w:szCs w:val="20"/>
              </w:rPr>
            </w:pPr>
            <w:r w:rsidRPr="00A81A4F">
              <w:rPr>
                <w:sz w:val="20"/>
                <w:szCs w:val="20"/>
              </w:rPr>
              <w:t>-0.148(-2.095)*</w:t>
            </w:r>
          </w:p>
        </w:tc>
        <w:tc>
          <w:tcPr>
            <w:tcW w:w="1656" w:type="dxa"/>
            <w:shd w:val="clear" w:color="auto" w:fill="auto"/>
          </w:tcPr>
          <w:p w14:paraId="76316914" w14:textId="77777777" w:rsidR="002E0FEA" w:rsidRPr="00A81A4F" w:rsidRDefault="002E0FEA" w:rsidP="00E539CE">
            <w:pPr>
              <w:spacing w:after="0"/>
              <w:jc w:val="center"/>
              <w:rPr>
                <w:sz w:val="20"/>
                <w:szCs w:val="20"/>
              </w:rPr>
            </w:pPr>
            <w:r w:rsidRPr="00A81A4F">
              <w:rPr>
                <w:sz w:val="20"/>
                <w:szCs w:val="20"/>
              </w:rPr>
              <w:t>-0.192(-2.909)**</w:t>
            </w:r>
          </w:p>
        </w:tc>
      </w:tr>
      <w:tr w:rsidR="002E0FEA" w:rsidRPr="00A81A4F" w14:paraId="17C6C046" w14:textId="77777777" w:rsidTr="00620CED">
        <w:trPr>
          <w:trHeight w:val="175"/>
        </w:trPr>
        <w:tc>
          <w:tcPr>
            <w:tcW w:w="4390" w:type="dxa"/>
            <w:tcBorders>
              <w:bottom w:val="nil"/>
            </w:tcBorders>
            <w:shd w:val="clear" w:color="auto" w:fill="auto"/>
          </w:tcPr>
          <w:p w14:paraId="6AE7162B"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Market Turbulence </w:t>
            </w:r>
            <w:r w:rsidRPr="00A81A4F">
              <w:rPr>
                <w:sz w:val="20"/>
                <w:szCs w:val="20"/>
                <w:lang w:val="en-GB" w:eastAsia="en-US"/>
              </w:rPr>
              <w:sym w:font="Wingdings" w:char="F0E0"/>
            </w:r>
            <w:r w:rsidRPr="00A81A4F">
              <w:rPr>
                <w:sz w:val="20"/>
                <w:szCs w:val="20"/>
                <w:lang w:val="en-GB" w:eastAsia="en-US"/>
              </w:rPr>
              <w:t xml:space="preserve"> IFIA</w:t>
            </w:r>
          </w:p>
        </w:tc>
        <w:tc>
          <w:tcPr>
            <w:tcW w:w="1655" w:type="dxa"/>
            <w:tcBorders>
              <w:bottom w:val="nil"/>
            </w:tcBorders>
            <w:shd w:val="clear" w:color="auto" w:fill="auto"/>
          </w:tcPr>
          <w:p w14:paraId="3E4A6901" w14:textId="77777777" w:rsidR="002E0FEA" w:rsidRPr="00A81A4F" w:rsidRDefault="002E0FEA" w:rsidP="00E539CE">
            <w:pPr>
              <w:spacing w:after="0"/>
              <w:jc w:val="center"/>
              <w:rPr>
                <w:sz w:val="20"/>
                <w:szCs w:val="20"/>
              </w:rPr>
            </w:pPr>
            <w:r w:rsidRPr="00A81A4F">
              <w:rPr>
                <w:sz w:val="20"/>
                <w:szCs w:val="20"/>
              </w:rPr>
              <w:t>0.181(2.554)*</w:t>
            </w:r>
          </w:p>
        </w:tc>
        <w:tc>
          <w:tcPr>
            <w:tcW w:w="1655" w:type="dxa"/>
            <w:tcBorders>
              <w:bottom w:val="nil"/>
            </w:tcBorders>
            <w:shd w:val="clear" w:color="auto" w:fill="auto"/>
          </w:tcPr>
          <w:p w14:paraId="47AB2F18" w14:textId="77777777" w:rsidR="002E0FEA" w:rsidRPr="00A81A4F" w:rsidRDefault="002E0FEA" w:rsidP="00E539CE">
            <w:pPr>
              <w:spacing w:after="0"/>
              <w:jc w:val="center"/>
              <w:rPr>
                <w:sz w:val="20"/>
                <w:szCs w:val="20"/>
              </w:rPr>
            </w:pPr>
            <w:r w:rsidRPr="00A81A4F">
              <w:rPr>
                <w:sz w:val="20"/>
                <w:szCs w:val="20"/>
              </w:rPr>
              <w:t>0.110(1.590)</w:t>
            </w:r>
          </w:p>
        </w:tc>
        <w:tc>
          <w:tcPr>
            <w:tcW w:w="1656" w:type="dxa"/>
            <w:tcBorders>
              <w:bottom w:val="nil"/>
            </w:tcBorders>
            <w:shd w:val="clear" w:color="auto" w:fill="auto"/>
          </w:tcPr>
          <w:p w14:paraId="0D3A7C7F" w14:textId="77777777" w:rsidR="002E0FEA" w:rsidRPr="00A81A4F" w:rsidRDefault="002E0FEA" w:rsidP="00E539CE">
            <w:pPr>
              <w:spacing w:after="0"/>
              <w:jc w:val="center"/>
              <w:rPr>
                <w:sz w:val="20"/>
                <w:szCs w:val="20"/>
              </w:rPr>
            </w:pPr>
            <w:r w:rsidRPr="00A81A4F">
              <w:rPr>
                <w:sz w:val="20"/>
                <w:szCs w:val="20"/>
              </w:rPr>
              <w:t>0.071(1.068)</w:t>
            </w:r>
          </w:p>
        </w:tc>
      </w:tr>
      <w:tr w:rsidR="002E0FEA" w:rsidRPr="00A81A4F" w14:paraId="2D8A7086" w14:textId="77777777" w:rsidTr="00620CED">
        <w:tc>
          <w:tcPr>
            <w:tcW w:w="4390" w:type="dxa"/>
            <w:tcBorders>
              <w:top w:val="nil"/>
              <w:bottom w:val="single" w:sz="4" w:space="0" w:color="auto"/>
            </w:tcBorders>
            <w:shd w:val="clear" w:color="auto" w:fill="auto"/>
          </w:tcPr>
          <w:p w14:paraId="3ECAF062" w14:textId="77777777" w:rsidR="002E0FEA" w:rsidRPr="00A81A4F" w:rsidRDefault="002E0FEA" w:rsidP="00E539CE">
            <w:pPr>
              <w:autoSpaceDE w:val="0"/>
              <w:autoSpaceDN w:val="0"/>
              <w:adjustRightInd w:val="0"/>
              <w:spacing w:after="0" w:line="240" w:lineRule="auto"/>
              <w:rPr>
                <w:sz w:val="20"/>
                <w:szCs w:val="20"/>
                <w:lang w:val="en-GB"/>
              </w:rPr>
            </w:pPr>
            <w:r w:rsidRPr="00A81A4F">
              <w:rPr>
                <w:sz w:val="20"/>
                <w:szCs w:val="20"/>
                <w:lang w:val="en-GB" w:eastAsia="en-US"/>
              </w:rPr>
              <w:t xml:space="preserve">Market Turbulence </w:t>
            </w:r>
            <w:r w:rsidRPr="00A81A4F">
              <w:rPr>
                <w:sz w:val="20"/>
                <w:szCs w:val="20"/>
                <w:lang w:val="en-GB" w:eastAsia="en-US"/>
              </w:rPr>
              <w:sym w:font="Wingdings" w:char="F0E0"/>
            </w:r>
            <w:r w:rsidRPr="00A81A4F">
              <w:rPr>
                <w:sz w:val="20"/>
                <w:szCs w:val="20"/>
                <w:lang w:val="en-GB" w:eastAsia="en-US"/>
              </w:rPr>
              <w:t xml:space="preserve"> OFIA</w:t>
            </w:r>
          </w:p>
        </w:tc>
        <w:tc>
          <w:tcPr>
            <w:tcW w:w="1655" w:type="dxa"/>
            <w:tcBorders>
              <w:top w:val="nil"/>
              <w:bottom w:val="single" w:sz="4" w:space="0" w:color="auto"/>
            </w:tcBorders>
            <w:shd w:val="clear" w:color="auto" w:fill="auto"/>
          </w:tcPr>
          <w:p w14:paraId="0A74A6DD" w14:textId="77777777" w:rsidR="002E0FEA" w:rsidRPr="00A81A4F" w:rsidRDefault="002E0FEA" w:rsidP="00E539CE">
            <w:pPr>
              <w:spacing w:after="0"/>
              <w:jc w:val="center"/>
              <w:rPr>
                <w:sz w:val="20"/>
                <w:szCs w:val="20"/>
              </w:rPr>
            </w:pPr>
            <w:r w:rsidRPr="00A81A4F">
              <w:rPr>
                <w:sz w:val="20"/>
                <w:szCs w:val="20"/>
              </w:rPr>
              <w:t>0.211(3.040)**</w:t>
            </w:r>
          </w:p>
        </w:tc>
        <w:tc>
          <w:tcPr>
            <w:tcW w:w="1655" w:type="dxa"/>
            <w:tcBorders>
              <w:top w:val="nil"/>
              <w:bottom w:val="single" w:sz="4" w:space="0" w:color="auto"/>
            </w:tcBorders>
            <w:shd w:val="clear" w:color="auto" w:fill="auto"/>
          </w:tcPr>
          <w:p w14:paraId="383215CC" w14:textId="77777777" w:rsidR="002E0FEA" w:rsidRPr="00A81A4F" w:rsidRDefault="002E0FEA" w:rsidP="00E539CE">
            <w:pPr>
              <w:spacing w:after="0"/>
              <w:jc w:val="center"/>
              <w:rPr>
                <w:sz w:val="20"/>
                <w:szCs w:val="20"/>
              </w:rPr>
            </w:pPr>
            <w:r w:rsidRPr="00A81A4F">
              <w:rPr>
                <w:sz w:val="20"/>
                <w:szCs w:val="20"/>
              </w:rPr>
              <w:t>0.192(2.840)**</w:t>
            </w:r>
          </w:p>
        </w:tc>
        <w:tc>
          <w:tcPr>
            <w:tcW w:w="1656" w:type="dxa"/>
            <w:tcBorders>
              <w:top w:val="nil"/>
              <w:bottom w:val="single" w:sz="4" w:space="0" w:color="auto"/>
            </w:tcBorders>
            <w:shd w:val="clear" w:color="auto" w:fill="auto"/>
          </w:tcPr>
          <w:p w14:paraId="747AFEB6" w14:textId="77777777" w:rsidR="002E0FEA" w:rsidRPr="00A81A4F" w:rsidRDefault="002E0FEA" w:rsidP="00E539CE">
            <w:pPr>
              <w:spacing w:after="0"/>
              <w:jc w:val="center"/>
              <w:rPr>
                <w:sz w:val="20"/>
                <w:szCs w:val="20"/>
              </w:rPr>
            </w:pPr>
            <w:r w:rsidRPr="00A81A4F">
              <w:rPr>
                <w:sz w:val="20"/>
                <w:szCs w:val="20"/>
              </w:rPr>
              <w:t>0.131(2.071)*</w:t>
            </w:r>
          </w:p>
        </w:tc>
      </w:tr>
      <w:tr w:rsidR="002E0FEA" w:rsidRPr="00A81A4F" w14:paraId="0B351EA2" w14:textId="77777777" w:rsidTr="00620CED">
        <w:tc>
          <w:tcPr>
            <w:tcW w:w="4390" w:type="dxa"/>
            <w:tcBorders>
              <w:top w:val="single" w:sz="4" w:space="0" w:color="auto"/>
            </w:tcBorders>
            <w:shd w:val="clear" w:color="auto" w:fill="auto"/>
          </w:tcPr>
          <w:p w14:paraId="330B8771" w14:textId="77777777" w:rsidR="002E0FEA" w:rsidRPr="00A81A4F" w:rsidRDefault="002E0FEA" w:rsidP="00E539CE">
            <w:pPr>
              <w:autoSpaceDE w:val="0"/>
              <w:autoSpaceDN w:val="0"/>
              <w:adjustRightInd w:val="0"/>
              <w:spacing w:after="0" w:line="240" w:lineRule="auto"/>
              <w:rPr>
                <w:sz w:val="20"/>
                <w:szCs w:val="20"/>
                <w:lang w:val="en-GB" w:eastAsia="en-US"/>
              </w:rPr>
            </w:pPr>
          </w:p>
        </w:tc>
        <w:tc>
          <w:tcPr>
            <w:tcW w:w="1655" w:type="dxa"/>
            <w:tcBorders>
              <w:top w:val="single" w:sz="4" w:space="0" w:color="auto"/>
            </w:tcBorders>
            <w:shd w:val="clear" w:color="auto" w:fill="auto"/>
          </w:tcPr>
          <w:p w14:paraId="5C57CDD2" w14:textId="77777777" w:rsidR="002E0FEA" w:rsidRPr="00A81A4F" w:rsidRDefault="002E0FEA" w:rsidP="00E539CE">
            <w:pPr>
              <w:spacing w:after="0"/>
              <w:jc w:val="center"/>
              <w:rPr>
                <w:sz w:val="20"/>
                <w:szCs w:val="20"/>
              </w:rPr>
            </w:pPr>
          </w:p>
        </w:tc>
        <w:tc>
          <w:tcPr>
            <w:tcW w:w="1655" w:type="dxa"/>
            <w:tcBorders>
              <w:top w:val="single" w:sz="4" w:space="0" w:color="auto"/>
            </w:tcBorders>
            <w:shd w:val="clear" w:color="auto" w:fill="auto"/>
          </w:tcPr>
          <w:p w14:paraId="2F7FCDFA"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6" w:type="dxa"/>
            <w:tcBorders>
              <w:top w:val="single" w:sz="4" w:space="0" w:color="auto"/>
            </w:tcBorders>
            <w:shd w:val="clear" w:color="auto" w:fill="auto"/>
          </w:tcPr>
          <w:p w14:paraId="550DBDBF"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2CEEB131" w14:textId="77777777" w:rsidTr="00620CED">
        <w:tc>
          <w:tcPr>
            <w:tcW w:w="4390" w:type="dxa"/>
            <w:shd w:val="clear" w:color="auto" w:fill="auto"/>
          </w:tcPr>
          <w:p w14:paraId="0FE4E2F4" w14:textId="77777777" w:rsidR="002E0FEA" w:rsidRPr="00A81A4F" w:rsidRDefault="002E0FEA" w:rsidP="00E539CE">
            <w:pPr>
              <w:autoSpaceDE w:val="0"/>
              <w:autoSpaceDN w:val="0"/>
              <w:adjustRightInd w:val="0"/>
              <w:spacing w:after="0" w:line="240" w:lineRule="auto"/>
              <w:rPr>
                <w:b/>
                <w:sz w:val="20"/>
                <w:szCs w:val="20"/>
                <w:lang w:val="en-GB"/>
              </w:rPr>
            </w:pPr>
            <w:r w:rsidRPr="00A81A4F">
              <w:rPr>
                <w:b/>
                <w:sz w:val="20"/>
                <w:szCs w:val="20"/>
                <w:lang w:val="en-GB"/>
              </w:rPr>
              <w:t>Hypotheses Tests:</w:t>
            </w:r>
          </w:p>
        </w:tc>
        <w:tc>
          <w:tcPr>
            <w:tcW w:w="1655" w:type="dxa"/>
            <w:shd w:val="clear" w:color="auto" w:fill="auto"/>
          </w:tcPr>
          <w:p w14:paraId="5AE363A9" w14:textId="77777777" w:rsidR="002E0FEA" w:rsidRPr="00A81A4F" w:rsidRDefault="002E0FEA" w:rsidP="00E539CE">
            <w:pPr>
              <w:spacing w:after="0"/>
              <w:jc w:val="center"/>
              <w:rPr>
                <w:sz w:val="20"/>
                <w:szCs w:val="20"/>
              </w:rPr>
            </w:pPr>
          </w:p>
        </w:tc>
        <w:tc>
          <w:tcPr>
            <w:tcW w:w="1655" w:type="dxa"/>
            <w:shd w:val="clear" w:color="auto" w:fill="auto"/>
          </w:tcPr>
          <w:p w14:paraId="60732D00"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6" w:type="dxa"/>
            <w:shd w:val="clear" w:color="auto" w:fill="auto"/>
          </w:tcPr>
          <w:p w14:paraId="3D923457"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53BD9233" w14:textId="77777777" w:rsidTr="00620CED">
        <w:tc>
          <w:tcPr>
            <w:tcW w:w="4390" w:type="dxa"/>
            <w:shd w:val="clear" w:color="auto" w:fill="auto"/>
          </w:tcPr>
          <w:p w14:paraId="5C10787F" w14:textId="77777777" w:rsidR="002E0FEA" w:rsidRPr="00A81A4F" w:rsidRDefault="002E0FEA" w:rsidP="00E539CE">
            <w:pPr>
              <w:autoSpaceDE w:val="0"/>
              <w:autoSpaceDN w:val="0"/>
              <w:adjustRightInd w:val="0"/>
              <w:spacing w:after="0" w:line="240" w:lineRule="auto"/>
              <w:rPr>
                <w:sz w:val="20"/>
                <w:szCs w:val="20"/>
                <w:lang w:val="en-GB"/>
              </w:rPr>
            </w:pPr>
            <w:r w:rsidRPr="00A81A4F">
              <w:rPr>
                <w:sz w:val="20"/>
                <w:szCs w:val="20"/>
                <w:lang w:val="en-GB" w:eastAsia="en-US"/>
              </w:rPr>
              <w:t xml:space="preserve">Proactive Environmental Strategy (PES)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7EEB75DA"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rPr>
              <w:t>0.155(2.428)*</w:t>
            </w:r>
          </w:p>
        </w:tc>
        <w:tc>
          <w:tcPr>
            <w:tcW w:w="1655" w:type="dxa"/>
            <w:shd w:val="clear" w:color="auto" w:fill="auto"/>
            <w:vAlign w:val="center"/>
          </w:tcPr>
          <w:p w14:paraId="2A15249B" w14:textId="77777777" w:rsidR="002E0FEA" w:rsidRPr="00A81A4F" w:rsidRDefault="002E0FEA" w:rsidP="00E539CE">
            <w:pPr>
              <w:spacing w:after="0"/>
              <w:jc w:val="center"/>
              <w:rPr>
                <w:sz w:val="20"/>
                <w:szCs w:val="20"/>
              </w:rPr>
            </w:pPr>
            <w:r w:rsidRPr="00A81A4F">
              <w:rPr>
                <w:sz w:val="20"/>
                <w:szCs w:val="20"/>
              </w:rPr>
              <w:t>0.117(1.362)</w:t>
            </w:r>
          </w:p>
        </w:tc>
        <w:tc>
          <w:tcPr>
            <w:tcW w:w="1656" w:type="dxa"/>
            <w:shd w:val="clear" w:color="auto" w:fill="auto"/>
            <w:vAlign w:val="center"/>
          </w:tcPr>
          <w:p w14:paraId="082A2441" w14:textId="77777777" w:rsidR="002E0FEA" w:rsidRPr="00A81A4F" w:rsidRDefault="002E0FEA" w:rsidP="00E539CE">
            <w:pPr>
              <w:spacing w:after="0"/>
              <w:jc w:val="center"/>
              <w:rPr>
                <w:sz w:val="20"/>
                <w:szCs w:val="20"/>
              </w:rPr>
            </w:pPr>
            <w:r w:rsidRPr="00A81A4F">
              <w:rPr>
                <w:sz w:val="20"/>
                <w:szCs w:val="20"/>
              </w:rPr>
              <w:t>0.239(2.237)*</w:t>
            </w:r>
          </w:p>
        </w:tc>
      </w:tr>
      <w:tr w:rsidR="002E0FEA" w:rsidRPr="00A81A4F" w14:paraId="5C16CBEC" w14:textId="77777777" w:rsidTr="00620CED">
        <w:tc>
          <w:tcPr>
            <w:tcW w:w="4390" w:type="dxa"/>
            <w:shd w:val="clear" w:color="auto" w:fill="auto"/>
          </w:tcPr>
          <w:p w14:paraId="2A9E9E66" w14:textId="77777777" w:rsidR="002E0FEA" w:rsidRPr="00A81A4F" w:rsidRDefault="002E0FEA" w:rsidP="00E539CE">
            <w:pPr>
              <w:autoSpaceDE w:val="0"/>
              <w:autoSpaceDN w:val="0"/>
              <w:adjustRightInd w:val="0"/>
              <w:spacing w:after="0" w:line="240" w:lineRule="auto"/>
              <w:rPr>
                <w:sz w:val="20"/>
                <w:szCs w:val="20"/>
                <w:lang w:val="en-GB"/>
              </w:rPr>
            </w:pPr>
            <w:r w:rsidRPr="00A81A4F">
              <w:rPr>
                <w:sz w:val="20"/>
                <w:szCs w:val="20"/>
                <w:lang w:val="en-GB"/>
              </w:rPr>
              <w:t xml:space="preserve">PES </w:t>
            </w:r>
            <w:r w:rsidRPr="00A81A4F">
              <w:rPr>
                <w:sz w:val="20"/>
                <w:szCs w:val="20"/>
                <w:lang w:val="en-GB"/>
              </w:rPr>
              <w:sym w:font="Wingdings" w:char="F0E0"/>
            </w:r>
            <w:r w:rsidRPr="00A81A4F">
              <w:rPr>
                <w:sz w:val="20"/>
                <w:szCs w:val="20"/>
                <w:lang w:val="en-GB"/>
              </w:rPr>
              <w:t xml:space="preserve"> OFIA</w:t>
            </w:r>
          </w:p>
        </w:tc>
        <w:tc>
          <w:tcPr>
            <w:tcW w:w="1655" w:type="dxa"/>
            <w:shd w:val="clear" w:color="auto" w:fill="auto"/>
            <w:vAlign w:val="center"/>
          </w:tcPr>
          <w:p w14:paraId="222F69CD"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rPr>
              <w:t>0.162(2.585)*</w:t>
            </w:r>
          </w:p>
        </w:tc>
        <w:tc>
          <w:tcPr>
            <w:tcW w:w="1655" w:type="dxa"/>
            <w:shd w:val="clear" w:color="auto" w:fill="auto"/>
            <w:vAlign w:val="center"/>
          </w:tcPr>
          <w:p w14:paraId="0FFAA089" w14:textId="77777777" w:rsidR="002E0FEA" w:rsidRPr="00A81A4F" w:rsidRDefault="002E0FEA" w:rsidP="00E539CE">
            <w:pPr>
              <w:spacing w:after="0"/>
              <w:jc w:val="center"/>
              <w:rPr>
                <w:sz w:val="20"/>
                <w:szCs w:val="20"/>
              </w:rPr>
            </w:pPr>
            <w:r w:rsidRPr="00A81A4F">
              <w:rPr>
                <w:sz w:val="20"/>
                <w:szCs w:val="20"/>
              </w:rPr>
              <w:t>0.130(1.477)</w:t>
            </w:r>
          </w:p>
        </w:tc>
        <w:tc>
          <w:tcPr>
            <w:tcW w:w="1656" w:type="dxa"/>
            <w:shd w:val="clear" w:color="auto" w:fill="auto"/>
            <w:vAlign w:val="center"/>
          </w:tcPr>
          <w:p w14:paraId="1CED710D" w14:textId="77777777" w:rsidR="002E0FEA" w:rsidRPr="00A81A4F" w:rsidRDefault="002E0FEA" w:rsidP="00E539CE">
            <w:pPr>
              <w:spacing w:after="0"/>
              <w:jc w:val="center"/>
              <w:rPr>
                <w:sz w:val="20"/>
                <w:szCs w:val="20"/>
              </w:rPr>
            </w:pPr>
            <w:r w:rsidRPr="00A81A4F">
              <w:rPr>
                <w:sz w:val="20"/>
                <w:szCs w:val="20"/>
              </w:rPr>
              <w:t>0.303(2.968)**</w:t>
            </w:r>
          </w:p>
        </w:tc>
      </w:tr>
      <w:tr w:rsidR="002E0FEA" w:rsidRPr="00A81A4F" w14:paraId="4BBBF83C" w14:textId="77777777" w:rsidTr="00620CED">
        <w:tc>
          <w:tcPr>
            <w:tcW w:w="4390" w:type="dxa"/>
            <w:shd w:val="clear" w:color="auto" w:fill="auto"/>
          </w:tcPr>
          <w:p w14:paraId="719A1285"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Foreign Environmental Regulatory Pressure (ERP)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3EC566D6"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3606F696" w14:textId="77777777" w:rsidR="002E0FEA" w:rsidRPr="00A81A4F" w:rsidRDefault="002E0FEA" w:rsidP="00E539CE">
            <w:pPr>
              <w:spacing w:after="0"/>
              <w:jc w:val="center"/>
              <w:rPr>
                <w:sz w:val="20"/>
                <w:szCs w:val="20"/>
              </w:rPr>
            </w:pPr>
            <w:r w:rsidRPr="00A81A4F">
              <w:rPr>
                <w:sz w:val="20"/>
                <w:szCs w:val="20"/>
              </w:rPr>
              <w:t>0.272(3.142)**</w:t>
            </w:r>
          </w:p>
        </w:tc>
        <w:tc>
          <w:tcPr>
            <w:tcW w:w="1656" w:type="dxa"/>
            <w:shd w:val="clear" w:color="auto" w:fill="auto"/>
            <w:vAlign w:val="center"/>
          </w:tcPr>
          <w:p w14:paraId="442E9FF9" w14:textId="77777777" w:rsidR="002E0FEA" w:rsidRPr="00A81A4F" w:rsidRDefault="002E0FEA" w:rsidP="00E539CE">
            <w:pPr>
              <w:spacing w:after="0"/>
              <w:jc w:val="center"/>
              <w:rPr>
                <w:sz w:val="20"/>
                <w:szCs w:val="20"/>
              </w:rPr>
            </w:pPr>
            <w:r w:rsidRPr="00A81A4F">
              <w:rPr>
                <w:sz w:val="20"/>
                <w:szCs w:val="20"/>
              </w:rPr>
              <w:t>0.285(2.770)**</w:t>
            </w:r>
          </w:p>
        </w:tc>
      </w:tr>
      <w:tr w:rsidR="002E0FEA" w:rsidRPr="00A81A4F" w14:paraId="5C9A5C72" w14:textId="77777777" w:rsidTr="00620CED">
        <w:tc>
          <w:tcPr>
            <w:tcW w:w="4390" w:type="dxa"/>
            <w:shd w:val="clear" w:color="auto" w:fill="auto"/>
          </w:tcPr>
          <w:p w14:paraId="052EFB67"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 xml:space="preserve">Foreign ERP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vAlign w:val="center"/>
          </w:tcPr>
          <w:p w14:paraId="766F5D94"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2965FBB1" w14:textId="77777777" w:rsidR="002E0FEA" w:rsidRPr="00A81A4F" w:rsidRDefault="002E0FEA" w:rsidP="00E539CE">
            <w:pPr>
              <w:spacing w:after="0"/>
              <w:jc w:val="center"/>
              <w:rPr>
                <w:sz w:val="20"/>
                <w:szCs w:val="20"/>
              </w:rPr>
            </w:pPr>
          </w:p>
        </w:tc>
        <w:tc>
          <w:tcPr>
            <w:tcW w:w="1656" w:type="dxa"/>
            <w:shd w:val="clear" w:color="auto" w:fill="auto"/>
            <w:vAlign w:val="center"/>
          </w:tcPr>
          <w:p w14:paraId="487571C5" w14:textId="77777777" w:rsidR="002E0FEA" w:rsidRPr="00A81A4F" w:rsidRDefault="002E0FEA" w:rsidP="00E539CE">
            <w:pPr>
              <w:spacing w:after="0"/>
              <w:jc w:val="center"/>
              <w:rPr>
                <w:sz w:val="20"/>
                <w:szCs w:val="20"/>
              </w:rPr>
            </w:pPr>
            <w:r w:rsidRPr="00A81A4F">
              <w:rPr>
                <w:sz w:val="20"/>
                <w:szCs w:val="20"/>
              </w:rPr>
              <w:t>0.040(0.406)</w:t>
            </w:r>
          </w:p>
        </w:tc>
      </w:tr>
      <w:tr w:rsidR="002E0FEA" w:rsidRPr="00A81A4F" w14:paraId="59890636" w14:textId="77777777" w:rsidTr="00620CED">
        <w:tc>
          <w:tcPr>
            <w:tcW w:w="4390" w:type="dxa"/>
            <w:shd w:val="clear" w:color="auto" w:fill="auto"/>
          </w:tcPr>
          <w:p w14:paraId="28D95F00"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Foreign ERP</w:t>
            </w:r>
            <w:r w:rsidRPr="00A81A4F">
              <w:rPr>
                <w:sz w:val="20"/>
                <w:szCs w:val="20"/>
                <w:vertAlign w:val="superscript"/>
                <w:lang w:val="en-GB" w:eastAsia="en-US"/>
              </w:rPr>
              <w:t>2</w:t>
            </w:r>
            <w:r w:rsidRPr="00A81A4F">
              <w:rPr>
                <w:sz w:val="20"/>
                <w:szCs w:val="20"/>
                <w:lang w:val="en-GB" w:eastAsia="en-US"/>
              </w:rPr>
              <w:t xml:space="preserve">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361E57D2"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451BDE71" w14:textId="77777777" w:rsidR="002E0FEA" w:rsidRPr="00A81A4F" w:rsidRDefault="002E0FEA" w:rsidP="00E539CE">
            <w:pPr>
              <w:spacing w:after="0"/>
              <w:jc w:val="center"/>
              <w:rPr>
                <w:sz w:val="20"/>
                <w:szCs w:val="20"/>
              </w:rPr>
            </w:pPr>
            <w:r w:rsidRPr="00A81A4F">
              <w:rPr>
                <w:sz w:val="20"/>
                <w:szCs w:val="20"/>
              </w:rPr>
              <w:t>0.017(0.222)</w:t>
            </w:r>
          </w:p>
        </w:tc>
        <w:tc>
          <w:tcPr>
            <w:tcW w:w="1656" w:type="dxa"/>
            <w:shd w:val="clear" w:color="auto" w:fill="auto"/>
            <w:vAlign w:val="center"/>
          </w:tcPr>
          <w:p w14:paraId="59317602" w14:textId="77777777" w:rsidR="002E0FEA" w:rsidRPr="00A81A4F" w:rsidRDefault="002E0FEA" w:rsidP="00E539CE">
            <w:pPr>
              <w:spacing w:after="0"/>
              <w:jc w:val="center"/>
              <w:rPr>
                <w:sz w:val="20"/>
                <w:szCs w:val="20"/>
              </w:rPr>
            </w:pPr>
            <w:r w:rsidRPr="00A81A4F">
              <w:rPr>
                <w:sz w:val="20"/>
                <w:szCs w:val="20"/>
              </w:rPr>
              <w:t>-0.023(-0.255)</w:t>
            </w:r>
          </w:p>
        </w:tc>
      </w:tr>
      <w:tr w:rsidR="002E0FEA" w:rsidRPr="00A81A4F" w14:paraId="732DEC26" w14:textId="77777777" w:rsidTr="00620CED">
        <w:tc>
          <w:tcPr>
            <w:tcW w:w="4390" w:type="dxa"/>
            <w:shd w:val="clear" w:color="auto" w:fill="auto"/>
          </w:tcPr>
          <w:p w14:paraId="78C03D80"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Foreign ERP</w:t>
            </w:r>
            <w:r w:rsidRPr="00A81A4F">
              <w:rPr>
                <w:sz w:val="20"/>
                <w:szCs w:val="20"/>
                <w:vertAlign w:val="superscript"/>
                <w:lang w:val="en-GB" w:eastAsia="en-US"/>
              </w:rPr>
              <w:t>2</w:t>
            </w:r>
            <w:r w:rsidRPr="00A81A4F">
              <w:rPr>
                <w:sz w:val="20"/>
                <w:szCs w:val="20"/>
                <w:lang w:val="en-GB" w:eastAsia="en-US"/>
              </w:rPr>
              <w:t xml:space="preserve">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vAlign w:val="center"/>
          </w:tcPr>
          <w:p w14:paraId="02044952"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797D7EF7" w14:textId="77777777" w:rsidR="002E0FEA" w:rsidRPr="00A81A4F" w:rsidRDefault="002E0FEA" w:rsidP="00E539CE">
            <w:pPr>
              <w:spacing w:after="0"/>
              <w:jc w:val="center"/>
              <w:rPr>
                <w:sz w:val="20"/>
                <w:szCs w:val="20"/>
              </w:rPr>
            </w:pPr>
          </w:p>
        </w:tc>
        <w:tc>
          <w:tcPr>
            <w:tcW w:w="1656" w:type="dxa"/>
            <w:shd w:val="clear" w:color="auto" w:fill="auto"/>
            <w:vAlign w:val="center"/>
          </w:tcPr>
          <w:p w14:paraId="5E7CC211" w14:textId="77777777" w:rsidR="002E0FEA" w:rsidRPr="00A81A4F" w:rsidRDefault="002E0FEA" w:rsidP="00E539CE">
            <w:pPr>
              <w:spacing w:after="0"/>
              <w:jc w:val="center"/>
              <w:rPr>
                <w:sz w:val="20"/>
                <w:szCs w:val="20"/>
              </w:rPr>
            </w:pPr>
            <w:r w:rsidRPr="00A81A4F">
              <w:rPr>
                <w:sz w:val="20"/>
                <w:szCs w:val="20"/>
              </w:rPr>
              <w:t>-0.207(-2.365)*</w:t>
            </w:r>
          </w:p>
        </w:tc>
      </w:tr>
      <w:tr w:rsidR="002E0FEA" w:rsidRPr="00A81A4F" w14:paraId="46C59F8D" w14:textId="77777777" w:rsidTr="00620CED">
        <w:tc>
          <w:tcPr>
            <w:tcW w:w="4390" w:type="dxa"/>
            <w:shd w:val="clear" w:color="auto" w:fill="auto"/>
          </w:tcPr>
          <w:p w14:paraId="43C9762D"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Foreign Environmental Customer Pressure (ECP)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22C7664E"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56AC7C86" w14:textId="77777777" w:rsidR="002E0FEA" w:rsidRPr="00A81A4F" w:rsidRDefault="002E0FEA" w:rsidP="00E539CE">
            <w:pPr>
              <w:spacing w:after="0"/>
              <w:jc w:val="center"/>
              <w:rPr>
                <w:sz w:val="20"/>
                <w:szCs w:val="20"/>
              </w:rPr>
            </w:pPr>
          </w:p>
        </w:tc>
        <w:tc>
          <w:tcPr>
            <w:tcW w:w="1656" w:type="dxa"/>
            <w:shd w:val="clear" w:color="auto" w:fill="auto"/>
            <w:vAlign w:val="center"/>
          </w:tcPr>
          <w:p w14:paraId="323217BE" w14:textId="77777777" w:rsidR="002E0FEA" w:rsidRPr="00A81A4F" w:rsidRDefault="002E0FEA" w:rsidP="00E539CE">
            <w:pPr>
              <w:spacing w:after="0"/>
              <w:jc w:val="center"/>
              <w:rPr>
                <w:sz w:val="20"/>
                <w:szCs w:val="20"/>
              </w:rPr>
            </w:pPr>
            <w:r w:rsidRPr="00A81A4F">
              <w:rPr>
                <w:sz w:val="20"/>
                <w:szCs w:val="20"/>
              </w:rPr>
              <w:t>-0.002(-0.022)</w:t>
            </w:r>
          </w:p>
        </w:tc>
      </w:tr>
      <w:tr w:rsidR="002E0FEA" w:rsidRPr="00A81A4F" w14:paraId="52F64B79" w14:textId="77777777" w:rsidTr="00620CED">
        <w:tc>
          <w:tcPr>
            <w:tcW w:w="4390" w:type="dxa"/>
            <w:shd w:val="clear" w:color="auto" w:fill="auto"/>
          </w:tcPr>
          <w:p w14:paraId="2686C1A9"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Foreign ECP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vAlign w:val="center"/>
          </w:tcPr>
          <w:p w14:paraId="1AC03747"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5B157230" w14:textId="77777777" w:rsidR="002E0FEA" w:rsidRPr="00A81A4F" w:rsidRDefault="002E0FEA" w:rsidP="00E539CE">
            <w:pPr>
              <w:spacing w:after="0"/>
              <w:jc w:val="center"/>
              <w:rPr>
                <w:sz w:val="20"/>
                <w:szCs w:val="20"/>
              </w:rPr>
            </w:pPr>
            <w:r w:rsidRPr="00A81A4F">
              <w:rPr>
                <w:sz w:val="20"/>
                <w:szCs w:val="20"/>
              </w:rPr>
              <w:t>0.129(1.559)</w:t>
            </w:r>
          </w:p>
        </w:tc>
        <w:tc>
          <w:tcPr>
            <w:tcW w:w="1656" w:type="dxa"/>
            <w:shd w:val="clear" w:color="auto" w:fill="auto"/>
            <w:vAlign w:val="center"/>
          </w:tcPr>
          <w:p w14:paraId="60CA7BA5" w14:textId="77777777" w:rsidR="002E0FEA" w:rsidRPr="00A81A4F" w:rsidRDefault="002E0FEA" w:rsidP="00E539CE">
            <w:pPr>
              <w:spacing w:after="0"/>
              <w:jc w:val="center"/>
              <w:rPr>
                <w:sz w:val="20"/>
                <w:szCs w:val="20"/>
              </w:rPr>
            </w:pPr>
            <w:r w:rsidRPr="00A81A4F">
              <w:rPr>
                <w:sz w:val="20"/>
                <w:szCs w:val="20"/>
              </w:rPr>
              <w:t>0.048(0.484)</w:t>
            </w:r>
          </w:p>
        </w:tc>
      </w:tr>
      <w:tr w:rsidR="002E0FEA" w:rsidRPr="00A81A4F" w14:paraId="7EA8F94E" w14:textId="77777777" w:rsidTr="00620CED">
        <w:tc>
          <w:tcPr>
            <w:tcW w:w="4390" w:type="dxa"/>
            <w:shd w:val="clear" w:color="auto" w:fill="auto"/>
          </w:tcPr>
          <w:p w14:paraId="4DBA3553"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Foreign ECP</w:t>
            </w:r>
            <w:r w:rsidRPr="00A81A4F">
              <w:rPr>
                <w:sz w:val="20"/>
                <w:szCs w:val="20"/>
                <w:vertAlign w:val="superscript"/>
                <w:lang w:val="en-GB" w:eastAsia="en-US"/>
              </w:rPr>
              <w:t>2</w:t>
            </w:r>
            <w:r w:rsidRPr="00A81A4F">
              <w:rPr>
                <w:sz w:val="20"/>
                <w:szCs w:val="20"/>
                <w:lang w:val="en-GB" w:eastAsia="en-US"/>
              </w:rPr>
              <w:t xml:space="preserve">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7B9C9F38"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42952107" w14:textId="77777777" w:rsidR="002E0FEA" w:rsidRPr="00A81A4F" w:rsidRDefault="002E0FEA" w:rsidP="00E539CE">
            <w:pPr>
              <w:spacing w:after="0"/>
              <w:jc w:val="center"/>
              <w:rPr>
                <w:sz w:val="20"/>
                <w:szCs w:val="20"/>
              </w:rPr>
            </w:pPr>
          </w:p>
        </w:tc>
        <w:tc>
          <w:tcPr>
            <w:tcW w:w="1656" w:type="dxa"/>
            <w:shd w:val="clear" w:color="auto" w:fill="auto"/>
            <w:vAlign w:val="center"/>
          </w:tcPr>
          <w:p w14:paraId="6E20E2C8" w14:textId="77777777" w:rsidR="002E0FEA" w:rsidRPr="00A81A4F" w:rsidRDefault="002E0FEA" w:rsidP="00E539CE">
            <w:pPr>
              <w:spacing w:after="0"/>
              <w:jc w:val="center"/>
              <w:rPr>
                <w:sz w:val="20"/>
                <w:szCs w:val="20"/>
              </w:rPr>
            </w:pPr>
            <w:r w:rsidRPr="00A81A4F">
              <w:rPr>
                <w:sz w:val="20"/>
                <w:szCs w:val="20"/>
              </w:rPr>
              <w:t>-0.145(-1.202)</w:t>
            </w:r>
          </w:p>
        </w:tc>
      </w:tr>
      <w:tr w:rsidR="002E0FEA" w:rsidRPr="00A81A4F" w14:paraId="179ADA86" w14:textId="77777777" w:rsidTr="00620CED">
        <w:tc>
          <w:tcPr>
            <w:tcW w:w="4390" w:type="dxa"/>
            <w:shd w:val="clear" w:color="auto" w:fill="auto"/>
          </w:tcPr>
          <w:p w14:paraId="33711FD8"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Foreign ECP</w:t>
            </w:r>
            <w:r w:rsidRPr="00A81A4F">
              <w:rPr>
                <w:sz w:val="20"/>
                <w:szCs w:val="20"/>
                <w:vertAlign w:val="superscript"/>
                <w:lang w:val="en-GB" w:eastAsia="en-US"/>
              </w:rPr>
              <w:t>2</w:t>
            </w:r>
            <w:r w:rsidRPr="00A81A4F">
              <w:rPr>
                <w:sz w:val="20"/>
                <w:szCs w:val="20"/>
                <w:lang w:val="en-GB" w:eastAsia="en-US"/>
              </w:rPr>
              <w:t xml:space="preserve">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vAlign w:val="center"/>
          </w:tcPr>
          <w:p w14:paraId="15DF7AB6"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39735868" w14:textId="77777777" w:rsidR="002E0FEA" w:rsidRPr="00A81A4F" w:rsidRDefault="002E0FEA" w:rsidP="00E539CE">
            <w:pPr>
              <w:spacing w:after="0"/>
              <w:jc w:val="center"/>
              <w:rPr>
                <w:sz w:val="20"/>
                <w:szCs w:val="20"/>
              </w:rPr>
            </w:pPr>
            <w:r w:rsidRPr="00A81A4F">
              <w:rPr>
                <w:sz w:val="20"/>
                <w:szCs w:val="20"/>
              </w:rPr>
              <w:t>-0.231(-2.533)*</w:t>
            </w:r>
          </w:p>
        </w:tc>
        <w:tc>
          <w:tcPr>
            <w:tcW w:w="1656" w:type="dxa"/>
            <w:shd w:val="clear" w:color="auto" w:fill="auto"/>
            <w:vAlign w:val="center"/>
          </w:tcPr>
          <w:p w14:paraId="191361C7" w14:textId="77777777" w:rsidR="002E0FEA" w:rsidRPr="00A81A4F" w:rsidRDefault="002E0FEA" w:rsidP="00E539CE">
            <w:pPr>
              <w:spacing w:after="0"/>
              <w:jc w:val="center"/>
              <w:rPr>
                <w:sz w:val="20"/>
                <w:szCs w:val="20"/>
              </w:rPr>
            </w:pPr>
            <w:r w:rsidRPr="00A81A4F">
              <w:rPr>
                <w:sz w:val="20"/>
                <w:szCs w:val="20"/>
              </w:rPr>
              <w:t>-0.091(-0.790)</w:t>
            </w:r>
          </w:p>
        </w:tc>
      </w:tr>
      <w:tr w:rsidR="002E0FEA" w:rsidRPr="00A81A4F" w14:paraId="6C31CAB9" w14:textId="77777777" w:rsidTr="00620CED">
        <w:tc>
          <w:tcPr>
            <w:tcW w:w="4390" w:type="dxa"/>
            <w:shd w:val="clear" w:color="auto" w:fill="auto"/>
          </w:tcPr>
          <w:p w14:paraId="2ABE083E"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PES x Foreign ERP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574F09E4"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0E3B41BA" w14:textId="77777777" w:rsidR="002E0FEA" w:rsidRPr="00A81A4F" w:rsidRDefault="002E0FEA" w:rsidP="00E539CE">
            <w:pPr>
              <w:spacing w:after="0"/>
              <w:jc w:val="center"/>
              <w:rPr>
                <w:sz w:val="20"/>
                <w:szCs w:val="20"/>
              </w:rPr>
            </w:pPr>
            <w:r w:rsidRPr="00A81A4F">
              <w:rPr>
                <w:sz w:val="20"/>
                <w:szCs w:val="20"/>
              </w:rPr>
              <w:t>-0.343(-2.419)*</w:t>
            </w:r>
          </w:p>
        </w:tc>
        <w:tc>
          <w:tcPr>
            <w:tcW w:w="1656" w:type="dxa"/>
            <w:shd w:val="clear" w:color="auto" w:fill="auto"/>
            <w:vAlign w:val="center"/>
          </w:tcPr>
          <w:p w14:paraId="12554481" w14:textId="77777777" w:rsidR="002E0FEA" w:rsidRPr="00A81A4F" w:rsidRDefault="002E0FEA" w:rsidP="00E539CE">
            <w:pPr>
              <w:spacing w:after="0"/>
              <w:jc w:val="center"/>
              <w:rPr>
                <w:sz w:val="20"/>
                <w:szCs w:val="20"/>
              </w:rPr>
            </w:pPr>
            <w:r w:rsidRPr="00A81A4F">
              <w:rPr>
                <w:sz w:val="20"/>
                <w:szCs w:val="20"/>
              </w:rPr>
              <w:t>-0.277(-1.465)</w:t>
            </w:r>
          </w:p>
        </w:tc>
      </w:tr>
      <w:tr w:rsidR="002E0FEA" w:rsidRPr="00A81A4F" w14:paraId="7B29C3BA" w14:textId="77777777" w:rsidTr="00620CED">
        <w:tc>
          <w:tcPr>
            <w:tcW w:w="4390" w:type="dxa"/>
            <w:shd w:val="clear" w:color="auto" w:fill="auto"/>
          </w:tcPr>
          <w:p w14:paraId="4D3B0E72"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PES x Foreign ERP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vAlign w:val="center"/>
          </w:tcPr>
          <w:p w14:paraId="6DA61356"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1740C7FA" w14:textId="77777777" w:rsidR="002E0FEA" w:rsidRPr="00A81A4F" w:rsidRDefault="002E0FEA" w:rsidP="00E539CE">
            <w:pPr>
              <w:spacing w:after="0"/>
              <w:jc w:val="center"/>
              <w:rPr>
                <w:sz w:val="20"/>
                <w:szCs w:val="20"/>
              </w:rPr>
            </w:pPr>
          </w:p>
        </w:tc>
        <w:tc>
          <w:tcPr>
            <w:tcW w:w="1656" w:type="dxa"/>
            <w:shd w:val="clear" w:color="auto" w:fill="auto"/>
            <w:vAlign w:val="center"/>
          </w:tcPr>
          <w:p w14:paraId="2B446D81" w14:textId="77777777" w:rsidR="002E0FEA" w:rsidRPr="00A81A4F" w:rsidRDefault="002E0FEA" w:rsidP="00E539CE">
            <w:pPr>
              <w:spacing w:after="0"/>
              <w:jc w:val="center"/>
              <w:rPr>
                <w:sz w:val="20"/>
                <w:szCs w:val="20"/>
              </w:rPr>
            </w:pPr>
            <w:r w:rsidRPr="00A81A4F">
              <w:rPr>
                <w:sz w:val="20"/>
                <w:szCs w:val="20"/>
              </w:rPr>
              <w:t>0.223(1.234)</w:t>
            </w:r>
          </w:p>
        </w:tc>
      </w:tr>
      <w:tr w:rsidR="002E0FEA" w:rsidRPr="00A81A4F" w14:paraId="082A7CCF" w14:textId="77777777" w:rsidTr="00620CED">
        <w:tc>
          <w:tcPr>
            <w:tcW w:w="4390" w:type="dxa"/>
            <w:shd w:val="clear" w:color="auto" w:fill="auto"/>
          </w:tcPr>
          <w:p w14:paraId="0C46BCEC"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PES x Foreign ERP</w:t>
            </w:r>
            <w:r w:rsidRPr="00A81A4F">
              <w:rPr>
                <w:sz w:val="20"/>
                <w:szCs w:val="20"/>
                <w:vertAlign w:val="superscript"/>
                <w:lang w:val="en-GB" w:eastAsia="en-US"/>
              </w:rPr>
              <w:t xml:space="preserve">2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10CA5113"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3C95073E" w14:textId="77777777" w:rsidR="002E0FEA" w:rsidRPr="00A81A4F" w:rsidRDefault="002E0FEA" w:rsidP="00E539CE">
            <w:pPr>
              <w:spacing w:after="0"/>
              <w:jc w:val="center"/>
              <w:rPr>
                <w:sz w:val="20"/>
                <w:szCs w:val="20"/>
              </w:rPr>
            </w:pPr>
            <w:r w:rsidRPr="00A81A4F">
              <w:rPr>
                <w:sz w:val="20"/>
                <w:szCs w:val="20"/>
              </w:rPr>
              <w:t>-0.487(-3.678)***</w:t>
            </w:r>
          </w:p>
        </w:tc>
        <w:tc>
          <w:tcPr>
            <w:tcW w:w="1656" w:type="dxa"/>
            <w:shd w:val="clear" w:color="auto" w:fill="auto"/>
            <w:vAlign w:val="center"/>
          </w:tcPr>
          <w:p w14:paraId="3C4397FC" w14:textId="77777777" w:rsidR="002E0FEA" w:rsidRPr="00A81A4F" w:rsidRDefault="002E0FEA" w:rsidP="00E539CE">
            <w:pPr>
              <w:spacing w:after="0"/>
              <w:jc w:val="center"/>
              <w:rPr>
                <w:sz w:val="20"/>
                <w:szCs w:val="20"/>
              </w:rPr>
            </w:pPr>
            <w:r w:rsidRPr="00A81A4F">
              <w:rPr>
                <w:sz w:val="20"/>
                <w:szCs w:val="20"/>
              </w:rPr>
              <w:t>-0.542(-3.280)**</w:t>
            </w:r>
          </w:p>
        </w:tc>
      </w:tr>
      <w:tr w:rsidR="002E0FEA" w:rsidRPr="00A81A4F" w14:paraId="42F18823" w14:textId="77777777" w:rsidTr="00620CED">
        <w:tc>
          <w:tcPr>
            <w:tcW w:w="4390" w:type="dxa"/>
            <w:shd w:val="clear" w:color="auto" w:fill="auto"/>
          </w:tcPr>
          <w:p w14:paraId="6102D801"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PES x Foreign ERP</w:t>
            </w:r>
            <w:r w:rsidRPr="00A81A4F">
              <w:rPr>
                <w:sz w:val="20"/>
                <w:szCs w:val="20"/>
                <w:vertAlign w:val="superscript"/>
                <w:lang w:val="en-GB" w:eastAsia="en-US"/>
              </w:rPr>
              <w:t xml:space="preserve">2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vAlign w:val="center"/>
          </w:tcPr>
          <w:p w14:paraId="45259127"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4D3E697F" w14:textId="77777777" w:rsidR="002E0FEA" w:rsidRPr="00A81A4F" w:rsidRDefault="002E0FEA" w:rsidP="00E539CE">
            <w:pPr>
              <w:spacing w:after="0"/>
              <w:jc w:val="center"/>
              <w:rPr>
                <w:sz w:val="20"/>
                <w:szCs w:val="20"/>
              </w:rPr>
            </w:pPr>
          </w:p>
        </w:tc>
        <w:tc>
          <w:tcPr>
            <w:tcW w:w="1656" w:type="dxa"/>
            <w:shd w:val="clear" w:color="auto" w:fill="auto"/>
            <w:vAlign w:val="center"/>
          </w:tcPr>
          <w:p w14:paraId="6E620F4A" w14:textId="77777777" w:rsidR="002E0FEA" w:rsidRPr="00A81A4F" w:rsidRDefault="002E0FEA" w:rsidP="00E539CE">
            <w:pPr>
              <w:spacing w:after="0"/>
              <w:jc w:val="center"/>
              <w:rPr>
                <w:sz w:val="20"/>
                <w:szCs w:val="20"/>
              </w:rPr>
            </w:pPr>
            <w:r w:rsidRPr="00A81A4F">
              <w:rPr>
                <w:sz w:val="20"/>
                <w:szCs w:val="20"/>
              </w:rPr>
              <w:t>-0.193(-1.223)</w:t>
            </w:r>
          </w:p>
        </w:tc>
      </w:tr>
      <w:tr w:rsidR="002E0FEA" w:rsidRPr="00A81A4F" w14:paraId="5595DF0B" w14:textId="77777777" w:rsidTr="00620CED">
        <w:tc>
          <w:tcPr>
            <w:tcW w:w="4390" w:type="dxa"/>
            <w:shd w:val="clear" w:color="auto" w:fill="auto"/>
          </w:tcPr>
          <w:p w14:paraId="4700831A"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PES x Foreign ECP </w:t>
            </w:r>
            <w:r w:rsidRPr="00A81A4F">
              <w:rPr>
                <w:sz w:val="20"/>
                <w:szCs w:val="20"/>
                <w:lang w:val="en-GB" w:eastAsia="en-US"/>
              </w:rPr>
              <w:sym w:font="Wingdings" w:char="F0E0"/>
            </w:r>
            <w:r w:rsidRPr="00A81A4F">
              <w:rPr>
                <w:sz w:val="20"/>
                <w:szCs w:val="20"/>
                <w:lang w:val="en-GB" w:eastAsia="en-US"/>
              </w:rPr>
              <w:t xml:space="preserve"> IFIA</w:t>
            </w:r>
          </w:p>
        </w:tc>
        <w:tc>
          <w:tcPr>
            <w:tcW w:w="1655" w:type="dxa"/>
            <w:shd w:val="clear" w:color="auto" w:fill="auto"/>
            <w:vAlign w:val="center"/>
          </w:tcPr>
          <w:p w14:paraId="79B254DC"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496E62A6" w14:textId="77777777" w:rsidR="002E0FEA" w:rsidRPr="00A81A4F" w:rsidRDefault="002E0FEA" w:rsidP="00E539CE">
            <w:pPr>
              <w:spacing w:after="0"/>
              <w:jc w:val="center"/>
              <w:rPr>
                <w:sz w:val="20"/>
                <w:szCs w:val="20"/>
              </w:rPr>
            </w:pPr>
          </w:p>
        </w:tc>
        <w:tc>
          <w:tcPr>
            <w:tcW w:w="1656" w:type="dxa"/>
            <w:shd w:val="clear" w:color="auto" w:fill="auto"/>
            <w:vAlign w:val="center"/>
          </w:tcPr>
          <w:p w14:paraId="2ACB5558" w14:textId="77777777" w:rsidR="002E0FEA" w:rsidRPr="00A81A4F" w:rsidRDefault="002E0FEA" w:rsidP="00E539CE">
            <w:pPr>
              <w:spacing w:after="0"/>
              <w:jc w:val="center"/>
              <w:rPr>
                <w:sz w:val="20"/>
                <w:szCs w:val="20"/>
              </w:rPr>
            </w:pPr>
            <w:r w:rsidRPr="00A81A4F">
              <w:rPr>
                <w:sz w:val="20"/>
                <w:szCs w:val="20"/>
              </w:rPr>
              <w:t>-0.009(-0.062)</w:t>
            </w:r>
          </w:p>
        </w:tc>
      </w:tr>
      <w:tr w:rsidR="002E0FEA" w:rsidRPr="00A81A4F" w14:paraId="72915254" w14:textId="77777777" w:rsidTr="00620CED">
        <w:tc>
          <w:tcPr>
            <w:tcW w:w="4390" w:type="dxa"/>
            <w:shd w:val="clear" w:color="auto" w:fill="auto"/>
          </w:tcPr>
          <w:p w14:paraId="719A8D2C"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PES x Foreign ECP </w:t>
            </w:r>
            <w:r w:rsidRPr="00A81A4F">
              <w:rPr>
                <w:sz w:val="20"/>
                <w:szCs w:val="20"/>
                <w:lang w:val="en-GB" w:eastAsia="en-US"/>
              </w:rPr>
              <w:sym w:font="Wingdings" w:char="F0E0"/>
            </w:r>
            <w:r w:rsidRPr="00A81A4F">
              <w:rPr>
                <w:sz w:val="20"/>
                <w:szCs w:val="20"/>
                <w:lang w:val="en-GB" w:eastAsia="en-US"/>
              </w:rPr>
              <w:t xml:space="preserve"> OFIA</w:t>
            </w:r>
          </w:p>
        </w:tc>
        <w:tc>
          <w:tcPr>
            <w:tcW w:w="1655" w:type="dxa"/>
            <w:shd w:val="clear" w:color="auto" w:fill="auto"/>
            <w:vAlign w:val="center"/>
          </w:tcPr>
          <w:p w14:paraId="5126CB91"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vAlign w:val="center"/>
          </w:tcPr>
          <w:p w14:paraId="585C59CF" w14:textId="77777777" w:rsidR="002E0FEA" w:rsidRPr="00A81A4F" w:rsidRDefault="002E0FEA" w:rsidP="00E539CE">
            <w:pPr>
              <w:spacing w:after="0"/>
              <w:jc w:val="center"/>
              <w:rPr>
                <w:sz w:val="20"/>
                <w:szCs w:val="20"/>
              </w:rPr>
            </w:pPr>
            <w:r w:rsidRPr="00A81A4F">
              <w:rPr>
                <w:sz w:val="20"/>
                <w:szCs w:val="20"/>
              </w:rPr>
              <w:t>-0.166(-1.613)</w:t>
            </w:r>
          </w:p>
        </w:tc>
        <w:tc>
          <w:tcPr>
            <w:tcW w:w="1656" w:type="dxa"/>
            <w:shd w:val="clear" w:color="auto" w:fill="auto"/>
            <w:vAlign w:val="center"/>
          </w:tcPr>
          <w:p w14:paraId="69EE35C2" w14:textId="77777777" w:rsidR="002E0FEA" w:rsidRPr="00A81A4F" w:rsidRDefault="002E0FEA" w:rsidP="00E539CE">
            <w:pPr>
              <w:spacing w:after="0"/>
              <w:jc w:val="center"/>
              <w:rPr>
                <w:sz w:val="20"/>
                <w:szCs w:val="20"/>
              </w:rPr>
            </w:pPr>
            <w:r w:rsidRPr="00A81A4F">
              <w:rPr>
                <w:sz w:val="20"/>
                <w:szCs w:val="20"/>
              </w:rPr>
              <w:t>-0.432(-3.184)**</w:t>
            </w:r>
          </w:p>
        </w:tc>
      </w:tr>
      <w:tr w:rsidR="002E0FEA" w:rsidRPr="00A81A4F" w14:paraId="1E6D80C7" w14:textId="77777777" w:rsidTr="00620CED">
        <w:tc>
          <w:tcPr>
            <w:tcW w:w="4390" w:type="dxa"/>
            <w:tcBorders>
              <w:bottom w:val="nil"/>
            </w:tcBorders>
            <w:shd w:val="clear" w:color="auto" w:fill="auto"/>
          </w:tcPr>
          <w:p w14:paraId="4C104E36"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PES x Foreign ECP</w:t>
            </w:r>
            <w:r w:rsidRPr="00A81A4F">
              <w:rPr>
                <w:sz w:val="20"/>
                <w:szCs w:val="20"/>
                <w:vertAlign w:val="superscript"/>
                <w:lang w:val="en-GB" w:eastAsia="en-US"/>
              </w:rPr>
              <w:t>2</w:t>
            </w:r>
            <w:r w:rsidRPr="00A81A4F">
              <w:rPr>
                <w:sz w:val="20"/>
                <w:szCs w:val="20"/>
                <w:lang w:val="en-GB" w:eastAsia="en-US"/>
              </w:rPr>
              <w:t xml:space="preserve"> </w:t>
            </w:r>
            <w:r w:rsidRPr="00A81A4F">
              <w:rPr>
                <w:sz w:val="20"/>
                <w:szCs w:val="20"/>
                <w:lang w:val="en-GB" w:eastAsia="en-US"/>
              </w:rPr>
              <w:sym w:font="Wingdings" w:char="F0E0"/>
            </w:r>
            <w:r w:rsidRPr="00A81A4F">
              <w:rPr>
                <w:sz w:val="20"/>
                <w:szCs w:val="20"/>
                <w:lang w:val="en-GB" w:eastAsia="en-US"/>
              </w:rPr>
              <w:t xml:space="preserve"> IFIA</w:t>
            </w:r>
          </w:p>
        </w:tc>
        <w:tc>
          <w:tcPr>
            <w:tcW w:w="1655" w:type="dxa"/>
            <w:tcBorders>
              <w:bottom w:val="nil"/>
            </w:tcBorders>
            <w:shd w:val="clear" w:color="auto" w:fill="auto"/>
            <w:vAlign w:val="center"/>
          </w:tcPr>
          <w:p w14:paraId="28954476"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tcBorders>
              <w:bottom w:val="nil"/>
            </w:tcBorders>
            <w:shd w:val="clear" w:color="auto" w:fill="auto"/>
            <w:vAlign w:val="center"/>
          </w:tcPr>
          <w:p w14:paraId="01702A5A" w14:textId="77777777" w:rsidR="002E0FEA" w:rsidRPr="00A81A4F" w:rsidRDefault="002E0FEA" w:rsidP="00E539CE">
            <w:pPr>
              <w:spacing w:after="0"/>
              <w:jc w:val="center"/>
              <w:rPr>
                <w:sz w:val="20"/>
                <w:szCs w:val="20"/>
              </w:rPr>
            </w:pPr>
          </w:p>
        </w:tc>
        <w:tc>
          <w:tcPr>
            <w:tcW w:w="1656" w:type="dxa"/>
            <w:tcBorders>
              <w:bottom w:val="nil"/>
            </w:tcBorders>
            <w:shd w:val="clear" w:color="auto" w:fill="auto"/>
            <w:vAlign w:val="center"/>
          </w:tcPr>
          <w:p w14:paraId="47157D1C" w14:textId="77777777" w:rsidR="002E0FEA" w:rsidRPr="00A81A4F" w:rsidRDefault="002E0FEA" w:rsidP="00E539CE">
            <w:pPr>
              <w:spacing w:after="0"/>
              <w:jc w:val="center"/>
              <w:rPr>
                <w:sz w:val="20"/>
                <w:szCs w:val="20"/>
              </w:rPr>
            </w:pPr>
            <w:r w:rsidRPr="00A81A4F">
              <w:rPr>
                <w:sz w:val="20"/>
                <w:szCs w:val="20"/>
              </w:rPr>
              <w:t>-0.189(-1.349)</w:t>
            </w:r>
          </w:p>
        </w:tc>
      </w:tr>
      <w:tr w:rsidR="002E0FEA" w:rsidRPr="00A81A4F" w14:paraId="12813CA1" w14:textId="77777777" w:rsidTr="00620CED">
        <w:tc>
          <w:tcPr>
            <w:tcW w:w="4390" w:type="dxa"/>
            <w:tcBorders>
              <w:top w:val="nil"/>
              <w:bottom w:val="single" w:sz="4" w:space="0" w:color="auto"/>
            </w:tcBorders>
            <w:shd w:val="clear" w:color="auto" w:fill="auto"/>
          </w:tcPr>
          <w:p w14:paraId="69F21CEB"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PES x Foreign ECP</w:t>
            </w:r>
            <w:r w:rsidRPr="00A81A4F">
              <w:rPr>
                <w:sz w:val="20"/>
                <w:szCs w:val="20"/>
                <w:vertAlign w:val="superscript"/>
                <w:lang w:val="en-GB" w:eastAsia="en-US"/>
              </w:rPr>
              <w:t>2</w:t>
            </w:r>
            <w:r w:rsidRPr="00A81A4F">
              <w:rPr>
                <w:sz w:val="20"/>
                <w:szCs w:val="20"/>
                <w:lang w:val="en-GB" w:eastAsia="en-US"/>
              </w:rPr>
              <w:t xml:space="preserve"> </w:t>
            </w:r>
            <w:r w:rsidRPr="00A81A4F">
              <w:rPr>
                <w:sz w:val="20"/>
                <w:szCs w:val="20"/>
                <w:lang w:val="en-GB" w:eastAsia="en-US"/>
              </w:rPr>
              <w:sym w:font="Wingdings" w:char="F0E0"/>
            </w:r>
            <w:r w:rsidRPr="00A81A4F">
              <w:rPr>
                <w:sz w:val="20"/>
                <w:szCs w:val="20"/>
                <w:lang w:val="en-GB" w:eastAsia="en-US"/>
              </w:rPr>
              <w:t xml:space="preserve"> OFIA</w:t>
            </w:r>
          </w:p>
        </w:tc>
        <w:tc>
          <w:tcPr>
            <w:tcW w:w="1655" w:type="dxa"/>
            <w:tcBorders>
              <w:top w:val="nil"/>
              <w:bottom w:val="single" w:sz="4" w:space="0" w:color="auto"/>
            </w:tcBorders>
            <w:shd w:val="clear" w:color="auto" w:fill="auto"/>
            <w:vAlign w:val="center"/>
          </w:tcPr>
          <w:p w14:paraId="084C6048"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tcBorders>
              <w:top w:val="nil"/>
              <w:bottom w:val="single" w:sz="4" w:space="0" w:color="auto"/>
            </w:tcBorders>
            <w:shd w:val="clear" w:color="auto" w:fill="auto"/>
            <w:vAlign w:val="center"/>
          </w:tcPr>
          <w:p w14:paraId="751655C3" w14:textId="77777777" w:rsidR="002E0FEA" w:rsidRPr="00A81A4F" w:rsidRDefault="002E0FEA" w:rsidP="00E539CE">
            <w:pPr>
              <w:spacing w:after="0"/>
              <w:jc w:val="center"/>
              <w:rPr>
                <w:sz w:val="20"/>
                <w:szCs w:val="20"/>
              </w:rPr>
            </w:pPr>
            <w:r w:rsidRPr="00A81A4F">
              <w:rPr>
                <w:sz w:val="20"/>
                <w:szCs w:val="20"/>
              </w:rPr>
              <w:t>-0.280(-2.361)*</w:t>
            </w:r>
          </w:p>
        </w:tc>
        <w:tc>
          <w:tcPr>
            <w:tcW w:w="1656" w:type="dxa"/>
            <w:tcBorders>
              <w:top w:val="nil"/>
              <w:bottom w:val="single" w:sz="4" w:space="0" w:color="auto"/>
            </w:tcBorders>
            <w:shd w:val="clear" w:color="auto" w:fill="auto"/>
            <w:vAlign w:val="center"/>
          </w:tcPr>
          <w:p w14:paraId="74E50F1A" w14:textId="77777777" w:rsidR="002E0FEA" w:rsidRPr="00A81A4F" w:rsidRDefault="002E0FEA" w:rsidP="00E539CE">
            <w:pPr>
              <w:spacing w:after="0"/>
              <w:jc w:val="center"/>
              <w:rPr>
                <w:sz w:val="20"/>
                <w:szCs w:val="20"/>
              </w:rPr>
            </w:pPr>
            <w:r w:rsidRPr="00A81A4F">
              <w:rPr>
                <w:sz w:val="20"/>
                <w:szCs w:val="20"/>
              </w:rPr>
              <w:t>-0.315(-2.353)*</w:t>
            </w:r>
          </w:p>
        </w:tc>
      </w:tr>
      <w:tr w:rsidR="002E0FEA" w:rsidRPr="00A81A4F" w14:paraId="27B67F58" w14:textId="77777777" w:rsidTr="00620CED">
        <w:tc>
          <w:tcPr>
            <w:tcW w:w="4390" w:type="dxa"/>
            <w:tcBorders>
              <w:top w:val="single" w:sz="4" w:space="0" w:color="auto"/>
            </w:tcBorders>
            <w:shd w:val="clear" w:color="auto" w:fill="auto"/>
          </w:tcPr>
          <w:p w14:paraId="02FF9A6C" w14:textId="77777777" w:rsidR="002E0FEA" w:rsidRPr="00A81A4F" w:rsidRDefault="002E0FEA" w:rsidP="00E539CE">
            <w:pPr>
              <w:autoSpaceDE w:val="0"/>
              <w:autoSpaceDN w:val="0"/>
              <w:adjustRightInd w:val="0"/>
              <w:spacing w:after="0" w:line="240" w:lineRule="auto"/>
              <w:rPr>
                <w:sz w:val="20"/>
                <w:szCs w:val="20"/>
                <w:lang w:val="en-GB"/>
              </w:rPr>
            </w:pPr>
          </w:p>
        </w:tc>
        <w:tc>
          <w:tcPr>
            <w:tcW w:w="1655" w:type="dxa"/>
            <w:tcBorders>
              <w:top w:val="single" w:sz="4" w:space="0" w:color="auto"/>
            </w:tcBorders>
            <w:shd w:val="clear" w:color="auto" w:fill="auto"/>
          </w:tcPr>
          <w:p w14:paraId="22D3E1F9"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tcBorders>
              <w:top w:val="single" w:sz="4" w:space="0" w:color="auto"/>
            </w:tcBorders>
            <w:shd w:val="clear" w:color="auto" w:fill="auto"/>
          </w:tcPr>
          <w:p w14:paraId="3590E4E7"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6" w:type="dxa"/>
            <w:tcBorders>
              <w:top w:val="single" w:sz="4" w:space="0" w:color="auto"/>
            </w:tcBorders>
            <w:shd w:val="clear" w:color="auto" w:fill="auto"/>
          </w:tcPr>
          <w:p w14:paraId="12AA3B6D"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00234C65" w14:textId="77777777" w:rsidTr="00620CED">
        <w:tc>
          <w:tcPr>
            <w:tcW w:w="4390" w:type="dxa"/>
            <w:shd w:val="clear" w:color="auto" w:fill="auto"/>
          </w:tcPr>
          <w:p w14:paraId="1F401608" w14:textId="77777777" w:rsidR="002E0FEA" w:rsidRPr="00A81A4F" w:rsidRDefault="002E0FEA" w:rsidP="00E539CE">
            <w:pPr>
              <w:autoSpaceDE w:val="0"/>
              <w:autoSpaceDN w:val="0"/>
              <w:adjustRightInd w:val="0"/>
              <w:spacing w:after="0" w:line="240" w:lineRule="auto"/>
              <w:rPr>
                <w:b/>
                <w:sz w:val="20"/>
                <w:szCs w:val="20"/>
                <w:lang w:val="en-GB"/>
              </w:rPr>
            </w:pPr>
            <w:r w:rsidRPr="00A81A4F">
              <w:rPr>
                <w:b/>
                <w:sz w:val="20"/>
                <w:szCs w:val="20"/>
                <w:lang w:val="en-GB"/>
              </w:rPr>
              <w:t>Fit Index:</w:t>
            </w:r>
          </w:p>
        </w:tc>
        <w:tc>
          <w:tcPr>
            <w:tcW w:w="1655" w:type="dxa"/>
            <w:shd w:val="clear" w:color="auto" w:fill="auto"/>
          </w:tcPr>
          <w:p w14:paraId="7899FA2F"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5" w:type="dxa"/>
            <w:shd w:val="clear" w:color="auto" w:fill="auto"/>
          </w:tcPr>
          <w:p w14:paraId="461FCFA4" w14:textId="77777777" w:rsidR="002E0FEA" w:rsidRPr="00A81A4F" w:rsidRDefault="002E0FEA" w:rsidP="00E539CE">
            <w:pPr>
              <w:autoSpaceDE w:val="0"/>
              <w:autoSpaceDN w:val="0"/>
              <w:adjustRightInd w:val="0"/>
              <w:spacing w:after="0" w:line="240" w:lineRule="auto"/>
              <w:jc w:val="center"/>
              <w:rPr>
                <w:sz w:val="20"/>
                <w:szCs w:val="20"/>
                <w:lang w:val="en-GB"/>
              </w:rPr>
            </w:pPr>
          </w:p>
        </w:tc>
        <w:tc>
          <w:tcPr>
            <w:tcW w:w="1656" w:type="dxa"/>
            <w:shd w:val="clear" w:color="auto" w:fill="auto"/>
          </w:tcPr>
          <w:p w14:paraId="4D6D9614"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45185842" w14:textId="77777777" w:rsidTr="00620CED">
        <w:tc>
          <w:tcPr>
            <w:tcW w:w="4390" w:type="dxa"/>
            <w:shd w:val="clear" w:color="auto" w:fill="auto"/>
          </w:tcPr>
          <w:p w14:paraId="65366AF9" w14:textId="77777777" w:rsidR="002E0FEA" w:rsidRPr="00A81A4F" w:rsidRDefault="002E0FEA" w:rsidP="00E539CE">
            <w:pPr>
              <w:autoSpaceDE w:val="0"/>
              <w:autoSpaceDN w:val="0"/>
              <w:adjustRightInd w:val="0"/>
              <w:spacing w:after="0" w:line="240" w:lineRule="auto"/>
              <w:rPr>
                <w:sz w:val="20"/>
                <w:szCs w:val="20"/>
                <w:lang w:val="en-GB"/>
              </w:rPr>
            </w:pPr>
            <w:r w:rsidRPr="00A81A4F">
              <w:rPr>
                <w:sz w:val="20"/>
                <w:szCs w:val="20"/>
                <w:lang w:val="en-GB"/>
              </w:rPr>
              <w:t>Chi-Square (</w:t>
            </w:r>
            <w:r w:rsidRPr="00A81A4F">
              <w:rPr>
                <w:i/>
                <w:sz w:val="20"/>
                <w:szCs w:val="20"/>
                <w:lang w:val="en-GB"/>
              </w:rPr>
              <w:t>X</w:t>
            </w:r>
            <w:r w:rsidRPr="00A81A4F">
              <w:rPr>
                <w:sz w:val="20"/>
                <w:szCs w:val="20"/>
                <w:vertAlign w:val="superscript"/>
                <w:lang w:val="en-GB"/>
              </w:rPr>
              <w:t>2</w:t>
            </w:r>
            <w:r w:rsidRPr="00A81A4F">
              <w:rPr>
                <w:sz w:val="20"/>
                <w:szCs w:val="20"/>
                <w:lang w:val="en-GB"/>
              </w:rPr>
              <w:t>)</w:t>
            </w:r>
          </w:p>
        </w:tc>
        <w:tc>
          <w:tcPr>
            <w:tcW w:w="1655" w:type="dxa"/>
            <w:shd w:val="clear" w:color="auto" w:fill="auto"/>
          </w:tcPr>
          <w:p w14:paraId="73B2B9B5"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42.957</w:t>
            </w:r>
          </w:p>
        </w:tc>
        <w:tc>
          <w:tcPr>
            <w:tcW w:w="1655" w:type="dxa"/>
            <w:shd w:val="clear" w:color="auto" w:fill="auto"/>
          </w:tcPr>
          <w:p w14:paraId="2A8B4885"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247.161</w:t>
            </w:r>
          </w:p>
        </w:tc>
        <w:tc>
          <w:tcPr>
            <w:tcW w:w="1656" w:type="dxa"/>
            <w:shd w:val="clear" w:color="auto" w:fill="auto"/>
          </w:tcPr>
          <w:p w14:paraId="3C69E238"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222.675</w:t>
            </w:r>
          </w:p>
        </w:tc>
      </w:tr>
      <w:tr w:rsidR="002E0FEA" w:rsidRPr="00A81A4F" w14:paraId="5D005F6C" w14:textId="77777777" w:rsidTr="00620CED">
        <w:tc>
          <w:tcPr>
            <w:tcW w:w="4390" w:type="dxa"/>
            <w:shd w:val="clear" w:color="auto" w:fill="auto"/>
          </w:tcPr>
          <w:p w14:paraId="51FEB49E" w14:textId="77777777" w:rsidR="002E0FEA" w:rsidRPr="00A81A4F" w:rsidRDefault="002E0FEA" w:rsidP="00E539CE">
            <w:pPr>
              <w:autoSpaceDE w:val="0"/>
              <w:autoSpaceDN w:val="0"/>
              <w:adjustRightInd w:val="0"/>
              <w:spacing w:after="0" w:line="240" w:lineRule="auto"/>
              <w:rPr>
                <w:sz w:val="20"/>
                <w:szCs w:val="20"/>
                <w:lang w:val="en-GB"/>
              </w:rPr>
            </w:pPr>
            <w:r w:rsidRPr="00A81A4F">
              <w:rPr>
                <w:sz w:val="20"/>
                <w:szCs w:val="20"/>
                <w:lang w:val="en-GB"/>
              </w:rPr>
              <w:t>Degree of Freedom (</w:t>
            </w:r>
            <w:r w:rsidRPr="00A81A4F">
              <w:rPr>
                <w:i/>
                <w:sz w:val="20"/>
                <w:szCs w:val="20"/>
                <w:lang w:val="en-GB"/>
              </w:rPr>
              <w:t>df</w:t>
            </w:r>
            <w:r w:rsidRPr="00A81A4F">
              <w:rPr>
                <w:sz w:val="20"/>
                <w:szCs w:val="20"/>
                <w:lang w:val="en-GB"/>
              </w:rPr>
              <w:t>)</w:t>
            </w:r>
          </w:p>
        </w:tc>
        <w:tc>
          <w:tcPr>
            <w:tcW w:w="1655" w:type="dxa"/>
            <w:shd w:val="clear" w:color="auto" w:fill="auto"/>
          </w:tcPr>
          <w:p w14:paraId="3363E6AB"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8</w:t>
            </w:r>
          </w:p>
        </w:tc>
        <w:tc>
          <w:tcPr>
            <w:tcW w:w="1655" w:type="dxa"/>
            <w:shd w:val="clear" w:color="auto" w:fill="auto"/>
          </w:tcPr>
          <w:p w14:paraId="1A94FCB9"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89</w:t>
            </w:r>
          </w:p>
        </w:tc>
        <w:tc>
          <w:tcPr>
            <w:tcW w:w="1656" w:type="dxa"/>
            <w:shd w:val="clear" w:color="auto" w:fill="auto"/>
          </w:tcPr>
          <w:p w14:paraId="60B00D70"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81</w:t>
            </w:r>
          </w:p>
        </w:tc>
      </w:tr>
      <w:tr w:rsidR="002E0FEA" w:rsidRPr="00A81A4F" w14:paraId="59B8B5E1" w14:textId="77777777" w:rsidTr="00620CED">
        <w:tc>
          <w:tcPr>
            <w:tcW w:w="4390" w:type="dxa"/>
            <w:shd w:val="clear" w:color="auto" w:fill="auto"/>
          </w:tcPr>
          <w:p w14:paraId="725994FD" w14:textId="77777777" w:rsidR="002E0FEA" w:rsidRPr="00A81A4F" w:rsidRDefault="002E0FEA" w:rsidP="00E539CE">
            <w:pPr>
              <w:autoSpaceDE w:val="0"/>
              <w:autoSpaceDN w:val="0"/>
              <w:adjustRightInd w:val="0"/>
              <w:spacing w:after="0" w:line="240" w:lineRule="auto"/>
              <w:rPr>
                <w:sz w:val="20"/>
                <w:szCs w:val="20"/>
                <w:lang w:val="en-GB"/>
              </w:rPr>
            </w:pPr>
            <w:r w:rsidRPr="00A81A4F">
              <w:rPr>
                <w:i/>
                <w:sz w:val="20"/>
                <w:szCs w:val="20"/>
                <w:lang w:val="en-GB"/>
              </w:rPr>
              <w:t>X</w:t>
            </w:r>
            <w:r w:rsidRPr="00A81A4F">
              <w:rPr>
                <w:sz w:val="20"/>
                <w:szCs w:val="20"/>
                <w:vertAlign w:val="superscript"/>
                <w:lang w:val="en-GB"/>
              </w:rPr>
              <w:t>2</w:t>
            </w:r>
            <w:r w:rsidRPr="00A81A4F">
              <w:rPr>
                <w:sz w:val="20"/>
                <w:szCs w:val="20"/>
                <w:lang w:val="en-GB"/>
              </w:rPr>
              <w:t>/</w:t>
            </w:r>
            <w:r w:rsidRPr="00A81A4F">
              <w:rPr>
                <w:i/>
                <w:sz w:val="20"/>
                <w:szCs w:val="20"/>
                <w:lang w:val="en-GB"/>
              </w:rPr>
              <w:t>df</w:t>
            </w:r>
          </w:p>
        </w:tc>
        <w:tc>
          <w:tcPr>
            <w:tcW w:w="1655" w:type="dxa"/>
            <w:shd w:val="clear" w:color="auto" w:fill="auto"/>
          </w:tcPr>
          <w:p w14:paraId="71B5972F"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4.773</w:t>
            </w:r>
          </w:p>
        </w:tc>
        <w:tc>
          <w:tcPr>
            <w:tcW w:w="1655" w:type="dxa"/>
            <w:shd w:val="clear" w:color="auto" w:fill="auto"/>
          </w:tcPr>
          <w:p w14:paraId="5E75C7DB"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2.777</w:t>
            </w:r>
          </w:p>
        </w:tc>
        <w:tc>
          <w:tcPr>
            <w:tcW w:w="1656" w:type="dxa"/>
            <w:shd w:val="clear" w:color="auto" w:fill="auto"/>
          </w:tcPr>
          <w:p w14:paraId="6780F80B"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2.749</w:t>
            </w:r>
          </w:p>
        </w:tc>
      </w:tr>
      <w:tr w:rsidR="002E0FEA" w:rsidRPr="00A81A4F" w14:paraId="6E647B9A" w14:textId="77777777" w:rsidTr="00620CED">
        <w:tc>
          <w:tcPr>
            <w:tcW w:w="4390" w:type="dxa"/>
            <w:shd w:val="clear" w:color="auto" w:fill="auto"/>
          </w:tcPr>
          <w:p w14:paraId="1E266A8F" w14:textId="77777777" w:rsidR="002E0FEA" w:rsidRPr="00A81A4F" w:rsidRDefault="002E0FEA" w:rsidP="00E539CE">
            <w:pPr>
              <w:autoSpaceDE w:val="0"/>
              <w:autoSpaceDN w:val="0"/>
              <w:adjustRightInd w:val="0"/>
              <w:spacing w:after="0" w:line="240" w:lineRule="auto"/>
              <w:rPr>
                <w:sz w:val="20"/>
                <w:szCs w:val="20"/>
                <w:lang w:val="en-GB"/>
              </w:rPr>
            </w:pPr>
            <w:r w:rsidRPr="00A81A4F">
              <w:rPr>
                <w:sz w:val="20"/>
                <w:szCs w:val="20"/>
                <w:lang w:val="en-GB"/>
              </w:rPr>
              <w:t>p-value</w:t>
            </w:r>
          </w:p>
        </w:tc>
        <w:tc>
          <w:tcPr>
            <w:tcW w:w="1655" w:type="dxa"/>
            <w:shd w:val="clear" w:color="auto" w:fill="auto"/>
          </w:tcPr>
          <w:p w14:paraId="42D2A00E"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0.000</w:t>
            </w:r>
          </w:p>
        </w:tc>
        <w:tc>
          <w:tcPr>
            <w:tcW w:w="1655" w:type="dxa"/>
            <w:shd w:val="clear" w:color="auto" w:fill="auto"/>
          </w:tcPr>
          <w:p w14:paraId="25530417"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0.000</w:t>
            </w:r>
          </w:p>
        </w:tc>
        <w:tc>
          <w:tcPr>
            <w:tcW w:w="1656" w:type="dxa"/>
            <w:shd w:val="clear" w:color="auto" w:fill="auto"/>
          </w:tcPr>
          <w:p w14:paraId="7CD0B95F"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0.000</w:t>
            </w:r>
          </w:p>
        </w:tc>
      </w:tr>
      <w:tr w:rsidR="002E0FEA" w:rsidRPr="00A81A4F" w14:paraId="73EB0662" w14:textId="77777777" w:rsidTr="00620CED">
        <w:tc>
          <w:tcPr>
            <w:tcW w:w="4390" w:type="dxa"/>
            <w:shd w:val="clear" w:color="auto" w:fill="auto"/>
          </w:tcPr>
          <w:p w14:paraId="1FE6BA29" w14:textId="77777777" w:rsidR="002E0FEA" w:rsidRPr="00A81A4F" w:rsidRDefault="002E0FEA" w:rsidP="00E539CE">
            <w:pPr>
              <w:autoSpaceDE w:val="0"/>
              <w:autoSpaceDN w:val="0"/>
              <w:adjustRightInd w:val="0"/>
              <w:spacing w:after="0" w:line="240" w:lineRule="auto"/>
              <w:rPr>
                <w:sz w:val="20"/>
                <w:szCs w:val="20"/>
                <w:lang w:val="en-GB"/>
              </w:rPr>
            </w:pPr>
            <w:r w:rsidRPr="00A81A4F">
              <w:rPr>
                <w:sz w:val="20"/>
                <w:szCs w:val="20"/>
              </w:rPr>
              <w:t>Comparative fit index (CFI)</w:t>
            </w:r>
          </w:p>
        </w:tc>
        <w:tc>
          <w:tcPr>
            <w:tcW w:w="1655" w:type="dxa"/>
            <w:shd w:val="clear" w:color="auto" w:fill="auto"/>
          </w:tcPr>
          <w:p w14:paraId="71806A11"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0.917</w:t>
            </w:r>
          </w:p>
        </w:tc>
        <w:tc>
          <w:tcPr>
            <w:tcW w:w="1655" w:type="dxa"/>
            <w:shd w:val="clear" w:color="auto" w:fill="auto"/>
          </w:tcPr>
          <w:p w14:paraId="667210B3"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0.928</w:t>
            </w:r>
          </w:p>
        </w:tc>
        <w:tc>
          <w:tcPr>
            <w:tcW w:w="1656" w:type="dxa"/>
            <w:shd w:val="clear" w:color="auto" w:fill="auto"/>
          </w:tcPr>
          <w:p w14:paraId="40F78D0D"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0.936</w:t>
            </w:r>
          </w:p>
        </w:tc>
      </w:tr>
      <w:tr w:rsidR="002E0FEA" w:rsidRPr="00A81A4F" w14:paraId="3D970B7E" w14:textId="77777777" w:rsidTr="00620CED">
        <w:tc>
          <w:tcPr>
            <w:tcW w:w="4390" w:type="dxa"/>
            <w:shd w:val="clear" w:color="auto" w:fill="auto"/>
          </w:tcPr>
          <w:p w14:paraId="1A60D590" w14:textId="77777777" w:rsidR="002E0FEA" w:rsidRPr="00A81A4F" w:rsidRDefault="002E0FEA" w:rsidP="00E539CE">
            <w:pPr>
              <w:autoSpaceDE w:val="0"/>
              <w:autoSpaceDN w:val="0"/>
              <w:adjustRightInd w:val="0"/>
              <w:spacing w:after="0" w:line="240" w:lineRule="auto"/>
              <w:rPr>
                <w:sz w:val="20"/>
                <w:szCs w:val="20"/>
                <w:lang w:val="en-GB"/>
              </w:rPr>
            </w:pPr>
            <w:r w:rsidRPr="00A81A4F">
              <w:rPr>
                <w:rFonts w:eastAsia="PMingLiU"/>
                <w:sz w:val="20"/>
                <w:szCs w:val="20"/>
                <w:lang w:eastAsia="zh-TW"/>
              </w:rPr>
              <w:t>Root mean square error of approximation (RMSEA)</w:t>
            </w:r>
          </w:p>
        </w:tc>
        <w:tc>
          <w:tcPr>
            <w:tcW w:w="1655" w:type="dxa"/>
            <w:shd w:val="clear" w:color="auto" w:fill="auto"/>
          </w:tcPr>
          <w:p w14:paraId="0FEDC7D0"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0.087</w:t>
            </w:r>
          </w:p>
        </w:tc>
        <w:tc>
          <w:tcPr>
            <w:tcW w:w="1655" w:type="dxa"/>
            <w:shd w:val="clear" w:color="auto" w:fill="auto"/>
          </w:tcPr>
          <w:p w14:paraId="30172984"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0.093</w:t>
            </w:r>
          </w:p>
        </w:tc>
        <w:tc>
          <w:tcPr>
            <w:tcW w:w="1656" w:type="dxa"/>
            <w:shd w:val="clear" w:color="auto" w:fill="auto"/>
          </w:tcPr>
          <w:p w14:paraId="03A07437"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0.091</w:t>
            </w:r>
          </w:p>
        </w:tc>
      </w:tr>
    </w:tbl>
    <w:p w14:paraId="66A0AC60" w14:textId="77777777" w:rsidR="002E0FEA" w:rsidRPr="00A81A4F" w:rsidRDefault="002E0FEA" w:rsidP="00E539CE">
      <w:pPr>
        <w:spacing w:after="0" w:line="276" w:lineRule="auto"/>
        <w:rPr>
          <w:rFonts w:eastAsia="PMingLiU"/>
          <w:sz w:val="16"/>
          <w:szCs w:val="16"/>
          <w:lang w:eastAsia="zh-TW"/>
        </w:rPr>
      </w:pPr>
      <w:r w:rsidRPr="00A81A4F">
        <w:rPr>
          <w:rFonts w:eastAsia="PMingLiU"/>
          <w:sz w:val="16"/>
          <w:szCs w:val="16"/>
          <w:lang w:eastAsia="zh-TW"/>
        </w:rPr>
        <w:t>Note: *** p &lt; 0.001; ** p &lt; 0.010; * p &lt; 0.050; † p &lt; 0.100.</w:t>
      </w:r>
    </w:p>
    <w:p w14:paraId="3D01C348" w14:textId="77777777" w:rsidR="002E0FEA" w:rsidRPr="00A81A4F" w:rsidRDefault="002E0FEA" w:rsidP="00E539CE">
      <w:pPr>
        <w:spacing w:after="0" w:line="276" w:lineRule="auto"/>
        <w:rPr>
          <w:b/>
          <w:lang w:val="en-GB"/>
        </w:rPr>
      </w:pPr>
      <w:r w:rsidRPr="00A81A4F">
        <w:rPr>
          <w:rFonts w:eastAsia="PMingLiU"/>
          <w:sz w:val="16"/>
          <w:szCs w:val="16"/>
          <w:lang w:eastAsia="zh-TW"/>
        </w:rPr>
        <w:t>Standardized Coefficients are reported with t-value in parentheses.</w:t>
      </w:r>
    </w:p>
    <w:p w14:paraId="07AD63EC" w14:textId="77777777" w:rsidR="002E0FEA" w:rsidRPr="00A81A4F" w:rsidRDefault="002E0FEA" w:rsidP="00E539CE">
      <w:pPr>
        <w:autoSpaceDE w:val="0"/>
        <w:autoSpaceDN w:val="0"/>
        <w:adjustRightInd w:val="0"/>
        <w:spacing w:after="0" w:line="240" w:lineRule="auto"/>
        <w:jc w:val="center"/>
        <w:rPr>
          <w:b/>
          <w:lang w:val="en-GB"/>
        </w:rPr>
        <w:sectPr w:rsidR="002E0FEA" w:rsidRPr="00A81A4F" w:rsidSect="00616DE1">
          <w:pgSz w:w="11906" w:h="16838"/>
          <w:pgMar w:top="1440" w:right="1440" w:bottom="1440" w:left="1440" w:header="709" w:footer="709" w:gutter="0"/>
          <w:cols w:space="708"/>
          <w:docGrid w:linePitch="360"/>
        </w:sectPr>
      </w:pPr>
    </w:p>
    <w:p w14:paraId="21DF0225" w14:textId="77777777" w:rsidR="002E0FEA" w:rsidRPr="00A81A4F" w:rsidRDefault="002E0FEA" w:rsidP="00E539CE">
      <w:pPr>
        <w:spacing w:after="0" w:line="240" w:lineRule="auto"/>
        <w:jc w:val="center"/>
        <w:rPr>
          <w:rFonts w:cs="Calibri"/>
          <w:b/>
          <w:lang w:val="en-GB" w:eastAsia="en-US"/>
        </w:rPr>
      </w:pPr>
      <w:r w:rsidRPr="00A81A4F">
        <w:rPr>
          <w:rFonts w:cs="Calibri"/>
          <w:b/>
          <w:lang w:val="en-GB" w:eastAsia="en-US"/>
        </w:rPr>
        <w:lastRenderedPageBreak/>
        <w:t>Table 5: Post-Hoc Analysis – Individual Internationalization Activities</w:t>
      </w:r>
    </w:p>
    <w:tbl>
      <w:tblPr>
        <w:tblW w:w="14743" w:type="dxa"/>
        <w:tblInd w:w="-431" w:type="dxa"/>
        <w:tblBorders>
          <w:top w:val="single" w:sz="4" w:space="0" w:color="auto"/>
          <w:bottom w:val="single" w:sz="4" w:space="0" w:color="auto"/>
        </w:tblBorders>
        <w:tblLayout w:type="fixed"/>
        <w:tblCellMar>
          <w:left w:w="85" w:type="dxa"/>
          <w:right w:w="85" w:type="dxa"/>
        </w:tblCellMar>
        <w:tblLook w:val="04A0" w:firstRow="1" w:lastRow="0" w:firstColumn="1" w:lastColumn="0" w:noHBand="0" w:noVBand="1"/>
      </w:tblPr>
      <w:tblGrid>
        <w:gridCol w:w="2411"/>
        <w:gridCol w:w="1541"/>
        <w:gridCol w:w="1542"/>
        <w:gridCol w:w="1541"/>
        <w:gridCol w:w="1542"/>
        <w:gridCol w:w="1541"/>
        <w:gridCol w:w="1542"/>
        <w:gridCol w:w="1541"/>
        <w:gridCol w:w="1542"/>
      </w:tblGrid>
      <w:tr w:rsidR="002E0FEA" w:rsidRPr="00A81A4F" w14:paraId="1986474E" w14:textId="77777777" w:rsidTr="00620CED">
        <w:tc>
          <w:tcPr>
            <w:tcW w:w="2411" w:type="dxa"/>
            <w:shd w:val="clear" w:color="auto" w:fill="auto"/>
          </w:tcPr>
          <w:p w14:paraId="0361FBC5" w14:textId="77777777" w:rsidR="002E0FEA" w:rsidRPr="00A81A4F" w:rsidRDefault="002E0FEA" w:rsidP="00E539CE">
            <w:pPr>
              <w:spacing w:after="0" w:line="240" w:lineRule="auto"/>
              <w:jc w:val="both"/>
              <w:rPr>
                <w:b/>
                <w:sz w:val="20"/>
                <w:szCs w:val="20"/>
                <w:lang w:val="en-GB" w:eastAsia="en-US"/>
              </w:rPr>
            </w:pPr>
          </w:p>
        </w:tc>
        <w:tc>
          <w:tcPr>
            <w:tcW w:w="1541" w:type="dxa"/>
            <w:tcBorders>
              <w:top w:val="single" w:sz="4" w:space="0" w:color="auto"/>
              <w:bottom w:val="single" w:sz="4" w:space="0" w:color="auto"/>
            </w:tcBorders>
          </w:tcPr>
          <w:p w14:paraId="61045C20"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16</w:t>
            </w:r>
          </w:p>
        </w:tc>
        <w:tc>
          <w:tcPr>
            <w:tcW w:w="1542" w:type="dxa"/>
            <w:tcBorders>
              <w:top w:val="single" w:sz="4" w:space="0" w:color="auto"/>
              <w:bottom w:val="single" w:sz="4" w:space="0" w:color="auto"/>
            </w:tcBorders>
            <w:shd w:val="clear" w:color="auto" w:fill="auto"/>
          </w:tcPr>
          <w:p w14:paraId="7F4F343A"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17</w:t>
            </w:r>
          </w:p>
        </w:tc>
        <w:tc>
          <w:tcPr>
            <w:tcW w:w="1541" w:type="dxa"/>
            <w:tcBorders>
              <w:top w:val="single" w:sz="4" w:space="0" w:color="auto"/>
              <w:bottom w:val="single" w:sz="4" w:space="0" w:color="auto"/>
            </w:tcBorders>
          </w:tcPr>
          <w:p w14:paraId="1C9397E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18</w:t>
            </w:r>
          </w:p>
        </w:tc>
        <w:tc>
          <w:tcPr>
            <w:tcW w:w="1542" w:type="dxa"/>
            <w:tcBorders>
              <w:top w:val="single" w:sz="4" w:space="0" w:color="auto"/>
              <w:bottom w:val="single" w:sz="4" w:space="0" w:color="auto"/>
            </w:tcBorders>
            <w:shd w:val="clear" w:color="auto" w:fill="auto"/>
          </w:tcPr>
          <w:p w14:paraId="65370BB9"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19</w:t>
            </w:r>
          </w:p>
        </w:tc>
        <w:tc>
          <w:tcPr>
            <w:tcW w:w="1541" w:type="dxa"/>
            <w:tcBorders>
              <w:top w:val="single" w:sz="4" w:space="0" w:color="auto"/>
              <w:bottom w:val="single" w:sz="4" w:space="0" w:color="auto"/>
            </w:tcBorders>
          </w:tcPr>
          <w:p w14:paraId="0BC9A8C1"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20</w:t>
            </w:r>
          </w:p>
        </w:tc>
        <w:tc>
          <w:tcPr>
            <w:tcW w:w="1542" w:type="dxa"/>
            <w:tcBorders>
              <w:top w:val="single" w:sz="4" w:space="0" w:color="auto"/>
              <w:bottom w:val="single" w:sz="4" w:space="0" w:color="auto"/>
            </w:tcBorders>
            <w:shd w:val="clear" w:color="auto" w:fill="auto"/>
          </w:tcPr>
          <w:p w14:paraId="525BA0D8"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21</w:t>
            </w:r>
          </w:p>
        </w:tc>
        <w:tc>
          <w:tcPr>
            <w:tcW w:w="1541" w:type="dxa"/>
            <w:tcBorders>
              <w:top w:val="single" w:sz="4" w:space="0" w:color="auto"/>
              <w:bottom w:val="single" w:sz="4" w:space="0" w:color="auto"/>
            </w:tcBorders>
          </w:tcPr>
          <w:p w14:paraId="2036692B"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22</w:t>
            </w:r>
          </w:p>
        </w:tc>
        <w:tc>
          <w:tcPr>
            <w:tcW w:w="1542" w:type="dxa"/>
            <w:tcBorders>
              <w:top w:val="single" w:sz="4" w:space="0" w:color="auto"/>
              <w:bottom w:val="single" w:sz="4" w:space="0" w:color="auto"/>
            </w:tcBorders>
            <w:shd w:val="clear" w:color="auto" w:fill="auto"/>
          </w:tcPr>
          <w:p w14:paraId="626D6345"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23</w:t>
            </w:r>
          </w:p>
        </w:tc>
      </w:tr>
      <w:tr w:rsidR="002E0FEA" w:rsidRPr="00A81A4F" w14:paraId="38D7EEB2" w14:textId="77777777" w:rsidTr="00620CED">
        <w:tc>
          <w:tcPr>
            <w:tcW w:w="2411" w:type="dxa"/>
            <w:shd w:val="clear" w:color="auto" w:fill="auto"/>
          </w:tcPr>
          <w:p w14:paraId="4F6A2AC4" w14:textId="77777777" w:rsidR="002E0FEA" w:rsidRPr="00A81A4F" w:rsidRDefault="002E0FEA" w:rsidP="00E539CE">
            <w:pPr>
              <w:spacing w:after="0" w:line="240" w:lineRule="auto"/>
              <w:jc w:val="center"/>
              <w:rPr>
                <w:b/>
                <w:sz w:val="20"/>
                <w:szCs w:val="20"/>
                <w:lang w:val="en-GB" w:eastAsia="en-US"/>
              </w:rPr>
            </w:pPr>
          </w:p>
        </w:tc>
        <w:tc>
          <w:tcPr>
            <w:tcW w:w="3083" w:type="dxa"/>
            <w:gridSpan w:val="2"/>
            <w:tcBorders>
              <w:top w:val="single" w:sz="4" w:space="0" w:color="auto"/>
              <w:bottom w:val="double" w:sz="4" w:space="0" w:color="auto"/>
            </w:tcBorders>
          </w:tcPr>
          <w:p w14:paraId="36F77A3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Management Skills</w:t>
            </w:r>
          </w:p>
        </w:tc>
        <w:tc>
          <w:tcPr>
            <w:tcW w:w="3083" w:type="dxa"/>
            <w:gridSpan w:val="2"/>
            <w:tcBorders>
              <w:top w:val="single" w:sz="4" w:space="0" w:color="auto"/>
              <w:bottom w:val="double" w:sz="4" w:space="0" w:color="auto"/>
            </w:tcBorders>
          </w:tcPr>
          <w:p w14:paraId="4F18881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Investments</w:t>
            </w:r>
          </w:p>
        </w:tc>
        <w:tc>
          <w:tcPr>
            <w:tcW w:w="3083" w:type="dxa"/>
            <w:gridSpan w:val="2"/>
            <w:tcBorders>
              <w:top w:val="single" w:sz="4" w:space="0" w:color="auto"/>
              <w:bottom w:val="double" w:sz="4" w:space="0" w:color="auto"/>
            </w:tcBorders>
          </w:tcPr>
          <w:p w14:paraId="7B29BAB6"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Alliances</w:t>
            </w:r>
          </w:p>
        </w:tc>
        <w:tc>
          <w:tcPr>
            <w:tcW w:w="3083" w:type="dxa"/>
            <w:gridSpan w:val="2"/>
            <w:tcBorders>
              <w:top w:val="single" w:sz="4" w:space="0" w:color="auto"/>
              <w:bottom w:val="double" w:sz="4" w:space="0" w:color="auto"/>
            </w:tcBorders>
          </w:tcPr>
          <w:p w14:paraId="0AECC89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Markets</w:t>
            </w:r>
          </w:p>
        </w:tc>
      </w:tr>
      <w:tr w:rsidR="002E0FEA" w:rsidRPr="00A81A4F" w14:paraId="5EDEB1E4" w14:textId="77777777" w:rsidTr="00620CED">
        <w:tc>
          <w:tcPr>
            <w:tcW w:w="2411" w:type="dxa"/>
            <w:shd w:val="clear" w:color="auto" w:fill="auto"/>
          </w:tcPr>
          <w:p w14:paraId="4EECF21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Controls</w:t>
            </w:r>
          </w:p>
        </w:tc>
        <w:tc>
          <w:tcPr>
            <w:tcW w:w="1541" w:type="dxa"/>
            <w:tcBorders>
              <w:top w:val="double" w:sz="4" w:space="0" w:color="auto"/>
            </w:tcBorders>
          </w:tcPr>
          <w:p w14:paraId="73102482" w14:textId="77777777" w:rsidR="002E0FEA" w:rsidRPr="00A81A4F" w:rsidRDefault="002E0FEA" w:rsidP="00E539CE">
            <w:pPr>
              <w:spacing w:after="0" w:line="240" w:lineRule="auto"/>
              <w:jc w:val="center"/>
              <w:rPr>
                <w:b/>
                <w:sz w:val="20"/>
                <w:szCs w:val="20"/>
                <w:lang w:val="en-GB" w:eastAsia="en-US"/>
              </w:rPr>
            </w:pPr>
          </w:p>
        </w:tc>
        <w:tc>
          <w:tcPr>
            <w:tcW w:w="1542" w:type="dxa"/>
            <w:tcBorders>
              <w:top w:val="double" w:sz="4" w:space="0" w:color="auto"/>
            </w:tcBorders>
            <w:shd w:val="clear" w:color="auto" w:fill="auto"/>
          </w:tcPr>
          <w:p w14:paraId="4D558C5B" w14:textId="77777777" w:rsidR="002E0FEA" w:rsidRPr="00A81A4F" w:rsidRDefault="002E0FEA" w:rsidP="00E539CE">
            <w:pPr>
              <w:spacing w:after="0" w:line="240" w:lineRule="auto"/>
              <w:jc w:val="center"/>
              <w:rPr>
                <w:b/>
                <w:sz w:val="20"/>
                <w:szCs w:val="20"/>
                <w:lang w:val="en-GB" w:eastAsia="en-US"/>
              </w:rPr>
            </w:pPr>
          </w:p>
        </w:tc>
        <w:tc>
          <w:tcPr>
            <w:tcW w:w="1541" w:type="dxa"/>
            <w:tcBorders>
              <w:top w:val="double" w:sz="4" w:space="0" w:color="auto"/>
            </w:tcBorders>
          </w:tcPr>
          <w:p w14:paraId="65F66615" w14:textId="77777777" w:rsidR="002E0FEA" w:rsidRPr="00A81A4F" w:rsidRDefault="002E0FEA" w:rsidP="00E539CE">
            <w:pPr>
              <w:spacing w:after="0" w:line="240" w:lineRule="auto"/>
              <w:jc w:val="center"/>
              <w:rPr>
                <w:b/>
                <w:sz w:val="20"/>
                <w:szCs w:val="20"/>
                <w:lang w:val="en-GB" w:eastAsia="en-US"/>
              </w:rPr>
            </w:pPr>
          </w:p>
        </w:tc>
        <w:tc>
          <w:tcPr>
            <w:tcW w:w="1542" w:type="dxa"/>
            <w:tcBorders>
              <w:top w:val="double" w:sz="4" w:space="0" w:color="auto"/>
            </w:tcBorders>
            <w:shd w:val="clear" w:color="auto" w:fill="auto"/>
          </w:tcPr>
          <w:p w14:paraId="38B72A77" w14:textId="77777777" w:rsidR="002E0FEA" w:rsidRPr="00A81A4F" w:rsidRDefault="002E0FEA" w:rsidP="00E539CE">
            <w:pPr>
              <w:spacing w:after="0" w:line="240" w:lineRule="auto"/>
              <w:jc w:val="center"/>
              <w:rPr>
                <w:b/>
                <w:sz w:val="20"/>
                <w:szCs w:val="20"/>
                <w:lang w:val="en-GB" w:eastAsia="en-US"/>
              </w:rPr>
            </w:pPr>
          </w:p>
        </w:tc>
        <w:tc>
          <w:tcPr>
            <w:tcW w:w="1541" w:type="dxa"/>
            <w:tcBorders>
              <w:top w:val="double" w:sz="4" w:space="0" w:color="auto"/>
            </w:tcBorders>
          </w:tcPr>
          <w:p w14:paraId="65E4F437" w14:textId="77777777" w:rsidR="002E0FEA" w:rsidRPr="00A81A4F" w:rsidRDefault="002E0FEA" w:rsidP="00E539CE">
            <w:pPr>
              <w:spacing w:after="0" w:line="240" w:lineRule="auto"/>
              <w:jc w:val="center"/>
              <w:rPr>
                <w:b/>
                <w:sz w:val="20"/>
                <w:szCs w:val="20"/>
                <w:lang w:val="en-GB" w:eastAsia="en-US"/>
              </w:rPr>
            </w:pPr>
          </w:p>
        </w:tc>
        <w:tc>
          <w:tcPr>
            <w:tcW w:w="1542" w:type="dxa"/>
            <w:tcBorders>
              <w:top w:val="double" w:sz="4" w:space="0" w:color="auto"/>
            </w:tcBorders>
            <w:shd w:val="clear" w:color="auto" w:fill="auto"/>
          </w:tcPr>
          <w:p w14:paraId="1B79CBC8" w14:textId="77777777" w:rsidR="002E0FEA" w:rsidRPr="00A81A4F" w:rsidRDefault="002E0FEA" w:rsidP="00E539CE">
            <w:pPr>
              <w:spacing w:after="0" w:line="240" w:lineRule="auto"/>
              <w:jc w:val="center"/>
              <w:rPr>
                <w:b/>
                <w:sz w:val="20"/>
                <w:szCs w:val="20"/>
                <w:lang w:val="en-GB" w:eastAsia="en-US"/>
              </w:rPr>
            </w:pPr>
          </w:p>
        </w:tc>
        <w:tc>
          <w:tcPr>
            <w:tcW w:w="1541" w:type="dxa"/>
            <w:tcBorders>
              <w:top w:val="double" w:sz="4" w:space="0" w:color="auto"/>
            </w:tcBorders>
          </w:tcPr>
          <w:p w14:paraId="2A8B7D6B" w14:textId="77777777" w:rsidR="002E0FEA" w:rsidRPr="00A81A4F" w:rsidRDefault="002E0FEA" w:rsidP="00E539CE">
            <w:pPr>
              <w:spacing w:after="0" w:line="240" w:lineRule="auto"/>
              <w:jc w:val="center"/>
              <w:rPr>
                <w:b/>
                <w:sz w:val="20"/>
                <w:szCs w:val="20"/>
                <w:lang w:val="en-GB" w:eastAsia="en-US"/>
              </w:rPr>
            </w:pPr>
          </w:p>
        </w:tc>
        <w:tc>
          <w:tcPr>
            <w:tcW w:w="1542" w:type="dxa"/>
            <w:tcBorders>
              <w:top w:val="double" w:sz="4" w:space="0" w:color="auto"/>
            </w:tcBorders>
            <w:shd w:val="clear" w:color="auto" w:fill="auto"/>
          </w:tcPr>
          <w:p w14:paraId="44572978" w14:textId="77777777" w:rsidR="002E0FEA" w:rsidRPr="00A81A4F" w:rsidRDefault="002E0FEA" w:rsidP="00E539CE">
            <w:pPr>
              <w:spacing w:after="0" w:line="240" w:lineRule="auto"/>
              <w:jc w:val="center"/>
              <w:rPr>
                <w:b/>
                <w:sz w:val="20"/>
                <w:szCs w:val="20"/>
                <w:lang w:val="en-GB" w:eastAsia="en-US"/>
              </w:rPr>
            </w:pPr>
          </w:p>
        </w:tc>
      </w:tr>
      <w:tr w:rsidR="002E0FEA" w:rsidRPr="00A81A4F" w14:paraId="40754D40" w14:textId="77777777" w:rsidTr="00620CED">
        <w:tc>
          <w:tcPr>
            <w:tcW w:w="2411" w:type="dxa"/>
            <w:tcBorders>
              <w:top w:val="nil"/>
            </w:tcBorders>
            <w:shd w:val="clear" w:color="auto" w:fill="auto"/>
            <w:vAlign w:val="center"/>
          </w:tcPr>
          <w:p w14:paraId="205B54BE"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Information Technology</w:t>
            </w:r>
          </w:p>
        </w:tc>
        <w:tc>
          <w:tcPr>
            <w:tcW w:w="1541" w:type="dxa"/>
            <w:vAlign w:val="center"/>
          </w:tcPr>
          <w:p w14:paraId="6ACEB97D" w14:textId="77777777" w:rsidR="002E0FEA" w:rsidRPr="00A81A4F" w:rsidRDefault="002E0FEA" w:rsidP="00E539CE">
            <w:pPr>
              <w:spacing w:after="0" w:line="240" w:lineRule="auto"/>
              <w:jc w:val="center"/>
              <w:rPr>
                <w:sz w:val="20"/>
                <w:szCs w:val="20"/>
              </w:rPr>
            </w:pPr>
            <w:r w:rsidRPr="00A81A4F">
              <w:rPr>
                <w:sz w:val="20"/>
                <w:szCs w:val="20"/>
              </w:rPr>
              <w:t>0.496(1.920)†</w:t>
            </w:r>
          </w:p>
        </w:tc>
        <w:tc>
          <w:tcPr>
            <w:tcW w:w="1542" w:type="dxa"/>
            <w:vAlign w:val="center"/>
          </w:tcPr>
          <w:p w14:paraId="17AEE0A8" w14:textId="77777777" w:rsidR="002E0FEA" w:rsidRPr="00A81A4F" w:rsidRDefault="002E0FEA" w:rsidP="00E539CE">
            <w:pPr>
              <w:spacing w:after="0" w:line="240" w:lineRule="auto"/>
              <w:jc w:val="center"/>
              <w:rPr>
                <w:sz w:val="20"/>
                <w:szCs w:val="20"/>
                <w:lang w:val="en-GB" w:eastAsia="en-US"/>
              </w:rPr>
            </w:pPr>
            <w:r w:rsidRPr="00A81A4F">
              <w:rPr>
                <w:sz w:val="20"/>
                <w:szCs w:val="20"/>
              </w:rPr>
              <w:t>0.476(1.802)†</w:t>
            </w:r>
          </w:p>
        </w:tc>
        <w:tc>
          <w:tcPr>
            <w:tcW w:w="1541" w:type="dxa"/>
          </w:tcPr>
          <w:p w14:paraId="2AED4468" w14:textId="77777777" w:rsidR="002E0FEA" w:rsidRPr="00A81A4F" w:rsidRDefault="002E0FEA" w:rsidP="00E539CE">
            <w:pPr>
              <w:spacing w:after="0" w:line="240" w:lineRule="auto"/>
              <w:jc w:val="center"/>
              <w:rPr>
                <w:sz w:val="20"/>
                <w:szCs w:val="20"/>
              </w:rPr>
            </w:pPr>
            <w:r w:rsidRPr="00A81A4F">
              <w:rPr>
                <w:sz w:val="20"/>
                <w:szCs w:val="20"/>
              </w:rPr>
              <w:t>0.379(1.086)</w:t>
            </w:r>
          </w:p>
        </w:tc>
        <w:tc>
          <w:tcPr>
            <w:tcW w:w="1542" w:type="dxa"/>
            <w:vAlign w:val="center"/>
          </w:tcPr>
          <w:p w14:paraId="6B66062C" w14:textId="77777777" w:rsidR="002E0FEA" w:rsidRPr="00A81A4F" w:rsidRDefault="002E0FEA" w:rsidP="00E539CE">
            <w:pPr>
              <w:spacing w:after="0" w:line="240" w:lineRule="auto"/>
              <w:jc w:val="center"/>
              <w:rPr>
                <w:sz w:val="20"/>
                <w:szCs w:val="20"/>
                <w:lang w:val="en-GB" w:eastAsia="en-US"/>
              </w:rPr>
            </w:pPr>
            <w:r w:rsidRPr="00A81A4F">
              <w:rPr>
                <w:sz w:val="20"/>
                <w:szCs w:val="20"/>
              </w:rPr>
              <w:t>0.272(0.769)</w:t>
            </w:r>
          </w:p>
        </w:tc>
        <w:tc>
          <w:tcPr>
            <w:tcW w:w="1541" w:type="dxa"/>
          </w:tcPr>
          <w:p w14:paraId="4407AF42" w14:textId="77777777" w:rsidR="002E0FEA" w:rsidRPr="00A81A4F" w:rsidRDefault="002E0FEA" w:rsidP="00E539CE">
            <w:pPr>
              <w:spacing w:after="0" w:line="240" w:lineRule="auto"/>
              <w:jc w:val="center"/>
              <w:rPr>
                <w:sz w:val="20"/>
                <w:szCs w:val="20"/>
              </w:rPr>
            </w:pPr>
            <w:r w:rsidRPr="00A81A4F">
              <w:rPr>
                <w:sz w:val="20"/>
                <w:szCs w:val="20"/>
              </w:rPr>
              <w:t>0.104(0.348)</w:t>
            </w:r>
          </w:p>
        </w:tc>
        <w:tc>
          <w:tcPr>
            <w:tcW w:w="1542" w:type="dxa"/>
            <w:vAlign w:val="center"/>
          </w:tcPr>
          <w:p w14:paraId="75DB58C1" w14:textId="77777777" w:rsidR="002E0FEA" w:rsidRPr="00A81A4F" w:rsidRDefault="002E0FEA" w:rsidP="00E539CE">
            <w:pPr>
              <w:spacing w:after="0" w:line="240" w:lineRule="auto"/>
              <w:jc w:val="center"/>
              <w:rPr>
                <w:sz w:val="20"/>
                <w:szCs w:val="20"/>
                <w:lang w:val="en-GB" w:eastAsia="en-US"/>
              </w:rPr>
            </w:pPr>
            <w:r w:rsidRPr="00A81A4F">
              <w:rPr>
                <w:sz w:val="20"/>
                <w:szCs w:val="20"/>
              </w:rPr>
              <w:t>0.174(0.597)</w:t>
            </w:r>
          </w:p>
        </w:tc>
        <w:tc>
          <w:tcPr>
            <w:tcW w:w="1541" w:type="dxa"/>
          </w:tcPr>
          <w:p w14:paraId="7AE8E5E3" w14:textId="77777777" w:rsidR="002E0FEA" w:rsidRPr="00A81A4F" w:rsidRDefault="002E0FEA" w:rsidP="00E539CE">
            <w:pPr>
              <w:spacing w:after="0" w:line="240" w:lineRule="auto"/>
              <w:jc w:val="center"/>
              <w:rPr>
                <w:sz w:val="20"/>
                <w:szCs w:val="20"/>
              </w:rPr>
            </w:pPr>
            <w:r w:rsidRPr="00A81A4F">
              <w:rPr>
                <w:sz w:val="20"/>
                <w:szCs w:val="20"/>
              </w:rPr>
              <w:t>0.582(2.159)*</w:t>
            </w:r>
          </w:p>
        </w:tc>
        <w:tc>
          <w:tcPr>
            <w:tcW w:w="1542" w:type="dxa"/>
            <w:vAlign w:val="center"/>
          </w:tcPr>
          <w:p w14:paraId="53C82662" w14:textId="77777777" w:rsidR="002E0FEA" w:rsidRPr="00A81A4F" w:rsidRDefault="002E0FEA" w:rsidP="00E539CE">
            <w:pPr>
              <w:spacing w:after="0" w:line="240" w:lineRule="auto"/>
              <w:jc w:val="center"/>
              <w:rPr>
                <w:sz w:val="20"/>
                <w:szCs w:val="20"/>
                <w:lang w:val="en-GB" w:eastAsia="en-US"/>
              </w:rPr>
            </w:pPr>
            <w:r w:rsidRPr="00A81A4F">
              <w:rPr>
                <w:sz w:val="20"/>
                <w:szCs w:val="20"/>
              </w:rPr>
              <w:t>0.624(2.341)*</w:t>
            </w:r>
          </w:p>
        </w:tc>
      </w:tr>
      <w:tr w:rsidR="002E0FEA" w:rsidRPr="00A81A4F" w14:paraId="53B98F6D" w14:textId="77777777" w:rsidTr="00620CED">
        <w:tc>
          <w:tcPr>
            <w:tcW w:w="2411" w:type="dxa"/>
            <w:shd w:val="clear" w:color="auto" w:fill="auto"/>
            <w:vAlign w:val="center"/>
          </w:tcPr>
          <w:p w14:paraId="6F216D4F"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Machinery and Equipment</w:t>
            </w:r>
          </w:p>
        </w:tc>
        <w:tc>
          <w:tcPr>
            <w:tcW w:w="1541" w:type="dxa"/>
            <w:vAlign w:val="center"/>
          </w:tcPr>
          <w:p w14:paraId="706B6077" w14:textId="77777777" w:rsidR="002E0FEA" w:rsidRPr="00A81A4F" w:rsidRDefault="002E0FEA" w:rsidP="00E539CE">
            <w:pPr>
              <w:spacing w:after="0" w:line="240" w:lineRule="auto"/>
              <w:jc w:val="center"/>
              <w:rPr>
                <w:sz w:val="20"/>
                <w:szCs w:val="20"/>
              </w:rPr>
            </w:pPr>
            <w:r w:rsidRPr="00A81A4F">
              <w:rPr>
                <w:sz w:val="20"/>
                <w:szCs w:val="20"/>
              </w:rPr>
              <w:t>0.101(0.474)</w:t>
            </w:r>
          </w:p>
        </w:tc>
        <w:tc>
          <w:tcPr>
            <w:tcW w:w="1542" w:type="dxa"/>
            <w:vAlign w:val="center"/>
          </w:tcPr>
          <w:p w14:paraId="62609D4E" w14:textId="77777777" w:rsidR="002E0FEA" w:rsidRPr="00A81A4F" w:rsidRDefault="002E0FEA" w:rsidP="00E539CE">
            <w:pPr>
              <w:spacing w:after="0" w:line="240" w:lineRule="auto"/>
              <w:jc w:val="center"/>
              <w:rPr>
                <w:sz w:val="20"/>
                <w:szCs w:val="20"/>
                <w:lang w:val="en-GB" w:eastAsia="en-US"/>
              </w:rPr>
            </w:pPr>
            <w:r w:rsidRPr="00A81A4F">
              <w:rPr>
                <w:sz w:val="20"/>
                <w:szCs w:val="20"/>
              </w:rPr>
              <w:t>0.083(0.384)</w:t>
            </w:r>
          </w:p>
        </w:tc>
        <w:tc>
          <w:tcPr>
            <w:tcW w:w="1541" w:type="dxa"/>
          </w:tcPr>
          <w:p w14:paraId="2F7F9EB7" w14:textId="77777777" w:rsidR="002E0FEA" w:rsidRPr="00A81A4F" w:rsidRDefault="002E0FEA" w:rsidP="00E539CE">
            <w:pPr>
              <w:spacing w:after="0" w:line="240" w:lineRule="auto"/>
              <w:jc w:val="center"/>
              <w:rPr>
                <w:sz w:val="20"/>
                <w:szCs w:val="20"/>
              </w:rPr>
            </w:pPr>
            <w:r w:rsidRPr="00A81A4F">
              <w:rPr>
                <w:sz w:val="20"/>
                <w:szCs w:val="20"/>
              </w:rPr>
              <w:t>0.481(1.672)†</w:t>
            </w:r>
          </w:p>
        </w:tc>
        <w:tc>
          <w:tcPr>
            <w:tcW w:w="1542" w:type="dxa"/>
            <w:vAlign w:val="center"/>
          </w:tcPr>
          <w:p w14:paraId="4DF8A31A" w14:textId="77777777" w:rsidR="002E0FEA" w:rsidRPr="00A81A4F" w:rsidRDefault="002E0FEA" w:rsidP="00E539CE">
            <w:pPr>
              <w:spacing w:after="0" w:line="240" w:lineRule="auto"/>
              <w:jc w:val="center"/>
              <w:rPr>
                <w:sz w:val="20"/>
                <w:szCs w:val="20"/>
                <w:lang w:val="en-GB" w:eastAsia="en-US"/>
              </w:rPr>
            </w:pPr>
            <w:r w:rsidRPr="00A81A4F">
              <w:rPr>
                <w:sz w:val="20"/>
                <w:szCs w:val="20"/>
              </w:rPr>
              <w:t>0.449(1.548)</w:t>
            </w:r>
          </w:p>
        </w:tc>
        <w:tc>
          <w:tcPr>
            <w:tcW w:w="1541" w:type="dxa"/>
          </w:tcPr>
          <w:p w14:paraId="5696075E" w14:textId="77777777" w:rsidR="002E0FEA" w:rsidRPr="00A81A4F" w:rsidRDefault="002E0FEA" w:rsidP="00E539CE">
            <w:pPr>
              <w:spacing w:after="0" w:line="240" w:lineRule="auto"/>
              <w:jc w:val="center"/>
              <w:rPr>
                <w:sz w:val="20"/>
                <w:szCs w:val="20"/>
              </w:rPr>
            </w:pPr>
            <w:r w:rsidRPr="00A81A4F">
              <w:rPr>
                <w:sz w:val="20"/>
                <w:szCs w:val="20"/>
              </w:rPr>
              <w:t>0.553(2.269)*</w:t>
            </w:r>
          </w:p>
        </w:tc>
        <w:tc>
          <w:tcPr>
            <w:tcW w:w="1542" w:type="dxa"/>
            <w:vAlign w:val="center"/>
          </w:tcPr>
          <w:p w14:paraId="54A582B4" w14:textId="77777777" w:rsidR="002E0FEA" w:rsidRPr="00A81A4F" w:rsidRDefault="002E0FEA" w:rsidP="00E539CE">
            <w:pPr>
              <w:spacing w:after="0" w:line="240" w:lineRule="auto"/>
              <w:jc w:val="center"/>
              <w:rPr>
                <w:sz w:val="20"/>
                <w:szCs w:val="20"/>
                <w:lang w:val="en-GB" w:eastAsia="en-US"/>
              </w:rPr>
            </w:pPr>
            <w:r w:rsidRPr="00A81A4F">
              <w:rPr>
                <w:sz w:val="20"/>
                <w:szCs w:val="20"/>
              </w:rPr>
              <w:t>0.524(2.196)*</w:t>
            </w:r>
          </w:p>
        </w:tc>
        <w:tc>
          <w:tcPr>
            <w:tcW w:w="1541" w:type="dxa"/>
          </w:tcPr>
          <w:p w14:paraId="6C942042" w14:textId="77777777" w:rsidR="002E0FEA" w:rsidRPr="00A81A4F" w:rsidRDefault="002E0FEA" w:rsidP="00E539CE">
            <w:pPr>
              <w:spacing w:after="0" w:line="240" w:lineRule="auto"/>
              <w:jc w:val="center"/>
              <w:rPr>
                <w:sz w:val="20"/>
                <w:szCs w:val="20"/>
              </w:rPr>
            </w:pPr>
            <w:r w:rsidRPr="00A81A4F">
              <w:rPr>
                <w:sz w:val="20"/>
                <w:szCs w:val="20"/>
              </w:rPr>
              <w:t>0.734(3.340)**</w:t>
            </w:r>
          </w:p>
        </w:tc>
        <w:tc>
          <w:tcPr>
            <w:tcW w:w="1542" w:type="dxa"/>
            <w:vAlign w:val="center"/>
          </w:tcPr>
          <w:p w14:paraId="09A68143" w14:textId="77777777" w:rsidR="002E0FEA" w:rsidRPr="00A81A4F" w:rsidRDefault="002E0FEA" w:rsidP="00E539CE">
            <w:pPr>
              <w:spacing w:after="0" w:line="240" w:lineRule="auto"/>
              <w:jc w:val="center"/>
              <w:rPr>
                <w:sz w:val="20"/>
                <w:szCs w:val="20"/>
                <w:lang w:val="en-GB" w:eastAsia="en-US"/>
              </w:rPr>
            </w:pPr>
            <w:r w:rsidRPr="00A81A4F">
              <w:rPr>
                <w:sz w:val="20"/>
                <w:szCs w:val="20"/>
              </w:rPr>
              <w:t>0.711(3.259)**</w:t>
            </w:r>
          </w:p>
        </w:tc>
      </w:tr>
      <w:tr w:rsidR="002E0FEA" w:rsidRPr="00A81A4F" w14:paraId="719FA4D3" w14:textId="77777777" w:rsidTr="00620CED">
        <w:tc>
          <w:tcPr>
            <w:tcW w:w="2411" w:type="dxa"/>
            <w:shd w:val="clear" w:color="auto" w:fill="auto"/>
            <w:vAlign w:val="center"/>
          </w:tcPr>
          <w:p w14:paraId="10C02942"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Electronic Goods</w:t>
            </w:r>
          </w:p>
        </w:tc>
        <w:tc>
          <w:tcPr>
            <w:tcW w:w="1541" w:type="dxa"/>
            <w:vAlign w:val="center"/>
          </w:tcPr>
          <w:p w14:paraId="36FB8897" w14:textId="77777777" w:rsidR="002E0FEA" w:rsidRPr="00A81A4F" w:rsidRDefault="002E0FEA" w:rsidP="00E539CE">
            <w:pPr>
              <w:spacing w:after="0" w:line="240" w:lineRule="auto"/>
              <w:jc w:val="center"/>
              <w:rPr>
                <w:sz w:val="20"/>
                <w:szCs w:val="20"/>
              </w:rPr>
            </w:pPr>
            <w:r w:rsidRPr="00A81A4F">
              <w:rPr>
                <w:sz w:val="20"/>
                <w:szCs w:val="20"/>
              </w:rPr>
              <w:t>-0.010(-0.035)</w:t>
            </w:r>
          </w:p>
        </w:tc>
        <w:tc>
          <w:tcPr>
            <w:tcW w:w="1542" w:type="dxa"/>
            <w:vAlign w:val="center"/>
          </w:tcPr>
          <w:p w14:paraId="6AB3EADC" w14:textId="77777777" w:rsidR="002E0FEA" w:rsidRPr="00A81A4F" w:rsidRDefault="002E0FEA" w:rsidP="00E539CE">
            <w:pPr>
              <w:spacing w:after="0" w:line="240" w:lineRule="auto"/>
              <w:jc w:val="center"/>
              <w:rPr>
                <w:sz w:val="20"/>
                <w:szCs w:val="20"/>
                <w:lang w:val="en-GB" w:eastAsia="en-US"/>
              </w:rPr>
            </w:pPr>
            <w:r w:rsidRPr="00A81A4F">
              <w:rPr>
                <w:sz w:val="20"/>
                <w:szCs w:val="20"/>
              </w:rPr>
              <w:t>-0.014(-0.048)</w:t>
            </w:r>
          </w:p>
        </w:tc>
        <w:tc>
          <w:tcPr>
            <w:tcW w:w="1541" w:type="dxa"/>
            <w:vAlign w:val="center"/>
          </w:tcPr>
          <w:p w14:paraId="1345EA3E" w14:textId="77777777" w:rsidR="002E0FEA" w:rsidRPr="00A81A4F" w:rsidRDefault="002E0FEA" w:rsidP="00E539CE">
            <w:pPr>
              <w:spacing w:after="0" w:line="240" w:lineRule="auto"/>
              <w:jc w:val="center"/>
              <w:rPr>
                <w:sz w:val="20"/>
                <w:szCs w:val="20"/>
              </w:rPr>
            </w:pPr>
            <w:r w:rsidRPr="00A81A4F">
              <w:rPr>
                <w:sz w:val="20"/>
                <w:szCs w:val="20"/>
              </w:rPr>
              <w:t>0.456(1.155)</w:t>
            </w:r>
          </w:p>
        </w:tc>
        <w:tc>
          <w:tcPr>
            <w:tcW w:w="1542" w:type="dxa"/>
            <w:vAlign w:val="center"/>
          </w:tcPr>
          <w:p w14:paraId="7C380AB6" w14:textId="77777777" w:rsidR="002E0FEA" w:rsidRPr="00A81A4F" w:rsidRDefault="002E0FEA" w:rsidP="00E539CE">
            <w:pPr>
              <w:spacing w:after="0" w:line="240" w:lineRule="auto"/>
              <w:jc w:val="center"/>
              <w:rPr>
                <w:sz w:val="20"/>
                <w:szCs w:val="20"/>
                <w:lang w:val="en-GB" w:eastAsia="en-US"/>
              </w:rPr>
            </w:pPr>
            <w:r w:rsidRPr="00A81A4F">
              <w:rPr>
                <w:sz w:val="20"/>
                <w:szCs w:val="20"/>
              </w:rPr>
              <w:t>0.412(1.040)</w:t>
            </w:r>
          </w:p>
        </w:tc>
        <w:tc>
          <w:tcPr>
            <w:tcW w:w="1541" w:type="dxa"/>
            <w:vAlign w:val="center"/>
          </w:tcPr>
          <w:p w14:paraId="0CFFDF2F" w14:textId="77777777" w:rsidR="002E0FEA" w:rsidRPr="00A81A4F" w:rsidRDefault="002E0FEA" w:rsidP="00E539CE">
            <w:pPr>
              <w:spacing w:after="0" w:line="240" w:lineRule="auto"/>
              <w:jc w:val="center"/>
              <w:rPr>
                <w:sz w:val="20"/>
                <w:szCs w:val="20"/>
              </w:rPr>
            </w:pPr>
            <w:r w:rsidRPr="00A81A4F">
              <w:rPr>
                <w:sz w:val="20"/>
                <w:szCs w:val="20"/>
              </w:rPr>
              <w:t>0.444(1.339)</w:t>
            </w:r>
          </w:p>
        </w:tc>
        <w:tc>
          <w:tcPr>
            <w:tcW w:w="1542" w:type="dxa"/>
            <w:vAlign w:val="center"/>
          </w:tcPr>
          <w:p w14:paraId="4F21B350" w14:textId="77777777" w:rsidR="002E0FEA" w:rsidRPr="00A81A4F" w:rsidRDefault="002E0FEA" w:rsidP="00E539CE">
            <w:pPr>
              <w:spacing w:after="0" w:line="240" w:lineRule="auto"/>
              <w:jc w:val="center"/>
              <w:rPr>
                <w:sz w:val="20"/>
                <w:szCs w:val="20"/>
                <w:lang w:val="en-GB" w:eastAsia="en-US"/>
              </w:rPr>
            </w:pPr>
            <w:r w:rsidRPr="00A81A4F">
              <w:rPr>
                <w:sz w:val="20"/>
                <w:szCs w:val="20"/>
              </w:rPr>
              <w:t>0.379(1.160)</w:t>
            </w:r>
          </w:p>
        </w:tc>
        <w:tc>
          <w:tcPr>
            <w:tcW w:w="1541" w:type="dxa"/>
            <w:vAlign w:val="center"/>
          </w:tcPr>
          <w:p w14:paraId="5AE8E877" w14:textId="77777777" w:rsidR="002E0FEA" w:rsidRPr="00A81A4F" w:rsidRDefault="002E0FEA" w:rsidP="00E539CE">
            <w:pPr>
              <w:spacing w:after="0" w:line="240" w:lineRule="auto"/>
              <w:jc w:val="center"/>
              <w:rPr>
                <w:sz w:val="20"/>
                <w:szCs w:val="20"/>
              </w:rPr>
            </w:pPr>
            <w:r w:rsidRPr="00A81A4F">
              <w:rPr>
                <w:sz w:val="20"/>
                <w:szCs w:val="20"/>
              </w:rPr>
              <w:t>0.398(1.333)</w:t>
            </w:r>
          </w:p>
        </w:tc>
        <w:tc>
          <w:tcPr>
            <w:tcW w:w="1542" w:type="dxa"/>
            <w:vAlign w:val="center"/>
          </w:tcPr>
          <w:p w14:paraId="342B065B" w14:textId="77777777" w:rsidR="002E0FEA" w:rsidRPr="00A81A4F" w:rsidRDefault="002E0FEA" w:rsidP="00E539CE">
            <w:pPr>
              <w:spacing w:after="0" w:line="240" w:lineRule="auto"/>
              <w:jc w:val="center"/>
              <w:rPr>
                <w:sz w:val="20"/>
                <w:szCs w:val="20"/>
                <w:lang w:val="en-GB" w:eastAsia="en-US"/>
              </w:rPr>
            </w:pPr>
            <w:r w:rsidRPr="00A81A4F">
              <w:rPr>
                <w:sz w:val="20"/>
                <w:szCs w:val="20"/>
              </w:rPr>
              <w:t>0.329(1.102)</w:t>
            </w:r>
          </w:p>
        </w:tc>
      </w:tr>
      <w:tr w:rsidR="002E0FEA" w:rsidRPr="00A81A4F" w14:paraId="1D52C1AE" w14:textId="77777777" w:rsidTr="00620CED">
        <w:tc>
          <w:tcPr>
            <w:tcW w:w="2411" w:type="dxa"/>
            <w:shd w:val="clear" w:color="auto" w:fill="auto"/>
            <w:vAlign w:val="center"/>
          </w:tcPr>
          <w:p w14:paraId="148335B4" w14:textId="77777777" w:rsidR="002E0FEA" w:rsidRPr="00A81A4F" w:rsidRDefault="002E0FEA" w:rsidP="00E539CE">
            <w:pPr>
              <w:spacing w:after="0" w:line="240" w:lineRule="auto"/>
              <w:rPr>
                <w:sz w:val="20"/>
                <w:szCs w:val="20"/>
                <w:lang w:val="en-GB" w:eastAsia="en-US"/>
              </w:rPr>
            </w:pPr>
            <w:r w:rsidRPr="00A81A4F">
              <w:rPr>
                <w:b/>
                <w:sz w:val="20"/>
                <w:szCs w:val="20"/>
                <w:lang w:val="en-GB" w:eastAsia="en-US"/>
              </w:rPr>
              <w:t>Consumer Goods</w:t>
            </w:r>
          </w:p>
        </w:tc>
        <w:tc>
          <w:tcPr>
            <w:tcW w:w="1541" w:type="dxa"/>
            <w:vAlign w:val="center"/>
          </w:tcPr>
          <w:p w14:paraId="08B00865" w14:textId="77777777" w:rsidR="002E0FEA" w:rsidRPr="00A81A4F" w:rsidRDefault="002E0FEA" w:rsidP="00E539CE">
            <w:pPr>
              <w:spacing w:after="0" w:line="240" w:lineRule="auto"/>
              <w:jc w:val="center"/>
              <w:rPr>
                <w:sz w:val="20"/>
                <w:szCs w:val="20"/>
              </w:rPr>
            </w:pPr>
            <w:r w:rsidRPr="00A81A4F">
              <w:rPr>
                <w:sz w:val="20"/>
                <w:szCs w:val="20"/>
              </w:rPr>
              <w:t>0.329(1.082)</w:t>
            </w:r>
          </w:p>
        </w:tc>
        <w:tc>
          <w:tcPr>
            <w:tcW w:w="1542" w:type="dxa"/>
            <w:vAlign w:val="center"/>
          </w:tcPr>
          <w:p w14:paraId="643EC189" w14:textId="77777777" w:rsidR="002E0FEA" w:rsidRPr="00A81A4F" w:rsidRDefault="002E0FEA" w:rsidP="00E539CE">
            <w:pPr>
              <w:spacing w:after="0" w:line="240" w:lineRule="auto"/>
              <w:jc w:val="center"/>
              <w:rPr>
                <w:sz w:val="20"/>
                <w:szCs w:val="20"/>
                <w:lang w:val="en-GB" w:eastAsia="en-US"/>
              </w:rPr>
            </w:pPr>
            <w:r w:rsidRPr="00A81A4F">
              <w:rPr>
                <w:sz w:val="20"/>
                <w:szCs w:val="20"/>
              </w:rPr>
              <w:t>0.329(1.069)</w:t>
            </w:r>
          </w:p>
        </w:tc>
        <w:tc>
          <w:tcPr>
            <w:tcW w:w="1541" w:type="dxa"/>
            <w:vAlign w:val="center"/>
          </w:tcPr>
          <w:p w14:paraId="5693A379" w14:textId="77777777" w:rsidR="002E0FEA" w:rsidRPr="00A81A4F" w:rsidRDefault="002E0FEA" w:rsidP="00E539CE">
            <w:pPr>
              <w:spacing w:after="0" w:line="240" w:lineRule="auto"/>
              <w:jc w:val="center"/>
              <w:rPr>
                <w:sz w:val="20"/>
                <w:szCs w:val="20"/>
              </w:rPr>
            </w:pPr>
            <w:r w:rsidRPr="00A81A4F">
              <w:rPr>
                <w:sz w:val="20"/>
                <w:szCs w:val="20"/>
              </w:rPr>
              <w:t>-0.193(-0.470)</w:t>
            </w:r>
          </w:p>
        </w:tc>
        <w:tc>
          <w:tcPr>
            <w:tcW w:w="1542" w:type="dxa"/>
            <w:vAlign w:val="center"/>
          </w:tcPr>
          <w:p w14:paraId="78F338B6" w14:textId="77777777" w:rsidR="002E0FEA" w:rsidRPr="00A81A4F" w:rsidRDefault="002E0FEA" w:rsidP="00E539CE">
            <w:pPr>
              <w:spacing w:after="0" w:line="240" w:lineRule="auto"/>
              <w:jc w:val="center"/>
              <w:rPr>
                <w:sz w:val="20"/>
                <w:szCs w:val="20"/>
                <w:lang w:val="en-GB" w:eastAsia="en-US"/>
              </w:rPr>
            </w:pPr>
            <w:r w:rsidRPr="00A81A4F">
              <w:rPr>
                <w:sz w:val="20"/>
                <w:szCs w:val="20"/>
              </w:rPr>
              <w:t>-0.199(-0.482)</w:t>
            </w:r>
          </w:p>
        </w:tc>
        <w:tc>
          <w:tcPr>
            <w:tcW w:w="1541" w:type="dxa"/>
            <w:vAlign w:val="center"/>
          </w:tcPr>
          <w:p w14:paraId="25D3A391" w14:textId="77777777" w:rsidR="002E0FEA" w:rsidRPr="00A81A4F" w:rsidRDefault="002E0FEA" w:rsidP="00E539CE">
            <w:pPr>
              <w:spacing w:after="0" w:line="240" w:lineRule="auto"/>
              <w:jc w:val="center"/>
              <w:rPr>
                <w:sz w:val="20"/>
                <w:szCs w:val="20"/>
              </w:rPr>
            </w:pPr>
            <w:r w:rsidRPr="00A81A4F">
              <w:rPr>
                <w:sz w:val="20"/>
                <w:szCs w:val="20"/>
              </w:rPr>
              <w:t>0.425(1.221)</w:t>
            </w:r>
          </w:p>
        </w:tc>
        <w:tc>
          <w:tcPr>
            <w:tcW w:w="1542" w:type="dxa"/>
            <w:vAlign w:val="center"/>
          </w:tcPr>
          <w:p w14:paraId="4336B87C" w14:textId="77777777" w:rsidR="002E0FEA" w:rsidRPr="00A81A4F" w:rsidRDefault="002E0FEA" w:rsidP="00E539CE">
            <w:pPr>
              <w:spacing w:after="0" w:line="240" w:lineRule="auto"/>
              <w:jc w:val="center"/>
              <w:rPr>
                <w:sz w:val="20"/>
                <w:szCs w:val="20"/>
                <w:lang w:val="en-GB" w:eastAsia="en-US"/>
              </w:rPr>
            </w:pPr>
            <w:r w:rsidRPr="00A81A4F">
              <w:rPr>
                <w:sz w:val="20"/>
                <w:szCs w:val="20"/>
              </w:rPr>
              <w:t>0.464(1.369)</w:t>
            </w:r>
          </w:p>
        </w:tc>
        <w:tc>
          <w:tcPr>
            <w:tcW w:w="1541" w:type="dxa"/>
            <w:vAlign w:val="center"/>
          </w:tcPr>
          <w:p w14:paraId="2550397A" w14:textId="77777777" w:rsidR="002E0FEA" w:rsidRPr="00A81A4F" w:rsidRDefault="002E0FEA" w:rsidP="00E539CE">
            <w:pPr>
              <w:spacing w:after="0" w:line="240" w:lineRule="auto"/>
              <w:jc w:val="center"/>
              <w:rPr>
                <w:sz w:val="20"/>
                <w:szCs w:val="20"/>
              </w:rPr>
            </w:pPr>
            <w:r w:rsidRPr="00A81A4F">
              <w:rPr>
                <w:sz w:val="20"/>
                <w:szCs w:val="20"/>
              </w:rPr>
              <w:t>0.159(0.507)</w:t>
            </w:r>
          </w:p>
        </w:tc>
        <w:tc>
          <w:tcPr>
            <w:tcW w:w="1542" w:type="dxa"/>
            <w:vAlign w:val="center"/>
          </w:tcPr>
          <w:p w14:paraId="11B9BB4A" w14:textId="77777777" w:rsidR="002E0FEA" w:rsidRPr="00A81A4F" w:rsidRDefault="002E0FEA" w:rsidP="00E539CE">
            <w:pPr>
              <w:spacing w:after="0" w:line="240" w:lineRule="auto"/>
              <w:jc w:val="center"/>
              <w:rPr>
                <w:sz w:val="20"/>
                <w:szCs w:val="20"/>
                <w:lang w:val="en-GB" w:eastAsia="en-US"/>
              </w:rPr>
            </w:pPr>
            <w:r w:rsidRPr="00A81A4F">
              <w:rPr>
                <w:sz w:val="20"/>
                <w:szCs w:val="20"/>
              </w:rPr>
              <w:t>0.198(0.637)</w:t>
            </w:r>
          </w:p>
        </w:tc>
      </w:tr>
      <w:tr w:rsidR="002E0FEA" w:rsidRPr="00A81A4F" w14:paraId="3B673D41" w14:textId="77777777" w:rsidTr="00620CED">
        <w:tc>
          <w:tcPr>
            <w:tcW w:w="2411" w:type="dxa"/>
            <w:shd w:val="clear" w:color="auto" w:fill="auto"/>
          </w:tcPr>
          <w:p w14:paraId="0ADCE1BE"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Firm Size</w:t>
            </w:r>
          </w:p>
        </w:tc>
        <w:tc>
          <w:tcPr>
            <w:tcW w:w="1541" w:type="dxa"/>
            <w:vAlign w:val="center"/>
          </w:tcPr>
          <w:p w14:paraId="56CCEBF9" w14:textId="77777777" w:rsidR="002E0FEA" w:rsidRPr="00A81A4F" w:rsidRDefault="002E0FEA" w:rsidP="00E539CE">
            <w:pPr>
              <w:spacing w:after="0" w:line="240" w:lineRule="auto"/>
              <w:jc w:val="center"/>
              <w:rPr>
                <w:sz w:val="20"/>
                <w:szCs w:val="20"/>
              </w:rPr>
            </w:pPr>
            <w:r w:rsidRPr="00A81A4F">
              <w:rPr>
                <w:sz w:val="20"/>
                <w:szCs w:val="20"/>
              </w:rPr>
              <w:t>0.513(2.749)**</w:t>
            </w:r>
          </w:p>
        </w:tc>
        <w:tc>
          <w:tcPr>
            <w:tcW w:w="1542" w:type="dxa"/>
            <w:vAlign w:val="center"/>
          </w:tcPr>
          <w:p w14:paraId="0E8580E8" w14:textId="77777777" w:rsidR="002E0FEA" w:rsidRPr="00A81A4F" w:rsidRDefault="002E0FEA" w:rsidP="00E539CE">
            <w:pPr>
              <w:spacing w:after="0" w:line="240" w:lineRule="auto"/>
              <w:jc w:val="center"/>
              <w:rPr>
                <w:sz w:val="20"/>
                <w:szCs w:val="20"/>
                <w:lang w:val="en-GB" w:eastAsia="en-US"/>
              </w:rPr>
            </w:pPr>
            <w:r w:rsidRPr="00A81A4F">
              <w:rPr>
                <w:sz w:val="20"/>
                <w:szCs w:val="20"/>
              </w:rPr>
              <w:t>0.510(2.706)**</w:t>
            </w:r>
          </w:p>
        </w:tc>
        <w:tc>
          <w:tcPr>
            <w:tcW w:w="1541" w:type="dxa"/>
            <w:vAlign w:val="center"/>
          </w:tcPr>
          <w:p w14:paraId="32AF08C4" w14:textId="77777777" w:rsidR="002E0FEA" w:rsidRPr="00A81A4F" w:rsidRDefault="002E0FEA" w:rsidP="00E539CE">
            <w:pPr>
              <w:spacing w:after="0" w:line="240" w:lineRule="auto"/>
              <w:jc w:val="center"/>
              <w:rPr>
                <w:sz w:val="20"/>
                <w:szCs w:val="20"/>
              </w:rPr>
            </w:pPr>
            <w:r w:rsidRPr="00A81A4F">
              <w:rPr>
                <w:sz w:val="20"/>
                <w:szCs w:val="20"/>
              </w:rPr>
              <w:t>0.343(1.357)</w:t>
            </w:r>
          </w:p>
        </w:tc>
        <w:tc>
          <w:tcPr>
            <w:tcW w:w="1542" w:type="dxa"/>
            <w:vAlign w:val="center"/>
          </w:tcPr>
          <w:p w14:paraId="7FF021CA" w14:textId="77777777" w:rsidR="002E0FEA" w:rsidRPr="00A81A4F" w:rsidRDefault="002E0FEA" w:rsidP="00E539CE">
            <w:pPr>
              <w:spacing w:after="0" w:line="240" w:lineRule="auto"/>
              <w:jc w:val="center"/>
              <w:rPr>
                <w:sz w:val="20"/>
                <w:szCs w:val="20"/>
                <w:lang w:val="en-GB" w:eastAsia="en-US"/>
              </w:rPr>
            </w:pPr>
            <w:r w:rsidRPr="00A81A4F">
              <w:rPr>
                <w:sz w:val="20"/>
                <w:szCs w:val="20"/>
              </w:rPr>
              <w:t>0.319(1.261)</w:t>
            </w:r>
          </w:p>
        </w:tc>
        <w:tc>
          <w:tcPr>
            <w:tcW w:w="1541" w:type="dxa"/>
            <w:vAlign w:val="center"/>
          </w:tcPr>
          <w:p w14:paraId="3A4D3360" w14:textId="77777777" w:rsidR="002E0FEA" w:rsidRPr="00A81A4F" w:rsidRDefault="002E0FEA" w:rsidP="00E539CE">
            <w:pPr>
              <w:spacing w:after="0" w:line="240" w:lineRule="auto"/>
              <w:jc w:val="center"/>
              <w:rPr>
                <w:sz w:val="20"/>
                <w:szCs w:val="20"/>
              </w:rPr>
            </w:pPr>
            <w:r w:rsidRPr="00A81A4F">
              <w:rPr>
                <w:sz w:val="20"/>
                <w:szCs w:val="20"/>
              </w:rPr>
              <w:t>0.510(2.402)*</w:t>
            </w:r>
          </w:p>
        </w:tc>
        <w:tc>
          <w:tcPr>
            <w:tcW w:w="1542" w:type="dxa"/>
            <w:vAlign w:val="center"/>
          </w:tcPr>
          <w:p w14:paraId="3EB8C06B" w14:textId="77777777" w:rsidR="002E0FEA" w:rsidRPr="00A81A4F" w:rsidRDefault="002E0FEA" w:rsidP="00E539CE">
            <w:pPr>
              <w:spacing w:after="0" w:line="240" w:lineRule="auto"/>
              <w:jc w:val="center"/>
              <w:rPr>
                <w:sz w:val="20"/>
                <w:szCs w:val="20"/>
                <w:lang w:val="en-GB" w:eastAsia="en-US"/>
              </w:rPr>
            </w:pPr>
            <w:r w:rsidRPr="00A81A4F">
              <w:rPr>
                <w:sz w:val="20"/>
                <w:szCs w:val="20"/>
              </w:rPr>
              <w:t>0.525(2.522)*</w:t>
            </w:r>
          </w:p>
        </w:tc>
        <w:tc>
          <w:tcPr>
            <w:tcW w:w="1541" w:type="dxa"/>
            <w:vAlign w:val="center"/>
          </w:tcPr>
          <w:p w14:paraId="50BA9AD8" w14:textId="77777777" w:rsidR="002E0FEA" w:rsidRPr="00A81A4F" w:rsidRDefault="002E0FEA" w:rsidP="00E539CE">
            <w:pPr>
              <w:spacing w:after="0" w:line="240" w:lineRule="auto"/>
              <w:jc w:val="center"/>
              <w:rPr>
                <w:sz w:val="20"/>
                <w:szCs w:val="20"/>
              </w:rPr>
            </w:pPr>
            <w:r w:rsidRPr="00A81A4F">
              <w:rPr>
                <w:sz w:val="20"/>
                <w:szCs w:val="20"/>
              </w:rPr>
              <w:t>0.195(1.020)</w:t>
            </w:r>
          </w:p>
        </w:tc>
        <w:tc>
          <w:tcPr>
            <w:tcW w:w="1542" w:type="dxa"/>
            <w:vAlign w:val="center"/>
          </w:tcPr>
          <w:p w14:paraId="21D31F5F" w14:textId="77777777" w:rsidR="002E0FEA" w:rsidRPr="00A81A4F" w:rsidRDefault="002E0FEA" w:rsidP="00E539CE">
            <w:pPr>
              <w:spacing w:after="0" w:line="240" w:lineRule="auto"/>
              <w:jc w:val="center"/>
              <w:rPr>
                <w:sz w:val="20"/>
                <w:szCs w:val="20"/>
                <w:lang w:val="en-GB" w:eastAsia="en-US"/>
              </w:rPr>
            </w:pPr>
            <w:r w:rsidRPr="00A81A4F">
              <w:rPr>
                <w:sz w:val="20"/>
                <w:szCs w:val="20"/>
              </w:rPr>
              <w:t>0.199(1.047)</w:t>
            </w:r>
          </w:p>
        </w:tc>
      </w:tr>
      <w:tr w:rsidR="002E0FEA" w:rsidRPr="00A81A4F" w14:paraId="64F26CDD" w14:textId="77777777" w:rsidTr="00620CED">
        <w:tc>
          <w:tcPr>
            <w:tcW w:w="2411" w:type="dxa"/>
            <w:shd w:val="clear" w:color="auto" w:fill="auto"/>
          </w:tcPr>
          <w:p w14:paraId="02A5B3DE"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Firm Age</w:t>
            </w:r>
          </w:p>
        </w:tc>
        <w:tc>
          <w:tcPr>
            <w:tcW w:w="1541" w:type="dxa"/>
            <w:vAlign w:val="center"/>
          </w:tcPr>
          <w:p w14:paraId="29F2098A" w14:textId="77777777" w:rsidR="002E0FEA" w:rsidRPr="00A81A4F" w:rsidRDefault="002E0FEA" w:rsidP="00E539CE">
            <w:pPr>
              <w:spacing w:after="0" w:line="240" w:lineRule="auto"/>
              <w:jc w:val="center"/>
              <w:rPr>
                <w:sz w:val="20"/>
                <w:szCs w:val="20"/>
              </w:rPr>
            </w:pPr>
            <w:r w:rsidRPr="00A81A4F">
              <w:rPr>
                <w:sz w:val="20"/>
                <w:szCs w:val="20"/>
              </w:rPr>
              <w:t>-0.595(-0.951)</w:t>
            </w:r>
          </w:p>
        </w:tc>
        <w:tc>
          <w:tcPr>
            <w:tcW w:w="1542" w:type="dxa"/>
            <w:vAlign w:val="center"/>
          </w:tcPr>
          <w:p w14:paraId="4564CE53" w14:textId="77777777" w:rsidR="002E0FEA" w:rsidRPr="00A81A4F" w:rsidRDefault="002E0FEA" w:rsidP="00E539CE">
            <w:pPr>
              <w:spacing w:after="0" w:line="240" w:lineRule="auto"/>
              <w:jc w:val="center"/>
              <w:rPr>
                <w:sz w:val="20"/>
                <w:szCs w:val="20"/>
                <w:lang w:val="en-GB" w:eastAsia="en-US"/>
              </w:rPr>
            </w:pPr>
            <w:r w:rsidRPr="00A81A4F">
              <w:rPr>
                <w:sz w:val="20"/>
                <w:szCs w:val="20"/>
              </w:rPr>
              <w:t>-0.634(-0.998)</w:t>
            </w:r>
          </w:p>
        </w:tc>
        <w:tc>
          <w:tcPr>
            <w:tcW w:w="1541" w:type="dxa"/>
            <w:vAlign w:val="center"/>
          </w:tcPr>
          <w:p w14:paraId="474C12CE" w14:textId="77777777" w:rsidR="002E0FEA" w:rsidRPr="00A81A4F" w:rsidRDefault="002E0FEA" w:rsidP="00E539CE">
            <w:pPr>
              <w:spacing w:after="0" w:line="240" w:lineRule="auto"/>
              <w:jc w:val="center"/>
              <w:rPr>
                <w:sz w:val="20"/>
                <w:szCs w:val="20"/>
              </w:rPr>
            </w:pPr>
            <w:r w:rsidRPr="00A81A4F">
              <w:rPr>
                <w:sz w:val="20"/>
                <w:szCs w:val="20"/>
              </w:rPr>
              <w:t>-0.612(-0.723)</w:t>
            </w:r>
          </w:p>
        </w:tc>
        <w:tc>
          <w:tcPr>
            <w:tcW w:w="1542" w:type="dxa"/>
            <w:vAlign w:val="center"/>
          </w:tcPr>
          <w:p w14:paraId="4C7A3BB5" w14:textId="77777777" w:rsidR="002E0FEA" w:rsidRPr="00A81A4F" w:rsidRDefault="002E0FEA" w:rsidP="00E539CE">
            <w:pPr>
              <w:spacing w:after="0" w:line="240" w:lineRule="auto"/>
              <w:jc w:val="center"/>
              <w:rPr>
                <w:sz w:val="20"/>
                <w:szCs w:val="20"/>
                <w:lang w:val="en-GB" w:eastAsia="en-US"/>
              </w:rPr>
            </w:pPr>
            <w:r w:rsidRPr="00A81A4F">
              <w:rPr>
                <w:sz w:val="20"/>
                <w:szCs w:val="20"/>
              </w:rPr>
              <w:t>-0.580(-0.682)</w:t>
            </w:r>
          </w:p>
        </w:tc>
        <w:tc>
          <w:tcPr>
            <w:tcW w:w="1541" w:type="dxa"/>
            <w:vAlign w:val="center"/>
          </w:tcPr>
          <w:p w14:paraId="0851648D" w14:textId="77777777" w:rsidR="002E0FEA" w:rsidRPr="00A81A4F" w:rsidRDefault="002E0FEA" w:rsidP="00E539CE">
            <w:pPr>
              <w:spacing w:after="0" w:line="240" w:lineRule="auto"/>
              <w:jc w:val="center"/>
              <w:rPr>
                <w:sz w:val="20"/>
                <w:szCs w:val="20"/>
              </w:rPr>
            </w:pPr>
            <w:r w:rsidRPr="00A81A4F">
              <w:rPr>
                <w:sz w:val="20"/>
                <w:szCs w:val="20"/>
              </w:rPr>
              <w:t>-0.301(-0.418)</w:t>
            </w:r>
          </w:p>
        </w:tc>
        <w:tc>
          <w:tcPr>
            <w:tcW w:w="1542" w:type="dxa"/>
            <w:vAlign w:val="center"/>
          </w:tcPr>
          <w:p w14:paraId="358B27E0" w14:textId="77777777" w:rsidR="002E0FEA" w:rsidRPr="00A81A4F" w:rsidRDefault="002E0FEA" w:rsidP="00E539CE">
            <w:pPr>
              <w:spacing w:after="0" w:line="240" w:lineRule="auto"/>
              <w:jc w:val="center"/>
              <w:rPr>
                <w:sz w:val="20"/>
                <w:szCs w:val="20"/>
                <w:lang w:val="en-GB" w:eastAsia="en-US"/>
              </w:rPr>
            </w:pPr>
            <w:r w:rsidRPr="00A81A4F">
              <w:rPr>
                <w:sz w:val="20"/>
                <w:szCs w:val="20"/>
              </w:rPr>
              <w:t>-0.393(-0.562)</w:t>
            </w:r>
          </w:p>
        </w:tc>
        <w:tc>
          <w:tcPr>
            <w:tcW w:w="1541" w:type="dxa"/>
            <w:vAlign w:val="center"/>
          </w:tcPr>
          <w:p w14:paraId="36858E1F" w14:textId="77777777" w:rsidR="002E0FEA" w:rsidRPr="00A81A4F" w:rsidRDefault="002E0FEA" w:rsidP="00E539CE">
            <w:pPr>
              <w:spacing w:after="0" w:line="240" w:lineRule="auto"/>
              <w:jc w:val="center"/>
              <w:rPr>
                <w:sz w:val="20"/>
                <w:szCs w:val="20"/>
              </w:rPr>
            </w:pPr>
            <w:r w:rsidRPr="00A81A4F">
              <w:rPr>
                <w:sz w:val="20"/>
                <w:szCs w:val="20"/>
              </w:rPr>
              <w:t>-0.424(-0.654)</w:t>
            </w:r>
          </w:p>
        </w:tc>
        <w:tc>
          <w:tcPr>
            <w:tcW w:w="1542" w:type="dxa"/>
            <w:vAlign w:val="center"/>
          </w:tcPr>
          <w:p w14:paraId="3CAA1B9F" w14:textId="77777777" w:rsidR="002E0FEA" w:rsidRPr="00A81A4F" w:rsidRDefault="002E0FEA" w:rsidP="00E539CE">
            <w:pPr>
              <w:spacing w:after="0" w:line="240" w:lineRule="auto"/>
              <w:jc w:val="center"/>
              <w:rPr>
                <w:sz w:val="20"/>
                <w:szCs w:val="20"/>
                <w:lang w:val="en-GB" w:eastAsia="en-US"/>
              </w:rPr>
            </w:pPr>
            <w:r w:rsidRPr="00A81A4F">
              <w:rPr>
                <w:sz w:val="20"/>
                <w:szCs w:val="20"/>
              </w:rPr>
              <w:t>-0.499(-0.779)</w:t>
            </w:r>
          </w:p>
        </w:tc>
      </w:tr>
      <w:tr w:rsidR="002E0FEA" w:rsidRPr="00A81A4F" w14:paraId="28B6AB23" w14:textId="77777777" w:rsidTr="00620CED">
        <w:tc>
          <w:tcPr>
            <w:tcW w:w="2411" w:type="dxa"/>
            <w:shd w:val="clear" w:color="auto" w:fill="auto"/>
          </w:tcPr>
          <w:p w14:paraId="43474CC7"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Competitive Intensity</w:t>
            </w:r>
          </w:p>
        </w:tc>
        <w:tc>
          <w:tcPr>
            <w:tcW w:w="1541" w:type="dxa"/>
            <w:vAlign w:val="center"/>
          </w:tcPr>
          <w:p w14:paraId="215936C0" w14:textId="77777777" w:rsidR="002E0FEA" w:rsidRPr="00A81A4F" w:rsidRDefault="002E0FEA" w:rsidP="00E539CE">
            <w:pPr>
              <w:spacing w:after="0" w:line="240" w:lineRule="auto"/>
              <w:jc w:val="center"/>
              <w:rPr>
                <w:sz w:val="20"/>
                <w:szCs w:val="20"/>
              </w:rPr>
            </w:pPr>
            <w:r w:rsidRPr="00A81A4F">
              <w:rPr>
                <w:sz w:val="20"/>
                <w:szCs w:val="20"/>
              </w:rPr>
              <w:t>-0.086(-1.125)</w:t>
            </w:r>
          </w:p>
        </w:tc>
        <w:tc>
          <w:tcPr>
            <w:tcW w:w="1542" w:type="dxa"/>
            <w:vAlign w:val="center"/>
          </w:tcPr>
          <w:p w14:paraId="76963006" w14:textId="77777777" w:rsidR="002E0FEA" w:rsidRPr="00A81A4F" w:rsidRDefault="002E0FEA" w:rsidP="00E539CE">
            <w:pPr>
              <w:spacing w:after="0" w:line="240" w:lineRule="auto"/>
              <w:jc w:val="center"/>
              <w:rPr>
                <w:sz w:val="20"/>
                <w:szCs w:val="20"/>
                <w:lang w:val="en-GB" w:eastAsia="en-US"/>
              </w:rPr>
            </w:pPr>
            <w:r w:rsidRPr="00A81A4F">
              <w:rPr>
                <w:sz w:val="20"/>
                <w:szCs w:val="20"/>
              </w:rPr>
              <w:t>-0.087(-1.084)</w:t>
            </w:r>
          </w:p>
        </w:tc>
        <w:tc>
          <w:tcPr>
            <w:tcW w:w="1541" w:type="dxa"/>
            <w:vAlign w:val="center"/>
          </w:tcPr>
          <w:p w14:paraId="7ABD52EF" w14:textId="77777777" w:rsidR="002E0FEA" w:rsidRPr="00A81A4F" w:rsidRDefault="002E0FEA" w:rsidP="00E539CE">
            <w:pPr>
              <w:spacing w:after="0" w:line="240" w:lineRule="auto"/>
              <w:jc w:val="center"/>
              <w:rPr>
                <w:sz w:val="20"/>
                <w:szCs w:val="20"/>
              </w:rPr>
            </w:pPr>
            <w:r w:rsidRPr="00A81A4F">
              <w:rPr>
                <w:sz w:val="20"/>
                <w:szCs w:val="20"/>
              </w:rPr>
              <w:t>-0.025(-0.242)</w:t>
            </w:r>
          </w:p>
        </w:tc>
        <w:tc>
          <w:tcPr>
            <w:tcW w:w="1542" w:type="dxa"/>
            <w:vAlign w:val="center"/>
          </w:tcPr>
          <w:p w14:paraId="4C23854C" w14:textId="77777777" w:rsidR="002E0FEA" w:rsidRPr="00A81A4F" w:rsidRDefault="002E0FEA" w:rsidP="00E539CE">
            <w:pPr>
              <w:spacing w:after="0" w:line="240" w:lineRule="auto"/>
              <w:jc w:val="center"/>
              <w:rPr>
                <w:sz w:val="20"/>
                <w:szCs w:val="20"/>
                <w:lang w:val="en-GB" w:eastAsia="en-US"/>
              </w:rPr>
            </w:pPr>
            <w:r w:rsidRPr="00A81A4F">
              <w:rPr>
                <w:sz w:val="20"/>
                <w:szCs w:val="20"/>
              </w:rPr>
              <w:t>-0.040(-0.369)</w:t>
            </w:r>
          </w:p>
        </w:tc>
        <w:tc>
          <w:tcPr>
            <w:tcW w:w="1541" w:type="dxa"/>
            <w:vAlign w:val="center"/>
          </w:tcPr>
          <w:p w14:paraId="09BD92CC" w14:textId="77777777" w:rsidR="002E0FEA" w:rsidRPr="00A81A4F" w:rsidRDefault="002E0FEA" w:rsidP="00E539CE">
            <w:pPr>
              <w:spacing w:after="0" w:line="240" w:lineRule="auto"/>
              <w:jc w:val="center"/>
              <w:rPr>
                <w:sz w:val="20"/>
                <w:szCs w:val="20"/>
              </w:rPr>
            </w:pPr>
            <w:r w:rsidRPr="00A81A4F">
              <w:rPr>
                <w:sz w:val="20"/>
                <w:szCs w:val="20"/>
              </w:rPr>
              <w:t>-0.029(-0.318)</w:t>
            </w:r>
          </w:p>
        </w:tc>
        <w:tc>
          <w:tcPr>
            <w:tcW w:w="1542" w:type="dxa"/>
            <w:vAlign w:val="center"/>
          </w:tcPr>
          <w:p w14:paraId="48B55BF3" w14:textId="77777777" w:rsidR="002E0FEA" w:rsidRPr="00A81A4F" w:rsidRDefault="002E0FEA" w:rsidP="00E539CE">
            <w:pPr>
              <w:spacing w:after="0" w:line="240" w:lineRule="auto"/>
              <w:jc w:val="center"/>
              <w:rPr>
                <w:sz w:val="20"/>
                <w:szCs w:val="20"/>
                <w:lang w:val="en-GB" w:eastAsia="en-US"/>
              </w:rPr>
            </w:pPr>
            <w:r w:rsidRPr="00A81A4F">
              <w:rPr>
                <w:sz w:val="20"/>
                <w:szCs w:val="20"/>
              </w:rPr>
              <w:t>-0.037(-0.423)</w:t>
            </w:r>
          </w:p>
        </w:tc>
        <w:tc>
          <w:tcPr>
            <w:tcW w:w="1541" w:type="dxa"/>
            <w:vAlign w:val="center"/>
          </w:tcPr>
          <w:p w14:paraId="709549D3" w14:textId="77777777" w:rsidR="002E0FEA" w:rsidRPr="00A81A4F" w:rsidRDefault="002E0FEA" w:rsidP="00E539CE">
            <w:pPr>
              <w:spacing w:after="0" w:line="240" w:lineRule="auto"/>
              <w:jc w:val="center"/>
              <w:rPr>
                <w:sz w:val="20"/>
                <w:szCs w:val="20"/>
              </w:rPr>
            </w:pPr>
            <w:r w:rsidRPr="00A81A4F">
              <w:rPr>
                <w:sz w:val="20"/>
                <w:szCs w:val="20"/>
              </w:rPr>
              <w:t>0.069(0.840)</w:t>
            </w:r>
          </w:p>
        </w:tc>
        <w:tc>
          <w:tcPr>
            <w:tcW w:w="1542" w:type="dxa"/>
            <w:vAlign w:val="center"/>
          </w:tcPr>
          <w:p w14:paraId="2A3E079C" w14:textId="77777777" w:rsidR="002E0FEA" w:rsidRPr="00A81A4F" w:rsidRDefault="002E0FEA" w:rsidP="00E539CE">
            <w:pPr>
              <w:spacing w:after="0" w:line="240" w:lineRule="auto"/>
              <w:jc w:val="center"/>
              <w:rPr>
                <w:sz w:val="20"/>
                <w:szCs w:val="20"/>
                <w:lang w:val="en-GB" w:eastAsia="en-US"/>
              </w:rPr>
            </w:pPr>
            <w:r w:rsidRPr="00A81A4F">
              <w:rPr>
                <w:sz w:val="20"/>
                <w:szCs w:val="20"/>
              </w:rPr>
              <w:t>0.066(0.816)</w:t>
            </w:r>
          </w:p>
        </w:tc>
      </w:tr>
      <w:tr w:rsidR="002E0FEA" w:rsidRPr="00A81A4F" w14:paraId="609CC2B6" w14:textId="77777777" w:rsidTr="00620CED">
        <w:tc>
          <w:tcPr>
            <w:tcW w:w="2411" w:type="dxa"/>
            <w:shd w:val="clear" w:color="auto" w:fill="auto"/>
          </w:tcPr>
          <w:p w14:paraId="02D031CA"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Technology Turbulence</w:t>
            </w:r>
          </w:p>
        </w:tc>
        <w:tc>
          <w:tcPr>
            <w:tcW w:w="1541" w:type="dxa"/>
            <w:vAlign w:val="center"/>
          </w:tcPr>
          <w:p w14:paraId="0812BE38" w14:textId="77777777" w:rsidR="002E0FEA" w:rsidRPr="00A81A4F" w:rsidRDefault="002E0FEA" w:rsidP="00E539CE">
            <w:pPr>
              <w:spacing w:after="0" w:line="240" w:lineRule="auto"/>
              <w:jc w:val="center"/>
              <w:rPr>
                <w:sz w:val="20"/>
                <w:szCs w:val="20"/>
              </w:rPr>
            </w:pPr>
            <w:r w:rsidRPr="00A81A4F">
              <w:rPr>
                <w:sz w:val="20"/>
                <w:szCs w:val="20"/>
              </w:rPr>
              <w:t>0.017(0.176)</w:t>
            </w:r>
          </w:p>
        </w:tc>
        <w:tc>
          <w:tcPr>
            <w:tcW w:w="1542" w:type="dxa"/>
            <w:vAlign w:val="center"/>
          </w:tcPr>
          <w:p w14:paraId="521827C9" w14:textId="77777777" w:rsidR="002E0FEA" w:rsidRPr="00A81A4F" w:rsidRDefault="002E0FEA" w:rsidP="00E539CE">
            <w:pPr>
              <w:spacing w:after="0" w:line="240" w:lineRule="auto"/>
              <w:jc w:val="center"/>
              <w:rPr>
                <w:sz w:val="20"/>
                <w:szCs w:val="20"/>
                <w:lang w:val="en-GB" w:eastAsia="en-US"/>
              </w:rPr>
            </w:pPr>
            <w:r w:rsidRPr="00A81A4F">
              <w:rPr>
                <w:sz w:val="20"/>
                <w:szCs w:val="20"/>
              </w:rPr>
              <w:t>0.009(0.093)</w:t>
            </w:r>
          </w:p>
        </w:tc>
        <w:tc>
          <w:tcPr>
            <w:tcW w:w="1541" w:type="dxa"/>
            <w:vAlign w:val="center"/>
          </w:tcPr>
          <w:p w14:paraId="03BB38C2" w14:textId="77777777" w:rsidR="002E0FEA" w:rsidRPr="00A81A4F" w:rsidRDefault="002E0FEA" w:rsidP="00E539CE">
            <w:pPr>
              <w:spacing w:after="0" w:line="240" w:lineRule="auto"/>
              <w:jc w:val="center"/>
              <w:rPr>
                <w:sz w:val="20"/>
                <w:szCs w:val="20"/>
              </w:rPr>
            </w:pPr>
            <w:r w:rsidRPr="00A81A4F">
              <w:rPr>
                <w:sz w:val="20"/>
                <w:szCs w:val="20"/>
              </w:rPr>
              <w:t>0.026(0.202)</w:t>
            </w:r>
          </w:p>
        </w:tc>
        <w:tc>
          <w:tcPr>
            <w:tcW w:w="1542" w:type="dxa"/>
            <w:vAlign w:val="center"/>
          </w:tcPr>
          <w:p w14:paraId="407D2080" w14:textId="77777777" w:rsidR="002E0FEA" w:rsidRPr="00A81A4F" w:rsidRDefault="002E0FEA" w:rsidP="00E539CE">
            <w:pPr>
              <w:spacing w:after="0" w:line="240" w:lineRule="auto"/>
              <w:jc w:val="center"/>
              <w:rPr>
                <w:sz w:val="20"/>
                <w:szCs w:val="20"/>
                <w:lang w:val="en-GB" w:eastAsia="en-US"/>
              </w:rPr>
            </w:pPr>
            <w:r w:rsidRPr="00A81A4F">
              <w:rPr>
                <w:sz w:val="20"/>
                <w:szCs w:val="20"/>
              </w:rPr>
              <w:t>0.059(0.442)</w:t>
            </w:r>
          </w:p>
        </w:tc>
        <w:tc>
          <w:tcPr>
            <w:tcW w:w="1541" w:type="dxa"/>
            <w:vAlign w:val="center"/>
          </w:tcPr>
          <w:p w14:paraId="1B54A6EB" w14:textId="77777777" w:rsidR="002E0FEA" w:rsidRPr="00A81A4F" w:rsidRDefault="002E0FEA" w:rsidP="00E539CE">
            <w:pPr>
              <w:spacing w:after="0" w:line="240" w:lineRule="auto"/>
              <w:jc w:val="center"/>
              <w:rPr>
                <w:sz w:val="20"/>
                <w:szCs w:val="20"/>
              </w:rPr>
            </w:pPr>
            <w:r w:rsidRPr="00A81A4F">
              <w:rPr>
                <w:sz w:val="20"/>
                <w:szCs w:val="20"/>
              </w:rPr>
              <w:t>-0.157(-1.508)</w:t>
            </w:r>
          </w:p>
        </w:tc>
        <w:tc>
          <w:tcPr>
            <w:tcW w:w="1542" w:type="dxa"/>
            <w:vAlign w:val="center"/>
          </w:tcPr>
          <w:p w14:paraId="199445BD" w14:textId="77777777" w:rsidR="002E0FEA" w:rsidRPr="00A81A4F" w:rsidRDefault="002E0FEA" w:rsidP="00E539CE">
            <w:pPr>
              <w:spacing w:after="0" w:line="240" w:lineRule="auto"/>
              <w:jc w:val="center"/>
              <w:rPr>
                <w:sz w:val="20"/>
                <w:szCs w:val="20"/>
                <w:lang w:val="en-GB" w:eastAsia="en-US"/>
              </w:rPr>
            </w:pPr>
            <w:r w:rsidRPr="00A81A4F">
              <w:rPr>
                <w:sz w:val="20"/>
                <w:szCs w:val="20"/>
              </w:rPr>
              <w:t>-0.247(-2.253)*</w:t>
            </w:r>
          </w:p>
        </w:tc>
        <w:tc>
          <w:tcPr>
            <w:tcW w:w="1541" w:type="dxa"/>
            <w:vAlign w:val="center"/>
          </w:tcPr>
          <w:p w14:paraId="68441842" w14:textId="77777777" w:rsidR="002E0FEA" w:rsidRPr="00A81A4F" w:rsidRDefault="002E0FEA" w:rsidP="00E539CE">
            <w:pPr>
              <w:spacing w:after="0" w:line="240" w:lineRule="auto"/>
              <w:jc w:val="center"/>
              <w:rPr>
                <w:sz w:val="20"/>
                <w:szCs w:val="20"/>
              </w:rPr>
            </w:pPr>
            <w:r w:rsidRPr="00A81A4F">
              <w:rPr>
                <w:sz w:val="20"/>
                <w:szCs w:val="20"/>
              </w:rPr>
              <w:t>-0.145(-1.543)</w:t>
            </w:r>
          </w:p>
        </w:tc>
        <w:tc>
          <w:tcPr>
            <w:tcW w:w="1542" w:type="dxa"/>
            <w:vAlign w:val="center"/>
          </w:tcPr>
          <w:p w14:paraId="17638973" w14:textId="77777777" w:rsidR="002E0FEA" w:rsidRPr="00A81A4F" w:rsidRDefault="002E0FEA" w:rsidP="00E539CE">
            <w:pPr>
              <w:spacing w:after="0" w:line="240" w:lineRule="auto"/>
              <w:jc w:val="center"/>
              <w:rPr>
                <w:sz w:val="20"/>
                <w:szCs w:val="20"/>
                <w:lang w:val="en-GB" w:eastAsia="en-US"/>
              </w:rPr>
            </w:pPr>
            <w:r w:rsidRPr="00A81A4F">
              <w:rPr>
                <w:sz w:val="20"/>
                <w:szCs w:val="20"/>
              </w:rPr>
              <w:t>-0.174(-1.732)†</w:t>
            </w:r>
          </w:p>
        </w:tc>
      </w:tr>
      <w:tr w:rsidR="002E0FEA" w:rsidRPr="00A81A4F" w14:paraId="5D706087" w14:textId="77777777" w:rsidTr="00620CED">
        <w:tc>
          <w:tcPr>
            <w:tcW w:w="2411" w:type="dxa"/>
            <w:shd w:val="clear" w:color="auto" w:fill="auto"/>
          </w:tcPr>
          <w:p w14:paraId="78E6BA52"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Market Turbulence</w:t>
            </w:r>
          </w:p>
        </w:tc>
        <w:tc>
          <w:tcPr>
            <w:tcW w:w="1541" w:type="dxa"/>
            <w:vAlign w:val="center"/>
          </w:tcPr>
          <w:p w14:paraId="4686E5CF" w14:textId="77777777" w:rsidR="002E0FEA" w:rsidRPr="00A81A4F" w:rsidRDefault="002E0FEA" w:rsidP="00E539CE">
            <w:pPr>
              <w:spacing w:after="0" w:line="240" w:lineRule="auto"/>
              <w:jc w:val="center"/>
              <w:rPr>
                <w:sz w:val="20"/>
                <w:szCs w:val="20"/>
              </w:rPr>
            </w:pPr>
            <w:r w:rsidRPr="00A81A4F">
              <w:rPr>
                <w:sz w:val="20"/>
                <w:szCs w:val="20"/>
              </w:rPr>
              <w:t>0.047(0.616)</w:t>
            </w:r>
          </w:p>
        </w:tc>
        <w:tc>
          <w:tcPr>
            <w:tcW w:w="1542" w:type="dxa"/>
            <w:vAlign w:val="center"/>
          </w:tcPr>
          <w:p w14:paraId="402B0027" w14:textId="77777777" w:rsidR="002E0FEA" w:rsidRPr="00A81A4F" w:rsidRDefault="002E0FEA" w:rsidP="00E539CE">
            <w:pPr>
              <w:spacing w:after="0" w:line="240" w:lineRule="auto"/>
              <w:jc w:val="center"/>
              <w:rPr>
                <w:sz w:val="20"/>
                <w:szCs w:val="20"/>
                <w:lang w:val="en-GB" w:eastAsia="en-US"/>
              </w:rPr>
            </w:pPr>
            <w:r w:rsidRPr="00A81A4F">
              <w:rPr>
                <w:sz w:val="20"/>
                <w:szCs w:val="20"/>
              </w:rPr>
              <w:t>0.052(0.672)</w:t>
            </w:r>
          </w:p>
        </w:tc>
        <w:tc>
          <w:tcPr>
            <w:tcW w:w="1541" w:type="dxa"/>
            <w:vAlign w:val="center"/>
          </w:tcPr>
          <w:p w14:paraId="4CB1BCB9" w14:textId="77777777" w:rsidR="002E0FEA" w:rsidRPr="00A81A4F" w:rsidRDefault="002E0FEA" w:rsidP="00E539CE">
            <w:pPr>
              <w:spacing w:after="0" w:line="240" w:lineRule="auto"/>
              <w:jc w:val="center"/>
              <w:rPr>
                <w:sz w:val="20"/>
                <w:szCs w:val="20"/>
              </w:rPr>
            </w:pPr>
            <w:r w:rsidRPr="00A81A4F">
              <w:rPr>
                <w:sz w:val="20"/>
                <w:szCs w:val="20"/>
              </w:rPr>
              <w:t>0.093(0.904)</w:t>
            </w:r>
          </w:p>
        </w:tc>
        <w:tc>
          <w:tcPr>
            <w:tcW w:w="1542" w:type="dxa"/>
            <w:vAlign w:val="center"/>
          </w:tcPr>
          <w:p w14:paraId="59A1D5E7" w14:textId="77777777" w:rsidR="002E0FEA" w:rsidRPr="00A81A4F" w:rsidRDefault="002E0FEA" w:rsidP="00E539CE">
            <w:pPr>
              <w:spacing w:after="0" w:line="240" w:lineRule="auto"/>
              <w:jc w:val="center"/>
              <w:rPr>
                <w:sz w:val="20"/>
                <w:szCs w:val="20"/>
                <w:lang w:val="en-GB" w:eastAsia="en-US"/>
              </w:rPr>
            </w:pPr>
            <w:r w:rsidRPr="00A81A4F">
              <w:rPr>
                <w:sz w:val="20"/>
                <w:szCs w:val="20"/>
              </w:rPr>
              <w:t>0.096(0.917)</w:t>
            </w:r>
          </w:p>
        </w:tc>
        <w:tc>
          <w:tcPr>
            <w:tcW w:w="1541" w:type="dxa"/>
            <w:vAlign w:val="center"/>
          </w:tcPr>
          <w:p w14:paraId="3097F0CF" w14:textId="77777777" w:rsidR="002E0FEA" w:rsidRPr="00A81A4F" w:rsidRDefault="002E0FEA" w:rsidP="00E539CE">
            <w:pPr>
              <w:spacing w:after="0" w:line="240" w:lineRule="auto"/>
              <w:jc w:val="center"/>
              <w:rPr>
                <w:sz w:val="20"/>
                <w:szCs w:val="20"/>
              </w:rPr>
            </w:pPr>
            <w:r w:rsidRPr="00A81A4F">
              <w:rPr>
                <w:sz w:val="20"/>
                <w:szCs w:val="20"/>
              </w:rPr>
              <w:t>0.208(2.410)*</w:t>
            </w:r>
          </w:p>
        </w:tc>
        <w:tc>
          <w:tcPr>
            <w:tcW w:w="1542" w:type="dxa"/>
            <w:vAlign w:val="center"/>
          </w:tcPr>
          <w:p w14:paraId="4FFE12A2" w14:textId="77777777" w:rsidR="002E0FEA" w:rsidRPr="00A81A4F" w:rsidRDefault="002E0FEA" w:rsidP="00E539CE">
            <w:pPr>
              <w:spacing w:after="0" w:line="240" w:lineRule="auto"/>
              <w:jc w:val="center"/>
              <w:rPr>
                <w:sz w:val="20"/>
                <w:szCs w:val="20"/>
                <w:lang w:val="en-GB" w:eastAsia="en-US"/>
              </w:rPr>
            </w:pPr>
            <w:r w:rsidRPr="00A81A4F">
              <w:rPr>
                <w:sz w:val="20"/>
                <w:szCs w:val="20"/>
              </w:rPr>
              <w:t>0.157(1.831)†</w:t>
            </w:r>
          </w:p>
        </w:tc>
        <w:tc>
          <w:tcPr>
            <w:tcW w:w="1541" w:type="dxa"/>
            <w:vAlign w:val="center"/>
          </w:tcPr>
          <w:p w14:paraId="611DBE18" w14:textId="77777777" w:rsidR="002E0FEA" w:rsidRPr="00A81A4F" w:rsidRDefault="002E0FEA" w:rsidP="00E539CE">
            <w:pPr>
              <w:spacing w:after="0" w:line="240" w:lineRule="auto"/>
              <w:jc w:val="center"/>
              <w:rPr>
                <w:sz w:val="20"/>
                <w:szCs w:val="20"/>
              </w:rPr>
            </w:pPr>
            <w:r w:rsidRPr="00A81A4F">
              <w:rPr>
                <w:sz w:val="20"/>
                <w:szCs w:val="20"/>
              </w:rPr>
              <w:t>0.146(1.877)†</w:t>
            </w:r>
          </w:p>
        </w:tc>
        <w:tc>
          <w:tcPr>
            <w:tcW w:w="1542" w:type="dxa"/>
            <w:vAlign w:val="center"/>
          </w:tcPr>
          <w:p w14:paraId="4D12987A" w14:textId="77777777" w:rsidR="002E0FEA" w:rsidRPr="00A81A4F" w:rsidRDefault="002E0FEA" w:rsidP="00E539CE">
            <w:pPr>
              <w:spacing w:after="0" w:line="240" w:lineRule="auto"/>
              <w:jc w:val="center"/>
              <w:rPr>
                <w:sz w:val="20"/>
                <w:szCs w:val="20"/>
                <w:lang w:val="en-GB" w:eastAsia="en-US"/>
              </w:rPr>
            </w:pPr>
            <w:r w:rsidRPr="00A81A4F">
              <w:rPr>
                <w:sz w:val="20"/>
                <w:szCs w:val="20"/>
              </w:rPr>
              <w:t>0.105(1.333)</w:t>
            </w:r>
          </w:p>
        </w:tc>
      </w:tr>
      <w:tr w:rsidR="002E0FEA" w:rsidRPr="00A81A4F" w14:paraId="2535EC6D" w14:textId="77777777" w:rsidTr="00620CED">
        <w:tc>
          <w:tcPr>
            <w:tcW w:w="2411" w:type="dxa"/>
            <w:shd w:val="clear" w:color="auto" w:fill="auto"/>
          </w:tcPr>
          <w:p w14:paraId="3B33FD93"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Independent Variables</w:t>
            </w:r>
          </w:p>
        </w:tc>
        <w:tc>
          <w:tcPr>
            <w:tcW w:w="1541" w:type="dxa"/>
            <w:vAlign w:val="center"/>
          </w:tcPr>
          <w:p w14:paraId="5493C4C5"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43F0A7A3" w14:textId="77777777" w:rsidR="002E0FEA" w:rsidRPr="00A81A4F" w:rsidRDefault="002E0FEA" w:rsidP="00E539CE">
            <w:pPr>
              <w:spacing w:after="0" w:line="240" w:lineRule="auto"/>
              <w:jc w:val="center"/>
              <w:rPr>
                <w:b/>
                <w:sz w:val="20"/>
                <w:szCs w:val="20"/>
                <w:lang w:val="en-GB" w:eastAsia="en-US"/>
              </w:rPr>
            </w:pPr>
          </w:p>
        </w:tc>
        <w:tc>
          <w:tcPr>
            <w:tcW w:w="1541" w:type="dxa"/>
            <w:vAlign w:val="center"/>
          </w:tcPr>
          <w:p w14:paraId="025BEB8A" w14:textId="77777777" w:rsidR="002E0FEA" w:rsidRPr="00A81A4F" w:rsidRDefault="002E0FEA" w:rsidP="00E539CE">
            <w:pPr>
              <w:spacing w:after="0" w:line="240" w:lineRule="auto"/>
              <w:jc w:val="center"/>
              <w:rPr>
                <w:sz w:val="20"/>
                <w:szCs w:val="20"/>
                <w:lang w:val="en-GB" w:eastAsia="en-US"/>
              </w:rPr>
            </w:pPr>
          </w:p>
        </w:tc>
        <w:tc>
          <w:tcPr>
            <w:tcW w:w="1542" w:type="dxa"/>
            <w:shd w:val="clear" w:color="auto" w:fill="auto"/>
            <w:vAlign w:val="center"/>
          </w:tcPr>
          <w:p w14:paraId="1B67C003" w14:textId="77777777" w:rsidR="002E0FEA" w:rsidRPr="00A81A4F" w:rsidRDefault="002E0FEA" w:rsidP="00E539CE">
            <w:pPr>
              <w:spacing w:after="0" w:line="240" w:lineRule="auto"/>
              <w:jc w:val="center"/>
              <w:rPr>
                <w:sz w:val="20"/>
                <w:szCs w:val="20"/>
                <w:lang w:val="en-GB" w:eastAsia="en-US"/>
              </w:rPr>
            </w:pPr>
          </w:p>
        </w:tc>
        <w:tc>
          <w:tcPr>
            <w:tcW w:w="1541" w:type="dxa"/>
            <w:vAlign w:val="center"/>
          </w:tcPr>
          <w:p w14:paraId="763DF361"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41AEBB3C" w14:textId="77777777" w:rsidR="002E0FEA" w:rsidRPr="00A81A4F" w:rsidRDefault="002E0FEA" w:rsidP="00E539CE">
            <w:pPr>
              <w:spacing w:after="0" w:line="240" w:lineRule="auto"/>
              <w:jc w:val="center"/>
              <w:rPr>
                <w:b/>
                <w:sz w:val="20"/>
                <w:szCs w:val="20"/>
                <w:lang w:val="en-GB" w:eastAsia="en-US"/>
              </w:rPr>
            </w:pPr>
          </w:p>
        </w:tc>
        <w:tc>
          <w:tcPr>
            <w:tcW w:w="1541" w:type="dxa"/>
            <w:vAlign w:val="center"/>
          </w:tcPr>
          <w:p w14:paraId="6751D552" w14:textId="77777777" w:rsidR="002E0FEA" w:rsidRPr="00A81A4F" w:rsidRDefault="002E0FEA" w:rsidP="00E539CE">
            <w:pPr>
              <w:spacing w:after="0" w:line="240" w:lineRule="auto"/>
              <w:jc w:val="center"/>
              <w:rPr>
                <w:sz w:val="20"/>
                <w:szCs w:val="20"/>
                <w:lang w:val="en-GB" w:eastAsia="en-US"/>
              </w:rPr>
            </w:pPr>
          </w:p>
        </w:tc>
        <w:tc>
          <w:tcPr>
            <w:tcW w:w="1542" w:type="dxa"/>
            <w:shd w:val="clear" w:color="auto" w:fill="auto"/>
            <w:vAlign w:val="center"/>
          </w:tcPr>
          <w:p w14:paraId="4971938A" w14:textId="77777777" w:rsidR="002E0FEA" w:rsidRPr="00A81A4F" w:rsidRDefault="002E0FEA" w:rsidP="00E539CE">
            <w:pPr>
              <w:spacing w:after="0" w:line="240" w:lineRule="auto"/>
              <w:jc w:val="center"/>
              <w:rPr>
                <w:sz w:val="20"/>
                <w:szCs w:val="20"/>
                <w:lang w:val="en-GB" w:eastAsia="en-US"/>
              </w:rPr>
            </w:pPr>
          </w:p>
        </w:tc>
      </w:tr>
      <w:tr w:rsidR="002E0FEA" w:rsidRPr="00A81A4F" w14:paraId="02F0E7B4" w14:textId="77777777" w:rsidTr="00620CED">
        <w:tc>
          <w:tcPr>
            <w:tcW w:w="2411" w:type="dxa"/>
            <w:shd w:val="clear" w:color="auto" w:fill="auto"/>
          </w:tcPr>
          <w:p w14:paraId="20BBDC87" w14:textId="77777777" w:rsidR="002E0FEA" w:rsidRPr="00A81A4F" w:rsidRDefault="002E0FEA" w:rsidP="00E539CE">
            <w:pPr>
              <w:spacing w:after="0" w:line="240" w:lineRule="auto"/>
              <w:rPr>
                <w:b/>
                <w:sz w:val="20"/>
                <w:szCs w:val="20"/>
                <w:lang w:val="en-GB" w:eastAsia="en-US"/>
              </w:rPr>
            </w:pPr>
            <w:r w:rsidRPr="00A81A4F">
              <w:rPr>
                <w:sz w:val="20"/>
                <w:szCs w:val="20"/>
                <w:lang w:val="en-GB" w:eastAsia="en-US"/>
              </w:rPr>
              <w:t>Proactive Environmental Strategy (PES)</w:t>
            </w:r>
          </w:p>
        </w:tc>
        <w:tc>
          <w:tcPr>
            <w:tcW w:w="1541" w:type="dxa"/>
            <w:vAlign w:val="center"/>
          </w:tcPr>
          <w:p w14:paraId="6207F318" w14:textId="77777777" w:rsidR="002E0FEA" w:rsidRPr="00A81A4F" w:rsidRDefault="002E0FEA" w:rsidP="00E539CE">
            <w:pPr>
              <w:spacing w:after="0" w:line="240" w:lineRule="auto"/>
              <w:jc w:val="center"/>
              <w:rPr>
                <w:sz w:val="20"/>
                <w:szCs w:val="20"/>
              </w:rPr>
            </w:pPr>
            <w:r w:rsidRPr="00A81A4F">
              <w:rPr>
                <w:sz w:val="20"/>
                <w:szCs w:val="20"/>
              </w:rPr>
              <w:t>0.310(2.369)*</w:t>
            </w:r>
          </w:p>
        </w:tc>
        <w:tc>
          <w:tcPr>
            <w:tcW w:w="1542" w:type="dxa"/>
            <w:vAlign w:val="center"/>
          </w:tcPr>
          <w:p w14:paraId="6605C791" w14:textId="77777777" w:rsidR="002E0FEA" w:rsidRPr="00A81A4F" w:rsidRDefault="002E0FEA" w:rsidP="00E539CE">
            <w:pPr>
              <w:spacing w:after="0" w:line="240" w:lineRule="auto"/>
              <w:jc w:val="center"/>
              <w:rPr>
                <w:b/>
                <w:sz w:val="20"/>
                <w:szCs w:val="20"/>
                <w:lang w:val="en-GB" w:eastAsia="en-US"/>
              </w:rPr>
            </w:pPr>
            <w:r w:rsidRPr="00A81A4F">
              <w:rPr>
                <w:sz w:val="20"/>
                <w:szCs w:val="20"/>
              </w:rPr>
              <w:t>0.350(2.196)*</w:t>
            </w:r>
          </w:p>
        </w:tc>
        <w:tc>
          <w:tcPr>
            <w:tcW w:w="1541" w:type="dxa"/>
            <w:vAlign w:val="center"/>
          </w:tcPr>
          <w:p w14:paraId="06C5FC71" w14:textId="77777777" w:rsidR="002E0FEA" w:rsidRPr="00A81A4F" w:rsidRDefault="002E0FEA" w:rsidP="00E539CE">
            <w:pPr>
              <w:spacing w:after="0" w:line="240" w:lineRule="auto"/>
              <w:jc w:val="center"/>
              <w:rPr>
                <w:sz w:val="20"/>
                <w:szCs w:val="20"/>
                <w:lang w:val="en-GB" w:eastAsia="en-US"/>
              </w:rPr>
            </w:pPr>
            <w:r w:rsidRPr="00A81A4F">
              <w:rPr>
                <w:sz w:val="20"/>
                <w:szCs w:val="20"/>
              </w:rPr>
              <w:t>0.182(1.031)</w:t>
            </w:r>
          </w:p>
        </w:tc>
        <w:tc>
          <w:tcPr>
            <w:tcW w:w="1542" w:type="dxa"/>
            <w:shd w:val="clear" w:color="auto" w:fill="auto"/>
            <w:vAlign w:val="center"/>
          </w:tcPr>
          <w:p w14:paraId="74722AB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0.312(1.460)</w:t>
            </w:r>
          </w:p>
        </w:tc>
        <w:tc>
          <w:tcPr>
            <w:tcW w:w="1541" w:type="dxa"/>
            <w:vAlign w:val="center"/>
          </w:tcPr>
          <w:p w14:paraId="5ADD294F" w14:textId="77777777" w:rsidR="002E0FEA" w:rsidRPr="00A81A4F" w:rsidRDefault="002E0FEA" w:rsidP="00E539CE">
            <w:pPr>
              <w:spacing w:after="0" w:line="240" w:lineRule="auto"/>
              <w:jc w:val="center"/>
              <w:rPr>
                <w:sz w:val="20"/>
                <w:szCs w:val="20"/>
                <w:lang w:val="en-GB" w:eastAsia="en-US"/>
              </w:rPr>
            </w:pPr>
            <w:r w:rsidRPr="00A81A4F">
              <w:rPr>
                <w:sz w:val="20"/>
                <w:szCs w:val="20"/>
              </w:rPr>
              <w:t>0.199(1.249)</w:t>
            </w:r>
          </w:p>
        </w:tc>
        <w:tc>
          <w:tcPr>
            <w:tcW w:w="1542" w:type="dxa"/>
            <w:shd w:val="clear" w:color="auto" w:fill="auto"/>
            <w:vAlign w:val="center"/>
          </w:tcPr>
          <w:p w14:paraId="7186A785" w14:textId="77777777" w:rsidR="002E0FEA" w:rsidRPr="00A81A4F" w:rsidRDefault="002E0FEA" w:rsidP="00E539CE">
            <w:pPr>
              <w:spacing w:after="0" w:line="240" w:lineRule="auto"/>
              <w:jc w:val="center"/>
              <w:rPr>
                <w:bCs/>
                <w:sz w:val="20"/>
                <w:szCs w:val="20"/>
                <w:lang w:val="en-GB" w:eastAsia="en-US"/>
              </w:rPr>
            </w:pPr>
            <w:r w:rsidRPr="00A81A4F">
              <w:rPr>
                <w:sz w:val="20"/>
                <w:szCs w:val="20"/>
                <w:lang w:val="en-GB" w:eastAsia="en-US"/>
              </w:rPr>
              <w:t>0.384(2.182)*</w:t>
            </w:r>
          </w:p>
        </w:tc>
        <w:tc>
          <w:tcPr>
            <w:tcW w:w="1541" w:type="dxa"/>
            <w:vAlign w:val="center"/>
          </w:tcPr>
          <w:p w14:paraId="55D581C4" w14:textId="77777777" w:rsidR="002E0FEA" w:rsidRPr="00A81A4F" w:rsidRDefault="002E0FEA" w:rsidP="00E539CE">
            <w:pPr>
              <w:spacing w:after="0" w:line="240" w:lineRule="auto"/>
              <w:jc w:val="center"/>
              <w:rPr>
                <w:bCs/>
                <w:sz w:val="20"/>
                <w:szCs w:val="20"/>
                <w:lang w:val="en-GB" w:eastAsia="en-US"/>
              </w:rPr>
            </w:pPr>
            <w:r w:rsidRPr="00A81A4F">
              <w:rPr>
                <w:sz w:val="20"/>
                <w:szCs w:val="20"/>
              </w:rPr>
              <w:t>0.258(1.797)†</w:t>
            </w:r>
          </w:p>
        </w:tc>
        <w:tc>
          <w:tcPr>
            <w:tcW w:w="1542" w:type="dxa"/>
            <w:shd w:val="clear" w:color="auto" w:fill="auto"/>
            <w:vAlign w:val="center"/>
          </w:tcPr>
          <w:p w14:paraId="7AE01E22" w14:textId="77777777" w:rsidR="002E0FEA" w:rsidRPr="00A81A4F" w:rsidRDefault="002E0FEA" w:rsidP="00E539CE">
            <w:pPr>
              <w:spacing w:after="0" w:line="240" w:lineRule="auto"/>
              <w:jc w:val="center"/>
              <w:rPr>
                <w:sz w:val="20"/>
                <w:szCs w:val="20"/>
                <w:lang w:val="en-GB" w:eastAsia="en-US"/>
              </w:rPr>
            </w:pPr>
            <w:r w:rsidRPr="00A81A4F">
              <w:rPr>
                <w:bCs/>
                <w:sz w:val="20"/>
                <w:szCs w:val="20"/>
                <w:lang w:val="en-GB" w:eastAsia="en-US"/>
              </w:rPr>
              <w:t>0.419(2.598)*</w:t>
            </w:r>
          </w:p>
        </w:tc>
      </w:tr>
      <w:tr w:rsidR="002E0FEA" w:rsidRPr="00A81A4F" w14:paraId="5BD3178C" w14:textId="77777777" w:rsidTr="00620CED">
        <w:tc>
          <w:tcPr>
            <w:tcW w:w="2411" w:type="dxa"/>
            <w:shd w:val="clear" w:color="auto" w:fill="auto"/>
          </w:tcPr>
          <w:p w14:paraId="6EF5A6D9"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Moderator</w:t>
            </w:r>
          </w:p>
        </w:tc>
        <w:tc>
          <w:tcPr>
            <w:tcW w:w="1541" w:type="dxa"/>
            <w:vAlign w:val="center"/>
          </w:tcPr>
          <w:p w14:paraId="610ED775"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116C8164" w14:textId="77777777" w:rsidR="002E0FEA" w:rsidRPr="00A81A4F" w:rsidRDefault="002E0FEA" w:rsidP="00E539CE">
            <w:pPr>
              <w:spacing w:after="0" w:line="240" w:lineRule="auto"/>
              <w:jc w:val="center"/>
              <w:rPr>
                <w:b/>
                <w:sz w:val="20"/>
                <w:szCs w:val="20"/>
                <w:lang w:val="en-GB" w:eastAsia="en-US"/>
              </w:rPr>
            </w:pPr>
          </w:p>
        </w:tc>
        <w:tc>
          <w:tcPr>
            <w:tcW w:w="1541" w:type="dxa"/>
            <w:vAlign w:val="center"/>
          </w:tcPr>
          <w:p w14:paraId="0AACA3A9" w14:textId="77777777" w:rsidR="002E0FEA" w:rsidRPr="00A81A4F" w:rsidRDefault="002E0FEA" w:rsidP="00E539CE">
            <w:pPr>
              <w:spacing w:after="0" w:line="240" w:lineRule="auto"/>
              <w:jc w:val="center"/>
              <w:rPr>
                <w:sz w:val="20"/>
                <w:szCs w:val="20"/>
                <w:lang w:val="en-GB" w:eastAsia="en-US"/>
              </w:rPr>
            </w:pPr>
          </w:p>
        </w:tc>
        <w:tc>
          <w:tcPr>
            <w:tcW w:w="1542" w:type="dxa"/>
            <w:shd w:val="clear" w:color="auto" w:fill="auto"/>
            <w:vAlign w:val="center"/>
          </w:tcPr>
          <w:p w14:paraId="1C0F4511" w14:textId="77777777" w:rsidR="002E0FEA" w:rsidRPr="00A81A4F" w:rsidRDefault="002E0FEA" w:rsidP="00E539CE">
            <w:pPr>
              <w:spacing w:after="0" w:line="240" w:lineRule="auto"/>
              <w:jc w:val="center"/>
              <w:rPr>
                <w:sz w:val="20"/>
                <w:szCs w:val="20"/>
                <w:lang w:val="en-GB" w:eastAsia="en-US"/>
              </w:rPr>
            </w:pPr>
          </w:p>
        </w:tc>
        <w:tc>
          <w:tcPr>
            <w:tcW w:w="1541" w:type="dxa"/>
            <w:vAlign w:val="center"/>
          </w:tcPr>
          <w:p w14:paraId="10D95945"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7D427977" w14:textId="77777777" w:rsidR="002E0FEA" w:rsidRPr="00A81A4F" w:rsidRDefault="002E0FEA" w:rsidP="00E539CE">
            <w:pPr>
              <w:spacing w:after="0" w:line="240" w:lineRule="auto"/>
              <w:jc w:val="center"/>
              <w:rPr>
                <w:b/>
                <w:sz w:val="20"/>
                <w:szCs w:val="20"/>
                <w:lang w:val="en-GB" w:eastAsia="en-US"/>
              </w:rPr>
            </w:pPr>
          </w:p>
        </w:tc>
        <w:tc>
          <w:tcPr>
            <w:tcW w:w="1541" w:type="dxa"/>
            <w:vAlign w:val="center"/>
          </w:tcPr>
          <w:p w14:paraId="7A3ABC6B" w14:textId="77777777" w:rsidR="002E0FEA" w:rsidRPr="00A81A4F" w:rsidRDefault="002E0FEA" w:rsidP="00E539CE">
            <w:pPr>
              <w:spacing w:after="0" w:line="240" w:lineRule="auto"/>
              <w:jc w:val="center"/>
              <w:rPr>
                <w:sz w:val="20"/>
                <w:szCs w:val="20"/>
                <w:lang w:val="en-GB" w:eastAsia="en-US"/>
              </w:rPr>
            </w:pPr>
          </w:p>
        </w:tc>
        <w:tc>
          <w:tcPr>
            <w:tcW w:w="1542" w:type="dxa"/>
            <w:shd w:val="clear" w:color="auto" w:fill="auto"/>
            <w:vAlign w:val="center"/>
          </w:tcPr>
          <w:p w14:paraId="3A5B4E2E" w14:textId="77777777" w:rsidR="002E0FEA" w:rsidRPr="00A81A4F" w:rsidRDefault="002E0FEA" w:rsidP="00E539CE">
            <w:pPr>
              <w:spacing w:after="0" w:line="240" w:lineRule="auto"/>
              <w:jc w:val="center"/>
              <w:rPr>
                <w:sz w:val="20"/>
                <w:szCs w:val="20"/>
                <w:lang w:val="en-GB" w:eastAsia="en-US"/>
              </w:rPr>
            </w:pPr>
          </w:p>
        </w:tc>
      </w:tr>
      <w:tr w:rsidR="002E0FEA" w:rsidRPr="00A81A4F" w14:paraId="04C2C81F" w14:textId="77777777" w:rsidTr="00620CED">
        <w:tc>
          <w:tcPr>
            <w:tcW w:w="2411" w:type="dxa"/>
            <w:shd w:val="clear" w:color="auto" w:fill="auto"/>
          </w:tcPr>
          <w:p w14:paraId="4C3B31B9"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 xml:space="preserve">Foreign Environmental Regulatory Pressure (ERP) </w:t>
            </w:r>
          </w:p>
        </w:tc>
        <w:tc>
          <w:tcPr>
            <w:tcW w:w="1541" w:type="dxa"/>
            <w:vAlign w:val="center"/>
          </w:tcPr>
          <w:p w14:paraId="15EF5436" w14:textId="77777777" w:rsidR="002E0FEA" w:rsidRPr="00A81A4F" w:rsidRDefault="002E0FEA" w:rsidP="00E539CE">
            <w:pPr>
              <w:spacing w:after="0" w:line="240" w:lineRule="auto"/>
              <w:jc w:val="center"/>
              <w:rPr>
                <w:sz w:val="20"/>
                <w:szCs w:val="20"/>
              </w:rPr>
            </w:pPr>
            <w:r w:rsidRPr="00A81A4F">
              <w:rPr>
                <w:sz w:val="20"/>
                <w:szCs w:val="20"/>
              </w:rPr>
              <w:t>0.537(3.813)***</w:t>
            </w:r>
          </w:p>
        </w:tc>
        <w:tc>
          <w:tcPr>
            <w:tcW w:w="1542" w:type="dxa"/>
            <w:vAlign w:val="center"/>
          </w:tcPr>
          <w:p w14:paraId="197E5278" w14:textId="77777777" w:rsidR="002E0FEA" w:rsidRPr="00A81A4F" w:rsidRDefault="002E0FEA" w:rsidP="00E539CE">
            <w:pPr>
              <w:spacing w:after="0" w:line="240" w:lineRule="auto"/>
              <w:jc w:val="center"/>
              <w:rPr>
                <w:b/>
                <w:sz w:val="20"/>
                <w:szCs w:val="20"/>
                <w:lang w:val="en-GB" w:eastAsia="en-US"/>
              </w:rPr>
            </w:pPr>
            <w:r w:rsidRPr="00A81A4F">
              <w:rPr>
                <w:sz w:val="20"/>
                <w:szCs w:val="20"/>
              </w:rPr>
              <w:t>0.535(3.640)***</w:t>
            </w:r>
          </w:p>
        </w:tc>
        <w:tc>
          <w:tcPr>
            <w:tcW w:w="1541" w:type="dxa"/>
            <w:vAlign w:val="center"/>
          </w:tcPr>
          <w:p w14:paraId="1E2E7793" w14:textId="77777777" w:rsidR="002E0FEA" w:rsidRPr="00A81A4F" w:rsidRDefault="002E0FEA" w:rsidP="00E539CE">
            <w:pPr>
              <w:spacing w:after="0" w:line="240" w:lineRule="auto"/>
              <w:jc w:val="center"/>
              <w:rPr>
                <w:sz w:val="20"/>
                <w:szCs w:val="20"/>
              </w:rPr>
            </w:pPr>
            <w:r w:rsidRPr="00A81A4F">
              <w:rPr>
                <w:sz w:val="20"/>
                <w:szCs w:val="20"/>
              </w:rPr>
              <w:t>0.196(1.029)</w:t>
            </w:r>
          </w:p>
        </w:tc>
        <w:tc>
          <w:tcPr>
            <w:tcW w:w="1542" w:type="dxa"/>
            <w:vAlign w:val="center"/>
          </w:tcPr>
          <w:p w14:paraId="77ADFBCB" w14:textId="77777777" w:rsidR="002E0FEA" w:rsidRPr="00A81A4F" w:rsidRDefault="002E0FEA" w:rsidP="00E539CE">
            <w:pPr>
              <w:spacing w:after="0" w:line="240" w:lineRule="auto"/>
              <w:jc w:val="center"/>
              <w:rPr>
                <w:sz w:val="20"/>
                <w:szCs w:val="20"/>
                <w:lang w:val="en-GB" w:eastAsia="en-US"/>
              </w:rPr>
            </w:pPr>
            <w:r w:rsidRPr="00A81A4F">
              <w:rPr>
                <w:sz w:val="20"/>
                <w:szCs w:val="20"/>
              </w:rPr>
              <w:t>0.205(1.042)</w:t>
            </w:r>
          </w:p>
        </w:tc>
        <w:tc>
          <w:tcPr>
            <w:tcW w:w="1541" w:type="dxa"/>
            <w:vAlign w:val="center"/>
          </w:tcPr>
          <w:p w14:paraId="68A1A031" w14:textId="77777777" w:rsidR="002E0FEA" w:rsidRPr="00A81A4F" w:rsidRDefault="002E0FEA" w:rsidP="00E539CE">
            <w:pPr>
              <w:spacing w:after="0" w:line="240" w:lineRule="auto"/>
              <w:jc w:val="center"/>
              <w:rPr>
                <w:sz w:val="20"/>
                <w:szCs w:val="20"/>
              </w:rPr>
            </w:pPr>
          </w:p>
        </w:tc>
        <w:tc>
          <w:tcPr>
            <w:tcW w:w="1542" w:type="dxa"/>
            <w:vAlign w:val="center"/>
          </w:tcPr>
          <w:p w14:paraId="1B8B64F9" w14:textId="77777777" w:rsidR="002E0FEA" w:rsidRPr="00A81A4F" w:rsidRDefault="002E0FEA" w:rsidP="00E539CE">
            <w:pPr>
              <w:spacing w:after="0" w:line="240" w:lineRule="auto"/>
              <w:jc w:val="center"/>
              <w:rPr>
                <w:b/>
                <w:sz w:val="20"/>
                <w:szCs w:val="20"/>
                <w:lang w:val="en-GB" w:eastAsia="en-US"/>
              </w:rPr>
            </w:pPr>
            <w:r w:rsidRPr="00A81A4F">
              <w:rPr>
                <w:sz w:val="20"/>
                <w:szCs w:val="20"/>
              </w:rPr>
              <w:t>0.078(0.482)</w:t>
            </w:r>
          </w:p>
        </w:tc>
        <w:tc>
          <w:tcPr>
            <w:tcW w:w="1541" w:type="dxa"/>
            <w:vAlign w:val="center"/>
          </w:tcPr>
          <w:p w14:paraId="4DAD70E2" w14:textId="77777777" w:rsidR="002E0FEA" w:rsidRPr="00A81A4F" w:rsidRDefault="002E0FEA" w:rsidP="00E539CE">
            <w:pPr>
              <w:spacing w:after="0" w:line="240" w:lineRule="auto"/>
              <w:jc w:val="center"/>
              <w:rPr>
                <w:sz w:val="20"/>
                <w:szCs w:val="20"/>
              </w:rPr>
            </w:pPr>
          </w:p>
        </w:tc>
        <w:tc>
          <w:tcPr>
            <w:tcW w:w="1542" w:type="dxa"/>
            <w:vAlign w:val="center"/>
          </w:tcPr>
          <w:p w14:paraId="11D0726F" w14:textId="77777777" w:rsidR="002E0FEA" w:rsidRPr="00A81A4F" w:rsidRDefault="002E0FEA" w:rsidP="00E539CE">
            <w:pPr>
              <w:spacing w:after="0" w:line="240" w:lineRule="auto"/>
              <w:jc w:val="center"/>
              <w:rPr>
                <w:sz w:val="20"/>
                <w:szCs w:val="20"/>
                <w:lang w:val="en-GB" w:eastAsia="en-US"/>
              </w:rPr>
            </w:pPr>
            <w:r w:rsidRPr="00A81A4F">
              <w:rPr>
                <w:sz w:val="20"/>
                <w:szCs w:val="20"/>
              </w:rPr>
              <w:t>0.021(0.141)</w:t>
            </w:r>
          </w:p>
        </w:tc>
      </w:tr>
      <w:tr w:rsidR="002E0FEA" w:rsidRPr="00A81A4F" w14:paraId="188F249A" w14:textId="77777777" w:rsidTr="00620CED">
        <w:tc>
          <w:tcPr>
            <w:tcW w:w="2411" w:type="dxa"/>
            <w:shd w:val="clear" w:color="auto" w:fill="auto"/>
          </w:tcPr>
          <w:p w14:paraId="3F83FECA" w14:textId="77777777" w:rsidR="002E0FEA" w:rsidRPr="00A81A4F" w:rsidRDefault="002E0FEA" w:rsidP="00E539CE">
            <w:pPr>
              <w:spacing w:after="0" w:line="240" w:lineRule="auto"/>
              <w:ind w:left="313" w:hanging="313"/>
              <w:rPr>
                <w:sz w:val="20"/>
                <w:szCs w:val="20"/>
                <w:lang w:val="en-GB" w:eastAsia="en-US"/>
              </w:rPr>
            </w:pPr>
            <w:r w:rsidRPr="00A81A4F">
              <w:rPr>
                <w:sz w:val="20"/>
                <w:szCs w:val="20"/>
                <w:lang w:val="en-GB" w:eastAsia="en-US"/>
              </w:rPr>
              <w:t>Foreign ERP</w:t>
            </w:r>
            <w:r w:rsidRPr="00A81A4F">
              <w:rPr>
                <w:sz w:val="20"/>
                <w:szCs w:val="20"/>
                <w:vertAlign w:val="superscript"/>
                <w:lang w:val="en-GB" w:eastAsia="en-US"/>
              </w:rPr>
              <w:t>2</w:t>
            </w:r>
            <w:r w:rsidRPr="00A81A4F">
              <w:rPr>
                <w:sz w:val="20"/>
                <w:szCs w:val="20"/>
                <w:lang w:val="en-GB" w:eastAsia="en-US"/>
              </w:rPr>
              <w:t xml:space="preserve"> </w:t>
            </w:r>
          </w:p>
        </w:tc>
        <w:tc>
          <w:tcPr>
            <w:tcW w:w="1541" w:type="dxa"/>
            <w:vAlign w:val="center"/>
          </w:tcPr>
          <w:p w14:paraId="45D267B2" w14:textId="77777777" w:rsidR="002E0FEA" w:rsidRPr="00A81A4F" w:rsidRDefault="002E0FEA" w:rsidP="00E539CE">
            <w:pPr>
              <w:spacing w:after="0" w:line="240" w:lineRule="auto"/>
              <w:jc w:val="center"/>
              <w:rPr>
                <w:sz w:val="20"/>
                <w:szCs w:val="20"/>
              </w:rPr>
            </w:pPr>
            <w:r w:rsidRPr="00A81A4F">
              <w:rPr>
                <w:sz w:val="20"/>
                <w:szCs w:val="20"/>
              </w:rPr>
              <w:t>-0.022(-0.407)</w:t>
            </w:r>
          </w:p>
        </w:tc>
        <w:tc>
          <w:tcPr>
            <w:tcW w:w="1542" w:type="dxa"/>
            <w:vAlign w:val="center"/>
          </w:tcPr>
          <w:p w14:paraId="33E0E91D" w14:textId="77777777" w:rsidR="002E0FEA" w:rsidRPr="00A81A4F" w:rsidRDefault="002E0FEA" w:rsidP="00E539CE">
            <w:pPr>
              <w:spacing w:after="0" w:line="240" w:lineRule="auto"/>
              <w:jc w:val="center"/>
              <w:rPr>
                <w:b/>
                <w:sz w:val="20"/>
                <w:szCs w:val="20"/>
                <w:lang w:val="en-GB" w:eastAsia="en-US"/>
              </w:rPr>
            </w:pPr>
            <w:r w:rsidRPr="00A81A4F">
              <w:rPr>
                <w:sz w:val="20"/>
                <w:szCs w:val="20"/>
              </w:rPr>
              <w:t>-0.018(-0.299)</w:t>
            </w:r>
          </w:p>
        </w:tc>
        <w:tc>
          <w:tcPr>
            <w:tcW w:w="1541" w:type="dxa"/>
            <w:vAlign w:val="center"/>
          </w:tcPr>
          <w:p w14:paraId="565BC205" w14:textId="77777777" w:rsidR="002E0FEA" w:rsidRPr="00A81A4F" w:rsidRDefault="002E0FEA" w:rsidP="00E539CE">
            <w:pPr>
              <w:spacing w:after="0" w:line="240" w:lineRule="auto"/>
              <w:jc w:val="center"/>
              <w:rPr>
                <w:sz w:val="20"/>
                <w:szCs w:val="20"/>
              </w:rPr>
            </w:pPr>
            <w:r w:rsidRPr="00A81A4F">
              <w:rPr>
                <w:sz w:val="20"/>
                <w:szCs w:val="20"/>
              </w:rPr>
              <w:t>-0.055(-0.737)</w:t>
            </w:r>
          </w:p>
        </w:tc>
        <w:tc>
          <w:tcPr>
            <w:tcW w:w="1542" w:type="dxa"/>
            <w:vAlign w:val="center"/>
          </w:tcPr>
          <w:p w14:paraId="192F1468" w14:textId="77777777" w:rsidR="002E0FEA" w:rsidRPr="00A81A4F" w:rsidRDefault="002E0FEA" w:rsidP="00E539CE">
            <w:pPr>
              <w:spacing w:after="0" w:line="240" w:lineRule="auto"/>
              <w:jc w:val="center"/>
              <w:rPr>
                <w:sz w:val="20"/>
                <w:szCs w:val="20"/>
                <w:lang w:val="en-GB" w:eastAsia="en-US"/>
              </w:rPr>
            </w:pPr>
            <w:r w:rsidRPr="00A81A4F">
              <w:rPr>
                <w:sz w:val="20"/>
                <w:szCs w:val="20"/>
              </w:rPr>
              <w:t>-0.010(-0.120)</w:t>
            </w:r>
          </w:p>
        </w:tc>
        <w:tc>
          <w:tcPr>
            <w:tcW w:w="1541" w:type="dxa"/>
            <w:vAlign w:val="center"/>
          </w:tcPr>
          <w:p w14:paraId="3E2EA469" w14:textId="77777777" w:rsidR="002E0FEA" w:rsidRPr="00A81A4F" w:rsidRDefault="002E0FEA" w:rsidP="00E539CE">
            <w:pPr>
              <w:spacing w:after="0" w:line="240" w:lineRule="auto"/>
              <w:jc w:val="center"/>
              <w:rPr>
                <w:sz w:val="20"/>
                <w:szCs w:val="20"/>
              </w:rPr>
            </w:pPr>
          </w:p>
        </w:tc>
        <w:tc>
          <w:tcPr>
            <w:tcW w:w="1542" w:type="dxa"/>
            <w:vAlign w:val="center"/>
          </w:tcPr>
          <w:p w14:paraId="1E6626B0" w14:textId="77777777" w:rsidR="002E0FEA" w:rsidRPr="00A81A4F" w:rsidRDefault="002E0FEA" w:rsidP="00E539CE">
            <w:pPr>
              <w:spacing w:after="0" w:line="240" w:lineRule="auto"/>
              <w:jc w:val="center"/>
              <w:rPr>
                <w:b/>
                <w:sz w:val="20"/>
                <w:szCs w:val="20"/>
                <w:lang w:val="en-GB" w:eastAsia="en-US"/>
              </w:rPr>
            </w:pPr>
            <w:r w:rsidRPr="00A81A4F">
              <w:rPr>
                <w:sz w:val="20"/>
                <w:szCs w:val="20"/>
              </w:rPr>
              <w:t>-0.157(-2.362)*</w:t>
            </w:r>
          </w:p>
        </w:tc>
        <w:tc>
          <w:tcPr>
            <w:tcW w:w="1541" w:type="dxa"/>
            <w:vAlign w:val="center"/>
          </w:tcPr>
          <w:p w14:paraId="4FE6FFE9" w14:textId="77777777" w:rsidR="002E0FEA" w:rsidRPr="00A81A4F" w:rsidRDefault="002E0FEA" w:rsidP="00E539CE">
            <w:pPr>
              <w:spacing w:after="0" w:line="240" w:lineRule="auto"/>
              <w:jc w:val="center"/>
              <w:rPr>
                <w:sz w:val="20"/>
                <w:szCs w:val="20"/>
              </w:rPr>
            </w:pPr>
          </w:p>
        </w:tc>
        <w:tc>
          <w:tcPr>
            <w:tcW w:w="1542" w:type="dxa"/>
            <w:vAlign w:val="center"/>
          </w:tcPr>
          <w:p w14:paraId="6BF45C8B" w14:textId="77777777" w:rsidR="002E0FEA" w:rsidRPr="00A81A4F" w:rsidRDefault="002E0FEA" w:rsidP="00E539CE">
            <w:pPr>
              <w:spacing w:after="0" w:line="240" w:lineRule="auto"/>
              <w:jc w:val="center"/>
              <w:rPr>
                <w:sz w:val="20"/>
                <w:szCs w:val="20"/>
                <w:lang w:val="en-GB" w:eastAsia="en-US"/>
              </w:rPr>
            </w:pPr>
            <w:r w:rsidRPr="00A81A4F">
              <w:rPr>
                <w:sz w:val="20"/>
                <w:szCs w:val="20"/>
              </w:rPr>
              <w:t>-0.078(-1.283)</w:t>
            </w:r>
          </w:p>
        </w:tc>
      </w:tr>
      <w:tr w:rsidR="002E0FEA" w:rsidRPr="00A81A4F" w14:paraId="4B25C5D7" w14:textId="77777777" w:rsidTr="00620CED">
        <w:tc>
          <w:tcPr>
            <w:tcW w:w="2411" w:type="dxa"/>
            <w:shd w:val="clear" w:color="auto" w:fill="auto"/>
          </w:tcPr>
          <w:p w14:paraId="467BF532" w14:textId="77777777" w:rsidR="002E0FEA" w:rsidRPr="00A81A4F" w:rsidRDefault="002E0FEA" w:rsidP="00E539CE">
            <w:pPr>
              <w:spacing w:after="0" w:line="240" w:lineRule="auto"/>
              <w:rPr>
                <w:sz w:val="20"/>
                <w:szCs w:val="20"/>
                <w:lang w:val="en-GB" w:eastAsia="en-US"/>
              </w:rPr>
            </w:pPr>
            <w:r w:rsidRPr="00A81A4F">
              <w:rPr>
                <w:sz w:val="20"/>
                <w:szCs w:val="20"/>
                <w:lang w:val="en-GB" w:eastAsia="en-US"/>
              </w:rPr>
              <w:t>Foreign Environmental Customer Pressure (ECP)</w:t>
            </w:r>
          </w:p>
        </w:tc>
        <w:tc>
          <w:tcPr>
            <w:tcW w:w="1541" w:type="dxa"/>
            <w:vAlign w:val="center"/>
          </w:tcPr>
          <w:p w14:paraId="1C7A636C" w14:textId="77777777" w:rsidR="002E0FEA" w:rsidRPr="00A81A4F" w:rsidRDefault="002E0FEA" w:rsidP="00E539CE">
            <w:pPr>
              <w:spacing w:after="0" w:line="240" w:lineRule="auto"/>
              <w:jc w:val="center"/>
              <w:rPr>
                <w:sz w:val="20"/>
                <w:szCs w:val="20"/>
              </w:rPr>
            </w:pPr>
          </w:p>
        </w:tc>
        <w:tc>
          <w:tcPr>
            <w:tcW w:w="1542" w:type="dxa"/>
            <w:vAlign w:val="center"/>
          </w:tcPr>
          <w:p w14:paraId="1E44DB10" w14:textId="77777777" w:rsidR="002E0FEA" w:rsidRPr="00A81A4F" w:rsidRDefault="002E0FEA" w:rsidP="00E539CE">
            <w:pPr>
              <w:spacing w:after="0" w:line="240" w:lineRule="auto"/>
              <w:jc w:val="center"/>
              <w:rPr>
                <w:b/>
                <w:sz w:val="20"/>
                <w:szCs w:val="20"/>
                <w:lang w:val="en-GB" w:eastAsia="en-US"/>
              </w:rPr>
            </w:pPr>
            <w:r w:rsidRPr="00A81A4F">
              <w:rPr>
                <w:sz w:val="20"/>
                <w:szCs w:val="20"/>
              </w:rPr>
              <w:t>0.062(0.395)</w:t>
            </w:r>
          </w:p>
        </w:tc>
        <w:tc>
          <w:tcPr>
            <w:tcW w:w="1541" w:type="dxa"/>
            <w:vAlign w:val="center"/>
          </w:tcPr>
          <w:p w14:paraId="5294AA76" w14:textId="77777777" w:rsidR="002E0FEA" w:rsidRPr="00A81A4F" w:rsidRDefault="002E0FEA" w:rsidP="00E539CE">
            <w:pPr>
              <w:spacing w:after="0" w:line="240" w:lineRule="auto"/>
              <w:jc w:val="center"/>
              <w:rPr>
                <w:sz w:val="20"/>
                <w:szCs w:val="20"/>
              </w:rPr>
            </w:pPr>
          </w:p>
        </w:tc>
        <w:tc>
          <w:tcPr>
            <w:tcW w:w="1542" w:type="dxa"/>
            <w:vAlign w:val="center"/>
          </w:tcPr>
          <w:p w14:paraId="2C5C4CCE" w14:textId="77777777" w:rsidR="002E0FEA" w:rsidRPr="00A81A4F" w:rsidRDefault="002E0FEA" w:rsidP="00E539CE">
            <w:pPr>
              <w:spacing w:after="0" w:line="240" w:lineRule="auto"/>
              <w:jc w:val="center"/>
              <w:rPr>
                <w:sz w:val="20"/>
                <w:szCs w:val="20"/>
                <w:lang w:val="en-GB" w:eastAsia="en-US"/>
              </w:rPr>
            </w:pPr>
            <w:r w:rsidRPr="00A81A4F">
              <w:rPr>
                <w:sz w:val="20"/>
                <w:szCs w:val="20"/>
              </w:rPr>
              <w:t>-0.069(-0.325)</w:t>
            </w:r>
          </w:p>
        </w:tc>
        <w:tc>
          <w:tcPr>
            <w:tcW w:w="1541" w:type="dxa"/>
            <w:vAlign w:val="center"/>
          </w:tcPr>
          <w:p w14:paraId="6BFB4FCD" w14:textId="77777777" w:rsidR="002E0FEA" w:rsidRPr="00A81A4F" w:rsidRDefault="002E0FEA" w:rsidP="00E539CE">
            <w:pPr>
              <w:spacing w:after="0" w:line="240" w:lineRule="auto"/>
              <w:jc w:val="center"/>
              <w:rPr>
                <w:sz w:val="20"/>
                <w:szCs w:val="20"/>
              </w:rPr>
            </w:pPr>
            <w:r w:rsidRPr="00A81A4F">
              <w:rPr>
                <w:sz w:val="20"/>
                <w:szCs w:val="20"/>
              </w:rPr>
              <w:t>0.092(0.534)</w:t>
            </w:r>
          </w:p>
        </w:tc>
        <w:tc>
          <w:tcPr>
            <w:tcW w:w="1542" w:type="dxa"/>
            <w:vAlign w:val="center"/>
          </w:tcPr>
          <w:p w14:paraId="23316AEE" w14:textId="77777777" w:rsidR="002E0FEA" w:rsidRPr="00A81A4F" w:rsidRDefault="002E0FEA" w:rsidP="00E539CE">
            <w:pPr>
              <w:spacing w:after="0" w:line="240" w:lineRule="auto"/>
              <w:jc w:val="center"/>
              <w:rPr>
                <w:b/>
                <w:sz w:val="20"/>
                <w:szCs w:val="20"/>
                <w:lang w:val="en-GB" w:eastAsia="en-US"/>
              </w:rPr>
            </w:pPr>
            <w:r w:rsidRPr="00A81A4F">
              <w:rPr>
                <w:sz w:val="20"/>
                <w:szCs w:val="20"/>
              </w:rPr>
              <w:t>-0.064(-0.365)</w:t>
            </w:r>
          </w:p>
        </w:tc>
        <w:tc>
          <w:tcPr>
            <w:tcW w:w="1541" w:type="dxa"/>
            <w:vAlign w:val="center"/>
          </w:tcPr>
          <w:p w14:paraId="39DFDEE3" w14:textId="77777777" w:rsidR="002E0FEA" w:rsidRPr="00A81A4F" w:rsidRDefault="002E0FEA" w:rsidP="00E539CE">
            <w:pPr>
              <w:spacing w:after="0" w:line="240" w:lineRule="auto"/>
              <w:jc w:val="center"/>
              <w:rPr>
                <w:sz w:val="20"/>
                <w:szCs w:val="20"/>
              </w:rPr>
            </w:pPr>
            <w:r w:rsidRPr="00A81A4F">
              <w:rPr>
                <w:sz w:val="20"/>
                <w:szCs w:val="20"/>
              </w:rPr>
              <w:t>0.287(1.842)†</w:t>
            </w:r>
          </w:p>
        </w:tc>
        <w:tc>
          <w:tcPr>
            <w:tcW w:w="1542" w:type="dxa"/>
            <w:vAlign w:val="center"/>
          </w:tcPr>
          <w:p w14:paraId="5C768DAB" w14:textId="77777777" w:rsidR="002E0FEA" w:rsidRPr="00A81A4F" w:rsidRDefault="002E0FEA" w:rsidP="00E539CE">
            <w:pPr>
              <w:spacing w:after="0" w:line="240" w:lineRule="auto"/>
              <w:jc w:val="center"/>
              <w:rPr>
                <w:sz w:val="20"/>
                <w:szCs w:val="20"/>
                <w:lang w:val="en-GB" w:eastAsia="en-US"/>
              </w:rPr>
            </w:pPr>
            <w:r w:rsidRPr="00A81A4F">
              <w:rPr>
                <w:sz w:val="20"/>
                <w:szCs w:val="20"/>
              </w:rPr>
              <w:t>0.193(1.207)</w:t>
            </w:r>
          </w:p>
        </w:tc>
      </w:tr>
      <w:tr w:rsidR="002E0FEA" w:rsidRPr="00A81A4F" w14:paraId="477B7DB2" w14:textId="77777777" w:rsidTr="00620CED">
        <w:tc>
          <w:tcPr>
            <w:tcW w:w="2411" w:type="dxa"/>
            <w:shd w:val="clear" w:color="auto" w:fill="auto"/>
          </w:tcPr>
          <w:p w14:paraId="0323B874"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Foreign ECP</w:t>
            </w:r>
            <w:r w:rsidRPr="00A81A4F">
              <w:rPr>
                <w:sz w:val="20"/>
                <w:szCs w:val="20"/>
                <w:vertAlign w:val="superscript"/>
                <w:lang w:val="en-GB" w:eastAsia="en-US"/>
              </w:rPr>
              <w:t>2</w:t>
            </w:r>
          </w:p>
        </w:tc>
        <w:tc>
          <w:tcPr>
            <w:tcW w:w="1541" w:type="dxa"/>
            <w:vAlign w:val="center"/>
          </w:tcPr>
          <w:p w14:paraId="0C67EA79" w14:textId="77777777" w:rsidR="002E0FEA" w:rsidRPr="00A81A4F" w:rsidRDefault="002E0FEA" w:rsidP="00E539CE">
            <w:pPr>
              <w:spacing w:after="0" w:line="240" w:lineRule="auto"/>
              <w:jc w:val="center"/>
              <w:rPr>
                <w:sz w:val="20"/>
                <w:szCs w:val="20"/>
              </w:rPr>
            </w:pPr>
          </w:p>
        </w:tc>
        <w:tc>
          <w:tcPr>
            <w:tcW w:w="1542" w:type="dxa"/>
            <w:vAlign w:val="center"/>
          </w:tcPr>
          <w:p w14:paraId="099ADD82" w14:textId="77777777" w:rsidR="002E0FEA" w:rsidRPr="00A81A4F" w:rsidRDefault="002E0FEA" w:rsidP="00E539CE">
            <w:pPr>
              <w:spacing w:after="0" w:line="240" w:lineRule="auto"/>
              <w:jc w:val="center"/>
              <w:rPr>
                <w:b/>
                <w:sz w:val="20"/>
                <w:szCs w:val="20"/>
                <w:lang w:val="en-GB" w:eastAsia="en-US"/>
              </w:rPr>
            </w:pPr>
            <w:r w:rsidRPr="00A81A4F">
              <w:rPr>
                <w:sz w:val="20"/>
                <w:szCs w:val="20"/>
              </w:rPr>
              <w:t>-0.004(-0.024)</w:t>
            </w:r>
          </w:p>
        </w:tc>
        <w:tc>
          <w:tcPr>
            <w:tcW w:w="1541" w:type="dxa"/>
            <w:vAlign w:val="center"/>
          </w:tcPr>
          <w:p w14:paraId="15307B84" w14:textId="77777777" w:rsidR="002E0FEA" w:rsidRPr="00A81A4F" w:rsidRDefault="002E0FEA" w:rsidP="00E539CE">
            <w:pPr>
              <w:spacing w:after="0" w:line="240" w:lineRule="auto"/>
              <w:jc w:val="center"/>
              <w:rPr>
                <w:sz w:val="20"/>
                <w:szCs w:val="20"/>
              </w:rPr>
            </w:pPr>
          </w:p>
        </w:tc>
        <w:tc>
          <w:tcPr>
            <w:tcW w:w="1542" w:type="dxa"/>
            <w:vAlign w:val="center"/>
          </w:tcPr>
          <w:p w14:paraId="7FFF437B" w14:textId="77777777" w:rsidR="002E0FEA" w:rsidRPr="00A81A4F" w:rsidRDefault="002E0FEA" w:rsidP="00E539CE">
            <w:pPr>
              <w:spacing w:after="0" w:line="240" w:lineRule="auto"/>
              <w:jc w:val="center"/>
              <w:rPr>
                <w:sz w:val="20"/>
                <w:szCs w:val="20"/>
                <w:lang w:val="en-GB" w:eastAsia="en-US"/>
              </w:rPr>
            </w:pPr>
            <w:r w:rsidRPr="00A81A4F">
              <w:rPr>
                <w:sz w:val="20"/>
                <w:szCs w:val="20"/>
              </w:rPr>
              <w:t>-0.333(-1.608)</w:t>
            </w:r>
          </w:p>
        </w:tc>
        <w:tc>
          <w:tcPr>
            <w:tcW w:w="1541" w:type="dxa"/>
            <w:vAlign w:val="center"/>
          </w:tcPr>
          <w:p w14:paraId="7ECCB865" w14:textId="77777777" w:rsidR="002E0FEA" w:rsidRPr="00A81A4F" w:rsidRDefault="002E0FEA" w:rsidP="00E539CE">
            <w:pPr>
              <w:spacing w:after="0" w:line="240" w:lineRule="auto"/>
              <w:jc w:val="center"/>
              <w:rPr>
                <w:sz w:val="20"/>
                <w:szCs w:val="20"/>
              </w:rPr>
            </w:pPr>
            <w:r w:rsidRPr="00A81A4F">
              <w:rPr>
                <w:sz w:val="20"/>
                <w:szCs w:val="20"/>
              </w:rPr>
              <w:t>-0.371(-2.462)*</w:t>
            </w:r>
          </w:p>
        </w:tc>
        <w:tc>
          <w:tcPr>
            <w:tcW w:w="1542" w:type="dxa"/>
            <w:vAlign w:val="center"/>
          </w:tcPr>
          <w:p w14:paraId="0ECAFE7E" w14:textId="77777777" w:rsidR="002E0FEA" w:rsidRPr="00A81A4F" w:rsidRDefault="002E0FEA" w:rsidP="00E539CE">
            <w:pPr>
              <w:spacing w:after="0" w:line="240" w:lineRule="auto"/>
              <w:jc w:val="center"/>
              <w:rPr>
                <w:b/>
                <w:sz w:val="20"/>
                <w:szCs w:val="20"/>
                <w:lang w:val="en-GB" w:eastAsia="en-US"/>
              </w:rPr>
            </w:pPr>
            <w:r w:rsidRPr="00A81A4F">
              <w:rPr>
                <w:sz w:val="20"/>
                <w:szCs w:val="20"/>
              </w:rPr>
              <w:t>-0.037(-0.217)</w:t>
            </w:r>
          </w:p>
        </w:tc>
        <w:tc>
          <w:tcPr>
            <w:tcW w:w="1541" w:type="dxa"/>
            <w:vAlign w:val="center"/>
          </w:tcPr>
          <w:p w14:paraId="1C91EEBC" w14:textId="77777777" w:rsidR="002E0FEA" w:rsidRPr="00A81A4F" w:rsidRDefault="002E0FEA" w:rsidP="00E539CE">
            <w:pPr>
              <w:spacing w:after="0" w:line="240" w:lineRule="auto"/>
              <w:jc w:val="center"/>
              <w:rPr>
                <w:sz w:val="20"/>
                <w:szCs w:val="20"/>
              </w:rPr>
            </w:pPr>
            <w:r w:rsidRPr="00A81A4F">
              <w:rPr>
                <w:sz w:val="20"/>
                <w:szCs w:val="20"/>
              </w:rPr>
              <w:t>-0.375(-2.767)**</w:t>
            </w:r>
          </w:p>
        </w:tc>
        <w:tc>
          <w:tcPr>
            <w:tcW w:w="1542" w:type="dxa"/>
            <w:vAlign w:val="center"/>
          </w:tcPr>
          <w:p w14:paraId="2580564D" w14:textId="77777777" w:rsidR="002E0FEA" w:rsidRPr="00A81A4F" w:rsidRDefault="002E0FEA" w:rsidP="00E539CE">
            <w:pPr>
              <w:spacing w:after="0" w:line="240" w:lineRule="auto"/>
              <w:jc w:val="center"/>
              <w:rPr>
                <w:sz w:val="20"/>
                <w:szCs w:val="20"/>
                <w:lang w:val="en-GB" w:eastAsia="en-US"/>
              </w:rPr>
            </w:pPr>
            <w:r w:rsidRPr="00A81A4F">
              <w:rPr>
                <w:sz w:val="20"/>
                <w:szCs w:val="20"/>
              </w:rPr>
              <w:t>-0.165(-1.058)</w:t>
            </w:r>
          </w:p>
        </w:tc>
      </w:tr>
      <w:tr w:rsidR="002E0FEA" w:rsidRPr="00A81A4F" w14:paraId="7DC3842F" w14:textId="77777777" w:rsidTr="00620CED">
        <w:tc>
          <w:tcPr>
            <w:tcW w:w="2411" w:type="dxa"/>
            <w:shd w:val="clear" w:color="auto" w:fill="auto"/>
          </w:tcPr>
          <w:p w14:paraId="6791F891"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Interactions</w:t>
            </w:r>
          </w:p>
        </w:tc>
        <w:tc>
          <w:tcPr>
            <w:tcW w:w="1541" w:type="dxa"/>
            <w:vAlign w:val="center"/>
          </w:tcPr>
          <w:p w14:paraId="65F9C9E2"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3AC2E2EE" w14:textId="77777777" w:rsidR="002E0FEA" w:rsidRPr="00A81A4F" w:rsidRDefault="002E0FEA" w:rsidP="00E539CE">
            <w:pPr>
              <w:spacing w:after="0" w:line="240" w:lineRule="auto"/>
              <w:jc w:val="center"/>
              <w:rPr>
                <w:b/>
                <w:sz w:val="20"/>
                <w:szCs w:val="20"/>
                <w:lang w:val="en-GB" w:eastAsia="en-US"/>
              </w:rPr>
            </w:pPr>
          </w:p>
        </w:tc>
        <w:tc>
          <w:tcPr>
            <w:tcW w:w="1541" w:type="dxa"/>
            <w:vAlign w:val="center"/>
          </w:tcPr>
          <w:p w14:paraId="618899A7"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507B89A9" w14:textId="77777777" w:rsidR="002E0FEA" w:rsidRPr="00A81A4F" w:rsidRDefault="002E0FEA" w:rsidP="00E539CE">
            <w:pPr>
              <w:spacing w:after="0" w:line="240" w:lineRule="auto"/>
              <w:jc w:val="center"/>
              <w:rPr>
                <w:b/>
                <w:sz w:val="20"/>
                <w:szCs w:val="20"/>
                <w:lang w:val="en-GB" w:eastAsia="en-US"/>
              </w:rPr>
            </w:pPr>
          </w:p>
        </w:tc>
        <w:tc>
          <w:tcPr>
            <w:tcW w:w="1541" w:type="dxa"/>
            <w:vAlign w:val="center"/>
          </w:tcPr>
          <w:p w14:paraId="2E5D0B1C"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42800E88" w14:textId="77777777" w:rsidR="002E0FEA" w:rsidRPr="00A81A4F" w:rsidRDefault="002E0FEA" w:rsidP="00E539CE">
            <w:pPr>
              <w:spacing w:after="0" w:line="240" w:lineRule="auto"/>
              <w:jc w:val="center"/>
              <w:rPr>
                <w:b/>
                <w:sz w:val="20"/>
                <w:szCs w:val="20"/>
                <w:lang w:val="en-GB" w:eastAsia="en-US"/>
              </w:rPr>
            </w:pPr>
          </w:p>
        </w:tc>
        <w:tc>
          <w:tcPr>
            <w:tcW w:w="1541" w:type="dxa"/>
            <w:vAlign w:val="center"/>
          </w:tcPr>
          <w:p w14:paraId="45BA5DAF" w14:textId="77777777" w:rsidR="002E0FEA" w:rsidRPr="00A81A4F" w:rsidRDefault="002E0FEA" w:rsidP="00E539CE">
            <w:pPr>
              <w:spacing w:after="0" w:line="240" w:lineRule="auto"/>
              <w:jc w:val="center"/>
              <w:rPr>
                <w:b/>
                <w:sz w:val="20"/>
                <w:szCs w:val="20"/>
                <w:lang w:val="en-GB" w:eastAsia="en-US"/>
              </w:rPr>
            </w:pPr>
          </w:p>
        </w:tc>
        <w:tc>
          <w:tcPr>
            <w:tcW w:w="1542" w:type="dxa"/>
            <w:shd w:val="clear" w:color="auto" w:fill="auto"/>
            <w:vAlign w:val="center"/>
          </w:tcPr>
          <w:p w14:paraId="19A8DA18" w14:textId="77777777" w:rsidR="002E0FEA" w:rsidRPr="00A81A4F" w:rsidRDefault="002E0FEA" w:rsidP="00E539CE">
            <w:pPr>
              <w:spacing w:after="0" w:line="240" w:lineRule="auto"/>
              <w:jc w:val="center"/>
              <w:rPr>
                <w:b/>
                <w:sz w:val="20"/>
                <w:szCs w:val="20"/>
                <w:lang w:val="en-GB" w:eastAsia="en-US"/>
              </w:rPr>
            </w:pPr>
          </w:p>
        </w:tc>
      </w:tr>
      <w:tr w:rsidR="002E0FEA" w:rsidRPr="00A81A4F" w14:paraId="25C89EAF" w14:textId="77777777" w:rsidTr="00620CED">
        <w:tc>
          <w:tcPr>
            <w:tcW w:w="2411" w:type="dxa"/>
            <w:shd w:val="clear" w:color="auto" w:fill="auto"/>
          </w:tcPr>
          <w:p w14:paraId="50B30B7D"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ERP</w:t>
            </w:r>
          </w:p>
        </w:tc>
        <w:tc>
          <w:tcPr>
            <w:tcW w:w="1541" w:type="dxa"/>
            <w:vAlign w:val="center"/>
          </w:tcPr>
          <w:p w14:paraId="7FCCA388" w14:textId="77777777" w:rsidR="002E0FEA" w:rsidRPr="00A81A4F" w:rsidRDefault="002E0FEA" w:rsidP="00E539CE">
            <w:pPr>
              <w:spacing w:after="0" w:line="240" w:lineRule="auto"/>
              <w:jc w:val="center"/>
              <w:rPr>
                <w:sz w:val="20"/>
                <w:szCs w:val="20"/>
              </w:rPr>
            </w:pPr>
            <w:r w:rsidRPr="00A81A4F">
              <w:rPr>
                <w:sz w:val="20"/>
                <w:szCs w:val="20"/>
              </w:rPr>
              <w:t>-0.152(-1.104)</w:t>
            </w:r>
          </w:p>
        </w:tc>
        <w:tc>
          <w:tcPr>
            <w:tcW w:w="1542" w:type="dxa"/>
            <w:vAlign w:val="center"/>
          </w:tcPr>
          <w:p w14:paraId="68AA928A" w14:textId="77777777" w:rsidR="002E0FEA" w:rsidRPr="00A81A4F" w:rsidRDefault="002E0FEA" w:rsidP="00E539CE">
            <w:pPr>
              <w:spacing w:after="0" w:line="240" w:lineRule="auto"/>
              <w:jc w:val="center"/>
              <w:rPr>
                <w:sz w:val="20"/>
                <w:szCs w:val="20"/>
                <w:lang w:val="en-GB" w:eastAsia="en-US"/>
              </w:rPr>
            </w:pPr>
            <w:r w:rsidRPr="00A81A4F">
              <w:rPr>
                <w:sz w:val="20"/>
                <w:szCs w:val="20"/>
              </w:rPr>
              <w:t>-0.149(-0.869)</w:t>
            </w:r>
          </w:p>
        </w:tc>
        <w:tc>
          <w:tcPr>
            <w:tcW w:w="1541" w:type="dxa"/>
            <w:vAlign w:val="center"/>
          </w:tcPr>
          <w:p w14:paraId="72C494F7" w14:textId="77777777" w:rsidR="002E0FEA" w:rsidRPr="00A81A4F" w:rsidRDefault="002E0FEA" w:rsidP="00E539CE">
            <w:pPr>
              <w:spacing w:after="0" w:line="240" w:lineRule="auto"/>
              <w:jc w:val="center"/>
              <w:rPr>
                <w:sz w:val="20"/>
                <w:szCs w:val="20"/>
              </w:rPr>
            </w:pPr>
            <w:r w:rsidRPr="00A81A4F">
              <w:rPr>
                <w:sz w:val="20"/>
                <w:szCs w:val="20"/>
              </w:rPr>
              <w:t>-0.357(-1.925)†</w:t>
            </w:r>
          </w:p>
        </w:tc>
        <w:tc>
          <w:tcPr>
            <w:tcW w:w="1542" w:type="dxa"/>
            <w:vAlign w:val="center"/>
          </w:tcPr>
          <w:p w14:paraId="7A93C9F4" w14:textId="77777777" w:rsidR="002E0FEA" w:rsidRPr="00A81A4F" w:rsidRDefault="002E0FEA" w:rsidP="00E539CE">
            <w:pPr>
              <w:spacing w:after="0" w:line="240" w:lineRule="auto"/>
              <w:jc w:val="center"/>
              <w:rPr>
                <w:sz w:val="20"/>
                <w:szCs w:val="20"/>
                <w:lang w:val="en-GB" w:eastAsia="en-US"/>
              </w:rPr>
            </w:pPr>
            <w:r w:rsidRPr="00A81A4F">
              <w:rPr>
                <w:sz w:val="20"/>
                <w:szCs w:val="20"/>
              </w:rPr>
              <w:t>-0.324(-1.412)</w:t>
            </w:r>
          </w:p>
        </w:tc>
        <w:tc>
          <w:tcPr>
            <w:tcW w:w="1541" w:type="dxa"/>
            <w:vAlign w:val="center"/>
          </w:tcPr>
          <w:p w14:paraId="12B78A28" w14:textId="77777777" w:rsidR="002E0FEA" w:rsidRPr="00A81A4F" w:rsidRDefault="002E0FEA" w:rsidP="00E539CE">
            <w:pPr>
              <w:spacing w:after="0" w:line="240" w:lineRule="auto"/>
              <w:jc w:val="center"/>
              <w:rPr>
                <w:sz w:val="20"/>
                <w:szCs w:val="20"/>
              </w:rPr>
            </w:pPr>
          </w:p>
        </w:tc>
        <w:tc>
          <w:tcPr>
            <w:tcW w:w="1542" w:type="dxa"/>
            <w:vAlign w:val="center"/>
          </w:tcPr>
          <w:p w14:paraId="263BE564" w14:textId="77777777" w:rsidR="002E0FEA" w:rsidRPr="00A81A4F" w:rsidRDefault="002E0FEA" w:rsidP="00E539CE">
            <w:pPr>
              <w:spacing w:after="0" w:line="240" w:lineRule="auto"/>
              <w:jc w:val="center"/>
              <w:rPr>
                <w:rFonts w:cs="Calibri"/>
                <w:sz w:val="20"/>
                <w:szCs w:val="20"/>
                <w:lang w:val="en-GB" w:eastAsia="en-US"/>
              </w:rPr>
            </w:pPr>
            <w:r w:rsidRPr="00A81A4F">
              <w:rPr>
                <w:sz w:val="20"/>
                <w:szCs w:val="20"/>
              </w:rPr>
              <w:t>0.209(1.110)</w:t>
            </w:r>
          </w:p>
        </w:tc>
        <w:tc>
          <w:tcPr>
            <w:tcW w:w="1541" w:type="dxa"/>
            <w:vAlign w:val="center"/>
          </w:tcPr>
          <w:p w14:paraId="62DC0465" w14:textId="77777777" w:rsidR="002E0FEA" w:rsidRPr="00A81A4F" w:rsidRDefault="002E0FEA" w:rsidP="00E539CE">
            <w:pPr>
              <w:spacing w:after="0" w:line="240" w:lineRule="auto"/>
              <w:jc w:val="center"/>
              <w:rPr>
                <w:sz w:val="20"/>
                <w:szCs w:val="20"/>
              </w:rPr>
            </w:pPr>
          </w:p>
        </w:tc>
        <w:tc>
          <w:tcPr>
            <w:tcW w:w="1542" w:type="dxa"/>
            <w:vAlign w:val="center"/>
          </w:tcPr>
          <w:p w14:paraId="2DA17314" w14:textId="77777777" w:rsidR="002E0FEA" w:rsidRPr="00A81A4F" w:rsidRDefault="002E0FEA" w:rsidP="00E539CE">
            <w:pPr>
              <w:spacing w:after="0" w:line="240" w:lineRule="auto"/>
              <w:jc w:val="center"/>
              <w:rPr>
                <w:sz w:val="20"/>
                <w:szCs w:val="20"/>
                <w:lang w:val="en-GB" w:eastAsia="en-US"/>
              </w:rPr>
            </w:pPr>
            <w:r w:rsidRPr="00A81A4F">
              <w:rPr>
                <w:sz w:val="20"/>
                <w:szCs w:val="20"/>
              </w:rPr>
              <w:t>0.154(0.890)</w:t>
            </w:r>
          </w:p>
        </w:tc>
      </w:tr>
      <w:tr w:rsidR="002E0FEA" w:rsidRPr="00A81A4F" w14:paraId="34FE0617" w14:textId="77777777" w:rsidTr="00620CED">
        <w:tc>
          <w:tcPr>
            <w:tcW w:w="2411" w:type="dxa"/>
            <w:shd w:val="clear" w:color="auto" w:fill="auto"/>
          </w:tcPr>
          <w:p w14:paraId="1C7C5FF1"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ERP</w:t>
            </w:r>
            <w:r w:rsidRPr="00A81A4F">
              <w:rPr>
                <w:sz w:val="20"/>
                <w:szCs w:val="20"/>
                <w:vertAlign w:val="superscript"/>
                <w:lang w:val="en-GB" w:eastAsia="en-US"/>
              </w:rPr>
              <w:t>2</w:t>
            </w:r>
          </w:p>
        </w:tc>
        <w:tc>
          <w:tcPr>
            <w:tcW w:w="1541" w:type="dxa"/>
            <w:vAlign w:val="center"/>
          </w:tcPr>
          <w:p w14:paraId="6A795526" w14:textId="77777777" w:rsidR="002E0FEA" w:rsidRPr="00A81A4F" w:rsidRDefault="002E0FEA" w:rsidP="00E539CE">
            <w:pPr>
              <w:spacing w:after="0" w:line="240" w:lineRule="auto"/>
              <w:jc w:val="center"/>
              <w:rPr>
                <w:sz w:val="20"/>
                <w:szCs w:val="20"/>
              </w:rPr>
            </w:pPr>
            <w:r w:rsidRPr="00A81A4F">
              <w:rPr>
                <w:sz w:val="20"/>
                <w:szCs w:val="20"/>
              </w:rPr>
              <w:t>-0.121(-3.274)**</w:t>
            </w:r>
          </w:p>
        </w:tc>
        <w:tc>
          <w:tcPr>
            <w:tcW w:w="1542" w:type="dxa"/>
            <w:vAlign w:val="center"/>
          </w:tcPr>
          <w:p w14:paraId="4BC48046" w14:textId="77777777" w:rsidR="002E0FEA" w:rsidRPr="00A81A4F" w:rsidRDefault="002E0FEA" w:rsidP="00E539CE">
            <w:pPr>
              <w:spacing w:after="0" w:line="240" w:lineRule="auto"/>
              <w:jc w:val="center"/>
              <w:rPr>
                <w:sz w:val="20"/>
                <w:szCs w:val="20"/>
                <w:lang w:val="en-GB" w:eastAsia="en-US"/>
              </w:rPr>
            </w:pPr>
            <w:r w:rsidRPr="00A81A4F">
              <w:rPr>
                <w:sz w:val="20"/>
                <w:szCs w:val="20"/>
              </w:rPr>
              <w:t>-0.120(-2.905)**</w:t>
            </w:r>
          </w:p>
        </w:tc>
        <w:tc>
          <w:tcPr>
            <w:tcW w:w="1541" w:type="dxa"/>
            <w:vAlign w:val="center"/>
          </w:tcPr>
          <w:p w14:paraId="4C79E5BB" w14:textId="77777777" w:rsidR="002E0FEA" w:rsidRPr="00A81A4F" w:rsidRDefault="002E0FEA" w:rsidP="00E539CE">
            <w:pPr>
              <w:spacing w:after="0" w:line="240" w:lineRule="auto"/>
              <w:jc w:val="center"/>
              <w:rPr>
                <w:sz w:val="20"/>
                <w:szCs w:val="20"/>
              </w:rPr>
            </w:pPr>
            <w:r w:rsidRPr="00A81A4F">
              <w:rPr>
                <w:sz w:val="20"/>
                <w:szCs w:val="20"/>
              </w:rPr>
              <w:t>-0.155(-3.100)**</w:t>
            </w:r>
          </w:p>
        </w:tc>
        <w:tc>
          <w:tcPr>
            <w:tcW w:w="1542" w:type="dxa"/>
            <w:vAlign w:val="center"/>
          </w:tcPr>
          <w:p w14:paraId="7B6F0AC6" w14:textId="77777777" w:rsidR="002E0FEA" w:rsidRPr="00A81A4F" w:rsidRDefault="002E0FEA" w:rsidP="00E539CE">
            <w:pPr>
              <w:spacing w:after="0" w:line="240" w:lineRule="auto"/>
              <w:jc w:val="center"/>
              <w:rPr>
                <w:sz w:val="20"/>
                <w:szCs w:val="20"/>
                <w:lang w:val="en-GB" w:eastAsia="en-US"/>
              </w:rPr>
            </w:pPr>
            <w:r w:rsidRPr="00A81A4F">
              <w:rPr>
                <w:sz w:val="20"/>
                <w:szCs w:val="20"/>
              </w:rPr>
              <w:t>-0.132(-2.388)*</w:t>
            </w:r>
          </w:p>
        </w:tc>
        <w:tc>
          <w:tcPr>
            <w:tcW w:w="1541" w:type="dxa"/>
            <w:vAlign w:val="center"/>
          </w:tcPr>
          <w:p w14:paraId="6DFD57F2" w14:textId="77777777" w:rsidR="002E0FEA" w:rsidRPr="00A81A4F" w:rsidRDefault="002E0FEA" w:rsidP="00E539CE">
            <w:pPr>
              <w:spacing w:after="0" w:line="240" w:lineRule="auto"/>
              <w:jc w:val="center"/>
              <w:rPr>
                <w:sz w:val="20"/>
                <w:szCs w:val="20"/>
              </w:rPr>
            </w:pPr>
          </w:p>
        </w:tc>
        <w:tc>
          <w:tcPr>
            <w:tcW w:w="1542" w:type="dxa"/>
            <w:vAlign w:val="center"/>
          </w:tcPr>
          <w:p w14:paraId="2B23CF3C" w14:textId="77777777" w:rsidR="002E0FEA" w:rsidRPr="00A81A4F" w:rsidRDefault="002E0FEA" w:rsidP="00E539CE">
            <w:pPr>
              <w:spacing w:after="0" w:line="240" w:lineRule="auto"/>
              <w:jc w:val="center"/>
              <w:rPr>
                <w:rFonts w:cs="Calibri"/>
                <w:sz w:val="20"/>
                <w:szCs w:val="20"/>
                <w:lang w:val="en-GB" w:eastAsia="en-US"/>
              </w:rPr>
            </w:pPr>
            <w:r w:rsidRPr="00A81A4F">
              <w:rPr>
                <w:sz w:val="20"/>
                <w:szCs w:val="20"/>
              </w:rPr>
              <w:t>-0.048(-1.056)</w:t>
            </w:r>
          </w:p>
        </w:tc>
        <w:tc>
          <w:tcPr>
            <w:tcW w:w="1541" w:type="dxa"/>
            <w:vAlign w:val="center"/>
          </w:tcPr>
          <w:p w14:paraId="17D1EF11" w14:textId="77777777" w:rsidR="002E0FEA" w:rsidRPr="00A81A4F" w:rsidRDefault="002E0FEA" w:rsidP="00E539CE">
            <w:pPr>
              <w:spacing w:after="0" w:line="240" w:lineRule="auto"/>
              <w:jc w:val="center"/>
              <w:rPr>
                <w:sz w:val="20"/>
                <w:szCs w:val="20"/>
              </w:rPr>
            </w:pPr>
          </w:p>
        </w:tc>
        <w:tc>
          <w:tcPr>
            <w:tcW w:w="1542" w:type="dxa"/>
            <w:vAlign w:val="center"/>
          </w:tcPr>
          <w:p w14:paraId="6BCD107A" w14:textId="77777777" w:rsidR="002E0FEA" w:rsidRPr="00A81A4F" w:rsidRDefault="002E0FEA" w:rsidP="00E539CE">
            <w:pPr>
              <w:spacing w:after="0" w:line="240" w:lineRule="auto"/>
              <w:jc w:val="center"/>
              <w:rPr>
                <w:sz w:val="20"/>
                <w:szCs w:val="20"/>
                <w:lang w:val="en-GB" w:eastAsia="en-US"/>
              </w:rPr>
            </w:pPr>
            <w:r w:rsidRPr="00A81A4F">
              <w:rPr>
                <w:sz w:val="20"/>
                <w:szCs w:val="20"/>
              </w:rPr>
              <w:t>-0.038(-0.904)</w:t>
            </w:r>
          </w:p>
        </w:tc>
      </w:tr>
      <w:tr w:rsidR="002E0FEA" w:rsidRPr="00A81A4F" w14:paraId="174B90EB" w14:textId="77777777" w:rsidTr="00620CED">
        <w:tc>
          <w:tcPr>
            <w:tcW w:w="2411" w:type="dxa"/>
            <w:shd w:val="clear" w:color="auto" w:fill="auto"/>
          </w:tcPr>
          <w:p w14:paraId="103C7E3E"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ECP</w:t>
            </w:r>
          </w:p>
        </w:tc>
        <w:tc>
          <w:tcPr>
            <w:tcW w:w="1541" w:type="dxa"/>
            <w:vAlign w:val="center"/>
          </w:tcPr>
          <w:p w14:paraId="7BC3DAD9" w14:textId="77777777" w:rsidR="002E0FEA" w:rsidRPr="00A81A4F" w:rsidRDefault="002E0FEA" w:rsidP="00E539CE">
            <w:pPr>
              <w:spacing w:after="0" w:line="240" w:lineRule="auto"/>
              <w:jc w:val="center"/>
              <w:rPr>
                <w:sz w:val="20"/>
                <w:szCs w:val="20"/>
              </w:rPr>
            </w:pPr>
          </w:p>
        </w:tc>
        <w:tc>
          <w:tcPr>
            <w:tcW w:w="1542" w:type="dxa"/>
            <w:vAlign w:val="center"/>
          </w:tcPr>
          <w:p w14:paraId="23AFBE3B" w14:textId="77777777" w:rsidR="002E0FEA" w:rsidRPr="00A81A4F" w:rsidRDefault="002E0FEA" w:rsidP="00E539CE">
            <w:pPr>
              <w:spacing w:after="0" w:line="240" w:lineRule="auto"/>
              <w:jc w:val="center"/>
              <w:rPr>
                <w:sz w:val="20"/>
                <w:szCs w:val="20"/>
                <w:lang w:val="en-GB" w:eastAsia="en-US"/>
              </w:rPr>
            </w:pPr>
            <w:r w:rsidRPr="00A81A4F">
              <w:rPr>
                <w:sz w:val="20"/>
                <w:szCs w:val="20"/>
              </w:rPr>
              <w:t>-0.077(-0.388)</w:t>
            </w:r>
          </w:p>
        </w:tc>
        <w:tc>
          <w:tcPr>
            <w:tcW w:w="1541" w:type="dxa"/>
            <w:vAlign w:val="center"/>
          </w:tcPr>
          <w:p w14:paraId="2821999A" w14:textId="77777777" w:rsidR="002E0FEA" w:rsidRPr="00A81A4F" w:rsidRDefault="002E0FEA" w:rsidP="00E539CE">
            <w:pPr>
              <w:spacing w:after="0" w:line="240" w:lineRule="auto"/>
              <w:jc w:val="center"/>
              <w:rPr>
                <w:sz w:val="20"/>
                <w:szCs w:val="20"/>
              </w:rPr>
            </w:pPr>
          </w:p>
        </w:tc>
        <w:tc>
          <w:tcPr>
            <w:tcW w:w="1542" w:type="dxa"/>
            <w:vAlign w:val="center"/>
          </w:tcPr>
          <w:p w14:paraId="2C0E7D51" w14:textId="77777777" w:rsidR="002E0FEA" w:rsidRPr="00A81A4F" w:rsidRDefault="002E0FEA" w:rsidP="00E539CE">
            <w:pPr>
              <w:spacing w:after="0" w:line="240" w:lineRule="auto"/>
              <w:jc w:val="center"/>
              <w:rPr>
                <w:sz w:val="20"/>
                <w:szCs w:val="20"/>
                <w:lang w:val="en-GB" w:eastAsia="en-US"/>
              </w:rPr>
            </w:pPr>
            <w:r w:rsidRPr="00A81A4F">
              <w:rPr>
                <w:sz w:val="20"/>
                <w:szCs w:val="20"/>
              </w:rPr>
              <w:t>0.055(0.206)</w:t>
            </w:r>
          </w:p>
        </w:tc>
        <w:tc>
          <w:tcPr>
            <w:tcW w:w="1541" w:type="dxa"/>
            <w:vAlign w:val="center"/>
          </w:tcPr>
          <w:p w14:paraId="42EA5422" w14:textId="77777777" w:rsidR="002E0FEA" w:rsidRPr="00A81A4F" w:rsidRDefault="002E0FEA" w:rsidP="00E539CE">
            <w:pPr>
              <w:spacing w:after="0" w:line="240" w:lineRule="auto"/>
              <w:jc w:val="center"/>
              <w:rPr>
                <w:sz w:val="20"/>
                <w:szCs w:val="20"/>
              </w:rPr>
            </w:pPr>
            <w:r w:rsidRPr="00A81A4F">
              <w:rPr>
                <w:sz w:val="20"/>
                <w:szCs w:val="20"/>
              </w:rPr>
              <w:t>-0.118(-0.643)</w:t>
            </w:r>
          </w:p>
        </w:tc>
        <w:tc>
          <w:tcPr>
            <w:tcW w:w="1542" w:type="dxa"/>
            <w:vAlign w:val="center"/>
          </w:tcPr>
          <w:p w14:paraId="32AA6FAC" w14:textId="77777777" w:rsidR="002E0FEA" w:rsidRPr="00A81A4F" w:rsidRDefault="002E0FEA" w:rsidP="00E539CE">
            <w:pPr>
              <w:spacing w:after="0" w:line="240" w:lineRule="auto"/>
              <w:jc w:val="center"/>
              <w:rPr>
                <w:rFonts w:cs="Calibri"/>
                <w:sz w:val="20"/>
                <w:szCs w:val="20"/>
                <w:lang w:val="en-GB" w:eastAsia="en-US"/>
              </w:rPr>
            </w:pPr>
            <w:r w:rsidRPr="00A81A4F">
              <w:rPr>
                <w:sz w:val="20"/>
                <w:szCs w:val="20"/>
              </w:rPr>
              <w:t>-0.553(-2.529)*</w:t>
            </w:r>
          </w:p>
        </w:tc>
        <w:tc>
          <w:tcPr>
            <w:tcW w:w="1541" w:type="dxa"/>
            <w:vAlign w:val="center"/>
          </w:tcPr>
          <w:p w14:paraId="4F8AF2B9" w14:textId="77777777" w:rsidR="002E0FEA" w:rsidRPr="00A81A4F" w:rsidRDefault="002E0FEA" w:rsidP="00E539CE">
            <w:pPr>
              <w:spacing w:after="0" w:line="240" w:lineRule="auto"/>
              <w:jc w:val="center"/>
              <w:rPr>
                <w:sz w:val="20"/>
                <w:szCs w:val="20"/>
              </w:rPr>
            </w:pPr>
            <w:r w:rsidRPr="00A81A4F">
              <w:rPr>
                <w:sz w:val="20"/>
                <w:szCs w:val="20"/>
              </w:rPr>
              <w:t>-0.166(-1.002)</w:t>
            </w:r>
          </w:p>
        </w:tc>
        <w:tc>
          <w:tcPr>
            <w:tcW w:w="1542" w:type="dxa"/>
            <w:vAlign w:val="center"/>
          </w:tcPr>
          <w:p w14:paraId="208E89DC" w14:textId="77777777" w:rsidR="002E0FEA" w:rsidRPr="00A81A4F" w:rsidRDefault="002E0FEA" w:rsidP="00E539CE">
            <w:pPr>
              <w:spacing w:after="0" w:line="240" w:lineRule="auto"/>
              <w:jc w:val="center"/>
              <w:rPr>
                <w:sz w:val="20"/>
                <w:szCs w:val="20"/>
                <w:lang w:val="en-GB" w:eastAsia="en-US"/>
              </w:rPr>
            </w:pPr>
            <w:r w:rsidRPr="00A81A4F">
              <w:rPr>
                <w:sz w:val="20"/>
                <w:szCs w:val="20"/>
              </w:rPr>
              <w:t>-0.486(-2.427)*</w:t>
            </w:r>
          </w:p>
        </w:tc>
      </w:tr>
      <w:tr w:rsidR="002E0FEA" w:rsidRPr="00A81A4F" w14:paraId="21E21B57" w14:textId="77777777" w:rsidTr="00620CED">
        <w:tc>
          <w:tcPr>
            <w:tcW w:w="2411" w:type="dxa"/>
            <w:tcBorders>
              <w:bottom w:val="nil"/>
            </w:tcBorders>
            <w:shd w:val="clear" w:color="auto" w:fill="auto"/>
          </w:tcPr>
          <w:p w14:paraId="49035299" w14:textId="77777777" w:rsidR="002E0FEA" w:rsidRPr="00A81A4F" w:rsidRDefault="002E0FEA" w:rsidP="00E539CE">
            <w:pPr>
              <w:spacing w:after="0" w:line="240" w:lineRule="auto"/>
              <w:jc w:val="both"/>
              <w:rPr>
                <w:sz w:val="20"/>
                <w:szCs w:val="20"/>
                <w:lang w:val="en-GB" w:eastAsia="en-US"/>
              </w:rPr>
            </w:pPr>
            <w:r w:rsidRPr="00A81A4F">
              <w:rPr>
                <w:sz w:val="20"/>
                <w:szCs w:val="20"/>
                <w:lang w:val="en-GB" w:eastAsia="en-US"/>
              </w:rPr>
              <w:t>PES x Foreign ECP</w:t>
            </w:r>
            <w:r w:rsidRPr="00A81A4F">
              <w:rPr>
                <w:sz w:val="20"/>
                <w:szCs w:val="20"/>
                <w:vertAlign w:val="superscript"/>
                <w:lang w:val="en-GB" w:eastAsia="en-US"/>
              </w:rPr>
              <w:t>2</w:t>
            </w:r>
          </w:p>
        </w:tc>
        <w:tc>
          <w:tcPr>
            <w:tcW w:w="1541" w:type="dxa"/>
            <w:tcBorders>
              <w:bottom w:val="nil"/>
            </w:tcBorders>
            <w:vAlign w:val="center"/>
          </w:tcPr>
          <w:p w14:paraId="1F849F83" w14:textId="77777777" w:rsidR="002E0FEA" w:rsidRPr="00A81A4F" w:rsidRDefault="002E0FEA" w:rsidP="00E539CE">
            <w:pPr>
              <w:spacing w:after="0" w:line="240" w:lineRule="auto"/>
              <w:jc w:val="center"/>
              <w:rPr>
                <w:sz w:val="20"/>
                <w:szCs w:val="20"/>
              </w:rPr>
            </w:pPr>
          </w:p>
        </w:tc>
        <w:tc>
          <w:tcPr>
            <w:tcW w:w="1542" w:type="dxa"/>
            <w:tcBorders>
              <w:bottom w:val="nil"/>
            </w:tcBorders>
            <w:vAlign w:val="center"/>
          </w:tcPr>
          <w:p w14:paraId="3DE81598" w14:textId="77777777" w:rsidR="002E0FEA" w:rsidRPr="00A81A4F" w:rsidRDefault="002E0FEA" w:rsidP="00E539CE">
            <w:pPr>
              <w:spacing w:after="0" w:line="240" w:lineRule="auto"/>
              <w:jc w:val="center"/>
              <w:rPr>
                <w:sz w:val="20"/>
                <w:szCs w:val="20"/>
                <w:lang w:val="en-GB" w:eastAsia="en-US"/>
              </w:rPr>
            </w:pPr>
            <w:r w:rsidRPr="00A81A4F">
              <w:rPr>
                <w:sz w:val="20"/>
                <w:szCs w:val="20"/>
              </w:rPr>
              <w:t>-0.077(-0.796)</w:t>
            </w:r>
          </w:p>
        </w:tc>
        <w:tc>
          <w:tcPr>
            <w:tcW w:w="1541" w:type="dxa"/>
            <w:tcBorders>
              <w:bottom w:val="nil"/>
            </w:tcBorders>
            <w:vAlign w:val="center"/>
          </w:tcPr>
          <w:p w14:paraId="0B913A1E" w14:textId="77777777" w:rsidR="002E0FEA" w:rsidRPr="00A81A4F" w:rsidRDefault="002E0FEA" w:rsidP="00E539CE">
            <w:pPr>
              <w:spacing w:after="0" w:line="240" w:lineRule="auto"/>
              <w:jc w:val="center"/>
              <w:rPr>
                <w:sz w:val="20"/>
                <w:szCs w:val="20"/>
              </w:rPr>
            </w:pPr>
          </w:p>
        </w:tc>
        <w:tc>
          <w:tcPr>
            <w:tcW w:w="1542" w:type="dxa"/>
            <w:tcBorders>
              <w:bottom w:val="nil"/>
            </w:tcBorders>
            <w:vAlign w:val="center"/>
          </w:tcPr>
          <w:p w14:paraId="5D6F58D4" w14:textId="77777777" w:rsidR="002E0FEA" w:rsidRPr="00A81A4F" w:rsidRDefault="002E0FEA" w:rsidP="00E539CE">
            <w:pPr>
              <w:spacing w:after="0" w:line="240" w:lineRule="auto"/>
              <w:jc w:val="center"/>
              <w:rPr>
                <w:sz w:val="20"/>
                <w:szCs w:val="20"/>
                <w:lang w:val="en-GB" w:eastAsia="en-US"/>
              </w:rPr>
            </w:pPr>
            <w:r w:rsidRPr="00A81A4F">
              <w:rPr>
                <w:sz w:val="20"/>
                <w:szCs w:val="20"/>
              </w:rPr>
              <w:t>-0.167(-1.288)</w:t>
            </w:r>
          </w:p>
        </w:tc>
        <w:tc>
          <w:tcPr>
            <w:tcW w:w="1541" w:type="dxa"/>
            <w:tcBorders>
              <w:bottom w:val="nil"/>
            </w:tcBorders>
            <w:vAlign w:val="center"/>
          </w:tcPr>
          <w:p w14:paraId="13AFA53E" w14:textId="77777777" w:rsidR="002E0FEA" w:rsidRPr="00A81A4F" w:rsidRDefault="002E0FEA" w:rsidP="00E539CE">
            <w:pPr>
              <w:spacing w:after="0" w:line="240" w:lineRule="auto"/>
              <w:jc w:val="center"/>
              <w:rPr>
                <w:sz w:val="20"/>
                <w:szCs w:val="20"/>
              </w:rPr>
            </w:pPr>
            <w:r w:rsidRPr="00A81A4F">
              <w:rPr>
                <w:sz w:val="20"/>
                <w:szCs w:val="20"/>
              </w:rPr>
              <w:t>-0.167(-1.539)</w:t>
            </w:r>
          </w:p>
        </w:tc>
        <w:tc>
          <w:tcPr>
            <w:tcW w:w="1542" w:type="dxa"/>
            <w:tcBorders>
              <w:bottom w:val="nil"/>
            </w:tcBorders>
            <w:vAlign w:val="center"/>
          </w:tcPr>
          <w:p w14:paraId="54630866" w14:textId="77777777" w:rsidR="002E0FEA" w:rsidRPr="00A81A4F" w:rsidRDefault="002E0FEA" w:rsidP="00E539CE">
            <w:pPr>
              <w:spacing w:after="0" w:line="240" w:lineRule="auto"/>
              <w:jc w:val="center"/>
              <w:rPr>
                <w:rFonts w:cs="Calibri"/>
                <w:sz w:val="20"/>
                <w:szCs w:val="20"/>
                <w:lang w:val="en-GB" w:eastAsia="en-US"/>
              </w:rPr>
            </w:pPr>
            <w:r w:rsidRPr="00A81A4F">
              <w:rPr>
                <w:sz w:val="20"/>
                <w:szCs w:val="20"/>
              </w:rPr>
              <w:t>-0.112(-1.043)</w:t>
            </w:r>
          </w:p>
        </w:tc>
        <w:tc>
          <w:tcPr>
            <w:tcW w:w="1541" w:type="dxa"/>
            <w:tcBorders>
              <w:bottom w:val="nil"/>
            </w:tcBorders>
            <w:vAlign w:val="center"/>
          </w:tcPr>
          <w:p w14:paraId="764618D4" w14:textId="77777777" w:rsidR="002E0FEA" w:rsidRPr="00A81A4F" w:rsidRDefault="002E0FEA" w:rsidP="00E539CE">
            <w:pPr>
              <w:spacing w:after="0" w:line="240" w:lineRule="auto"/>
              <w:jc w:val="center"/>
              <w:rPr>
                <w:sz w:val="20"/>
                <w:szCs w:val="20"/>
              </w:rPr>
            </w:pPr>
            <w:r w:rsidRPr="00A81A4F">
              <w:rPr>
                <w:sz w:val="20"/>
                <w:szCs w:val="20"/>
              </w:rPr>
              <w:t>-0.305(-3.126)**</w:t>
            </w:r>
          </w:p>
        </w:tc>
        <w:tc>
          <w:tcPr>
            <w:tcW w:w="1542" w:type="dxa"/>
            <w:tcBorders>
              <w:bottom w:val="nil"/>
            </w:tcBorders>
            <w:vAlign w:val="center"/>
          </w:tcPr>
          <w:p w14:paraId="7A336CCE" w14:textId="77777777" w:rsidR="002E0FEA" w:rsidRPr="00A81A4F" w:rsidRDefault="002E0FEA" w:rsidP="00E539CE">
            <w:pPr>
              <w:spacing w:after="0" w:line="240" w:lineRule="auto"/>
              <w:jc w:val="center"/>
              <w:rPr>
                <w:sz w:val="20"/>
                <w:szCs w:val="20"/>
                <w:lang w:val="en-GB" w:eastAsia="en-US"/>
              </w:rPr>
            </w:pPr>
            <w:r w:rsidRPr="00A81A4F">
              <w:rPr>
                <w:sz w:val="20"/>
                <w:szCs w:val="20"/>
              </w:rPr>
              <w:t>-0.278(-2.838)**</w:t>
            </w:r>
          </w:p>
        </w:tc>
      </w:tr>
      <w:tr w:rsidR="002E0FEA" w:rsidRPr="00A81A4F" w14:paraId="67D82A70" w14:textId="77777777" w:rsidTr="00620CED">
        <w:tc>
          <w:tcPr>
            <w:tcW w:w="2411" w:type="dxa"/>
            <w:tcBorders>
              <w:top w:val="nil"/>
              <w:bottom w:val="single" w:sz="4" w:space="0" w:color="auto"/>
            </w:tcBorders>
            <w:shd w:val="clear" w:color="auto" w:fill="auto"/>
          </w:tcPr>
          <w:p w14:paraId="7A3F9FDC"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Intercept</w:t>
            </w:r>
          </w:p>
        </w:tc>
        <w:tc>
          <w:tcPr>
            <w:tcW w:w="1541" w:type="dxa"/>
            <w:tcBorders>
              <w:top w:val="nil"/>
              <w:bottom w:val="single" w:sz="4" w:space="0" w:color="auto"/>
            </w:tcBorders>
            <w:vAlign w:val="center"/>
          </w:tcPr>
          <w:p w14:paraId="75E4B128" w14:textId="77777777" w:rsidR="002E0FEA" w:rsidRPr="00A81A4F" w:rsidRDefault="002E0FEA" w:rsidP="00E539CE">
            <w:pPr>
              <w:spacing w:after="0" w:line="240" w:lineRule="auto"/>
              <w:jc w:val="center"/>
              <w:rPr>
                <w:sz w:val="20"/>
                <w:szCs w:val="20"/>
                <w:lang w:val="en-GB" w:eastAsia="en-US"/>
              </w:rPr>
            </w:pPr>
            <w:r w:rsidRPr="00A81A4F">
              <w:rPr>
                <w:sz w:val="20"/>
                <w:szCs w:val="20"/>
              </w:rPr>
              <w:t>5.913(2.652)**</w:t>
            </w:r>
          </w:p>
        </w:tc>
        <w:tc>
          <w:tcPr>
            <w:tcW w:w="1542" w:type="dxa"/>
            <w:tcBorders>
              <w:top w:val="nil"/>
              <w:bottom w:val="single" w:sz="4" w:space="0" w:color="auto"/>
            </w:tcBorders>
            <w:shd w:val="clear" w:color="auto" w:fill="auto"/>
            <w:vAlign w:val="center"/>
          </w:tcPr>
          <w:p w14:paraId="616D3DA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6.081(2.685)**</w:t>
            </w:r>
          </w:p>
        </w:tc>
        <w:tc>
          <w:tcPr>
            <w:tcW w:w="1541" w:type="dxa"/>
            <w:tcBorders>
              <w:top w:val="nil"/>
              <w:bottom w:val="single" w:sz="4" w:space="0" w:color="auto"/>
            </w:tcBorders>
            <w:vAlign w:val="center"/>
          </w:tcPr>
          <w:p w14:paraId="36E2D55C" w14:textId="77777777" w:rsidR="002E0FEA" w:rsidRPr="00A81A4F" w:rsidRDefault="002E0FEA" w:rsidP="00E539CE">
            <w:pPr>
              <w:spacing w:after="0" w:line="240" w:lineRule="auto"/>
              <w:jc w:val="center"/>
              <w:rPr>
                <w:sz w:val="20"/>
                <w:szCs w:val="20"/>
              </w:rPr>
            </w:pPr>
            <w:r w:rsidRPr="00A81A4F">
              <w:rPr>
                <w:sz w:val="20"/>
                <w:szCs w:val="20"/>
              </w:rPr>
              <w:t>5.191(1.722)†</w:t>
            </w:r>
          </w:p>
        </w:tc>
        <w:tc>
          <w:tcPr>
            <w:tcW w:w="1542" w:type="dxa"/>
            <w:tcBorders>
              <w:top w:val="nil"/>
              <w:bottom w:val="single" w:sz="4" w:space="0" w:color="auto"/>
            </w:tcBorders>
            <w:shd w:val="clear" w:color="auto" w:fill="auto"/>
            <w:vAlign w:val="center"/>
          </w:tcPr>
          <w:p w14:paraId="371FEBE9" w14:textId="77777777" w:rsidR="002E0FEA" w:rsidRPr="00A81A4F" w:rsidRDefault="002E0FEA" w:rsidP="00E539CE">
            <w:pPr>
              <w:spacing w:after="0" w:line="240" w:lineRule="auto"/>
              <w:jc w:val="center"/>
              <w:rPr>
                <w:sz w:val="20"/>
                <w:szCs w:val="20"/>
                <w:lang w:val="en-GB" w:eastAsia="en-US"/>
              </w:rPr>
            </w:pPr>
            <w:r w:rsidRPr="00A81A4F">
              <w:rPr>
                <w:sz w:val="20"/>
                <w:szCs w:val="20"/>
              </w:rPr>
              <w:t>5.167(1.703)†</w:t>
            </w:r>
          </w:p>
        </w:tc>
        <w:tc>
          <w:tcPr>
            <w:tcW w:w="1541" w:type="dxa"/>
            <w:tcBorders>
              <w:top w:val="nil"/>
              <w:bottom w:val="single" w:sz="4" w:space="0" w:color="auto"/>
            </w:tcBorders>
            <w:vAlign w:val="center"/>
          </w:tcPr>
          <w:p w14:paraId="5EAA1A0B" w14:textId="77777777" w:rsidR="002E0FEA" w:rsidRPr="00A81A4F" w:rsidRDefault="002E0FEA" w:rsidP="00E539CE">
            <w:pPr>
              <w:spacing w:after="0" w:line="240" w:lineRule="auto"/>
              <w:jc w:val="center"/>
              <w:rPr>
                <w:sz w:val="20"/>
                <w:szCs w:val="20"/>
              </w:rPr>
            </w:pPr>
            <w:r w:rsidRPr="00A81A4F">
              <w:rPr>
                <w:sz w:val="20"/>
                <w:szCs w:val="20"/>
              </w:rPr>
              <w:t>4.714(1.854)†</w:t>
            </w:r>
          </w:p>
        </w:tc>
        <w:tc>
          <w:tcPr>
            <w:tcW w:w="1542" w:type="dxa"/>
            <w:tcBorders>
              <w:top w:val="nil"/>
              <w:bottom w:val="single" w:sz="4" w:space="0" w:color="auto"/>
            </w:tcBorders>
            <w:shd w:val="clear" w:color="auto" w:fill="auto"/>
            <w:vAlign w:val="center"/>
          </w:tcPr>
          <w:p w14:paraId="3EB5EE04" w14:textId="77777777" w:rsidR="002E0FEA" w:rsidRPr="00A81A4F" w:rsidRDefault="002E0FEA" w:rsidP="00E539CE">
            <w:pPr>
              <w:spacing w:after="0" w:line="240" w:lineRule="auto"/>
              <w:jc w:val="center"/>
              <w:rPr>
                <w:rFonts w:cs="Calibri"/>
                <w:sz w:val="20"/>
                <w:szCs w:val="20"/>
                <w:lang w:val="en-GB" w:eastAsia="en-US"/>
              </w:rPr>
            </w:pPr>
            <w:r w:rsidRPr="00A81A4F">
              <w:rPr>
                <w:sz w:val="20"/>
                <w:szCs w:val="20"/>
              </w:rPr>
              <w:t>5.786(2.317)*</w:t>
            </w:r>
          </w:p>
        </w:tc>
        <w:tc>
          <w:tcPr>
            <w:tcW w:w="1541" w:type="dxa"/>
            <w:tcBorders>
              <w:top w:val="nil"/>
              <w:bottom w:val="single" w:sz="4" w:space="0" w:color="auto"/>
            </w:tcBorders>
            <w:vAlign w:val="center"/>
          </w:tcPr>
          <w:p w14:paraId="6478D702" w14:textId="77777777" w:rsidR="002E0FEA" w:rsidRPr="00A81A4F" w:rsidRDefault="002E0FEA" w:rsidP="00E539CE">
            <w:pPr>
              <w:spacing w:after="0" w:line="240" w:lineRule="auto"/>
              <w:jc w:val="center"/>
              <w:rPr>
                <w:sz w:val="20"/>
                <w:szCs w:val="20"/>
              </w:rPr>
            </w:pPr>
            <w:r w:rsidRPr="00A81A4F">
              <w:rPr>
                <w:sz w:val="20"/>
                <w:szCs w:val="20"/>
              </w:rPr>
              <w:t>5.534(2.415)*</w:t>
            </w:r>
          </w:p>
        </w:tc>
        <w:tc>
          <w:tcPr>
            <w:tcW w:w="1542" w:type="dxa"/>
            <w:tcBorders>
              <w:top w:val="nil"/>
              <w:bottom w:val="single" w:sz="4" w:space="0" w:color="auto"/>
            </w:tcBorders>
            <w:shd w:val="clear" w:color="auto" w:fill="auto"/>
            <w:vAlign w:val="center"/>
          </w:tcPr>
          <w:p w14:paraId="0ADD537A" w14:textId="77777777" w:rsidR="002E0FEA" w:rsidRPr="00A81A4F" w:rsidRDefault="002E0FEA" w:rsidP="00E539CE">
            <w:pPr>
              <w:spacing w:after="0" w:line="240" w:lineRule="auto"/>
              <w:jc w:val="center"/>
              <w:rPr>
                <w:sz w:val="20"/>
                <w:szCs w:val="20"/>
                <w:lang w:val="en-GB" w:eastAsia="en-US"/>
              </w:rPr>
            </w:pPr>
            <w:r w:rsidRPr="00A81A4F">
              <w:rPr>
                <w:sz w:val="20"/>
                <w:szCs w:val="20"/>
              </w:rPr>
              <w:t>6.148(2.689)**</w:t>
            </w:r>
          </w:p>
        </w:tc>
      </w:tr>
      <w:tr w:rsidR="002E0FEA" w:rsidRPr="00A81A4F" w14:paraId="03F65810" w14:textId="77777777" w:rsidTr="00620CED">
        <w:tc>
          <w:tcPr>
            <w:tcW w:w="2411" w:type="dxa"/>
            <w:tcBorders>
              <w:top w:val="single" w:sz="4" w:space="0" w:color="auto"/>
            </w:tcBorders>
            <w:shd w:val="clear" w:color="auto" w:fill="auto"/>
          </w:tcPr>
          <w:p w14:paraId="6AE0F096" w14:textId="77777777" w:rsidR="002E0FEA" w:rsidRPr="00A81A4F" w:rsidRDefault="002E0FEA" w:rsidP="00E539CE">
            <w:pPr>
              <w:spacing w:after="0" w:line="240" w:lineRule="auto"/>
              <w:jc w:val="center"/>
              <w:rPr>
                <w:b/>
                <w:sz w:val="20"/>
                <w:szCs w:val="20"/>
                <w:lang w:val="en-GB" w:eastAsia="en-US"/>
              </w:rPr>
            </w:pPr>
            <w:r w:rsidRPr="00A81A4F">
              <w:rPr>
                <w:b/>
                <w:sz w:val="20"/>
                <w:szCs w:val="20"/>
                <w:lang w:val="en-GB" w:eastAsia="en-US"/>
              </w:rPr>
              <w:t>Model Summary</w:t>
            </w:r>
          </w:p>
        </w:tc>
        <w:tc>
          <w:tcPr>
            <w:tcW w:w="1541" w:type="dxa"/>
            <w:tcBorders>
              <w:top w:val="single" w:sz="4" w:space="0" w:color="auto"/>
            </w:tcBorders>
            <w:vAlign w:val="center"/>
          </w:tcPr>
          <w:p w14:paraId="527AABE4" w14:textId="77777777" w:rsidR="002E0FEA" w:rsidRPr="00A81A4F" w:rsidRDefault="002E0FEA" w:rsidP="00E539CE">
            <w:pPr>
              <w:spacing w:after="0" w:line="240" w:lineRule="auto"/>
              <w:jc w:val="center"/>
              <w:rPr>
                <w:b/>
                <w:sz w:val="20"/>
                <w:szCs w:val="20"/>
                <w:lang w:val="en-GB" w:eastAsia="en-US"/>
              </w:rPr>
            </w:pPr>
          </w:p>
        </w:tc>
        <w:tc>
          <w:tcPr>
            <w:tcW w:w="1542" w:type="dxa"/>
            <w:tcBorders>
              <w:top w:val="single" w:sz="4" w:space="0" w:color="auto"/>
            </w:tcBorders>
            <w:shd w:val="clear" w:color="auto" w:fill="auto"/>
            <w:vAlign w:val="center"/>
          </w:tcPr>
          <w:p w14:paraId="47213E57" w14:textId="77777777" w:rsidR="002E0FEA" w:rsidRPr="00A81A4F" w:rsidRDefault="002E0FEA" w:rsidP="00E539CE">
            <w:pPr>
              <w:spacing w:after="0" w:line="240" w:lineRule="auto"/>
              <w:jc w:val="center"/>
              <w:rPr>
                <w:b/>
                <w:sz w:val="20"/>
                <w:szCs w:val="20"/>
                <w:lang w:val="en-GB" w:eastAsia="en-US"/>
              </w:rPr>
            </w:pPr>
          </w:p>
        </w:tc>
        <w:tc>
          <w:tcPr>
            <w:tcW w:w="1541" w:type="dxa"/>
            <w:tcBorders>
              <w:top w:val="single" w:sz="4" w:space="0" w:color="auto"/>
            </w:tcBorders>
            <w:vAlign w:val="center"/>
          </w:tcPr>
          <w:p w14:paraId="61617AC0" w14:textId="77777777" w:rsidR="002E0FEA" w:rsidRPr="00A81A4F" w:rsidRDefault="002E0FEA" w:rsidP="00E539CE">
            <w:pPr>
              <w:spacing w:after="0" w:line="240" w:lineRule="auto"/>
              <w:jc w:val="center"/>
              <w:rPr>
                <w:b/>
                <w:sz w:val="20"/>
                <w:szCs w:val="20"/>
                <w:lang w:val="en-GB" w:eastAsia="en-US"/>
              </w:rPr>
            </w:pPr>
          </w:p>
        </w:tc>
        <w:tc>
          <w:tcPr>
            <w:tcW w:w="1542" w:type="dxa"/>
            <w:tcBorders>
              <w:top w:val="single" w:sz="4" w:space="0" w:color="auto"/>
            </w:tcBorders>
            <w:shd w:val="clear" w:color="auto" w:fill="auto"/>
            <w:vAlign w:val="center"/>
          </w:tcPr>
          <w:p w14:paraId="73AF0E35" w14:textId="77777777" w:rsidR="002E0FEA" w:rsidRPr="00A81A4F" w:rsidRDefault="002E0FEA" w:rsidP="00E539CE">
            <w:pPr>
              <w:spacing w:after="0" w:line="240" w:lineRule="auto"/>
              <w:jc w:val="center"/>
              <w:rPr>
                <w:b/>
                <w:sz w:val="20"/>
                <w:szCs w:val="20"/>
                <w:lang w:val="en-GB" w:eastAsia="en-US"/>
              </w:rPr>
            </w:pPr>
          </w:p>
        </w:tc>
        <w:tc>
          <w:tcPr>
            <w:tcW w:w="1541" w:type="dxa"/>
            <w:tcBorders>
              <w:top w:val="single" w:sz="4" w:space="0" w:color="auto"/>
            </w:tcBorders>
            <w:vAlign w:val="center"/>
          </w:tcPr>
          <w:p w14:paraId="1DC10E21" w14:textId="77777777" w:rsidR="002E0FEA" w:rsidRPr="00A81A4F" w:rsidRDefault="002E0FEA" w:rsidP="00E539CE">
            <w:pPr>
              <w:spacing w:after="0" w:line="240" w:lineRule="auto"/>
              <w:jc w:val="center"/>
              <w:rPr>
                <w:b/>
                <w:sz w:val="20"/>
                <w:szCs w:val="20"/>
                <w:lang w:val="en-GB" w:eastAsia="en-US"/>
              </w:rPr>
            </w:pPr>
          </w:p>
        </w:tc>
        <w:tc>
          <w:tcPr>
            <w:tcW w:w="1542" w:type="dxa"/>
            <w:tcBorders>
              <w:top w:val="single" w:sz="4" w:space="0" w:color="auto"/>
            </w:tcBorders>
            <w:shd w:val="clear" w:color="auto" w:fill="auto"/>
            <w:vAlign w:val="center"/>
          </w:tcPr>
          <w:p w14:paraId="1247B9AB" w14:textId="77777777" w:rsidR="002E0FEA" w:rsidRPr="00A81A4F" w:rsidRDefault="002E0FEA" w:rsidP="00E539CE">
            <w:pPr>
              <w:spacing w:after="0" w:line="240" w:lineRule="auto"/>
              <w:jc w:val="center"/>
              <w:rPr>
                <w:b/>
                <w:sz w:val="20"/>
                <w:szCs w:val="20"/>
                <w:lang w:val="en-GB" w:eastAsia="en-US"/>
              </w:rPr>
            </w:pPr>
          </w:p>
        </w:tc>
        <w:tc>
          <w:tcPr>
            <w:tcW w:w="1541" w:type="dxa"/>
            <w:tcBorders>
              <w:top w:val="single" w:sz="4" w:space="0" w:color="auto"/>
            </w:tcBorders>
            <w:vAlign w:val="center"/>
          </w:tcPr>
          <w:p w14:paraId="64AA9901" w14:textId="77777777" w:rsidR="002E0FEA" w:rsidRPr="00A81A4F" w:rsidRDefault="002E0FEA" w:rsidP="00E539CE">
            <w:pPr>
              <w:spacing w:after="0" w:line="240" w:lineRule="auto"/>
              <w:jc w:val="center"/>
              <w:rPr>
                <w:b/>
                <w:sz w:val="20"/>
                <w:szCs w:val="20"/>
                <w:lang w:val="en-GB" w:eastAsia="en-US"/>
              </w:rPr>
            </w:pPr>
          </w:p>
        </w:tc>
        <w:tc>
          <w:tcPr>
            <w:tcW w:w="1542" w:type="dxa"/>
            <w:tcBorders>
              <w:top w:val="single" w:sz="4" w:space="0" w:color="auto"/>
            </w:tcBorders>
            <w:shd w:val="clear" w:color="auto" w:fill="auto"/>
            <w:vAlign w:val="center"/>
          </w:tcPr>
          <w:p w14:paraId="7FBCAAEE" w14:textId="77777777" w:rsidR="002E0FEA" w:rsidRPr="00A81A4F" w:rsidRDefault="002E0FEA" w:rsidP="00E539CE">
            <w:pPr>
              <w:spacing w:after="0" w:line="240" w:lineRule="auto"/>
              <w:jc w:val="center"/>
              <w:rPr>
                <w:b/>
                <w:sz w:val="20"/>
                <w:szCs w:val="20"/>
                <w:lang w:val="en-GB" w:eastAsia="en-US"/>
              </w:rPr>
            </w:pPr>
          </w:p>
        </w:tc>
      </w:tr>
      <w:tr w:rsidR="002E0FEA" w:rsidRPr="00A81A4F" w14:paraId="42E907C4" w14:textId="77777777" w:rsidTr="00620CED">
        <w:tc>
          <w:tcPr>
            <w:tcW w:w="2411" w:type="dxa"/>
            <w:shd w:val="clear" w:color="auto" w:fill="auto"/>
            <w:vAlign w:val="center"/>
          </w:tcPr>
          <w:p w14:paraId="1C9D0AFF"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F-Value</w:t>
            </w:r>
          </w:p>
        </w:tc>
        <w:tc>
          <w:tcPr>
            <w:tcW w:w="1541" w:type="dxa"/>
            <w:vAlign w:val="center"/>
          </w:tcPr>
          <w:p w14:paraId="4FBBA06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6.729</w:t>
            </w:r>
          </w:p>
        </w:tc>
        <w:tc>
          <w:tcPr>
            <w:tcW w:w="1542" w:type="dxa"/>
            <w:shd w:val="clear" w:color="auto" w:fill="auto"/>
            <w:vAlign w:val="center"/>
          </w:tcPr>
          <w:p w14:paraId="6C06032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5.182</w:t>
            </w:r>
          </w:p>
        </w:tc>
        <w:tc>
          <w:tcPr>
            <w:tcW w:w="1541" w:type="dxa"/>
            <w:vAlign w:val="center"/>
          </w:tcPr>
          <w:p w14:paraId="3DB4110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5.639</w:t>
            </w:r>
          </w:p>
        </w:tc>
        <w:tc>
          <w:tcPr>
            <w:tcW w:w="1542" w:type="dxa"/>
            <w:shd w:val="clear" w:color="auto" w:fill="auto"/>
            <w:vAlign w:val="center"/>
          </w:tcPr>
          <w:p w14:paraId="3FFD871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2.289</w:t>
            </w:r>
          </w:p>
        </w:tc>
        <w:tc>
          <w:tcPr>
            <w:tcW w:w="1541" w:type="dxa"/>
            <w:vAlign w:val="center"/>
          </w:tcPr>
          <w:p w14:paraId="7C355A5E"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3.565</w:t>
            </w:r>
          </w:p>
        </w:tc>
        <w:tc>
          <w:tcPr>
            <w:tcW w:w="1542" w:type="dxa"/>
            <w:shd w:val="clear" w:color="auto" w:fill="auto"/>
            <w:vAlign w:val="center"/>
          </w:tcPr>
          <w:p w14:paraId="25D8CB8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3.836</w:t>
            </w:r>
          </w:p>
        </w:tc>
        <w:tc>
          <w:tcPr>
            <w:tcW w:w="1541" w:type="dxa"/>
            <w:vAlign w:val="center"/>
          </w:tcPr>
          <w:p w14:paraId="0903B10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4.642</w:t>
            </w:r>
          </w:p>
        </w:tc>
        <w:tc>
          <w:tcPr>
            <w:tcW w:w="1542" w:type="dxa"/>
            <w:shd w:val="clear" w:color="auto" w:fill="auto"/>
            <w:vAlign w:val="center"/>
          </w:tcPr>
          <w:p w14:paraId="6DAA8CD0"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4.246</w:t>
            </w:r>
          </w:p>
        </w:tc>
      </w:tr>
      <w:tr w:rsidR="002E0FEA" w:rsidRPr="00A81A4F" w14:paraId="059068F6" w14:textId="77777777" w:rsidTr="00620CED">
        <w:tc>
          <w:tcPr>
            <w:tcW w:w="2411" w:type="dxa"/>
            <w:shd w:val="clear" w:color="auto" w:fill="auto"/>
            <w:vAlign w:val="center"/>
          </w:tcPr>
          <w:p w14:paraId="00DBBBF4"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P-Value</w:t>
            </w:r>
          </w:p>
        </w:tc>
        <w:tc>
          <w:tcPr>
            <w:tcW w:w="1541" w:type="dxa"/>
            <w:vAlign w:val="center"/>
          </w:tcPr>
          <w:p w14:paraId="08C639A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42" w:type="dxa"/>
            <w:shd w:val="clear" w:color="auto" w:fill="auto"/>
            <w:vAlign w:val="center"/>
          </w:tcPr>
          <w:p w14:paraId="379DEC5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41" w:type="dxa"/>
            <w:vAlign w:val="center"/>
          </w:tcPr>
          <w:p w14:paraId="407FDD6B"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0.001</w:t>
            </w:r>
          </w:p>
        </w:tc>
        <w:tc>
          <w:tcPr>
            <w:tcW w:w="1542" w:type="dxa"/>
            <w:shd w:val="clear" w:color="auto" w:fill="auto"/>
            <w:vAlign w:val="center"/>
          </w:tcPr>
          <w:p w14:paraId="045E28F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0.003</w:t>
            </w:r>
          </w:p>
        </w:tc>
        <w:tc>
          <w:tcPr>
            <w:tcW w:w="1541" w:type="dxa"/>
            <w:vAlign w:val="center"/>
          </w:tcPr>
          <w:p w14:paraId="2B555B9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42" w:type="dxa"/>
            <w:shd w:val="clear" w:color="auto" w:fill="auto"/>
            <w:vAlign w:val="center"/>
          </w:tcPr>
          <w:p w14:paraId="04A6EED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41" w:type="dxa"/>
            <w:vAlign w:val="center"/>
          </w:tcPr>
          <w:p w14:paraId="1324AEA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c>
          <w:tcPr>
            <w:tcW w:w="1542" w:type="dxa"/>
            <w:shd w:val="clear" w:color="auto" w:fill="auto"/>
            <w:vAlign w:val="center"/>
          </w:tcPr>
          <w:p w14:paraId="014D17A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0.000</w:t>
            </w:r>
          </w:p>
        </w:tc>
      </w:tr>
      <w:tr w:rsidR="002E0FEA" w:rsidRPr="00A81A4F" w14:paraId="7787D848" w14:textId="77777777" w:rsidTr="00620CED">
        <w:tc>
          <w:tcPr>
            <w:tcW w:w="2411" w:type="dxa"/>
            <w:shd w:val="clear" w:color="auto" w:fill="auto"/>
            <w:vAlign w:val="center"/>
          </w:tcPr>
          <w:p w14:paraId="1017674F"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R-Square</w:t>
            </w:r>
          </w:p>
        </w:tc>
        <w:tc>
          <w:tcPr>
            <w:tcW w:w="1541" w:type="dxa"/>
            <w:vAlign w:val="center"/>
          </w:tcPr>
          <w:p w14:paraId="6CE2FAAD"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0.325</w:t>
            </w:r>
          </w:p>
        </w:tc>
        <w:tc>
          <w:tcPr>
            <w:tcW w:w="1542" w:type="dxa"/>
            <w:shd w:val="clear" w:color="auto" w:fill="auto"/>
            <w:vAlign w:val="center"/>
          </w:tcPr>
          <w:p w14:paraId="5AB7A98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0.327</w:t>
            </w:r>
          </w:p>
        </w:tc>
        <w:tc>
          <w:tcPr>
            <w:tcW w:w="1541" w:type="dxa"/>
            <w:vAlign w:val="center"/>
          </w:tcPr>
          <w:p w14:paraId="52EF74A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0.159</w:t>
            </w:r>
          </w:p>
        </w:tc>
        <w:tc>
          <w:tcPr>
            <w:tcW w:w="1542" w:type="dxa"/>
            <w:shd w:val="clear" w:color="auto" w:fill="auto"/>
            <w:vAlign w:val="center"/>
          </w:tcPr>
          <w:p w14:paraId="475A6DD3"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0.177</w:t>
            </w:r>
          </w:p>
        </w:tc>
        <w:tc>
          <w:tcPr>
            <w:tcW w:w="1541" w:type="dxa"/>
            <w:vAlign w:val="center"/>
          </w:tcPr>
          <w:p w14:paraId="733424F8"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0.203</w:t>
            </w:r>
          </w:p>
        </w:tc>
        <w:tc>
          <w:tcPr>
            <w:tcW w:w="1542" w:type="dxa"/>
            <w:shd w:val="clear" w:color="auto" w:fill="auto"/>
            <w:vAlign w:val="center"/>
          </w:tcPr>
          <w:p w14:paraId="327B3ED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0.265</w:t>
            </w:r>
          </w:p>
        </w:tc>
        <w:tc>
          <w:tcPr>
            <w:tcW w:w="1541" w:type="dxa"/>
            <w:vAlign w:val="center"/>
          </w:tcPr>
          <w:p w14:paraId="3D25DA87"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0.249</w:t>
            </w:r>
          </w:p>
        </w:tc>
        <w:tc>
          <w:tcPr>
            <w:tcW w:w="1542" w:type="dxa"/>
            <w:shd w:val="clear" w:color="auto" w:fill="auto"/>
            <w:vAlign w:val="center"/>
          </w:tcPr>
          <w:p w14:paraId="703D378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0.285</w:t>
            </w:r>
          </w:p>
        </w:tc>
      </w:tr>
      <w:tr w:rsidR="002E0FEA" w:rsidRPr="00A81A4F" w14:paraId="241CEC32" w14:textId="77777777" w:rsidTr="00620CED">
        <w:trPr>
          <w:trHeight w:val="60"/>
        </w:trPr>
        <w:tc>
          <w:tcPr>
            <w:tcW w:w="2411" w:type="dxa"/>
            <w:shd w:val="clear" w:color="auto" w:fill="auto"/>
            <w:vAlign w:val="center"/>
          </w:tcPr>
          <w:p w14:paraId="318142CF" w14:textId="77777777" w:rsidR="002E0FEA" w:rsidRPr="00A81A4F" w:rsidRDefault="002E0FEA" w:rsidP="00E539CE">
            <w:pPr>
              <w:spacing w:after="0" w:line="240" w:lineRule="auto"/>
              <w:ind w:firstLine="459"/>
              <w:rPr>
                <w:rFonts w:cs="Calibri"/>
                <w:sz w:val="20"/>
                <w:szCs w:val="20"/>
                <w:lang w:val="en-GB"/>
              </w:rPr>
            </w:pPr>
            <w:r w:rsidRPr="00A81A4F">
              <w:rPr>
                <w:rFonts w:cs="Calibri"/>
                <w:sz w:val="20"/>
                <w:szCs w:val="20"/>
                <w:lang w:val="en-GB"/>
              </w:rPr>
              <w:t>Adjusted R-Square</w:t>
            </w:r>
          </w:p>
        </w:tc>
        <w:tc>
          <w:tcPr>
            <w:tcW w:w="1541" w:type="dxa"/>
            <w:vAlign w:val="center"/>
          </w:tcPr>
          <w:p w14:paraId="46ECD46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0.276</w:t>
            </w:r>
          </w:p>
        </w:tc>
        <w:tc>
          <w:tcPr>
            <w:tcW w:w="1542" w:type="dxa"/>
            <w:shd w:val="clear" w:color="auto" w:fill="auto"/>
            <w:vAlign w:val="center"/>
          </w:tcPr>
          <w:p w14:paraId="069CEE54"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0.264</w:t>
            </w:r>
          </w:p>
        </w:tc>
        <w:tc>
          <w:tcPr>
            <w:tcW w:w="1541" w:type="dxa"/>
            <w:vAlign w:val="center"/>
          </w:tcPr>
          <w:p w14:paraId="4D6FB281"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0.099</w:t>
            </w:r>
          </w:p>
        </w:tc>
        <w:tc>
          <w:tcPr>
            <w:tcW w:w="1542" w:type="dxa"/>
            <w:shd w:val="clear" w:color="auto" w:fill="auto"/>
            <w:vAlign w:val="center"/>
          </w:tcPr>
          <w:p w14:paraId="511FDC39"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0.100</w:t>
            </w:r>
          </w:p>
        </w:tc>
        <w:tc>
          <w:tcPr>
            <w:tcW w:w="1541" w:type="dxa"/>
            <w:vAlign w:val="center"/>
          </w:tcPr>
          <w:p w14:paraId="4E505CFC"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0.146</w:t>
            </w:r>
          </w:p>
        </w:tc>
        <w:tc>
          <w:tcPr>
            <w:tcW w:w="1542" w:type="dxa"/>
            <w:shd w:val="clear" w:color="auto" w:fill="auto"/>
            <w:vAlign w:val="center"/>
          </w:tcPr>
          <w:p w14:paraId="7C0C070F"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0.196</w:t>
            </w:r>
          </w:p>
        </w:tc>
        <w:tc>
          <w:tcPr>
            <w:tcW w:w="1541" w:type="dxa"/>
            <w:vAlign w:val="center"/>
          </w:tcPr>
          <w:p w14:paraId="7477D0A5"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0.195</w:t>
            </w:r>
          </w:p>
        </w:tc>
        <w:tc>
          <w:tcPr>
            <w:tcW w:w="1542" w:type="dxa"/>
            <w:shd w:val="clear" w:color="auto" w:fill="auto"/>
            <w:vAlign w:val="center"/>
          </w:tcPr>
          <w:p w14:paraId="338C3012" w14:textId="77777777" w:rsidR="002E0FEA" w:rsidRPr="00A81A4F" w:rsidRDefault="002E0FEA" w:rsidP="00E539CE">
            <w:pPr>
              <w:spacing w:after="0" w:line="240" w:lineRule="auto"/>
              <w:jc w:val="center"/>
              <w:rPr>
                <w:sz w:val="20"/>
                <w:szCs w:val="20"/>
                <w:lang w:val="en-GB" w:eastAsia="en-US"/>
              </w:rPr>
            </w:pPr>
            <w:r w:rsidRPr="00A81A4F">
              <w:rPr>
                <w:sz w:val="20"/>
                <w:szCs w:val="20"/>
                <w:lang w:val="en-GB" w:eastAsia="en-US"/>
              </w:rPr>
              <w:t>0.218</w:t>
            </w:r>
          </w:p>
        </w:tc>
      </w:tr>
    </w:tbl>
    <w:p w14:paraId="049E02D9" w14:textId="77777777" w:rsidR="002E0FEA" w:rsidRPr="00A81A4F" w:rsidRDefault="002E0FEA" w:rsidP="00E539CE">
      <w:pPr>
        <w:autoSpaceDE w:val="0"/>
        <w:autoSpaceDN w:val="0"/>
        <w:adjustRightInd w:val="0"/>
        <w:spacing w:after="0" w:line="240" w:lineRule="auto"/>
        <w:jc w:val="both"/>
        <w:rPr>
          <w:sz w:val="16"/>
          <w:szCs w:val="16"/>
          <w:lang w:val="en-GB"/>
        </w:rPr>
      </w:pPr>
      <w:r w:rsidRPr="00A81A4F">
        <w:rPr>
          <w:sz w:val="16"/>
          <w:szCs w:val="16"/>
          <w:lang w:val="en-GB"/>
        </w:rPr>
        <w:t>Notes: *** p &lt; 0.001; ** p &lt; 0.010; * p &lt; 0.050; † p &lt; 0.100.</w:t>
      </w:r>
    </w:p>
    <w:p w14:paraId="3CDFF9A7" w14:textId="77777777" w:rsidR="002E0FEA" w:rsidRPr="00A81A4F" w:rsidRDefault="002E0FEA" w:rsidP="00E539CE">
      <w:pPr>
        <w:autoSpaceDE w:val="0"/>
        <w:autoSpaceDN w:val="0"/>
        <w:adjustRightInd w:val="0"/>
        <w:spacing w:after="0" w:line="240" w:lineRule="auto"/>
        <w:jc w:val="both"/>
        <w:rPr>
          <w:sz w:val="16"/>
          <w:szCs w:val="16"/>
          <w:lang w:val="en-GB"/>
        </w:rPr>
      </w:pPr>
      <w:r w:rsidRPr="00A81A4F">
        <w:rPr>
          <w:sz w:val="16"/>
          <w:szCs w:val="16"/>
          <w:lang w:val="en-GB"/>
        </w:rPr>
        <w:t>Unstandardized Coefficients are reported with t-value in parentheses.</w:t>
      </w:r>
    </w:p>
    <w:p w14:paraId="777945B2" w14:textId="77777777" w:rsidR="002E0FEA" w:rsidRPr="00A81A4F" w:rsidRDefault="002E0FEA" w:rsidP="00E539CE">
      <w:pPr>
        <w:autoSpaceDE w:val="0"/>
        <w:autoSpaceDN w:val="0"/>
        <w:adjustRightInd w:val="0"/>
        <w:spacing w:after="0" w:line="240" w:lineRule="auto"/>
        <w:jc w:val="both"/>
        <w:rPr>
          <w:sz w:val="16"/>
          <w:szCs w:val="16"/>
          <w:lang w:val="en-GB"/>
        </w:rPr>
      </w:pPr>
      <w:r w:rsidRPr="00A81A4F">
        <w:rPr>
          <w:sz w:val="16"/>
          <w:szCs w:val="16"/>
          <w:lang w:val="en-GB"/>
        </w:rPr>
        <w:t>Management Skills (item) – we utilized advanced management skills from foreign countries; Investments (item) – we utilized foreign direct investment; Markets (item) – we aggressively seek foreign markets; Alliance (item) - we develop alliances with foreign partners.</w:t>
      </w:r>
    </w:p>
    <w:p w14:paraId="0273A931" w14:textId="77777777" w:rsidR="002E0FEA" w:rsidRPr="00A81A4F" w:rsidRDefault="002E0FEA" w:rsidP="00E539CE">
      <w:pPr>
        <w:autoSpaceDE w:val="0"/>
        <w:autoSpaceDN w:val="0"/>
        <w:adjustRightInd w:val="0"/>
        <w:spacing w:after="0" w:line="240" w:lineRule="auto"/>
        <w:jc w:val="center"/>
        <w:rPr>
          <w:b/>
          <w:lang w:val="en-GB"/>
        </w:rPr>
        <w:sectPr w:rsidR="002E0FEA" w:rsidRPr="00A81A4F" w:rsidSect="00616DE1">
          <w:pgSz w:w="16838" w:h="11906" w:orient="landscape"/>
          <w:pgMar w:top="1440" w:right="1440" w:bottom="1440" w:left="1440" w:header="709" w:footer="709" w:gutter="0"/>
          <w:cols w:space="708"/>
          <w:docGrid w:linePitch="360"/>
        </w:sectPr>
      </w:pPr>
    </w:p>
    <w:p w14:paraId="2A2E6317" w14:textId="77777777" w:rsidR="002E0FEA" w:rsidRPr="00A81A4F" w:rsidRDefault="002E0FEA" w:rsidP="00E539CE">
      <w:pPr>
        <w:autoSpaceDE w:val="0"/>
        <w:autoSpaceDN w:val="0"/>
        <w:adjustRightInd w:val="0"/>
        <w:spacing w:after="0" w:line="240" w:lineRule="auto"/>
        <w:jc w:val="center"/>
        <w:rPr>
          <w:b/>
          <w:lang w:val="en-GB"/>
        </w:rPr>
      </w:pPr>
      <w:r w:rsidRPr="00A81A4F">
        <w:rPr>
          <w:b/>
          <w:lang w:val="en-GB"/>
        </w:rPr>
        <w:lastRenderedPageBreak/>
        <w:t>Appendix 1: Factor Loadings</w:t>
      </w:r>
    </w:p>
    <w:tbl>
      <w:tblPr>
        <w:tblW w:w="14029" w:type="dxa"/>
        <w:tblBorders>
          <w:top w:val="single" w:sz="4" w:space="0" w:color="auto"/>
          <w:bottom w:val="single" w:sz="4" w:space="0" w:color="auto"/>
        </w:tblBorders>
        <w:tblLayout w:type="fixed"/>
        <w:tblLook w:val="04A0" w:firstRow="1" w:lastRow="0" w:firstColumn="1" w:lastColumn="0" w:noHBand="0" w:noVBand="1"/>
      </w:tblPr>
      <w:tblGrid>
        <w:gridCol w:w="12753"/>
        <w:gridCol w:w="1276"/>
      </w:tblGrid>
      <w:tr w:rsidR="002E0FEA" w:rsidRPr="00A81A4F" w14:paraId="0E4D399A" w14:textId="77777777" w:rsidTr="00620CED">
        <w:tc>
          <w:tcPr>
            <w:tcW w:w="12753" w:type="dxa"/>
            <w:tcBorders>
              <w:top w:val="single" w:sz="4" w:space="0" w:color="auto"/>
              <w:bottom w:val="single" w:sz="4" w:space="0" w:color="auto"/>
            </w:tcBorders>
            <w:shd w:val="clear" w:color="auto" w:fill="auto"/>
            <w:vAlign w:val="center"/>
          </w:tcPr>
          <w:p w14:paraId="509C3C3A" w14:textId="77777777" w:rsidR="002E0FEA" w:rsidRPr="00A81A4F" w:rsidRDefault="002E0FEA" w:rsidP="00E539CE">
            <w:pPr>
              <w:spacing w:after="0" w:line="240" w:lineRule="auto"/>
              <w:jc w:val="center"/>
              <w:rPr>
                <w:rFonts w:eastAsia="Times New Roman"/>
                <w:b/>
                <w:spacing w:val="8"/>
                <w:sz w:val="20"/>
                <w:szCs w:val="20"/>
                <w:lang w:eastAsia="en-US"/>
              </w:rPr>
            </w:pPr>
            <w:r w:rsidRPr="00A81A4F">
              <w:rPr>
                <w:rFonts w:eastAsia="Times New Roman"/>
                <w:b/>
                <w:spacing w:val="8"/>
                <w:sz w:val="20"/>
                <w:szCs w:val="20"/>
                <w:lang w:eastAsia="en-US"/>
              </w:rPr>
              <w:t>Measurement</w:t>
            </w:r>
          </w:p>
        </w:tc>
        <w:tc>
          <w:tcPr>
            <w:tcW w:w="1276" w:type="dxa"/>
            <w:tcBorders>
              <w:top w:val="single" w:sz="4" w:space="0" w:color="auto"/>
              <w:bottom w:val="single" w:sz="4" w:space="0" w:color="auto"/>
            </w:tcBorders>
            <w:shd w:val="clear" w:color="auto" w:fill="auto"/>
            <w:vAlign w:val="center"/>
          </w:tcPr>
          <w:p w14:paraId="14BF69DF" w14:textId="77777777" w:rsidR="002E0FEA" w:rsidRPr="00A81A4F" w:rsidRDefault="002E0FEA" w:rsidP="00E539CE">
            <w:pPr>
              <w:spacing w:after="0" w:line="240" w:lineRule="auto"/>
              <w:jc w:val="center"/>
              <w:rPr>
                <w:b/>
                <w:sz w:val="20"/>
                <w:szCs w:val="20"/>
                <w:lang w:val="en-GB"/>
              </w:rPr>
            </w:pPr>
            <w:r w:rsidRPr="00A81A4F">
              <w:rPr>
                <w:rFonts w:eastAsia="Times New Roman"/>
                <w:b/>
                <w:spacing w:val="8"/>
                <w:sz w:val="20"/>
                <w:szCs w:val="20"/>
                <w:lang w:eastAsia="en-US"/>
              </w:rPr>
              <w:t>Loading</w:t>
            </w:r>
          </w:p>
        </w:tc>
      </w:tr>
      <w:tr w:rsidR="002E0FEA" w:rsidRPr="00A81A4F" w14:paraId="4316DA47" w14:textId="77777777" w:rsidTr="00620CED">
        <w:tc>
          <w:tcPr>
            <w:tcW w:w="12753" w:type="dxa"/>
            <w:tcBorders>
              <w:top w:val="single" w:sz="4" w:space="0" w:color="auto"/>
            </w:tcBorders>
            <w:shd w:val="clear" w:color="auto" w:fill="auto"/>
            <w:vAlign w:val="center"/>
          </w:tcPr>
          <w:p w14:paraId="43A77527" w14:textId="77777777" w:rsidR="002E0FEA" w:rsidRPr="00A81A4F" w:rsidRDefault="002E0FEA" w:rsidP="00E539CE">
            <w:pPr>
              <w:spacing w:after="0" w:line="240" w:lineRule="auto"/>
              <w:rPr>
                <w:rFonts w:eastAsia="Times New Roman"/>
                <w:b/>
                <w:sz w:val="20"/>
                <w:szCs w:val="20"/>
                <w:lang w:eastAsia="en-US"/>
              </w:rPr>
            </w:pPr>
            <w:r w:rsidRPr="00A81A4F">
              <w:rPr>
                <w:rFonts w:eastAsia="Times New Roman"/>
                <w:b/>
                <w:sz w:val="20"/>
                <w:szCs w:val="20"/>
                <w:lang w:eastAsia="en-US"/>
              </w:rPr>
              <w:t xml:space="preserve">Foreign Environmental Regulatory Pressure </w:t>
            </w:r>
          </w:p>
        </w:tc>
        <w:tc>
          <w:tcPr>
            <w:tcW w:w="1276" w:type="dxa"/>
            <w:tcBorders>
              <w:top w:val="single" w:sz="4" w:space="0" w:color="auto"/>
            </w:tcBorders>
            <w:shd w:val="clear" w:color="auto" w:fill="auto"/>
            <w:vAlign w:val="center"/>
          </w:tcPr>
          <w:p w14:paraId="0A463974"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0D721B11" w14:textId="77777777" w:rsidTr="00620CED">
        <w:tc>
          <w:tcPr>
            <w:tcW w:w="12753" w:type="dxa"/>
            <w:shd w:val="clear" w:color="auto" w:fill="auto"/>
            <w:vAlign w:val="center"/>
          </w:tcPr>
          <w:p w14:paraId="5EC0A60A"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sz w:val="20"/>
                <w:szCs w:val="20"/>
                <w:lang w:eastAsia="en-US"/>
              </w:rPr>
              <w:t>Regulation by government agencies has greatly influenced our organization’s concern for environmental issues.</w:t>
            </w:r>
          </w:p>
        </w:tc>
        <w:tc>
          <w:tcPr>
            <w:tcW w:w="1276" w:type="dxa"/>
            <w:shd w:val="clear" w:color="auto" w:fill="auto"/>
            <w:vAlign w:val="center"/>
          </w:tcPr>
          <w:p w14:paraId="1FAEBC14"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0.741</w:t>
            </w:r>
          </w:p>
        </w:tc>
      </w:tr>
      <w:tr w:rsidR="002E0FEA" w:rsidRPr="00A81A4F" w14:paraId="65B41208" w14:textId="77777777" w:rsidTr="00620CED">
        <w:tc>
          <w:tcPr>
            <w:tcW w:w="12753" w:type="dxa"/>
            <w:shd w:val="clear" w:color="auto" w:fill="auto"/>
            <w:vAlign w:val="center"/>
          </w:tcPr>
          <w:p w14:paraId="6D851FCF"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sz w:val="20"/>
                <w:szCs w:val="20"/>
                <w:lang w:eastAsia="en-US"/>
              </w:rPr>
              <w:t>Stricter environmental regulation is a major reason why our organization is concerned about its impact on the natural environment</w:t>
            </w:r>
            <w:r w:rsidRPr="00A81A4F">
              <w:rPr>
                <w:sz w:val="20"/>
                <w:szCs w:val="20"/>
              </w:rPr>
              <w:t xml:space="preserve">. </w:t>
            </w:r>
          </w:p>
        </w:tc>
        <w:tc>
          <w:tcPr>
            <w:tcW w:w="1276" w:type="dxa"/>
            <w:shd w:val="clear" w:color="auto" w:fill="auto"/>
            <w:vAlign w:val="center"/>
          </w:tcPr>
          <w:p w14:paraId="272230BA"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0.650</w:t>
            </w:r>
          </w:p>
        </w:tc>
      </w:tr>
      <w:tr w:rsidR="002E0FEA" w:rsidRPr="00A81A4F" w14:paraId="1B955364" w14:textId="77777777" w:rsidTr="00620CED">
        <w:tc>
          <w:tcPr>
            <w:tcW w:w="12753" w:type="dxa"/>
            <w:tcBorders>
              <w:bottom w:val="nil"/>
            </w:tcBorders>
            <w:shd w:val="clear" w:color="auto" w:fill="auto"/>
            <w:vAlign w:val="center"/>
          </w:tcPr>
          <w:p w14:paraId="48249B2A"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sz w:val="20"/>
                <w:szCs w:val="20"/>
                <w:lang w:eastAsia="en-US"/>
              </w:rPr>
              <w:t>Our organization’s environmental efforts can help shape future environmental legislation in our industry</w:t>
            </w:r>
            <w:r w:rsidRPr="00A81A4F">
              <w:rPr>
                <w:sz w:val="20"/>
                <w:szCs w:val="20"/>
              </w:rPr>
              <w:t xml:space="preserve">. </w:t>
            </w:r>
          </w:p>
        </w:tc>
        <w:tc>
          <w:tcPr>
            <w:tcW w:w="1276" w:type="dxa"/>
            <w:tcBorders>
              <w:bottom w:val="nil"/>
            </w:tcBorders>
            <w:shd w:val="clear" w:color="auto" w:fill="auto"/>
            <w:vAlign w:val="center"/>
          </w:tcPr>
          <w:p w14:paraId="3F61876E"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w:t>
            </w:r>
          </w:p>
        </w:tc>
      </w:tr>
      <w:tr w:rsidR="002E0FEA" w:rsidRPr="00A81A4F" w14:paraId="2A53334F" w14:textId="77777777" w:rsidTr="00620CED">
        <w:tc>
          <w:tcPr>
            <w:tcW w:w="12753" w:type="dxa"/>
            <w:tcBorders>
              <w:top w:val="nil"/>
              <w:bottom w:val="single" w:sz="4" w:space="0" w:color="auto"/>
            </w:tcBorders>
            <w:shd w:val="clear" w:color="auto" w:fill="auto"/>
            <w:vAlign w:val="center"/>
          </w:tcPr>
          <w:p w14:paraId="4AACE14B"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sz w:val="20"/>
                <w:szCs w:val="20"/>
                <w:lang w:eastAsia="en-US"/>
              </w:rPr>
              <w:t>Our industry is faced with strict environmental regulations</w:t>
            </w:r>
            <w:r w:rsidRPr="00A81A4F">
              <w:rPr>
                <w:sz w:val="20"/>
                <w:szCs w:val="20"/>
              </w:rPr>
              <w:t>.</w:t>
            </w:r>
          </w:p>
        </w:tc>
        <w:tc>
          <w:tcPr>
            <w:tcW w:w="1276" w:type="dxa"/>
            <w:tcBorders>
              <w:top w:val="nil"/>
              <w:bottom w:val="single" w:sz="4" w:space="0" w:color="auto"/>
            </w:tcBorders>
            <w:shd w:val="clear" w:color="auto" w:fill="auto"/>
            <w:vAlign w:val="center"/>
          </w:tcPr>
          <w:p w14:paraId="654BDC66"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0.741</w:t>
            </w:r>
          </w:p>
        </w:tc>
      </w:tr>
      <w:tr w:rsidR="002E0FEA" w:rsidRPr="00A81A4F" w14:paraId="530EB09E" w14:textId="77777777" w:rsidTr="00620CED">
        <w:tc>
          <w:tcPr>
            <w:tcW w:w="12753" w:type="dxa"/>
            <w:tcBorders>
              <w:top w:val="single" w:sz="4" w:space="0" w:color="auto"/>
            </w:tcBorders>
            <w:shd w:val="clear" w:color="auto" w:fill="auto"/>
            <w:vAlign w:val="center"/>
          </w:tcPr>
          <w:p w14:paraId="54E43A03" w14:textId="77777777" w:rsidR="002E0FEA" w:rsidRPr="00A81A4F" w:rsidRDefault="002E0FEA" w:rsidP="00E539CE">
            <w:pPr>
              <w:spacing w:after="0" w:line="240" w:lineRule="auto"/>
              <w:rPr>
                <w:rFonts w:eastAsia="Times New Roman"/>
                <w:b/>
                <w:sz w:val="20"/>
                <w:szCs w:val="20"/>
                <w:lang w:eastAsia="en-US"/>
              </w:rPr>
            </w:pPr>
            <w:r w:rsidRPr="00A81A4F">
              <w:rPr>
                <w:rFonts w:eastAsia="Times New Roman"/>
                <w:b/>
                <w:sz w:val="20"/>
                <w:szCs w:val="20"/>
                <w:lang w:eastAsia="en-US"/>
              </w:rPr>
              <w:t xml:space="preserve">Foreign Environmental Customer Pressure </w:t>
            </w:r>
          </w:p>
        </w:tc>
        <w:tc>
          <w:tcPr>
            <w:tcW w:w="1276" w:type="dxa"/>
            <w:tcBorders>
              <w:top w:val="single" w:sz="4" w:space="0" w:color="auto"/>
            </w:tcBorders>
            <w:shd w:val="clear" w:color="auto" w:fill="auto"/>
            <w:vAlign w:val="center"/>
          </w:tcPr>
          <w:p w14:paraId="52925689"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2C6757AD" w14:textId="77777777" w:rsidTr="00620CED">
        <w:tc>
          <w:tcPr>
            <w:tcW w:w="12753" w:type="dxa"/>
            <w:shd w:val="clear" w:color="auto" w:fill="auto"/>
            <w:vAlign w:val="center"/>
          </w:tcPr>
          <w:p w14:paraId="759A77FC"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sz w:val="20"/>
                <w:szCs w:val="20"/>
                <w:lang w:eastAsia="en-US"/>
              </w:rPr>
              <w:t>Our customers feel that environmental protection is a critically important issue facing the world today.</w:t>
            </w:r>
          </w:p>
        </w:tc>
        <w:tc>
          <w:tcPr>
            <w:tcW w:w="1276" w:type="dxa"/>
            <w:shd w:val="clear" w:color="auto" w:fill="auto"/>
            <w:vAlign w:val="center"/>
          </w:tcPr>
          <w:p w14:paraId="41F9EF8A"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0.669</w:t>
            </w:r>
          </w:p>
        </w:tc>
      </w:tr>
      <w:tr w:rsidR="002E0FEA" w:rsidRPr="00A81A4F" w14:paraId="0961C18C" w14:textId="77777777" w:rsidTr="00620CED">
        <w:tc>
          <w:tcPr>
            <w:tcW w:w="12753" w:type="dxa"/>
            <w:tcBorders>
              <w:bottom w:val="nil"/>
            </w:tcBorders>
            <w:shd w:val="clear" w:color="auto" w:fill="auto"/>
            <w:vAlign w:val="center"/>
          </w:tcPr>
          <w:p w14:paraId="139B59D2"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sz w:val="20"/>
                <w:szCs w:val="20"/>
                <w:lang w:eastAsia="en-US"/>
              </w:rPr>
              <w:t>Our customers are increasingly demanding environmentally friendly products and services.</w:t>
            </w:r>
            <w:r w:rsidRPr="00A81A4F">
              <w:rPr>
                <w:rFonts w:cs="Calibri"/>
                <w:sz w:val="20"/>
                <w:szCs w:val="20"/>
                <w:lang w:val="en-GB" w:eastAsia="en-US"/>
              </w:rPr>
              <w:t xml:space="preserve"> </w:t>
            </w:r>
          </w:p>
        </w:tc>
        <w:tc>
          <w:tcPr>
            <w:tcW w:w="1276" w:type="dxa"/>
            <w:tcBorders>
              <w:bottom w:val="nil"/>
            </w:tcBorders>
            <w:shd w:val="clear" w:color="auto" w:fill="auto"/>
            <w:vAlign w:val="center"/>
          </w:tcPr>
          <w:p w14:paraId="49D19C30"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0.719</w:t>
            </w:r>
          </w:p>
        </w:tc>
      </w:tr>
      <w:tr w:rsidR="002E0FEA" w:rsidRPr="00A81A4F" w14:paraId="03A133C5" w14:textId="77777777" w:rsidTr="00620CED">
        <w:tc>
          <w:tcPr>
            <w:tcW w:w="12753" w:type="dxa"/>
            <w:tcBorders>
              <w:top w:val="nil"/>
              <w:bottom w:val="single" w:sz="4" w:space="0" w:color="auto"/>
            </w:tcBorders>
            <w:shd w:val="clear" w:color="auto" w:fill="auto"/>
            <w:vAlign w:val="center"/>
          </w:tcPr>
          <w:p w14:paraId="064ABEC0"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sz w:val="20"/>
                <w:szCs w:val="20"/>
                <w:lang w:eastAsia="en-US"/>
              </w:rPr>
              <w:t xml:space="preserve">Our customers expect our organization to be ecologically friendly. </w:t>
            </w:r>
          </w:p>
        </w:tc>
        <w:tc>
          <w:tcPr>
            <w:tcW w:w="1276" w:type="dxa"/>
            <w:tcBorders>
              <w:top w:val="nil"/>
              <w:bottom w:val="single" w:sz="4" w:space="0" w:color="auto"/>
            </w:tcBorders>
            <w:shd w:val="clear" w:color="auto" w:fill="auto"/>
            <w:vAlign w:val="center"/>
          </w:tcPr>
          <w:p w14:paraId="7C8489A3"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0.740</w:t>
            </w:r>
          </w:p>
        </w:tc>
      </w:tr>
      <w:tr w:rsidR="002E0FEA" w:rsidRPr="00A81A4F" w14:paraId="138BDD3C" w14:textId="77777777" w:rsidTr="00620CED">
        <w:tc>
          <w:tcPr>
            <w:tcW w:w="12753" w:type="dxa"/>
            <w:tcBorders>
              <w:top w:val="single" w:sz="4" w:space="0" w:color="auto"/>
            </w:tcBorders>
            <w:shd w:val="clear" w:color="auto" w:fill="auto"/>
            <w:vAlign w:val="center"/>
          </w:tcPr>
          <w:p w14:paraId="5A4BC24A" w14:textId="77777777" w:rsidR="002E0FEA" w:rsidRPr="00A81A4F" w:rsidRDefault="002E0FEA" w:rsidP="00E539CE">
            <w:pPr>
              <w:spacing w:after="0" w:line="240" w:lineRule="auto"/>
              <w:rPr>
                <w:rFonts w:eastAsia="Times New Roman"/>
                <w:sz w:val="20"/>
                <w:szCs w:val="20"/>
                <w:lang w:eastAsia="en-US"/>
              </w:rPr>
            </w:pPr>
            <w:r w:rsidRPr="00A81A4F">
              <w:rPr>
                <w:rFonts w:eastAsia="Times New Roman"/>
                <w:b/>
                <w:sz w:val="20"/>
                <w:szCs w:val="20"/>
                <w:lang w:val="en-GB" w:eastAsia="en-US"/>
              </w:rPr>
              <w:t>Inward-Focused Internationalization Activities</w:t>
            </w:r>
          </w:p>
        </w:tc>
        <w:tc>
          <w:tcPr>
            <w:tcW w:w="1276" w:type="dxa"/>
            <w:tcBorders>
              <w:top w:val="single" w:sz="4" w:space="0" w:color="auto"/>
            </w:tcBorders>
            <w:shd w:val="clear" w:color="auto" w:fill="auto"/>
            <w:vAlign w:val="center"/>
          </w:tcPr>
          <w:p w14:paraId="276973CA"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64FAAA74" w14:textId="77777777" w:rsidTr="00620CED">
        <w:tc>
          <w:tcPr>
            <w:tcW w:w="12753" w:type="dxa"/>
            <w:shd w:val="clear" w:color="auto" w:fill="auto"/>
            <w:vAlign w:val="center"/>
          </w:tcPr>
          <w:p w14:paraId="77B2F9E5" w14:textId="77777777" w:rsidR="002E0FEA" w:rsidRPr="00A81A4F" w:rsidRDefault="002E0FEA" w:rsidP="00E539CE">
            <w:pPr>
              <w:spacing w:after="0" w:line="240" w:lineRule="auto"/>
              <w:rPr>
                <w:rFonts w:cs="Calibri"/>
                <w:sz w:val="20"/>
                <w:szCs w:val="20"/>
                <w:lang w:val="en-GB" w:eastAsia="en-US"/>
              </w:rPr>
            </w:pPr>
            <w:r w:rsidRPr="00A81A4F">
              <w:rPr>
                <w:rFonts w:cs="Calibri"/>
                <w:sz w:val="20"/>
                <w:szCs w:val="20"/>
                <w:lang w:val="en-GB" w:eastAsia="en-US"/>
              </w:rPr>
              <w:t>We utilize advanced management skills from foreign countries.</w:t>
            </w:r>
          </w:p>
        </w:tc>
        <w:tc>
          <w:tcPr>
            <w:tcW w:w="1276" w:type="dxa"/>
            <w:shd w:val="clear" w:color="auto" w:fill="auto"/>
            <w:vAlign w:val="center"/>
          </w:tcPr>
          <w:p w14:paraId="2829C1C0"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0.687</w:t>
            </w:r>
          </w:p>
        </w:tc>
      </w:tr>
      <w:tr w:rsidR="002E0FEA" w:rsidRPr="00A81A4F" w14:paraId="18BA118F" w14:textId="77777777" w:rsidTr="00620CED">
        <w:tc>
          <w:tcPr>
            <w:tcW w:w="12753" w:type="dxa"/>
            <w:tcBorders>
              <w:bottom w:val="nil"/>
            </w:tcBorders>
            <w:shd w:val="clear" w:color="auto" w:fill="auto"/>
            <w:vAlign w:val="center"/>
          </w:tcPr>
          <w:p w14:paraId="7F6A1DD2" w14:textId="77777777" w:rsidR="002E0FEA" w:rsidRPr="00A81A4F" w:rsidRDefault="002E0FEA" w:rsidP="00E539CE">
            <w:pPr>
              <w:spacing w:after="0" w:line="240" w:lineRule="auto"/>
              <w:rPr>
                <w:rFonts w:cs="Calibri"/>
                <w:sz w:val="20"/>
                <w:szCs w:val="20"/>
                <w:lang w:val="en-GB" w:eastAsia="en-US"/>
              </w:rPr>
            </w:pPr>
            <w:r w:rsidRPr="00A81A4F">
              <w:rPr>
                <w:rFonts w:cs="Calibri"/>
                <w:sz w:val="20"/>
                <w:szCs w:val="20"/>
                <w:lang w:val="en-GB" w:eastAsia="en-US"/>
              </w:rPr>
              <w:t>We utilize advanced and new technology from foreign countries.</w:t>
            </w:r>
          </w:p>
        </w:tc>
        <w:tc>
          <w:tcPr>
            <w:tcW w:w="1276" w:type="dxa"/>
            <w:tcBorders>
              <w:bottom w:val="nil"/>
            </w:tcBorders>
            <w:shd w:val="clear" w:color="auto" w:fill="auto"/>
            <w:vAlign w:val="center"/>
          </w:tcPr>
          <w:p w14:paraId="250700E5"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w:t>
            </w:r>
          </w:p>
        </w:tc>
      </w:tr>
      <w:tr w:rsidR="002E0FEA" w:rsidRPr="00A81A4F" w14:paraId="39ABCDD1" w14:textId="77777777" w:rsidTr="00620CED">
        <w:tc>
          <w:tcPr>
            <w:tcW w:w="12753" w:type="dxa"/>
            <w:tcBorders>
              <w:top w:val="nil"/>
              <w:bottom w:val="single" w:sz="4" w:space="0" w:color="auto"/>
            </w:tcBorders>
            <w:shd w:val="clear" w:color="auto" w:fill="auto"/>
            <w:vAlign w:val="center"/>
          </w:tcPr>
          <w:p w14:paraId="35404F8D" w14:textId="77777777" w:rsidR="002E0FEA" w:rsidRPr="00A81A4F" w:rsidRDefault="002E0FEA" w:rsidP="00E539CE">
            <w:pPr>
              <w:spacing w:after="0" w:line="240" w:lineRule="auto"/>
              <w:rPr>
                <w:rFonts w:cs="Calibri"/>
                <w:sz w:val="20"/>
                <w:szCs w:val="20"/>
                <w:lang w:val="en-GB" w:eastAsia="en-US"/>
              </w:rPr>
            </w:pPr>
            <w:r w:rsidRPr="00A81A4F">
              <w:rPr>
                <w:rFonts w:cs="Calibri"/>
                <w:sz w:val="20"/>
                <w:szCs w:val="20"/>
                <w:lang w:val="en-GB" w:eastAsia="en-US"/>
              </w:rPr>
              <w:t>We utilize foreign direct investment.</w:t>
            </w:r>
          </w:p>
        </w:tc>
        <w:tc>
          <w:tcPr>
            <w:tcW w:w="1276" w:type="dxa"/>
            <w:tcBorders>
              <w:top w:val="nil"/>
              <w:bottom w:val="single" w:sz="4" w:space="0" w:color="auto"/>
            </w:tcBorders>
            <w:shd w:val="clear" w:color="auto" w:fill="auto"/>
            <w:vAlign w:val="center"/>
          </w:tcPr>
          <w:p w14:paraId="7F389B53"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0.748</w:t>
            </w:r>
          </w:p>
        </w:tc>
      </w:tr>
      <w:tr w:rsidR="002E0FEA" w:rsidRPr="00A81A4F" w14:paraId="1C908784" w14:textId="77777777" w:rsidTr="00620CED">
        <w:tc>
          <w:tcPr>
            <w:tcW w:w="12753" w:type="dxa"/>
            <w:tcBorders>
              <w:top w:val="single" w:sz="4" w:space="0" w:color="auto"/>
            </w:tcBorders>
            <w:shd w:val="clear" w:color="auto" w:fill="auto"/>
            <w:vAlign w:val="center"/>
          </w:tcPr>
          <w:p w14:paraId="0F039EC6"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rFonts w:eastAsia="Times New Roman"/>
                <w:b/>
                <w:sz w:val="20"/>
                <w:szCs w:val="20"/>
                <w:lang w:val="en-GB"/>
              </w:rPr>
            </w:pPr>
            <w:r w:rsidRPr="00A81A4F">
              <w:rPr>
                <w:rFonts w:eastAsia="Times New Roman"/>
                <w:b/>
                <w:sz w:val="20"/>
                <w:szCs w:val="20"/>
                <w:lang w:val="en-GB"/>
              </w:rPr>
              <w:t>Outward-Focused Internationalization Activities</w:t>
            </w:r>
          </w:p>
        </w:tc>
        <w:tc>
          <w:tcPr>
            <w:tcW w:w="1276" w:type="dxa"/>
            <w:tcBorders>
              <w:top w:val="single" w:sz="4" w:space="0" w:color="auto"/>
            </w:tcBorders>
            <w:shd w:val="clear" w:color="auto" w:fill="auto"/>
            <w:vAlign w:val="center"/>
          </w:tcPr>
          <w:p w14:paraId="18EECF39"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11FE8605" w14:textId="77777777" w:rsidTr="00620CED">
        <w:tc>
          <w:tcPr>
            <w:tcW w:w="12753" w:type="dxa"/>
            <w:tcBorders>
              <w:bottom w:val="nil"/>
            </w:tcBorders>
            <w:shd w:val="clear" w:color="auto" w:fill="auto"/>
            <w:vAlign w:val="center"/>
          </w:tcPr>
          <w:p w14:paraId="6FAB8334"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rFonts w:eastAsia="Times New Roman"/>
                <w:sz w:val="20"/>
                <w:szCs w:val="20"/>
                <w:lang w:val="en-GB"/>
              </w:rPr>
            </w:pPr>
            <w:bookmarkStart w:id="226" w:name="_Hlk54339133"/>
            <w:r w:rsidRPr="00A81A4F">
              <w:rPr>
                <w:rFonts w:eastAsia="Times New Roman"/>
                <w:sz w:val="20"/>
                <w:szCs w:val="20"/>
                <w:lang w:val="en-GB"/>
              </w:rPr>
              <w:t>We aggressively seek foreign markets.</w:t>
            </w:r>
            <w:bookmarkEnd w:id="226"/>
          </w:p>
        </w:tc>
        <w:tc>
          <w:tcPr>
            <w:tcW w:w="1276" w:type="dxa"/>
            <w:tcBorders>
              <w:bottom w:val="nil"/>
            </w:tcBorders>
            <w:shd w:val="clear" w:color="auto" w:fill="auto"/>
            <w:vAlign w:val="center"/>
          </w:tcPr>
          <w:p w14:paraId="21D56132"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0.818</w:t>
            </w:r>
          </w:p>
        </w:tc>
      </w:tr>
      <w:tr w:rsidR="002E0FEA" w:rsidRPr="00A81A4F" w14:paraId="5CC34424" w14:textId="77777777" w:rsidTr="00620CED">
        <w:tc>
          <w:tcPr>
            <w:tcW w:w="12753" w:type="dxa"/>
            <w:tcBorders>
              <w:bottom w:val="nil"/>
            </w:tcBorders>
            <w:shd w:val="clear" w:color="auto" w:fill="auto"/>
            <w:vAlign w:val="center"/>
          </w:tcPr>
          <w:p w14:paraId="6C6832E6"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rFonts w:eastAsia="Times New Roman"/>
                <w:sz w:val="20"/>
                <w:szCs w:val="20"/>
                <w:lang w:val="en-GB"/>
              </w:rPr>
            </w:pPr>
            <w:r w:rsidRPr="00A81A4F">
              <w:rPr>
                <w:rFonts w:eastAsia="Times New Roman"/>
                <w:sz w:val="20"/>
                <w:szCs w:val="20"/>
                <w:lang w:val="en-GB"/>
              </w:rPr>
              <w:t>We develop alliances with foreign partners</w:t>
            </w:r>
          </w:p>
        </w:tc>
        <w:tc>
          <w:tcPr>
            <w:tcW w:w="1276" w:type="dxa"/>
            <w:tcBorders>
              <w:bottom w:val="nil"/>
            </w:tcBorders>
            <w:shd w:val="clear" w:color="auto" w:fill="auto"/>
            <w:vAlign w:val="center"/>
          </w:tcPr>
          <w:p w14:paraId="74758D86"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0.718</w:t>
            </w:r>
          </w:p>
        </w:tc>
      </w:tr>
      <w:tr w:rsidR="002E0FEA" w:rsidRPr="00A81A4F" w14:paraId="45A2008C" w14:textId="77777777" w:rsidTr="00620CED">
        <w:tc>
          <w:tcPr>
            <w:tcW w:w="12753" w:type="dxa"/>
            <w:tcBorders>
              <w:top w:val="single" w:sz="4" w:space="0" w:color="auto"/>
            </w:tcBorders>
            <w:shd w:val="clear" w:color="auto" w:fill="auto"/>
            <w:vAlign w:val="center"/>
          </w:tcPr>
          <w:p w14:paraId="4A19F9A9"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b/>
                <w:sz w:val="20"/>
                <w:szCs w:val="20"/>
                <w:lang w:val="en-GB"/>
              </w:rPr>
            </w:pPr>
            <w:r w:rsidRPr="00A81A4F">
              <w:rPr>
                <w:b/>
                <w:sz w:val="20"/>
                <w:szCs w:val="20"/>
                <w:lang w:val="en-GB"/>
              </w:rPr>
              <w:t>Proactive environmental Strategy</w:t>
            </w:r>
          </w:p>
        </w:tc>
        <w:tc>
          <w:tcPr>
            <w:tcW w:w="1276" w:type="dxa"/>
            <w:tcBorders>
              <w:top w:val="single" w:sz="4" w:space="0" w:color="auto"/>
            </w:tcBorders>
            <w:shd w:val="clear" w:color="auto" w:fill="auto"/>
            <w:vAlign w:val="center"/>
          </w:tcPr>
          <w:p w14:paraId="618BA767" w14:textId="77777777" w:rsidR="002E0FEA" w:rsidRPr="00A81A4F" w:rsidRDefault="002E0FEA" w:rsidP="00E539CE">
            <w:pPr>
              <w:autoSpaceDE w:val="0"/>
              <w:autoSpaceDN w:val="0"/>
              <w:adjustRightInd w:val="0"/>
              <w:spacing w:after="0" w:line="240" w:lineRule="auto"/>
              <w:jc w:val="center"/>
              <w:rPr>
                <w:sz w:val="20"/>
                <w:szCs w:val="20"/>
                <w:lang w:val="en-GB"/>
              </w:rPr>
            </w:pPr>
          </w:p>
        </w:tc>
      </w:tr>
      <w:tr w:rsidR="002E0FEA" w:rsidRPr="00A81A4F" w14:paraId="4073F238" w14:textId="77777777" w:rsidTr="00620CED">
        <w:tc>
          <w:tcPr>
            <w:tcW w:w="12753" w:type="dxa"/>
            <w:shd w:val="clear" w:color="auto" w:fill="auto"/>
            <w:vAlign w:val="center"/>
          </w:tcPr>
          <w:p w14:paraId="72FBC470"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sz w:val="20"/>
                <w:szCs w:val="20"/>
                <w:lang w:val="en-GB"/>
              </w:rPr>
            </w:pPr>
            <w:r w:rsidRPr="00A81A4F">
              <w:rPr>
                <w:sz w:val="20"/>
                <w:szCs w:val="20"/>
                <w:lang w:val="en-GB"/>
              </w:rPr>
              <w:t>We have good environmental policies.</w:t>
            </w:r>
          </w:p>
        </w:tc>
        <w:tc>
          <w:tcPr>
            <w:tcW w:w="1276" w:type="dxa"/>
            <w:shd w:val="clear" w:color="auto" w:fill="auto"/>
            <w:vAlign w:val="center"/>
          </w:tcPr>
          <w:p w14:paraId="3FABE4C3"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0.733</w:t>
            </w:r>
          </w:p>
        </w:tc>
      </w:tr>
      <w:tr w:rsidR="002E0FEA" w:rsidRPr="00A81A4F" w14:paraId="69FAEC39" w14:textId="77777777" w:rsidTr="00620CED">
        <w:tc>
          <w:tcPr>
            <w:tcW w:w="12753" w:type="dxa"/>
            <w:shd w:val="clear" w:color="auto" w:fill="auto"/>
            <w:vAlign w:val="center"/>
          </w:tcPr>
          <w:p w14:paraId="3B201EF8"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rFonts w:eastAsia="Times New Roman"/>
                <w:sz w:val="20"/>
                <w:szCs w:val="20"/>
                <w:lang w:val="en-GB"/>
              </w:rPr>
            </w:pPr>
            <w:r w:rsidRPr="00A81A4F">
              <w:rPr>
                <w:rFonts w:eastAsia="Times New Roman"/>
                <w:sz w:val="20"/>
                <w:szCs w:val="20"/>
                <w:lang w:val="en-GB"/>
              </w:rPr>
              <w:t>We are concerned about environmental sustainability.</w:t>
            </w:r>
          </w:p>
        </w:tc>
        <w:tc>
          <w:tcPr>
            <w:tcW w:w="1276" w:type="dxa"/>
            <w:shd w:val="clear" w:color="auto" w:fill="auto"/>
            <w:vAlign w:val="center"/>
          </w:tcPr>
          <w:p w14:paraId="5A50D4A7"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0.717</w:t>
            </w:r>
          </w:p>
        </w:tc>
      </w:tr>
      <w:tr w:rsidR="002E0FEA" w:rsidRPr="00A81A4F" w14:paraId="2D738707" w14:textId="77777777" w:rsidTr="00620CED">
        <w:tc>
          <w:tcPr>
            <w:tcW w:w="12753" w:type="dxa"/>
            <w:shd w:val="clear" w:color="auto" w:fill="auto"/>
            <w:vAlign w:val="center"/>
          </w:tcPr>
          <w:p w14:paraId="5A453394"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rFonts w:eastAsia="Times New Roman"/>
                <w:sz w:val="20"/>
                <w:szCs w:val="20"/>
                <w:lang w:val="en-GB"/>
              </w:rPr>
            </w:pPr>
            <w:r w:rsidRPr="00A81A4F">
              <w:rPr>
                <w:rFonts w:eastAsia="Times New Roman"/>
                <w:sz w:val="20"/>
                <w:szCs w:val="20"/>
                <w:lang w:val="en-GB"/>
              </w:rPr>
              <w:t>We try to reduce our impact on the environment.</w:t>
            </w:r>
          </w:p>
        </w:tc>
        <w:tc>
          <w:tcPr>
            <w:tcW w:w="1276" w:type="dxa"/>
            <w:shd w:val="clear" w:color="auto" w:fill="auto"/>
            <w:vAlign w:val="center"/>
          </w:tcPr>
          <w:p w14:paraId="2BD88BAF"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0.733</w:t>
            </w:r>
          </w:p>
        </w:tc>
      </w:tr>
      <w:tr w:rsidR="002E0FEA" w:rsidRPr="00A81A4F" w14:paraId="33E048DA" w14:textId="77777777" w:rsidTr="00620CED">
        <w:tc>
          <w:tcPr>
            <w:tcW w:w="12753" w:type="dxa"/>
            <w:shd w:val="clear" w:color="auto" w:fill="auto"/>
            <w:vAlign w:val="center"/>
          </w:tcPr>
          <w:p w14:paraId="440FD1D6" w14:textId="77777777" w:rsidR="002E0FEA" w:rsidRPr="00A81A4F" w:rsidRDefault="002E0FEA" w:rsidP="00E539CE">
            <w:pPr>
              <w:tabs>
                <w:tab w:val="left" w:pos="1120"/>
                <w:tab w:val="left" w:pos="3960"/>
                <w:tab w:val="left" w:pos="5100"/>
                <w:tab w:val="left" w:pos="6260"/>
                <w:tab w:val="left" w:pos="7360"/>
                <w:tab w:val="left" w:pos="8720"/>
              </w:tabs>
              <w:spacing w:after="0" w:line="240" w:lineRule="auto"/>
              <w:rPr>
                <w:rFonts w:eastAsia="Times New Roman"/>
                <w:sz w:val="20"/>
                <w:szCs w:val="20"/>
                <w:lang w:val="en-GB"/>
              </w:rPr>
            </w:pPr>
            <w:r w:rsidRPr="00A81A4F">
              <w:rPr>
                <w:rFonts w:eastAsia="Times New Roman"/>
                <w:sz w:val="20"/>
                <w:szCs w:val="20"/>
                <w:lang w:val="en-GB"/>
              </w:rPr>
              <w:t>We are an environmentally friendly company.</w:t>
            </w:r>
          </w:p>
        </w:tc>
        <w:tc>
          <w:tcPr>
            <w:tcW w:w="1276" w:type="dxa"/>
            <w:shd w:val="clear" w:color="auto" w:fill="auto"/>
            <w:vAlign w:val="center"/>
          </w:tcPr>
          <w:p w14:paraId="2DF1E4B9" w14:textId="77777777" w:rsidR="002E0FEA" w:rsidRPr="00A81A4F" w:rsidRDefault="002E0FEA" w:rsidP="00E539CE">
            <w:pPr>
              <w:autoSpaceDE w:val="0"/>
              <w:autoSpaceDN w:val="0"/>
              <w:adjustRightInd w:val="0"/>
              <w:spacing w:after="0" w:line="240" w:lineRule="auto"/>
              <w:jc w:val="center"/>
              <w:rPr>
                <w:sz w:val="20"/>
                <w:szCs w:val="20"/>
                <w:lang w:val="en-GB"/>
              </w:rPr>
            </w:pPr>
            <w:r w:rsidRPr="00A81A4F">
              <w:rPr>
                <w:sz w:val="20"/>
                <w:szCs w:val="20"/>
                <w:lang w:val="en-GB"/>
              </w:rPr>
              <w:t>---</w:t>
            </w:r>
          </w:p>
        </w:tc>
      </w:tr>
    </w:tbl>
    <w:p w14:paraId="3E579D26" w14:textId="77777777" w:rsidR="002E0FEA" w:rsidRPr="00A81A4F" w:rsidRDefault="002E0FEA" w:rsidP="00E539CE">
      <w:pPr>
        <w:autoSpaceDE w:val="0"/>
        <w:autoSpaceDN w:val="0"/>
        <w:adjustRightInd w:val="0"/>
        <w:spacing w:after="0" w:line="240" w:lineRule="auto"/>
        <w:rPr>
          <w:sz w:val="16"/>
          <w:szCs w:val="16"/>
          <w:lang w:val="en-GB"/>
        </w:rPr>
      </w:pPr>
      <w:r w:rsidRPr="00A81A4F">
        <w:rPr>
          <w:sz w:val="16"/>
          <w:szCs w:val="16"/>
          <w:lang w:val="en-GB"/>
        </w:rPr>
        <w:t>Notes:</w:t>
      </w:r>
    </w:p>
    <w:p w14:paraId="42349F5C" w14:textId="77777777" w:rsidR="002E0FEA" w:rsidRPr="00A81A4F" w:rsidRDefault="002E0FEA" w:rsidP="00E539CE">
      <w:pPr>
        <w:autoSpaceDE w:val="0"/>
        <w:autoSpaceDN w:val="0"/>
        <w:adjustRightInd w:val="0"/>
        <w:spacing w:after="0" w:line="240" w:lineRule="auto"/>
        <w:rPr>
          <w:sz w:val="16"/>
          <w:szCs w:val="16"/>
          <w:lang w:val="en-GB"/>
        </w:rPr>
      </w:pPr>
      <w:r w:rsidRPr="00A81A4F">
        <w:rPr>
          <w:sz w:val="16"/>
          <w:szCs w:val="16"/>
          <w:lang w:val="en-GB"/>
        </w:rPr>
        <w:t>--- Items deleted due to low factor loading.</w:t>
      </w:r>
    </w:p>
    <w:p w14:paraId="77D25D1E" w14:textId="77777777" w:rsidR="002E0FEA" w:rsidRPr="00A81A4F" w:rsidRDefault="002E0FEA" w:rsidP="00E539CE">
      <w:pPr>
        <w:tabs>
          <w:tab w:val="left" w:pos="1215"/>
        </w:tabs>
        <w:spacing w:after="0" w:line="240" w:lineRule="auto"/>
        <w:rPr>
          <w:rFonts w:cs="Calibri"/>
          <w:lang w:val="en-GB" w:eastAsia="en-US"/>
        </w:rPr>
      </w:pPr>
    </w:p>
    <w:p w14:paraId="5C4B39CA" w14:textId="77777777" w:rsidR="002E0FEA" w:rsidRPr="00A81A4F" w:rsidRDefault="002E0FEA" w:rsidP="00E539CE">
      <w:pPr>
        <w:spacing w:after="0" w:line="240" w:lineRule="auto"/>
        <w:rPr>
          <w:rFonts w:cs="Calibri"/>
          <w:lang w:val="en-GB" w:eastAsia="en-US"/>
        </w:rPr>
      </w:pPr>
    </w:p>
    <w:p w14:paraId="4CF4D7D1" w14:textId="77777777" w:rsidR="002E0FEA" w:rsidRPr="00A81A4F" w:rsidRDefault="002E0FEA" w:rsidP="00E539CE">
      <w:pPr>
        <w:spacing w:after="0" w:line="240" w:lineRule="auto"/>
        <w:rPr>
          <w:rFonts w:cs="Calibri"/>
          <w:lang w:val="en-GB" w:eastAsia="en-US"/>
        </w:rPr>
      </w:pPr>
    </w:p>
    <w:p w14:paraId="68085A2B" w14:textId="77777777" w:rsidR="002E0FEA" w:rsidRPr="00A81A4F" w:rsidRDefault="002E0FEA" w:rsidP="00E539CE">
      <w:pPr>
        <w:spacing w:after="0" w:line="480" w:lineRule="auto"/>
        <w:rPr>
          <w:lang w:val="en-GB"/>
        </w:rPr>
      </w:pPr>
    </w:p>
    <w:p w14:paraId="23781D62" w14:textId="77777777" w:rsidR="002E0FEA" w:rsidRPr="00A81A4F" w:rsidRDefault="002E0FEA" w:rsidP="00E539CE"/>
    <w:p w14:paraId="520BF272" w14:textId="77777777" w:rsidR="002E0FEA" w:rsidRPr="00A81A4F" w:rsidRDefault="002E0FEA" w:rsidP="00E539CE">
      <w:pPr>
        <w:spacing w:after="0" w:line="480" w:lineRule="auto"/>
        <w:jc w:val="both"/>
      </w:pPr>
    </w:p>
    <w:p w14:paraId="2F60E1F2" w14:textId="77777777" w:rsidR="002E0FEA" w:rsidRPr="00A81A4F" w:rsidRDefault="002E0FEA" w:rsidP="00E539CE"/>
    <w:p w14:paraId="5DAB1939" w14:textId="77777777" w:rsidR="007F0017" w:rsidRDefault="007F0017"/>
    <w:sectPr w:rsidR="007F0017" w:rsidSect="00616DE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4E927" w14:textId="77777777" w:rsidR="00047839" w:rsidRDefault="00047839" w:rsidP="002E0FEA">
      <w:pPr>
        <w:spacing w:after="0" w:line="240" w:lineRule="auto"/>
      </w:pPr>
      <w:r>
        <w:separator/>
      </w:r>
    </w:p>
  </w:endnote>
  <w:endnote w:type="continuationSeparator" w:id="0">
    <w:p w14:paraId="2BC233B6" w14:textId="77777777" w:rsidR="00047839" w:rsidRDefault="00047839" w:rsidP="002E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4741A" w14:textId="77777777" w:rsidR="002E0FEA" w:rsidRDefault="002E0FEA">
    <w:pPr>
      <w:pStyle w:val="Footer"/>
      <w:jc w:val="center"/>
    </w:pPr>
    <w:r>
      <w:fldChar w:fldCharType="begin"/>
    </w:r>
    <w:r>
      <w:instrText xml:space="preserve"> PAGE   \* MERGEFORMAT </w:instrText>
    </w:r>
    <w:r>
      <w:fldChar w:fldCharType="separate"/>
    </w:r>
    <w:r>
      <w:rPr>
        <w:noProof/>
      </w:rPr>
      <w:t>2</w:t>
    </w:r>
    <w:r>
      <w:rPr>
        <w:noProof/>
      </w:rPr>
      <w:fldChar w:fldCharType="end"/>
    </w:r>
  </w:p>
  <w:p w14:paraId="44F7060D" w14:textId="77777777" w:rsidR="002E0FEA" w:rsidRDefault="002E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C4004" w14:textId="77777777" w:rsidR="00047839" w:rsidRDefault="00047839" w:rsidP="002E0FEA">
      <w:pPr>
        <w:spacing w:after="0" w:line="240" w:lineRule="auto"/>
      </w:pPr>
      <w:r>
        <w:separator/>
      </w:r>
    </w:p>
  </w:footnote>
  <w:footnote w:type="continuationSeparator" w:id="0">
    <w:p w14:paraId="5AA60877" w14:textId="77777777" w:rsidR="00047839" w:rsidRDefault="00047839" w:rsidP="002E0FEA">
      <w:pPr>
        <w:spacing w:after="0" w:line="240" w:lineRule="auto"/>
      </w:pPr>
      <w:r>
        <w:continuationSeparator/>
      </w:r>
    </w:p>
  </w:footnote>
  <w:footnote w:id="1">
    <w:p w14:paraId="4C0D121C" w14:textId="77777777" w:rsidR="002E0FEA" w:rsidRPr="00DB5723" w:rsidRDefault="002E0FEA" w:rsidP="005909DB">
      <w:pPr>
        <w:pStyle w:val="FootnoteText"/>
        <w:jc w:val="both"/>
      </w:pPr>
      <w:r w:rsidRPr="00DB5723">
        <w:rPr>
          <w:rStyle w:val="FootnoteReference"/>
        </w:rPr>
        <w:footnoteRef/>
      </w:r>
      <w:r w:rsidRPr="00DB5723">
        <w:t xml:space="preserve"> We acknowledge that mimetic pressure also shapes the institutional environment – emerging from </w:t>
      </w:r>
      <w:bookmarkStart w:id="51" w:name="_Hlk56244645"/>
      <w:r w:rsidRPr="00DB5723">
        <w:t>organizations’</w:t>
      </w:r>
      <w:bookmarkEnd w:id="51"/>
      <w:r w:rsidRPr="00DB5723">
        <w:t xml:space="preserve"> tendency to model each other’s best practices in the face of uncertaint</w:t>
      </w:r>
      <w:r w:rsidRPr="0021244A">
        <w:t>y</w:t>
      </w:r>
      <w:r w:rsidRPr="00DB5723">
        <w:t xml:space="preserve"> </w:t>
      </w:r>
      <w:r w:rsidRPr="00DB5723">
        <w:rPr>
          <w:noProof/>
        </w:rPr>
        <w:t>(Swaminathan &amp; Wade, 2018)</w:t>
      </w:r>
      <w:r w:rsidRPr="00DB5723">
        <w:t>. Relative to coercive and normative pressures, mimetic pressure often arises from interorganizational relationship</w:t>
      </w:r>
      <w:r>
        <w:t>s</w:t>
      </w:r>
      <w:r w:rsidRPr="00DB5723">
        <w:t xml:space="preserve"> </w:t>
      </w:r>
      <w:r w:rsidRPr="00DB5723">
        <w:rPr>
          <w:noProof/>
        </w:rPr>
        <w:t>(Cheng &amp; Yu, 2008)</w:t>
      </w:r>
      <w:r w:rsidRPr="00DB5723">
        <w:t xml:space="preserve">. </w:t>
      </w:r>
      <w:r w:rsidRPr="005D7276">
        <w:t>G</w:t>
      </w:r>
      <w:r w:rsidRPr="00DB5723">
        <w:t xml:space="preserve">iven that our research focuses more on how macro environmental settings affect the influence of organizations’ </w:t>
      </w:r>
      <w:r>
        <w:t>proactive environmental strategy</w:t>
      </w:r>
      <w:r w:rsidRPr="00DB5723">
        <w:t xml:space="preserve"> on internationalization activities, we do not consider mimetic pressure in our framework.  </w:t>
      </w:r>
    </w:p>
  </w:footnote>
  <w:footnote w:id="2">
    <w:p w14:paraId="2C7C9783" w14:textId="77777777" w:rsidR="002E0FEA" w:rsidRPr="00437776" w:rsidRDefault="002E0FEA" w:rsidP="00437776">
      <w:pPr>
        <w:pStyle w:val="FootnoteText"/>
        <w:jc w:val="both"/>
        <w:rPr>
          <w:color w:val="0000CC"/>
        </w:rPr>
      </w:pPr>
      <w:r w:rsidRPr="00DB5723">
        <w:rPr>
          <w:rStyle w:val="FootnoteReference"/>
        </w:rPr>
        <w:footnoteRef/>
      </w:r>
      <w:r w:rsidRPr="00DB5723">
        <w:t xml:space="preserve"> We recognize that the institutional environment consists of vast arrays of constituents (such as governments, trade associations, local communities, interest groups, activists, etc.). However, the existing research shows that regulators and customers are the two primary forces that shape the rules within the institutional environment </w:t>
      </w:r>
      <w:r w:rsidRPr="00DB5723">
        <w:rPr>
          <w:noProof/>
        </w:rPr>
        <w:t>(Swaminathan &amp; Wade, 2018)</w:t>
      </w:r>
      <w:r w:rsidRPr="0021244A">
        <w:t>,</w:t>
      </w:r>
      <w:r w:rsidRPr="00DB5723">
        <w:t xml:space="preserve"> </w:t>
      </w:r>
      <w:r>
        <w:t>particularly</w:t>
      </w:r>
      <w:r w:rsidRPr="00DB5723">
        <w:t xml:space="preserve"> regarding issues related to </w:t>
      </w:r>
      <w:r>
        <w:t>pro-</w:t>
      </w:r>
      <w:r>
        <w:t>environemntal strategy</w:t>
      </w:r>
      <w:r w:rsidRPr="00DB5723">
        <w:t xml:space="preserve"> </w:t>
      </w:r>
      <w:r>
        <w:rPr>
          <w:noProof/>
        </w:rPr>
        <w:t>(Delmas &amp; Toffel, 2008; Li</w:t>
      </w:r>
      <w:r w:rsidRPr="008B46D8">
        <w:rPr>
          <w:i/>
          <w:noProof/>
        </w:rPr>
        <w:t xml:space="preserve"> et al.</w:t>
      </w:r>
      <w:r>
        <w:rPr>
          <w:noProof/>
        </w:rPr>
        <w:t>, 2019)</w:t>
      </w:r>
      <w:r w:rsidRPr="00DB5723">
        <w:t xml:space="preserve"> that is the focus of this research.</w:t>
      </w:r>
    </w:p>
  </w:footnote>
  <w:footnote w:id="3">
    <w:p w14:paraId="42CD402D" w14:textId="77777777" w:rsidR="002E0FEA" w:rsidRPr="009362D0" w:rsidRDefault="002E0FEA" w:rsidP="009362D0">
      <w:pPr>
        <w:pStyle w:val="FootnoteText"/>
        <w:jc w:val="both"/>
      </w:pPr>
      <w:r w:rsidRPr="009362D0">
        <w:rPr>
          <w:rStyle w:val="FootnoteReference"/>
        </w:rPr>
        <w:footnoteRef/>
      </w:r>
      <w:r w:rsidRPr="009362D0">
        <w:t xml:space="preserve"> The three major economic clusters are “Jing-</w:t>
      </w:r>
      <w:r w:rsidRPr="009362D0">
        <w:t xml:space="preserve">Jin-Ji” (Capital Economic Zone), “Yangtze River Delta,” and “Pearl River Delta” (Greater Bay Area). The SMEs in these three clusters are considered the most innovative and internationally-oriented in China, and accounted for </w:t>
      </w:r>
      <w:r w:rsidRPr="00F1299C">
        <w:t>approximately 40% of China’s national G</w:t>
      </w:r>
      <w:r w:rsidRPr="00C06484">
        <w:t>DP</w:t>
      </w:r>
      <w:r w:rsidRPr="009362D0">
        <w:t xml:space="preserve"> </w:t>
      </w:r>
      <w:r w:rsidRPr="009362D0">
        <w:rPr>
          <w:noProof/>
        </w:rPr>
        <w:t>(Groff &amp; Rau, 2019; Sheng, Zhao, Zhang, Song, &amp; Miao, 2019)</w:t>
      </w:r>
      <w:r w:rsidRPr="00246660">
        <w:t>.</w:t>
      </w:r>
    </w:p>
  </w:footnote>
  <w:footnote w:id="4">
    <w:p w14:paraId="5723D20B" w14:textId="77777777" w:rsidR="002E0FEA" w:rsidRPr="00AB682D" w:rsidRDefault="002E0FEA" w:rsidP="009362D0">
      <w:pPr>
        <w:pStyle w:val="FootnoteText"/>
        <w:jc w:val="both"/>
      </w:pPr>
      <w:r w:rsidRPr="009362D0">
        <w:rPr>
          <w:rStyle w:val="FootnoteReference"/>
        </w:rPr>
        <w:footnoteRef/>
      </w:r>
      <w:r w:rsidRPr="009362D0">
        <w:t xml:space="preserve"> We acknowledge that the primary aim of a two-wave survey design (creating a temporal separation) is to avoid potential common method bi</w:t>
      </w:r>
      <w:r w:rsidRPr="00246660">
        <w:t>a</w:t>
      </w:r>
      <w:r w:rsidRPr="00C06484">
        <w:t>s</w:t>
      </w:r>
      <w:r w:rsidRPr="009362D0">
        <w:t xml:space="preserve"> </w:t>
      </w:r>
      <w:r w:rsidRPr="009362D0">
        <w:rPr>
          <w:noProof/>
        </w:rPr>
        <w:t>(Podsakoff, MacKenzie, Lee, &amp; Podsakoff, 2003)</w:t>
      </w:r>
      <w:r w:rsidRPr="009362D0">
        <w:t xml:space="preserve">. Whether such a design </w:t>
      </w:r>
      <w:r>
        <w:t>represents</w:t>
      </w:r>
      <w:r w:rsidRPr="009362D0">
        <w:t xml:space="preserve"> a longitudinal study remains debatab</w:t>
      </w:r>
      <w:r w:rsidRPr="00C06484">
        <w:t>le</w:t>
      </w:r>
      <w:r w:rsidRPr="009362D0">
        <w:t xml:space="preserve"> </w:t>
      </w:r>
      <w:r>
        <w:rPr>
          <w:noProof/>
        </w:rPr>
        <w:t>(Cohen, Cohen, West, &amp; Aiken, 2003; Menard, 2002)</w:t>
      </w:r>
      <w:r w:rsidRPr="009362D0">
        <w:t xml:space="preserve">. </w:t>
      </w:r>
    </w:p>
  </w:footnote>
  <w:footnote w:id="5">
    <w:p w14:paraId="143DC5B8" w14:textId="77777777" w:rsidR="002E0FEA" w:rsidRPr="00853197" w:rsidRDefault="002E0FEA" w:rsidP="0054274E">
      <w:pPr>
        <w:pStyle w:val="FootnoteText"/>
        <w:jc w:val="both"/>
      </w:pPr>
      <w:r w:rsidRPr="00D60B3D">
        <w:rPr>
          <w:rStyle w:val="FootnoteReference"/>
        </w:rPr>
        <w:footnoteRef/>
      </w:r>
      <w:r w:rsidRPr="00D60B3D">
        <w:t xml:space="preserve"> Scale items with low factor loadings are deleted based on the results of </w:t>
      </w:r>
      <w:r>
        <w:t xml:space="preserve">the </w:t>
      </w:r>
      <w:r w:rsidRPr="00D60B3D">
        <w:t>validity and reliability test</w:t>
      </w:r>
      <w:r>
        <w:t>s</w:t>
      </w:r>
      <w:r w:rsidRPr="00D60B3D">
        <w:t xml:space="preserve"> (see Appendix 1).</w:t>
      </w:r>
    </w:p>
  </w:footnote>
  <w:footnote w:id="6">
    <w:p w14:paraId="20D6CF87" w14:textId="77777777" w:rsidR="002E0FEA" w:rsidRPr="00A81A4F" w:rsidRDefault="002E0FEA">
      <w:pPr>
        <w:pStyle w:val="FootnoteText"/>
      </w:pPr>
      <w:r w:rsidRPr="00A81A4F">
        <w:rPr>
          <w:rStyle w:val="FootnoteReference"/>
        </w:rPr>
        <w:footnoteRef/>
      </w:r>
      <w:r w:rsidRPr="00A81A4F">
        <w:t xml:space="preserve"> The item “utilized advanced and new technology from foreign countries” is deleted due to low factor loading.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1F66BE"/>
    <w:multiLevelType w:val="hybridMultilevel"/>
    <w:tmpl w:val="032CEEB4"/>
    <w:lvl w:ilvl="0" w:tplc="F6244784">
      <w:start w:val="1"/>
      <w:numFmt w:val="lowerLetter"/>
      <w:lvlText w:val="(%1)"/>
      <w:lvlJc w:val="left"/>
      <w:pPr>
        <w:ind w:left="6840" w:hanging="50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xNzQyNjEzNDU2MTJW0lEKTi0uzszPAykwqgUAmvjd2ywAAAA="/>
    <w:docVar w:name="EN.InstantFormat" w:val="&lt;ENInstantFormat&gt;&lt;Enabled&gt;1&lt;/Enabled&gt;&lt;ScanUnformatted&gt;1&lt;/ScanUnformatted&gt;&lt;ScanChanges&gt;1&lt;/ScanChanges&gt;&lt;Suspended&gt;1&lt;/Suspended&gt;&lt;/ENInstantFormat&gt;"/>
  </w:docVars>
  <w:rsids>
    <w:rsidRoot w:val="002E0FEA"/>
    <w:rsid w:val="00047839"/>
    <w:rsid w:val="00107024"/>
    <w:rsid w:val="001E3A72"/>
    <w:rsid w:val="002E0FEA"/>
    <w:rsid w:val="00353A27"/>
    <w:rsid w:val="007F0017"/>
    <w:rsid w:val="00B16D0E"/>
    <w:rsid w:val="00EB03A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Straight Arrow Connector 19"/>
        <o:r id="V:Rule2" type="connector" idref="#Straight Arrow Connector 17"/>
        <o:r id="V:Rule3" type="connector" idref="#Straight Arrow Connector 18"/>
        <o:r id="V:Rule4" type="connector" idref="#Straight Arrow Connector 25"/>
      </o:rules>
    </o:shapelayout>
  </w:shapeDefaults>
  <w:decimalSymbol w:val="."/>
  <w:listSeparator w:val=","/>
  <w14:docId w14:val="6BECA756"/>
  <w15:chartTrackingRefBased/>
  <w15:docId w15:val="{2DE9192C-950D-42F8-BD2D-35AC41B6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EA"/>
    <w:pPr>
      <w:spacing w:after="160" w:line="259" w:lineRule="auto"/>
      <w:jc w:val="left"/>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E0FEA"/>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2E0FEA"/>
    <w:rPr>
      <w:rFonts w:eastAsia="SimSun"/>
      <w:sz w:val="20"/>
      <w:szCs w:val="20"/>
      <w:lang w:eastAsia="zh-CN"/>
    </w:rPr>
  </w:style>
  <w:style w:type="character" w:styleId="Hyperlink">
    <w:name w:val="Hyperlink"/>
    <w:uiPriority w:val="99"/>
    <w:unhideWhenUsed/>
    <w:rsid w:val="002E0FEA"/>
    <w:rPr>
      <w:color w:val="0563C1"/>
      <w:u w:val="single"/>
    </w:rPr>
  </w:style>
  <w:style w:type="paragraph" w:styleId="Header">
    <w:name w:val="header"/>
    <w:basedOn w:val="Normal"/>
    <w:link w:val="HeaderChar"/>
    <w:uiPriority w:val="99"/>
    <w:unhideWhenUsed/>
    <w:rsid w:val="002E0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EA"/>
    <w:rPr>
      <w:rFonts w:eastAsia="SimSun"/>
      <w:lang w:eastAsia="zh-CN"/>
    </w:rPr>
  </w:style>
  <w:style w:type="paragraph" w:styleId="Footer">
    <w:name w:val="footer"/>
    <w:basedOn w:val="Normal"/>
    <w:link w:val="FooterChar"/>
    <w:uiPriority w:val="99"/>
    <w:unhideWhenUsed/>
    <w:rsid w:val="002E0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EA"/>
    <w:rPr>
      <w:rFonts w:eastAsia="SimSun"/>
      <w:lang w:eastAsia="zh-CN"/>
    </w:rPr>
  </w:style>
  <w:style w:type="character" w:styleId="CommentReference">
    <w:name w:val="annotation reference"/>
    <w:uiPriority w:val="99"/>
    <w:semiHidden/>
    <w:unhideWhenUsed/>
    <w:rsid w:val="002E0FEA"/>
    <w:rPr>
      <w:sz w:val="16"/>
      <w:szCs w:val="16"/>
    </w:rPr>
  </w:style>
  <w:style w:type="paragraph" w:styleId="CommentText">
    <w:name w:val="annotation text"/>
    <w:basedOn w:val="Normal"/>
    <w:link w:val="CommentTextChar"/>
    <w:uiPriority w:val="99"/>
    <w:semiHidden/>
    <w:unhideWhenUsed/>
    <w:rsid w:val="002E0FEA"/>
    <w:pPr>
      <w:spacing w:line="240" w:lineRule="auto"/>
    </w:pPr>
    <w:rPr>
      <w:sz w:val="20"/>
      <w:szCs w:val="20"/>
    </w:rPr>
  </w:style>
  <w:style w:type="character" w:customStyle="1" w:styleId="CommentTextChar">
    <w:name w:val="Comment Text Char"/>
    <w:link w:val="CommentText"/>
    <w:uiPriority w:val="99"/>
    <w:semiHidden/>
    <w:rsid w:val="002E0FEA"/>
    <w:rPr>
      <w:rFonts w:eastAsia="SimSun"/>
      <w:sz w:val="20"/>
      <w:szCs w:val="20"/>
      <w:lang w:eastAsia="zh-CN"/>
    </w:rPr>
  </w:style>
  <w:style w:type="paragraph" w:styleId="CommentSubject">
    <w:name w:val="annotation subject"/>
    <w:basedOn w:val="CommentText"/>
    <w:next w:val="CommentText"/>
    <w:link w:val="CommentSubjectChar"/>
    <w:uiPriority w:val="99"/>
    <w:semiHidden/>
    <w:unhideWhenUsed/>
    <w:rsid w:val="002E0FEA"/>
    <w:rPr>
      <w:b/>
      <w:bCs/>
    </w:rPr>
  </w:style>
  <w:style w:type="character" w:customStyle="1" w:styleId="CommentSubjectChar">
    <w:name w:val="Comment Subject Char"/>
    <w:link w:val="CommentSubject"/>
    <w:uiPriority w:val="99"/>
    <w:semiHidden/>
    <w:rsid w:val="002E0FEA"/>
    <w:rPr>
      <w:rFonts w:eastAsia="SimSun"/>
      <w:b/>
      <w:bCs/>
      <w:sz w:val="20"/>
      <w:szCs w:val="20"/>
      <w:lang w:eastAsia="zh-CN"/>
    </w:rPr>
  </w:style>
  <w:style w:type="paragraph" w:styleId="BalloonText">
    <w:name w:val="Balloon Text"/>
    <w:basedOn w:val="Normal"/>
    <w:link w:val="BalloonTextChar"/>
    <w:uiPriority w:val="99"/>
    <w:semiHidden/>
    <w:unhideWhenUsed/>
    <w:rsid w:val="002E0F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0FEA"/>
    <w:rPr>
      <w:rFonts w:ascii="Segoe UI" w:eastAsia="SimSun" w:hAnsi="Segoe UI" w:cs="Segoe UI"/>
      <w:sz w:val="18"/>
      <w:szCs w:val="18"/>
      <w:lang w:eastAsia="zh-CN"/>
    </w:rPr>
  </w:style>
  <w:style w:type="paragraph" w:styleId="ListParagraph">
    <w:name w:val="List Paragraph"/>
    <w:basedOn w:val="Normal"/>
    <w:uiPriority w:val="34"/>
    <w:qFormat/>
    <w:rsid w:val="002E0FEA"/>
    <w:pPr>
      <w:ind w:left="720"/>
      <w:contextualSpacing/>
    </w:pPr>
  </w:style>
  <w:style w:type="character" w:styleId="FootnoteReference">
    <w:name w:val="footnote reference"/>
    <w:uiPriority w:val="99"/>
    <w:semiHidden/>
    <w:unhideWhenUsed/>
    <w:rsid w:val="002E0FEA"/>
    <w:rPr>
      <w:vertAlign w:val="superscript"/>
    </w:rPr>
  </w:style>
  <w:style w:type="paragraph" w:styleId="EndnoteText">
    <w:name w:val="endnote text"/>
    <w:basedOn w:val="Normal"/>
    <w:link w:val="EndnoteTextChar"/>
    <w:uiPriority w:val="99"/>
    <w:semiHidden/>
    <w:unhideWhenUsed/>
    <w:rsid w:val="002E0F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0FEA"/>
    <w:rPr>
      <w:rFonts w:eastAsia="SimSun"/>
      <w:sz w:val="20"/>
      <w:szCs w:val="20"/>
      <w:lang w:eastAsia="zh-CN"/>
    </w:rPr>
  </w:style>
  <w:style w:type="character" w:styleId="EndnoteReference">
    <w:name w:val="endnote reference"/>
    <w:uiPriority w:val="99"/>
    <w:semiHidden/>
    <w:unhideWhenUsed/>
    <w:rsid w:val="002E0FEA"/>
    <w:rPr>
      <w:vertAlign w:val="superscript"/>
    </w:rPr>
  </w:style>
  <w:style w:type="paragraph" w:customStyle="1" w:styleId="EndNoteBibliographyTitle">
    <w:name w:val="EndNote Bibliography Title"/>
    <w:basedOn w:val="Normal"/>
    <w:link w:val="EndNoteBibliographyTitleChar"/>
    <w:rsid w:val="002E0FEA"/>
    <w:pPr>
      <w:spacing w:after="0"/>
      <w:jc w:val="center"/>
    </w:pPr>
    <w:rPr>
      <w:noProof/>
    </w:rPr>
  </w:style>
  <w:style w:type="character" w:customStyle="1" w:styleId="EndNoteBibliographyTitleChar">
    <w:name w:val="EndNote Bibliography Title Char"/>
    <w:link w:val="EndNoteBibliographyTitle"/>
    <w:rsid w:val="002E0FEA"/>
    <w:rPr>
      <w:rFonts w:eastAsia="SimSun"/>
      <w:noProof/>
      <w:lang w:eastAsia="zh-CN"/>
    </w:rPr>
  </w:style>
  <w:style w:type="paragraph" w:customStyle="1" w:styleId="EndNoteBibliography">
    <w:name w:val="EndNote Bibliography"/>
    <w:basedOn w:val="Normal"/>
    <w:link w:val="EndNoteBibliographyChar"/>
    <w:rsid w:val="002E0FEA"/>
    <w:pPr>
      <w:spacing w:line="360" w:lineRule="auto"/>
      <w:jc w:val="both"/>
    </w:pPr>
    <w:rPr>
      <w:noProof/>
    </w:rPr>
  </w:style>
  <w:style w:type="character" w:customStyle="1" w:styleId="EndNoteBibliographyChar">
    <w:name w:val="EndNote Bibliography Char"/>
    <w:link w:val="EndNoteBibliography"/>
    <w:rsid w:val="002E0FEA"/>
    <w:rPr>
      <w:rFonts w:eastAsia="SimSun"/>
      <w:noProof/>
      <w:lang w:eastAsia="zh-CN"/>
    </w:rPr>
  </w:style>
  <w:style w:type="character" w:customStyle="1" w:styleId="UnresolvedMention1">
    <w:name w:val="Unresolved Mention1"/>
    <w:uiPriority w:val="99"/>
    <w:semiHidden/>
    <w:unhideWhenUsed/>
    <w:rsid w:val="002E0FEA"/>
    <w:rPr>
      <w:color w:val="605E5C"/>
      <w:shd w:val="clear" w:color="auto" w:fill="E1DFDD"/>
    </w:rPr>
  </w:style>
  <w:style w:type="character" w:styleId="UnresolvedMention">
    <w:name w:val="Unresolved Mention"/>
    <w:uiPriority w:val="99"/>
    <w:semiHidden/>
    <w:unhideWhenUsed/>
    <w:rsid w:val="002E0FEA"/>
    <w:rPr>
      <w:color w:val="605E5C"/>
      <w:shd w:val="clear" w:color="auto" w:fill="E1DFDD"/>
    </w:rPr>
  </w:style>
  <w:style w:type="table" w:styleId="TableGrid">
    <w:name w:val="Table Grid"/>
    <w:basedOn w:val="TableNormal"/>
    <w:uiPriority w:val="39"/>
    <w:rsid w:val="002E0FE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FEA"/>
    <w:pPr>
      <w:jc w:val="left"/>
    </w:pPr>
    <w:rPr>
      <w:rFonts w:eastAsia="SimSun"/>
      <w:lang w:eastAsia="zh-CN"/>
    </w:rPr>
  </w:style>
  <w:style w:type="table" w:customStyle="1" w:styleId="TableGrid1">
    <w:name w:val="Table Grid1"/>
    <w:basedOn w:val="TableNormal"/>
    <w:next w:val="TableGrid"/>
    <w:uiPriority w:val="39"/>
    <w:rsid w:val="002E0FEA"/>
    <w:pPr>
      <w:jc w:val="left"/>
    </w:pPr>
    <w:rPr>
      <w:rFonts w:eastAsia="SimSu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60</Pages>
  <Words>17488</Words>
  <Characters>99686</Characters>
  <Application>Microsoft Office Word</Application>
  <DocSecurity>0</DocSecurity>
  <Lines>830</Lines>
  <Paragraphs>233</Paragraphs>
  <ScaleCrop>false</ScaleCrop>
  <Company/>
  <LinksUpToDate>false</LinksUpToDate>
  <CharactersWithSpaces>116941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Gordon.Liu</dc:creator>
  <cp:keywords/>
  <dc:description/>
  <cp:lastModifiedBy>Gordon.Liu</cp:lastModifiedBy>
  <cp:revision>3</cp:revision>
  <dcterms:created xsi:type="dcterms:W3CDTF">2021-07-11T10:00:00Z</dcterms:created>
  <dcterms:modified xsi:type="dcterms:W3CDTF">2021-07-12T21:45:00Z</dcterms:modified>
</cp:coreProperties>
</file>