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D41EB" w14:textId="338B281B" w:rsidR="00526B1E" w:rsidRPr="00936188" w:rsidRDefault="006748D6" w:rsidP="001A48C5">
      <w:pPr>
        <w:spacing w:line="360" w:lineRule="auto"/>
        <w:jc w:val="both"/>
        <w:rPr>
          <w:b/>
          <w:bCs/>
        </w:rPr>
      </w:pPr>
      <w:r>
        <w:rPr>
          <w:b/>
          <w:bCs/>
        </w:rPr>
        <w:t>H</w:t>
      </w:r>
      <w:r w:rsidR="008C55A9" w:rsidRPr="00936188">
        <w:rPr>
          <w:b/>
          <w:bCs/>
        </w:rPr>
        <w:t xml:space="preserve">ydrogen </w:t>
      </w:r>
      <w:r w:rsidR="00A5102C">
        <w:rPr>
          <w:b/>
          <w:bCs/>
        </w:rPr>
        <w:t>A</w:t>
      </w:r>
      <w:r>
        <w:rPr>
          <w:b/>
          <w:bCs/>
        </w:rPr>
        <w:t xml:space="preserve">dsorption </w:t>
      </w:r>
      <w:r w:rsidR="008C55A9" w:rsidRPr="00936188">
        <w:rPr>
          <w:b/>
          <w:bCs/>
        </w:rPr>
        <w:t>in</w:t>
      </w:r>
      <w:r w:rsidR="00E66473">
        <w:rPr>
          <w:b/>
          <w:bCs/>
        </w:rPr>
        <w:t xml:space="preserve"> </w:t>
      </w:r>
      <w:r w:rsidR="00A5102C">
        <w:rPr>
          <w:b/>
          <w:bCs/>
        </w:rPr>
        <w:t>M</w:t>
      </w:r>
      <w:r w:rsidR="00E66473">
        <w:rPr>
          <w:b/>
          <w:bCs/>
        </w:rPr>
        <w:t>etal-</w:t>
      </w:r>
      <w:r w:rsidR="00A5102C">
        <w:rPr>
          <w:b/>
          <w:bCs/>
        </w:rPr>
        <w:t>O</w:t>
      </w:r>
      <w:r w:rsidR="00E66473">
        <w:rPr>
          <w:b/>
          <w:bCs/>
        </w:rPr>
        <w:t xml:space="preserve">rganic </w:t>
      </w:r>
      <w:r w:rsidR="00A5102C">
        <w:rPr>
          <w:b/>
          <w:bCs/>
        </w:rPr>
        <w:t>F</w:t>
      </w:r>
      <w:r w:rsidR="00E66473">
        <w:rPr>
          <w:b/>
          <w:bCs/>
        </w:rPr>
        <w:t>ramework</w:t>
      </w:r>
      <w:r w:rsidR="008C55A9" w:rsidRPr="00936188">
        <w:rPr>
          <w:b/>
          <w:bCs/>
        </w:rPr>
        <w:t xml:space="preserve"> MIL-101(Cr) – </w:t>
      </w:r>
      <w:r w:rsidR="00E66473">
        <w:rPr>
          <w:b/>
          <w:bCs/>
        </w:rPr>
        <w:t xml:space="preserve">Adsorbate </w:t>
      </w:r>
      <w:r w:rsidR="00A5102C">
        <w:rPr>
          <w:b/>
          <w:bCs/>
        </w:rPr>
        <w:t>D</w:t>
      </w:r>
      <w:r w:rsidR="008C55A9" w:rsidRPr="00936188">
        <w:rPr>
          <w:b/>
          <w:bCs/>
        </w:rPr>
        <w:t xml:space="preserve">ensities and </w:t>
      </w:r>
      <w:r w:rsidR="00A5102C">
        <w:rPr>
          <w:b/>
          <w:bCs/>
        </w:rPr>
        <w:t>E</w:t>
      </w:r>
      <w:r w:rsidR="008C55A9" w:rsidRPr="00936188">
        <w:rPr>
          <w:b/>
          <w:bCs/>
        </w:rPr>
        <w:t xml:space="preserve">nthalpies from </w:t>
      </w:r>
      <w:r w:rsidR="00A5102C">
        <w:rPr>
          <w:b/>
          <w:bCs/>
        </w:rPr>
        <w:t>S</w:t>
      </w:r>
      <w:r w:rsidR="009A448D" w:rsidRPr="00936188">
        <w:rPr>
          <w:b/>
          <w:bCs/>
        </w:rPr>
        <w:t>orption</w:t>
      </w:r>
      <w:r w:rsidR="008C55A9" w:rsidRPr="00936188">
        <w:rPr>
          <w:b/>
          <w:bCs/>
        </w:rPr>
        <w:t xml:space="preserve">, </w:t>
      </w:r>
      <w:r w:rsidR="00A5102C">
        <w:rPr>
          <w:b/>
          <w:bCs/>
        </w:rPr>
        <w:t>N</w:t>
      </w:r>
      <w:r w:rsidR="008C55A9" w:rsidRPr="00936188">
        <w:rPr>
          <w:b/>
          <w:bCs/>
        </w:rPr>
        <w:t xml:space="preserve">eutron </w:t>
      </w:r>
      <w:r w:rsidR="00A5102C">
        <w:rPr>
          <w:b/>
          <w:bCs/>
        </w:rPr>
        <w:t>S</w:t>
      </w:r>
      <w:r w:rsidR="008C55A9" w:rsidRPr="00936188">
        <w:rPr>
          <w:b/>
          <w:bCs/>
        </w:rPr>
        <w:t xml:space="preserve">cattering, </w:t>
      </w:r>
      <w:r w:rsidR="00A5102C">
        <w:rPr>
          <w:b/>
          <w:bCs/>
          <w:i/>
          <w:iCs/>
        </w:rPr>
        <w:t>I</w:t>
      </w:r>
      <w:r w:rsidR="001A48C5" w:rsidRPr="0061026C">
        <w:rPr>
          <w:b/>
          <w:bCs/>
          <w:i/>
          <w:iCs/>
        </w:rPr>
        <w:t>n-</w:t>
      </w:r>
      <w:r w:rsidR="00A5102C">
        <w:rPr>
          <w:b/>
          <w:bCs/>
          <w:i/>
          <w:iCs/>
        </w:rPr>
        <w:t>S</w:t>
      </w:r>
      <w:r w:rsidR="001A48C5" w:rsidRPr="0061026C">
        <w:rPr>
          <w:b/>
          <w:bCs/>
          <w:i/>
          <w:iCs/>
        </w:rPr>
        <w:t>itu</w:t>
      </w:r>
      <w:r w:rsidR="001A48C5" w:rsidRPr="00936188">
        <w:rPr>
          <w:b/>
          <w:bCs/>
        </w:rPr>
        <w:t xml:space="preserve"> X-ray </w:t>
      </w:r>
      <w:r w:rsidR="00A5102C">
        <w:rPr>
          <w:b/>
          <w:bCs/>
        </w:rPr>
        <w:t>D</w:t>
      </w:r>
      <w:r w:rsidR="001A48C5" w:rsidRPr="00936188">
        <w:rPr>
          <w:b/>
          <w:bCs/>
        </w:rPr>
        <w:t xml:space="preserve">iffraction, </w:t>
      </w:r>
      <w:r w:rsidR="00DD2A32">
        <w:rPr>
          <w:b/>
          <w:bCs/>
        </w:rPr>
        <w:t>C</w:t>
      </w:r>
      <w:r w:rsidR="008C55A9" w:rsidRPr="00936188">
        <w:rPr>
          <w:b/>
          <w:bCs/>
        </w:rPr>
        <w:t>alorimetry</w:t>
      </w:r>
      <w:r w:rsidR="00337098" w:rsidRPr="00936188">
        <w:rPr>
          <w:b/>
          <w:bCs/>
        </w:rPr>
        <w:t>,</w:t>
      </w:r>
      <w:r w:rsidR="008C55A9" w:rsidRPr="00936188">
        <w:rPr>
          <w:b/>
          <w:bCs/>
        </w:rPr>
        <w:t xml:space="preserve"> and </w:t>
      </w:r>
      <w:r w:rsidR="00DD2A32">
        <w:rPr>
          <w:b/>
          <w:bCs/>
        </w:rPr>
        <w:t>M</w:t>
      </w:r>
      <w:r w:rsidR="008C55A9" w:rsidRPr="00936188">
        <w:rPr>
          <w:b/>
          <w:bCs/>
        </w:rPr>
        <w:t xml:space="preserve">olecular </w:t>
      </w:r>
      <w:r w:rsidR="00DD2A32">
        <w:rPr>
          <w:b/>
          <w:bCs/>
        </w:rPr>
        <w:t>S</w:t>
      </w:r>
      <w:r w:rsidR="008C55A9" w:rsidRPr="00936188">
        <w:rPr>
          <w:b/>
          <w:bCs/>
        </w:rPr>
        <w:t>imulations</w:t>
      </w:r>
    </w:p>
    <w:p w14:paraId="4F8B7D9A" w14:textId="74EE6842" w:rsidR="008C55A9" w:rsidRPr="00936188" w:rsidRDefault="00716AB7" w:rsidP="001A48C5">
      <w:pPr>
        <w:spacing w:line="360" w:lineRule="auto"/>
        <w:jc w:val="both"/>
      </w:pPr>
      <w:r w:rsidRPr="00936188">
        <w:t>Nuno Bimbo</w:t>
      </w:r>
      <w:r w:rsidR="005B29BE" w:rsidRPr="00525A45">
        <w:rPr>
          <w:vertAlign w:val="superscript"/>
        </w:rPr>
        <w:t>1</w:t>
      </w:r>
      <w:r w:rsidRPr="00936188">
        <w:t>*, Kang Zhang</w:t>
      </w:r>
      <w:r w:rsidR="00525A45">
        <w:rPr>
          <w:vertAlign w:val="superscript"/>
        </w:rPr>
        <w:t>2</w:t>
      </w:r>
      <w:r w:rsidR="00E64BFC">
        <w:rPr>
          <w:vertAlign w:val="superscript"/>
        </w:rPr>
        <w:t>,3</w:t>
      </w:r>
      <w:r w:rsidRPr="00936188">
        <w:t>, Himanshu Aggarwal</w:t>
      </w:r>
      <w:r w:rsidR="00E64BFC">
        <w:rPr>
          <w:vertAlign w:val="superscript"/>
        </w:rPr>
        <w:t>4</w:t>
      </w:r>
      <w:r w:rsidR="00A74954" w:rsidRPr="00A74954">
        <w:rPr>
          <w:sz w:val="18"/>
          <w:szCs w:val="18"/>
          <w:vertAlign w:val="superscript"/>
        </w:rPr>
        <w:t>¥</w:t>
      </w:r>
      <w:r w:rsidRPr="00936188">
        <w:t>, Tim</w:t>
      </w:r>
      <w:r w:rsidR="00E66473">
        <w:t>othy J.</w:t>
      </w:r>
      <w:r w:rsidRPr="00936188">
        <w:t xml:space="preserve"> Mays</w:t>
      </w:r>
      <w:r w:rsidR="00E64BFC">
        <w:rPr>
          <w:vertAlign w:val="superscript"/>
        </w:rPr>
        <w:t>5</w:t>
      </w:r>
      <w:r w:rsidRPr="00936188">
        <w:t xml:space="preserve">, </w:t>
      </w:r>
      <w:proofErr w:type="spellStart"/>
      <w:r w:rsidRPr="00936188">
        <w:t>Jianwen</w:t>
      </w:r>
      <w:proofErr w:type="spellEnd"/>
      <w:r w:rsidRPr="00936188">
        <w:t xml:space="preserve"> Jiang</w:t>
      </w:r>
      <w:r w:rsidR="00E55420">
        <w:rPr>
          <w:vertAlign w:val="superscript"/>
        </w:rPr>
        <w:t>2</w:t>
      </w:r>
      <w:r w:rsidRPr="00936188">
        <w:t xml:space="preserve">, </w:t>
      </w:r>
      <w:r w:rsidR="001F6F4B">
        <w:t>Leonard J.</w:t>
      </w:r>
      <w:r w:rsidR="001F6F4B" w:rsidRPr="00936188">
        <w:t xml:space="preserve"> </w:t>
      </w:r>
      <w:r w:rsidRPr="00936188">
        <w:t>Barbour</w:t>
      </w:r>
      <w:r w:rsidR="00E64BFC">
        <w:rPr>
          <w:vertAlign w:val="superscript"/>
        </w:rPr>
        <w:t>4</w:t>
      </w:r>
      <w:r w:rsidRPr="00936188">
        <w:t>, Valeska P. Ting</w:t>
      </w:r>
      <w:r w:rsidR="00E64BFC">
        <w:rPr>
          <w:vertAlign w:val="superscript"/>
        </w:rPr>
        <w:t>6</w:t>
      </w:r>
      <w:r w:rsidRPr="00936188">
        <w:t>*</w:t>
      </w:r>
    </w:p>
    <w:p w14:paraId="043C0452" w14:textId="4793EE56" w:rsidR="005B29BE" w:rsidRDefault="005B29BE" w:rsidP="005B29BE">
      <w:pPr>
        <w:spacing w:line="360" w:lineRule="auto"/>
        <w:jc w:val="both"/>
        <w:rPr>
          <w:sz w:val="18"/>
          <w:szCs w:val="18"/>
        </w:rPr>
      </w:pPr>
      <w:r w:rsidRPr="00525A45">
        <w:rPr>
          <w:sz w:val="18"/>
          <w:szCs w:val="18"/>
          <w:vertAlign w:val="superscript"/>
        </w:rPr>
        <w:t>1</w:t>
      </w:r>
      <w:r w:rsidRPr="00525A45">
        <w:rPr>
          <w:sz w:val="18"/>
          <w:szCs w:val="18"/>
        </w:rPr>
        <w:t>School of Chemistry, Highfield Campus, University of Southampton, Southampton, SO17 1BJ, United Kingdom</w:t>
      </w:r>
    </w:p>
    <w:p w14:paraId="5F16614E" w14:textId="3A3CF558" w:rsidR="003B73CB" w:rsidRDefault="00E55420" w:rsidP="005B29BE">
      <w:pPr>
        <w:spacing w:line="360" w:lineRule="auto"/>
        <w:jc w:val="both"/>
        <w:rPr>
          <w:sz w:val="18"/>
          <w:szCs w:val="18"/>
        </w:rPr>
      </w:pPr>
      <w:r w:rsidRPr="00E55420">
        <w:rPr>
          <w:sz w:val="18"/>
          <w:szCs w:val="18"/>
          <w:vertAlign w:val="superscript"/>
        </w:rPr>
        <w:t>2</w:t>
      </w:r>
      <w:r w:rsidR="003B73CB" w:rsidRPr="003B73CB">
        <w:rPr>
          <w:sz w:val="18"/>
          <w:szCs w:val="18"/>
        </w:rPr>
        <w:t>Department of Chemical and Biomolecular Engineering, National University of Singapore, 117576</w:t>
      </w:r>
      <w:r w:rsidR="00AB302F">
        <w:rPr>
          <w:sz w:val="18"/>
          <w:szCs w:val="18"/>
        </w:rPr>
        <w:t>,</w:t>
      </w:r>
      <w:r w:rsidR="003B73CB" w:rsidRPr="003B73CB">
        <w:rPr>
          <w:sz w:val="18"/>
          <w:szCs w:val="18"/>
        </w:rPr>
        <w:t xml:space="preserve"> Singapore</w:t>
      </w:r>
    </w:p>
    <w:p w14:paraId="6F90B7DA" w14:textId="66387B80" w:rsidR="00E64BFC" w:rsidRPr="00993A38" w:rsidRDefault="00E64BFC" w:rsidP="00993A38">
      <w:pPr>
        <w:spacing w:after="120"/>
        <w:rPr>
          <w:rFonts w:eastAsiaTheme="minorEastAsia" w:cs="Arial"/>
          <w:sz w:val="18"/>
          <w:szCs w:val="18"/>
          <w:lang w:val="en-US" w:eastAsia="zh-CN"/>
        </w:rPr>
      </w:pPr>
      <w:r w:rsidRPr="00993A38">
        <w:rPr>
          <w:rFonts w:eastAsia="Times New Roman" w:cs="Arial"/>
          <w:sz w:val="18"/>
          <w:szCs w:val="18"/>
          <w:vertAlign w:val="superscript"/>
          <w:lang w:val="en-US" w:eastAsia="zh-CN"/>
        </w:rPr>
        <w:t>3</w:t>
      </w:r>
      <w:r w:rsidRPr="00993A38">
        <w:rPr>
          <w:rFonts w:eastAsia="Times New Roman" w:cs="Arial"/>
          <w:sz w:val="18"/>
          <w:szCs w:val="18"/>
          <w:lang w:val="en-US" w:eastAsia="zh-CN"/>
        </w:rPr>
        <w:t>Institute of Advanced Materials and Flexible Electronics (IAMFE), School of Chemistry and Materials Science, Nanjing University of Information Science &amp; Technology, 210044, Nanjing, China</w:t>
      </w:r>
    </w:p>
    <w:p w14:paraId="46EBADF4" w14:textId="7BF95EC5" w:rsidR="005B29BE" w:rsidRPr="00525A45" w:rsidRDefault="00E64BFC" w:rsidP="005B29BE">
      <w:pPr>
        <w:spacing w:line="360" w:lineRule="auto"/>
        <w:jc w:val="both"/>
        <w:rPr>
          <w:sz w:val="18"/>
          <w:szCs w:val="18"/>
        </w:rPr>
      </w:pPr>
      <w:r>
        <w:rPr>
          <w:sz w:val="18"/>
          <w:szCs w:val="18"/>
          <w:vertAlign w:val="superscript"/>
        </w:rPr>
        <w:t>4</w:t>
      </w:r>
      <w:r w:rsidR="005B29BE" w:rsidRPr="00525A45">
        <w:rPr>
          <w:sz w:val="18"/>
          <w:szCs w:val="18"/>
        </w:rPr>
        <w:t xml:space="preserve">Department of Chemistry and Polymer Science, University of Stellenbosch, </w:t>
      </w:r>
      <w:proofErr w:type="spellStart"/>
      <w:r w:rsidR="005B29BE" w:rsidRPr="00525A45">
        <w:rPr>
          <w:sz w:val="18"/>
          <w:szCs w:val="18"/>
        </w:rPr>
        <w:t>Matieland</w:t>
      </w:r>
      <w:proofErr w:type="spellEnd"/>
      <w:r w:rsidR="005B29BE" w:rsidRPr="00525A45">
        <w:rPr>
          <w:sz w:val="18"/>
          <w:szCs w:val="18"/>
        </w:rPr>
        <w:t xml:space="preserve"> 7600, South Africa</w:t>
      </w:r>
    </w:p>
    <w:p w14:paraId="5A7D3C0F" w14:textId="28B5B609" w:rsidR="005B29BE" w:rsidRPr="00525A45" w:rsidRDefault="00E64BFC" w:rsidP="005B29BE">
      <w:pPr>
        <w:spacing w:line="360" w:lineRule="auto"/>
        <w:jc w:val="both"/>
        <w:rPr>
          <w:sz w:val="18"/>
          <w:szCs w:val="18"/>
        </w:rPr>
      </w:pPr>
      <w:r>
        <w:rPr>
          <w:sz w:val="18"/>
          <w:szCs w:val="18"/>
          <w:vertAlign w:val="superscript"/>
        </w:rPr>
        <w:t>5</w:t>
      </w:r>
      <w:r w:rsidR="005B29BE" w:rsidRPr="00525A45">
        <w:rPr>
          <w:sz w:val="18"/>
          <w:szCs w:val="18"/>
        </w:rPr>
        <w:t xml:space="preserve">Department of Chemical Engineering, University of Bath, </w:t>
      </w:r>
      <w:proofErr w:type="spellStart"/>
      <w:r w:rsidR="005B29BE" w:rsidRPr="00525A45">
        <w:rPr>
          <w:sz w:val="18"/>
          <w:szCs w:val="18"/>
        </w:rPr>
        <w:t>Claverton</w:t>
      </w:r>
      <w:proofErr w:type="spellEnd"/>
      <w:r w:rsidR="005B29BE" w:rsidRPr="00525A45">
        <w:rPr>
          <w:sz w:val="18"/>
          <w:szCs w:val="18"/>
        </w:rPr>
        <w:t xml:space="preserve"> Down, Bath, BA2 7AY, United Kingdom</w:t>
      </w:r>
    </w:p>
    <w:p w14:paraId="4D6908EA" w14:textId="0E341197" w:rsidR="00A94AD9" w:rsidRPr="00525A45" w:rsidRDefault="00E64BFC" w:rsidP="005B29BE">
      <w:pPr>
        <w:spacing w:line="360" w:lineRule="auto"/>
        <w:jc w:val="both"/>
        <w:rPr>
          <w:sz w:val="18"/>
          <w:szCs w:val="18"/>
        </w:rPr>
      </w:pPr>
      <w:r>
        <w:rPr>
          <w:sz w:val="18"/>
          <w:szCs w:val="18"/>
          <w:vertAlign w:val="superscript"/>
        </w:rPr>
        <w:t>6</w:t>
      </w:r>
      <w:r w:rsidR="005B29BE" w:rsidRPr="00525A45">
        <w:rPr>
          <w:sz w:val="18"/>
          <w:szCs w:val="18"/>
        </w:rPr>
        <w:t>Department of Mechanical Engineering, University of Bristol, Bristol BS8 1TR, U</w:t>
      </w:r>
      <w:r w:rsidR="00C323DE">
        <w:rPr>
          <w:sz w:val="18"/>
          <w:szCs w:val="18"/>
        </w:rPr>
        <w:t xml:space="preserve">nited </w:t>
      </w:r>
      <w:r w:rsidR="005B29BE" w:rsidRPr="00525A45">
        <w:rPr>
          <w:sz w:val="18"/>
          <w:szCs w:val="18"/>
        </w:rPr>
        <w:t>K</w:t>
      </w:r>
      <w:r w:rsidR="00C323DE">
        <w:rPr>
          <w:sz w:val="18"/>
          <w:szCs w:val="18"/>
        </w:rPr>
        <w:t>ingdom</w:t>
      </w:r>
    </w:p>
    <w:p w14:paraId="7D43C632" w14:textId="435816AF" w:rsidR="00E55420" w:rsidRDefault="00E55420" w:rsidP="001A48C5">
      <w:pPr>
        <w:spacing w:line="360" w:lineRule="auto"/>
        <w:jc w:val="both"/>
        <w:rPr>
          <w:sz w:val="18"/>
          <w:szCs w:val="18"/>
        </w:rPr>
      </w:pPr>
    </w:p>
    <w:p w14:paraId="77459539" w14:textId="77777777" w:rsidR="002C659A" w:rsidRDefault="002C659A" w:rsidP="002C659A">
      <w:pPr>
        <w:spacing w:line="360" w:lineRule="auto"/>
        <w:jc w:val="both"/>
        <w:rPr>
          <w:sz w:val="18"/>
          <w:szCs w:val="18"/>
        </w:rPr>
      </w:pPr>
      <w:r>
        <w:rPr>
          <w:sz w:val="18"/>
          <w:szCs w:val="18"/>
        </w:rPr>
        <w:t>*Corresponding authors:</w:t>
      </w:r>
    </w:p>
    <w:p w14:paraId="71EB9F27" w14:textId="36444599" w:rsidR="002C659A" w:rsidRDefault="0072263B" w:rsidP="002C659A">
      <w:pPr>
        <w:spacing w:line="360" w:lineRule="auto"/>
        <w:jc w:val="both"/>
        <w:rPr>
          <w:sz w:val="18"/>
          <w:szCs w:val="18"/>
        </w:rPr>
      </w:pPr>
      <w:r>
        <w:rPr>
          <w:sz w:val="18"/>
          <w:szCs w:val="18"/>
        </w:rPr>
        <w:t xml:space="preserve">Dr </w:t>
      </w:r>
      <w:r w:rsidR="002C659A" w:rsidRPr="002C659A">
        <w:rPr>
          <w:sz w:val="18"/>
          <w:szCs w:val="18"/>
        </w:rPr>
        <w:t xml:space="preserve">Nuno Bimbo </w:t>
      </w:r>
    </w:p>
    <w:p w14:paraId="10EEFAE5" w14:textId="2AD4469B" w:rsidR="002C659A" w:rsidRPr="002C659A" w:rsidRDefault="002C659A" w:rsidP="002C659A">
      <w:pPr>
        <w:spacing w:line="360" w:lineRule="auto"/>
        <w:jc w:val="both"/>
        <w:rPr>
          <w:sz w:val="18"/>
          <w:szCs w:val="18"/>
        </w:rPr>
      </w:pPr>
      <w:r w:rsidRPr="002C659A">
        <w:rPr>
          <w:sz w:val="18"/>
          <w:szCs w:val="18"/>
        </w:rPr>
        <w:t>School of Chemistry, Highfield Campus, University of Southampton, Southampton, SO17 1BJ, United Kingdom</w:t>
      </w:r>
    </w:p>
    <w:p w14:paraId="09963947" w14:textId="6693B0B9" w:rsidR="002C659A" w:rsidRPr="0026180E" w:rsidRDefault="002C659A" w:rsidP="001A48C5">
      <w:pPr>
        <w:spacing w:line="360" w:lineRule="auto"/>
        <w:jc w:val="both"/>
        <w:rPr>
          <w:sz w:val="18"/>
          <w:szCs w:val="18"/>
          <w:lang w:val="pt-PT"/>
        </w:rPr>
      </w:pPr>
      <w:r w:rsidRPr="002C659A">
        <w:rPr>
          <w:sz w:val="18"/>
          <w:szCs w:val="18"/>
          <w:lang w:val="pt-PT"/>
        </w:rPr>
        <w:t>E-mail: n.bimbo@soton.ac.uk</w:t>
      </w:r>
    </w:p>
    <w:p w14:paraId="64E358F3" w14:textId="4226FD2C" w:rsidR="002C659A" w:rsidRDefault="0072263B" w:rsidP="001A48C5">
      <w:pPr>
        <w:spacing w:line="360" w:lineRule="auto"/>
        <w:jc w:val="both"/>
        <w:rPr>
          <w:sz w:val="18"/>
          <w:szCs w:val="18"/>
        </w:rPr>
      </w:pPr>
      <w:r>
        <w:rPr>
          <w:sz w:val="18"/>
          <w:szCs w:val="18"/>
        </w:rPr>
        <w:t xml:space="preserve">Prof </w:t>
      </w:r>
      <w:r w:rsidR="00F83D08">
        <w:rPr>
          <w:sz w:val="18"/>
          <w:szCs w:val="18"/>
        </w:rPr>
        <w:t>Valeska</w:t>
      </w:r>
      <w:r>
        <w:rPr>
          <w:sz w:val="18"/>
          <w:szCs w:val="18"/>
        </w:rPr>
        <w:t xml:space="preserve"> P</w:t>
      </w:r>
      <w:r w:rsidR="00F83D08">
        <w:rPr>
          <w:sz w:val="18"/>
          <w:szCs w:val="18"/>
        </w:rPr>
        <w:t xml:space="preserve"> Ting</w:t>
      </w:r>
    </w:p>
    <w:p w14:paraId="71469A60" w14:textId="66E71A66" w:rsidR="0072263B" w:rsidRPr="00525A45" w:rsidRDefault="0072263B" w:rsidP="0072263B">
      <w:pPr>
        <w:spacing w:line="360" w:lineRule="auto"/>
        <w:jc w:val="both"/>
        <w:rPr>
          <w:sz w:val="18"/>
          <w:szCs w:val="18"/>
        </w:rPr>
      </w:pPr>
      <w:r w:rsidRPr="00525A45">
        <w:rPr>
          <w:sz w:val="18"/>
          <w:szCs w:val="18"/>
        </w:rPr>
        <w:t>Department of Mechanical Engineering, University of Bristol, Bristol BS8 1TR, U</w:t>
      </w:r>
      <w:r w:rsidR="0084650E">
        <w:rPr>
          <w:sz w:val="18"/>
          <w:szCs w:val="18"/>
        </w:rPr>
        <w:t xml:space="preserve">nited </w:t>
      </w:r>
      <w:r w:rsidRPr="00525A45">
        <w:rPr>
          <w:sz w:val="18"/>
          <w:szCs w:val="18"/>
        </w:rPr>
        <w:t>K</w:t>
      </w:r>
      <w:r w:rsidR="0084650E">
        <w:rPr>
          <w:sz w:val="18"/>
          <w:szCs w:val="18"/>
        </w:rPr>
        <w:t>ingdom</w:t>
      </w:r>
    </w:p>
    <w:p w14:paraId="621E66BC" w14:textId="00E7B788" w:rsidR="002C659A" w:rsidRPr="0072263B" w:rsidRDefault="0072263B" w:rsidP="001A48C5">
      <w:pPr>
        <w:spacing w:line="360" w:lineRule="auto"/>
        <w:jc w:val="both"/>
        <w:rPr>
          <w:sz w:val="18"/>
          <w:szCs w:val="18"/>
          <w:lang w:val="pt-PT"/>
        </w:rPr>
      </w:pPr>
      <w:r w:rsidRPr="0072263B">
        <w:rPr>
          <w:sz w:val="18"/>
          <w:szCs w:val="18"/>
          <w:lang w:val="pt-PT"/>
        </w:rPr>
        <w:t xml:space="preserve">E-mail: </w:t>
      </w:r>
      <w:r w:rsidR="00937B45" w:rsidRPr="00937B45">
        <w:rPr>
          <w:sz w:val="18"/>
          <w:szCs w:val="18"/>
          <w:lang w:val="pt-PT"/>
        </w:rPr>
        <w:t>v.ting@bristol.ac.uk</w:t>
      </w:r>
    </w:p>
    <w:p w14:paraId="05A7D5C2" w14:textId="547858B3" w:rsidR="006A7375" w:rsidRPr="0026180E" w:rsidRDefault="00882EDE" w:rsidP="001A48C5">
      <w:pPr>
        <w:spacing w:line="360" w:lineRule="auto"/>
        <w:jc w:val="both"/>
        <w:rPr>
          <w:sz w:val="18"/>
          <w:szCs w:val="18"/>
        </w:rPr>
      </w:pPr>
      <w:r w:rsidRPr="00A74954">
        <w:rPr>
          <w:sz w:val="18"/>
          <w:szCs w:val="18"/>
          <w:vertAlign w:val="superscript"/>
        </w:rPr>
        <w:t>¥</w:t>
      </w:r>
      <w:r w:rsidRPr="00882EDE">
        <w:rPr>
          <w:sz w:val="18"/>
          <w:szCs w:val="18"/>
        </w:rPr>
        <w:t xml:space="preserve">Current address: Department of Chemistry, Birla Institute of Technology &amp; Science (BITS), </w:t>
      </w:r>
      <w:proofErr w:type="spellStart"/>
      <w:r w:rsidRPr="00882EDE">
        <w:rPr>
          <w:sz w:val="18"/>
          <w:szCs w:val="18"/>
        </w:rPr>
        <w:t>Pilani</w:t>
      </w:r>
      <w:proofErr w:type="spellEnd"/>
      <w:r w:rsidRPr="00882EDE">
        <w:rPr>
          <w:sz w:val="18"/>
          <w:szCs w:val="18"/>
        </w:rPr>
        <w:t xml:space="preserve">, </w:t>
      </w:r>
      <w:r w:rsidR="001A6013" w:rsidRPr="00882EDE">
        <w:rPr>
          <w:sz w:val="18"/>
          <w:szCs w:val="18"/>
        </w:rPr>
        <w:t>Hyde</w:t>
      </w:r>
      <w:r w:rsidR="001A6013">
        <w:rPr>
          <w:sz w:val="18"/>
          <w:szCs w:val="18"/>
        </w:rPr>
        <w:t>ra</w:t>
      </w:r>
      <w:r w:rsidR="00101875">
        <w:rPr>
          <w:sz w:val="18"/>
          <w:szCs w:val="18"/>
        </w:rPr>
        <w:t>bad</w:t>
      </w:r>
      <w:r w:rsidR="001A6013" w:rsidRPr="00882EDE">
        <w:rPr>
          <w:sz w:val="18"/>
          <w:szCs w:val="18"/>
        </w:rPr>
        <w:t xml:space="preserve"> </w:t>
      </w:r>
      <w:r w:rsidRPr="00882EDE">
        <w:rPr>
          <w:sz w:val="18"/>
          <w:szCs w:val="18"/>
        </w:rPr>
        <w:t xml:space="preserve">Campus, </w:t>
      </w:r>
      <w:r w:rsidR="00101875">
        <w:rPr>
          <w:sz w:val="18"/>
          <w:szCs w:val="18"/>
        </w:rPr>
        <w:t>Hyderabad</w:t>
      </w:r>
      <w:r w:rsidRPr="00882EDE">
        <w:rPr>
          <w:sz w:val="18"/>
          <w:szCs w:val="18"/>
        </w:rPr>
        <w:t>, 500078 Telangana, India</w:t>
      </w:r>
    </w:p>
    <w:p w14:paraId="2310CB54" w14:textId="5332C3C6" w:rsidR="005B29BE" w:rsidRDefault="005B29BE" w:rsidP="001A48C5">
      <w:pPr>
        <w:spacing w:line="360" w:lineRule="auto"/>
        <w:jc w:val="both"/>
      </w:pPr>
    </w:p>
    <w:p w14:paraId="5D8D6383" w14:textId="4F6B411D" w:rsidR="009C25AC" w:rsidRPr="009C25AC" w:rsidRDefault="009C25AC" w:rsidP="001A48C5">
      <w:pPr>
        <w:spacing w:line="360" w:lineRule="auto"/>
        <w:jc w:val="both"/>
        <w:rPr>
          <w:b/>
          <w:bCs/>
        </w:rPr>
      </w:pPr>
      <w:r w:rsidRPr="009C25AC">
        <w:rPr>
          <w:b/>
          <w:bCs/>
        </w:rPr>
        <w:t>Keywords</w:t>
      </w:r>
      <w:r>
        <w:rPr>
          <w:b/>
          <w:bCs/>
        </w:rPr>
        <w:t xml:space="preserve">: </w:t>
      </w:r>
      <w:r w:rsidRPr="009C25AC">
        <w:t xml:space="preserve">Hydrogen storage; metal-organic frameworks; </w:t>
      </w:r>
      <w:r w:rsidR="006807DC">
        <w:t xml:space="preserve">MIL-101(Cr); </w:t>
      </w:r>
      <w:r w:rsidRPr="009C25AC">
        <w:t>inelastic neutron scattering</w:t>
      </w:r>
      <w:r w:rsidR="006807DC">
        <w:t>;</w:t>
      </w:r>
      <w:r w:rsidRPr="009C25AC">
        <w:t xml:space="preserve"> enthalpies of adsorption; adsorbed density.</w:t>
      </w:r>
    </w:p>
    <w:p w14:paraId="64A52FED" w14:textId="77777777" w:rsidR="009C25AC" w:rsidRPr="00E26AC2" w:rsidRDefault="009C25AC" w:rsidP="001A48C5">
      <w:pPr>
        <w:spacing w:line="360" w:lineRule="auto"/>
        <w:jc w:val="both"/>
      </w:pPr>
    </w:p>
    <w:p w14:paraId="74035F7A" w14:textId="0C33853E" w:rsidR="00A94AD9" w:rsidRPr="00936188" w:rsidRDefault="00A94AD9" w:rsidP="001A48C5">
      <w:pPr>
        <w:spacing w:line="360" w:lineRule="auto"/>
        <w:jc w:val="both"/>
        <w:rPr>
          <w:b/>
          <w:bCs/>
        </w:rPr>
      </w:pPr>
      <w:r w:rsidRPr="00936188">
        <w:rPr>
          <w:b/>
          <w:bCs/>
        </w:rPr>
        <w:t>Abstract</w:t>
      </w:r>
    </w:p>
    <w:p w14:paraId="7F764BB7" w14:textId="1B3DB7D3" w:rsidR="008C55A9" w:rsidRPr="00936188" w:rsidRDefault="008C55A9" w:rsidP="001A48C5">
      <w:pPr>
        <w:spacing w:line="360" w:lineRule="auto"/>
        <w:jc w:val="both"/>
      </w:pPr>
      <w:r w:rsidRPr="00936188">
        <w:t>In this paper</w:t>
      </w:r>
      <w:r w:rsidR="009C0B56">
        <w:t>,</w:t>
      </w:r>
      <w:r w:rsidRPr="00936188">
        <w:t xml:space="preserve"> hydrogen adsorption in metal-organic framework</w:t>
      </w:r>
      <w:r w:rsidR="00087C57">
        <w:t xml:space="preserve"> (MOF)</w:t>
      </w:r>
      <w:r w:rsidRPr="00936188">
        <w:t xml:space="preserve"> MIL-101(Cr) </w:t>
      </w:r>
      <w:r w:rsidR="002C626C" w:rsidRPr="00936188">
        <w:t xml:space="preserve">is investigated </w:t>
      </w:r>
      <w:r w:rsidRPr="00936188">
        <w:t>through a combination of sorption experiments, modelling</w:t>
      </w:r>
      <w:r w:rsidR="001A48C5" w:rsidRPr="00936188">
        <w:t xml:space="preserve"> of experimental isotherms</w:t>
      </w:r>
      <w:r w:rsidRPr="00936188">
        <w:t xml:space="preserve">, </w:t>
      </w:r>
      <w:r w:rsidR="001A48C5" w:rsidRPr="00936188">
        <w:t>differential scanning calorimetry</w:t>
      </w:r>
      <w:r w:rsidRPr="00936188">
        <w:t>, neutron scattering</w:t>
      </w:r>
      <w:r w:rsidR="001A48C5" w:rsidRPr="00936188">
        <w:t xml:space="preserve">, </w:t>
      </w:r>
      <w:r w:rsidR="001A48C5" w:rsidRPr="0061026C">
        <w:rPr>
          <w:i/>
          <w:iCs/>
        </w:rPr>
        <w:t xml:space="preserve">in-situ </w:t>
      </w:r>
      <w:r w:rsidR="00A31E10" w:rsidRPr="00936188">
        <w:t xml:space="preserve">synchrotron </w:t>
      </w:r>
      <w:r w:rsidR="001A48C5" w:rsidRPr="00936188">
        <w:t>powder X-ray diffraction,</w:t>
      </w:r>
      <w:r w:rsidRPr="00936188">
        <w:t xml:space="preserve"> and molecular simulations. </w:t>
      </w:r>
      <w:r w:rsidR="00E4488C">
        <w:t>The m</w:t>
      </w:r>
      <w:r w:rsidR="006748D6">
        <w:t xml:space="preserve">olecular </w:t>
      </w:r>
      <w:r w:rsidR="00B42782" w:rsidRPr="00936188">
        <w:t>simulations at 77 K</w:t>
      </w:r>
      <w:r w:rsidR="00337098" w:rsidRPr="00936188">
        <w:t xml:space="preserve"> for </w:t>
      </w:r>
      <w:r w:rsidR="00036A89" w:rsidRPr="00936188">
        <w:t>H</w:t>
      </w:r>
      <w:r w:rsidR="00036A89" w:rsidRPr="00936188">
        <w:rPr>
          <w:vertAlign w:val="subscript"/>
        </w:rPr>
        <w:t>2</w:t>
      </w:r>
      <w:r w:rsidR="00337098" w:rsidRPr="00936188">
        <w:t xml:space="preserve"> adsorption in the material</w:t>
      </w:r>
      <w:r w:rsidR="00B42782" w:rsidRPr="00936188">
        <w:t xml:space="preserve"> show excellent correspondence with </w:t>
      </w:r>
      <w:r w:rsidR="00A40039">
        <w:t>excess</w:t>
      </w:r>
      <w:r w:rsidR="00A40039" w:rsidRPr="00936188">
        <w:t xml:space="preserve"> </w:t>
      </w:r>
      <w:r w:rsidR="00B42782" w:rsidRPr="00936188">
        <w:t xml:space="preserve">uptakes </w:t>
      </w:r>
      <w:r w:rsidR="0009757D">
        <w:t>determined</w:t>
      </w:r>
      <w:r w:rsidR="0009757D" w:rsidRPr="00936188">
        <w:t xml:space="preserve"> </w:t>
      </w:r>
      <w:r w:rsidR="00B42782" w:rsidRPr="00936188">
        <w:t xml:space="preserve">from experimental isotherms. The simulations also indicate that </w:t>
      </w:r>
      <w:r w:rsidR="00036A89" w:rsidRPr="00282A7D">
        <w:rPr>
          <w:rFonts w:cs="Arial"/>
          <w:color w:val="000000" w:themeColor="text1"/>
        </w:rPr>
        <w:t>H</w:t>
      </w:r>
      <w:r w:rsidR="00036A89" w:rsidRPr="00282A7D">
        <w:rPr>
          <w:rFonts w:cs="Arial"/>
          <w:color w:val="000000" w:themeColor="text1"/>
          <w:vertAlign w:val="subscript"/>
        </w:rPr>
        <w:t>2</w:t>
      </w:r>
      <w:r w:rsidR="00B42782" w:rsidRPr="00282A7D">
        <w:rPr>
          <w:rFonts w:cs="Arial"/>
          <w:color w:val="000000" w:themeColor="text1"/>
        </w:rPr>
        <w:t xml:space="preserve"> adsorption </w:t>
      </w:r>
      <w:r w:rsidR="001E3D81" w:rsidRPr="00282A7D">
        <w:rPr>
          <w:rFonts w:cs="Arial"/>
          <w:color w:val="000000" w:themeColor="text1"/>
        </w:rPr>
        <w:t xml:space="preserve">at a low pressure is </w:t>
      </w:r>
      <w:r w:rsidR="009B669F">
        <w:rPr>
          <w:rFonts w:cs="Arial"/>
          <w:color w:val="000000" w:themeColor="text1"/>
        </w:rPr>
        <w:t xml:space="preserve">mainly located </w:t>
      </w:r>
      <w:r w:rsidR="001E3D81" w:rsidRPr="00282A7D">
        <w:rPr>
          <w:rFonts w:cs="Arial"/>
          <w:color w:val="000000" w:themeColor="text1"/>
        </w:rPr>
        <w:t xml:space="preserve">in the </w:t>
      </w:r>
      <w:r w:rsidR="00282A7D">
        <w:rPr>
          <w:rFonts w:cs="Arial"/>
          <w:color w:val="000000" w:themeColor="text1"/>
        </w:rPr>
        <w:t xml:space="preserve">0.7 nm </w:t>
      </w:r>
      <w:r w:rsidR="001E3D81" w:rsidRPr="00282A7D">
        <w:rPr>
          <w:rFonts w:cs="Arial"/>
          <w:color w:val="000000" w:themeColor="text1"/>
        </w:rPr>
        <w:t>super-tetrahedron</w:t>
      </w:r>
      <w:r w:rsidR="00C63A4C">
        <w:rPr>
          <w:rFonts w:cs="Arial"/>
          <w:color w:val="000000" w:themeColor="text1"/>
        </w:rPr>
        <w:t xml:space="preserve"> and</w:t>
      </w:r>
      <w:r w:rsidR="001E3D81" w:rsidRPr="00282A7D">
        <w:rPr>
          <w:rFonts w:cs="Arial"/>
          <w:color w:val="000000" w:themeColor="text1"/>
        </w:rPr>
        <w:t xml:space="preserve"> then </w:t>
      </w:r>
      <w:r w:rsidR="005E370A">
        <w:rPr>
          <w:rFonts w:cs="Arial"/>
          <w:color w:val="000000" w:themeColor="text1"/>
        </w:rPr>
        <w:t xml:space="preserve">with increasing pressure </w:t>
      </w:r>
      <w:r w:rsidR="005E370A" w:rsidRPr="005E370A">
        <w:rPr>
          <w:rFonts w:cs="Arial"/>
          <w:color w:val="000000" w:themeColor="text1"/>
        </w:rPr>
        <w:t>H</w:t>
      </w:r>
      <w:r w:rsidR="005E370A" w:rsidRPr="005E370A">
        <w:rPr>
          <w:rFonts w:cs="Arial"/>
          <w:color w:val="000000" w:themeColor="text1"/>
          <w:vertAlign w:val="subscript"/>
        </w:rPr>
        <w:t>2</w:t>
      </w:r>
      <w:r w:rsidR="005E370A">
        <w:rPr>
          <w:rFonts w:cs="Arial"/>
          <w:color w:val="000000" w:themeColor="text1"/>
        </w:rPr>
        <w:t xml:space="preserve"> starts to accumulate </w:t>
      </w:r>
      <w:r w:rsidR="001E3D81" w:rsidRPr="005E370A">
        <w:rPr>
          <w:rFonts w:cs="Arial"/>
          <w:color w:val="000000" w:themeColor="text1"/>
        </w:rPr>
        <w:t>in</w:t>
      </w:r>
      <w:r w:rsidR="001E3D81" w:rsidRPr="00282A7D">
        <w:rPr>
          <w:rFonts w:cs="Arial"/>
          <w:color w:val="000000" w:themeColor="text1"/>
        </w:rPr>
        <w:t xml:space="preserve"> the small </w:t>
      </w:r>
      <w:r w:rsidR="005E370A">
        <w:rPr>
          <w:rFonts w:cs="Arial"/>
          <w:color w:val="000000" w:themeColor="text1"/>
        </w:rPr>
        <w:t xml:space="preserve">(2.9 nm) </w:t>
      </w:r>
      <w:r w:rsidR="001E3D81" w:rsidRPr="00282A7D">
        <w:rPr>
          <w:rFonts w:cs="Arial"/>
          <w:color w:val="000000" w:themeColor="text1"/>
        </w:rPr>
        <w:t>and large</w:t>
      </w:r>
      <w:r w:rsidR="005E370A">
        <w:rPr>
          <w:rFonts w:cs="Arial"/>
          <w:color w:val="000000" w:themeColor="text1"/>
        </w:rPr>
        <w:t xml:space="preserve"> (3.4 nm)</w:t>
      </w:r>
      <w:r w:rsidR="001E3D81" w:rsidRPr="00282A7D">
        <w:rPr>
          <w:rFonts w:cs="Arial"/>
          <w:color w:val="000000" w:themeColor="text1"/>
        </w:rPr>
        <w:t xml:space="preserve"> cages </w:t>
      </w:r>
      <w:r w:rsidR="00B42782" w:rsidRPr="00282A7D">
        <w:rPr>
          <w:rFonts w:cs="Arial"/>
          <w:color w:val="000000" w:themeColor="text1"/>
        </w:rPr>
        <w:t>with increasing pressure</w:t>
      </w:r>
      <w:r w:rsidR="00B42782" w:rsidRPr="002A74F6">
        <w:rPr>
          <w:color w:val="0000FF"/>
        </w:rPr>
        <w:t xml:space="preserve">. </w:t>
      </w:r>
      <w:r w:rsidR="006906DD" w:rsidRPr="00936188">
        <w:t xml:space="preserve">The inelastic neutron scattering </w:t>
      </w:r>
      <w:r w:rsidR="00B42782" w:rsidRPr="00936188">
        <w:t xml:space="preserve">results show that, </w:t>
      </w:r>
      <w:r w:rsidR="00750C3A">
        <w:t xml:space="preserve">in contrast to </w:t>
      </w:r>
      <w:r w:rsidR="006906DD" w:rsidRPr="00936188">
        <w:t>repor</w:t>
      </w:r>
      <w:r w:rsidR="00750C3A">
        <w:t>ts</w:t>
      </w:r>
      <w:r w:rsidR="006906DD" w:rsidRPr="00936188">
        <w:t xml:space="preserve"> for </w:t>
      </w:r>
      <w:r w:rsidR="00B42782" w:rsidRPr="00936188">
        <w:t xml:space="preserve">hydrogen adsorption under the same conditions for </w:t>
      </w:r>
      <w:r w:rsidR="00075ADB">
        <w:t>microporous</w:t>
      </w:r>
      <w:r w:rsidR="00B42782" w:rsidRPr="00936188">
        <w:t xml:space="preserve"> carbo</w:t>
      </w:r>
      <w:r w:rsidR="00075ADB">
        <w:t>ns</w:t>
      </w:r>
      <w:r w:rsidR="00B42782" w:rsidRPr="00936188">
        <w:t xml:space="preserve">, there is no solid-like </w:t>
      </w:r>
      <w:r w:rsidR="00036A89" w:rsidRPr="00936188">
        <w:t>H</w:t>
      </w:r>
      <w:r w:rsidR="00036A89" w:rsidRPr="00936188">
        <w:rPr>
          <w:vertAlign w:val="subscript"/>
        </w:rPr>
        <w:t>2</w:t>
      </w:r>
      <w:r w:rsidR="00B42782" w:rsidRPr="00936188">
        <w:t xml:space="preserve"> or any higher density </w:t>
      </w:r>
      <w:r w:rsidR="00036A89" w:rsidRPr="00936188">
        <w:t>H</w:t>
      </w:r>
      <w:r w:rsidR="00036A89" w:rsidRPr="00936188">
        <w:rPr>
          <w:vertAlign w:val="subscript"/>
        </w:rPr>
        <w:t>2</w:t>
      </w:r>
      <w:r w:rsidR="00B42782" w:rsidRPr="00936188">
        <w:t xml:space="preserve"> phases adsorbed in the pores of MIL-</w:t>
      </w:r>
      <w:r w:rsidR="00B42782" w:rsidRPr="00936188">
        <w:lastRenderedPageBreak/>
        <w:t xml:space="preserve">101(Cr). </w:t>
      </w:r>
      <w:r w:rsidR="002C626C" w:rsidRPr="00936188">
        <w:t>This indicates</w:t>
      </w:r>
      <w:r w:rsidR="001A48C5" w:rsidRPr="00936188">
        <w:t xml:space="preserve"> </w:t>
      </w:r>
      <w:r w:rsidR="00B42782" w:rsidRPr="00936188">
        <w:t>that</w:t>
      </w:r>
      <w:r w:rsidR="001A48C5" w:rsidRPr="00936188">
        <w:t xml:space="preserve">, with increasing pressures, </w:t>
      </w:r>
      <w:r w:rsidR="00B42782" w:rsidRPr="00936188">
        <w:t xml:space="preserve">the adsorbed density of the MIL-101(Cr) </w:t>
      </w:r>
      <w:r w:rsidR="001A48C5" w:rsidRPr="00936188">
        <w:t>remains</w:t>
      </w:r>
      <w:r w:rsidR="00B42782" w:rsidRPr="00936188">
        <w:t xml:space="preserve"> constant but the volume of adsorbate increases</w:t>
      </w:r>
      <w:r w:rsidR="001A48C5" w:rsidRPr="00936188">
        <w:t xml:space="preserve">, and that higher densities for adsorbed hydrogen require pore sizes </w:t>
      </w:r>
      <w:r w:rsidR="0064365E">
        <w:t>smaller</w:t>
      </w:r>
      <w:r w:rsidR="001A48C5" w:rsidRPr="00936188">
        <w:t xml:space="preserve"> than </w:t>
      </w:r>
      <w:r w:rsidR="00C2346A">
        <w:t>0.</w:t>
      </w:r>
      <w:r w:rsidR="001A48C5" w:rsidRPr="00936188">
        <w:t xml:space="preserve">7 </w:t>
      </w:r>
      <w:r w:rsidR="00C2346A">
        <w:rPr>
          <w:rFonts w:cs="Arial"/>
        </w:rPr>
        <w:t>nm</w:t>
      </w:r>
      <w:r w:rsidR="001A48C5" w:rsidRPr="00936188">
        <w:rPr>
          <w:rFonts w:cs="Arial"/>
        </w:rPr>
        <w:t>, which is the size of the smallest pore in MIL-101(Cr)</w:t>
      </w:r>
      <w:r w:rsidR="00B42782" w:rsidRPr="00936188">
        <w:t>. The enthalpies of adsorption are also investigated for th</w:t>
      </w:r>
      <w:r w:rsidR="00750C3A">
        <w:t>is</w:t>
      </w:r>
      <w:r w:rsidR="00B42782" w:rsidRPr="00936188">
        <w:t xml:space="preserve"> material using simulations, the Clapeyron equation applied to the isosteres and </w:t>
      </w:r>
      <w:r w:rsidR="00E66473">
        <w:t>differential scanning calorimetry</w:t>
      </w:r>
      <w:r w:rsidR="00B42782" w:rsidRPr="00936188">
        <w:t xml:space="preserve">, with the direct </w:t>
      </w:r>
      <w:r w:rsidR="001A48C5" w:rsidRPr="00936188">
        <w:t xml:space="preserve">calorimetric </w:t>
      </w:r>
      <w:r w:rsidR="00B42782" w:rsidRPr="00936188">
        <w:t>method showing good agreement at zero-coverage with the other two methods</w:t>
      </w:r>
      <w:r w:rsidR="001A48C5" w:rsidRPr="00936188">
        <w:t>. T</w:t>
      </w:r>
      <w:r w:rsidR="00B42782" w:rsidRPr="00936188">
        <w:t xml:space="preserve">he simulations and the Clapeyron equation </w:t>
      </w:r>
      <w:r w:rsidR="001A48C5" w:rsidRPr="00936188">
        <w:t xml:space="preserve">are also </w:t>
      </w:r>
      <w:r w:rsidR="00B42782" w:rsidRPr="00936188">
        <w:t xml:space="preserve">in </w:t>
      </w:r>
      <w:r w:rsidR="001A48C5" w:rsidRPr="00936188">
        <w:t xml:space="preserve">good </w:t>
      </w:r>
      <w:r w:rsidR="00B42782" w:rsidRPr="00936188">
        <w:t>agreement up to 6 wt.%</w:t>
      </w:r>
      <w:r w:rsidR="001A48C5" w:rsidRPr="00936188">
        <w:t xml:space="preserve"> coverage.</w:t>
      </w:r>
    </w:p>
    <w:p w14:paraId="64D4AB0C" w14:textId="4DB2D66E" w:rsidR="008C55A9" w:rsidRPr="00936188" w:rsidRDefault="008C55A9" w:rsidP="00F91B44">
      <w:pPr>
        <w:spacing w:line="360" w:lineRule="auto"/>
        <w:jc w:val="both"/>
      </w:pPr>
    </w:p>
    <w:p w14:paraId="6853FC3B" w14:textId="13D4B1D5" w:rsidR="008C55A9" w:rsidRPr="00936188" w:rsidRDefault="00EF7188" w:rsidP="008C55A9">
      <w:pPr>
        <w:jc w:val="both"/>
        <w:rPr>
          <w:b/>
          <w:bCs/>
        </w:rPr>
      </w:pPr>
      <w:r w:rsidRPr="00936188">
        <w:rPr>
          <w:b/>
          <w:bCs/>
        </w:rPr>
        <w:t>Introduction</w:t>
      </w:r>
    </w:p>
    <w:p w14:paraId="61B6E58F" w14:textId="77777777" w:rsidR="00526B1E" w:rsidRPr="00936188" w:rsidRDefault="00526B1E" w:rsidP="008C55A9">
      <w:pPr>
        <w:jc w:val="both"/>
        <w:rPr>
          <w:b/>
          <w:bCs/>
        </w:rPr>
      </w:pPr>
    </w:p>
    <w:p w14:paraId="1BE3F446" w14:textId="5DB0EFC7" w:rsidR="00EF7188" w:rsidRPr="00936188" w:rsidRDefault="00EF7188" w:rsidP="00EF7188">
      <w:pPr>
        <w:spacing w:line="360" w:lineRule="auto"/>
        <w:jc w:val="both"/>
      </w:pPr>
      <w:r w:rsidRPr="00936188">
        <w:t xml:space="preserve">As a low-carbon, non-polluting alternative to fossil fuels, the widespread utility of </w:t>
      </w:r>
      <w:r w:rsidR="00E66473">
        <w:t xml:space="preserve">green </w:t>
      </w:r>
      <w:r w:rsidRPr="00936188">
        <w:t>molecular hydrogen (H</w:t>
      </w:r>
      <w:r w:rsidRPr="00936188">
        <w:rPr>
          <w:vertAlign w:val="subscript"/>
        </w:rPr>
        <w:t>2</w:t>
      </w:r>
      <w:r w:rsidRPr="00936188">
        <w:t xml:space="preserve">) as a sustainable energy vector for mobile applications is inhibited by the difficulties associated with storing it at acceptably high densities for practical </w:t>
      </w:r>
      <w:r w:rsidR="00C2585C" w:rsidRPr="00936188">
        <w:t>application</w:t>
      </w:r>
      <w:r w:rsidR="00911514">
        <w:t xml:space="preserve">s </w:t>
      </w:r>
      <w:r w:rsidR="00911514">
        <w:rPr>
          <w:noProof/>
        </w:rPr>
        <w:t>[1, 2]</w:t>
      </w:r>
      <w:r w:rsidRPr="00936188">
        <w:t xml:space="preserve">. Gaseous </w:t>
      </w:r>
      <w:r w:rsidR="00036A89" w:rsidRPr="00936188">
        <w:t>H</w:t>
      </w:r>
      <w:r w:rsidR="00036A89" w:rsidRPr="00936188">
        <w:rPr>
          <w:vertAlign w:val="subscript"/>
        </w:rPr>
        <w:t>2</w:t>
      </w:r>
      <w:r w:rsidRPr="00936188">
        <w:t xml:space="preserve"> above its bulk liquid-vapour critical temperature of 33 K will not condense to form a higher-density bulk liquid or a solid</w:t>
      </w:r>
      <w:r w:rsidR="00E66473">
        <w:t xml:space="preserve"> with increasing </w:t>
      </w:r>
      <w:r w:rsidR="00087C57">
        <w:t>pressure</w:t>
      </w:r>
      <w:r w:rsidRPr="00936188">
        <w:t xml:space="preserve"> making the efficient and economic storage of molecular H</w:t>
      </w:r>
      <w:r w:rsidRPr="00936188">
        <w:rPr>
          <w:vertAlign w:val="subscript"/>
        </w:rPr>
        <w:t>2</w:t>
      </w:r>
      <w:r w:rsidRPr="00936188">
        <w:t xml:space="preserve"> a major technological challenge</w:t>
      </w:r>
      <w:r w:rsidR="00007088">
        <w:t xml:space="preserve"> </w:t>
      </w:r>
      <w:r w:rsidR="00297912">
        <w:rPr>
          <w:noProof/>
        </w:rPr>
        <w:t>[1]</w:t>
      </w:r>
      <w:r w:rsidRPr="00936188">
        <w:t>. One option for increasing storage densities is via adsorption of H</w:t>
      </w:r>
      <w:r w:rsidRPr="00936188">
        <w:rPr>
          <w:vertAlign w:val="subscript"/>
        </w:rPr>
        <w:t>2</w:t>
      </w:r>
      <w:r w:rsidRPr="00936188">
        <w:t xml:space="preserve"> in microporous materials, i.e., materials with pore diameters below 2 nm</w:t>
      </w:r>
      <w:r w:rsidR="008F3B18" w:rsidRPr="00936188">
        <w:t>,</w:t>
      </w:r>
      <w:r w:rsidR="002C626C" w:rsidRPr="00936188">
        <w:t xml:space="preserve"> as </w:t>
      </w:r>
      <w:r w:rsidR="008F3B18" w:rsidRPr="00936188">
        <w:t>micropore volume has shown to be well</w:t>
      </w:r>
      <w:r w:rsidR="00750C3A">
        <w:t>-</w:t>
      </w:r>
      <w:r w:rsidR="008F3B18" w:rsidRPr="00936188">
        <w:t xml:space="preserve">correlated with higher </w:t>
      </w:r>
      <w:r w:rsidR="00036A89" w:rsidRPr="00936188">
        <w:t>H</w:t>
      </w:r>
      <w:r w:rsidR="00036A89" w:rsidRPr="00936188">
        <w:rPr>
          <w:vertAlign w:val="subscript"/>
        </w:rPr>
        <w:t>2</w:t>
      </w:r>
      <w:r w:rsidR="008F3B18" w:rsidRPr="00936188">
        <w:t xml:space="preserve"> uptakes</w:t>
      </w:r>
      <w:r w:rsidR="002C394D">
        <w:t xml:space="preserve"> </w:t>
      </w:r>
      <w:r w:rsidR="002C394D">
        <w:rPr>
          <w:noProof/>
        </w:rPr>
        <w:t>[3]</w:t>
      </w:r>
      <w:r w:rsidRPr="00936188">
        <w:t xml:space="preserve">. In these materials, densification of </w:t>
      </w:r>
      <w:r w:rsidR="00036A89" w:rsidRPr="00936188">
        <w:t>H</w:t>
      </w:r>
      <w:r w:rsidR="00036A89" w:rsidRPr="00936188">
        <w:rPr>
          <w:vertAlign w:val="subscript"/>
        </w:rPr>
        <w:t>2</w:t>
      </w:r>
      <w:r w:rsidRPr="00936188">
        <w:t xml:space="preserve"> is promoted via the enhancement of attractive van der Waals interactions between the adsorbed </w:t>
      </w:r>
      <w:r w:rsidR="00E66473" w:rsidRPr="00936188">
        <w:t>H</w:t>
      </w:r>
      <w:r w:rsidR="00E66473" w:rsidRPr="00936188">
        <w:rPr>
          <w:vertAlign w:val="subscript"/>
        </w:rPr>
        <w:t>2</w:t>
      </w:r>
      <w:r w:rsidRPr="00936188">
        <w:t xml:space="preserve"> molecules and the solid substrate, arising from overlapping potentials from opposite pore walls. With </w:t>
      </w:r>
      <w:r w:rsidR="0063224C">
        <w:t>many</w:t>
      </w:r>
      <w:r w:rsidRPr="00936188">
        <w:t xml:space="preserve"> porous materials being developed as potential storage </w:t>
      </w:r>
      <w:r w:rsidR="0063224C" w:rsidRPr="00936188">
        <w:t>m</w:t>
      </w:r>
      <w:r w:rsidR="0063224C">
        <w:t>edia</w:t>
      </w:r>
      <w:r w:rsidRPr="00936188">
        <w:t>,</w:t>
      </w:r>
      <w:r w:rsidR="002C626C" w:rsidRPr="00936188">
        <w:t xml:space="preserve"> especially high-surface area </w:t>
      </w:r>
      <w:r w:rsidR="0063224C">
        <w:t>adsorbents</w:t>
      </w:r>
      <w:r w:rsidR="0063224C" w:rsidRPr="00936188">
        <w:t xml:space="preserve"> </w:t>
      </w:r>
      <w:r w:rsidR="002C626C" w:rsidRPr="00936188">
        <w:t>such as metal-organic frameworks (MOFs),</w:t>
      </w:r>
      <w:r w:rsidRPr="00936188">
        <w:t xml:space="preserve"> the ability to quickly and accurately screen materials for their gas storage properties is a valuable tool for accelerating progress in this area</w:t>
      </w:r>
      <w:r w:rsidR="002C626C" w:rsidRPr="00936188">
        <w:t>, as has been shown recently in a number of studies</w:t>
      </w:r>
      <w:r w:rsidR="008F3B18" w:rsidRPr="00936188">
        <w:t xml:space="preserve"> </w:t>
      </w:r>
      <w:r w:rsidR="00A75823">
        <w:rPr>
          <w:noProof/>
        </w:rPr>
        <w:t>[4, 5]</w:t>
      </w:r>
      <w:r w:rsidR="002C626C" w:rsidRPr="00936188">
        <w:t>.</w:t>
      </w:r>
    </w:p>
    <w:p w14:paraId="131EF547" w14:textId="77777777" w:rsidR="00EF7188" w:rsidRPr="00936188" w:rsidRDefault="00EF7188" w:rsidP="00EF7188">
      <w:pPr>
        <w:spacing w:line="360" w:lineRule="auto"/>
        <w:jc w:val="both"/>
      </w:pPr>
    </w:p>
    <w:p w14:paraId="3F276E21" w14:textId="0ED8D0B9" w:rsidR="00EF7188" w:rsidRPr="00936188" w:rsidRDefault="00EF7188" w:rsidP="00EF7188">
      <w:pPr>
        <w:spacing w:line="360" w:lineRule="auto"/>
        <w:jc w:val="both"/>
      </w:pPr>
      <w:r w:rsidRPr="00936188">
        <w:t xml:space="preserve">Hydrogen storage materials have been fully characterised over the past decade and </w:t>
      </w:r>
      <w:proofErr w:type="gramStart"/>
      <w:r w:rsidRPr="00936188">
        <w:t>a number of</w:t>
      </w:r>
      <w:proofErr w:type="gramEnd"/>
      <w:r w:rsidRPr="00936188">
        <w:t xml:space="preserve"> helpful metrics ha</w:t>
      </w:r>
      <w:r w:rsidR="00004C61">
        <w:t>ve</w:t>
      </w:r>
      <w:r w:rsidRPr="00936188">
        <w:t xml:space="preserve"> been used to assess these. The US </w:t>
      </w:r>
      <w:r w:rsidR="00036A89">
        <w:t>Department</w:t>
      </w:r>
      <w:r w:rsidR="0063224C">
        <w:t xml:space="preserve"> of Energy</w:t>
      </w:r>
      <w:r w:rsidRPr="00936188">
        <w:t xml:space="preserve"> has put forward</w:t>
      </w:r>
      <w:r w:rsidR="00A94AD9" w:rsidRPr="00936188">
        <w:t xml:space="preserve"> system</w:t>
      </w:r>
      <w:r w:rsidRPr="00936188">
        <w:t xml:space="preserve"> storage targets</w:t>
      </w:r>
      <w:r w:rsidR="00A94AD9" w:rsidRPr="00936188">
        <w:t xml:space="preserve"> for onboard light-duty vehicles</w:t>
      </w:r>
      <w:r w:rsidRPr="00936188">
        <w:t>, which include gravimetric and volumetric capacities</w:t>
      </w:r>
      <w:r w:rsidR="00A94AD9" w:rsidRPr="00936188">
        <w:t>, delivery pressures and temperatures, cost, charging and discharging times,</w:t>
      </w:r>
      <w:r w:rsidR="0063224C">
        <w:t xml:space="preserve"> and</w:t>
      </w:r>
      <w:r w:rsidR="00A94AD9" w:rsidRPr="00936188">
        <w:t xml:space="preserve"> fuel purity</w:t>
      </w:r>
      <w:r w:rsidR="00AF74F1">
        <w:t xml:space="preserve"> </w:t>
      </w:r>
      <w:r w:rsidR="00AF74F1">
        <w:rPr>
          <w:noProof/>
        </w:rPr>
        <w:t>[6]</w:t>
      </w:r>
      <w:r w:rsidRPr="00936188">
        <w:t xml:space="preserve">. </w:t>
      </w:r>
      <w:proofErr w:type="gramStart"/>
      <w:r w:rsidRPr="00936188">
        <w:t>Looking specifically at porous materials, there</w:t>
      </w:r>
      <w:proofErr w:type="gramEnd"/>
      <w:r w:rsidRPr="00936188">
        <w:t xml:space="preserve"> are many helpful parameters that have been developed to assess materials. </w:t>
      </w:r>
      <w:r w:rsidR="008F3B18" w:rsidRPr="00936188">
        <w:t xml:space="preserve">Hydrogen storage capacities </w:t>
      </w:r>
      <w:r w:rsidRPr="00936188">
        <w:t xml:space="preserve">at 77 K correlate very well with the </w:t>
      </w:r>
      <w:proofErr w:type="spellStart"/>
      <w:r w:rsidR="00036A89">
        <w:t>B</w:t>
      </w:r>
      <w:r w:rsidR="00D53A1A">
        <w:t>r</w:t>
      </w:r>
      <w:r w:rsidR="00036A89">
        <w:t>unauer</w:t>
      </w:r>
      <w:proofErr w:type="spellEnd"/>
      <w:r w:rsidR="00036A89">
        <w:t>-Emmett-Teller (</w:t>
      </w:r>
      <w:r w:rsidRPr="00936188">
        <w:t>BET</w:t>
      </w:r>
      <w:r w:rsidR="00036A89">
        <w:t>)</w:t>
      </w:r>
      <w:r w:rsidRPr="00936188">
        <w:t xml:space="preserve"> surface area</w:t>
      </w:r>
      <w:r w:rsidR="00F94832">
        <w:t xml:space="preserve"> </w:t>
      </w:r>
      <w:r w:rsidR="009D17AF">
        <w:rPr>
          <w:noProof/>
        </w:rPr>
        <w:t>[7]</w:t>
      </w:r>
      <w:r w:rsidRPr="00936188">
        <w:t>. This was developed into an empirical rule that has become known as Chahine’s rule, which states that there will</w:t>
      </w:r>
      <w:r w:rsidR="0063224C">
        <w:t xml:space="preserve"> be</w:t>
      </w:r>
      <w:r w:rsidRPr="00936188">
        <w:t xml:space="preserve"> </w:t>
      </w:r>
      <w:r w:rsidR="00A94AD9" w:rsidRPr="00936188">
        <w:t xml:space="preserve">approximately 1 wt.% </w:t>
      </w:r>
      <w:r w:rsidR="00036A89" w:rsidRPr="00936188">
        <w:t>H</w:t>
      </w:r>
      <w:r w:rsidR="00036A89" w:rsidRPr="00936188">
        <w:rPr>
          <w:vertAlign w:val="subscript"/>
        </w:rPr>
        <w:t>2</w:t>
      </w:r>
      <w:r w:rsidR="00A94AD9" w:rsidRPr="00936188">
        <w:t xml:space="preserve"> uptake at 77 K and 2 MPa for every 500 m</w:t>
      </w:r>
      <w:r w:rsidR="00A94AD9" w:rsidRPr="00936188">
        <w:rPr>
          <w:vertAlign w:val="superscript"/>
        </w:rPr>
        <w:t>2</w:t>
      </w:r>
      <w:r w:rsidR="00A94AD9" w:rsidRPr="00936188">
        <w:t xml:space="preserve"> g</w:t>
      </w:r>
      <w:r w:rsidR="00A94AD9" w:rsidRPr="00936188">
        <w:rPr>
          <w:vertAlign w:val="superscript"/>
        </w:rPr>
        <w:t>-1</w:t>
      </w:r>
      <w:r w:rsidR="00A94AD9" w:rsidRPr="00936188">
        <w:t xml:space="preserve"> of measured BET surface area in the material</w:t>
      </w:r>
      <w:r w:rsidR="008F3B18" w:rsidRPr="00936188">
        <w:t xml:space="preserve"> </w:t>
      </w:r>
      <w:r w:rsidR="00A829BC">
        <w:rPr>
          <w:noProof/>
        </w:rPr>
        <w:t>[3, 7, 8]</w:t>
      </w:r>
      <w:r w:rsidRPr="00936188">
        <w:t>.</w:t>
      </w:r>
      <w:r w:rsidR="00C2346A">
        <w:t xml:space="preserve"> More recently, </w:t>
      </w:r>
      <w:proofErr w:type="spellStart"/>
      <w:r w:rsidR="00554F16">
        <w:t>Noguera</w:t>
      </w:r>
      <w:proofErr w:type="spellEnd"/>
      <w:r w:rsidR="00554F16">
        <w:t xml:space="preserve">-Díaz </w:t>
      </w:r>
      <w:r w:rsidR="003D545C">
        <w:t xml:space="preserve">et al. </w:t>
      </w:r>
      <w:r w:rsidR="0063470D">
        <w:t xml:space="preserve">showed </w:t>
      </w:r>
      <w:r w:rsidR="00E277FB">
        <w:t>similar types of correlations</w:t>
      </w:r>
      <w:r w:rsidR="00B3090F">
        <w:t xml:space="preserve">, using BET </w:t>
      </w:r>
      <w:r w:rsidR="00B3090F">
        <w:lastRenderedPageBreak/>
        <w:t>surface areas and</w:t>
      </w:r>
      <w:r w:rsidR="00485C58">
        <w:t xml:space="preserve"> por volumes to determine </w:t>
      </w:r>
      <w:r w:rsidR="005E494F">
        <w:t xml:space="preserve">total </w:t>
      </w:r>
      <w:r w:rsidR="00485C58">
        <w:t xml:space="preserve">hydrogen </w:t>
      </w:r>
      <w:r w:rsidR="005E494F">
        <w:t xml:space="preserve">uptakes in </w:t>
      </w:r>
      <w:r w:rsidR="00485C58">
        <w:t xml:space="preserve">a range of </w:t>
      </w:r>
      <w:r w:rsidR="005E494F">
        <w:t>MOFs</w:t>
      </w:r>
      <w:r w:rsidR="0065320E">
        <w:t xml:space="preserve"> </w:t>
      </w:r>
      <w:r w:rsidR="00A829BC">
        <w:rPr>
          <w:noProof/>
        </w:rPr>
        <w:t>[9]</w:t>
      </w:r>
      <w:r w:rsidR="005E494F">
        <w:t xml:space="preserve">. </w:t>
      </w:r>
      <w:r w:rsidRPr="00936188">
        <w:t xml:space="preserve">Equally important for </w:t>
      </w:r>
      <w:r w:rsidR="0063224C" w:rsidRPr="00936188">
        <w:t>H</w:t>
      </w:r>
      <w:r w:rsidR="0063224C" w:rsidRPr="00936188">
        <w:rPr>
          <w:vertAlign w:val="subscript"/>
        </w:rPr>
        <w:t>2</w:t>
      </w:r>
      <w:r w:rsidRPr="00936188">
        <w:t xml:space="preserve"> storage is the pore size</w:t>
      </w:r>
      <w:r w:rsidR="00A94AD9" w:rsidRPr="00936188">
        <w:t xml:space="preserve"> of the adsorbent material</w:t>
      </w:r>
      <w:r w:rsidRPr="00936188">
        <w:t xml:space="preserve">, and it </w:t>
      </w:r>
      <w:r w:rsidR="00A94AD9" w:rsidRPr="00936188">
        <w:t xml:space="preserve">has been </w:t>
      </w:r>
      <w:r w:rsidR="005E3D7C" w:rsidRPr="00936188">
        <w:t>argued</w:t>
      </w:r>
      <w:r w:rsidRPr="00936188">
        <w:t xml:space="preserve"> that </w:t>
      </w:r>
      <w:proofErr w:type="spellStart"/>
      <w:r w:rsidRPr="00936188">
        <w:t>ultramicropores</w:t>
      </w:r>
      <w:proofErr w:type="spellEnd"/>
      <w:r w:rsidRPr="00936188">
        <w:t xml:space="preserve"> (</w:t>
      </w:r>
      <w:r w:rsidR="0063224C">
        <w:t xml:space="preserve">widths </w:t>
      </w:r>
      <w:r w:rsidR="00AC116F" w:rsidRPr="00936188">
        <w:t xml:space="preserve">below </w:t>
      </w:r>
      <w:r w:rsidR="002C626C" w:rsidRPr="00936188">
        <w:t>0.7</w:t>
      </w:r>
      <w:r w:rsidR="00AC116F" w:rsidRPr="00936188">
        <w:t xml:space="preserve"> nm) are thought to contribute the most to storage of hydrogen </w:t>
      </w:r>
      <w:r w:rsidR="00A94AD9" w:rsidRPr="00936188">
        <w:t>in a porous material</w:t>
      </w:r>
      <w:r w:rsidR="00714AA8">
        <w:t xml:space="preserve"> </w:t>
      </w:r>
      <w:r w:rsidR="00714AA8">
        <w:rPr>
          <w:noProof/>
        </w:rPr>
        <w:t>[10-13]</w:t>
      </w:r>
      <w:r w:rsidR="00AC116F" w:rsidRPr="00936188">
        <w:t xml:space="preserve">. </w:t>
      </w:r>
      <w:r w:rsidRPr="00936188">
        <w:t xml:space="preserve">More recently, other parameters such as </w:t>
      </w:r>
      <w:r w:rsidR="00A94AD9" w:rsidRPr="00936188">
        <w:t>void fraction</w:t>
      </w:r>
      <w:r w:rsidRPr="00936188">
        <w:t xml:space="preserve"> </w:t>
      </w:r>
      <w:r w:rsidR="0063224C">
        <w:t>and</w:t>
      </w:r>
      <w:r w:rsidRPr="00936188">
        <w:t xml:space="preserve"> volumetric surface area have been used to guide large scale screening of potential </w:t>
      </w:r>
      <w:r w:rsidR="00036A89" w:rsidRPr="00936188">
        <w:t>H</w:t>
      </w:r>
      <w:r w:rsidR="00036A89" w:rsidRPr="00936188">
        <w:rPr>
          <w:vertAlign w:val="subscript"/>
        </w:rPr>
        <w:t>2</w:t>
      </w:r>
      <w:r w:rsidR="00036A89">
        <w:rPr>
          <w:vertAlign w:val="subscript"/>
        </w:rPr>
        <w:t xml:space="preserve"> </w:t>
      </w:r>
      <w:r w:rsidRPr="00936188">
        <w:t>storage materials</w:t>
      </w:r>
      <w:r w:rsidR="005E3D7C" w:rsidRPr="00936188">
        <w:t xml:space="preserve"> </w:t>
      </w:r>
      <w:r w:rsidR="00D75F9B">
        <w:rPr>
          <w:noProof/>
        </w:rPr>
        <w:t>[4]</w:t>
      </w:r>
      <w:r w:rsidR="00BD69CA" w:rsidRPr="00936188">
        <w:t>.</w:t>
      </w:r>
      <w:r w:rsidR="0063224C">
        <w:t xml:space="preserve"> Us</w:t>
      </w:r>
      <w:r w:rsidR="00BD69CA" w:rsidRPr="00936188">
        <w:t xml:space="preserve">ing these </w:t>
      </w:r>
      <w:proofErr w:type="gramStart"/>
      <w:r w:rsidR="00BD69CA" w:rsidRPr="00936188">
        <w:t>large scale</w:t>
      </w:r>
      <w:proofErr w:type="gramEnd"/>
      <w:r w:rsidR="00BD69CA" w:rsidRPr="00936188">
        <w:t xml:space="preserve"> screening methods, </w:t>
      </w:r>
      <w:r w:rsidR="00036A89">
        <w:t>MOF</w:t>
      </w:r>
      <w:r w:rsidR="00BD69CA" w:rsidRPr="00936188">
        <w:t xml:space="preserve"> NU-1501-Al was reported with one of the largest reported surface areas (7,310 m</w:t>
      </w:r>
      <w:r w:rsidR="00BD69CA" w:rsidRPr="00936188">
        <w:rPr>
          <w:vertAlign w:val="superscript"/>
        </w:rPr>
        <w:t>2</w:t>
      </w:r>
      <w:r w:rsidR="00BD69CA" w:rsidRPr="00936188">
        <w:t xml:space="preserve"> g</w:t>
      </w:r>
      <w:r w:rsidR="00BD69CA" w:rsidRPr="00936188">
        <w:rPr>
          <w:vertAlign w:val="superscript"/>
        </w:rPr>
        <w:t>-1</w:t>
      </w:r>
      <w:r w:rsidR="00BD69CA" w:rsidRPr="00936188">
        <w:t xml:space="preserve">) </w:t>
      </w:r>
      <w:r w:rsidR="00036A89">
        <w:t xml:space="preserve">alongside </w:t>
      </w:r>
      <w:r w:rsidR="00BD69CA" w:rsidRPr="00936188">
        <w:t xml:space="preserve">exceptional methane and </w:t>
      </w:r>
      <w:r w:rsidR="00036A89" w:rsidRPr="00936188">
        <w:t>H</w:t>
      </w:r>
      <w:r w:rsidR="00036A89" w:rsidRPr="00936188">
        <w:rPr>
          <w:vertAlign w:val="subscript"/>
        </w:rPr>
        <w:t>2</w:t>
      </w:r>
      <w:r w:rsidR="00BD69CA" w:rsidRPr="00936188">
        <w:t xml:space="preserve"> uptake</w:t>
      </w:r>
      <w:r w:rsidR="00D87706">
        <w:t xml:space="preserve"> </w:t>
      </w:r>
      <w:r w:rsidR="00D87706">
        <w:rPr>
          <w:noProof/>
        </w:rPr>
        <w:t>[5]</w:t>
      </w:r>
      <w:r w:rsidR="005E3D7C" w:rsidRPr="00936188">
        <w:t>.</w:t>
      </w:r>
    </w:p>
    <w:p w14:paraId="169CA5B1" w14:textId="128D35CB" w:rsidR="00EF7188" w:rsidRPr="00936188" w:rsidRDefault="00EF7188" w:rsidP="00EF7188">
      <w:pPr>
        <w:spacing w:line="360" w:lineRule="auto"/>
        <w:jc w:val="both"/>
      </w:pPr>
    </w:p>
    <w:p w14:paraId="4E5572F4" w14:textId="62742BFA" w:rsidR="00EF7188" w:rsidRPr="00936188" w:rsidRDefault="00EF7188" w:rsidP="00EF7188">
      <w:pPr>
        <w:spacing w:line="360" w:lineRule="auto"/>
        <w:jc w:val="both"/>
      </w:pPr>
      <w:r w:rsidRPr="00936188">
        <w:t xml:space="preserve">One important aspect to consider for </w:t>
      </w:r>
      <w:r w:rsidR="0063224C" w:rsidRPr="00936188">
        <w:t>H</w:t>
      </w:r>
      <w:r w:rsidR="0063224C" w:rsidRPr="00936188">
        <w:rPr>
          <w:vertAlign w:val="subscript"/>
        </w:rPr>
        <w:t>2</w:t>
      </w:r>
      <w:r w:rsidRPr="00936188">
        <w:t xml:space="preserve"> storage in porous materials is the adsorbed density. </w:t>
      </w:r>
      <w:r w:rsidR="00A94AD9" w:rsidRPr="00936188">
        <w:t>It has been shown</w:t>
      </w:r>
      <w:r w:rsidRPr="00936188">
        <w:t xml:space="preserve">, </w:t>
      </w:r>
      <w:r w:rsidR="001048F0" w:rsidRPr="00936188">
        <w:t xml:space="preserve">through a combination of modelling and inelastic neutron scattering, </w:t>
      </w:r>
      <w:r w:rsidR="00A94AD9" w:rsidRPr="00936188">
        <w:t>that</w:t>
      </w:r>
      <w:r w:rsidRPr="00936188">
        <w:t xml:space="preserve"> hydrogen can be </w:t>
      </w:r>
      <w:r w:rsidR="00AC116F" w:rsidRPr="00936188">
        <w:t>highly densified in the pores of an activated carbon</w:t>
      </w:r>
      <w:r w:rsidR="002C626C" w:rsidRPr="00936188">
        <w:t xml:space="preserve"> </w:t>
      </w:r>
      <w:r w:rsidR="00C119AB">
        <w:rPr>
          <w:noProof/>
        </w:rPr>
        <w:t>[14]</w:t>
      </w:r>
      <w:r w:rsidR="001048F0" w:rsidRPr="00936188">
        <w:t>. Th</w:t>
      </w:r>
      <w:r w:rsidR="00036A89">
        <w:t>at</w:t>
      </w:r>
      <w:r w:rsidR="0063224C">
        <w:t xml:space="preserve"> work</w:t>
      </w:r>
      <w:r w:rsidR="00AC116F" w:rsidRPr="00936188">
        <w:t xml:space="preserve"> showed how </w:t>
      </w:r>
      <w:r w:rsidR="0063224C" w:rsidRPr="00936188">
        <w:t>H</w:t>
      </w:r>
      <w:r w:rsidR="0063224C" w:rsidRPr="00936188">
        <w:rPr>
          <w:vertAlign w:val="subscript"/>
        </w:rPr>
        <w:t>2</w:t>
      </w:r>
      <w:r w:rsidR="00AC116F" w:rsidRPr="00936188">
        <w:t xml:space="preserve"> could reach solid-like densities in these structures, with density values that surpassed 100 kg m</w:t>
      </w:r>
      <w:r w:rsidR="00AC116F" w:rsidRPr="00936188">
        <w:rPr>
          <w:vertAlign w:val="superscript"/>
        </w:rPr>
        <w:t>-3</w:t>
      </w:r>
      <w:r w:rsidR="00AC116F" w:rsidRPr="00936188">
        <w:t xml:space="preserve"> (</w:t>
      </w:r>
      <w:r w:rsidR="00BD69CA" w:rsidRPr="00936188">
        <w:t xml:space="preserve">solid </w:t>
      </w:r>
      <w:r w:rsidR="00AC116F" w:rsidRPr="00936188">
        <w:t xml:space="preserve">parahydrogen at 4 K and </w:t>
      </w:r>
      <w:r w:rsidR="00BD69CA" w:rsidRPr="00936188">
        <w:t>1.2 MPa</w:t>
      </w:r>
      <w:r w:rsidR="00AC116F" w:rsidRPr="00936188">
        <w:t xml:space="preserve"> has a density of </w:t>
      </w:r>
      <w:r w:rsidR="00BD69CA" w:rsidRPr="00936188">
        <w:t>87.6 kg m</w:t>
      </w:r>
      <w:r w:rsidR="00BD69CA" w:rsidRPr="00936188">
        <w:rPr>
          <w:vertAlign w:val="superscript"/>
        </w:rPr>
        <w:t>-3</w:t>
      </w:r>
      <w:r w:rsidR="00847220" w:rsidRPr="00936188">
        <w:t xml:space="preserve"> </w:t>
      </w:r>
      <w:r w:rsidR="004F6C84">
        <w:rPr>
          <w:noProof/>
        </w:rPr>
        <w:t>[15]</w:t>
      </w:r>
      <w:r w:rsidR="00847220" w:rsidRPr="00936188">
        <w:t>)</w:t>
      </w:r>
      <w:r w:rsidR="00AC116F" w:rsidRPr="00936188">
        <w:t xml:space="preserve">. </w:t>
      </w:r>
      <w:r w:rsidR="006D7DFB">
        <w:t xml:space="preserve">More recently, a </w:t>
      </w:r>
      <w:r w:rsidR="009C4617">
        <w:t>follow-up</w:t>
      </w:r>
      <w:r w:rsidR="006D7DFB">
        <w:t xml:space="preserve"> study showed the same type of densification in two other carbons, a titanium carbide-derived carbon and a single-walled carbon nanotube</w:t>
      </w:r>
      <w:r w:rsidR="00F24B7B">
        <w:t xml:space="preserve"> </w:t>
      </w:r>
      <w:r w:rsidR="00041314">
        <w:rPr>
          <w:noProof/>
        </w:rPr>
        <w:t>[16]</w:t>
      </w:r>
      <w:r w:rsidR="006D7DFB">
        <w:t xml:space="preserve">. </w:t>
      </w:r>
      <w:r w:rsidR="00526B1E" w:rsidRPr="00936188">
        <w:t xml:space="preserve">Understanding densification processes in </w:t>
      </w:r>
      <w:r w:rsidR="00036A89" w:rsidRPr="00936188">
        <w:t>H</w:t>
      </w:r>
      <w:r w:rsidR="00036A89" w:rsidRPr="00936188">
        <w:rPr>
          <w:vertAlign w:val="subscript"/>
        </w:rPr>
        <w:t>2</w:t>
      </w:r>
      <w:r w:rsidR="00526B1E" w:rsidRPr="00936188">
        <w:t xml:space="preserve"> storage materials is a critical aspect when investigating adsorbent storage. Whereas available surface area seems to correlate well with uptake of</w:t>
      </w:r>
      <w:r w:rsidR="00036A89" w:rsidRPr="00036A89">
        <w:t xml:space="preserve"> </w:t>
      </w:r>
      <w:r w:rsidR="00036A89" w:rsidRPr="00936188">
        <w:t>H</w:t>
      </w:r>
      <w:r w:rsidR="00036A89" w:rsidRPr="00936188">
        <w:rPr>
          <w:vertAlign w:val="subscript"/>
        </w:rPr>
        <w:t>2</w:t>
      </w:r>
      <w:r w:rsidR="00526B1E" w:rsidRPr="00936188">
        <w:t xml:space="preserve">, the densification that occurs upon adsorption is still not very well understood, and any insights into structure or morphology of the material that contributes to higher density states would guide the synthesis of </w:t>
      </w:r>
      <w:r w:rsidR="006B6ACC" w:rsidRPr="00936188">
        <w:t xml:space="preserve">new materials. These insights would be especially important for materials such as </w:t>
      </w:r>
      <w:r w:rsidR="0063224C">
        <w:t>MOFs</w:t>
      </w:r>
      <w:r w:rsidR="006B6ACC" w:rsidRPr="00936188">
        <w:t xml:space="preserve">, which </w:t>
      </w:r>
      <w:r w:rsidR="00CA0609" w:rsidRPr="00936188">
        <w:t xml:space="preserve">have very high </w:t>
      </w:r>
      <w:r w:rsidR="006B6ACC" w:rsidRPr="00936188">
        <w:t>BET surface areas</w:t>
      </w:r>
      <w:r w:rsidR="00CA0609" w:rsidRPr="00936188">
        <w:t xml:space="preserve"> and </w:t>
      </w:r>
      <w:r w:rsidR="006B6ACC" w:rsidRPr="00936188">
        <w:t>tuneable pore sizes</w:t>
      </w:r>
      <w:r w:rsidR="00CA0609" w:rsidRPr="00936188">
        <w:t xml:space="preserve"> and chemistry.</w:t>
      </w:r>
    </w:p>
    <w:p w14:paraId="6218262A" w14:textId="77777777" w:rsidR="00AC116F" w:rsidRPr="00936188" w:rsidRDefault="00AC116F" w:rsidP="00EF7188">
      <w:pPr>
        <w:spacing w:line="360" w:lineRule="auto"/>
        <w:jc w:val="both"/>
      </w:pPr>
    </w:p>
    <w:p w14:paraId="18352528" w14:textId="2AE3B5F1" w:rsidR="006B6ACC" w:rsidRPr="00936188" w:rsidRDefault="00AC116F" w:rsidP="006B6ACC">
      <w:pPr>
        <w:spacing w:line="360" w:lineRule="auto"/>
        <w:jc w:val="both"/>
      </w:pPr>
      <w:r w:rsidRPr="00936188">
        <w:t>In addition to densities, d</w:t>
      </w:r>
      <w:r w:rsidR="00EF7188" w:rsidRPr="00936188">
        <w:t xml:space="preserve">esign of complete </w:t>
      </w:r>
      <w:r w:rsidR="0063224C" w:rsidRPr="00936188">
        <w:t>H</w:t>
      </w:r>
      <w:r w:rsidR="0063224C" w:rsidRPr="00936188">
        <w:rPr>
          <w:vertAlign w:val="subscript"/>
        </w:rPr>
        <w:t>2</w:t>
      </w:r>
      <w:r w:rsidR="00EF7188" w:rsidRPr="00936188">
        <w:t>-based energy systems also requires knowledge of the fundamental thermodynamic variables for the system. The isosteric enthalpies of adsorption are an indication of the strength of the adsorption interaction. Higher enthalpies indicate stronger interactions</w:t>
      </w:r>
      <w:r w:rsidR="006B6ACC" w:rsidRPr="00936188">
        <w:t xml:space="preserve"> </w:t>
      </w:r>
      <w:r w:rsidR="00EF7188" w:rsidRPr="00936188">
        <w:t>between the H</w:t>
      </w:r>
      <w:r w:rsidR="00EF7188" w:rsidRPr="00936188">
        <w:rPr>
          <w:vertAlign w:val="subscript"/>
        </w:rPr>
        <w:t>2</w:t>
      </w:r>
      <w:r w:rsidR="00EF7188" w:rsidRPr="00936188">
        <w:t xml:space="preserve"> and the adsorbent, allowing </w:t>
      </w:r>
      <w:r w:rsidR="002C626C" w:rsidRPr="00936188">
        <w:t>for some</w:t>
      </w:r>
      <w:r w:rsidR="00EF7188" w:rsidRPr="00936188">
        <w:t xml:space="preserve"> hydrogen to be adsorbed at close to ambient temperatures for enthalpies &gt;15 kJ mol</w:t>
      </w:r>
      <w:r w:rsidR="00EF7188" w:rsidRPr="00BE6FFF">
        <w:rPr>
          <w:vertAlign w:val="superscript"/>
        </w:rPr>
        <w:t>-1</w:t>
      </w:r>
      <w:r w:rsidR="00EF7188" w:rsidRPr="00936188">
        <w:t>. Conversely, if the enthalpies are too high (i.e. above 50 kJ mol</w:t>
      </w:r>
      <w:r w:rsidR="00EF7188" w:rsidRPr="00BE6FFF">
        <w:rPr>
          <w:vertAlign w:val="superscript"/>
        </w:rPr>
        <w:t>-1</w:t>
      </w:r>
      <w:r w:rsidR="00EF7188" w:rsidRPr="00936188">
        <w:t xml:space="preserve">, as in the case of chemisorption), problems arise with removal of the hydrogen from the storage medium. As storage capacities are heavily dependent on the temperature of storage, accurate values for isosteric enthalpies are needed for calculation of the heat </w:t>
      </w:r>
      <w:r w:rsidR="00CA0609" w:rsidRPr="00936188">
        <w:t>released</w:t>
      </w:r>
      <w:r w:rsidR="00EF7188" w:rsidRPr="00936188">
        <w:t xml:space="preserve"> during the exothermic adsorption step so that appropriate heat management systems can be put in place.</w:t>
      </w:r>
      <w:r w:rsidR="006B6ACC" w:rsidRPr="00936188">
        <w:t xml:space="preserve"> Hydrogen typically has low energies of interaction, which are reflected in the low enthalpies of adsorption, which is why significant uptakes are only obtained </w:t>
      </w:r>
      <w:r w:rsidR="006B6ACC" w:rsidRPr="00936188">
        <w:lastRenderedPageBreak/>
        <w:t xml:space="preserve">at cryogenic temperatures. There are also issues with correctly assessing enthalpies of adsorption. </w:t>
      </w:r>
      <w:r w:rsidR="001048F0" w:rsidRPr="00936188">
        <w:t xml:space="preserve">Experimental approaches to measuring enthalpies include calorimetric methods (which rely on detection of the heat released during adsorption) and techniques such as temperature programmed desorption (which use changes in pressure or mass spectrometry to track the desorption of adsorbed molecules as a function of increasing </w:t>
      </w:r>
      <w:r w:rsidR="009C4259" w:rsidRPr="00936188">
        <w:t xml:space="preserve">temperature </w:t>
      </w:r>
      <w:r w:rsidR="00082683">
        <w:rPr>
          <w:noProof/>
        </w:rPr>
        <w:t>[17-20]</w:t>
      </w:r>
      <w:r w:rsidR="001048F0" w:rsidRPr="00936188">
        <w:t>. However, these experiments are generally only performed on systems involving chemisorption of hydrogen, where the enthalpy changes involved (&gt;</w:t>
      </w:r>
      <w:r w:rsidR="00820935">
        <w:t xml:space="preserve"> </w:t>
      </w:r>
      <w:r w:rsidR="001048F0" w:rsidRPr="00936188">
        <w:t>50 kJ mol</w:t>
      </w:r>
      <w:r w:rsidR="001048F0" w:rsidRPr="00BE6FFF">
        <w:rPr>
          <w:vertAlign w:val="superscript"/>
        </w:rPr>
        <w:t>-1</w:t>
      </w:r>
      <w:r w:rsidR="001048F0" w:rsidRPr="00936188">
        <w:t xml:space="preserve">) are </w:t>
      </w:r>
      <w:r w:rsidR="0063224C">
        <w:t>higher</w:t>
      </w:r>
      <w:r w:rsidR="0063224C" w:rsidRPr="00936188">
        <w:t xml:space="preserve"> </w:t>
      </w:r>
      <w:r w:rsidR="001048F0" w:rsidRPr="00936188">
        <w:t>than for physisorption (ca. 5-10 kJ mol</w:t>
      </w:r>
      <w:r w:rsidR="001048F0" w:rsidRPr="00BE6FFF">
        <w:rPr>
          <w:vertAlign w:val="superscript"/>
        </w:rPr>
        <w:t>-1</w:t>
      </w:r>
      <w:r w:rsidR="001048F0" w:rsidRPr="00936188">
        <w:t>). Therefore</w:t>
      </w:r>
      <w:r w:rsidR="00CA0609" w:rsidRPr="00936188">
        <w:t>,</w:t>
      </w:r>
      <w:r w:rsidR="001048F0" w:rsidRPr="00936188">
        <w:t xml:space="preserve"> indirect methods of determining the enthalpies of H</w:t>
      </w:r>
      <w:r w:rsidR="001048F0" w:rsidRPr="00936188">
        <w:rPr>
          <w:vertAlign w:val="subscript"/>
        </w:rPr>
        <w:t>2</w:t>
      </w:r>
      <w:r w:rsidR="001048F0" w:rsidRPr="00936188">
        <w:t xml:space="preserve"> sorption would be preferable if the enthalpies resulting from such calculations prove reliable. As c</w:t>
      </w:r>
      <w:r w:rsidR="006B6ACC" w:rsidRPr="00936188">
        <w:t xml:space="preserve">alorimetry has been especially hard to reconcile with other methods, the most common method for estimating enthalpies of adsorption for </w:t>
      </w:r>
      <w:r w:rsidR="0063224C" w:rsidRPr="00936188">
        <w:t>H</w:t>
      </w:r>
      <w:r w:rsidR="0063224C" w:rsidRPr="00936188">
        <w:rPr>
          <w:vertAlign w:val="subscript"/>
        </w:rPr>
        <w:t>2</w:t>
      </w:r>
      <w:r w:rsidR="006B6ACC" w:rsidRPr="00936188">
        <w:t xml:space="preserve"> in porous materials has been through the isosteric method. This requires measurement of the adsorption excess isotherms at different temperatures, which are then evaluated using </w:t>
      </w:r>
      <w:r w:rsidR="00CA0609" w:rsidRPr="00936188">
        <w:t xml:space="preserve">different methods (usually </w:t>
      </w:r>
      <w:r w:rsidR="006B6ACC" w:rsidRPr="00936188">
        <w:t xml:space="preserve">the Clausius-Clapeyron approximation </w:t>
      </w:r>
      <w:r w:rsidR="00CA0609" w:rsidRPr="00936188">
        <w:t xml:space="preserve">or the virial equation) </w:t>
      </w:r>
      <w:proofErr w:type="gramStart"/>
      <w:r w:rsidR="006B6ACC" w:rsidRPr="00936188">
        <w:t>in order to</w:t>
      </w:r>
      <w:proofErr w:type="gramEnd"/>
      <w:r w:rsidR="006B6ACC" w:rsidRPr="00936188">
        <w:t xml:space="preserve"> obtain estimates of the enthalpies of adsorption</w:t>
      </w:r>
      <w:r w:rsidR="00082683">
        <w:t xml:space="preserve"> </w:t>
      </w:r>
      <w:r w:rsidR="00C367F3">
        <w:rPr>
          <w:noProof/>
        </w:rPr>
        <w:t>[21, 22]</w:t>
      </w:r>
      <w:r w:rsidR="006B6ACC" w:rsidRPr="00936188">
        <w:t xml:space="preserve">. </w:t>
      </w:r>
    </w:p>
    <w:p w14:paraId="5DD2BC1A" w14:textId="77777777" w:rsidR="001048F0" w:rsidRPr="00936188" w:rsidRDefault="001048F0" w:rsidP="00EF7188">
      <w:pPr>
        <w:spacing w:line="360" w:lineRule="auto"/>
        <w:jc w:val="both"/>
      </w:pPr>
    </w:p>
    <w:p w14:paraId="3B5603CB" w14:textId="68C8EDEA" w:rsidR="00EF7188" w:rsidRPr="00936188" w:rsidRDefault="001048F0" w:rsidP="00EF7188">
      <w:pPr>
        <w:spacing w:line="360" w:lineRule="auto"/>
        <w:jc w:val="both"/>
      </w:pPr>
      <w:r w:rsidRPr="00936188">
        <w:t xml:space="preserve">In </w:t>
      </w:r>
      <w:r w:rsidR="006B6ACC" w:rsidRPr="00936188">
        <w:t>addition to experimental methods, computational modelling and simulation ha</w:t>
      </w:r>
      <w:r w:rsidR="00E4488C">
        <w:t>ve</w:t>
      </w:r>
      <w:r w:rsidR="006B6ACC" w:rsidRPr="00936188">
        <w:t xml:space="preserve"> proven a very valuable tool to reduce the time and effort in screening potential materials and predict gas uptakes for a variety of systems.</w:t>
      </w:r>
      <w:r w:rsidR="002C626C" w:rsidRPr="00936188">
        <w:t xml:space="preserve"> </w:t>
      </w:r>
      <w:r w:rsidR="00E4488C">
        <w:t xml:space="preserve">Molecular </w:t>
      </w:r>
      <w:r w:rsidR="002C626C" w:rsidRPr="00936188">
        <w:t>simulation</w:t>
      </w:r>
      <w:r w:rsidR="00EF7188" w:rsidRPr="00936188">
        <w:t xml:space="preserve"> allow</w:t>
      </w:r>
      <w:r w:rsidR="00E4488C">
        <w:t>s</w:t>
      </w:r>
      <w:r w:rsidR="002C626C" w:rsidRPr="00936188">
        <w:t xml:space="preserve"> </w:t>
      </w:r>
      <w:r w:rsidR="00EF7188" w:rsidRPr="00936188">
        <w:t>prediction of the behaviour of a material and its properties under conditions of pressure and temperature which cannot easily be attained experimentally</w:t>
      </w:r>
      <w:r w:rsidR="003069FF" w:rsidRPr="00936188">
        <w:t xml:space="preserve"> </w:t>
      </w:r>
      <w:r w:rsidR="00D74904">
        <w:rPr>
          <w:noProof/>
        </w:rPr>
        <w:t>[23]</w:t>
      </w:r>
      <w:r w:rsidR="00EF7188" w:rsidRPr="00936188">
        <w:t xml:space="preserve">. In addition, </w:t>
      </w:r>
      <w:r w:rsidR="00E4488C">
        <w:t xml:space="preserve">simulation </w:t>
      </w:r>
      <w:r w:rsidR="00EF7188" w:rsidRPr="00936188">
        <w:t xml:space="preserve">can be used to look more closely at the origins of such phenomena as </w:t>
      </w:r>
      <w:r w:rsidR="003069FF" w:rsidRPr="00936188">
        <w:t xml:space="preserve">density distributions </w:t>
      </w:r>
      <w:r w:rsidR="00EF7188" w:rsidRPr="00936188">
        <w:t xml:space="preserve">and enthalpies </w:t>
      </w:r>
      <w:r w:rsidR="002B2956" w:rsidRPr="00936188">
        <w:t xml:space="preserve">of adsorption </w:t>
      </w:r>
      <w:r w:rsidR="00EF7188" w:rsidRPr="00936188">
        <w:t xml:space="preserve">from a molecular viewpoint, providing insights into supercritical adsorptive storage at </w:t>
      </w:r>
      <w:r w:rsidR="00E4488C">
        <w:t>a</w:t>
      </w:r>
      <w:r w:rsidR="00EF7188" w:rsidRPr="00936188">
        <w:t xml:space="preserve"> molecular level</w:t>
      </w:r>
      <w:r w:rsidR="00D74904">
        <w:t xml:space="preserve"> </w:t>
      </w:r>
      <w:r w:rsidR="00D74904">
        <w:rPr>
          <w:noProof/>
        </w:rPr>
        <w:t>[23]</w:t>
      </w:r>
      <w:r w:rsidR="00EF7188" w:rsidRPr="00936188">
        <w:t xml:space="preserve">. Furthermore, simulation does not rely on the production of a </w:t>
      </w:r>
      <w:proofErr w:type="gramStart"/>
      <w:r w:rsidR="00EF7188" w:rsidRPr="00936188">
        <w:t>pure-phase</w:t>
      </w:r>
      <w:proofErr w:type="gramEnd"/>
      <w:r w:rsidR="00EF7188" w:rsidRPr="00936188">
        <w:t xml:space="preserve"> product, and can even be performed on theoretical materials or those that are challenging to synthesise. However, complex materials can be computationally expensive to model and new or unusual results are sometimes treated with scepticism.</w:t>
      </w:r>
      <w:r w:rsidR="00832AAA" w:rsidRPr="00936188">
        <w:t xml:space="preserve"> </w:t>
      </w:r>
      <w:r w:rsidR="00CA0609" w:rsidRPr="00936188">
        <w:t xml:space="preserve">Molecular modelling has been especially useful to look at new materials such as </w:t>
      </w:r>
      <w:r w:rsidR="00832AAA" w:rsidRPr="00936188">
        <w:t>MOFs</w:t>
      </w:r>
      <w:r w:rsidR="002B2956" w:rsidRPr="00936188">
        <w:t xml:space="preserve"> </w:t>
      </w:r>
      <w:r w:rsidR="00030A4C">
        <w:rPr>
          <w:noProof/>
        </w:rPr>
        <w:t>[23]</w:t>
      </w:r>
      <w:r w:rsidR="00CA0609" w:rsidRPr="00936188">
        <w:t>. MOFs</w:t>
      </w:r>
      <w:r w:rsidR="00832AAA" w:rsidRPr="00936188">
        <w:t xml:space="preserve"> are one of the newest classes of designer porous materials</w:t>
      </w:r>
      <w:r w:rsidR="00CA0609" w:rsidRPr="00936188">
        <w:t xml:space="preserve"> a</w:t>
      </w:r>
      <w:r w:rsidR="00832AAA" w:rsidRPr="00936188">
        <w:t>nd have been tested for many applications in gas storage and separation</w:t>
      </w:r>
      <w:r w:rsidR="003744BB" w:rsidRPr="00936188">
        <w:t xml:space="preserve">s, </w:t>
      </w:r>
      <w:r w:rsidR="00CA0609" w:rsidRPr="00936188">
        <w:t xml:space="preserve">but </w:t>
      </w:r>
      <w:r w:rsidR="00832AAA" w:rsidRPr="00936188">
        <w:t xml:space="preserve">many MOFs have very complex structures, and thus can be difficult to accurately describe with molecular modelling techniques. Due to the large number of MOF materials that could potentially be investigated for gas storage, it is essential that methods designed to evaluate and screen these materials for capacities (i.e. isotherm models and molecular modelling) give consistent and accurate results. </w:t>
      </w:r>
    </w:p>
    <w:p w14:paraId="3851C9C1" w14:textId="77777777" w:rsidR="00EF7188" w:rsidRPr="00936188" w:rsidRDefault="00EF7188" w:rsidP="00EF7188">
      <w:pPr>
        <w:spacing w:line="360" w:lineRule="auto"/>
        <w:jc w:val="both"/>
      </w:pPr>
    </w:p>
    <w:p w14:paraId="537CF7AB" w14:textId="00A8F858" w:rsidR="00AC116F" w:rsidRPr="00936188" w:rsidRDefault="001048F0" w:rsidP="00AC116F">
      <w:pPr>
        <w:spacing w:line="360" w:lineRule="auto"/>
        <w:jc w:val="both"/>
      </w:pPr>
      <w:r w:rsidRPr="00936188">
        <w:lastRenderedPageBreak/>
        <w:t xml:space="preserve">In order to further study hydrogen densification processes that occur in porous materials, and to gain some insight into the enthalpies associated with </w:t>
      </w:r>
      <w:r w:rsidR="00832AAA" w:rsidRPr="00936188">
        <w:t xml:space="preserve">hydrogen </w:t>
      </w:r>
      <w:r w:rsidRPr="00936188">
        <w:t xml:space="preserve">adsorption, we have looked at a well-studied </w:t>
      </w:r>
      <w:r w:rsidR="00E4488C">
        <w:t>MOF</w:t>
      </w:r>
      <w:r w:rsidRPr="00936188">
        <w:t xml:space="preserve"> (MIL-101(Cr)</w:t>
      </w:r>
      <w:r w:rsidR="00DA7CEB">
        <w:t>)</w:t>
      </w:r>
      <w:r w:rsidRPr="00936188">
        <w:t xml:space="preserve"> and studied its hydrogen adsorption with a range of experimental and modelling tools.</w:t>
      </w:r>
      <w:r w:rsidR="00832AAA" w:rsidRPr="00936188">
        <w:t xml:space="preserve"> </w:t>
      </w:r>
      <w:r w:rsidR="00EF7188" w:rsidRPr="00936188">
        <w:t>MIL-101</w:t>
      </w:r>
      <w:r w:rsidR="00832AAA" w:rsidRPr="00936188">
        <w:t>(Cr)</w:t>
      </w:r>
      <w:r w:rsidR="00EF7188" w:rsidRPr="00936188">
        <w:t xml:space="preserve"> is an exceptionally stable MOF with very high-surface area (~4</w:t>
      </w:r>
      <w:r w:rsidR="00832AAA" w:rsidRPr="00936188">
        <w:t>,</w:t>
      </w:r>
      <w:r w:rsidR="00EF7188" w:rsidRPr="00936188">
        <w:t>100 m</w:t>
      </w:r>
      <w:r w:rsidR="00EF7188" w:rsidRPr="00936188">
        <w:rPr>
          <w:vertAlign w:val="superscript"/>
        </w:rPr>
        <w:t>2</w:t>
      </w:r>
      <w:r w:rsidR="00EF7188" w:rsidRPr="00936188">
        <w:t xml:space="preserve"> g</w:t>
      </w:r>
      <w:r w:rsidR="00EF7188" w:rsidRPr="00936188">
        <w:rPr>
          <w:vertAlign w:val="superscript"/>
        </w:rPr>
        <w:t>-1</w:t>
      </w:r>
      <w:r w:rsidR="00EF7188" w:rsidRPr="00936188">
        <w:t>), and a very high capacity for H</w:t>
      </w:r>
      <w:r w:rsidR="00EF7188" w:rsidRPr="00936188">
        <w:rPr>
          <w:vertAlign w:val="subscript"/>
        </w:rPr>
        <w:t>2</w:t>
      </w:r>
      <w:r w:rsidR="00EF7188" w:rsidRPr="00936188">
        <w:t xml:space="preserve"> storage</w:t>
      </w:r>
      <w:r w:rsidR="00732535">
        <w:t xml:space="preserve"> </w:t>
      </w:r>
      <w:r w:rsidR="00732535">
        <w:rPr>
          <w:noProof/>
        </w:rPr>
        <w:t>[24, 25]</w:t>
      </w:r>
      <w:r w:rsidR="00EF7188" w:rsidRPr="00936188">
        <w:t xml:space="preserve">. It was first described as a “giant pore” MOF, and the </w:t>
      </w:r>
      <w:r w:rsidR="00EF7188" w:rsidRPr="0001658F">
        <w:rPr>
          <w:i/>
          <w:iCs/>
        </w:rPr>
        <w:t>Fd</w:t>
      </w:r>
      <w:r w:rsidR="00EF7188" w:rsidRPr="00004C61">
        <w:t>3</w:t>
      </w:r>
      <w:r w:rsidR="00EF7188" w:rsidRPr="0001658F">
        <w:rPr>
          <w:i/>
          <w:iCs/>
        </w:rPr>
        <w:t>hm</w:t>
      </w:r>
      <w:r w:rsidR="00EF7188" w:rsidRPr="00936188">
        <w:t xml:space="preserve"> unit cell is appropriately large, with unit dimensions of ~8</w:t>
      </w:r>
      <w:r w:rsidR="006206BE">
        <w:t>.</w:t>
      </w:r>
      <w:r w:rsidR="00EF7188" w:rsidRPr="00936188">
        <w:t xml:space="preserve">9 </w:t>
      </w:r>
      <w:r w:rsidR="006206BE">
        <w:t>nm</w:t>
      </w:r>
      <w:r w:rsidR="00EF7188" w:rsidRPr="00936188">
        <w:t xml:space="preserve">, and an exceptionally large cell volume (702 </w:t>
      </w:r>
      <w:r w:rsidR="0076558C">
        <w:t>nm</w:t>
      </w:r>
      <w:r w:rsidR="00EF7188" w:rsidRPr="0076558C">
        <w:rPr>
          <w:vertAlign w:val="superscript"/>
        </w:rPr>
        <w:t>3</w:t>
      </w:r>
      <w:r w:rsidR="00EF7188" w:rsidRPr="00936188">
        <w:t>). The structural features of MIL-101</w:t>
      </w:r>
      <w:r w:rsidR="00B36441" w:rsidRPr="00936188">
        <w:t>(Cr)</w:t>
      </w:r>
      <w:r w:rsidR="00EF7188" w:rsidRPr="00936188">
        <w:t xml:space="preserve"> also make it a challenging structure to model, due to the existence of three distinct pore sizes: </w:t>
      </w:r>
      <w:r w:rsidR="0076558C">
        <w:t>0.</w:t>
      </w:r>
      <w:r w:rsidR="00EF7188" w:rsidRPr="00936188">
        <w:t xml:space="preserve">7 </w:t>
      </w:r>
      <w:r w:rsidR="0076558C">
        <w:t>nm</w:t>
      </w:r>
      <w:r w:rsidR="00EF7188" w:rsidRPr="00936188">
        <w:t xml:space="preserve"> (</w:t>
      </w:r>
      <w:proofErr w:type="spellStart"/>
      <w:r w:rsidR="00EF7188" w:rsidRPr="00936188">
        <w:t>supertetrahedra</w:t>
      </w:r>
      <w:proofErr w:type="spellEnd"/>
      <w:r w:rsidR="00EF7188" w:rsidRPr="00936188">
        <w:t>)</w:t>
      </w:r>
      <w:r w:rsidR="00B36441" w:rsidRPr="00936188">
        <w:t>,</w:t>
      </w:r>
      <w:r w:rsidR="00EF7188" w:rsidRPr="00936188">
        <w:t xml:space="preserve"> 2</w:t>
      </w:r>
      <w:r w:rsidR="0076558C">
        <w:t>.</w:t>
      </w:r>
      <w:r w:rsidR="00EF7188" w:rsidRPr="00936188">
        <w:t xml:space="preserve">9 </w:t>
      </w:r>
      <w:r w:rsidR="0076558C">
        <w:t>nm</w:t>
      </w:r>
      <w:r w:rsidR="00EF7188" w:rsidRPr="00936188">
        <w:t xml:space="preserve"> and 3</w:t>
      </w:r>
      <w:r w:rsidR="0076558C">
        <w:t>.</w:t>
      </w:r>
      <w:r w:rsidR="00EF7188" w:rsidRPr="00936188">
        <w:t xml:space="preserve">4 </w:t>
      </w:r>
      <w:r w:rsidR="0076558C">
        <w:t>nm</w:t>
      </w:r>
      <w:r w:rsidR="002B2956" w:rsidRPr="00936188">
        <w:t xml:space="preserve"> </w:t>
      </w:r>
      <w:r w:rsidR="00590651">
        <w:rPr>
          <w:noProof/>
        </w:rPr>
        <w:t>[26]</w:t>
      </w:r>
      <w:r w:rsidR="00EF7188" w:rsidRPr="00936188">
        <w:t xml:space="preserve">. </w:t>
      </w:r>
      <w:r w:rsidR="001525D7" w:rsidRPr="001525D7">
        <w:t>MIL-101(Cr) has been widely studied in the literature for hydrogen adsorption. The material is an excellent example</w:t>
      </w:r>
      <w:r w:rsidR="009325FD">
        <w:t xml:space="preserve"> model</w:t>
      </w:r>
      <w:r w:rsidR="00E53777">
        <w:t xml:space="preserve"> material for the investigation of the </w:t>
      </w:r>
      <w:r w:rsidR="001525D7" w:rsidRPr="001525D7">
        <w:t xml:space="preserve"> densification processes occurring in hydrogen adsorption, as it is a metal-organic framework with high-surface area, excellent hydrogen uptake, an exceptional pore volume and three different pore sizes, covering both the micro and mesopore range.</w:t>
      </w:r>
      <w:r w:rsidR="00EE7E52">
        <w:t xml:space="preserve"> </w:t>
      </w:r>
      <w:r w:rsidR="00EF7188" w:rsidRPr="00936188">
        <w:t>The surface heterogeneity provided by the unsaturated Cr metal centres also makes estimates of the isosteric enthalpies of adsorption more difficult than would be the case for a material with a more chemically homogeneous adsorbing surface.</w:t>
      </w:r>
      <w:r w:rsidR="00832AAA" w:rsidRPr="00936188">
        <w:t xml:space="preserve"> </w:t>
      </w:r>
      <w:proofErr w:type="gramStart"/>
      <w:r w:rsidR="00AC116F" w:rsidRPr="00936188">
        <w:t>In order to</w:t>
      </w:r>
      <w:proofErr w:type="gramEnd"/>
      <w:r w:rsidR="00AC116F" w:rsidRPr="00936188">
        <w:t xml:space="preserve"> be able to understand </w:t>
      </w:r>
      <w:r w:rsidR="00832AAA" w:rsidRPr="00936188">
        <w:t xml:space="preserve">the densification phenomena, we use a combination of </w:t>
      </w:r>
      <w:r w:rsidR="00832AAA" w:rsidRPr="005425B7">
        <w:rPr>
          <w:i/>
          <w:iCs/>
        </w:rPr>
        <w:t>in-situ</w:t>
      </w:r>
      <w:r w:rsidR="00832AAA" w:rsidRPr="00936188">
        <w:t xml:space="preserve"> synchrotron X-ray diffraction, to assess any changes in the structure, and inelastic neutron scattering, to evaluate the density of the adsorbed </w:t>
      </w:r>
      <w:r w:rsidR="0063224C" w:rsidRPr="00936188">
        <w:t>H</w:t>
      </w:r>
      <w:r w:rsidR="0063224C" w:rsidRPr="00936188">
        <w:rPr>
          <w:vertAlign w:val="subscript"/>
        </w:rPr>
        <w:t>2</w:t>
      </w:r>
      <w:r w:rsidR="00832AAA" w:rsidRPr="00936188">
        <w:t xml:space="preserve">. This is complemented with previous modelling results obtained on the experimental isotherms and </w:t>
      </w:r>
      <w:r w:rsidR="00E4488C">
        <w:t xml:space="preserve">molecular </w:t>
      </w:r>
      <w:r w:rsidR="00832AAA" w:rsidRPr="00936188">
        <w:t xml:space="preserve">simulations on the material. The enthalpies of adsorption are also studied for the material, with a combination </w:t>
      </w:r>
      <w:r w:rsidR="00E143A9" w:rsidRPr="00936188">
        <w:t xml:space="preserve">of methods </w:t>
      </w:r>
      <w:r w:rsidR="00832AAA" w:rsidRPr="00936188">
        <w:t>that includes the</w:t>
      </w:r>
      <w:r w:rsidR="00B36441" w:rsidRPr="00936188">
        <w:t xml:space="preserve"> </w:t>
      </w:r>
      <w:r w:rsidR="00E143A9" w:rsidRPr="00936188">
        <w:t xml:space="preserve">Clapeyron equation applied using the </w:t>
      </w:r>
      <w:r w:rsidR="00B36441" w:rsidRPr="00936188">
        <w:t>isosteric method</w:t>
      </w:r>
      <w:r w:rsidR="00E143A9" w:rsidRPr="00936188">
        <w:t xml:space="preserve">, </w:t>
      </w:r>
      <w:r w:rsidR="00E4488C">
        <w:t xml:space="preserve">molecular </w:t>
      </w:r>
      <w:proofErr w:type="gramStart"/>
      <w:r w:rsidR="00832AAA" w:rsidRPr="00936188">
        <w:t>simulations</w:t>
      </w:r>
      <w:proofErr w:type="gramEnd"/>
      <w:r w:rsidR="00832AAA" w:rsidRPr="00936188">
        <w:t xml:space="preserve"> and </w:t>
      </w:r>
      <w:r w:rsidR="003744BB" w:rsidRPr="00936188">
        <w:t xml:space="preserve">differential scanning </w:t>
      </w:r>
      <w:r w:rsidR="00E143A9" w:rsidRPr="00936188">
        <w:t>calorimetry.</w:t>
      </w:r>
    </w:p>
    <w:p w14:paraId="1396B007" w14:textId="16EBC30E" w:rsidR="00EF7188" w:rsidRPr="00936188" w:rsidRDefault="00EF7188" w:rsidP="008C55A9">
      <w:pPr>
        <w:jc w:val="both"/>
        <w:rPr>
          <w:b/>
          <w:bCs/>
        </w:rPr>
      </w:pPr>
    </w:p>
    <w:p w14:paraId="6DA6A0A3" w14:textId="77777777" w:rsidR="00EF7188" w:rsidRPr="00936188" w:rsidRDefault="00EF7188" w:rsidP="008C55A9">
      <w:pPr>
        <w:jc w:val="both"/>
        <w:rPr>
          <w:b/>
          <w:bCs/>
        </w:rPr>
      </w:pPr>
    </w:p>
    <w:p w14:paraId="035F1004" w14:textId="155DC3A3" w:rsidR="008C55A9" w:rsidRPr="00936188" w:rsidRDefault="008C55A9" w:rsidP="008C55A9">
      <w:pPr>
        <w:jc w:val="both"/>
        <w:rPr>
          <w:b/>
          <w:bCs/>
        </w:rPr>
      </w:pPr>
      <w:r w:rsidRPr="0076558C">
        <w:rPr>
          <w:b/>
          <w:bCs/>
        </w:rPr>
        <w:t>Results</w:t>
      </w:r>
      <w:r w:rsidR="00C718A9" w:rsidRPr="0076558C">
        <w:rPr>
          <w:b/>
          <w:bCs/>
        </w:rPr>
        <w:t xml:space="preserve"> and Discussion</w:t>
      </w:r>
    </w:p>
    <w:p w14:paraId="4EDC8EDC" w14:textId="77777777" w:rsidR="008C55A9" w:rsidRPr="00936188" w:rsidRDefault="008C55A9" w:rsidP="00EC50A3">
      <w:pPr>
        <w:spacing w:line="360" w:lineRule="auto"/>
        <w:jc w:val="both"/>
      </w:pPr>
    </w:p>
    <w:p w14:paraId="063D14F3" w14:textId="571790A2" w:rsidR="00D2296D" w:rsidRPr="00936188" w:rsidRDefault="00E4488C" w:rsidP="00D2296D">
      <w:pPr>
        <w:spacing w:line="360" w:lineRule="auto"/>
        <w:jc w:val="both"/>
      </w:pPr>
      <w:r>
        <w:t xml:space="preserve">Molecular </w:t>
      </w:r>
      <w:r w:rsidR="00EC50A3" w:rsidRPr="00936188">
        <w:t xml:space="preserve">simulations </w:t>
      </w:r>
      <w:r w:rsidR="00E143A9" w:rsidRPr="00936188">
        <w:t>and methodolog</w:t>
      </w:r>
      <w:r w:rsidR="003744BB" w:rsidRPr="00936188">
        <w:t>ies</w:t>
      </w:r>
      <w:r w:rsidR="00E143A9" w:rsidRPr="00936188">
        <w:t xml:space="preserve"> that analyse excess isotherms to determine absolute and total uptakes</w:t>
      </w:r>
      <w:r w:rsidR="00964171">
        <w:t xml:space="preserve"> in porous solids</w:t>
      </w:r>
      <w:r w:rsidR="00E143A9" w:rsidRPr="00936188">
        <w:t xml:space="preserve"> </w:t>
      </w:r>
      <w:r w:rsidR="00EC50A3" w:rsidRPr="00936188">
        <w:t>are</w:t>
      </w:r>
      <w:r w:rsidR="00964171">
        <w:t xml:space="preserve"> usually</w:t>
      </w:r>
      <w:r w:rsidR="00EC50A3" w:rsidRPr="00936188">
        <w:t xml:space="preserve"> predicated on the assumption </w:t>
      </w:r>
      <w:r w:rsidR="00964171">
        <w:t>that the pore volume (the adsorption space) is constant</w:t>
      </w:r>
      <w:r w:rsidR="00EC50A3" w:rsidRPr="00936188">
        <w:t xml:space="preserve">. </w:t>
      </w:r>
      <w:r w:rsidR="00004C61">
        <w:t xml:space="preserve">In previous reports, </w:t>
      </w:r>
      <w:r w:rsidR="00E143A9" w:rsidRPr="00936188">
        <w:t>a</w:t>
      </w:r>
      <w:r w:rsidR="00EC50A3" w:rsidRPr="00936188">
        <w:t xml:space="preserve"> model</w:t>
      </w:r>
      <w:r w:rsidR="00004C61">
        <w:t xml:space="preserve"> was presented</w:t>
      </w:r>
      <w:r w:rsidR="00EC50A3" w:rsidRPr="00936188">
        <w:t xml:space="preserve"> </w:t>
      </w:r>
      <w:r w:rsidR="00E143A9" w:rsidRPr="00936188">
        <w:t xml:space="preserve">that </w:t>
      </w:r>
      <w:r w:rsidR="00EC50A3" w:rsidRPr="00936188">
        <w:t>distinguishes between total, absolute and excess adsorption to analyse experimental isotherms</w:t>
      </w:r>
      <w:r w:rsidR="004F022F" w:rsidRPr="00936188">
        <w:t xml:space="preserve"> </w:t>
      </w:r>
      <w:r w:rsidR="002F763D">
        <w:rPr>
          <w:noProof/>
        </w:rPr>
        <w:t>[27-29]</w:t>
      </w:r>
      <w:r w:rsidR="00EC50A3" w:rsidRPr="00936188">
        <w:t xml:space="preserve">, </w:t>
      </w:r>
      <w:r w:rsidR="00E143A9" w:rsidRPr="00936188">
        <w:t>and</w:t>
      </w:r>
      <w:r w:rsidR="00EC50A3" w:rsidRPr="00936188">
        <w:t xml:space="preserve"> </w:t>
      </w:r>
      <w:r w:rsidR="00E143A9" w:rsidRPr="00936188">
        <w:t xml:space="preserve">the </w:t>
      </w:r>
      <w:r w:rsidR="00EC50A3" w:rsidRPr="00936188">
        <w:t>constant volume for adsorption</w:t>
      </w:r>
      <w:r w:rsidR="003E72A6">
        <w:t xml:space="preserve"> was assumed to be</w:t>
      </w:r>
      <w:r w:rsidR="00D2296D" w:rsidRPr="00936188">
        <w:t xml:space="preserve"> the pore volume. The pore volume in the modelling</w:t>
      </w:r>
      <w:r w:rsidR="00EC50A3" w:rsidRPr="00936188">
        <w:t xml:space="preserve"> can either </w:t>
      </w:r>
      <w:r w:rsidR="00D2296D" w:rsidRPr="00936188">
        <w:t xml:space="preserve">be the result of fitting the model to </w:t>
      </w:r>
      <w:r w:rsidR="00EC50A3" w:rsidRPr="00936188">
        <w:t>experimental data</w:t>
      </w:r>
      <w:r w:rsidR="00D2296D" w:rsidRPr="00936188">
        <w:t>,</w:t>
      </w:r>
      <w:r w:rsidR="003744BB" w:rsidRPr="00936188">
        <w:t xml:space="preserve"> (a p</w:t>
      </w:r>
      <w:r w:rsidR="00D2296D" w:rsidRPr="00936188">
        <w:t xml:space="preserve">arameter results from the fitting </w:t>
      </w:r>
      <w:r w:rsidR="00004C61">
        <w:t>based on</w:t>
      </w:r>
      <w:r w:rsidR="00D2296D" w:rsidRPr="00936188">
        <w:t xml:space="preserve"> the best value for the pore volume that fits the experimental data</w:t>
      </w:r>
      <w:r w:rsidR="003744BB" w:rsidRPr="00936188">
        <w:t>)</w:t>
      </w:r>
      <w:r w:rsidR="00D2296D" w:rsidRPr="00936188">
        <w:t xml:space="preserve">, or it can be used as a fixed parameter. If the latter, then a value needs to be provided, which is usually the </w:t>
      </w:r>
      <w:r w:rsidR="00E143A9" w:rsidRPr="00936188">
        <w:t xml:space="preserve">experimentally determined value for </w:t>
      </w:r>
      <w:r w:rsidR="00EC50A3" w:rsidRPr="00936188">
        <w:t>the pore volume</w:t>
      </w:r>
      <w:r w:rsidR="00D2296D" w:rsidRPr="00936188">
        <w:t xml:space="preserve">, </w:t>
      </w:r>
      <w:r w:rsidR="00EC50A3" w:rsidRPr="00936188">
        <w:t xml:space="preserve">determined </w:t>
      </w:r>
      <w:r w:rsidR="00E143A9" w:rsidRPr="00936188">
        <w:t>from</w:t>
      </w:r>
      <w:r w:rsidR="00EC50A3" w:rsidRPr="00936188">
        <w:t xml:space="preserve"> the </w:t>
      </w:r>
      <w:r w:rsidR="00E143A9" w:rsidRPr="00936188">
        <w:t xml:space="preserve">application of a </w:t>
      </w:r>
      <w:r w:rsidR="00964171">
        <w:lastRenderedPageBreak/>
        <w:t xml:space="preserve">given </w:t>
      </w:r>
      <w:r w:rsidR="00E143A9" w:rsidRPr="00936188">
        <w:t>method (</w:t>
      </w:r>
      <w:proofErr w:type="spellStart"/>
      <w:r w:rsidR="00E143A9" w:rsidRPr="00936188">
        <w:t>Dubinin-Radushkevich</w:t>
      </w:r>
      <w:proofErr w:type="spellEnd"/>
      <w:r w:rsidR="00E143A9" w:rsidRPr="00936188">
        <w:t>, Barrett-Joyner-</w:t>
      </w:r>
      <w:proofErr w:type="spellStart"/>
      <w:r w:rsidR="00E143A9" w:rsidRPr="00936188">
        <w:t>Halenda</w:t>
      </w:r>
      <w:proofErr w:type="spellEnd"/>
      <w:r w:rsidR="00E143A9" w:rsidRPr="00936188">
        <w:t xml:space="preserve">, DFT or others) to the </w:t>
      </w:r>
      <w:r w:rsidR="00EC50A3" w:rsidRPr="00936188">
        <w:t>nitrogen isotherm at 77 K</w:t>
      </w:r>
      <w:r w:rsidR="004F022F" w:rsidRPr="00936188">
        <w:t xml:space="preserve"> </w:t>
      </w:r>
      <w:r w:rsidR="00E26AD7">
        <w:rPr>
          <w:noProof/>
        </w:rPr>
        <w:t>[22]</w:t>
      </w:r>
      <w:r w:rsidR="00EC50A3" w:rsidRPr="00936188">
        <w:t xml:space="preserve">. </w:t>
      </w:r>
      <w:r w:rsidR="00D2296D" w:rsidRPr="00936188">
        <w:t xml:space="preserve">This can cause some uncertainties, as </w:t>
      </w:r>
      <w:r w:rsidR="003744BB" w:rsidRPr="00936188">
        <w:t>the molecular dimensions</w:t>
      </w:r>
      <w:r w:rsidR="00D2296D" w:rsidRPr="00936188">
        <w:t xml:space="preserve"> are different (nitrogen has a kinetic diameter of </w:t>
      </w:r>
      <w:r w:rsidR="003744BB" w:rsidRPr="00936188">
        <w:t>0.364 nm</w:t>
      </w:r>
      <w:r w:rsidR="00D2296D" w:rsidRPr="00936188">
        <w:t xml:space="preserve"> and hydrogen has a kinetic diameter of </w:t>
      </w:r>
      <w:r w:rsidR="003744BB" w:rsidRPr="00936188">
        <w:t>0.289 nm</w:t>
      </w:r>
      <w:r w:rsidR="00D2296D" w:rsidRPr="00936188">
        <w:t xml:space="preserve">), so the accessible pore volume to the different probe molecules is different. </w:t>
      </w:r>
    </w:p>
    <w:p w14:paraId="31D10639" w14:textId="77777777" w:rsidR="00D2296D" w:rsidRPr="00936188" w:rsidRDefault="00D2296D" w:rsidP="00D2296D">
      <w:pPr>
        <w:spacing w:line="360" w:lineRule="auto"/>
        <w:jc w:val="both"/>
      </w:pPr>
    </w:p>
    <w:p w14:paraId="554BB1E1" w14:textId="39723A44" w:rsidR="008C55A9" w:rsidRPr="00936188" w:rsidRDefault="00FB3B4F" w:rsidP="00D2296D">
      <w:pPr>
        <w:spacing w:line="360" w:lineRule="auto"/>
        <w:jc w:val="both"/>
      </w:pPr>
      <w:r>
        <w:t>M</w:t>
      </w:r>
      <w:r w:rsidR="00E4488C">
        <w:t xml:space="preserve">olecular </w:t>
      </w:r>
      <w:r w:rsidR="00364AAC" w:rsidRPr="00936188">
        <w:t xml:space="preserve">simulations also assume constant volume </w:t>
      </w:r>
      <w:r w:rsidR="00820935">
        <w:t xml:space="preserve">of MIL-101(Cr) </w:t>
      </w:r>
      <w:r w:rsidR="00364AAC" w:rsidRPr="00936188">
        <w:t xml:space="preserve">for adsorption. </w:t>
      </w:r>
      <w:r w:rsidR="004E7BA2" w:rsidRPr="00936188">
        <w:t>Verifying the constant volume assumption is important for MOFs, as many of these structure</w:t>
      </w:r>
      <w:r w:rsidR="00364AAC" w:rsidRPr="00936188">
        <w:t xml:space="preserve">s have been reported </w:t>
      </w:r>
      <w:r w:rsidR="004E7BA2" w:rsidRPr="00936188">
        <w:t>to be flexibl</w:t>
      </w:r>
      <w:r w:rsidR="00E143A9" w:rsidRPr="00936188">
        <w:t>e</w:t>
      </w:r>
      <w:r w:rsidR="003744BB" w:rsidRPr="00936188">
        <w:t xml:space="preserve"> </w:t>
      </w:r>
      <w:r w:rsidR="008B4153">
        <w:rPr>
          <w:noProof/>
        </w:rPr>
        <w:t>[30]</w:t>
      </w:r>
      <w:r w:rsidR="00E143A9" w:rsidRPr="00936188">
        <w:t xml:space="preserve">. The flexibility in these structures has been reported to be </w:t>
      </w:r>
      <w:r w:rsidR="00364AAC" w:rsidRPr="00936188">
        <w:t xml:space="preserve">induced mechanically, chemically, through light, </w:t>
      </w:r>
      <w:r w:rsidR="00E143A9" w:rsidRPr="00936188">
        <w:t>or other stimul</w:t>
      </w:r>
      <w:r w:rsidR="004F022F" w:rsidRPr="00936188">
        <w:t>i</w:t>
      </w:r>
      <w:r w:rsidR="00AA4D5E">
        <w:t xml:space="preserve"> </w:t>
      </w:r>
      <w:r w:rsidR="00AA4D5E">
        <w:rPr>
          <w:noProof/>
        </w:rPr>
        <w:t>[31]</w:t>
      </w:r>
      <w:r w:rsidR="00364AAC" w:rsidRPr="00936188">
        <w:t xml:space="preserve">. In </w:t>
      </w:r>
      <w:r w:rsidR="008C55A9" w:rsidRPr="00936188">
        <w:t xml:space="preserve">order to investigate the flexibility of the structure under different conditions and to ensure the validity of assumptions in the modelling and computer simulations (constant </w:t>
      </w:r>
      <w:r w:rsidR="00964171">
        <w:t xml:space="preserve">pore </w:t>
      </w:r>
      <w:r w:rsidR="008C55A9" w:rsidRPr="00936188">
        <w:t xml:space="preserve">volume), the unit cell of MIL-101(Cr) was investigated </w:t>
      </w:r>
      <w:r w:rsidR="00964171">
        <w:t>using</w:t>
      </w:r>
      <w:r w:rsidR="008C55A9" w:rsidRPr="00964171">
        <w:t xml:space="preserve"> </w:t>
      </w:r>
      <w:r w:rsidR="008C55A9" w:rsidRPr="00936188">
        <w:t xml:space="preserve">synchrotron </w:t>
      </w:r>
      <w:r w:rsidR="004E7BA2" w:rsidRPr="00936188">
        <w:t xml:space="preserve">powder </w:t>
      </w:r>
      <w:r w:rsidR="008C55A9" w:rsidRPr="00936188">
        <w:t>X-ray diffraction</w:t>
      </w:r>
      <w:r w:rsidR="00A23836" w:rsidRPr="00936188">
        <w:t xml:space="preserve"> at the European Synchrotron Radiation Facility (ESRF) in Grenoble</w:t>
      </w:r>
      <w:r w:rsidR="00E143A9" w:rsidRPr="00936188">
        <w:t xml:space="preserve">, in a sample cell that was equipped for </w:t>
      </w:r>
      <w:r w:rsidR="00E143A9" w:rsidRPr="009C2FCB">
        <w:rPr>
          <w:i/>
          <w:iCs/>
        </w:rPr>
        <w:t>in-situ</w:t>
      </w:r>
      <w:r w:rsidR="00E143A9" w:rsidRPr="00936188">
        <w:t xml:space="preserve"> gas dosing</w:t>
      </w:r>
      <w:r w:rsidR="00A23836" w:rsidRPr="00936188">
        <w:t xml:space="preserve"> (details in Supporting Information)</w:t>
      </w:r>
      <w:r w:rsidR="004E7BA2" w:rsidRPr="00936188">
        <w:t xml:space="preserve">. The temperatures ranged </w:t>
      </w:r>
      <w:r w:rsidR="00364AAC" w:rsidRPr="00936188">
        <w:t xml:space="preserve">from 80 to 300 K and </w:t>
      </w:r>
      <w:r w:rsidR="004E7BA2" w:rsidRPr="00936188">
        <w:t xml:space="preserve">the pressure ranged from </w:t>
      </w:r>
      <w:r w:rsidR="00A8634F">
        <w:t xml:space="preserve">0 </w:t>
      </w:r>
      <w:r w:rsidR="00364AAC" w:rsidRPr="00936188">
        <w:t xml:space="preserve">up to 10 </w:t>
      </w:r>
      <w:r w:rsidR="004244E0">
        <w:t>MPa</w:t>
      </w:r>
      <w:r w:rsidR="00364AAC" w:rsidRPr="00936188">
        <w:t xml:space="preserve">. </w:t>
      </w:r>
      <w:proofErr w:type="gramStart"/>
      <w:r w:rsidR="00364AAC" w:rsidRPr="00936188">
        <w:t>In order to</w:t>
      </w:r>
      <w:proofErr w:type="gramEnd"/>
      <w:r w:rsidR="00364AAC" w:rsidRPr="00936188">
        <w:t xml:space="preserve"> benchmark those changes, we also tested a material known for its flexibility, </w:t>
      </w:r>
      <w:r w:rsidR="00D84FC6">
        <w:t>MOF</w:t>
      </w:r>
      <w:r w:rsidR="00D84FC6" w:rsidRPr="00936188">
        <w:t xml:space="preserve"> </w:t>
      </w:r>
      <w:r w:rsidR="00364AAC" w:rsidRPr="00936188">
        <w:t>MIL-53</w:t>
      </w:r>
      <w:r w:rsidR="00A20D6F" w:rsidRPr="00936188">
        <w:t>(Al)</w:t>
      </w:r>
      <w:r w:rsidR="0079030C">
        <w:t xml:space="preserve"> </w:t>
      </w:r>
      <w:r w:rsidR="0079030C">
        <w:rPr>
          <w:noProof/>
        </w:rPr>
        <w:t>[32]</w:t>
      </w:r>
      <w:r w:rsidR="00364AAC" w:rsidRPr="00936188">
        <w:t>,</w:t>
      </w:r>
      <w:r w:rsidR="004E7BA2" w:rsidRPr="00936188">
        <w:t xml:space="preserve"> under the same conditions,</w:t>
      </w:r>
      <w:r w:rsidR="00364AAC" w:rsidRPr="00936188">
        <w:t xml:space="preserve"> and</w:t>
      </w:r>
      <w:r w:rsidR="00C0323C">
        <w:t xml:space="preserve"> have</w:t>
      </w:r>
      <w:r w:rsidR="00364AAC" w:rsidRPr="00936188">
        <w:t xml:space="preserve"> present</w:t>
      </w:r>
      <w:r w:rsidR="00C0323C">
        <w:t>ed</w:t>
      </w:r>
      <w:r w:rsidR="00364AAC" w:rsidRPr="00936188">
        <w:t xml:space="preserve"> those results in </w:t>
      </w:r>
      <w:r w:rsidR="007C3BA5" w:rsidRPr="00936188">
        <w:t>Supporting</w:t>
      </w:r>
      <w:r w:rsidR="00364AAC" w:rsidRPr="00936188">
        <w:t xml:space="preserve"> Information</w:t>
      </w:r>
      <w:r w:rsidR="004E7BA2" w:rsidRPr="00936188">
        <w:t>. T</w:t>
      </w:r>
      <w:r w:rsidR="00364AAC" w:rsidRPr="00936188">
        <w:t xml:space="preserve">he results for the synchrotron </w:t>
      </w:r>
      <w:r w:rsidR="004E7BA2" w:rsidRPr="00936188">
        <w:t xml:space="preserve">powder </w:t>
      </w:r>
      <w:r w:rsidR="00364AAC" w:rsidRPr="00936188">
        <w:t xml:space="preserve">X-ray diffraction </w:t>
      </w:r>
      <w:r w:rsidR="00D84FC6">
        <w:t>carried out</w:t>
      </w:r>
      <w:r w:rsidR="00D84FC6" w:rsidRPr="00936188">
        <w:t xml:space="preserve"> </w:t>
      </w:r>
      <w:r w:rsidR="00364AAC" w:rsidRPr="00936188">
        <w:t>at 0 and 10</w:t>
      </w:r>
      <w:r w:rsidR="004244E0">
        <w:t xml:space="preserve"> MPa </w:t>
      </w:r>
      <w:r w:rsidR="00364AAC" w:rsidRPr="00936188">
        <w:t>and 100 and 300 K</w:t>
      </w:r>
      <w:r w:rsidR="004E7BA2" w:rsidRPr="00936188">
        <w:t xml:space="preserve"> are shown in Figure 1. A</w:t>
      </w:r>
      <w:r w:rsidR="00364AAC" w:rsidRPr="00936188">
        <w:t>s it can be observed,</w:t>
      </w:r>
      <w:r w:rsidR="00337098" w:rsidRPr="00936188">
        <w:t xml:space="preserve"> the material is quite </w:t>
      </w:r>
      <w:r w:rsidR="00606541" w:rsidRPr="00936188">
        <w:t>stable</w:t>
      </w:r>
      <w:r w:rsidR="00337098" w:rsidRPr="00936188">
        <w:t xml:space="preserve"> at different conditions, with the unit cell of MIL-101(Cr) showing</w:t>
      </w:r>
      <w:r w:rsidR="004E7BA2" w:rsidRPr="00936188">
        <w:t xml:space="preserve"> no pressure dependence, and only minimal temperature dependence at cryogenic conditions</w:t>
      </w:r>
      <w:r w:rsidR="00364AAC" w:rsidRPr="00936188">
        <w:t xml:space="preserve">. This </w:t>
      </w:r>
      <w:proofErr w:type="gramStart"/>
      <w:r w:rsidR="00364AAC" w:rsidRPr="00936188">
        <w:t xml:space="preserve">is in contrast </w:t>
      </w:r>
      <w:r w:rsidR="00D2296D" w:rsidRPr="00936188">
        <w:t>to</w:t>
      </w:r>
      <w:proofErr w:type="gramEnd"/>
      <w:r w:rsidR="00D2296D" w:rsidRPr="00936188">
        <w:t xml:space="preserve"> MIL-53</w:t>
      </w:r>
      <w:r w:rsidR="00A20D6F" w:rsidRPr="00936188">
        <w:t>(Al)</w:t>
      </w:r>
      <w:r w:rsidR="00D2296D" w:rsidRPr="00936188">
        <w:t xml:space="preserve"> (Fig.S1 in </w:t>
      </w:r>
      <w:r w:rsidR="007C3BA5" w:rsidRPr="00936188">
        <w:t>Supporting</w:t>
      </w:r>
      <w:r w:rsidR="00D2296D" w:rsidRPr="00936188">
        <w:t xml:space="preserve"> Information)</w:t>
      </w:r>
      <w:r w:rsidR="004E7BA2" w:rsidRPr="00936188">
        <w:t xml:space="preserve">, which shows both pressure and temperature dependence </w:t>
      </w:r>
      <w:r w:rsidR="00D2296D" w:rsidRPr="00936188">
        <w:t xml:space="preserve">of the unit cell </w:t>
      </w:r>
      <w:r w:rsidR="004E7BA2" w:rsidRPr="00936188">
        <w:t>under the same conditions.</w:t>
      </w:r>
    </w:p>
    <w:p w14:paraId="3BEE3645" w14:textId="3CA4CFCE" w:rsidR="002F5551" w:rsidRPr="00936188" w:rsidRDefault="002F5551" w:rsidP="008C55A9">
      <w:pPr>
        <w:jc w:val="both"/>
      </w:pPr>
    </w:p>
    <w:p w14:paraId="3A4B18E7" w14:textId="6A927950" w:rsidR="007C39C4" w:rsidRDefault="007C39C4" w:rsidP="007C39C4">
      <w:pPr>
        <w:jc w:val="both"/>
        <w:rPr>
          <w:noProof/>
        </w:rPr>
      </w:pPr>
      <w:r>
        <w:rPr>
          <w:noProof/>
          <w:lang w:val="en-SG" w:eastAsia="en-SG"/>
        </w:rPr>
        <w:drawing>
          <wp:inline distT="0" distB="0" distL="0" distR="0" wp14:anchorId="740DDA80" wp14:editId="6FF379BF">
            <wp:extent cx="2990850" cy="2266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l="6709" t="10081" r="6412" b="4118"/>
                    <a:stretch>
                      <a:fillRect/>
                    </a:stretch>
                  </pic:blipFill>
                  <pic:spPr bwMode="auto">
                    <a:xfrm>
                      <a:off x="0" y="0"/>
                      <a:ext cx="2990850" cy="2266950"/>
                    </a:xfrm>
                    <a:prstGeom prst="rect">
                      <a:avLst/>
                    </a:prstGeom>
                    <a:noFill/>
                    <a:ln>
                      <a:noFill/>
                    </a:ln>
                  </pic:spPr>
                </pic:pic>
              </a:graphicData>
            </a:graphic>
          </wp:inline>
        </w:drawing>
      </w:r>
      <w:r>
        <w:rPr>
          <w:noProof/>
          <w:lang w:val="en-SG" w:eastAsia="en-SG"/>
        </w:rPr>
        <w:drawing>
          <wp:inline distT="0" distB="0" distL="0" distR="0" wp14:anchorId="528458AF" wp14:editId="7370D32F">
            <wp:extent cx="2921000" cy="223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1000" cy="2235200"/>
                    </a:xfrm>
                    <a:prstGeom prst="rect">
                      <a:avLst/>
                    </a:prstGeom>
                    <a:noFill/>
                    <a:ln>
                      <a:noFill/>
                    </a:ln>
                  </pic:spPr>
                </pic:pic>
              </a:graphicData>
            </a:graphic>
          </wp:inline>
        </w:drawing>
      </w:r>
    </w:p>
    <w:p w14:paraId="6E071BE6" w14:textId="748078E0" w:rsidR="007C39C4" w:rsidRDefault="007C39C4" w:rsidP="007C39C4">
      <w:pPr>
        <w:rPr>
          <w:b/>
          <w:bCs/>
          <w:sz w:val="18"/>
          <w:szCs w:val="18"/>
        </w:rPr>
      </w:pPr>
      <w:r>
        <w:rPr>
          <w:b/>
          <w:bCs/>
          <w:sz w:val="18"/>
          <w:szCs w:val="18"/>
        </w:rPr>
        <w:t xml:space="preserve">Figure 1 – </w:t>
      </w:r>
      <w:r w:rsidRPr="004A171E">
        <w:rPr>
          <w:b/>
          <w:bCs/>
          <w:i/>
          <w:iCs/>
          <w:sz w:val="18"/>
          <w:szCs w:val="18"/>
        </w:rPr>
        <w:t>In-situ</w:t>
      </w:r>
      <w:r>
        <w:rPr>
          <w:b/>
          <w:bCs/>
          <w:sz w:val="18"/>
          <w:szCs w:val="18"/>
        </w:rPr>
        <w:t xml:space="preserve"> synchrotron powder X-ray diffraction spectra of MIL-101(Cr). Left – low-angle diffraction spectra measured from 80 to 300 K. Right – low-angle diffraction spectra measured at 80, 100 and 300 K at 0 and 10 MPa of hydrogen pressure. </w:t>
      </w:r>
    </w:p>
    <w:p w14:paraId="2644D356" w14:textId="396C564C" w:rsidR="00470F5A" w:rsidRPr="00936188" w:rsidRDefault="00470F5A" w:rsidP="008C55A9">
      <w:pPr>
        <w:jc w:val="both"/>
      </w:pPr>
    </w:p>
    <w:p w14:paraId="37B68046" w14:textId="3FF7D4D5" w:rsidR="00C41923" w:rsidRDefault="00364AAC" w:rsidP="00F91B44">
      <w:pPr>
        <w:spacing w:line="360" w:lineRule="auto"/>
        <w:jc w:val="both"/>
      </w:pPr>
      <w:r w:rsidRPr="00936188">
        <w:t>The next stage was to evaluate the hydrogen uptakes in these structures using a combination of experiments and computer simulations</w:t>
      </w:r>
      <w:r w:rsidR="00F91B44" w:rsidRPr="00936188">
        <w:t xml:space="preserve"> to gain some insights into </w:t>
      </w:r>
      <w:r w:rsidR="00D84FC6">
        <w:t xml:space="preserve">in-pore </w:t>
      </w:r>
      <w:r w:rsidR="00F91B44" w:rsidRPr="00936188">
        <w:t>densification processes</w:t>
      </w:r>
      <w:r w:rsidRPr="00936188">
        <w:t xml:space="preserve">. </w:t>
      </w:r>
      <w:r w:rsidR="00A23836" w:rsidRPr="00936188">
        <w:t>H</w:t>
      </w:r>
      <w:r w:rsidR="00B05617" w:rsidRPr="00936188">
        <w:t xml:space="preserve">ydrogen isotherms at a range of temperatures </w:t>
      </w:r>
      <w:r w:rsidR="00C0323C">
        <w:t>for</w:t>
      </w:r>
      <w:r w:rsidR="00B05617" w:rsidRPr="00936188">
        <w:t xml:space="preserve"> MIL-101(Cr)</w:t>
      </w:r>
      <w:r w:rsidR="00A23836" w:rsidRPr="00936188">
        <w:t xml:space="preserve"> </w:t>
      </w:r>
      <w:r w:rsidR="002109CF" w:rsidRPr="00936188">
        <w:t>(isotherms a</w:t>
      </w:r>
      <w:r w:rsidR="00C0323C">
        <w:t>t</w:t>
      </w:r>
      <w:r w:rsidR="002109CF" w:rsidRPr="00936188">
        <w:t xml:space="preserve"> some of the temperatures </w:t>
      </w:r>
      <w:r w:rsidR="00A23836" w:rsidRPr="00936188">
        <w:t>were previously reported</w:t>
      </w:r>
      <w:r w:rsidR="00C0074C">
        <w:t xml:space="preserve"> </w:t>
      </w:r>
      <w:r w:rsidR="00C0074C">
        <w:rPr>
          <w:noProof/>
        </w:rPr>
        <w:t>[27, 28]</w:t>
      </w:r>
      <w:r w:rsidR="002109CF" w:rsidRPr="00936188">
        <w:t>)</w:t>
      </w:r>
      <w:r w:rsidR="003D4269">
        <w:t xml:space="preserve"> </w:t>
      </w:r>
      <w:r w:rsidR="00B05617" w:rsidRPr="00936188">
        <w:t>were measured from 77 K to room temperature and up to 12 MPa</w:t>
      </w:r>
      <w:r w:rsidR="00613986" w:rsidRPr="00936188">
        <w:t xml:space="preserve"> (see Fig </w:t>
      </w:r>
      <w:r w:rsidR="00D2296D" w:rsidRPr="00936188">
        <w:t>2</w:t>
      </w:r>
      <w:r w:rsidR="00613986" w:rsidRPr="00936188">
        <w:t>A)</w:t>
      </w:r>
      <w:r w:rsidR="00B05617" w:rsidRPr="00936188">
        <w:t>.</w:t>
      </w:r>
      <w:r w:rsidR="00F91B44" w:rsidRPr="00936188">
        <w:t xml:space="preserve"> </w:t>
      </w:r>
      <w:r w:rsidR="00A07367" w:rsidRPr="00A07367">
        <w:t xml:space="preserve">The data in Figure 2, acquired from 77 to 292 K and from 0 to 12 MPa, is in the range expected and reported in other papers for hydrogen adsorption in MIL-101 (Cr) </w:t>
      </w:r>
      <w:r w:rsidR="00B850BD">
        <w:rPr>
          <w:noProof/>
        </w:rPr>
        <w:t>[24, 33, 34]</w:t>
      </w:r>
      <w:r w:rsidR="00A07367" w:rsidRPr="00A07367">
        <w:t xml:space="preserve">. </w:t>
      </w:r>
      <w:proofErr w:type="gramStart"/>
      <w:r w:rsidR="00F91B44" w:rsidRPr="00936188">
        <w:t>In order to</w:t>
      </w:r>
      <w:proofErr w:type="gramEnd"/>
      <w:r w:rsidR="00F91B44" w:rsidRPr="00936188">
        <w:t xml:space="preserve"> use computer simulations as an indication of the processes that occur during hydrogen adsorption, the first step was to compare amounts adsorbed using computational </w:t>
      </w:r>
      <w:r w:rsidR="00C0323C">
        <w:t xml:space="preserve">simulation </w:t>
      </w:r>
      <w:r w:rsidR="00F91B44" w:rsidRPr="00936188">
        <w:t xml:space="preserve">and </w:t>
      </w:r>
      <w:r w:rsidR="00E1335D" w:rsidRPr="00936188">
        <w:t xml:space="preserve">modelling applied to experimental </w:t>
      </w:r>
      <w:r w:rsidR="00C0323C">
        <w:t xml:space="preserve">gas uptake </w:t>
      </w:r>
      <w:r w:rsidR="00E1335D" w:rsidRPr="00936188">
        <w:t>results</w:t>
      </w:r>
      <w:r w:rsidR="00F91B44" w:rsidRPr="00936188">
        <w:t xml:space="preserve">. </w:t>
      </w:r>
    </w:p>
    <w:p w14:paraId="62635977" w14:textId="45F7C9C7" w:rsidR="00C41923" w:rsidRDefault="00C41923" w:rsidP="00F91B44">
      <w:pPr>
        <w:spacing w:line="360" w:lineRule="auto"/>
        <w:jc w:val="both"/>
      </w:pPr>
    </w:p>
    <w:p w14:paraId="23180D87" w14:textId="7BA2072B" w:rsidR="00C41923" w:rsidRPr="00936188" w:rsidRDefault="00C41923" w:rsidP="00C41923">
      <w:pPr>
        <w:spacing w:line="360" w:lineRule="auto"/>
        <w:jc w:val="both"/>
      </w:pPr>
      <w:r w:rsidRPr="00895B90">
        <w:t xml:space="preserve">The details for the simulation methodology are provided in the Supporting Information. </w:t>
      </w:r>
      <w:r w:rsidR="00820935">
        <w:t>W</w:t>
      </w:r>
      <w:r w:rsidR="008C12F3" w:rsidRPr="00895B90">
        <w:t xml:space="preserve">e have </w:t>
      </w:r>
      <w:r w:rsidR="00820935">
        <w:t xml:space="preserve">adopted </w:t>
      </w:r>
      <w:r w:rsidR="008C12F3" w:rsidRPr="00895B90">
        <w:t>G</w:t>
      </w:r>
      <w:r w:rsidR="00FC1B2F" w:rsidRPr="00895B90">
        <w:t xml:space="preserve">ibbs </w:t>
      </w:r>
      <w:r w:rsidR="008C12F3" w:rsidRPr="00895B90">
        <w:t>E</w:t>
      </w:r>
      <w:r w:rsidR="00FC1B2F" w:rsidRPr="00895B90">
        <w:t xml:space="preserve">nsemble </w:t>
      </w:r>
      <w:r w:rsidR="008C12F3" w:rsidRPr="00895B90">
        <w:t>M</w:t>
      </w:r>
      <w:r w:rsidR="00FC1B2F" w:rsidRPr="00895B90">
        <w:t xml:space="preserve">onte </w:t>
      </w:r>
      <w:r w:rsidR="008C12F3" w:rsidRPr="00895B90">
        <w:t>C</w:t>
      </w:r>
      <w:r w:rsidR="00FC1B2F" w:rsidRPr="00895B90">
        <w:t>arlo (GEMC)</w:t>
      </w:r>
      <w:r w:rsidR="00BB3A73">
        <w:t xml:space="preserve"> method</w:t>
      </w:r>
      <w:r w:rsidR="00E64128" w:rsidRPr="00895B90">
        <w:t xml:space="preserve">, which allows the </w:t>
      </w:r>
      <w:r w:rsidR="00820935">
        <w:t xml:space="preserve">direct </w:t>
      </w:r>
      <w:r w:rsidR="00E64128" w:rsidRPr="00895B90">
        <w:t xml:space="preserve">calculation of the excess </w:t>
      </w:r>
      <w:r w:rsidR="00820935">
        <w:t xml:space="preserve">isotherm. </w:t>
      </w:r>
      <w:r w:rsidR="00566727" w:rsidRPr="00C93797">
        <w:rPr>
          <w:rFonts w:cs="Arial"/>
        </w:rPr>
        <w:t xml:space="preserve">The pressure is an input </w:t>
      </w:r>
      <w:r w:rsidR="00566727">
        <w:rPr>
          <w:rFonts w:cs="Arial"/>
        </w:rPr>
        <w:t>in</w:t>
      </w:r>
      <w:r w:rsidR="00566727" w:rsidRPr="00C93797">
        <w:rPr>
          <w:rFonts w:cs="Arial"/>
        </w:rPr>
        <w:t xml:space="preserve"> the GEMC method, as </w:t>
      </w:r>
      <w:r w:rsidR="00566727">
        <w:rPr>
          <w:rFonts w:cs="Arial"/>
        </w:rPr>
        <w:t xml:space="preserve">demonstrated </w:t>
      </w:r>
      <w:r w:rsidR="00566727" w:rsidRPr="00C93797">
        <w:rPr>
          <w:rFonts w:cs="Arial"/>
        </w:rPr>
        <w:t>in a previous study</w:t>
      </w:r>
      <w:r w:rsidR="00EE7E52">
        <w:rPr>
          <w:rFonts w:cs="Arial"/>
        </w:rPr>
        <w:t xml:space="preserve"> </w:t>
      </w:r>
      <w:r w:rsidR="00B850BD">
        <w:rPr>
          <w:rFonts w:cs="Arial"/>
          <w:noProof/>
        </w:rPr>
        <w:t>[35]</w:t>
      </w:r>
      <w:r w:rsidR="00566727" w:rsidRPr="00C93797">
        <w:rPr>
          <w:rFonts w:cs="Arial"/>
        </w:rPr>
        <w:t xml:space="preserve">. </w:t>
      </w:r>
      <w:r w:rsidR="00820935">
        <w:t xml:space="preserve">Specifically, </w:t>
      </w:r>
      <w:r w:rsidR="00355F51" w:rsidRPr="00895B90">
        <w:t xml:space="preserve">two simulation boxes </w:t>
      </w:r>
      <w:r w:rsidR="00820935">
        <w:t>(</w:t>
      </w:r>
      <w:r w:rsidR="00355F51" w:rsidRPr="00895B90">
        <w:t>one for the adsorbent and the other for the bulk adsorbate</w:t>
      </w:r>
      <w:r w:rsidR="00820935">
        <w:t xml:space="preserve">) are used and </w:t>
      </w:r>
      <w:r w:rsidR="00355F51" w:rsidRPr="00895B90">
        <w:t>allow</w:t>
      </w:r>
      <w:r w:rsidR="00820935">
        <w:t xml:space="preserve"> adsorbate </w:t>
      </w:r>
      <w:r w:rsidR="00355F51" w:rsidRPr="00895B90">
        <w:t>molecules to change between the two boxes.</w:t>
      </w:r>
      <w:r w:rsidR="00895B90" w:rsidRPr="00895B90">
        <w:t xml:space="preserve"> </w:t>
      </w:r>
      <w:r w:rsidR="00820935">
        <w:t xml:space="preserve">From GEMC method, the </w:t>
      </w:r>
      <w:r w:rsidR="00895B90" w:rsidRPr="00895B90">
        <w:t>bulk density, enthalpy</w:t>
      </w:r>
      <w:r w:rsidR="00926CC9">
        <w:t>,</w:t>
      </w:r>
      <w:r w:rsidR="00895B90" w:rsidRPr="00895B90">
        <w:t xml:space="preserve"> and excess amounts</w:t>
      </w:r>
      <w:r w:rsidR="00895B90">
        <w:t xml:space="preserve"> </w:t>
      </w:r>
      <w:r w:rsidR="00820935">
        <w:t xml:space="preserve">can be easily calculated </w:t>
      </w:r>
      <w:r w:rsidR="00895B90">
        <w:t>(more details in Supporting Information)</w:t>
      </w:r>
      <w:r w:rsidR="00895B90" w:rsidRPr="00895B90">
        <w:t xml:space="preserve">. </w:t>
      </w:r>
      <w:r w:rsidR="00820935">
        <w:t>W</w:t>
      </w:r>
      <w:r w:rsidR="00A66014">
        <w:t xml:space="preserve">e find excellent correspondence in Fig. 2B between </w:t>
      </w:r>
      <w:r w:rsidR="00C06D43">
        <w:t xml:space="preserve">the </w:t>
      </w:r>
      <w:r w:rsidR="00A66014">
        <w:t>simulated</w:t>
      </w:r>
      <w:r w:rsidR="00926CC9">
        <w:t xml:space="preserve"> excess</w:t>
      </w:r>
      <w:r w:rsidR="00A66014">
        <w:t xml:space="preserve"> uptakes and experimentally obtained values.</w:t>
      </w:r>
      <w:r w:rsidRPr="00936188">
        <w:t xml:space="preserve"> As the uptakes between the model and the </w:t>
      </w:r>
      <w:r>
        <w:t xml:space="preserve">simulations </w:t>
      </w:r>
      <w:r w:rsidRPr="00936188">
        <w:t xml:space="preserve">were in good correspondence, the </w:t>
      </w:r>
      <w:r>
        <w:t xml:space="preserve">simulation </w:t>
      </w:r>
      <w:r w:rsidRPr="00936188">
        <w:t xml:space="preserve">snapshots </w:t>
      </w:r>
      <w:r w:rsidR="00820935">
        <w:t xml:space="preserve">are provided </w:t>
      </w:r>
      <w:proofErr w:type="gramStart"/>
      <w:r w:rsidRPr="00936188">
        <w:t>in order to</w:t>
      </w:r>
      <w:proofErr w:type="gramEnd"/>
      <w:r w:rsidRPr="00936188">
        <w:t xml:space="preserve"> gain </w:t>
      </w:r>
      <w:r w:rsidR="00862ACD">
        <w:t>microscopic</w:t>
      </w:r>
      <w:r w:rsidRPr="00936188">
        <w:t xml:space="preserve"> insight into the adsorption and </w:t>
      </w:r>
      <w:r w:rsidRPr="0051185E">
        <w:t xml:space="preserve">densification process that occurs for hydrogen </w:t>
      </w:r>
      <w:r w:rsidRPr="0051185E">
        <w:rPr>
          <w:rFonts w:cs="Arial"/>
        </w:rPr>
        <w:t xml:space="preserve">in MIL-101(Cr). As seen in Fig S2 in Supporting Information, </w:t>
      </w:r>
      <w:r w:rsidR="00EE4F69" w:rsidRPr="0051185E">
        <w:rPr>
          <w:rFonts w:eastAsia="SimSun" w:cs="Arial"/>
        </w:rPr>
        <w:t>a</w:t>
      </w:r>
      <w:r w:rsidR="00EE4F69" w:rsidRPr="0051185E">
        <w:rPr>
          <w:rFonts w:cs="Arial"/>
        </w:rPr>
        <w:t>t a low pressure, H</w:t>
      </w:r>
      <w:r w:rsidR="00EE4F69" w:rsidRPr="0051185E">
        <w:rPr>
          <w:rFonts w:cs="Arial"/>
          <w:vertAlign w:val="subscript"/>
        </w:rPr>
        <w:t>2</w:t>
      </w:r>
      <w:r w:rsidR="00EE4F69" w:rsidRPr="0051185E">
        <w:rPr>
          <w:rFonts w:cs="Arial"/>
        </w:rPr>
        <w:t xml:space="preserve"> </w:t>
      </w:r>
      <w:proofErr w:type="gramStart"/>
      <w:r w:rsidR="00EE4F69" w:rsidRPr="0051185E">
        <w:rPr>
          <w:rFonts w:cs="Arial"/>
        </w:rPr>
        <w:t>is located in</w:t>
      </w:r>
      <w:proofErr w:type="gramEnd"/>
      <w:r w:rsidR="00EE4F69" w:rsidRPr="0051185E">
        <w:rPr>
          <w:rFonts w:cs="Arial"/>
        </w:rPr>
        <w:t xml:space="preserve"> the super-tetrahedron; with increasing pressure, H</w:t>
      </w:r>
      <w:r w:rsidR="00EE4F69" w:rsidRPr="0051185E">
        <w:rPr>
          <w:rFonts w:cs="Arial"/>
          <w:vertAlign w:val="subscript"/>
        </w:rPr>
        <w:t>2</w:t>
      </w:r>
      <w:r w:rsidR="00EE4F69" w:rsidRPr="0051185E">
        <w:rPr>
          <w:rFonts w:cs="Arial"/>
        </w:rPr>
        <w:t xml:space="preserve"> starts to locate in the small and large cages. </w:t>
      </w:r>
    </w:p>
    <w:p w14:paraId="2843A403" w14:textId="77777777" w:rsidR="00C41923" w:rsidRDefault="00C41923" w:rsidP="00F91B44">
      <w:pPr>
        <w:spacing w:line="360" w:lineRule="auto"/>
        <w:jc w:val="both"/>
      </w:pPr>
    </w:p>
    <w:p w14:paraId="161EA8D9" w14:textId="374DE89A" w:rsidR="00E1335D" w:rsidRPr="00936188" w:rsidRDefault="00653E32" w:rsidP="00F91B44">
      <w:pPr>
        <w:spacing w:line="360" w:lineRule="auto"/>
        <w:jc w:val="both"/>
      </w:pPr>
      <w:r>
        <w:t>In Fig 2B, the total and absolute hydrogen uptake are also shown for the MIL-101</w:t>
      </w:r>
      <w:r w:rsidR="003125CB">
        <w:t>(</w:t>
      </w:r>
      <w:r>
        <w:t xml:space="preserve">Cr). These were calculated used a methodology that was previously reported </w:t>
      </w:r>
      <w:r w:rsidR="00B850BD">
        <w:rPr>
          <w:noProof/>
        </w:rPr>
        <w:t>[29, 36]</w:t>
      </w:r>
      <w:r>
        <w:t xml:space="preserve"> </w:t>
      </w:r>
      <w:r w:rsidR="00A23836" w:rsidRPr="00936188">
        <w:t>that distinguishes</w:t>
      </w:r>
      <w:r w:rsidR="00E1335D" w:rsidRPr="00936188">
        <w:t xml:space="preserve"> between excess, absolute and total</w:t>
      </w:r>
      <w:r w:rsidR="000C0477" w:rsidRPr="00936188">
        <w:t xml:space="preserve"> adsorption</w:t>
      </w:r>
      <w:r w:rsidR="00E1335D" w:rsidRPr="00936188">
        <w:t xml:space="preserve">, </w:t>
      </w:r>
      <w:r w:rsidR="000E2091" w:rsidRPr="00936188">
        <w:t>assuming</w:t>
      </w:r>
      <w:r w:rsidR="00E1335D" w:rsidRPr="00936188">
        <w:t xml:space="preserve"> a constant density of adsorbate and </w:t>
      </w:r>
      <w:r w:rsidR="000E2091" w:rsidRPr="00936188">
        <w:t>available pore volume</w:t>
      </w:r>
      <w:r w:rsidR="000C0477" w:rsidRPr="00936188">
        <w:t xml:space="preserve">. </w:t>
      </w:r>
      <w:r w:rsidR="001C6F62" w:rsidRPr="00936188">
        <w:t xml:space="preserve">The excess </w:t>
      </w:r>
      <w:r w:rsidR="00C0323C">
        <w:t>is</w:t>
      </w:r>
      <w:r w:rsidR="001C6F62" w:rsidRPr="00936188">
        <w:t xml:space="preserve"> the amount</w:t>
      </w:r>
      <w:r w:rsidR="00C0323C">
        <w:t xml:space="preserve"> of adsorbed hydrogen</w:t>
      </w:r>
      <w:r w:rsidR="001C6F62" w:rsidRPr="00936188">
        <w:t xml:space="preserve"> determined experimentally, absolute refers to the amount in the pore with a higher density than the bulk (the density is assumed constant, with the volume of adsorbate increasing with pressure) and the total refers to the total amount of gas within the pore (that is, the absolute, which is the denser phase, and the bulk gas present in the pore). Excess, </w:t>
      </w:r>
      <w:proofErr w:type="gramStart"/>
      <w:r w:rsidR="001C6F62" w:rsidRPr="00936188">
        <w:t>absolute</w:t>
      </w:r>
      <w:proofErr w:type="gramEnd"/>
      <w:r w:rsidR="001C6F62" w:rsidRPr="00936188">
        <w:t xml:space="preserve"> and total adsorption are represented in </w:t>
      </w:r>
      <w:proofErr w:type="spellStart"/>
      <w:r w:rsidR="001C6F62" w:rsidRPr="00936188">
        <w:t>Eqs</w:t>
      </w:r>
      <w:proofErr w:type="spellEnd"/>
      <w:r w:rsidR="001C6F62" w:rsidRPr="00936188">
        <w:t xml:space="preserve">. 1, 2 and 3, respectively. </w:t>
      </w:r>
    </w:p>
    <w:p w14:paraId="23FE76D2" w14:textId="77777777" w:rsidR="00C17807" w:rsidRPr="00936188" w:rsidRDefault="00C17807" w:rsidP="00F91B44">
      <w:pPr>
        <w:spacing w:line="360" w:lineRule="auto"/>
        <w:jc w:val="both"/>
      </w:pPr>
    </w:p>
    <w:p w14:paraId="0577BABC" w14:textId="74211886" w:rsidR="00C17807" w:rsidRPr="00936188" w:rsidRDefault="009619E0" w:rsidP="00C17807">
      <w:pPr>
        <w:pStyle w:val="TAMainText"/>
        <w:spacing w:line="360" w:lineRule="auto"/>
        <w:jc w:val="center"/>
        <w:rPr>
          <w:rFonts w:ascii="Arial" w:hAnsi="Arial" w:cs="Arial"/>
          <w:sz w:val="22"/>
          <w:szCs w:val="22"/>
          <w:lang w:val="en-GB"/>
        </w:rPr>
      </w:pPr>
      <m:oMath>
        <m:sSub>
          <m:sSubPr>
            <m:ctrlPr>
              <w:rPr>
                <w:rFonts w:ascii="Cambria Math" w:hAnsi="Cambria Math" w:cs="Arial"/>
                <w:sz w:val="22"/>
                <w:szCs w:val="22"/>
                <w:lang w:val="en-GB"/>
              </w:rPr>
            </m:ctrlPr>
          </m:sSubPr>
          <m:e>
            <m:r>
              <w:rPr>
                <w:rFonts w:ascii="Cambria Math" w:hAnsi="Cambria Math" w:cs="Arial"/>
                <w:sz w:val="22"/>
                <w:szCs w:val="22"/>
                <w:lang w:val="en-GB"/>
              </w:rPr>
              <m:t>m</m:t>
            </m:r>
          </m:e>
          <m:sub>
            <m:r>
              <m:rPr>
                <m:sty m:val="p"/>
              </m:rPr>
              <w:rPr>
                <w:rFonts w:ascii="Cambria Math" w:hAnsi="Cambria Math" w:cs="Arial"/>
                <w:sz w:val="22"/>
                <w:szCs w:val="22"/>
                <w:lang w:val="en-GB"/>
              </w:rPr>
              <m:t>e</m:t>
            </m:r>
          </m:sub>
        </m:sSub>
        <m:r>
          <m:rPr>
            <m:sty m:val="p"/>
          </m:rPr>
          <w:rPr>
            <w:rFonts w:ascii="Cambria Math" w:hAnsi="Cambria Math" w:cs="Arial"/>
            <w:sz w:val="22"/>
            <w:szCs w:val="22"/>
            <w:lang w:val="en-GB"/>
          </w:rPr>
          <m:t>=</m:t>
        </m:r>
        <m:sSub>
          <m:sSubPr>
            <m:ctrlPr>
              <w:rPr>
                <w:rFonts w:ascii="Cambria Math" w:hAnsi="Cambria Math" w:cs="Arial"/>
                <w:sz w:val="22"/>
                <w:szCs w:val="22"/>
                <w:lang w:val="en-GB"/>
              </w:rPr>
            </m:ctrlPr>
          </m:sSubPr>
          <m:e>
            <m:r>
              <m:rPr>
                <m:sty m:val="p"/>
              </m:rPr>
              <w:rPr>
                <w:rFonts w:ascii="Cambria Math" w:hAnsi="Cambria Math" w:cs="Arial"/>
                <w:sz w:val="22"/>
                <w:szCs w:val="22"/>
                <w:lang w:val="en-GB"/>
              </w:rPr>
              <m:t>ρ</m:t>
            </m:r>
          </m:e>
          <m:sub>
            <m:r>
              <m:rPr>
                <m:sty m:val="p"/>
              </m:rPr>
              <w:rPr>
                <w:rFonts w:ascii="Cambria Math" w:hAnsi="Cambria Math" w:cs="Arial"/>
                <w:sz w:val="22"/>
                <w:szCs w:val="22"/>
                <w:lang w:val="en-GB"/>
              </w:rPr>
              <m:t>a</m:t>
            </m:r>
          </m:sub>
        </m:sSub>
        <m:r>
          <m:rPr>
            <m:sty m:val="p"/>
          </m:rPr>
          <w:rPr>
            <w:rFonts w:ascii="Cambria Math" w:hAnsi="Cambria Math" w:cs="Arial"/>
            <w:sz w:val="22"/>
            <w:szCs w:val="22"/>
            <w:lang w:val="en-GB"/>
          </w:rPr>
          <m:t xml:space="preserve"> θ </m:t>
        </m:r>
        <m:sSub>
          <m:sSubPr>
            <m:ctrlPr>
              <w:rPr>
                <w:rFonts w:ascii="Cambria Math" w:hAnsi="Cambria Math" w:cs="Arial"/>
                <w:sz w:val="22"/>
                <w:szCs w:val="22"/>
                <w:lang w:val="en-GB"/>
              </w:rPr>
            </m:ctrlPr>
          </m:sSubPr>
          <m:e>
            <m:r>
              <w:rPr>
                <w:rFonts w:ascii="Cambria Math" w:hAnsi="Cambria Math" w:cs="Arial"/>
                <w:sz w:val="22"/>
                <w:szCs w:val="22"/>
                <w:lang w:val="en-GB"/>
              </w:rPr>
              <m:t>V</m:t>
            </m:r>
          </m:e>
          <m:sub>
            <m:r>
              <m:rPr>
                <m:sty m:val="p"/>
              </m:rPr>
              <w:rPr>
                <w:rFonts w:ascii="Cambria Math" w:hAnsi="Cambria Math" w:cs="Arial"/>
                <w:sz w:val="22"/>
                <w:szCs w:val="22"/>
                <w:lang w:val="en-GB"/>
              </w:rPr>
              <m:t>p</m:t>
            </m:r>
          </m:sub>
        </m:sSub>
        <m:r>
          <m:rPr>
            <m:sty m:val="p"/>
          </m:rPr>
          <w:rPr>
            <w:rFonts w:ascii="Cambria Math" w:hAnsi="Cambria Math" w:cs="Arial"/>
            <w:sz w:val="22"/>
            <w:szCs w:val="22"/>
            <w:lang w:val="en-GB"/>
          </w:rPr>
          <m:t>-</m:t>
        </m:r>
        <m:sSub>
          <m:sSubPr>
            <m:ctrlPr>
              <w:rPr>
                <w:rFonts w:ascii="Cambria Math" w:hAnsi="Cambria Math" w:cs="Arial"/>
                <w:sz w:val="22"/>
                <w:szCs w:val="22"/>
                <w:lang w:val="en-GB"/>
              </w:rPr>
            </m:ctrlPr>
          </m:sSubPr>
          <m:e>
            <m:r>
              <m:rPr>
                <m:sty m:val="p"/>
              </m:rPr>
              <w:rPr>
                <w:rFonts w:ascii="Cambria Math" w:hAnsi="Cambria Math" w:cs="Arial"/>
                <w:sz w:val="22"/>
                <w:szCs w:val="22"/>
                <w:lang w:val="en-GB"/>
              </w:rPr>
              <m:t>ρ</m:t>
            </m:r>
          </m:e>
          <m:sub>
            <m:r>
              <m:rPr>
                <m:sty m:val="p"/>
              </m:rPr>
              <w:rPr>
                <w:rFonts w:ascii="Cambria Math" w:hAnsi="Cambria Math" w:cs="Arial"/>
                <w:sz w:val="22"/>
                <w:szCs w:val="22"/>
                <w:lang w:val="en-GB"/>
              </w:rPr>
              <m:t>b</m:t>
            </m:r>
          </m:sub>
        </m:sSub>
        <m:r>
          <m:rPr>
            <m:sty m:val="p"/>
          </m:rPr>
          <w:rPr>
            <w:rFonts w:ascii="Cambria Math" w:hAnsi="Cambria Math" w:cs="Arial"/>
            <w:sz w:val="22"/>
            <w:szCs w:val="22"/>
            <w:lang w:val="en-GB"/>
          </w:rPr>
          <m:t xml:space="preserve">θ </m:t>
        </m:r>
        <m:sSub>
          <m:sSubPr>
            <m:ctrlPr>
              <w:rPr>
                <w:rFonts w:ascii="Cambria Math" w:hAnsi="Cambria Math" w:cs="Arial"/>
                <w:sz w:val="22"/>
                <w:szCs w:val="22"/>
                <w:lang w:val="en-GB"/>
              </w:rPr>
            </m:ctrlPr>
          </m:sSubPr>
          <m:e>
            <m:r>
              <w:rPr>
                <w:rFonts w:ascii="Cambria Math" w:hAnsi="Cambria Math" w:cs="Arial"/>
                <w:sz w:val="22"/>
                <w:szCs w:val="22"/>
                <w:lang w:val="en-GB"/>
              </w:rPr>
              <m:t>V</m:t>
            </m:r>
          </m:e>
          <m:sub>
            <m:r>
              <m:rPr>
                <m:sty m:val="p"/>
              </m:rPr>
              <w:rPr>
                <w:rFonts w:ascii="Cambria Math" w:hAnsi="Cambria Math" w:cs="Arial"/>
                <w:sz w:val="22"/>
                <w:szCs w:val="22"/>
                <w:lang w:val="en-GB"/>
              </w:rPr>
              <m:t>p</m:t>
            </m:r>
          </m:sub>
        </m:sSub>
        <m:r>
          <m:rPr>
            <m:sty m:val="p"/>
          </m:rPr>
          <w:rPr>
            <w:rFonts w:ascii="Cambria Math" w:hAnsi="Cambria Math" w:cs="Arial"/>
            <w:sz w:val="22"/>
            <w:szCs w:val="22"/>
            <w:lang w:val="en-GB"/>
          </w:rPr>
          <m:t>↔</m:t>
        </m:r>
        <m:d>
          <m:dPr>
            <m:ctrlPr>
              <w:rPr>
                <w:rFonts w:ascii="Cambria Math" w:hAnsi="Cambria Math" w:cs="Arial"/>
                <w:sz w:val="22"/>
                <w:szCs w:val="22"/>
                <w:lang w:val="en-GB"/>
              </w:rPr>
            </m:ctrlPr>
          </m:dPr>
          <m:e>
            <m:sSub>
              <m:sSubPr>
                <m:ctrlPr>
                  <w:rPr>
                    <w:rFonts w:ascii="Cambria Math" w:hAnsi="Cambria Math" w:cs="Arial"/>
                    <w:sz w:val="22"/>
                    <w:szCs w:val="22"/>
                    <w:lang w:val="en-GB"/>
                  </w:rPr>
                </m:ctrlPr>
              </m:sSubPr>
              <m:e>
                <m:r>
                  <m:rPr>
                    <m:sty m:val="p"/>
                  </m:rPr>
                  <w:rPr>
                    <w:rFonts w:ascii="Cambria Math" w:hAnsi="Cambria Math" w:cs="Arial"/>
                    <w:sz w:val="22"/>
                    <w:szCs w:val="22"/>
                    <w:lang w:val="en-GB"/>
                  </w:rPr>
                  <m:t>ρ</m:t>
                </m:r>
              </m:e>
              <m:sub>
                <m:r>
                  <m:rPr>
                    <m:sty m:val="p"/>
                  </m:rPr>
                  <w:rPr>
                    <w:rFonts w:ascii="Cambria Math" w:hAnsi="Cambria Math" w:cs="Arial"/>
                    <w:sz w:val="22"/>
                    <w:szCs w:val="22"/>
                    <w:lang w:val="en-GB"/>
                  </w:rPr>
                  <m:t>a</m:t>
                </m:r>
              </m:sub>
            </m:sSub>
            <m:r>
              <m:rPr>
                <m:sty m:val="p"/>
              </m:rPr>
              <w:rPr>
                <w:rFonts w:ascii="Cambria Math" w:hAnsi="Cambria Math" w:cs="Arial"/>
                <w:sz w:val="22"/>
                <w:szCs w:val="22"/>
                <w:lang w:val="en-GB"/>
              </w:rPr>
              <m:t>-</m:t>
            </m:r>
            <m:sSub>
              <m:sSubPr>
                <m:ctrlPr>
                  <w:rPr>
                    <w:rFonts w:ascii="Cambria Math" w:hAnsi="Cambria Math" w:cs="Arial"/>
                    <w:sz w:val="22"/>
                    <w:szCs w:val="22"/>
                    <w:lang w:val="en-GB"/>
                  </w:rPr>
                </m:ctrlPr>
              </m:sSubPr>
              <m:e>
                <m:r>
                  <m:rPr>
                    <m:sty m:val="p"/>
                  </m:rPr>
                  <w:rPr>
                    <w:rFonts w:ascii="Cambria Math" w:hAnsi="Cambria Math" w:cs="Arial"/>
                    <w:sz w:val="22"/>
                    <w:szCs w:val="22"/>
                    <w:lang w:val="en-GB"/>
                  </w:rPr>
                  <m:t>ρ</m:t>
                </m:r>
              </m:e>
              <m:sub>
                <m:r>
                  <m:rPr>
                    <m:sty m:val="p"/>
                  </m:rPr>
                  <w:rPr>
                    <w:rFonts w:ascii="Cambria Math" w:hAnsi="Cambria Math" w:cs="Arial"/>
                    <w:sz w:val="22"/>
                    <w:szCs w:val="22"/>
                    <w:lang w:val="en-GB"/>
                  </w:rPr>
                  <m:t>b</m:t>
                </m:r>
              </m:sub>
            </m:sSub>
          </m:e>
        </m:d>
        <m:r>
          <m:rPr>
            <m:sty m:val="p"/>
          </m:rPr>
          <w:rPr>
            <w:rFonts w:ascii="Cambria Math" w:hAnsi="Cambria Math" w:cs="Arial"/>
            <w:sz w:val="22"/>
            <w:szCs w:val="22"/>
            <w:lang w:val="en-GB"/>
          </w:rPr>
          <m:t xml:space="preserve"> θ </m:t>
        </m:r>
        <m:sSub>
          <m:sSubPr>
            <m:ctrlPr>
              <w:rPr>
                <w:rFonts w:ascii="Cambria Math" w:hAnsi="Cambria Math" w:cs="Arial"/>
                <w:sz w:val="22"/>
                <w:szCs w:val="22"/>
                <w:lang w:val="en-GB"/>
              </w:rPr>
            </m:ctrlPr>
          </m:sSubPr>
          <m:e>
            <m:r>
              <w:rPr>
                <w:rFonts w:ascii="Cambria Math" w:hAnsi="Cambria Math" w:cs="Arial"/>
                <w:sz w:val="22"/>
                <w:szCs w:val="22"/>
                <w:lang w:val="en-GB"/>
              </w:rPr>
              <m:t>V</m:t>
            </m:r>
          </m:e>
          <m:sub>
            <m:r>
              <m:rPr>
                <m:sty m:val="p"/>
              </m:rPr>
              <w:rPr>
                <w:rFonts w:ascii="Cambria Math" w:hAnsi="Cambria Math" w:cs="Arial"/>
                <w:sz w:val="22"/>
                <w:szCs w:val="22"/>
                <w:lang w:val="en-GB"/>
              </w:rPr>
              <m:t>p</m:t>
            </m:r>
          </m:sub>
        </m:sSub>
      </m:oMath>
      <w:r w:rsidR="00C17807" w:rsidRPr="00936188">
        <w:rPr>
          <w:rFonts w:ascii="Arial" w:hAnsi="Arial" w:cs="Arial"/>
          <w:sz w:val="22"/>
          <w:szCs w:val="22"/>
          <w:lang w:val="en-GB"/>
        </w:rPr>
        <w:tab/>
      </w:r>
      <w:r w:rsidR="00C17807" w:rsidRPr="00936188">
        <w:rPr>
          <w:rFonts w:ascii="Arial" w:hAnsi="Arial" w:cs="Arial"/>
          <w:sz w:val="22"/>
          <w:szCs w:val="22"/>
          <w:lang w:val="en-GB"/>
        </w:rPr>
        <w:tab/>
      </w:r>
      <w:r w:rsidR="00C17807" w:rsidRPr="00936188">
        <w:rPr>
          <w:rFonts w:ascii="Arial" w:hAnsi="Arial" w:cs="Arial"/>
          <w:sz w:val="22"/>
          <w:szCs w:val="22"/>
          <w:lang w:val="en-GB"/>
        </w:rPr>
        <w:tab/>
      </w:r>
      <w:r w:rsidR="00C17807" w:rsidRPr="00936188">
        <w:rPr>
          <w:rFonts w:ascii="Arial" w:hAnsi="Arial" w:cs="Arial"/>
          <w:sz w:val="22"/>
          <w:szCs w:val="22"/>
          <w:lang w:val="en-GB"/>
        </w:rPr>
        <w:tab/>
        <w:t>(Eq.1)</w:t>
      </w:r>
    </w:p>
    <w:p w14:paraId="34B6BC66" w14:textId="77777777" w:rsidR="00C17807" w:rsidRPr="00936188" w:rsidRDefault="00C17807" w:rsidP="00C17807">
      <w:pPr>
        <w:pStyle w:val="TAMainText"/>
        <w:spacing w:line="360" w:lineRule="auto"/>
        <w:jc w:val="center"/>
        <w:rPr>
          <w:rFonts w:ascii="Arial" w:hAnsi="Arial" w:cs="Arial"/>
          <w:sz w:val="22"/>
          <w:szCs w:val="22"/>
          <w:lang w:val="en-GB"/>
        </w:rPr>
      </w:pPr>
    </w:p>
    <w:p w14:paraId="5D437957" w14:textId="6166684C" w:rsidR="00C17807" w:rsidRPr="00936188" w:rsidRDefault="009619E0" w:rsidP="00C17807">
      <w:pPr>
        <w:pStyle w:val="TAMainText"/>
        <w:spacing w:line="360" w:lineRule="auto"/>
        <w:jc w:val="center"/>
        <w:rPr>
          <w:rFonts w:ascii="Arial" w:hAnsi="Arial" w:cs="Arial"/>
          <w:sz w:val="22"/>
          <w:szCs w:val="22"/>
          <w:lang w:val="en-GB"/>
        </w:rPr>
      </w:pPr>
      <m:oMath>
        <m:sSub>
          <m:sSubPr>
            <m:ctrlPr>
              <w:rPr>
                <w:rFonts w:ascii="Cambria Math" w:hAnsi="Cambria Math" w:cs="Arial"/>
                <w:sz w:val="22"/>
                <w:szCs w:val="22"/>
                <w:lang w:val="en-GB"/>
              </w:rPr>
            </m:ctrlPr>
          </m:sSubPr>
          <m:e>
            <m:r>
              <w:rPr>
                <w:rFonts w:ascii="Cambria Math" w:hAnsi="Cambria Math" w:cs="Arial"/>
                <w:sz w:val="22"/>
                <w:szCs w:val="22"/>
                <w:lang w:val="en-GB"/>
              </w:rPr>
              <m:t>m</m:t>
            </m:r>
          </m:e>
          <m:sub>
            <m:r>
              <m:rPr>
                <m:sty m:val="p"/>
              </m:rPr>
              <w:rPr>
                <w:rFonts w:ascii="Cambria Math" w:hAnsi="Cambria Math" w:cs="Arial"/>
                <w:sz w:val="22"/>
                <w:szCs w:val="22"/>
                <w:lang w:val="en-GB"/>
              </w:rPr>
              <m:t>a</m:t>
            </m:r>
          </m:sub>
        </m:sSub>
        <m:r>
          <m:rPr>
            <m:sty m:val="p"/>
          </m:rPr>
          <w:rPr>
            <w:rFonts w:ascii="Cambria Math" w:hAnsi="Cambria Math" w:cs="Arial"/>
            <w:sz w:val="22"/>
            <w:szCs w:val="22"/>
            <w:lang w:val="en-GB"/>
          </w:rPr>
          <m:t>=</m:t>
        </m:r>
        <m:sSub>
          <m:sSubPr>
            <m:ctrlPr>
              <w:rPr>
                <w:rFonts w:ascii="Cambria Math" w:hAnsi="Cambria Math" w:cs="Arial"/>
                <w:sz w:val="22"/>
                <w:szCs w:val="22"/>
                <w:lang w:val="en-GB"/>
              </w:rPr>
            </m:ctrlPr>
          </m:sSubPr>
          <m:e>
            <m:r>
              <w:rPr>
                <w:rFonts w:ascii="Cambria Math" w:hAnsi="Cambria Math" w:cs="Arial"/>
                <w:sz w:val="22"/>
                <w:szCs w:val="22"/>
                <w:lang w:val="en-GB"/>
              </w:rPr>
              <m:t>m</m:t>
            </m:r>
          </m:e>
          <m:sub>
            <m:r>
              <m:rPr>
                <m:sty m:val="p"/>
              </m:rPr>
              <w:rPr>
                <w:rFonts w:ascii="Cambria Math" w:hAnsi="Cambria Math" w:cs="Arial"/>
                <w:sz w:val="22"/>
                <w:szCs w:val="22"/>
                <w:lang w:val="en-GB"/>
              </w:rPr>
              <m:t>e</m:t>
            </m:r>
          </m:sub>
        </m:sSub>
        <m:r>
          <m:rPr>
            <m:sty m:val="p"/>
          </m:rPr>
          <w:rPr>
            <w:rFonts w:ascii="Cambria Math" w:hAnsi="Cambria Math" w:cs="Arial"/>
            <w:sz w:val="22"/>
            <w:szCs w:val="22"/>
            <w:lang w:val="en-GB"/>
          </w:rPr>
          <m:t>+</m:t>
        </m:r>
        <m:sSub>
          <m:sSubPr>
            <m:ctrlPr>
              <w:rPr>
                <w:rFonts w:ascii="Cambria Math" w:hAnsi="Cambria Math" w:cs="Arial"/>
                <w:sz w:val="22"/>
                <w:szCs w:val="22"/>
                <w:lang w:val="en-GB"/>
              </w:rPr>
            </m:ctrlPr>
          </m:sSubPr>
          <m:e>
            <m:r>
              <m:rPr>
                <m:sty m:val="p"/>
              </m:rPr>
              <w:rPr>
                <w:rFonts w:ascii="Cambria Math" w:hAnsi="Cambria Math" w:cs="Arial"/>
                <w:sz w:val="22"/>
                <w:szCs w:val="22"/>
                <w:lang w:val="en-GB"/>
              </w:rPr>
              <m:t>ρ</m:t>
            </m:r>
          </m:e>
          <m:sub>
            <m:r>
              <m:rPr>
                <m:sty m:val="p"/>
              </m:rPr>
              <w:rPr>
                <w:rFonts w:ascii="Cambria Math" w:hAnsi="Cambria Math" w:cs="Arial"/>
                <w:sz w:val="22"/>
                <w:szCs w:val="22"/>
                <w:lang w:val="en-GB"/>
              </w:rPr>
              <m:t>b</m:t>
            </m:r>
          </m:sub>
        </m:sSub>
        <m:r>
          <m:rPr>
            <m:sty m:val="p"/>
          </m:rPr>
          <w:rPr>
            <w:rFonts w:ascii="Cambria Math" w:hAnsi="Cambria Math" w:cs="Arial"/>
            <w:sz w:val="22"/>
            <w:szCs w:val="22"/>
            <w:lang w:val="en-GB"/>
          </w:rPr>
          <m:t xml:space="preserve"> θ </m:t>
        </m:r>
        <m:sSub>
          <m:sSubPr>
            <m:ctrlPr>
              <w:rPr>
                <w:rFonts w:ascii="Cambria Math" w:hAnsi="Cambria Math" w:cs="Arial"/>
                <w:sz w:val="22"/>
                <w:szCs w:val="22"/>
                <w:lang w:val="en-GB"/>
              </w:rPr>
            </m:ctrlPr>
          </m:sSubPr>
          <m:e>
            <m:r>
              <w:rPr>
                <w:rFonts w:ascii="Cambria Math" w:hAnsi="Cambria Math" w:cs="Arial"/>
                <w:sz w:val="22"/>
                <w:szCs w:val="22"/>
                <w:lang w:val="en-GB"/>
              </w:rPr>
              <m:t>V</m:t>
            </m:r>
          </m:e>
          <m:sub>
            <m:r>
              <m:rPr>
                <m:sty m:val="p"/>
              </m:rPr>
              <w:rPr>
                <w:rFonts w:ascii="Cambria Math" w:hAnsi="Cambria Math" w:cs="Arial"/>
                <w:sz w:val="22"/>
                <w:szCs w:val="22"/>
                <w:lang w:val="en-GB"/>
              </w:rPr>
              <m:t>p</m:t>
            </m:r>
          </m:sub>
        </m:sSub>
        <m:r>
          <m:rPr>
            <m:sty m:val="p"/>
          </m:rPr>
          <w:rPr>
            <w:rFonts w:ascii="Cambria Math" w:hAnsi="Cambria Math" w:cs="Arial"/>
            <w:sz w:val="22"/>
            <w:szCs w:val="22"/>
            <w:lang w:val="en-GB"/>
          </w:rPr>
          <m:t>↔</m:t>
        </m:r>
        <m:sSub>
          <m:sSubPr>
            <m:ctrlPr>
              <w:rPr>
                <w:rFonts w:ascii="Cambria Math" w:hAnsi="Cambria Math" w:cs="Arial"/>
                <w:sz w:val="22"/>
                <w:szCs w:val="22"/>
                <w:lang w:val="en-GB"/>
              </w:rPr>
            </m:ctrlPr>
          </m:sSubPr>
          <m:e>
            <m:r>
              <m:rPr>
                <m:sty m:val="p"/>
              </m:rPr>
              <w:rPr>
                <w:rFonts w:ascii="Cambria Math" w:hAnsi="Cambria Math" w:cs="Arial"/>
                <w:sz w:val="22"/>
                <w:szCs w:val="22"/>
                <w:lang w:val="en-GB"/>
              </w:rPr>
              <m:t>ρ</m:t>
            </m:r>
          </m:e>
          <m:sub>
            <m:r>
              <m:rPr>
                <m:sty m:val="p"/>
              </m:rPr>
              <w:rPr>
                <w:rFonts w:ascii="Cambria Math" w:hAnsi="Cambria Math" w:cs="Arial"/>
                <w:sz w:val="22"/>
                <w:szCs w:val="22"/>
                <w:lang w:val="en-GB"/>
              </w:rPr>
              <m:t>a</m:t>
            </m:r>
          </m:sub>
        </m:sSub>
        <m:r>
          <m:rPr>
            <m:sty m:val="p"/>
          </m:rPr>
          <w:rPr>
            <w:rFonts w:ascii="Cambria Math" w:hAnsi="Cambria Math" w:cs="Arial"/>
            <w:sz w:val="22"/>
            <w:szCs w:val="22"/>
            <w:lang w:val="en-GB"/>
          </w:rPr>
          <m:t xml:space="preserve"> θ </m:t>
        </m:r>
        <m:sSub>
          <m:sSubPr>
            <m:ctrlPr>
              <w:rPr>
                <w:rFonts w:ascii="Cambria Math" w:hAnsi="Cambria Math" w:cs="Arial"/>
                <w:sz w:val="22"/>
                <w:szCs w:val="22"/>
                <w:lang w:val="en-GB"/>
              </w:rPr>
            </m:ctrlPr>
          </m:sSubPr>
          <m:e>
            <m:r>
              <w:rPr>
                <w:rFonts w:ascii="Cambria Math" w:hAnsi="Cambria Math" w:cs="Arial"/>
                <w:sz w:val="22"/>
                <w:szCs w:val="22"/>
                <w:lang w:val="en-GB"/>
              </w:rPr>
              <m:t>V</m:t>
            </m:r>
          </m:e>
          <m:sub>
            <m:r>
              <m:rPr>
                <m:sty m:val="p"/>
              </m:rPr>
              <w:rPr>
                <w:rFonts w:ascii="Cambria Math" w:hAnsi="Cambria Math" w:cs="Arial"/>
                <w:sz w:val="22"/>
                <w:szCs w:val="22"/>
                <w:lang w:val="en-GB"/>
              </w:rPr>
              <m:t>p</m:t>
            </m:r>
          </m:sub>
        </m:sSub>
      </m:oMath>
      <w:r w:rsidR="00C17807" w:rsidRPr="00936188">
        <w:rPr>
          <w:rFonts w:ascii="Arial" w:hAnsi="Arial" w:cs="Arial"/>
          <w:sz w:val="22"/>
          <w:szCs w:val="22"/>
          <w:lang w:val="en-GB"/>
        </w:rPr>
        <w:tab/>
      </w:r>
      <w:r w:rsidR="00C17807" w:rsidRPr="00936188">
        <w:rPr>
          <w:rFonts w:ascii="Arial" w:hAnsi="Arial" w:cs="Arial"/>
          <w:sz w:val="22"/>
          <w:szCs w:val="22"/>
          <w:lang w:val="en-GB"/>
        </w:rPr>
        <w:tab/>
      </w:r>
      <w:r w:rsidR="00C17807" w:rsidRPr="00936188">
        <w:rPr>
          <w:rFonts w:ascii="Arial" w:hAnsi="Arial" w:cs="Arial"/>
          <w:sz w:val="22"/>
          <w:szCs w:val="22"/>
          <w:lang w:val="en-GB"/>
        </w:rPr>
        <w:tab/>
      </w:r>
      <w:r w:rsidR="00C17807" w:rsidRPr="00936188">
        <w:rPr>
          <w:rFonts w:ascii="Arial" w:hAnsi="Arial" w:cs="Arial"/>
          <w:sz w:val="22"/>
          <w:szCs w:val="22"/>
          <w:lang w:val="en-GB"/>
        </w:rPr>
        <w:tab/>
      </w:r>
      <w:r w:rsidR="00C17807" w:rsidRPr="00936188">
        <w:rPr>
          <w:rFonts w:ascii="Arial" w:hAnsi="Arial" w:cs="Arial"/>
          <w:sz w:val="22"/>
          <w:szCs w:val="22"/>
          <w:lang w:val="en-GB"/>
        </w:rPr>
        <w:tab/>
        <w:t>(Eq.2)</w:t>
      </w:r>
    </w:p>
    <w:p w14:paraId="30BC243F" w14:textId="77777777" w:rsidR="00C17807" w:rsidRPr="00936188" w:rsidRDefault="00C17807" w:rsidP="00C17807">
      <w:pPr>
        <w:pStyle w:val="TAMainText"/>
        <w:spacing w:line="360" w:lineRule="auto"/>
        <w:jc w:val="center"/>
        <w:rPr>
          <w:rFonts w:ascii="Arial" w:hAnsi="Arial" w:cs="Arial"/>
          <w:sz w:val="22"/>
          <w:szCs w:val="22"/>
          <w:lang w:val="en-GB"/>
        </w:rPr>
      </w:pPr>
    </w:p>
    <w:p w14:paraId="0092DD8B" w14:textId="37D6417C" w:rsidR="00C17807" w:rsidRPr="00936188" w:rsidRDefault="009619E0" w:rsidP="00C17807">
      <w:pPr>
        <w:pStyle w:val="TAMainText"/>
        <w:spacing w:line="360" w:lineRule="auto"/>
        <w:jc w:val="center"/>
        <w:rPr>
          <w:rFonts w:ascii="Arial" w:hAnsi="Arial" w:cs="Arial"/>
          <w:sz w:val="22"/>
          <w:szCs w:val="22"/>
          <w:lang w:val="en-GB"/>
        </w:rPr>
      </w:pPr>
      <m:oMath>
        <m:sSub>
          <m:sSubPr>
            <m:ctrlPr>
              <w:rPr>
                <w:rFonts w:ascii="Cambria Math" w:hAnsi="Cambria Math" w:cs="Arial"/>
                <w:sz w:val="22"/>
                <w:szCs w:val="22"/>
                <w:lang w:val="en-GB"/>
              </w:rPr>
            </m:ctrlPr>
          </m:sSubPr>
          <m:e>
            <m:r>
              <w:rPr>
                <w:rFonts w:ascii="Cambria Math" w:hAnsi="Cambria Math" w:cs="Arial"/>
                <w:sz w:val="22"/>
                <w:szCs w:val="22"/>
                <w:lang w:val="en-GB"/>
              </w:rPr>
              <m:t>m</m:t>
            </m:r>
          </m:e>
          <m:sub>
            <m:r>
              <m:rPr>
                <m:sty m:val="p"/>
              </m:rPr>
              <w:rPr>
                <w:rFonts w:ascii="Cambria Math" w:hAnsi="Cambria Math" w:cs="Arial"/>
                <w:sz w:val="22"/>
                <w:szCs w:val="22"/>
                <w:lang w:val="en-GB"/>
              </w:rPr>
              <m:t>t</m:t>
            </m:r>
          </m:sub>
        </m:sSub>
        <m:r>
          <m:rPr>
            <m:sty m:val="p"/>
          </m:rPr>
          <w:rPr>
            <w:rFonts w:ascii="Cambria Math" w:hAnsi="Cambria Math" w:cs="Arial"/>
            <w:sz w:val="22"/>
            <w:szCs w:val="22"/>
            <w:lang w:val="en-GB"/>
          </w:rPr>
          <m:t>=</m:t>
        </m:r>
        <m:sSub>
          <m:sSubPr>
            <m:ctrlPr>
              <w:rPr>
                <w:rFonts w:ascii="Cambria Math" w:hAnsi="Cambria Math" w:cs="Arial"/>
                <w:sz w:val="22"/>
                <w:szCs w:val="22"/>
                <w:lang w:val="en-GB"/>
              </w:rPr>
            </m:ctrlPr>
          </m:sSubPr>
          <m:e>
            <m:r>
              <w:rPr>
                <w:rFonts w:ascii="Cambria Math" w:hAnsi="Cambria Math" w:cs="Arial"/>
                <w:sz w:val="22"/>
                <w:szCs w:val="22"/>
                <w:lang w:val="en-GB"/>
              </w:rPr>
              <m:t>m</m:t>
            </m:r>
          </m:e>
          <m:sub>
            <m:r>
              <m:rPr>
                <m:sty m:val="p"/>
              </m:rPr>
              <w:rPr>
                <w:rFonts w:ascii="Cambria Math" w:hAnsi="Cambria Math" w:cs="Arial"/>
                <w:sz w:val="22"/>
                <w:szCs w:val="22"/>
                <w:lang w:val="en-GB"/>
              </w:rPr>
              <m:t>e</m:t>
            </m:r>
          </m:sub>
        </m:sSub>
        <m:r>
          <m:rPr>
            <m:sty m:val="p"/>
          </m:rPr>
          <w:rPr>
            <w:rFonts w:ascii="Cambria Math" w:hAnsi="Cambria Math" w:cs="Arial"/>
            <w:sz w:val="22"/>
            <w:szCs w:val="22"/>
            <w:lang w:val="en-GB"/>
          </w:rPr>
          <m:t>+</m:t>
        </m:r>
        <m:sSub>
          <m:sSubPr>
            <m:ctrlPr>
              <w:rPr>
                <w:rFonts w:ascii="Cambria Math" w:hAnsi="Cambria Math" w:cs="Arial"/>
                <w:sz w:val="22"/>
                <w:szCs w:val="22"/>
                <w:lang w:val="en-GB"/>
              </w:rPr>
            </m:ctrlPr>
          </m:sSubPr>
          <m:e>
            <m:r>
              <m:rPr>
                <m:sty m:val="p"/>
              </m:rPr>
              <w:rPr>
                <w:rFonts w:ascii="Cambria Math" w:hAnsi="Cambria Math" w:cs="Arial"/>
                <w:sz w:val="22"/>
                <w:szCs w:val="22"/>
                <w:lang w:val="en-GB"/>
              </w:rPr>
              <m:t>ρ</m:t>
            </m:r>
          </m:e>
          <m:sub>
            <m:r>
              <m:rPr>
                <m:sty m:val="p"/>
              </m:rPr>
              <w:rPr>
                <w:rFonts w:ascii="Cambria Math" w:hAnsi="Cambria Math" w:cs="Arial"/>
                <w:sz w:val="22"/>
                <w:szCs w:val="22"/>
                <w:lang w:val="en-GB"/>
              </w:rPr>
              <m:t>b</m:t>
            </m:r>
          </m:sub>
        </m:sSub>
        <m:sSub>
          <m:sSubPr>
            <m:ctrlPr>
              <w:rPr>
                <w:rFonts w:ascii="Cambria Math" w:hAnsi="Cambria Math" w:cs="Arial"/>
                <w:sz w:val="22"/>
                <w:szCs w:val="22"/>
                <w:lang w:val="en-GB"/>
              </w:rPr>
            </m:ctrlPr>
          </m:sSubPr>
          <m:e>
            <m:r>
              <w:rPr>
                <w:rFonts w:ascii="Cambria Math" w:hAnsi="Cambria Math" w:cs="Arial"/>
                <w:sz w:val="22"/>
                <w:szCs w:val="22"/>
                <w:lang w:val="en-GB"/>
              </w:rPr>
              <m:t>V</m:t>
            </m:r>
          </m:e>
          <m:sub>
            <m:r>
              <m:rPr>
                <m:sty m:val="p"/>
              </m:rPr>
              <w:rPr>
                <w:rFonts w:ascii="Cambria Math" w:hAnsi="Cambria Math" w:cs="Arial"/>
                <w:sz w:val="22"/>
                <w:szCs w:val="22"/>
                <w:lang w:val="en-GB"/>
              </w:rPr>
              <m:t>p</m:t>
            </m:r>
          </m:sub>
        </m:sSub>
        <m:r>
          <m:rPr>
            <m:sty m:val="p"/>
          </m:rPr>
          <w:rPr>
            <w:rFonts w:ascii="Cambria Math" w:hAnsi="Cambria Math" w:cs="Arial"/>
            <w:sz w:val="22"/>
            <w:szCs w:val="22"/>
            <w:lang w:val="en-GB"/>
          </w:rPr>
          <m:t>↔</m:t>
        </m:r>
        <m:sSub>
          <m:sSubPr>
            <m:ctrlPr>
              <w:rPr>
                <w:rFonts w:ascii="Cambria Math" w:hAnsi="Cambria Math" w:cs="Arial"/>
                <w:sz w:val="22"/>
                <w:szCs w:val="22"/>
                <w:lang w:val="en-GB"/>
              </w:rPr>
            </m:ctrlPr>
          </m:sSubPr>
          <m:e>
            <m:r>
              <m:rPr>
                <m:sty m:val="p"/>
              </m:rPr>
              <w:rPr>
                <w:rFonts w:ascii="Cambria Math" w:hAnsi="Cambria Math" w:cs="Arial"/>
                <w:sz w:val="22"/>
                <w:szCs w:val="22"/>
                <w:lang w:val="en-GB"/>
              </w:rPr>
              <m:t>ρ</m:t>
            </m:r>
          </m:e>
          <m:sub>
            <m:r>
              <m:rPr>
                <m:sty m:val="p"/>
              </m:rPr>
              <w:rPr>
                <w:rFonts w:ascii="Cambria Math" w:hAnsi="Cambria Math" w:cs="Arial"/>
                <w:sz w:val="22"/>
                <w:szCs w:val="22"/>
                <w:lang w:val="en-GB"/>
              </w:rPr>
              <m:t>a</m:t>
            </m:r>
          </m:sub>
        </m:sSub>
        <m:r>
          <m:rPr>
            <m:sty m:val="p"/>
          </m:rPr>
          <w:rPr>
            <w:rFonts w:ascii="Cambria Math" w:hAnsi="Cambria Math" w:cs="Arial"/>
            <w:sz w:val="22"/>
            <w:szCs w:val="22"/>
            <w:lang w:val="en-GB"/>
          </w:rPr>
          <m:t xml:space="preserve"> θ </m:t>
        </m:r>
        <m:sSub>
          <m:sSubPr>
            <m:ctrlPr>
              <w:rPr>
                <w:rFonts w:ascii="Cambria Math" w:hAnsi="Cambria Math" w:cs="Arial"/>
                <w:sz w:val="22"/>
                <w:szCs w:val="22"/>
                <w:lang w:val="en-GB"/>
              </w:rPr>
            </m:ctrlPr>
          </m:sSubPr>
          <m:e>
            <m:r>
              <w:rPr>
                <w:rFonts w:ascii="Cambria Math" w:hAnsi="Cambria Math" w:cs="Arial"/>
                <w:sz w:val="22"/>
                <w:szCs w:val="22"/>
                <w:lang w:val="en-GB"/>
              </w:rPr>
              <m:t>V</m:t>
            </m:r>
          </m:e>
          <m:sub>
            <m:r>
              <m:rPr>
                <m:sty m:val="p"/>
              </m:rPr>
              <w:rPr>
                <w:rFonts w:ascii="Cambria Math" w:hAnsi="Cambria Math" w:cs="Arial"/>
                <w:sz w:val="22"/>
                <w:szCs w:val="22"/>
                <w:lang w:val="en-GB"/>
              </w:rPr>
              <m:t>p</m:t>
            </m:r>
          </m:sub>
        </m:sSub>
        <m:r>
          <m:rPr>
            <m:sty m:val="p"/>
          </m:rPr>
          <w:rPr>
            <w:rFonts w:ascii="Cambria Math" w:hAnsi="Cambria Math" w:cs="Arial"/>
            <w:sz w:val="22"/>
            <w:szCs w:val="22"/>
            <w:lang w:val="en-GB"/>
          </w:rPr>
          <m:t>+</m:t>
        </m:r>
        <m:sSub>
          <m:sSubPr>
            <m:ctrlPr>
              <w:rPr>
                <w:rFonts w:ascii="Cambria Math" w:hAnsi="Cambria Math" w:cs="Arial"/>
                <w:sz w:val="22"/>
                <w:szCs w:val="22"/>
                <w:lang w:val="en-GB"/>
              </w:rPr>
            </m:ctrlPr>
          </m:sSubPr>
          <m:e>
            <m:r>
              <m:rPr>
                <m:sty m:val="p"/>
              </m:rPr>
              <w:rPr>
                <w:rFonts w:ascii="Cambria Math" w:hAnsi="Cambria Math" w:cs="Arial"/>
                <w:sz w:val="22"/>
                <w:szCs w:val="22"/>
                <w:lang w:val="en-GB"/>
              </w:rPr>
              <m:t>ρ</m:t>
            </m:r>
          </m:e>
          <m:sub>
            <m:r>
              <m:rPr>
                <m:sty m:val="p"/>
              </m:rPr>
              <w:rPr>
                <w:rFonts w:ascii="Cambria Math" w:hAnsi="Cambria Math" w:cs="Arial"/>
                <w:sz w:val="22"/>
                <w:szCs w:val="22"/>
                <w:lang w:val="en-GB"/>
              </w:rPr>
              <m:t>b</m:t>
            </m:r>
          </m:sub>
        </m:sSub>
        <m:sSub>
          <m:sSubPr>
            <m:ctrlPr>
              <w:rPr>
                <w:rFonts w:ascii="Cambria Math" w:hAnsi="Cambria Math" w:cs="Arial"/>
                <w:sz w:val="22"/>
                <w:szCs w:val="22"/>
                <w:lang w:val="en-GB"/>
              </w:rPr>
            </m:ctrlPr>
          </m:sSubPr>
          <m:e>
            <m:r>
              <w:rPr>
                <w:rFonts w:ascii="Cambria Math" w:hAnsi="Cambria Math" w:cs="Arial"/>
                <w:sz w:val="22"/>
                <w:szCs w:val="22"/>
                <w:lang w:val="en-GB"/>
              </w:rPr>
              <m:t>V</m:t>
            </m:r>
          </m:e>
          <m:sub>
            <m:r>
              <m:rPr>
                <m:sty m:val="p"/>
              </m:rPr>
              <w:rPr>
                <w:rFonts w:ascii="Cambria Math" w:hAnsi="Cambria Math" w:cs="Arial"/>
                <w:sz w:val="22"/>
                <w:szCs w:val="22"/>
                <w:lang w:val="en-GB"/>
              </w:rPr>
              <m:t>p</m:t>
            </m:r>
          </m:sub>
        </m:sSub>
        <m:d>
          <m:dPr>
            <m:ctrlPr>
              <w:rPr>
                <w:rFonts w:ascii="Cambria Math" w:hAnsi="Cambria Math" w:cs="Arial"/>
                <w:sz w:val="22"/>
                <w:szCs w:val="22"/>
                <w:lang w:val="en-GB"/>
              </w:rPr>
            </m:ctrlPr>
          </m:dPr>
          <m:e>
            <m:r>
              <m:rPr>
                <m:sty m:val="p"/>
              </m:rPr>
              <w:rPr>
                <w:rFonts w:ascii="Cambria Math" w:hAnsi="Cambria Math" w:cs="Arial"/>
                <w:sz w:val="22"/>
                <w:szCs w:val="22"/>
                <w:lang w:val="en-GB"/>
              </w:rPr>
              <m:t>1-θ</m:t>
            </m:r>
          </m:e>
        </m:d>
      </m:oMath>
      <w:r w:rsidR="00C17807" w:rsidRPr="00936188">
        <w:rPr>
          <w:rFonts w:ascii="Arial" w:hAnsi="Arial" w:cs="Arial"/>
          <w:sz w:val="22"/>
          <w:szCs w:val="22"/>
          <w:lang w:val="en-GB"/>
        </w:rPr>
        <w:tab/>
      </w:r>
      <w:r w:rsidR="00C17807" w:rsidRPr="00936188">
        <w:rPr>
          <w:rFonts w:ascii="Arial" w:hAnsi="Arial" w:cs="Arial"/>
          <w:sz w:val="22"/>
          <w:szCs w:val="22"/>
          <w:lang w:val="en-GB"/>
        </w:rPr>
        <w:tab/>
      </w:r>
      <w:r w:rsidR="00C17807" w:rsidRPr="00936188">
        <w:rPr>
          <w:rFonts w:ascii="Arial" w:hAnsi="Arial" w:cs="Arial"/>
          <w:sz w:val="22"/>
          <w:szCs w:val="22"/>
          <w:lang w:val="en-GB"/>
        </w:rPr>
        <w:tab/>
      </w:r>
      <w:r w:rsidR="00C17807" w:rsidRPr="00936188">
        <w:rPr>
          <w:rFonts w:ascii="Arial" w:hAnsi="Arial" w:cs="Arial"/>
          <w:sz w:val="22"/>
          <w:szCs w:val="22"/>
          <w:lang w:val="en-GB"/>
        </w:rPr>
        <w:tab/>
        <w:t>(Eq.3)</w:t>
      </w:r>
    </w:p>
    <w:p w14:paraId="6E913FB9" w14:textId="77777777" w:rsidR="00E1335D" w:rsidRPr="00936188" w:rsidRDefault="00E1335D" w:rsidP="00F91B44">
      <w:pPr>
        <w:spacing w:line="360" w:lineRule="auto"/>
        <w:jc w:val="both"/>
        <w:rPr>
          <w:rFonts w:cs="Arial"/>
        </w:rPr>
      </w:pPr>
    </w:p>
    <w:p w14:paraId="1D734648" w14:textId="0EBD80A3" w:rsidR="000C0477" w:rsidRPr="00936188" w:rsidRDefault="001C6F62" w:rsidP="000E2091">
      <w:pPr>
        <w:pStyle w:val="TAMainText"/>
        <w:spacing w:line="360" w:lineRule="auto"/>
        <w:ind w:firstLine="0"/>
        <w:rPr>
          <w:rFonts w:ascii="Arial" w:hAnsi="Arial" w:cs="Arial"/>
          <w:sz w:val="22"/>
          <w:szCs w:val="22"/>
          <w:lang w:val="en-GB"/>
        </w:rPr>
      </w:pPr>
      <w:r w:rsidRPr="00936188">
        <w:rPr>
          <w:rFonts w:ascii="Arial" w:hAnsi="Arial" w:cs="Arial"/>
          <w:sz w:val="22"/>
          <w:szCs w:val="22"/>
          <w:lang w:val="en-GB"/>
        </w:rPr>
        <w:t>In Eqs.1, 2 and 3,</w:t>
      </w:r>
      <w:r w:rsidR="000E2091" w:rsidRPr="00936188">
        <w:rPr>
          <w:rFonts w:ascii="Arial" w:hAnsi="Arial" w:cs="Arial"/>
          <w:sz w:val="22"/>
          <w:szCs w:val="22"/>
          <w:lang w:val="en-GB"/>
        </w:rPr>
        <w:t xml:space="preserve"> </w:t>
      </w:r>
      <w:r w:rsidR="000E2091" w:rsidRPr="00936188">
        <w:rPr>
          <w:rFonts w:ascii="Arial" w:hAnsi="Arial" w:cs="Arial"/>
          <w:i/>
          <w:sz w:val="22"/>
          <w:szCs w:val="22"/>
          <w:lang w:val="en-GB"/>
        </w:rPr>
        <w:t>m</w:t>
      </w:r>
      <w:r w:rsidR="000E2091" w:rsidRPr="00936188">
        <w:rPr>
          <w:rFonts w:ascii="Arial" w:hAnsi="Arial" w:cs="Arial"/>
          <w:sz w:val="22"/>
          <w:szCs w:val="22"/>
          <w:vertAlign w:val="subscript"/>
          <w:lang w:val="en-GB"/>
        </w:rPr>
        <w:t>e</w:t>
      </w:r>
      <w:r w:rsidR="000E2091" w:rsidRPr="00936188">
        <w:rPr>
          <w:rFonts w:ascii="Arial" w:hAnsi="Arial" w:cs="Arial"/>
          <w:sz w:val="22"/>
          <w:szCs w:val="22"/>
          <w:lang w:val="en-GB"/>
        </w:rPr>
        <w:t xml:space="preserve"> is excess adsorption, </w:t>
      </w:r>
      <w:r w:rsidR="000E2091" w:rsidRPr="00936188">
        <w:rPr>
          <w:rFonts w:ascii="Arial" w:hAnsi="Arial" w:cs="Arial"/>
          <w:i/>
          <w:sz w:val="22"/>
          <w:szCs w:val="22"/>
          <w:lang w:val="en-GB"/>
        </w:rPr>
        <w:t>m</w:t>
      </w:r>
      <w:r w:rsidR="000E2091" w:rsidRPr="00936188">
        <w:rPr>
          <w:rFonts w:ascii="Arial" w:hAnsi="Arial" w:cs="Arial"/>
          <w:sz w:val="22"/>
          <w:szCs w:val="22"/>
          <w:vertAlign w:val="subscript"/>
          <w:lang w:val="en-GB"/>
        </w:rPr>
        <w:t>a</w:t>
      </w:r>
      <w:r w:rsidR="000E2091" w:rsidRPr="00936188">
        <w:rPr>
          <w:rFonts w:ascii="Arial" w:hAnsi="Arial" w:cs="Arial"/>
          <w:sz w:val="22"/>
          <w:szCs w:val="22"/>
          <w:lang w:val="en-GB"/>
        </w:rPr>
        <w:t xml:space="preserve"> is absolute adsorption, </w:t>
      </w:r>
      <w:proofErr w:type="spellStart"/>
      <w:r w:rsidR="000E2091" w:rsidRPr="00936188">
        <w:rPr>
          <w:rFonts w:ascii="Arial" w:hAnsi="Arial" w:cs="Arial"/>
          <w:i/>
          <w:sz w:val="22"/>
          <w:szCs w:val="22"/>
          <w:lang w:val="en-GB"/>
        </w:rPr>
        <w:t>m</w:t>
      </w:r>
      <w:r w:rsidR="000E2091" w:rsidRPr="00936188">
        <w:rPr>
          <w:rFonts w:ascii="Arial" w:hAnsi="Arial" w:cs="Arial"/>
          <w:sz w:val="22"/>
          <w:szCs w:val="22"/>
          <w:vertAlign w:val="subscript"/>
          <w:lang w:val="en-GB"/>
        </w:rPr>
        <w:t>t</w:t>
      </w:r>
      <w:proofErr w:type="spellEnd"/>
      <w:r w:rsidR="000E2091" w:rsidRPr="00936188">
        <w:rPr>
          <w:rFonts w:ascii="Arial" w:hAnsi="Arial" w:cs="Arial"/>
          <w:sz w:val="22"/>
          <w:szCs w:val="22"/>
          <w:lang w:val="en-GB"/>
        </w:rPr>
        <w:t xml:space="preserve"> is total adsorption, </w:t>
      </w:r>
      <w:proofErr w:type="spellStart"/>
      <w:r w:rsidR="000E2091" w:rsidRPr="00936188">
        <w:rPr>
          <w:rFonts w:ascii="Arial" w:hAnsi="Arial" w:cs="Arial"/>
          <w:sz w:val="22"/>
          <w:szCs w:val="22"/>
          <w:lang w:val="en-GB"/>
        </w:rPr>
        <w:t>ρ</w:t>
      </w:r>
      <w:r w:rsidR="000E2091" w:rsidRPr="00936188">
        <w:rPr>
          <w:rFonts w:ascii="Arial" w:hAnsi="Arial" w:cs="Arial"/>
          <w:sz w:val="22"/>
          <w:szCs w:val="22"/>
          <w:vertAlign w:val="subscript"/>
          <w:lang w:val="en-GB"/>
        </w:rPr>
        <w:t>a</w:t>
      </w:r>
      <w:proofErr w:type="spellEnd"/>
      <w:r w:rsidR="000E2091" w:rsidRPr="00936188">
        <w:rPr>
          <w:rFonts w:ascii="Arial" w:hAnsi="Arial" w:cs="Arial"/>
          <w:sz w:val="22"/>
          <w:szCs w:val="22"/>
          <w:lang w:val="en-GB"/>
        </w:rPr>
        <w:t xml:space="preserve"> is the density of the adsorbed phase, </w:t>
      </w:r>
      <w:proofErr w:type="spellStart"/>
      <w:r w:rsidR="000E2091" w:rsidRPr="00936188">
        <w:rPr>
          <w:rFonts w:ascii="Arial" w:hAnsi="Arial" w:cs="Arial"/>
          <w:sz w:val="22"/>
          <w:szCs w:val="22"/>
          <w:lang w:val="en-GB"/>
        </w:rPr>
        <w:t>ρ</w:t>
      </w:r>
      <w:r w:rsidR="000E2091" w:rsidRPr="00936188">
        <w:rPr>
          <w:rFonts w:ascii="Arial" w:hAnsi="Arial" w:cs="Arial"/>
          <w:sz w:val="22"/>
          <w:szCs w:val="22"/>
          <w:vertAlign w:val="subscript"/>
          <w:lang w:val="en-GB"/>
        </w:rPr>
        <w:t>b</w:t>
      </w:r>
      <w:proofErr w:type="spellEnd"/>
      <w:r w:rsidR="000E2091" w:rsidRPr="00936188">
        <w:rPr>
          <w:rFonts w:ascii="Arial" w:hAnsi="Arial" w:cs="Arial"/>
          <w:sz w:val="22"/>
          <w:szCs w:val="22"/>
          <w:lang w:val="en-GB"/>
        </w:rPr>
        <w:t xml:space="preserve"> is the density of the bulk phase, θ is the fractional filling of the micropore</w:t>
      </w:r>
      <w:r w:rsidR="000C0477" w:rsidRPr="00936188">
        <w:rPr>
          <w:rFonts w:ascii="Arial" w:hAnsi="Arial" w:cs="Arial"/>
          <w:sz w:val="22"/>
          <w:szCs w:val="22"/>
          <w:lang w:val="en-GB"/>
        </w:rPr>
        <w:t>,</w:t>
      </w:r>
      <w:r w:rsidR="000E2091" w:rsidRPr="00936188">
        <w:rPr>
          <w:rFonts w:ascii="Arial" w:hAnsi="Arial" w:cs="Arial"/>
          <w:sz w:val="22"/>
          <w:szCs w:val="22"/>
          <w:lang w:val="en-GB"/>
        </w:rPr>
        <w:t xml:space="preserve"> and </w:t>
      </w:r>
      <w:proofErr w:type="spellStart"/>
      <w:r w:rsidR="000E2091" w:rsidRPr="00936188">
        <w:rPr>
          <w:rFonts w:ascii="Arial" w:hAnsi="Arial" w:cs="Arial"/>
          <w:i/>
          <w:sz w:val="22"/>
          <w:szCs w:val="22"/>
          <w:lang w:val="en-GB"/>
        </w:rPr>
        <w:t>V</w:t>
      </w:r>
      <w:r w:rsidR="000E2091" w:rsidRPr="00936188">
        <w:rPr>
          <w:rFonts w:ascii="Arial" w:hAnsi="Arial" w:cs="Arial"/>
          <w:sz w:val="22"/>
          <w:szCs w:val="22"/>
          <w:vertAlign w:val="subscript"/>
          <w:lang w:val="en-GB"/>
        </w:rPr>
        <w:t>p</w:t>
      </w:r>
      <w:proofErr w:type="spellEnd"/>
      <w:r w:rsidR="000E2091" w:rsidRPr="00936188">
        <w:rPr>
          <w:rFonts w:ascii="Arial" w:hAnsi="Arial" w:cs="Arial"/>
          <w:sz w:val="22"/>
          <w:szCs w:val="22"/>
          <w:lang w:val="en-GB"/>
        </w:rPr>
        <w:t xml:space="preserve"> is the pore volume. The uptakes are reported in wt.%, which is mass of hydrogen over mass of degassed sample, the </w:t>
      </w:r>
      <w:r w:rsidR="000C0477" w:rsidRPr="00936188">
        <w:rPr>
          <w:rFonts w:ascii="Arial" w:hAnsi="Arial" w:cs="Arial"/>
          <w:sz w:val="22"/>
          <w:szCs w:val="22"/>
          <w:lang w:val="en-GB"/>
        </w:rPr>
        <w:t xml:space="preserve">density </w:t>
      </w:r>
      <w:r w:rsidR="000E2091" w:rsidRPr="00936188">
        <w:rPr>
          <w:rFonts w:ascii="Arial" w:hAnsi="Arial" w:cs="Arial"/>
          <w:sz w:val="22"/>
          <w:szCs w:val="22"/>
          <w:lang w:val="en-GB"/>
        </w:rPr>
        <w:t xml:space="preserve">units for </w:t>
      </w:r>
      <w:proofErr w:type="spellStart"/>
      <w:r w:rsidR="000E2091" w:rsidRPr="00936188">
        <w:rPr>
          <w:rFonts w:ascii="Arial" w:hAnsi="Arial" w:cs="Arial"/>
          <w:sz w:val="22"/>
          <w:szCs w:val="22"/>
          <w:lang w:val="en-GB"/>
        </w:rPr>
        <w:t>ρ</w:t>
      </w:r>
      <w:r w:rsidR="000E2091" w:rsidRPr="00936188">
        <w:rPr>
          <w:rFonts w:ascii="Arial" w:hAnsi="Arial" w:cs="Arial"/>
          <w:sz w:val="22"/>
          <w:szCs w:val="22"/>
          <w:vertAlign w:val="subscript"/>
          <w:lang w:val="en-GB"/>
        </w:rPr>
        <w:t>a</w:t>
      </w:r>
      <w:proofErr w:type="spellEnd"/>
      <w:r w:rsidR="000E2091" w:rsidRPr="00936188">
        <w:rPr>
          <w:rFonts w:ascii="Arial" w:hAnsi="Arial" w:cs="Arial"/>
          <w:sz w:val="22"/>
          <w:szCs w:val="22"/>
          <w:lang w:val="en-GB"/>
        </w:rPr>
        <w:t xml:space="preserve"> and </w:t>
      </w:r>
      <w:proofErr w:type="spellStart"/>
      <w:r w:rsidR="000E2091" w:rsidRPr="00936188">
        <w:rPr>
          <w:rFonts w:ascii="Arial" w:hAnsi="Arial" w:cs="Arial"/>
          <w:sz w:val="22"/>
          <w:szCs w:val="22"/>
          <w:lang w:val="en-GB"/>
        </w:rPr>
        <w:t>ρ</w:t>
      </w:r>
      <w:r w:rsidR="000E2091" w:rsidRPr="00936188">
        <w:rPr>
          <w:rFonts w:ascii="Arial" w:hAnsi="Arial" w:cs="Arial"/>
          <w:sz w:val="22"/>
          <w:szCs w:val="22"/>
          <w:vertAlign w:val="subscript"/>
          <w:lang w:val="en-GB"/>
        </w:rPr>
        <w:t>b</w:t>
      </w:r>
      <w:proofErr w:type="spellEnd"/>
      <w:r w:rsidR="000E2091" w:rsidRPr="00936188">
        <w:rPr>
          <w:rFonts w:ascii="Arial" w:hAnsi="Arial" w:cs="Arial"/>
          <w:sz w:val="22"/>
          <w:szCs w:val="22"/>
          <w:lang w:val="en-GB"/>
        </w:rPr>
        <w:t xml:space="preserve"> are kg m</w:t>
      </w:r>
      <w:r w:rsidR="000E2091" w:rsidRPr="00936188">
        <w:rPr>
          <w:rFonts w:ascii="Arial" w:hAnsi="Arial" w:cs="Arial"/>
          <w:sz w:val="22"/>
          <w:szCs w:val="22"/>
          <w:vertAlign w:val="superscript"/>
          <w:lang w:val="en-GB"/>
        </w:rPr>
        <w:t>-3</w:t>
      </w:r>
      <w:r w:rsidR="000E2091" w:rsidRPr="00936188">
        <w:rPr>
          <w:rFonts w:ascii="Arial" w:hAnsi="Arial" w:cs="Arial"/>
          <w:sz w:val="22"/>
          <w:szCs w:val="22"/>
          <w:lang w:val="en-GB"/>
        </w:rPr>
        <w:t xml:space="preserve">, the filling function θ is dimensionless and </w:t>
      </w:r>
      <w:proofErr w:type="spellStart"/>
      <w:r w:rsidR="000E2091" w:rsidRPr="00936188">
        <w:rPr>
          <w:rFonts w:ascii="Arial" w:hAnsi="Arial" w:cs="Arial"/>
          <w:i/>
          <w:sz w:val="22"/>
          <w:szCs w:val="22"/>
          <w:lang w:val="en-GB"/>
        </w:rPr>
        <w:t>V</w:t>
      </w:r>
      <w:r w:rsidR="000E2091" w:rsidRPr="00936188">
        <w:rPr>
          <w:rFonts w:ascii="Arial" w:hAnsi="Arial" w:cs="Arial"/>
          <w:sz w:val="22"/>
          <w:szCs w:val="22"/>
          <w:vertAlign w:val="subscript"/>
          <w:lang w:val="en-GB"/>
        </w:rPr>
        <w:t>p</w:t>
      </w:r>
      <w:proofErr w:type="spellEnd"/>
      <w:r w:rsidR="000E2091" w:rsidRPr="00936188">
        <w:rPr>
          <w:rFonts w:ascii="Arial" w:hAnsi="Arial" w:cs="Arial"/>
          <w:sz w:val="22"/>
          <w:szCs w:val="22"/>
          <w:lang w:val="en-GB"/>
        </w:rPr>
        <w:t xml:space="preserve"> is in units of cm</w:t>
      </w:r>
      <w:r w:rsidR="000E2091" w:rsidRPr="00936188">
        <w:rPr>
          <w:rFonts w:ascii="Arial" w:hAnsi="Arial" w:cs="Arial"/>
          <w:sz w:val="22"/>
          <w:szCs w:val="22"/>
          <w:vertAlign w:val="superscript"/>
          <w:lang w:val="en-GB"/>
        </w:rPr>
        <w:t>3</w:t>
      </w:r>
      <w:r w:rsidR="000E2091" w:rsidRPr="00936188">
        <w:rPr>
          <w:rFonts w:ascii="Arial" w:hAnsi="Arial" w:cs="Arial"/>
          <w:sz w:val="22"/>
          <w:szCs w:val="22"/>
          <w:lang w:val="en-GB"/>
        </w:rPr>
        <w:t xml:space="preserve"> g</w:t>
      </w:r>
      <w:r w:rsidR="000E2091" w:rsidRPr="00936188">
        <w:rPr>
          <w:rFonts w:ascii="Arial" w:hAnsi="Arial" w:cs="Arial"/>
          <w:sz w:val="22"/>
          <w:szCs w:val="22"/>
          <w:vertAlign w:val="superscript"/>
          <w:lang w:val="en-GB"/>
        </w:rPr>
        <w:t>-1</w:t>
      </w:r>
      <w:r w:rsidR="00A23836" w:rsidRPr="00936188">
        <w:rPr>
          <w:rFonts w:ascii="Arial" w:hAnsi="Arial" w:cs="Arial"/>
          <w:sz w:val="22"/>
          <w:szCs w:val="22"/>
          <w:lang w:val="en-GB"/>
        </w:rPr>
        <w:t xml:space="preserve"> (g refers to the mass of adsorbent material). </w:t>
      </w:r>
      <w:r w:rsidR="000C0477" w:rsidRPr="00936188">
        <w:rPr>
          <w:rFonts w:ascii="Arial" w:hAnsi="Arial" w:cs="Arial"/>
          <w:sz w:val="22"/>
          <w:szCs w:val="22"/>
          <w:lang w:val="en-GB"/>
        </w:rPr>
        <w:t>The fractional filling θ can be represented using any type I equation</w:t>
      </w:r>
      <w:r w:rsidR="00A23836" w:rsidRPr="00936188">
        <w:rPr>
          <w:rFonts w:ascii="Arial" w:hAnsi="Arial" w:cs="Arial"/>
          <w:sz w:val="22"/>
          <w:szCs w:val="22"/>
          <w:lang w:val="en-GB"/>
        </w:rPr>
        <w:t xml:space="preserve">. The </w:t>
      </w:r>
      <w:proofErr w:type="spellStart"/>
      <w:r w:rsidR="00A23836" w:rsidRPr="00936188">
        <w:rPr>
          <w:rFonts w:ascii="Arial" w:hAnsi="Arial" w:cs="Arial"/>
          <w:sz w:val="22"/>
          <w:szCs w:val="22"/>
          <w:lang w:val="en-GB"/>
        </w:rPr>
        <w:t>Tóth</w:t>
      </w:r>
      <w:proofErr w:type="spellEnd"/>
      <w:r w:rsidR="00A23836" w:rsidRPr="00936188">
        <w:rPr>
          <w:rFonts w:ascii="Arial" w:hAnsi="Arial" w:cs="Arial"/>
          <w:sz w:val="22"/>
          <w:szCs w:val="22"/>
          <w:lang w:val="en-GB"/>
        </w:rPr>
        <w:t xml:space="preserve"> equation</w:t>
      </w:r>
      <w:r w:rsidR="00961CF9">
        <w:rPr>
          <w:rFonts w:ascii="Arial" w:hAnsi="Arial" w:cs="Arial"/>
          <w:sz w:val="22"/>
          <w:szCs w:val="22"/>
          <w:lang w:val="en-GB"/>
        </w:rPr>
        <w:t xml:space="preserve"> </w:t>
      </w:r>
      <w:r w:rsidR="00B850BD">
        <w:rPr>
          <w:rFonts w:ascii="Arial" w:hAnsi="Arial" w:cs="Arial"/>
          <w:noProof/>
          <w:sz w:val="22"/>
          <w:szCs w:val="22"/>
          <w:lang w:val="en-GB"/>
        </w:rPr>
        <w:t>[37, 38]</w:t>
      </w:r>
      <w:r w:rsidR="00A23836" w:rsidRPr="00936188">
        <w:rPr>
          <w:rFonts w:ascii="Arial" w:hAnsi="Arial" w:cs="Arial"/>
          <w:sz w:val="22"/>
          <w:szCs w:val="22"/>
          <w:lang w:val="en-GB"/>
        </w:rPr>
        <w:t xml:space="preserve"> (Eq.4) is known to produce good results to fitting experimental data </w:t>
      </w:r>
      <w:r w:rsidR="00C0323C">
        <w:rPr>
          <w:rFonts w:ascii="Arial" w:hAnsi="Arial" w:cs="Arial"/>
          <w:sz w:val="22"/>
          <w:szCs w:val="22"/>
          <w:lang w:val="en-GB"/>
        </w:rPr>
        <w:t>under</w:t>
      </w:r>
      <w:r w:rsidR="00A23836" w:rsidRPr="00936188">
        <w:rPr>
          <w:rFonts w:ascii="Arial" w:hAnsi="Arial" w:cs="Arial"/>
          <w:sz w:val="22"/>
          <w:szCs w:val="22"/>
          <w:lang w:val="en-GB"/>
        </w:rPr>
        <w:t xml:space="preserve"> these conditions</w:t>
      </w:r>
      <w:r w:rsidR="002109CF" w:rsidRPr="00936188">
        <w:rPr>
          <w:rFonts w:ascii="Arial" w:hAnsi="Arial" w:cs="Arial"/>
          <w:sz w:val="22"/>
          <w:szCs w:val="22"/>
          <w:lang w:val="en-GB"/>
        </w:rPr>
        <w:t xml:space="preserve"> </w:t>
      </w:r>
      <w:r w:rsidR="00386D8F">
        <w:rPr>
          <w:rFonts w:ascii="Arial" w:hAnsi="Arial" w:cs="Arial"/>
          <w:noProof/>
          <w:sz w:val="22"/>
          <w:szCs w:val="22"/>
          <w:lang w:val="en-GB"/>
        </w:rPr>
        <w:t>[29]</w:t>
      </w:r>
      <w:r w:rsidR="00A23836" w:rsidRPr="00936188">
        <w:rPr>
          <w:rFonts w:ascii="Arial" w:hAnsi="Arial" w:cs="Arial"/>
          <w:sz w:val="22"/>
          <w:szCs w:val="22"/>
          <w:lang w:val="en-GB"/>
        </w:rPr>
        <w:t xml:space="preserve">. </w:t>
      </w:r>
    </w:p>
    <w:p w14:paraId="14D30FC1" w14:textId="77777777" w:rsidR="000C0477" w:rsidRPr="00936188" w:rsidRDefault="000C0477" w:rsidP="000E2091">
      <w:pPr>
        <w:pStyle w:val="TAMainText"/>
        <w:spacing w:line="360" w:lineRule="auto"/>
        <w:ind w:firstLine="0"/>
        <w:rPr>
          <w:rFonts w:ascii="Arial" w:hAnsi="Arial" w:cs="Arial"/>
          <w:sz w:val="22"/>
          <w:szCs w:val="22"/>
          <w:lang w:val="en-GB"/>
        </w:rPr>
      </w:pPr>
    </w:p>
    <w:p w14:paraId="1BDC0DD9" w14:textId="0BCE0442" w:rsidR="000C0477" w:rsidRPr="00936188" w:rsidRDefault="000C0477" w:rsidP="000C0477">
      <w:pPr>
        <w:pStyle w:val="TAMainText"/>
        <w:spacing w:line="360" w:lineRule="auto"/>
        <w:jc w:val="center"/>
        <w:rPr>
          <w:rFonts w:ascii="Arial" w:hAnsi="Arial" w:cs="Arial"/>
          <w:sz w:val="22"/>
          <w:szCs w:val="22"/>
          <w:lang w:val="en-GB"/>
        </w:rPr>
      </w:pPr>
      <m:oMath>
        <m:r>
          <w:rPr>
            <w:rFonts w:ascii="Cambria Math" w:hAnsi="Cambria Math" w:cs="Arial"/>
            <w:sz w:val="22"/>
            <w:szCs w:val="22"/>
            <w:lang w:val="en-GB"/>
          </w:rPr>
          <m:t>θ</m:t>
        </m:r>
        <m:r>
          <m:rPr>
            <m:sty m:val="p"/>
          </m:rPr>
          <w:rPr>
            <w:rFonts w:ascii="Cambria Math" w:hAnsi="Cambria Math" w:cs="Arial"/>
            <w:sz w:val="22"/>
            <w:szCs w:val="22"/>
            <w:lang w:val="en-GB"/>
          </w:rPr>
          <m:t>=</m:t>
        </m:r>
        <m:f>
          <m:fPr>
            <m:ctrlPr>
              <w:rPr>
                <w:rFonts w:ascii="Cambria Math" w:hAnsi="Cambria Math" w:cs="Arial"/>
                <w:i/>
                <w:sz w:val="22"/>
                <w:szCs w:val="22"/>
                <w:lang w:val="en-GB"/>
              </w:rPr>
            </m:ctrlPr>
          </m:fPr>
          <m:num>
            <m:r>
              <w:rPr>
                <w:rFonts w:ascii="Cambria Math" w:hAnsi="Cambria Math" w:cs="Arial"/>
                <w:sz w:val="22"/>
                <w:szCs w:val="22"/>
                <w:lang w:val="en-GB"/>
              </w:rPr>
              <m:t>bP</m:t>
            </m:r>
          </m:num>
          <m:den>
            <m:sSup>
              <m:sSupPr>
                <m:ctrlPr>
                  <w:rPr>
                    <w:rFonts w:ascii="Cambria Math" w:hAnsi="Cambria Math" w:cs="Arial"/>
                    <w:i/>
                    <w:sz w:val="22"/>
                    <w:szCs w:val="22"/>
                    <w:lang w:val="en-GB"/>
                  </w:rPr>
                </m:ctrlPr>
              </m:sSupPr>
              <m:e>
                <m:d>
                  <m:dPr>
                    <m:begChr m:val="["/>
                    <m:endChr m:val="]"/>
                    <m:ctrlPr>
                      <w:rPr>
                        <w:rFonts w:ascii="Cambria Math" w:hAnsi="Cambria Math" w:cs="Arial"/>
                        <w:i/>
                        <w:sz w:val="22"/>
                        <w:szCs w:val="22"/>
                        <w:lang w:val="en-GB"/>
                      </w:rPr>
                    </m:ctrlPr>
                  </m:dPr>
                  <m:e>
                    <m:r>
                      <w:rPr>
                        <w:rFonts w:ascii="Cambria Math" w:hAnsi="Cambria Math" w:cs="Arial"/>
                        <w:sz w:val="22"/>
                        <w:szCs w:val="22"/>
                        <w:lang w:val="en-GB"/>
                      </w:rPr>
                      <m:t>1+</m:t>
                    </m:r>
                    <m:sSup>
                      <m:sSupPr>
                        <m:ctrlPr>
                          <w:rPr>
                            <w:rFonts w:ascii="Cambria Math" w:hAnsi="Cambria Math" w:cs="Arial"/>
                            <w:i/>
                            <w:sz w:val="22"/>
                            <w:szCs w:val="22"/>
                            <w:lang w:val="en-GB"/>
                          </w:rPr>
                        </m:ctrlPr>
                      </m:sSupPr>
                      <m:e>
                        <m:d>
                          <m:dPr>
                            <m:ctrlPr>
                              <w:rPr>
                                <w:rFonts w:ascii="Cambria Math" w:hAnsi="Cambria Math" w:cs="Arial"/>
                                <w:i/>
                                <w:sz w:val="22"/>
                                <w:szCs w:val="22"/>
                                <w:lang w:val="en-GB"/>
                              </w:rPr>
                            </m:ctrlPr>
                          </m:dPr>
                          <m:e>
                            <m:r>
                              <w:rPr>
                                <w:rFonts w:ascii="Cambria Math" w:hAnsi="Cambria Math" w:cs="Arial"/>
                                <w:sz w:val="22"/>
                                <w:szCs w:val="22"/>
                                <w:lang w:val="en-GB"/>
                              </w:rPr>
                              <m:t>bP</m:t>
                            </m:r>
                          </m:e>
                        </m:d>
                      </m:e>
                      <m:sup>
                        <m:r>
                          <w:rPr>
                            <w:rFonts w:ascii="Cambria Math" w:hAnsi="Cambria Math" w:cs="Arial"/>
                            <w:sz w:val="22"/>
                            <w:szCs w:val="22"/>
                            <w:lang w:val="en-GB"/>
                          </w:rPr>
                          <m:t>c</m:t>
                        </m:r>
                      </m:sup>
                    </m:sSup>
                  </m:e>
                </m:d>
              </m:e>
              <m:sup>
                <m:f>
                  <m:fPr>
                    <m:type m:val="skw"/>
                    <m:ctrlPr>
                      <w:rPr>
                        <w:rFonts w:ascii="Cambria Math" w:hAnsi="Cambria Math" w:cs="Arial"/>
                        <w:i/>
                        <w:sz w:val="22"/>
                        <w:szCs w:val="22"/>
                        <w:lang w:val="en-GB"/>
                      </w:rPr>
                    </m:ctrlPr>
                  </m:fPr>
                  <m:num>
                    <m:r>
                      <w:rPr>
                        <w:rFonts w:ascii="Cambria Math" w:hAnsi="Cambria Math" w:cs="Arial"/>
                        <w:sz w:val="22"/>
                        <w:szCs w:val="22"/>
                        <w:lang w:val="en-GB"/>
                      </w:rPr>
                      <m:t>1</m:t>
                    </m:r>
                  </m:num>
                  <m:den>
                    <m:r>
                      <w:rPr>
                        <w:rFonts w:ascii="Cambria Math" w:hAnsi="Cambria Math" w:cs="Arial"/>
                        <w:sz w:val="22"/>
                        <w:szCs w:val="22"/>
                        <w:lang w:val="en-GB"/>
                      </w:rPr>
                      <m:t>c</m:t>
                    </m:r>
                  </m:den>
                </m:f>
              </m:sup>
            </m:sSup>
          </m:den>
        </m:f>
      </m:oMath>
      <w:r w:rsidRPr="00936188">
        <w:rPr>
          <w:rFonts w:ascii="Arial" w:hAnsi="Arial" w:cs="Arial"/>
          <w:sz w:val="22"/>
          <w:szCs w:val="22"/>
          <w:lang w:val="en-GB"/>
        </w:rPr>
        <w:tab/>
      </w:r>
      <w:r w:rsidRPr="00936188">
        <w:rPr>
          <w:rFonts w:ascii="Arial" w:hAnsi="Arial" w:cs="Arial"/>
          <w:sz w:val="22"/>
          <w:szCs w:val="22"/>
          <w:lang w:val="en-GB"/>
        </w:rPr>
        <w:tab/>
      </w:r>
      <w:r w:rsidRPr="00936188">
        <w:rPr>
          <w:rFonts w:ascii="Arial" w:hAnsi="Arial" w:cs="Arial"/>
          <w:sz w:val="22"/>
          <w:szCs w:val="22"/>
          <w:lang w:val="en-GB"/>
        </w:rPr>
        <w:tab/>
      </w:r>
      <w:r w:rsidRPr="00936188">
        <w:rPr>
          <w:rFonts w:ascii="Arial" w:hAnsi="Arial" w:cs="Arial"/>
          <w:sz w:val="22"/>
          <w:szCs w:val="22"/>
          <w:lang w:val="en-GB"/>
        </w:rPr>
        <w:tab/>
      </w:r>
      <w:r w:rsidRPr="00936188">
        <w:rPr>
          <w:rFonts w:ascii="Arial" w:hAnsi="Arial" w:cs="Arial"/>
          <w:sz w:val="22"/>
          <w:szCs w:val="22"/>
          <w:lang w:val="en-GB"/>
        </w:rPr>
        <w:tab/>
      </w:r>
      <w:r w:rsidRPr="00936188">
        <w:rPr>
          <w:rFonts w:ascii="Arial" w:hAnsi="Arial" w:cs="Arial"/>
          <w:sz w:val="22"/>
          <w:szCs w:val="22"/>
          <w:lang w:val="en-GB"/>
        </w:rPr>
        <w:tab/>
      </w:r>
      <w:r w:rsidRPr="00936188">
        <w:rPr>
          <w:rFonts w:ascii="Arial" w:hAnsi="Arial" w:cs="Arial"/>
          <w:sz w:val="22"/>
          <w:szCs w:val="22"/>
          <w:lang w:val="en-GB"/>
        </w:rPr>
        <w:tab/>
        <w:t>(Eq. 4)</w:t>
      </w:r>
    </w:p>
    <w:p w14:paraId="6D93A79D" w14:textId="77777777" w:rsidR="000C0477" w:rsidRPr="00936188" w:rsidRDefault="000C0477" w:rsidP="000E2091">
      <w:pPr>
        <w:pStyle w:val="TAMainText"/>
        <w:spacing w:line="360" w:lineRule="auto"/>
        <w:ind w:firstLine="0"/>
        <w:rPr>
          <w:rFonts w:ascii="Arial" w:hAnsi="Arial" w:cs="Arial"/>
          <w:sz w:val="22"/>
          <w:szCs w:val="22"/>
          <w:lang w:val="en-GB"/>
        </w:rPr>
      </w:pPr>
    </w:p>
    <w:p w14:paraId="6159B672" w14:textId="0F431604" w:rsidR="000E2091" w:rsidRPr="00936188" w:rsidRDefault="000C0477" w:rsidP="000E2091">
      <w:pPr>
        <w:pStyle w:val="TAMainText"/>
        <w:spacing w:line="360" w:lineRule="auto"/>
        <w:ind w:firstLine="0"/>
        <w:rPr>
          <w:rFonts w:ascii="Arial" w:hAnsi="Arial" w:cs="Arial"/>
          <w:sz w:val="22"/>
          <w:szCs w:val="22"/>
          <w:lang w:val="en-GB"/>
        </w:rPr>
      </w:pPr>
      <w:r w:rsidRPr="00936188">
        <w:rPr>
          <w:rFonts w:ascii="Arial" w:hAnsi="Arial" w:cs="Arial"/>
          <w:sz w:val="22"/>
          <w:szCs w:val="22"/>
          <w:lang w:val="en-GB"/>
        </w:rPr>
        <w:t>In the fittings previously reported</w:t>
      </w:r>
      <w:r w:rsidR="002109CF" w:rsidRPr="00936188">
        <w:rPr>
          <w:rFonts w:ascii="Arial" w:hAnsi="Arial" w:cs="Arial"/>
          <w:sz w:val="22"/>
          <w:szCs w:val="22"/>
          <w:lang w:val="en-GB"/>
        </w:rPr>
        <w:t xml:space="preserve"> </w:t>
      </w:r>
      <w:r w:rsidR="00B850BD">
        <w:rPr>
          <w:rFonts w:ascii="Arial" w:hAnsi="Arial" w:cs="Arial"/>
          <w:noProof/>
          <w:sz w:val="22"/>
          <w:szCs w:val="22"/>
          <w:lang w:val="en-GB"/>
        </w:rPr>
        <w:t>[29, 36]</w:t>
      </w:r>
      <w:r w:rsidRPr="00936188">
        <w:rPr>
          <w:rFonts w:ascii="Arial" w:hAnsi="Arial" w:cs="Arial"/>
          <w:sz w:val="22"/>
          <w:szCs w:val="22"/>
          <w:lang w:val="en-GB"/>
        </w:rPr>
        <w:t xml:space="preserve">, </w:t>
      </w:r>
      <w:proofErr w:type="spellStart"/>
      <w:r w:rsidRPr="00936188">
        <w:rPr>
          <w:rFonts w:ascii="Arial" w:hAnsi="Arial" w:cs="Arial"/>
          <w:sz w:val="22"/>
          <w:szCs w:val="22"/>
          <w:lang w:val="en-GB"/>
        </w:rPr>
        <w:t>ρ</w:t>
      </w:r>
      <w:r w:rsidRPr="00936188">
        <w:rPr>
          <w:rFonts w:ascii="Arial" w:hAnsi="Arial" w:cs="Arial"/>
          <w:sz w:val="22"/>
          <w:szCs w:val="22"/>
          <w:vertAlign w:val="subscript"/>
          <w:lang w:val="en-GB"/>
        </w:rPr>
        <w:t>b</w:t>
      </w:r>
      <w:proofErr w:type="spellEnd"/>
      <w:r w:rsidRPr="00936188">
        <w:rPr>
          <w:rFonts w:ascii="Arial" w:hAnsi="Arial" w:cs="Arial"/>
          <w:sz w:val="22"/>
          <w:szCs w:val="22"/>
          <w:lang w:val="en-GB"/>
        </w:rPr>
        <w:t xml:space="preserve"> is determined from a rational function fitted to the NIST data, which is based on the </w:t>
      </w:r>
      <w:proofErr w:type="spellStart"/>
      <w:r w:rsidRPr="00936188">
        <w:rPr>
          <w:rFonts w:ascii="Arial" w:hAnsi="Arial" w:cs="Arial"/>
          <w:sz w:val="22"/>
          <w:szCs w:val="22"/>
          <w:lang w:val="en-GB"/>
        </w:rPr>
        <w:t>Leachman’s</w:t>
      </w:r>
      <w:proofErr w:type="spellEnd"/>
      <w:r w:rsidRPr="00936188">
        <w:rPr>
          <w:rFonts w:ascii="Arial" w:hAnsi="Arial" w:cs="Arial"/>
          <w:sz w:val="22"/>
          <w:szCs w:val="22"/>
          <w:lang w:val="en-GB"/>
        </w:rPr>
        <w:t xml:space="preserve"> equation of state for normal hydrogen</w:t>
      </w:r>
      <w:r w:rsidR="00386D8F">
        <w:rPr>
          <w:rFonts w:ascii="Arial" w:hAnsi="Arial" w:cs="Arial"/>
          <w:sz w:val="22"/>
          <w:szCs w:val="22"/>
          <w:lang w:val="en-GB"/>
        </w:rPr>
        <w:t xml:space="preserve"> </w:t>
      </w:r>
      <w:r w:rsidR="00B850BD">
        <w:rPr>
          <w:rFonts w:ascii="Arial" w:hAnsi="Arial" w:cs="Arial"/>
          <w:noProof/>
          <w:sz w:val="22"/>
          <w:szCs w:val="22"/>
          <w:lang w:val="en-GB"/>
        </w:rPr>
        <w:t>[36, 39]</w:t>
      </w:r>
      <w:r w:rsidRPr="00936188">
        <w:rPr>
          <w:rFonts w:ascii="Arial" w:hAnsi="Arial" w:cs="Arial"/>
          <w:sz w:val="22"/>
          <w:szCs w:val="22"/>
          <w:lang w:val="en-GB"/>
        </w:rPr>
        <w:t xml:space="preserve">. </w:t>
      </w:r>
      <w:r w:rsidR="00D504D4" w:rsidRPr="00D504D4">
        <w:rPr>
          <w:rFonts w:ascii="Arial" w:hAnsi="Arial" w:cs="Arial"/>
          <w:sz w:val="22"/>
          <w:szCs w:val="22"/>
          <w:lang w:val="en-GB"/>
        </w:rPr>
        <w:t xml:space="preserve">The temperature dependence of fitting similar models to hydrogen adsorption in metal-organic frameworks, including MIL-101(Cr), has been investigated in the past </w:t>
      </w:r>
      <w:r w:rsidR="00F829C8">
        <w:rPr>
          <w:rFonts w:ascii="Arial" w:hAnsi="Arial" w:cs="Arial"/>
          <w:noProof/>
          <w:sz w:val="22"/>
          <w:szCs w:val="22"/>
          <w:lang w:val="en-GB"/>
        </w:rPr>
        <w:t>[29]</w:t>
      </w:r>
      <w:r w:rsidR="00D504D4" w:rsidRPr="00D504D4">
        <w:rPr>
          <w:rFonts w:ascii="Arial" w:hAnsi="Arial" w:cs="Arial"/>
          <w:sz w:val="22"/>
          <w:szCs w:val="22"/>
          <w:lang w:val="en-GB"/>
        </w:rPr>
        <w:t xml:space="preserve"> and parameters such as the adsorbed phase density were shown not to display an obvious temperature dependence. For this reason and as done in previous studies </w:t>
      </w:r>
      <w:r w:rsidR="0059556F">
        <w:rPr>
          <w:rFonts w:ascii="Arial" w:hAnsi="Arial" w:cs="Arial"/>
          <w:noProof/>
          <w:sz w:val="22"/>
          <w:szCs w:val="22"/>
          <w:lang w:val="en-GB"/>
        </w:rPr>
        <w:t>[14, 27, 36]</w:t>
      </w:r>
      <w:r w:rsidR="00D504D4" w:rsidRPr="00D504D4">
        <w:rPr>
          <w:rFonts w:ascii="Arial" w:hAnsi="Arial" w:cs="Arial"/>
          <w:sz w:val="22"/>
          <w:szCs w:val="22"/>
          <w:lang w:val="en-GB"/>
        </w:rPr>
        <w:t xml:space="preserve">, the adsorbed phase density and the pore volume were assumed constant for all temperatures. </w:t>
      </w:r>
      <w:r w:rsidR="000A6C6A" w:rsidRPr="000A6C6A">
        <w:rPr>
          <w:rFonts w:ascii="Arial" w:hAnsi="Arial" w:cs="Arial"/>
          <w:sz w:val="22"/>
          <w:szCs w:val="22"/>
          <w:lang w:val="en-GB"/>
        </w:rPr>
        <w:t xml:space="preserve">The </w:t>
      </w:r>
      <w:proofErr w:type="spellStart"/>
      <w:r w:rsidR="000A6C6A" w:rsidRPr="000A6C6A">
        <w:rPr>
          <w:rFonts w:ascii="Arial" w:hAnsi="Arial" w:cs="Arial"/>
          <w:sz w:val="22"/>
          <w:szCs w:val="22"/>
          <w:lang w:val="en-GB"/>
        </w:rPr>
        <w:t>Tóth</w:t>
      </w:r>
      <w:proofErr w:type="spellEnd"/>
      <w:r w:rsidR="000A6C6A" w:rsidRPr="000A6C6A">
        <w:rPr>
          <w:rFonts w:ascii="Arial" w:hAnsi="Arial" w:cs="Arial"/>
          <w:sz w:val="22"/>
          <w:szCs w:val="22"/>
          <w:lang w:val="en-GB"/>
        </w:rPr>
        <w:t xml:space="preserve"> heterogeneity parameter and the </w:t>
      </w:r>
      <w:proofErr w:type="spellStart"/>
      <w:r w:rsidR="000A6C6A" w:rsidRPr="000A6C6A">
        <w:rPr>
          <w:rFonts w:ascii="Arial" w:hAnsi="Arial" w:cs="Arial"/>
          <w:sz w:val="22"/>
          <w:szCs w:val="22"/>
          <w:lang w:val="en-GB"/>
        </w:rPr>
        <w:t>Tóth</w:t>
      </w:r>
      <w:proofErr w:type="spellEnd"/>
      <w:r w:rsidR="000A6C6A" w:rsidRPr="000A6C6A">
        <w:rPr>
          <w:rFonts w:ascii="Arial" w:hAnsi="Arial" w:cs="Arial"/>
          <w:sz w:val="22"/>
          <w:szCs w:val="22"/>
          <w:lang w:val="en-GB"/>
        </w:rPr>
        <w:t xml:space="preserve"> b parameter were only fitted to the adsorption data at 77 K. </w:t>
      </w:r>
      <w:r w:rsidRPr="00936188">
        <w:rPr>
          <w:rFonts w:ascii="Arial" w:hAnsi="Arial" w:cs="Arial"/>
          <w:sz w:val="22"/>
          <w:szCs w:val="22"/>
          <w:lang w:val="en-GB"/>
        </w:rPr>
        <w:t>T</w:t>
      </w:r>
      <w:r w:rsidR="00ED723B">
        <w:rPr>
          <w:rFonts w:ascii="Arial" w:hAnsi="Arial" w:cs="Arial"/>
          <w:sz w:val="22"/>
          <w:szCs w:val="22"/>
          <w:lang w:val="en-GB"/>
        </w:rPr>
        <w:t>his means that t</w:t>
      </w:r>
      <w:r w:rsidRPr="00936188">
        <w:rPr>
          <w:rFonts w:ascii="Arial" w:hAnsi="Arial" w:cs="Arial"/>
          <w:sz w:val="22"/>
          <w:szCs w:val="22"/>
          <w:lang w:val="en-GB"/>
        </w:rPr>
        <w:t xml:space="preserve">he parameters </w:t>
      </w:r>
      <w:r w:rsidRPr="00936188">
        <w:rPr>
          <w:rFonts w:ascii="Arial" w:hAnsi="Arial" w:cs="Arial"/>
          <w:i/>
          <w:iCs/>
          <w:sz w:val="22"/>
          <w:szCs w:val="22"/>
          <w:lang w:val="en-GB"/>
        </w:rPr>
        <w:t>b</w:t>
      </w:r>
      <w:r w:rsidRPr="00936188">
        <w:rPr>
          <w:rFonts w:ascii="Arial" w:hAnsi="Arial" w:cs="Arial"/>
          <w:sz w:val="22"/>
          <w:szCs w:val="22"/>
          <w:lang w:val="en-GB"/>
        </w:rPr>
        <w:t xml:space="preserve">, </w:t>
      </w:r>
      <w:r w:rsidRPr="00936188">
        <w:rPr>
          <w:rFonts w:ascii="Arial" w:hAnsi="Arial" w:cs="Arial"/>
          <w:i/>
          <w:iCs/>
          <w:sz w:val="22"/>
          <w:szCs w:val="22"/>
          <w:lang w:val="en-GB"/>
        </w:rPr>
        <w:t>c</w:t>
      </w:r>
      <w:r w:rsidRPr="00936188">
        <w:rPr>
          <w:rFonts w:ascii="Arial" w:hAnsi="Arial" w:cs="Arial"/>
          <w:sz w:val="22"/>
          <w:szCs w:val="22"/>
          <w:lang w:val="en-GB"/>
        </w:rPr>
        <w:t xml:space="preserve">, </w:t>
      </w:r>
      <w:r w:rsidRPr="00936188">
        <w:rPr>
          <w:rFonts w:ascii="Arial" w:hAnsi="Arial" w:cs="Arial"/>
          <w:i/>
          <w:iCs/>
          <w:sz w:val="22"/>
          <w:szCs w:val="22"/>
          <w:lang w:val="en-GB"/>
        </w:rPr>
        <w:t>V</w:t>
      </w:r>
      <w:r w:rsidRPr="00936188">
        <w:rPr>
          <w:rFonts w:ascii="Arial" w:hAnsi="Arial" w:cs="Arial"/>
          <w:sz w:val="22"/>
          <w:szCs w:val="22"/>
          <w:vertAlign w:val="subscript"/>
          <w:lang w:val="en-GB"/>
        </w:rPr>
        <w:t>P</w:t>
      </w:r>
      <w:r w:rsidRPr="00936188">
        <w:rPr>
          <w:rFonts w:ascii="Arial" w:hAnsi="Arial" w:cs="Arial"/>
          <w:sz w:val="22"/>
          <w:szCs w:val="22"/>
          <w:vertAlign w:val="superscript"/>
          <w:lang w:val="en-GB"/>
        </w:rPr>
        <w:t xml:space="preserve"> </w:t>
      </w:r>
      <w:r w:rsidRPr="00936188">
        <w:rPr>
          <w:rFonts w:ascii="Arial" w:hAnsi="Arial" w:cs="Arial"/>
          <w:sz w:val="22"/>
          <w:szCs w:val="22"/>
          <w:lang w:val="en-GB"/>
        </w:rPr>
        <w:t xml:space="preserve">and </w:t>
      </w:r>
      <w:proofErr w:type="spellStart"/>
      <w:r w:rsidRPr="00936188">
        <w:rPr>
          <w:rFonts w:ascii="Arial" w:hAnsi="Arial" w:cs="Arial"/>
          <w:sz w:val="22"/>
          <w:szCs w:val="22"/>
          <w:lang w:val="en-GB"/>
        </w:rPr>
        <w:t>ρ</w:t>
      </w:r>
      <w:r w:rsidRPr="00936188">
        <w:rPr>
          <w:rFonts w:ascii="Arial" w:hAnsi="Arial" w:cs="Arial"/>
          <w:sz w:val="22"/>
          <w:szCs w:val="22"/>
          <w:vertAlign w:val="subscript"/>
          <w:lang w:val="en-GB"/>
        </w:rPr>
        <w:t>a</w:t>
      </w:r>
      <w:proofErr w:type="spellEnd"/>
      <w:r w:rsidRPr="00936188">
        <w:rPr>
          <w:rFonts w:ascii="Arial" w:hAnsi="Arial" w:cs="Arial"/>
          <w:sz w:val="22"/>
          <w:szCs w:val="22"/>
          <w:lang w:val="en-GB"/>
        </w:rPr>
        <w:t xml:space="preserve"> are determined from the fittings, with </w:t>
      </w:r>
      <w:r w:rsidRPr="00936188">
        <w:rPr>
          <w:rFonts w:ascii="Arial" w:hAnsi="Arial" w:cs="Arial"/>
          <w:i/>
          <w:iCs/>
          <w:sz w:val="22"/>
          <w:szCs w:val="22"/>
          <w:lang w:val="en-GB"/>
        </w:rPr>
        <w:t>V</w:t>
      </w:r>
      <w:r w:rsidRPr="00936188">
        <w:rPr>
          <w:rFonts w:ascii="Arial" w:hAnsi="Arial" w:cs="Arial"/>
          <w:sz w:val="22"/>
          <w:szCs w:val="22"/>
          <w:vertAlign w:val="subscript"/>
          <w:lang w:val="en-GB"/>
        </w:rPr>
        <w:t>P</w:t>
      </w:r>
      <w:r w:rsidRPr="00936188">
        <w:rPr>
          <w:rFonts w:ascii="Arial" w:hAnsi="Arial" w:cs="Arial"/>
          <w:sz w:val="22"/>
          <w:szCs w:val="22"/>
          <w:vertAlign w:val="superscript"/>
          <w:lang w:val="en-GB"/>
        </w:rPr>
        <w:t xml:space="preserve"> </w:t>
      </w:r>
      <w:r w:rsidRPr="00936188">
        <w:rPr>
          <w:rFonts w:ascii="Arial" w:hAnsi="Arial" w:cs="Arial"/>
          <w:sz w:val="22"/>
          <w:szCs w:val="22"/>
          <w:lang w:val="en-GB"/>
        </w:rPr>
        <w:t xml:space="preserve">and </w:t>
      </w:r>
      <w:proofErr w:type="spellStart"/>
      <w:r w:rsidRPr="00936188">
        <w:rPr>
          <w:rFonts w:ascii="Arial" w:hAnsi="Arial" w:cs="Arial"/>
          <w:sz w:val="22"/>
          <w:szCs w:val="22"/>
          <w:lang w:val="en-GB"/>
        </w:rPr>
        <w:t>ρ</w:t>
      </w:r>
      <w:r w:rsidRPr="00936188">
        <w:rPr>
          <w:rFonts w:ascii="Arial" w:hAnsi="Arial" w:cs="Arial"/>
          <w:sz w:val="22"/>
          <w:szCs w:val="22"/>
          <w:vertAlign w:val="subscript"/>
          <w:lang w:val="en-GB"/>
        </w:rPr>
        <w:t>a</w:t>
      </w:r>
      <w:proofErr w:type="spellEnd"/>
      <w:r w:rsidRPr="00936188">
        <w:rPr>
          <w:rFonts w:ascii="Arial" w:hAnsi="Arial" w:cs="Arial"/>
          <w:sz w:val="22"/>
          <w:szCs w:val="22"/>
          <w:vertAlign w:val="superscript"/>
          <w:lang w:val="en-GB"/>
        </w:rPr>
        <w:t xml:space="preserve"> </w:t>
      </w:r>
      <w:r w:rsidRPr="00936188">
        <w:rPr>
          <w:rFonts w:ascii="Arial" w:hAnsi="Arial" w:cs="Arial"/>
          <w:sz w:val="22"/>
          <w:szCs w:val="22"/>
          <w:lang w:val="en-GB"/>
        </w:rPr>
        <w:t>constant for all of the temperatures that were fitted (77, 90, 100 and 110 K)</w:t>
      </w:r>
      <w:r w:rsidR="005009DC">
        <w:rPr>
          <w:rFonts w:ascii="Arial" w:hAnsi="Arial" w:cs="Arial"/>
          <w:sz w:val="22"/>
          <w:szCs w:val="22"/>
          <w:lang w:val="en-GB"/>
        </w:rPr>
        <w:t xml:space="preserve"> and </w:t>
      </w:r>
      <w:r w:rsidR="005009DC">
        <w:rPr>
          <w:rFonts w:ascii="Arial" w:hAnsi="Arial" w:cs="Arial"/>
          <w:i/>
          <w:iCs/>
          <w:sz w:val="22"/>
          <w:szCs w:val="22"/>
          <w:lang w:val="en-GB"/>
        </w:rPr>
        <w:t>b</w:t>
      </w:r>
      <w:r w:rsidR="005009DC">
        <w:rPr>
          <w:rFonts w:ascii="Arial" w:hAnsi="Arial" w:cs="Arial"/>
          <w:sz w:val="22"/>
          <w:szCs w:val="22"/>
          <w:lang w:val="en-GB"/>
        </w:rPr>
        <w:t xml:space="preserve"> and </w:t>
      </w:r>
      <w:r w:rsidR="005009DC">
        <w:rPr>
          <w:rFonts w:ascii="Arial" w:hAnsi="Arial" w:cs="Arial"/>
          <w:i/>
          <w:iCs/>
          <w:sz w:val="22"/>
          <w:szCs w:val="22"/>
          <w:lang w:val="en-GB"/>
        </w:rPr>
        <w:t>c</w:t>
      </w:r>
      <w:r w:rsidR="005009DC">
        <w:rPr>
          <w:rFonts w:ascii="Arial" w:hAnsi="Arial" w:cs="Arial"/>
          <w:sz w:val="22"/>
          <w:szCs w:val="22"/>
          <w:lang w:val="en-GB"/>
        </w:rPr>
        <w:t xml:space="preserve"> specific for each temperature</w:t>
      </w:r>
      <w:r w:rsidRPr="00936188">
        <w:rPr>
          <w:rFonts w:ascii="Arial" w:hAnsi="Arial" w:cs="Arial"/>
          <w:sz w:val="22"/>
          <w:szCs w:val="22"/>
          <w:lang w:val="en-GB"/>
        </w:rPr>
        <w:t xml:space="preserve">. The results from the fitting are presented in Table 1. </w:t>
      </w:r>
      <w:r w:rsidR="00E96DAC" w:rsidRPr="00E96DAC">
        <w:rPr>
          <w:rFonts w:ascii="Arial" w:hAnsi="Arial" w:cs="Arial"/>
          <w:sz w:val="22"/>
          <w:szCs w:val="22"/>
          <w:lang w:val="en-GB"/>
        </w:rPr>
        <w:t>The micropore volume, which is a parameter determined from the fit, has a value of 1.6 cm</w:t>
      </w:r>
      <w:r w:rsidR="00E96DAC" w:rsidRPr="004A1278">
        <w:rPr>
          <w:rFonts w:ascii="Arial" w:hAnsi="Arial" w:cs="Arial"/>
          <w:sz w:val="22"/>
          <w:szCs w:val="22"/>
          <w:vertAlign w:val="superscript"/>
          <w:lang w:val="en-GB"/>
        </w:rPr>
        <w:t>3</w:t>
      </w:r>
      <w:r w:rsidR="00E96DAC" w:rsidRPr="00E96DAC">
        <w:rPr>
          <w:rFonts w:ascii="Arial" w:hAnsi="Arial" w:cs="Arial"/>
          <w:sz w:val="22"/>
          <w:szCs w:val="22"/>
          <w:lang w:val="en-GB"/>
        </w:rPr>
        <w:t xml:space="preserve"> g</w:t>
      </w:r>
      <w:r w:rsidR="00E96DAC" w:rsidRPr="004A1278">
        <w:rPr>
          <w:rFonts w:ascii="Arial" w:hAnsi="Arial" w:cs="Arial"/>
          <w:sz w:val="22"/>
          <w:szCs w:val="22"/>
          <w:vertAlign w:val="superscript"/>
          <w:lang w:val="en-GB"/>
        </w:rPr>
        <w:t>-1</w:t>
      </w:r>
      <w:r w:rsidR="00E96DAC" w:rsidRPr="00E96DAC">
        <w:rPr>
          <w:rFonts w:ascii="Arial" w:hAnsi="Arial" w:cs="Arial"/>
          <w:sz w:val="22"/>
          <w:szCs w:val="22"/>
          <w:lang w:val="en-GB"/>
        </w:rPr>
        <w:t xml:space="preserve">. This is a value that is very close to the pore volumes for the same material obtained using nitrogen and hydrogen adsorption and the </w:t>
      </w:r>
      <w:proofErr w:type="spellStart"/>
      <w:r w:rsidR="00E96DAC" w:rsidRPr="00E96DAC">
        <w:rPr>
          <w:rFonts w:ascii="Arial" w:hAnsi="Arial" w:cs="Arial"/>
          <w:sz w:val="22"/>
          <w:szCs w:val="22"/>
          <w:lang w:val="en-GB"/>
        </w:rPr>
        <w:t>Gurvich</w:t>
      </w:r>
      <w:proofErr w:type="spellEnd"/>
      <w:r w:rsidR="00E96DAC" w:rsidRPr="00E96DAC">
        <w:rPr>
          <w:rFonts w:ascii="Arial" w:hAnsi="Arial" w:cs="Arial"/>
          <w:sz w:val="22"/>
          <w:szCs w:val="22"/>
          <w:lang w:val="en-GB"/>
        </w:rPr>
        <w:t xml:space="preserve"> rule by </w:t>
      </w:r>
      <w:proofErr w:type="spellStart"/>
      <w:r w:rsidR="00E96DAC" w:rsidRPr="00E96DAC">
        <w:rPr>
          <w:rFonts w:ascii="Arial" w:hAnsi="Arial" w:cs="Arial"/>
          <w:sz w:val="22"/>
          <w:szCs w:val="22"/>
          <w:lang w:val="en-GB"/>
        </w:rPr>
        <w:t>Streppel</w:t>
      </w:r>
      <w:proofErr w:type="spellEnd"/>
      <w:r w:rsidR="00E96DAC" w:rsidRPr="00E96DAC">
        <w:rPr>
          <w:rFonts w:ascii="Arial" w:hAnsi="Arial" w:cs="Arial"/>
          <w:sz w:val="22"/>
          <w:szCs w:val="22"/>
          <w:lang w:val="en-GB"/>
        </w:rPr>
        <w:t xml:space="preserve"> and Hirscher</w:t>
      </w:r>
      <w:r w:rsidR="0059556F">
        <w:rPr>
          <w:rFonts w:ascii="Arial" w:hAnsi="Arial" w:cs="Arial"/>
          <w:sz w:val="22"/>
          <w:szCs w:val="22"/>
          <w:lang w:val="en-GB"/>
        </w:rPr>
        <w:t xml:space="preserve"> </w:t>
      </w:r>
      <w:r w:rsidR="00D160A9">
        <w:rPr>
          <w:rFonts w:ascii="Arial" w:hAnsi="Arial" w:cs="Arial"/>
          <w:noProof/>
          <w:sz w:val="22"/>
          <w:szCs w:val="22"/>
          <w:lang w:val="en-GB"/>
        </w:rPr>
        <w:t>[26]</w:t>
      </w:r>
      <w:r w:rsidR="00E96DAC" w:rsidRPr="00E96DAC">
        <w:rPr>
          <w:rFonts w:ascii="Arial" w:hAnsi="Arial" w:cs="Arial"/>
          <w:sz w:val="22"/>
          <w:szCs w:val="22"/>
          <w:lang w:val="en-GB"/>
        </w:rPr>
        <w:t>, which were 1.51 and 1.50 cm</w:t>
      </w:r>
      <w:r w:rsidR="00E96DAC" w:rsidRPr="004A1278">
        <w:rPr>
          <w:rFonts w:ascii="Arial" w:hAnsi="Arial" w:cs="Arial"/>
          <w:sz w:val="22"/>
          <w:szCs w:val="22"/>
          <w:vertAlign w:val="superscript"/>
          <w:lang w:val="en-GB"/>
        </w:rPr>
        <w:t>3</w:t>
      </w:r>
      <w:r w:rsidR="00E96DAC" w:rsidRPr="00E96DAC">
        <w:rPr>
          <w:rFonts w:ascii="Arial" w:hAnsi="Arial" w:cs="Arial"/>
          <w:sz w:val="22"/>
          <w:szCs w:val="22"/>
          <w:lang w:val="en-GB"/>
        </w:rPr>
        <w:t xml:space="preserve"> g</w:t>
      </w:r>
      <w:r w:rsidR="00E96DAC" w:rsidRPr="004A1278">
        <w:rPr>
          <w:rFonts w:ascii="Arial" w:hAnsi="Arial" w:cs="Arial"/>
          <w:sz w:val="22"/>
          <w:szCs w:val="22"/>
          <w:vertAlign w:val="superscript"/>
          <w:lang w:val="en-GB"/>
        </w:rPr>
        <w:t>-1</w:t>
      </w:r>
      <w:r w:rsidR="00E96DAC" w:rsidRPr="00E96DAC">
        <w:rPr>
          <w:rFonts w:ascii="Arial" w:hAnsi="Arial" w:cs="Arial"/>
          <w:sz w:val="22"/>
          <w:szCs w:val="22"/>
          <w:lang w:val="en-GB"/>
        </w:rPr>
        <w:t>, respectively.</w:t>
      </w:r>
    </w:p>
    <w:p w14:paraId="29DC0BDF" w14:textId="79C03756" w:rsidR="000C0477" w:rsidRPr="00936188" w:rsidRDefault="000C0477" w:rsidP="000E2091">
      <w:pPr>
        <w:pStyle w:val="TAMainText"/>
        <w:spacing w:line="360" w:lineRule="auto"/>
        <w:ind w:firstLine="0"/>
        <w:rPr>
          <w:rFonts w:ascii="Arial" w:hAnsi="Arial" w:cs="Arial"/>
          <w:sz w:val="22"/>
          <w:szCs w:val="22"/>
          <w:lang w:val="en-GB"/>
        </w:rPr>
      </w:pPr>
    </w:p>
    <w:p w14:paraId="39232743" w14:textId="4760389D" w:rsidR="000C0477" w:rsidRPr="00936188" w:rsidRDefault="000C0477" w:rsidP="000C0477">
      <w:pPr>
        <w:pStyle w:val="Caption"/>
        <w:keepNext/>
        <w:spacing w:after="0"/>
        <w:jc w:val="center"/>
      </w:pPr>
      <w:r w:rsidRPr="00936188">
        <w:lastRenderedPageBreak/>
        <w:t xml:space="preserve">Table </w:t>
      </w:r>
      <w:r w:rsidRPr="00936188">
        <w:fldChar w:fldCharType="begin"/>
      </w:r>
      <w:r w:rsidRPr="00936188">
        <w:instrText xml:space="preserve"> SEQ Table \* ARABIC </w:instrText>
      </w:r>
      <w:r w:rsidRPr="00936188">
        <w:fldChar w:fldCharType="separate"/>
      </w:r>
      <w:r w:rsidRPr="00936188">
        <w:rPr>
          <w:noProof/>
        </w:rPr>
        <w:t>1</w:t>
      </w:r>
      <w:r w:rsidRPr="00936188">
        <w:rPr>
          <w:noProof/>
        </w:rPr>
        <w:fldChar w:fldCharType="end"/>
      </w:r>
      <w:r w:rsidRPr="00936188">
        <w:t xml:space="preserve"> – Fitting parameters for the </w:t>
      </w:r>
      <w:proofErr w:type="spellStart"/>
      <w:r w:rsidRPr="00936188">
        <w:t>multifit</w:t>
      </w:r>
      <w:proofErr w:type="spellEnd"/>
      <w:r w:rsidRPr="00936188">
        <w:t xml:space="preserve"> to hydrogen isotherms on MIL-101(Cr) at 77, 90, 100 and 110 K</w:t>
      </w:r>
      <w:r w:rsidR="009479AF">
        <w:t xml:space="preserve">. </w:t>
      </w:r>
      <w:r w:rsidR="003D1A97" w:rsidRPr="00936188">
        <w:t xml:space="preserve">The </w:t>
      </w:r>
      <w:r w:rsidR="003D1A97" w:rsidRPr="00936188">
        <w:rPr>
          <w:rFonts w:ascii="Times New Roman" w:hAnsi="Times New Roman"/>
          <w:szCs w:val="24"/>
          <w:lang w:val="en-GB"/>
        </w:rPr>
        <w:t xml:space="preserve">± </w:t>
      </w:r>
      <w:r w:rsidR="003D1A97" w:rsidRPr="00936188">
        <w:t xml:space="preserve">uncertainly refers to the standard error from the nonlinear fitting. </w:t>
      </w:r>
      <w:r w:rsidR="00E569C6">
        <w:t>Table adapted and reproduced</w:t>
      </w:r>
      <w:r w:rsidR="00533FE5">
        <w:t xml:space="preserve"> with permission </w:t>
      </w:r>
      <w:r w:rsidR="00B0593F">
        <w:t xml:space="preserve">from reference </w:t>
      </w:r>
      <w:r w:rsidR="003F71EF">
        <w:rPr>
          <w:noProof/>
        </w:rPr>
        <w:t>[29]</w:t>
      </w:r>
      <w:r w:rsidRPr="00936188">
        <w:t>.</w:t>
      </w:r>
      <w:r w:rsidR="00B0593F">
        <w:t xml:space="preserve"> Copyright 2013 Springer.</w:t>
      </w:r>
      <w:r w:rsidRPr="00936188">
        <w:t xml:space="preserve"> </w:t>
      </w:r>
    </w:p>
    <w:tbl>
      <w:tblPr>
        <w:tblStyle w:val="TableGrid"/>
        <w:tblW w:w="9825" w:type="dxa"/>
        <w:jc w:val="center"/>
        <w:tblLook w:val="04A0" w:firstRow="1" w:lastRow="0" w:firstColumn="1" w:lastColumn="0" w:noHBand="0" w:noVBand="1"/>
      </w:tblPr>
      <w:tblGrid>
        <w:gridCol w:w="4769"/>
        <w:gridCol w:w="5056"/>
      </w:tblGrid>
      <w:tr w:rsidR="000C0477" w:rsidRPr="00936188" w14:paraId="3DF3C137" w14:textId="77777777" w:rsidTr="000C0477">
        <w:trPr>
          <w:trHeight w:val="184"/>
          <w:jc w:val="center"/>
        </w:trPr>
        <w:tc>
          <w:tcPr>
            <w:tcW w:w="4769" w:type="dxa"/>
            <w:vAlign w:val="center"/>
          </w:tcPr>
          <w:p w14:paraId="14A60CDC" w14:textId="77777777" w:rsidR="000C0477" w:rsidRPr="00936188" w:rsidRDefault="000C0477" w:rsidP="00CB379D">
            <w:pPr>
              <w:pStyle w:val="TAMainText"/>
              <w:spacing w:line="360" w:lineRule="auto"/>
              <w:ind w:firstLine="0"/>
              <w:jc w:val="center"/>
              <w:rPr>
                <w:rFonts w:ascii="Times New Roman" w:hAnsi="Times New Roman"/>
                <w:szCs w:val="24"/>
                <w:lang w:val="en-GB"/>
              </w:rPr>
            </w:pPr>
          </w:p>
        </w:tc>
        <w:tc>
          <w:tcPr>
            <w:tcW w:w="5056" w:type="dxa"/>
            <w:vAlign w:val="center"/>
          </w:tcPr>
          <w:p w14:paraId="41480D64" w14:textId="6EAFD855" w:rsidR="000C0477" w:rsidRPr="00936188" w:rsidRDefault="000C0477" w:rsidP="00CB379D">
            <w:pPr>
              <w:pStyle w:val="TAMainText"/>
              <w:spacing w:line="360" w:lineRule="auto"/>
              <w:ind w:firstLine="0"/>
              <w:jc w:val="center"/>
              <w:rPr>
                <w:rFonts w:ascii="Times New Roman" w:hAnsi="Times New Roman"/>
                <w:szCs w:val="24"/>
                <w:lang w:val="en-GB"/>
              </w:rPr>
            </w:pPr>
            <w:r w:rsidRPr="00936188">
              <w:rPr>
                <w:rFonts w:ascii="Times New Roman" w:hAnsi="Times New Roman"/>
                <w:szCs w:val="24"/>
                <w:lang w:val="en-GB"/>
              </w:rPr>
              <w:t>MIL-101(Cr)</w:t>
            </w:r>
          </w:p>
        </w:tc>
      </w:tr>
      <w:tr w:rsidR="000C0477" w:rsidRPr="00936188" w14:paraId="6D074C9E" w14:textId="77777777" w:rsidTr="000C0477">
        <w:trPr>
          <w:trHeight w:val="571"/>
          <w:jc w:val="center"/>
        </w:trPr>
        <w:tc>
          <w:tcPr>
            <w:tcW w:w="4769" w:type="dxa"/>
            <w:vAlign w:val="center"/>
          </w:tcPr>
          <w:p w14:paraId="291FB07E" w14:textId="1126C845" w:rsidR="000C0477" w:rsidRPr="00936188" w:rsidRDefault="000C0477" w:rsidP="000C0477">
            <w:pPr>
              <w:pStyle w:val="TAMainText"/>
              <w:spacing w:line="360" w:lineRule="auto"/>
              <w:ind w:firstLine="0"/>
              <w:jc w:val="center"/>
              <w:rPr>
                <w:rFonts w:ascii="Times New Roman" w:hAnsi="Times New Roman"/>
                <w:szCs w:val="24"/>
                <w:lang w:val="en-GB"/>
              </w:rPr>
            </w:pPr>
            <w:r w:rsidRPr="00936188">
              <w:rPr>
                <w:rFonts w:ascii="Times New Roman" w:hAnsi="Times New Roman"/>
                <w:szCs w:val="24"/>
                <w:lang w:val="en-GB"/>
              </w:rPr>
              <w:t xml:space="preserve">Adsorbate density, </w:t>
            </w:r>
            <w:r w:rsidRPr="00936188">
              <w:rPr>
                <w:rFonts w:ascii="Symbol" w:hAnsi="Symbol"/>
                <w:szCs w:val="24"/>
                <w:lang w:val="en-GB"/>
              </w:rPr>
              <w:t></w:t>
            </w:r>
            <w:r w:rsidRPr="00936188">
              <w:rPr>
                <w:rFonts w:ascii="Times New Roman" w:hAnsi="Times New Roman"/>
                <w:szCs w:val="24"/>
                <w:vertAlign w:val="subscript"/>
                <w:lang w:val="en-GB"/>
              </w:rPr>
              <w:t>a</w:t>
            </w:r>
            <w:r w:rsidRPr="00936188">
              <w:rPr>
                <w:rFonts w:ascii="Times New Roman" w:hAnsi="Times New Roman"/>
                <w:szCs w:val="24"/>
                <w:lang w:val="en-GB"/>
              </w:rPr>
              <w:t xml:space="preserve"> / kg m</w:t>
            </w:r>
            <w:r w:rsidRPr="00936188">
              <w:rPr>
                <w:rFonts w:ascii="Times New Roman" w:hAnsi="Times New Roman"/>
                <w:szCs w:val="24"/>
                <w:vertAlign w:val="superscript"/>
                <w:lang w:val="en-GB"/>
              </w:rPr>
              <w:t>-3</w:t>
            </w:r>
          </w:p>
        </w:tc>
        <w:tc>
          <w:tcPr>
            <w:tcW w:w="5056" w:type="dxa"/>
            <w:vAlign w:val="center"/>
          </w:tcPr>
          <w:p w14:paraId="3FC29EF3" w14:textId="59C3F294" w:rsidR="000C0477" w:rsidRPr="00936188" w:rsidRDefault="000C0477" w:rsidP="00CB379D">
            <w:pPr>
              <w:pStyle w:val="TAMainText"/>
              <w:spacing w:line="360" w:lineRule="auto"/>
              <w:ind w:firstLine="0"/>
              <w:jc w:val="center"/>
              <w:rPr>
                <w:rFonts w:ascii="Times New Roman" w:hAnsi="Times New Roman"/>
                <w:szCs w:val="24"/>
                <w:lang w:val="en-GB"/>
              </w:rPr>
            </w:pPr>
            <w:r w:rsidRPr="00936188">
              <w:rPr>
                <w:rFonts w:ascii="Times New Roman" w:hAnsi="Times New Roman"/>
                <w:szCs w:val="24"/>
                <w:lang w:val="en-GB"/>
              </w:rPr>
              <w:t>72.</w:t>
            </w:r>
            <w:r w:rsidR="00004C61">
              <w:rPr>
                <w:rFonts w:ascii="Times New Roman" w:hAnsi="Times New Roman"/>
                <w:szCs w:val="24"/>
                <w:lang w:val="en-GB"/>
              </w:rPr>
              <w:t>4</w:t>
            </w:r>
            <w:r w:rsidRPr="00936188">
              <w:rPr>
                <w:rFonts w:ascii="Times New Roman" w:hAnsi="Times New Roman"/>
                <w:szCs w:val="24"/>
                <w:lang w:val="en-GB"/>
              </w:rPr>
              <w:t xml:space="preserve"> ± 3.5</w:t>
            </w:r>
          </w:p>
        </w:tc>
      </w:tr>
      <w:tr w:rsidR="000C0477" w:rsidRPr="00936188" w14:paraId="1150DC7C" w14:textId="77777777" w:rsidTr="000C0477">
        <w:trPr>
          <w:trHeight w:val="558"/>
          <w:jc w:val="center"/>
        </w:trPr>
        <w:tc>
          <w:tcPr>
            <w:tcW w:w="4769" w:type="dxa"/>
            <w:vAlign w:val="center"/>
          </w:tcPr>
          <w:p w14:paraId="1B406797" w14:textId="327E48FC" w:rsidR="000C0477" w:rsidRPr="00936188" w:rsidRDefault="000C0477" w:rsidP="000C0477">
            <w:pPr>
              <w:pStyle w:val="TAMainText"/>
              <w:spacing w:line="360" w:lineRule="auto"/>
              <w:ind w:firstLine="0"/>
              <w:jc w:val="center"/>
              <w:rPr>
                <w:rFonts w:ascii="Times New Roman" w:hAnsi="Times New Roman"/>
                <w:szCs w:val="24"/>
                <w:lang w:val="pt-PT"/>
              </w:rPr>
            </w:pPr>
            <w:r w:rsidRPr="00936188">
              <w:rPr>
                <w:rFonts w:ascii="Times New Roman" w:hAnsi="Times New Roman"/>
                <w:szCs w:val="24"/>
                <w:lang w:val="pt-PT"/>
              </w:rPr>
              <w:t xml:space="preserve">Micropore volume, </w:t>
            </w:r>
            <w:r w:rsidRPr="00936188">
              <w:rPr>
                <w:rFonts w:ascii="Times New Roman" w:hAnsi="Times New Roman"/>
                <w:i/>
                <w:szCs w:val="24"/>
                <w:lang w:val="pt-PT"/>
              </w:rPr>
              <w:t>V</w:t>
            </w:r>
            <w:r w:rsidRPr="00936188">
              <w:rPr>
                <w:rFonts w:ascii="Times New Roman" w:hAnsi="Times New Roman"/>
                <w:szCs w:val="24"/>
                <w:vertAlign w:val="subscript"/>
                <w:lang w:val="pt-PT"/>
              </w:rPr>
              <w:t xml:space="preserve">p / </w:t>
            </w:r>
            <w:r w:rsidRPr="00936188">
              <w:rPr>
                <w:rFonts w:ascii="Times New Roman" w:hAnsi="Times New Roman"/>
                <w:szCs w:val="24"/>
                <w:lang w:val="pt-PT"/>
              </w:rPr>
              <w:t>cm</w:t>
            </w:r>
            <w:r w:rsidRPr="00936188">
              <w:rPr>
                <w:rFonts w:ascii="Times New Roman" w:hAnsi="Times New Roman"/>
                <w:szCs w:val="24"/>
                <w:vertAlign w:val="superscript"/>
                <w:lang w:val="pt-PT"/>
              </w:rPr>
              <w:t>3</w:t>
            </w:r>
            <w:r w:rsidRPr="00936188">
              <w:rPr>
                <w:rFonts w:ascii="Times New Roman" w:hAnsi="Times New Roman"/>
                <w:szCs w:val="24"/>
                <w:lang w:val="pt-PT"/>
              </w:rPr>
              <w:t xml:space="preserve"> g</w:t>
            </w:r>
            <w:r w:rsidRPr="00936188">
              <w:rPr>
                <w:rFonts w:ascii="Times New Roman" w:hAnsi="Times New Roman"/>
                <w:szCs w:val="24"/>
                <w:vertAlign w:val="superscript"/>
                <w:lang w:val="pt-PT"/>
              </w:rPr>
              <w:t>-1</w:t>
            </w:r>
          </w:p>
        </w:tc>
        <w:tc>
          <w:tcPr>
            <w:tcW w:w="5056" w:type="dxa"/>
            <w:vAlign w:val="center"/>
          </w:tcPr>
          <w:p w14:paraId="10D2D60A" w14:textId="5D7E8C90" w:rsidR="000C0477" w:rsidRPr="00936188" w:rsidRDefault="000C0477" w:rsidP="00CB379D">
            <w:pPr>
              <w:pStyle w:val="TAMainText"/>
              <w:spacing w:line="360" w:lineRule="auto"/>
              <w:ind w:firstLine="0"/>
              <w:jc w:val="center"/>
              <w:rPr>
                <w:rFonts w:ascii="Times New Roman" w:hAnsi="Times New Roman"/>
                <w:szCs w:val="24"/>
                <w:lang w:val="en-GB"/>
              </w:rPr>
            </w:pPr>
            <w:r w:rsidRPr="00936188">
              <w:rPr>
                <w:rFonts w:ascii="Times New Roman" w:hAnsi="Times New Roman"/>
                <w:szCs w:val="24"/>
                <w:lang w:val="en-GB"/>
              </w:rPr>
              <w:t>1.</w:t>
            </w:r>
            <w:r w:rsidR="00004C61">
              <w:rPr>
                <w:rFonts w:ascii="Times New Roman" w:hAnsi="Times New Roman"/>
                <w:szCs w:val="24"/>
                <w:lang w:val="en-GB"/>
              </w:rPr>
              <w:t>6</w:t>
            </w:r>
            <w:r w:rsidRPr="00936188">
              <w:rPr>
                <w:rFonts w:ascii="Times New Roman" w:hAnsi="Times New Roman"/>
                <w:szCs w:val="24"/>
                <w:lang w:val="en-GB"/>
              </w:rPr>
              <w:t xml:space="preserve"> ± 0.</w:t>
            </w:r>
            <w:r w:rsidR="00004C61">
              <w:rPr>
                <w:rFonts w:ascii="Times New Roman" w:hAnsi="Times New Roman"/>
                <w:szCs w:val="24"/>
                <w:lang w:val="en-GB"/>
              </w:rPr>
              <w:t>5</w:t>
            </w:r>
          </w:p>
        </w:tc>
      </w:tr>
      <w:tr w:rsidR="000C0477" w:rsidRPr="00936188" w14:paraId="6352C614" w14:textId="77777777" w:rsidTr="000C0477">
        <w:trPr>
          <w:trHeight w:val="373"/>
          <w:jc w:val="center"/>
        </w:trPr>
        <w:tc>
          <w:tcPr>
            <w:tcW w:w="4769" w:type="dxa"/>
            <w:vAlign w:val="center"/>
          </w:tcPr>
          <w:p w14:paraId="0CDC9EE7" w14:textId="39111FB2" w:rsidR="000C0477" w:rsidRPr="00936188" w:rsidRDefault="000C0477" w:rsidP="000C0477">
            <w:pPr>
              <w:pStyle w:val="TAMainText"/>
              <w:spacing w:line="360" w:lineRule="auto"/>
              <w:ind w:firstLine="0"/>
              <w:jc w:val="center"/>
              <w:rPr>
                <w:rFonts w:ascii="Times New Roman" w:hAnsi="Times New Roman"/>
                <w:szCs w:val="24"/>
                <w:lang w:val="en-GB"/>
              </w:rPr>
            </w:pPr>
            <w:proofErr w:type="spellStart"/>
            <w:r w:rsidRPr="00936188">
              <w:rPr>
                <w:rFonts w:ascii="Times New Roman" w:hAnsi="Times New Roman"/>
                <w:szCs w:val="24"/>
                <w:lang w:val="en-GB"/>
              </w:rPr>
              <w:t>Tóth</w:t>
            </w:r>
            <w:proofErr w:type="spellEnd"/>
            <w:r w:rsidRPr="00936188">
              <w:rPr>
                <w:rFonts w:ascii="Times New Roman" w:hAnsi="Times New Roman"/>
                <w:szCs w:val="24"/>
                <w:lang w:val="en-GB"/>
              </w:rPr>
              <w:t xml:space="preserve"> </w:t>
            </w:r>
            <w:r w:rsidRPr="00936188">
              <w:rPr>
                <w:rFonts w:ascii="Times New Roman" w:hAnsi="Times New Roman"/>
                <w:i/>
                <w:iCs/>
                <w:szCs w:val="24"/>
                <w:lang w:val="en-GB"/>
              </w:rPr>
              <w:t>b</w:t>
            </w:r>
            <w:r w:rsidRPr="00936188">
              <w:rPr>
                <w:rFonts w:ascii="Times New Roman" w:hAnsi="Times New Roman"/>
                <w:szCs w:val="24"/>
                <w:lang w:val="en-GB"/>
              </w:rPr>
              <w:t xml:space="preserve"> parameter at 77 K</w:t>
            </w:r>
            <w:r w:rsidRPr="00936188">
              <w:rPr>
                <w:rFonts w:ascii="Times New Roman" w:hAnsi="Times New Roman"/>
                <w:szCs w:val="24"/>
                <w:vertAlign w:val="subscript"/>
                <w:lang w:val="en-GB"/>
              </w:rPr>
              <w:t xml:space="preserve"> </w:t>
            </w:r>
            <w:r w:rsidRPr="00936188">
              <w:rPr>
                <w:rFonts w:ascii="Times New Roman" w:hAnsi="Times New Roman"/>
                <w:szCs w:val="24"/>
                <w:lang w:val="en-GB"/>
              </w:rPr>
              <w:t>/ MPa</w:t>
            </w:r>
            <w:r w:rsidRPr="00936188">
              <w:rPr>
                <w:rFonts w:ascii="Times New Roman" w:hAnsi="Times New Roman"/>
                <w:szCs w:val="24"/>
                <w:vertAlign w:val="superscript"/>
                <w:lang w:val="en-GB"/>
              </w:rPr>
              <w:t>-1</w:t>
            </w:r>
          </w:p>
        </w:tc>
        <w:tc>
          <w:tcPr>
            <w:tcW w:w="5056" w:type="dxa"/>
            <w:vAlign w:val="center"/>
          </w:tcPr>
          <w:p w14:paraId="06C8B35A" w14:textId="60831F17" w:rsidR="000C0477" w:rsidRPr="00936188" w:rsidRDefault="000C0477" w:rsidP="00CB379D">
            <w:pPr>
              <w:pStyle w:val="TAMainText"/>
              <w:spacing w:line="360" w:lineRule="auto"/>
              <w:ind w:firstLine="0"/>
              <w:jc w:val="center"/>
              <w:rPr>
                <w:rFonts w:ascii="Times New Roman" w:hAnsi="Times New Roman"/>
                <w:szCs w:val="24"/>
                <w:lang w:val="en-GB"/>
              </w:rPr>
            </w:pPr>
            <w:r w:rsidRPr="00936188">
              <w:rPr>
                <w:rFonts w:ascii="Times New Roman" w:hAnsi="Times New Roman"/>
                <w:szCs w:val="24"/>
                <w:lang w:val="en-GB"/>
              </w:rPr>
              <w:t>6.0 ± 2.8</w:t>
            </w:r>
          </w:p>
        </w:tc>
      </w:tr>
      <w:tr w:rsidR="000C0477" w:rsidRPr="00936188" w14:paraId="7B359CF8" w14:textId="77777777" w:rsidTr="000C0477">
        <w:trPr>
          <w:trHeight w:val="558"/>
          <w:jc w:val="center"/>
        </w:trPr>
        <w:tc>
          <w:tcPr>
            <w:tcW w:w="4769" w:type="dxa"/>
            <w:vAlign w:val="center"/>
          </w:tcPr>
          <w:p w14:paraId="69D42A10" w14:textId="2995A557" w:rsidR="000C0477" w:rsidRPr="009C2FCB" w:rsidRDefault="000C0477" w:rsidP="00CB379D">
            <w:pPr>
              <w:pStyle w:val="TAMainText"/>
              <w:spacing w:line="360" w:lineRule="auto"/>
              <w:ind w:firstLine="0"/>
              <w:jc w:val="center"/>
              <w:rPr>
                <w:rFonts w:ascii="Times New Roman" w:hAnsi="Times New Roman"/>
                <w:iCs/>
                <w:szCs w:val="24"/>
                <w:lang w:val="en-GB"/>
              </w:rPr>
            </w:pPr>
            <w:proofErr w:type="spellStart"/>
            <w:r w:rsidRPr="00936188">
              <w:rPr>
                <w:rFonts w:ascii="Times New Roman" w:hAnsi="Times New Roman"/>
                <w:szCs w:val="24"/>
                <w:lang w:val="en-GB"/>
              </w:rPr>
              <w:t>Tóth</w:t>
            </w:r>
            <w:proofErr w:type="spellEnd"/>
            <w:r w:rsidRPr="00936188">
              <w:rPr>
                <w:rFonts w:ascii="Times New Roman" w:hAnsi="Times New Roman"/>
                <w:szCs w:val="24"/>
                <w:lang w:val="en-GB"/>
              </w:rPr>
              <w:t xml:space="preserve"> heterogeneity parameter</w:t>
            </w:r>
            <w:r w:rsidR="000C4EEB" w:rsidRPr="00936188">
              <w:rPr>
                <w:rFonts w:ascii="Times New Roman" w:hAnsi="Times New Roman"/>
                <w:szCs w:val="24"/>
                <w:lang w:val="en-GB"/>
              </w:rPr>
              <w:t xml:space="preserve"> at 77 K</w:t>
            </w:r>
            <w:r w:rsidRPr="00936188">
              <w:rPr>
                <w:rFonts w:ascii="Times New Roman" w:hAnsi="Times New Roman"/>
                <w:szCs w:val="24"/>
                <w:lang w:val="en-GB"/>
              </w:rPr>
              <w:t xml:space="preserve">, </w:t>
            </w:r>
            <w:r w:rsidRPr="00936188">
              <w:rPr>
                <w:rFonts w:ascii="Times New Roman" w:hAnsi="Times New Roman"/>
                <w:i/>
                <w:szCs w:val="24"/>
                <w:lang w:val="en-GB"/>
              </w:rPr>
              <w:t>c</w:t>
            </w:r>
            <w:r w:rsidR="00087C57">
              <w:rPr>
                <w:rFonts w:ascii="Times New Roman" w:hAnsi="Times New Roman"/>
                <w:iCs/>
                <w:szCs w:val="24"/>
                <w:lang w:val="en-GB"/>
              </w:rPr>
              <w:t xml:space="preserve"> / -</w:t>
            </w:r>
          </w:p>
        </w:tc>
        <w:tc>
          <w:tcPr>
            <w:tcW w:w="5056" w:type="dxa"/>
            <w:vAlign w:val="center"/>
          </w:tcPr>
          <w:p w14:paraId="0B5E8EB1" w14:textId="097FB901" w:rsidR="000C0477" w:rsidRPr="00936188" w:rsidRDefault="000C0477" w:rsidP="00CB379D">
            <w:pPr>
              <w:pStyle w:val="TAMainText"/>
              <w:spacing w:line="360" w:lineRule="auto"/>
              <w:ind w:firstLine="0"/>
              <w:jc w:val="center"/>
              <w:rPr>
                <w:rFonts w:ascii="Times New Roman" w:hAnsi="Times New Roman"/>
                <w:szCs w:val="24"/>
                <w:lang w:val="en-GB"/>
              </w:rPr>
            </w:pPr>
            <w:r w:rsidRPr="00936188">
              <w:rPr>
                <w:rFonts w:ascii="Times New Roman" w:hAnsi="Times New Roman"/>
                <w:szCs w:val="24"/>
                <w:lang w:val="en-GB"/>
              </w:rPr>
              <w:t>0.</w:t>
            </w:r>
            <w:r w:rsidR="00F71075" w:rsidRPr="00936188">
              <w:rPr>
                <w:rFonts w:ascii="Times New Roman" w:hAnsi="Times New Roman"/>
                <w:szCs w:val="24"/>
                <w:lang w:val="en-GB"/>
              </w:rPr>
              <w:t>36</w:t>
            </w:r>
            <w:r w:rsidRPr="00936188">
              <w:rPr>
                <w:rFonts w:ascii="Times New Roman" w:hAnsi="Times New Roman"/>
                <w:szCs w:val="24"/>
                <w:lang w:val="en-GB"/>
              </w:rPr>
              <w:t xml:space="preserve"> ± 0.0</w:t>
            </w:r>
            <w:r w:rsidR="00F71075" w:rsidRPr="00936188">
              <w:rPr>
                <w:rFonts w:ascii="Times New Roman" w:hAnsi="Times New Roman"/>
                <w:szCs w:val="24"/>
                <w:lang w:val="en-GB"/>
              </w:rPr>
              <w:t>9</w:t>
            </w:r>
          </w:p>
        </w:tc>
      </w:tr>
    </w:tbl>
    <w:p w14:paraId="32B58729" w14:textId="77777777" w:rsidR="000C0477" w:rsidRPr="00936188" w:rsidRDefault="000C0477" w:rsidP="000E2091">
      <w:pPr>
        <w:pStyle w:val="TAMainText"/>
        <w:spacing w:line="360" w:lineRule="auto"/>
        <w:ind w:firstLine="0"/>
        <w:rPr>
          <w:rFonts w:ascii="Arial" w:hAnsi="Arial" w:cs="Arial"/>
          <w:sz w:val="22"/>
          <w:szCs w:val="22"/>
          <w:lang w:val="en-GB"/>
        </w:rPr>
      </w:pPr>
    </w:p>
    <w:p w14:paraId="1A49C184" w14:textId="194414FC" w:rsidR="006E05C7" w:rsidRPr="00936188" w:rsidRDefault="008D4650" w:rsidP="006E05C7">
      <w:pPr>
        <w:jc w:val="center"/>
      </w:pPr>
      <w:r>
        <w:rPr>
          <w:noProof/>
          <w:lang w:val="en-SG" w:eastAsia="en-SG"/>
        </w:rPr>
        <mc:AlternateContent>
          <mc:Choice Requires="wpg">
            <w:drawing>
              <wp:anchor distT="0" distB="0" distL="114300" distR="114300" simplePos="0" relativeHeight="251655168" behindDoc="0" locked="0" layoutInCell="1" allowOverlap="1" wp14:anchorId="09DCAC0F" wp14:editId="4D72C5BA">
                <wp:simplePos x="0" y="0"/>
                <wp:positionH relativeFrom="column">
                  <wp:posOffset>196850</wp:posOffset>
                </wp:positionH>
                <wp:positionV relativeFrom="paragraph">
                  <wp:posOffset>133350</wp:posOffset>
                </wp:positionV>
                <wp:extent cx="3409950" cy="241300"/>
                <wp:effectExtent l="0" t="0" r="0" b="6350"/>
                <wp:wrapNone/>
                <wp:docPr id="17" name="Group 17"/>
                <wp:cNvGraphicFramePr/>
                <a:graphic xmlns:a="http://schemas.openxmlformats.org/drawingml/2006/main">
                  <a:graphicData uri="http://schemas.microsoft.com/office/word/2010/wordprocessingGroup">
                    <wpg:wgp>
                      <wpg:cNvGrpSpPr/>
                      <wpg:grpSpPr>
                        <a:xfrm>
                          <a:off x="0" y="0"/>
                          <a:ext cx="3409950" cy="241300"/>
                          <a:chOff x="0" y="0"/>
                          <a:chExt cx="3409950" cy="241300"/>
                        </a:xfrm>
                      </wpg:grpSpPr>
                      <wps:wsp>
                        <wps:cNvPr id="217" name="Text Box 2"/>
                        <wps:cNvSpPr txBox="1">
                          <a:spLocks noChangeArrowheads="1"/>
                        </wps:cNvSpPr>
                        <wps:spPr bwMode="auto">
                          <a:xfrm>
                            <a:off x="0" y="0"/>
                            <a:ext cx="387350" cy="228600"/>
                          </a:xfrm>
                          <a:prstGeom prst="rect">
                            <a:avLst/>
                          </a:prstGeom>
                          <a:solidFill>
                            <a:srgbClr val="FFFFFF"/>
                          </a:solidFill>
                          <a:ln w="9525">
                            <a:noFill/>
                            <a:miter lim="800000"/>
                            <a:headEnd/>
                            <a:tailEnd/>
                          </a:ln>
                        </wps:spPr>
                        <wps:txbx>
                          <w:txbxContent>
                            <w:p w14:paraId="7F4492B4" w14:textId="552B5F81" w:rsidR="00820935" w:rsidRDefault="00820935">
                              <w:r>
                                <w:t>A)</w:t>
                              </w:r>
                            </w:p>
                          </w:txbxContent>
                        </wps:txbx>
                        <wps:bodyPr rot="0" vert="horz" wrap="square" lIns="91440" tIns="45720" rIns="91440" bIns="45720" anchor="t" anchorCtr="0">
                          <a:noAutofit/>
                        </wps:bodyPr>
                      </wps:wsp>
                      <wps:wsp>
                        <wps:cNvPr id="16" name="Text Box 2"/>
                        <wps:cNvSpPr txBox="1">
                          <a:spLocks noChangeArrowheads="1"/>
                        </wps:cNvSpPr>
                        <wps:spPr bwMode="auto">
                          <a:xfrm>
                            <a:off x="2990850" y="0"/>
                            <a:ext cx="419100" cy="241300"/>
                          </a:xfrm>
                          <a:prstGeom prst="rect">
                            <a:avLst/>
                          </a:prstGeom>
                          <a:solidFill>
                            <a:srgbClr val="FFFFFF"/>
                          </a:solidFill>
                          <a:ln w="9525">
                            <a:noFill/>
                            <a:miter lim="800000"/>
                            <a:headEnd/>
                            <a:tailEnd/>
                          </a:ln>
                        </wps:spPr>
                        <wps:txbx>
                          <w:txbxContent>
                            <w:p w14:paraId="0C1150A1" w14:textId="7E4C6E2B" w:rsidR="00820935" w:rsidRPr="008D4650" w:rsidRDefault="00820935">
                              <w:pPr>
                                <w:rPr>
                                  <w:lang w:val="pt-PT"/>
                                </w:rPr>
                              </w:pPr>
                              <w:r>
                                <w:rPr>
                                  <w:lang w:val="pt-PT"/>
                                </w:rPr>
                                <w:t>B)</w:t>
                              </w:r>
                            </w:p>
                          </w:txbxContent>
                        </wps:txbx>
                        <wps:bodyPr rot="0" vert="horz" wrap="square" lIns="91440" tIns="45720" rIns="91440" bIns="45720" anchor="t" anchorCtr="0">
                          <a:noAutofit/>
                        </wps:bodyPr>
                      </wps:wsp>
                    </wpg:wgp>
                  </a:graphicData>
                </a:graphic>
              </wp:anchor>
            </w:drawing>
          </mc:Choice>
          <mc:Fallback>
            <w:pict>
              <v:group w14:anchorId="09DCAC0F" id="Group 17" o:spid="_x0000_s1026" style="position:absolute;left:0;text-align:left;margin-left:15.5pt;margin-top:10.5pt;width:268.5pt;height:19pt;z-index:251655168" coordsize="34099,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">
                <v:shapetype id="_x0000_t202" coordsize="21600,21600" o:spt="202" path="m,l,21600r21600,l21600,xe">
                  <v:stroke joinstyle="miter"/>
                  <v:path gradientshapeok="t" o:connecttype="rect"/>
                </v:shapetype>
                <v:shape id="_x0000_s1027" type="#_x0000_t202" style="position:absolute;width:38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7F4492B4" w14:textId="552B5F81" w:rsidR="00820935" w:rsidRDefault="00820935">
                        <w:r>
                          <w:t>A)</w:t>
                        </w:r>
                      </w:p>
                    </w:txbxContent>
                  </v:textbox>
                </v:shape>
                <v:shape id="_x0000_s1028" type="#_x0000_t202" style="position:absolute;left:29908;width:4191;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0C1150A1" w14:textId="7E4C6E2B" w:rsidR="00820935" w:rsidRPr="008D4650" w:rsidRDefault="00820935">
                        <w:pPr>
                          <w:rPr>
                            <w:lang w:val="pt-PT"/>
                          </w:rPr>
                        </w:pPr>
                        <w:r>
                          <w:rPr>
                            <w:lang w:val="pt-PT"/>
                          </w:rPr>
                          <w:t>B)</w:t>
                        </w:r>
                      </w:p>
                    </w:txbxContent>
                  </v:textbox>
                </v:shape>
              </v:group>
            </w:pict>
          </mc:Fallback>
        </mc:AlternateContent>
      </w:r>
      <w:r w:rsidR="002E726B">
        <w:rPr>
          <w:noProof/>
          <w:lang w:val="en-SG" w:eastAsia="en-SG"/>
        </w:rPr>
        <w:drawing>
          <wp:inline distT="0" distB="0" distL="0" distR="0" wp14:anchorId="1171AEC0" wp14:editId="47185918">
            <wp:extent cx="3101810" cy="21600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1810" cy="2160000"/>
                    </a:xfrm>
                    <a:prstGeom prst="rect">
                      <a:avLst/>
                    </a:prstGeom>
                  </pic:spPr>
                </pic:pic>
              </a:graphicData>
            </a:graphic>
          </wp:inline>
        </w:drawing>
      </w:r>
      <w:r w:rsidR="006E2049">
        <w:rPr>
          <w:noProof/>
          <w:lang w:val="en-SG" w:eastAsia="en-SG"/>
        </w:rPr>
        <w:drawing>
          <wp:inline distT="0" distB="0" distL="0" distR="0" wp14:anchorId="63E5C8A8" wp14:editId="0C1ED679">
            <wp:extent cx="2822899" cy="2160000"/>
            <wp:effectExtent l="0" t="0" r="0" b="0"/>
            <wp:docPr id="14" name="Picture 14"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scatte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2899" cy="2160000"/>
                    </a:xfrm>
                    <a:prstGeom prst="rect">
                      <a:avLst/>
                    </a:prstGeom>
                  </pic:spPr>
                </pic:pic>
              </a:graphicData>
            </a:graphic>
          </wp:inline>
        </w:drawing>
      </w:r>
    </w:p>
    <w:p w14:paraId="170BC9CA" w14:textId="190C7B10" w:rsidR="006E05C7" w:rsidRPr="00936188" w:rsidRDefault="006E05C7" w:rsidP="009D75C6">
      <w:pPr>
        <w:rPr>
          <w:b/>
          <w:bCs/>
          <w:sz w:val="18"/>
          <w:szCs w:val="18"/>
        </w:rPr>
      </w:pPr>
      <w:r w:rsidRPr="00936188">
        <w:rPr>
          <w:b/>
          <w:bCs/>
          <w:sz w:val="18"/>
          <w:szCs w:val="18"/>
        </w:rPr>
        <w:t xml:space="preserve">Figure 2 – </w:t>
      </w:r>
      <w:r w:rsidR="0094367A" w:rsidRPr="00936188">
        <w:rPr>
          <w:b/>
          <w:bCs/>
          <w:sz w:val="18"/>
          <w:szCs w:val="18"/>
        </w:rPr>
        <w:t xml:space="preserve">A) </w:t>
      </w:r>
      <w:r w:rsidRPr="00936188">
        <w:rPr>
          <w:b/>
          <w:bCs/>
          <w:sz w:val="18"/>
          <w:szCs w:val="18"/>
        </w:rPr>
        <w:t>Hydrogen isotherms from 77 to RT</w:t>
      </w:r>
      <w:r w:rsidR="0094367A" w:rsidRPr="00936188">
        <w:rPr>
          <w:b/>
          <w:bCs/>
          <w:sz w:val="18"/>
          <w:szCs w:val="18"/>
        </w:rPr>
        <w:t xml:space="preserve">, with data adapted </w:t>
      </w:r>
      <w:r w:rsidR="006C0193">
        <w:rPr>
          <w:b/>
          <w:bCs/>
          <w:sz w:val="18"/>
          <w:szCs w:val="18"/>
        </w:rPr>
        <w:t xml:space="preserve">and reproduced with permission </w:t>
      </w:r>
      <w:r w:rsidR="0094367A" w:rsidRPr="00936188">
        <w:rPr>
          <w:b/>
          <w:bCs/>
          <w:sz w:val="18"/>
          <w:szCs w:val="18"/>
        </w:rPr>
        <w:t>from ref</w:t>
      </w:r>
      <w:r w:rsidR="00057579">
        <w:rPr>
          <w:b/>
          <w:bCs/>
          <w:sz w:val="18"/>
          <w:szCs w:val="18"/>
        </w:rPr>
        <w:t>erence</w:t>
      </w:r>
      <w:r w:rsidR="003D50F0">
        <w:rPr>
          <w:b/>
          <w:bCs/>
          <w:sz w:val="18"/>
          <w:szCs w:val="18"/>
        </w:rPr>
        <w:t xml:space="preserve"> </w:t>
      </w:r>
      <w:r w:rsidR="00E90E64">
        <w:rPr>
          <w:b/>
          <w:bCs/>
          <w:noProof/>
          <w:sz w:val="18"/>
          <w:szCs w:val="18"/>
        </w:rPr>
        <w:t>[27]</w:t>
      </w:r>
      <w:r w:rsidRPr="00936188">
        <w:rPr>
          <w:b/>
          <w:bCs/>
          <w:sz w:val="18"/>
          <w:szCs w:val="18"/>
        </w:rPr>
        <w:t xml:space="preserve">. </w:t>
      </w:r>
      <w:r w:rsidR="00485568">
        <w:rPr>
          <w:b/>
          <w:bCs/>
          <w:sz w:val="18"/>
          <w:szCs w:val="18"/>
        </w:rPr>
        <w:t>Copyright 2013 Springer.</w:t>
      </w:r>
      <w:r w:rsidR="00935EED">
        <w:rPr>
          <w:b/>
          <w:bCs/>
          <w:sz w:val="18"/>
          <w:szCs w:val="18"/>
        </w:rPr>
        <w:t xml:space="preserve"> </w:t>
      </w:r>
      <w:r w:rsidR="0094367A" w:rsidRPr="00936188">
        <w:rPr>
          <w:b/>
          <w:bCs/>
          <w:sz w:val="18"/>
          <w:szCs w:val="18"/>
        </w:rPr>
        <w:t>B) C</w:t>
      </w:r>
      <w:r w:rsidRPr="00936188">
        <w:rPr>
          <w:b/>
          <w:bCs/>
          <w:sz w:val="18"/>
          <w:szCs w:val="18"/>
        </w:rPr>
        <w:t>omparison between G</w:t>
      </w:r>
      <w:r w:rsidR="0039090E">
        <w:rPr>
          <w:b/>
          <w:bCs/>
          <w:sz w:val="18"/>
          <w:szCs w:val="18"/>
        </w:rPr>
        <w:t>E</w:t>
      </w:r>
      <w:r w:rsidRPr="00936188">
        <w:rPr>
          <w:b/>
          <w:bCs/>
          <w:sz w:val="18"/>
          <w:szCs w:val="18"/>
        </w:rPr>
        <w:t>MC simulated amounts</w:t>
      </w:r>
      <w:r w:rsidR="0094367A" w:rsidRPr="00936188">
        <w:rPr>
          <w:b/>
          <w:bCs/>
          <w:sz w:val="18"/>
          <w:szCs w:val="18"/>
        </w:rPr>
        <w:t xml:space="preserve"> and the </w:t>
      </w:r>
      <w:r w:rsidR="00A23836" w:rsidRPr="00936188">
        <w:rPr>
          <w:b/>
          <w:bCs/>
          <w:sz w:val="18"/>
          <w:szCs w:val="18"/>
        </w:rPr>
        <w:t xml:space="preserve">excess, </w:t>
      </w:r>
      <w:r w:rsidR="0039090E">
        <w:rPr>
          <w:b/>
          <w:bCs/>
          <w:sz w:val="18"/>
          <w:szCs w:val="18"/>
        </w:rPr>
        <w:t xml:space="preserve">and the </w:t>
      </w:r>
      <w:r w:rsidR="00A23836" w:rsidRPr="00936188">
        <w:rPr>
          <w:b/>
          <w:bCs/>
          <w:sz w:val="18"/>
          <w:szCs w:val="18"/>
        </w:rPr>
        <w:t>absolute and</w:t>
      </w:r>
      <w:r w:rsidR="0039090E">
        <w:rPr>
          <w:b/>
          <w:bCs/>
          <w:sz w:val="18"/>
          <w:szCs w:val="18"/>
        </w:rPr>
        <w:t xml:space="preserve"> total</w:t>
      </w:r>
      <w:r w:rsidR="0094367A" w:rsidRPr="00936188">
        <w:rPr>
          <w:b/>
          <w:bCs/>
          <w:sz w:val="18"/>
          <w:szCs w:val="18"/>
        </w:rPr>
        <w:t xml:space="preserve"> uptakes determined from </w:t>
      </w:r>
      <w:r w:rsidR="0039090E">
        <w:rPr>
          <w:b/>
          <w:bCs/>
          <w:sz w:val="18"/>
          <w:szCs w:val="18"/>
        </w:rPr>
        <w:t>the experimental excess.</w:t>
      </w:r>
    </w:p>
    <w:p w14:paraId="5799A39D" w14:textId="131B360E" w:rsidR="006E05C7" w:rsidRPr="00936188" w:rsidRDefault="006E05C7" w:rsidP="006E05C7">
      <w:pPr>
        <w:jc w:val="both"/>
      </w:pPr>
    </w:p>
    <w:p w14:paraId="5E98D28A" w14:textId="5D1E7ABF" w:rsidR="00C77E8A" w:rsidRDefault="00BF61D0" w:rsidP="00226518">
      <w:pPr>
        <w:spacing w:line="360" w:lineRule="auto"/>
        <w:jc w:val="both"/>
      </w:pPr>
      <w:r w:rsidRPr="00936188">
        <w:t xml:space="preserve">In order to probe the densification of hydrogen and investigate the presence of a high density, solid-like phase in MIL-101(Cr), we applied the same methodologies used in the past </w:t>
      </w:r>
      <w:r w:rsidR="00590DE6" w:rsidRPr="00936188">
        <w:t xml:space="preserve">to analyse denser phases of hydrogen in </w:t>
      </w:r>
      <w:r w:rsidR="00B72779">
        <w:t>microporous carbon</w:t>
      </w:r>
      <w:r w:rsidR="00590DE6" w:rsidRPr="00936188">
        <w:t xml:space="preserve"> </w:t>
      </w:r>
      <w:r w:rsidRPr="00936188">
        <w:t>TE7</w:t>
      </w:r>
      <w:r w:rsidR="00124210">
        <w:t>, titanium carbide-derived carbon and single-walled carbon nanotubes</w:t>
      </w:r>
      <w:r w:rsidR="00F24B7B">
        <w:t xml:space="preserve"> </w:t>
      </w:r>
      <w:r w:rsidR="00DC5774">
        <w:rPr>
          <w:noProof/>
        </w:rPr>
        <w:t>[14, 16]</w:t>
      </w:r>
      <w:r w:rsidRPr="00936188">
        <w:t xml:space="preserve">. </w:t>
      </w:r>
      <w:r w:rsidR="00B13AE8" w:rsidRPr="00936188">
        <w:t xml:space="preserve">Inelastic neutron scattering (INS) is a very powerful technique that </w:t>
      </w:r>
      <w:r w:rsidR="009D53A4">
        <w:t>provides</w:t>
      </w:r>
      <w:r w:rsidR="00B13AE8" w:rsidRPr="00936188">
        <w:t xml:space="preserve"> information about the adsorbed phase of hydrogen that is not possible to obtain using other techniques. Neutrons can penetrate deeply into solid matter and, unlike X-rays, are highly sensitive to the presence of hydrogen. Also, unlike infrared or Raman scattering, the molecular motion (vibration or rotation) detected by neutrons is not dependent on selection rules. INS can therefore provide extra information on the state and strength of the interactions of molecular hydrogen on MIL-101(Cr) at cryogenic temperatures and high pressures, allowing to probe the density of the adsorbed phase. INS was used to show</w:t>
      </w:r>
      <w:r w:rsidR="00590DE6" w:rsidRPr="00936188">
        <w:t xml:space="preserve"> the</w:t>
      </w:r>
      <w:r w:rsidR="00857FBD" w:rsidRPr="00936188">
        <w:t xml:space="preserve"> first experimental evidence of solid-like hydrogen at 77 K in the pores of an activated carbon (TE7)</w:t>
      </w:r>
      <w:r w:rsidR="00026D15" w:rsidRPr="00936188">
        <w:t xml:space="preserve">. This was further complemented with </w:t>
      </w:r>
      <w:r w:rsidR="00857FBD" w:rsidRPr="00936188">
        <w:t xml:space="preserve">modelling </w:t>
      </w:r>
      <w:r w:rsidR="00026D15" w:rsidRPr="00936188">
        <w:t>done on the</w:t>
      </w:r>
      <w:r w:rsidR="00857FBD" w:rsidRPr="00936188">
        <w:t xml:space="preserve"> experimental excess isotherms</w:t>
      </w:r>
      <w:r w:rsidR="00026D15" w:rsidRPr="00936188">
        <w:t xml:space="preserve">, which showed </w:t>
      </w:r>
      <w:r w:rsidR="00026D15" w:rsidRPr="00936188">
        <w:lastRenderedPageBreak/>
        <w:t xml:space="preserve">densities of adsorbed hydrogen </w:t>
      </w:r>
      <w:proofErr w:type="gramStart"/>
      <w:r w:rsidR="00026D15" w:rsidRPr="00936188">
        <w:t>in excess of</w:t>
      </w:r>
      <w:proofErr w:type="gramEnd"/>
      <w:r w:rsidR="00026D15" w:rsidRPr="00936188">
        <w:t xml:space="preserve"> 100 kg m</w:t>
      </w:r>
      <w:r w:rsidR="00026D15" w:rsidRPr="00936188">
        <w:rPr>
          <w:vertAlign w:val="superscript"/>
        </w:rPr>
        <w:t>-3</w:t>
      </w:r>
      <w:r w:rsidR="00857FBD" w:rsidRPr="00936188">
        <w:t xml:space="preserve">. </w:t>
      </w:r>
      <w:r w:rsidR="00485B4B">
        <w:t xml:space="preserve">More recently, </w:t>
      </w:r>
      <w:r w:rsidR="00C30EEA">
        <w:t>INS and computational simulations were</w:t>
      </w:r>
      <w:r w:rsidR="00485B4B">
        <w:t xml:space="preserve"> used to study</w:t>
      </w:r>
      <w:r w:rsidR="007C51AE">
        <w:t xml:space="preserve"> three different carbons –TE7, </w:t>
      </w:r>
      <w:r w:rsidR="00485B4B">
        <w:t xml:space="preserve"> single-walled carbon nanotube</w:t>
      </w:r>
      <w:r w:rsidR="007F34FA">
        <w:t>s</w:t>
      </w:r>
      <w:r w:rsidR="007C51AE">
        <w:t xml:space="preserve"> and a titanium carbide-derived carbon</w:t>
      </w:r>
      <w:r w:rsidR="00C30EEA">
        <w:t xml:space="preserve"> – and again showed </w:t>
      </w:r>
      <w:r w:rsidR="00F1102B">
        <w:t xml:space="preserve">how pore sizes in the range of 0.7 nm </w:t>
      </w:r>
      <w:r w:rsidR="0090380F">
        <w:t>led to significant hydrogen densification and the presence of a solid-like hydrogen phase</w:t>
      </w:r>
      <w:r w:rsidR="003D50F0">
        <w:t xml:space="preserve"> </w:t>
      </w:r>
      <w:r w:rsidR="00DC5774">
        <w:rPr>
          <w:noProof/>
        </w:rPr>
        <w:t>[16]</w:t>
      </w:r>
      <w:r w:rsidR="0090380F">
        <w:t>. I</w:t>
      </w:r>
      <w:r w:rsidR="00857FBD" w:rsidRPr="00936188">
        <w:t xml:space="preserve">n order to verify </w:t>
      </w:r>
      <w:r w:rsidR="00026D15" w:rsidRPr="00936188">
        <w:t>if the same phenomena were happening in the MIL-101(Cr)</w:t>
      </w:r>
      <w:r w:rsidR="00857FBD" w:rsidRPr="00936188">
        <w:t xml:space="preserve">, </w:t>
      </w:r>
      <w:r w:rsidR="00026D15" w:rsidRPr="00936188">
        <w:t>we</w:t>
      </w:r>
      <w:r w:rsidR="00857FBD" w:rsidRPr="00936188">
        <w:t xml:space="preserve"> carried out inelastic neutron scattering experiments</w:t>
      </w:r>
      <w:r w:rsidR="00B13AE8" w:rsidRPr="00936188">
        <w:t xml:space="preserve"> in the same instrument </w:t>
      </w:r>
      <w:r w:rsidR="0090380F">
        <w:t xml:space="preserve">used in both studies </w:t>
      </w:r>
      <w:r w:rsidR="00B13AE8" w:rsidRPr="00936188">
        <w:t>(TOSCA at the ISIS neutron source at</w:t>
      </w:r>
      <w:r w:rsidR="00FB014F">
        <w:t xml:space="preserve"> the</w:t>
      </w:r>
      <w:r w:rsidR="00B13AE8" w:rsidRPr="00936188">
        <w:t xml:space="preserve"> STFC Rutherford Appleton Laboratory, UK)</w:t>
      </w:r>
      <w:r w:rsidR="00857FBD" w:rsidRPr="00936188">
        <w:t xml:space="preserve"> at 77 K under increasing pressures of hydrogen (0 to 3 MPa). </w:t>
      </w:r>
      <w:r w:rsidR="00A23836" w:rsidRPr="00936188">
        <w:t>As noted in Table 1, t</w:t>
      </w:r>
      <w:r w:rsidR="00226518" w:rsidRPr="00936188">
        <w:t xml:space="preserve">he adsorbed hydrogen </w:t>
      </w:r>
      <w:r w:rsidR="00A23836" w:rsidRPr="00936188">
        <w:t>density</w:t>
      </w:r>
      <w:r w:rsidR="00226518" w:rsidRPr="00936188">
        <w:t xml:space="preserve"> for the MIL-101(Cr) determined </w:t>
      </w:r>
      <w:r w:rsidR="00A23836" w:rsidRPr="00936188">
        <w:t>from modelling of experimental isotherms</w:t>
      </w:r>
      <w:r w:rsidR="00226518" w:rsidRPr="00936188">
        <w:t xml:space="preserve"> </w:t>
      </w:r>
      <w:r w:rsidR="00A23836" w:rsidRPr="00936188">
        <w:t>was</w:t>
      </w:r>
      <w:r w:rsidR="00226518" w:rsidRPr="00936188">
        <w:t xml:space="preserve"> </w:t>
      </w:r>
      <w:r w:rsidR="00A23836" w:rsidRPr="00936188">
        <w:t>72.</w:t>
      </w:r>
      <w:r w:rsidR="005C5A0E" w:rsidRPr="00936188">
        <w:t>4</w:t>
      </w:r>
      <w:r w:rsidR="00226518" w:rsidRPr="00936188">
        <w:t xml:space="preserve"> kg m</w:t>
      </w:r>
      <w:r w:rsidR="00226518" w:rsidRPr="00936188">
        <w:rPr>
          <w:vertAlign w:val="superscript"/>
        </w:rPr>
        <w:t>-3</w:t>
      </w:r>
      <w:r w:rsidR="009D53A4">
        <w:t xml:space="preserve"> (c.f. </w:t>
      </w:r>
      <w:r w:rsidR="00026D15" w:rsidRPr="00936188">
        <w:t xml:space="preserve">adsorbed densities </w:t>
      </w:r>
      <w:r w:rsidR="009D53A4">
        <w:t xml:space="preserve">of </w:t>
      </w:r>
      <w:r w:rsidR="00226518" w:rsidRPr="00936188">
        <w:t>10</w:t>
      </w:r>
      <w:r w:rsidR="00026D15" w:rsidRPr="00936188">
        <w:t>1.3</w:t>
      </w:r>
      <w:r w:rsidR="00226518" w:rsidRPr="00936188">
        <w:t xml:space="preserve"> kg m</w:t>
      </w:r>
      <w:r w:rsidR="00226518" w:rsidRPr="00936188">
        <w:rPr>
          <w:vertAlign w:val="superscript"/>
        </w:rPr>
        <w:t>-3</w:t>
      </w:r>
      <w:r w:rsidR="009D53A4">
        <w:t xml:space="preserve"> for TE7 carbon</w:t>
      </w:r>
      <w:r w:rsidR="00226518" w:rsidRPr="00936188">
        <w:t xml:space="preserve"> using the same methodology</w:t>
      </w:r>
      <w:r w:rsidR="009D53A4">
        <w:t>)</w:t>
      </w:r>
      <w:r w:rsidR="00226518" w:rsidRPr="00936188">
        <w:t>.</w:t>
      </w:r>
      <w:r w:rsidR="00C77E8A" w:rsidRPr="00936188">
        <w:t xml:space="preserve"> </w:t>
      </w:r>
      <w:proofErr w:type="gramStart"/>
      <w:r w:rsidR="00C77E8A" w:rsidRPr="00936188">
        <w:t>In order to</w:t>
      </w:r>
      <w:proofErr w:type="gramEnd"/>
      <w:r w:rsidR="00C77E8A" w:rsidRPr="00936188">
        <w:t xml:space="preserve"> </w:t>
      </w:r>
      <w:r w:rsidR="009D53A4">
        <w:t>check for</w:t>
      </w:r>
      <w:r w:rsidR="009D53A4" w:rsidRPr="00936188">
        <w:t xml:space="preserve"> </w:t>
      </w:r>
      <w:r w:rsidR="00C77E8A" w:rsidRPr="00936188">
        <w:t xml:space="preserve">the presence of solid hydrogen in the </w:t>
      </w:r>
      <w:r w:rsidR="009D53A4">
        <w:t>MIL-101</w:t>
      </w:r>
      <w:r w:rsidR="003125CB">
        <w:t>(Cr)</w:t>
      </w:r>
      <w:r w:rsidR="009D53A4">
        <w:t xml:space="preserve"> </w:t>
      </w:r>
      <w:r w:rsidR="00C77E8A" w:rsidRPr="00936188">
        <w:t xml:space="preserve">material, we </w:t>
      </w:r>
      <w:r w:rsidR="006E05C7" w:rsidRPr="00936188">
        <w:t>used inelastic neutron scattering</w:t>
      </w:r>
      <w:r w:rsidR="00026D15" w:rsidRPr="00936188">
        <w:t xml:space="preserve"> on the MIL-101(Cr) under increasing pressures of hydrogen</w:t>
      </w:r>
      <w:r w:rsidR="00C77E8A" w:rsidRPr="00936188">
        <w:t xml:space="preserve">, </w:t>
      </w:r>
      <w:r w:rsidR="009D53A4">
        <w:t>with</w:t>
      </w:r>
      <w:r w:rsidR="00C77E8A" w:rsidRPr="00936188">
        <w:t xml:space="preserve"> results shown in Fig.3.</w:t>
      </w:r>
    </w:p>
    <w:p w14:paraId="2FAECCF1" w14:textId="77777777" w:rsidR="00FB014F" w:rsidRPr="00936188" w:rsidRDefault="00FB014F" w:rsidP="00226518">
      <w:pPr>
        <w:spacing w:line="360" w:lineRule="auto"/>
        <w:jc w:val="both"/>
      </w:pPr>
    </w:p>
    <w:p w14:paraId="5C2DB905" w14:textId="2F1D2AFF" w:rsidR="006E05C7" w:rsidRPr="00936188" w:rsidRDefault="006F0C39" w:rsidP="006E05C7">
      <w:pPr>
        <w:jc w:val="both"/>
      </w:pPr>
      <w:r>
        <w:rPr>
          <w:noProof/>
          <w:lang w:val="en-SG" w:eastAsia="en-SG"/>
        </w:rPr>
        <mc:AlternateContent>
          <mc:Choice Requires="wpg">
            <w:drawing>
              <wp:anchor distT="0" distB="0" distL="114300" distR="114300" simplePos="0" relativeHeight="251657216" behindDoc="0" locked="0" layoutInCell="1" allowOverlap="1" wp14:anchorId="29C876F0" wp14:editId="73FA1D26">
                <wp:simplePos x="0" y="0"/>
                <wp:positionH relativeFrom="margin">
                  <wp:posOffset>57150</wp:posOffset>
                </wp:positionH>
                <wp:positionV relativeFrom="paragraph">
                  <wp:posOffset>8255</wp:posOffset>
                </wp:positionV>
                <wp:extent cx="3333750" cy="247650"/>
                <wp:effectExtent l="0" t="0" r="0" b="0"/>
                <wp:wrapNone/>
                <wp:docPr id="7" name="Group 7"/>
                <wp:cNvGraphicFramePr/>
                <a:graphic xmlns:a="http://schemas.openxmlformats.org/drawingml/2006/main">
                  <a:graphicData uri="http://schemas.microsoft.com/office/word/2010/wordprocessingGroup">
                    <wpg:wgp>
                      <wpg:cNvGrpSpPr/>
                      <wpg:grpSpPr>
                        <a:xfrm>
                          <a:off x="0" y="0"/>
                          <a:ext cx="3333750" cy="247650"/>
                          <a:chOff x="82550" y="-38100"/>
                          <a:chExt cx="3333750" cy="247650"/>
                        </a:xfrm>
                      </wpg:grpSpPr>
                      <wps:wsp>
                        <wps:cNvPr id="10" name="Text Box 2"/>
                        <wps:cNvSpPr txBox="1">
                          <a:spLocks noChangeArrowheads="1"/>
                        </wps:cNvSpPr>
                        <wps:spPr bwMode="auto">
                          <a:xfrm>
                            <a:off x="82550" y="-19050"/>
                            <a:ext cx="387350" cy="228600"/>
                          </a:xfrm>
                          <a:prstGeom prst="rect">
                            <a:avLst/>
                          </a:prstGeom>
                          <a:solidFill>
                            <a:srgbClr val="FFFFFF"/>
                          </a:solidFill>
                          <a:ln w="9525">
                            <a:noFill/>
                            <a:miter lim="800000"/>
                            <a:headEnd/>
                            <a:tailEnd/>
                          </a:ln>
                        </wps:spPr>
                        <wps:txbx>
                          <w:txbxContent>
                            <w:p w14:paraId="45A14F9F" w14:textId="77777777" w:rsidR="00820935" w:rsidRDefault="00820935" w:rsidP="0063421F">
                              <w:r>
                                <w:t>A)</w:t>
                              </w:r>
                            </w:p>
                          </w:txbxContent>
                        </wps:txbx>
                        <wps:bodyPr rot="0" vert="horz" wrap="square" lIns="91440" tIns="45720" rIns="91440" bIns="45720" anchor="t" anchorCtr="0">
                          <a:noAutofit/>
                        </wps:bodyPr>
                      </wps:wsp>
                      <wps:wsp>
                        <wps:cNvPr id="12" name="Text Box 2"/>
                        <wps:cNvSpPr txBox="1">
                          <a:spLocks noChangeArrowheads="1"/>
                        </wps:cNvSpPr>
                        <wps:spPr bwMode="auto">
                          <a:xfrm>
                            <a:off x="2997200" y="-38100"/>
                            <a:ext cx="419100" cy="241300"/>
                          </a:xfrm>
                          <a:prstGeom prst="rect">
                            <a:avLst/>
                          </a:prstGeom>
                          <a:solidFill>
                            <a:srgbClr val="FFFFFF"/>
                          </a:solidFill>
                          <a:ln w="9525">
                            <a:noFill/>
                            <a:miter lim="800000"/>
                            <a:headEnd/>
                            <a:tailEnd/>
                          </a:ln>
                        </wps:spPr>
                        <wps:txbx>
                          <w:txbxContent>
                            <w:p w14:paraId="1AC320C7" w14:textId="77777777" w:rsidR="00820935" w:rsidRPr="008D4650" w:rsidRDefault="00820935" w:rsidP="0063421F">
                              <w:pPr>
                                <w:rPr>
                                  <w:lang w:val="pt-PT"/>
                                </w:rPr>
                              </w:pPr>
                              <w:r>
                                <w:rPr>
                                  <w:lang w:val="pt-PT"/>
                                </w:rPr>
                                <w:t>B)</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9C876F0" id="Group 7" o:spid="_x0000_s1029" style="position:absolute;left:0;text-align:left;margin-left:4.5pt;margin-top:.65pt;width:262.5pt;height:19.5pt;z-index:251657216;mso-position-horizontal-relative:margin;mso-width-relative:margin;mso-height-relative:margin" coordorigin="825,-381" coordsize="33337,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">
                <v:shape id="_x0000_s1030" type="#_x0000_t202" style="position:absolute;left:825;top:-190;width:387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45A14F9F" w14:textId="77777777" w:rsidR="00820935" w:rsidRDefault="00820935" w:rsidP="0063421F">
                        <w:r>
                          <w:t>A)</w:t>
                        </w:r>
                      </w:p>
                    </w:txbxContent>
                  </v:textbox>
                </v:shape>
                <v:shape id="_x0000_s1031" type="#_x0000_t202" style="position:absolute;left:29972;top:-381;width:4191;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1AC320C7" w14:textId="77777777" w:rsidR="00820935" w:rsidRPr="008D4650" w:rsidRDefault="00820935" w:rsidP="0063421F">
                        <w:pPr>
                          <w:rPr>
                            <w:lang w:val="pt-PT"/>
                          </w:rPr>
                        </w:pPr>
                        <w:r>
                          <w:rPr>
                            <w:lang w:val="pt-PT"/>
                          </w:rPr>
                          <w:t>B)</w:t>
                        </w:r>
                      </w:p>
                    </w:txbxContent>
                  </v:textbox>
                </v:shape>
                <w10:wrap anchorx="margin"/>
              </v:group>
            </w:pict>
          </mc:Fallback>
        </mc:AlternateContent>
      </w:r>
      <w:r w:rsidR="006320BD" w:rsidRPr="006320BD">
        <w:rPr>
          <w:b/>
          <w:bCs/>
          <w:noProof/>
          <w:sz w:val="18"/>
          <w:szCs w:val="18"/>
          <w:lang w:val="en-SG" w:eastAsia="en-SG"/>
        </w:rPr>
        <mc:AlternateContent>
          <mc:Choice Requires="wps">
            <w:drawing>
              <wp:anchor distT="45720" distB="45720" distL="114300" distR="114300" simplePos="0" relativeHeight="251661312" behindDoc="0" locked="0" layoutInCell="1" allowOverlap="1" wp14:anchorId="1C17E4C7" wp14:editId="4851CA1D">
                <wp:simplePos x="0" y="0"/>
                <wp:positionH relativeFrom="column">
                  <wp:posOffset>3067050</wp:posOffset>
                </wp:positionH>
                <wp:positionV relativeFrom="paragraph">
                  <wp:posOffset>2224405</wp:posOffset>
                </wp:positionV>
                <wp:extent cx="342900" cy="279400"/>
                <wp:effectExtent l="0" t="0" r="0" b="63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9400"/>
                        </a:xfrm>
                        <a:prstGeom prst="rect">
                          <a:avLst/>
                        </a:prstGeom>
                        <a:solidFill>
                          <a:srgbClr val="FFFFFF"/>
                        </a:solidFill>
                        <a:ln w="9525">
                          <a:noFill/>
                          <a:miter lim="800000"/>
                          <a:headEnd/>
                          <a:tailEnd/>
                        </a:ln>
                      </wps:spPr>
                      <wps:txbx>
                        <w:txbxContent>
                          <w:p w14:paraId="6FD407BB" w14:textId="49DCD4B0" w:rsidR="00820935" w:rsidRDefault="00820935">
                            <w: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7E4C7" id="Text Box 2" o:spid="_x0000_s1032" type="#_x0000_t202" style="position:absolute;left:0;text-align:left;margin-left:241.5pt;margin-top:175.15pt;width:27pt;height: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" stroked="f">
                <v:textbox>
                  <w:txbxContent>
                    <w:p w14:paraId="6FD407BB" w14:textId="49DCD4B0" w:rsidR="00820935" w:rsidRDefault="00820935">
                      <w:r>
                        <w:t>D)</w:t>
                      </w:r>
                    </w:p>
                  </w:txbxContent>
                </v:textbox>
              </v:shape>
            </w:pict>
          </mc:Fallback>
        </mc:AlternateContent>
      </w:r>
      <w:r w:rsidR="006320BD" w:rsidRPr="006320BD">
        <w:rPr>
          <w:noProof/>
          <w:sz w:val="18"/>
          <w:szCs w:val="18"/>
          <w:vertAlign w:val="superscript"/>
          <w:lang w:val="en-SG" w:eastAsia="en-SG"/>
        </w:rPr>
        <mc:AlternateContent>
          <mc:Choice Requires="wps">
            <w:drawing>
              <wp:anchor distT="45720" distB="45720" distL="114300" distR="114300" simplePos="0" relativeHeight="251659264" behindDoc="0" locked="0" layoutInCell="1" allowOverlap="1" wp14:anchorId="01C56A38" wp14:editId="4ED6016A">
                <wp:simplePos x="0" y="0"/>
                <wp:positionH relativeFrom="margin">
                  <wp:posOffset>107950</wp:posOffset>
                </wp:positionH>
                <wp:positionV relativeFrom="paragraph">
                  <wp:posOffset>2281555</wp:posOffset>
                </wp:positionV>
                <wp:extent cx="387350" cy="254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254000"/>
                        </a:xfrm>
                        <a:prstGeom prst="rect">
                          <a:avLst/>
                        </a:prstGeom>
                        <a:solidFill>
                          <a:srgbClr val="FFFFFF"/>
                        </a:solidFill>
                        <a:ln w="9525">
                          <a:noFill/>
                          <a:miter lim="800000"/>
                          <a:headEnd/>
                          <a:tailEnd/>
                        </a:ln>
                      </wps:spPr>
                      <wps:txbx>
                        <w:txbxContent>
                          <w:p w14:paraId="5048485B" w14:textId="77777777" w:rsidR="00820935" w:rsidRDefault="00820935" w:rsidP="006320BD">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56A38" id="_x0000_s1033" type="#_x0000_t202" style="position:absolute;left:0;text-align:left;margin-left:8.5pt;margin-top:179.65pt;width:30.5pt;height:2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" stroked="f">
                <v:textbox>
                  <w:txbxContent>
                    <w:p w14:paraId="5048485B" w14:textId="77777777" w:rsidR="00820935" w:rsidRDefault="00820935" w:rsidP="006320BD">
                      <w:r>
                        <w:t>C)</w:t>
                      </w:r>
                    </w:p>
                  </w:txbxContent>
                </v:textbox>
                <w10:wrap anchorx="margin"/>
              </v:shape>
            </w:pict>
          </mc:Fallback>
        </mc:AlternateContent>
      </w:r>
      <w:r w:rsidR="0057091E" w:rsidRPr="00936188">
        <w:rPr>
          <w:noProof/>
          <w:lang w:val="en-SG" w:eastAsia="en-SG"/>
        </w:rPr>
        <w:drawing>
          <wp:inline distT="0" distB="0" distL="0" distR="0" wp14:anchorId="12F84DCB" wp14:editId="7AC11F64">
            <wp:extent cx="2897659" cy="234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801" t="1401" r="1890" b="4509"/>
                    <a:stretch/>
                  </pic:blipFill>
                  <pic:spPr bwMode="auto">
                    <a:xfrm>
                      <a:off x="0" y="0"/>
                      <a:ext cx="2897659" cy="2340000"/>
                    </a:xfrm>
                    <a:prstGeom prst="rect">
                      <a:avLst/>
                    </a:prstGeom>
                    <a:noFill/>
                    <a:ln>
                      <a:noFill/>
                    </a:ln>
                    <a:extLst>
                      <a:ext uri="{53640926-AAD7-44D8-BBD7-CCE9431645EC}">
                        <a14:shadowObscured xmlns:a14="http://schemas.microsoft.com/office/drawing/2010/main"/>
                      </a:ext>
                    </a:extLst>
                  </pic:spPr>
                </pic:pic>
              </a:graphicData>
            </a:graphic>
          </wp:inline>
        </w:drawing>
      </w:r>
      <w:r w:rsidR="0057091E" w:rsidRPr="00936188">
        <w:rPr>
          <w:noProof/>
          <w:lang w:val="en-SG" w:eastAsia="en-SG"/>
        </w:rPr>
        <w:drawing>
          <wp:inline distT="0" distB="0" distL="0" distR="0" wp14:anchorId="148C41E8" wp14:editId="6B8F15AA">
            <wp:extent cx="2543783" cy="23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518" t="2241" r="11765" b="4492"/>
                    <a:stretch/>
                  </pic:blipFill>
                  <pic:spPr bwMode="auto">
                    <a:xfrm>
                      <a:off x="0" y="0"/>
                      <a:ext cx="2543783" cy="2340000"/>
                    </a:xfrm>
                    <a:prstGeom prst="rect">
                      <a:avLst/>
                    </a:prstGeom>
                    <a:noFill/>
                    <a:ln>
                      <a:noFill/>
                    </a:ln>
                    <a:extLst>
                      <a:ext uri="{53640926-AAD7-44D8-BBD7-CCE9431645EC}">
                        <a14:shadowObscured xmlns:a14="http://schemas.microsoft.com/office/drawing/2010/main"/>
                      </a:ext>
                    </a:extLst>
                  </pic:spPr>
                </pic:pic>
              </a:graphicData>
            </a:graphic>
          </wp:inline>
        </w:drawing>
      </w:r>
      <w:r w:rsidR="0067243E" w:rsidRPr="00936188">
        <w:rPr>
          <w:noProof/>
          <w:lang w:val="en-SG" w:eastAsia="en-SG"/>
        </w:rPr>
        <w:drawing>
          <wp:inline distT="0" distB="0" distL="0" distR="0" wp14:anchorId="37952513" wp14:editId="5B2DA0BD">
            <wp:extent cx="3251536" cy="216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9244" r="2559" b="6469"/>
                    <a:stretch/>
                  </pic:blipFill>
                  <pic:spPr bwMode="auto">
                    <a:xfrm>
                      <a:off x="0" y="0"/>
                      <a:ext cx="3251536" cy="2160000"/>
                    </a:xfrm>
                    <a:prstGeom prst="rect">
                      <a:avLst/>
                    </a:prstGeom>
                    <a:noFill/>
                    <a:ln>
                      <a:noFill/>
                    </a:ln>
                    <a:extLst>
                      <a:ext uri="{53640926-AAD7-44D8-BBD7-CCE9431645EC}">
                        <a14:shadowObscured xmlns:a14="http://schemas.microsoft.com/office/drawing/2010/main"/>
                      </a:ext>
                    </a:extLst>
                  </pic:spPr>
                </pic:pic>
              </a:graphicData>
            </a:graphic>
          </wp:inline>
        </w:drawing>
      </w:r>
      <w:r w:rsidR="0057091E" w:rsidRPr="00936188">
        <w:rPr>
          <w:noProof/>
          <w:lang w:val="en-SG" w:eastAsia="en-SG"/>
        </w:rPr>
        <w:drawing>
          <wp:inline distT="0" distB="0" distL="0" distR="0" wp14:anchorId="3C9A74E7" wp14:editId="1908AECE">
            <wp:extent cx="2685649" cy="21960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892" t="11482" r="12258" b="5625"/>
                    <a:stretch/>
                  </pic:blipFill>
                  <pic:spPr bwMode="auto">
                    <a:xfrm>
                      <a:off x="0" y="0"/>
                      <a:ext cx="2685649" cy="2196000"/>
                    </a:xfrm>
                    <a:prstGeom prst="rect">
                      <a:avLst/>
                    </a:prstGeom>
                    <a:noFill/>
                    <a:ln>
                      <a:noFill/>
                    </a:ln>
                    <a:extLst>
                      <a:ext uri="{53640926-AAD7-44D8-BBD7-CCE9431645EC}">
                        <a14:shadowObscured xmlns:a14="http://schemas.microsoft.com/office/drawing/2010/main"/>
                      </a:ext>
                    </a:extLst>
                  </pic:spPr>
                </pic:pic>
              </a:graphicData>
            </a:graphic>
          </wp:inline>
        </w:drawing>
      </w:r>
    </w:p>
    <w:p w14:paraId="1E3D431B" w14:textId="04F24BD4" w:rsidR="006E05C7" w:rsidRPr="00936188" w:rsidRDefault="006E05C7" w:rsidP="0067243E">
      <w:pPr>
        <w:rPr>
          <w:b/>
          <w:bCs/>
          <w:sz w:val="18"/>
          <w:szCs w:val="18"/>
        </w:rPr>
      </w:pPr>
      <w:r w:rsidRPr="00936188">
        <w:rPr>
          <w:b/>
          <w:bCs/>
          <w:sz w:val="18"/>
          <w:szCs w:val="18"/>
        </w:rPr>
        <w:t xml:space="preserve">Figure 3 – Inelastic neutron scattering </w:t>
      </w:r>
      <w:r w:rsidR="0067243E" w:rsidRPr="00936188">
        <w:rPr>
          <w:b/>
          <w:bCs/>
          <w:sz w:val="18"/>
          <w:szCs w:val="18"/>
        </w:rPr>
        <w:t xml:space="preserve">(INS) </w:t>
      </w:r>
      <w:r w:rsidRPr="00936188">
        <w:rPr>
          <w:b/>
          <w:bCs/>
          <w:sz w:val="18"/>
          <w:szCs w:val="18"/>
        </w:rPr>
        <w:t xml:space="preserve">done on the MIL-101(Cr) for increasing </w:t>
      </w:r>
      <w:r w:rsidR="0067243E" w:rsidRPr="00936188">
        <w:rPr>
          <w:b/>
          <w:bCs/>
          <w:sz w:val="18"/>
          <w:szCs w:val="18"/>
        </w:rPr>
        <w:t>hydrogen pressures (from 0.016 to 1.505 MPa)</w:t>
      </w:r>
      <w:r w:rsidR="00C77E8A" w:rsidRPr="00936188">
        <w:rPr>
          <w:b/>
          <w:bCs/>
          <w:sz w:val="18"/>
          <w:szCs w:val="18"/>
        </w:rPr>
        <w:t>. A)</w:t>
      </w:r>
      <w:r w:rsidR="0067243E" w:rsidRPr="00936188">
        <w:rPr>
          <w:b/>
          <w:bCs/>
          <w:sz w:val="18"/>
          <w:szCs w:val="18"/>
        </w:rPr>
        <w:t xml:space="preserve"> INS with scaled intensities for different pressures. </w:t>
      </w:r>
      <w:r w:rsidR="00C77E8A" w:rsidRPr="00936188">
        <w:rPr>
          <w:b/>
          <w:bCs/>
          <w:sz w:val="18"/>
          <w:szCs w:val="18"/>
        </w:rPr>
        <w:t xml:space="preserve">B) </w:t>
      </w:r>
      <w:r w:rsidR="0067243E" w:rsidRPr="00936188">
        <w:rPr>
          <w:b/>
          <w:bCs/>
          <w:sz w:val="18"/>
          <w:szCs w:val="18"/>
        </w:rPr>
        <w:t xml:space="preserve">The rotor peak region for solid hydrogen (14.7 </w:t>
      </w:r>
      <w:proofErr w:type="spellStart"/>
      <w:r w:rsidR="0067243E" w:rsidRPr="00936188">
        <w:rPr>
          <w:b/>
          <w:bCs/>
          <w:sz w:val="18"/>
          <w:szCs w:val="18"/>
        </w:rPr>
        <w:t>meV</w:t>
      </w:r>
      <w:proofErr w:type="spellEnd"/>
      <w:r w:rsidR="0067243E" w:rsidRPr="00936188">
        <w:rPr>
          <w:b/>
          <w:bCs/>
          <w:sz w:val="18"/>
          <w:szCs w:val="18"/>
        </w:rPr>
        <w:t xml:space="preserve">). C) The elastic line (-3 to 3 </w:t>
      </w:r>
      <w:proofErr w:type="spellStart"/>
      <w:r w:rsidR="0067243E" w:rsidRPr="00936188">
        <w:rPr>
          <w:b/>
          <w:bCs/>
          <w:sz w:val="18"/>
          <w:szCs w:val="18"/>
        </w:rPr>
        <w:t>meV</w:t>
      </w:r>
      <w:proofErr w:type="spellEnd"/>
      <w:r w:rsidR="0067243E" w:rsidRPr="00936188">
        <w:rPr>
          <w:b/>
          <w:bCs/>
          <w:sz w:val="18"/>
          <w:szCs w:val="18"/>
        </w:rPr>
        <w:t xml:space="preserve">) with the Z-axis as the pressures. D) The elastic line (-3 to 3 </w:t>
      </w:r>
      <w:proofErr w:type="spellStart"/>
      <w:r w:rsidR="0067243E" w:rsidRPr="00936188">
        <w:rPr>
          <w:b/>
          <w:bCs/>
          <w:sz w:val="18"/>
          <w:szCs w:val="18"/>
        </w:rPr>
        <w:t>meV</w:t>
      </w:r>
      <w:proofErr w:type="spellEnd"/>
      <w:r w:rsidR="0067243E" w:rsidRPr="00936188">
        <w:rPr>
          <w:b/>
          <w:bCs/>
          <w:sz w:val="18"/>
          <w:szCs w:val="18"/>
        </w:rPr>
        <w:t>) with the pressures superimposed.</w:t>
      </w:r>
    </w:p>
    <w:p w14:paraId="6F930EBF" w14:textId="2F0D0903" w:rsidR="0067243E" w:rsidRPr="00936188" w:rsidRDefault="0067243E" w:rsidP="0067243E">
      <w:pPr>
        <w:rPr>
          <w:b/>
          <w:bCs/>
          <w:sz w:val="18"/>
          <w:szCs w:val="18"/>
        </w:rPr>
      </w:pPr>
    </w:p>
    <w:p w14:paraId="2642C1A9" w14:textId="6374AC6D" w:rsidR="00327DDF" w:rsidRPr="00936188" w:rsidRDefault="00327DDF" w:rsidP="00CA2534">
      <w:pPr>
        <w:spacing w:line="360" w:lineRule="auto"/>
        <w:jc w:val="both"/>
      </w:pPr>
    </w:p>
    <w:p w14:paraId="3F1C62B4" w14:textId="268D3422" w:rsidR="00327DDF" w:rsidRPr="00936188" w:rsidRDefault="006E05C7" w:rsidP="00CA2534">
      <w:pPr>
        <w:spacing w:line="360" w:lineRule="auto"/>
        <w:jc w:val="both"/>
      </w:pPr>
      <w:r w:rsidRPr="00936188">
        <w:t>In Figure 3</w:t>
      </w:r>
      <w:r w:rsidR="00026D15" w:rsidRPr="00936188">
        <w:t>A</w:t>
      </w:r>
      <w:r w:rsidR="00A23836" w:rsidRPr="00936188">
        <w:t xml:space="preserve"> and 3B</w:t>
      </w:r>
      <w:r w:rsidRPr="00936188">
        <w:t xml:space="preserve">, there is no clear rotor line </w:t>
      </w:r>
      <w:r w:rsidR="00C77E8A" w:rsidRPr="00936188">
        <w:t xml:space="preserve">at 14.7 </w:t>
      </w:r>
      <w:proofErr w:type="spellStart"/>
      <w:r w:rsidR="00C77E8A" w:rsidRPr="00936188">
        <w:t>meV</w:t>
      </w:r>
      <w:proofErr w:type="spellEnd"/>
      <w:r w:rsidR="00C77E8A" w:rsidRPr="00936188">
        <w:t xml:space="preserve">, which was used previously to indicate the presence of solid-like hydrogen. </w:t>
      </w:r>
      <w:r w:rsidR="00026D15" w:rsidRPr="00936188">
        <w:t xml:space="preserve">The presence of the peak at 14.7 </w:t>
      </w:r>
      <w:proofErr w:type="spellStart"/>
      <w:r w:rsidR="00026D15" w:rsidRPr="00936188">
        <w:t>meV</w:t>
      </w:r>
      <w:proofErr w:type="spellEnd"/>
      <w:r w:rsidR="00026D15" w:rsidRPr="00936188">
        <w:t xml:space="preserve"> is taken as a fingerprint for solid hydrogen</w:t>
      </w:r>
      <w:r w:rsidR="00F5468C">
        <w:t xml:space="preserve"> </w:t>
      </w:r>
      <w:r w:rsidR="00B850BD">
        <w:rPr>
          <w:noProof/>
        </w:rPr>
        <w:t>[40, 41]</w:t>
      </w:r>
      <w:r w:rsidR="00F50248" w:rsidRPr="00936188">
        <w:t xml:space="preserve">. The fact that no peak is observed for the MIL-101(Cr) </w:t>
      </w:r>
      <w:r w:rsidR="00026D15" w:rsidRPr="00936188">
        <w:t xml:space="preserve">at any pressure </w:t>
      </w:r>
      <w:r w:rsidR="00F50248" w:rsidRPr="00936188">
        <w:t xml:space="preserve">indicates that there is no solid-like hydrogen </w:t>
      </w:r>
      <w:r w:rsidR="00026D15" w:rsidRPr="00936188">
        <w:t>forming in the pores of MIL-101(Cr) at the conditions of the experiment (77 K and pressures up to 3 MPa</w:t>
      </w:r>
      <w:r w:rsidR="005F1CD2">
        <w:t>)</w:t>
      </w:r>
      <w:r w:rsidR="00026D15" w:rsidRPr="00936188">
        <w:t>.</w:t>
      </w:r>
      <w:r w:rsidR="00F50248" w:rsidRPr="00936188">
        <w:t xml:space="preserve"> </w:t>
      </w:r>
      <w:r w:rsidR="00CA2534" w:rsidRPr="00936188">
        <w:t xml:space="preserve">In addition to the lack of the 14.7 </w:t>
      </w:r>
      <w:proofErr w:type="spellStart"/>
      <w:r w:rsidR="00CA2534" w:rsidRPr="00936188">
        <w:t>meV</w:t>
      </w:r>
      <w:proofErr w:type="spellEnd"/>
      <w:r w:rsidR="00CA2534" w:rsidRPr="00936188">
        <w:t xml:space="preserve"> peak, there is also no change in the elastic line with increased pressure (Fig 3</w:t>
      </w:r>
      <w:r w:rsidR="00FB014F">
        <w:t>C and 3D</w:t>
      </w:r>
      <w:r w:rsidR="00CA2534" w:rsidRPr="00936188">
        <w:t xml:space="preserve">), which also indicates </w:t>
      </w:r>
      <w:r w:rsidR="00651A37" w:rsidRPr="00936188">
        <w:t xml:space="preserve">that there are no higher density phases </w:t>
      </w:r>
      <w:r w:rsidR="00327DDF" w:rsidRPr="00936188">
        <w:t xml:space="preserve">that approach </w:t>
      </w:r>
      <w:r w:rsidR="00651A37" w:rsidRPr="00936188">
        <w:t>liquid or solid</w:t>
      </w:r>
      <w:r w:rsidR="00327DDF" w:rsidRPr="00936188">
        <w:t>-like</w:t>
      </w:r>
      <w:r w:rsidR="00651A37" w:rsidRPr="00936188">
        <w:t xml:space="preserve"> hydrogen</w:t>
      </w:r>
      <w:r w:rsidR="00CA2534" w:rsidRPr="00936188">
        <w:t xml:space="preserve">. </w:t>
      </w:r>
    </w:p>
    <w:p w14:paraId="02347A17" w14:textId="77777777" w:rsidR="00327DDF" w:rsidRPr="00936188" w:rsidRDefault="00327DDF" w:rsidP="00CA2534">
      <w:pPr>
        <w:spacing w:line="360" w:lineRule="auto"/>
        <w:jc w:val="both"/>
      </w:pPr>
    </w:p>
    <w:p w14:paraId="6287DB25" w14:textId="7C5DC4C7" w:rsidR="006E05C7" w:rsidRPr="00936188" w:rsidRDefault="00F50248" w:rsidP="00CA2534">
      <w:pPr>
        <w:spacing w:line="360" w:lineRule="auto"/>
        <w:jc w:val="both"/>
        <w:rPr>
          <w:rFonts w:cs="Arial"/>
        </w:rPr>
      </w:pPr>
      <w:r w:rsidRPr="00936188">
        <w:t xml:space="preserve">This, together with the results from the modelling of the experimental isotherms that show lower adsorbed hydrogen densities, </w:t>
      </w:r>
      <w:r w:rsidR="00CB379D" w:rsidRPr="00936188">
        <w:t xml:space="preserve">indicate that a different mechanism for hydrogen densification to the one seen in </w:t>
      </w:r>
      <w:r w:rsidR="00A7457A">
        <w:t xml:space="preserve">the microporous carbons </w:t>
      </w:r>
      <w:r w:rsidR="00CB379D" w:rsidRPr="00936188">
        <w:t>must be taking place here</w:t>
      </w:r>
      <w:r w:rsidRPr="00936188">
        <w:t>, or at least an adsorbed phase density that is not as highly densified as the one</w:t>
      </w:r>
      <w:r w:rsidR="00A7457A">
        <w:t>s</w:t>
      </w:r>
      <w:r w:rsidRPr="00936188">
        <w:t xml:space="preserve"> </w:t>
      </w:r>
      <w:r w:rsidR="00A7457A">
        <w:t>in the carbon studies</w:t>
      </w:r>
      <w:r w:rsidRPr="00936188">
        <w:t xml:space="preserve">. </w:t>
      </w:r>
      <w:r w:rsidR="00CA2534" w:rsidRPr="00936188">
        <w:rPr>
          <w:rFonts w:cs="Arial"/>
        </w:rPr>
        <w:t>It should be important to note the differences between the TE7 and the MIL-101(Cr). The TE7 has a narrow pore size distribution and a chemically homogenous</w:t>
      </w:r>
      <w:r w:rsidR="00D84FC6">
        <w:rPr>
          <w:rFonts w:cs="Arial"/>
        </w:rPr>
        <w:t xml:space="preserve"> carbon</w:t>
      </w:r>
      <w:r w:rsidR="00CA2534" w:rsidRPr="00936188">
        <w:rPr>
          <w:rFonts w:cs="Arial"/>
        </w:rPr>
        <w:t xml:space="preserve"> surface with a slit pore geometry</w:t>
      </w:r>
      <w:r w:rsidR="001D631C">
        <w:rPr>
          <w:rFonts w:cs="Arial"/>
        </w:rPr>
        <w:t xml:space="preserve"> </w:t>
      </w:r>
      <w:r w:rsidR="00B850BD">
        <w:rPr>
          <w:rFonts w:cs="Arial"/>
          <w:noProof/>
        </w:rPr>
        <w:t>[14, 42]</w:t>
      </w:r>
      <w:r w:rsidR="00CA2534" w:rsidRPr="00936188">
        <w:rPr>
          <w:rFonts w:cs="Arial"/>
        </w:rPr>
        <w:t>. The MIL-101(Cr) has a trimodal pore size (</w:t>
      </w:r>
      <w:r w:rsidR="00A8634F">
        <w:rPr>
          <w:rFonts w:cs="Arial"/>
        </w:rPr>
        <w:t>0.</w:t>
      </w:r>
      <w:r w:rsidR="00CA2534" w:rsidRPr="00936188">
        <w:rPr>
          <w:rFonts w:cs="Arial"/>
        </w:rPr>
        <w:t>7, 2</w:t>
      </w:r>
      <w:r w:rsidR="00A8634F">
        <w:rPr>
          <w:rFonts w:cs="Arial"/>
        </w:rPr>
        <w:t>.</w:t>
      </w:r>
      <w:r w:rsidR="00CA2534" w:rsidRPr="00936188">
        <w:rPr>
          <w:rFonts w:cs="Arial"/>
        </w:rPr>
        <w:t>9 and 3</w:t>
      </w:r>
      <w:r w:rsidR="00A8634F">
        <w:rPr>
          <w:rFonts w:cs="Arial"/>
        </w:rPr>
        <w:t>.</w:t>
      </w:r>
      <w:r w:rsidR="00CA2534" w:rsidRPr="00936188">
        <w:rPr>
          <w:rFonts w:cs="Arial"/>
        </w:rPr>
        <w:t xml:space="preserve">4 </w:t>
      </w:r>
      <w:r w:rsidR="00A8634F">
        <w:rPr>
          <w:rFonts w:cs="Arial"/>
        </w:rPr>
        <w:t>nm</w:t>
      </w:r>
      <w:r w:rsidR="00CA2534" w:rsidRPr="00936188">
        <w:rPr>
          <w:rFonts w:cs="Arial"/>
        </w:rPr>
        <w:t>) and a chemical heterogeneous surface</w:t>
      </w:r>
      <w:r w:rsidR="00CB379D" w:rsidRPr="00936188">
        <w:rPr>
          <w:rFonts w:cs="Arial"/>
        </w:rPr>
        <w:t xml:space="preserve"> </w:t>
      </w:r>
      <w:r w:rsidR="0068648A">
        <w:rPr>
          <w:rFonts w:cs="Arial"/>
          <w:noProof/>
        </w:rPr>
        <w:t>[24]</w:t>
      </w:r>
      <w:r w:rsidR="001A728D">
        <w:rPr>
          <w:rFonts w:cs="Arial"/>
          <w:noProof/>
        </w:rPr>
        <w:t xml:space="preserve">. </w:t>
      </w:r>
      <w:r w:rsidRPr="00936188">
        <w:t xml:space="preserve">Different explanations could be provided for </w:t>
      </w:r>
      <w:r w:rsidR="00CA2534" w:rsidRPr="00936188">
        <w:t>the differences seen in hydrogen densification</w:t>
      </w:r>
      <w:r w:rsidRPr="00936188">
        <w:t>, including the heterogeneity of the adsorption sites of the MIL-101</w:t>
      </w:r>
      <w:r w:rsidR="003125CB">
        <w:t>(Cr)</w:t>
      </w:r>
      <w:r w:rsidRPr="00936188">
        <w:t xml:space="preserve">, or a non-ideal pore size or shape for hydrogen adsorption. </w:t>
      </w:r>
      <w:r w:rsidR="00857FBD" w:rsidRPr="00936188">
        <w:t xml:space="preserve">For carbons, it has been shown that a pore size of </w:t>
      </w:r>
      <w:r w:rsidR="00A8634F">
        <w:t>0.</w:t>
      </w:r>
      <w:r w:rsidR="00857FBD" w:rsidRPr="00936188">
        <w:t xml:space="preserve">7 </w:t>
      </w:r>
      <w:r w:rsidR="00A8634F">
        <w:rPr>
          <w:rFonts w:cs="Arial"/>
        </w:rPr>
        <w:t>nm</w:t>
      </w:r>
      <w:r w:rsidR="00857FBD" w:rsidRPr="00936188">
        <w:rPr>
          <w:rFonts w:cs="Arial"/>
        </w:rPr>
        <w:t>, which is the size of the small cage in the MIL-101(Cr), would result in very high densities of adsorbed hydrogen (</w:t>
      </w:r>
      <w:r w:rsidR="00AB1C6F" w:rsidRPr="00936188">
        <w:rPr>
          <w:rFonts w:cs="Arial"/>
        </w:rPr>
        <w:t>~</w:t>
      </w:r>
      <w:r w:rsidR="00857FBD" w:rsidRPr="00936188">
        <w:rPr>
          <w:rFonts w:cs="Arial"/>
        </w:rPr>
        <w:t xml:space="preserve"> 1</w:t>
      </w:r>
      <w:r w:rsidR="00AB1C6F" w:rsidRPr="00936188">
        <w:rPr>
          <w:rFonts w:cs="Arial"/>
        </w:rPr>
        <w:t>2</w:t>
      </w:r>
      <w:r w:rsidR="00857FBD" w:rsidRPr="00936188">
        <w:rPr>
          <w:rFonts w:cs="Arial"/>
        </w:rPr>
        <w:t>0 kg m</w:t>
      </w:r>
      <w:r w:rsidR="00857FBD" w:rsidRPr="00936188">
        <w:rPr>
          <w:rFonts w:cs="Arial"/>
          <w:vertAlign w:val="superscript"/>
        </w:rPr>
        <w:t>-3</w:t>
      </w:r>
      <w:r w:rsidR="00857FBD" w:rsidRPr="00936188">
        <w:rPr>
          <w:rFonts w:cs="Arial"/>
        </w:rPr>
        <w:t>) at 10 MPa, even at 300 K</w:t>
      </w:r>
      <w:r w:rsidR="00E827E7">
        <w:rPr>
          <w:rFonts w:cs="Arial"/>
        </w:rPr>
        <w:t xml:space="preserve"> </w:t>
      </w:r>
      <w:r w:rsidR="00B850BD">
        <w:rPr>
          <w:rFonts w:cs="Arial"/>
          <w:noProof/>
        </w:rPr>
        <w:t>[43]</w:t>
      </w:r>
      <w:r w:rsidR="00857FBD" w:rsidRPr="00936188">
        <w:rPr>
          <w:rFonts w:cs="Arial"/>
        </w:rPr>
        <w:t xml:space="preserve">. </w:t>
      </w:r>
      <w:r w:rsidRPr="00936188">
        <w:t xml:space="preserve">The inelastic neutron scattering results, together with the empirical modelling and the computer simulations, all indicate that </w:t>
      </w:r>
      <w:r w:rsidR="00651A37" w:rsidRPr="00936188">
        <w:t xml:space="preserve">there is no </w:t>
      </w:r>
      <w:r w:rsidR="00097C8B">
        <w:t xml:space="preserve">significant </w:t>
      </w:r>
      <w:r w:rsidR="00651A37" w:rsidRPr="00936188">
        <w:t>formation of a</w:t>
      </w:r>
      <w:r w:rsidRPr="00936188">
        <w:t xml:space="preserve"> solid-like hydrogen density in the MIL-101(Cr) at these temperatures and pressure</w:t>
      </w:r>
      <w:r w:rsidR="00CA2534" w:rsidRPr="00936188">
        <w:t>s</w:t>
      </w:r>
      <w:r w:rsidR="00813D70" w:rsidRPr="00936188">
        <w:t>. It is interesting to note that, despite having higher hydrogen uptakes than the TE7</w:t>
      </w:r>
      <w:r w:rsidR="00CA2534" w:rsidRPr="00936188">
        <w:t xml:space="preserve"> at most conditions of pressure and temperature</w:t>
      </w:r>
      <w:r w:rsidR="00813D70" w:rsidRPr="00936188">
        <w:t xml:space="preserve">, </w:t>
      </w:r>
      <w:r w:rsidR="00CA2534" w:rsidRPr="00936188">
        <w:t xml:space="preserve">these results </w:t>
      </w:r>
      <w:r w:rsidR="00813D70" w:rsidRPr="00936188">
        <w:t xml:space="preserve">indicate that the density of the adsorbed hydrogen is smaller for the MIL-101(Cr). The fact that the elastic line </w:t>
      </w:r>
      <w:r w:rsidR="00841BB7">
        <w:t>retains</w:t>
      </w:r>
      <w:r w:rsidR="00813D70" w:rsidRPr="00936188">
        <w:t xml:space="preserve"> the same </w:t>
      </w:r>
      <w:r w:rsidR="00097C8B">
        <w:t>full width at half maximum (FWHM)</w:t>
      </w:r>
      <w:r w:rsidR="00097C8B" w:rsidRPr="00936188">
        <w:t xml:space="preserve"> </w:t>
      </w:r>
      <w:r w:rsidR="00813D70" w:rsidRPr="00936188">
        <w:t xml:space="preserve">at </w:t>
      </w:r>
      <w:r w:rsidR="00CA2534" w:rsidRPr="00936188">
        <w:t>different</w:t>
      </w:r>
      <w:r w:rsidR="00813D70" w:rsidRPr="00936188">
        <w:t xml:space="preserve"> pressures</w:t>
      </w:r>
      <w:r w:rsidR="00264122">
        <w:t xml:space="preserve"> and that this approaches the instrument’s resolution (~0.3 </w:t>
      </w:r>
      <w:proofErr w:type="spellStart"/>
      <w:r w:rsidR="00264122">
        <w:t>meV</w:t>
      </w:r>
      <w:proofErr w:type="spellEnd"/>
      <w:r w:rsidR="00264122">
        <w:t>)</w:t>
      </w:r>
      <w:r w:rsidR="00813D70" w:rsidRPr="00936188">
        <w:t xml:space="preserve"> suggests </w:t>
      </w:r>
      <w:r w:rsidR="00D84FC6">
        <w:t>an</w:t>
      </w:r>
      <w:r w:rsidR="00097C8B">
        <w:t xml:space="preserve"> </w:t>
      </w:r>
      <w:r w:rsidR="00D84FC6">
        <w:t>in</w:t>
      </w:r>
      <w:r w:rsidR="00097C8B">
        <w:t>significant proportion of the adsorbed hydrogen in</w:t>
      </w:r>
      <w:r w:rsidR="00651A37" w:rsidRPr="00936188">
        <w:t xml:space="preserve"> a higher density hydrogen phase</w:t>
      </w:r>
      <w:r w:rsidR="00813D70" w:rsidRPr="00936188">
        <w:t xml:space="preserve"> with increasing pressures</w:t>
      </w:r>
      <w:r w:rsidR="00D0363A">
        <w:t xml:space="preserve"> </w:t>
      </w:r>
      <w:r w:rsidR="00D0363A">
        <w:rPr>
          <w:noProof/>
        </w:rPr>
        <w:t>[14]</w:t>
      </w:r>
      <w:r w:rsidR="00813D70" w:rsidRPr="00936188">
        <w:t xml:space="preserve">. What </w:t>
      </w:r>
      <w:r w:rsidR="00CA2534" w:rsidRPr="00936188">
        <w:t>we postulate happens for the MIL-101(Cr)</w:t>
      </w:r>
      <w:r w:rsidR="00813D70" w:rsidRPr="00936188">
        <w:t xml:space="preserve"> is that the hydrogen is adsorbed at higher densities in the pores of MIL-101(Cr), probably at densities </w:t>
      </w:r>
      <w:r w:rsidR="00651A37" w:rsidRPr="00936188">
        <w:t>close to what our modelling suggests (</w:t>
      </w:r>
      <w:r w:rsidR="00913771">
        <w:t>~</w:t>
      </w:r>
      <w:r w:rsidR="00651A37" w:rsidRPr="00936188">
        <w:t>72 kg m</w:t>
      </w:r>
      <w:r w:rsidR="00651A37" w:rsidRPr="00936188">
        <w:rPr>
          <w:vertAlign w:val="superscript"/>
        </w:rPr>
        <w:t>-3</w:t>
      </w:r>
      <w:r w:rsidR="00651A37" w:rsidRPr="00936188">
        <w:t>)</w:t>
      </w:r>
      <w:r w:rsidR="00CA2534" w:rsidRPr="00936188">
        <w:t xml:space="preserve"> as there is no </w:t>
      </w:r>
      <w:r w:rsidR="00813D70" w:rsidRPr="00936188">
        <w:t>solid-like</w:t>
      </w:r>
      <w:r w:rsidR="00CA2534" w:rsidRPr="00936188">
        <w:t xml:space="preserve"> hydrogen</w:t>
      </w:r>
      <w:r w:rsidR="00813D70" w:rsidRPr="00936188">
        <w:t xml:space="preserve"> rotor peak</w:t>
      </w:r>
      <w:r w:rsidR="00651A37" w:rsidRPr="00936188">
        <w:t xml:space="preserve"> or change in the elastic line</w:t>
      </w:r>
      <w:r w:rsidR="00813D70" w:rsidRPr="00936188">
        <w:t xml:space="preserve">. With increasing pressures and increasing amounts adsorbed, </w:t>
      </w:r>
      <w:r w:rsidR="00CA2534" w:rsidRPr="00936188">
        <w:t>the</w:t>
      </w:r>
      <w:r w:rsidR="00813D70" w:rsidRPr="00936188">
        <w:t xml:space="preserve"> density </w:t>
      </w:r>
      <w:r w:rsidR="00CA2534" w:rsidRPr="00936188">
        <w:t xml:space="preserve">of adsorbed hydrogen </w:t>
      </w:r>
      <w:r w:rsidR="00813D70" w:rsidRPr="00936188">
        <w:t>remains stable</w:t>
      </w:r>
      <w:r w:rsidR="003C0141" w:rsidRPr="00936188">
        <w:t xml:space="preserve"> (as the</w:t>
      </w:r>
      <w:r w:rsidR="00913771">
        <w:t xml:space="preserve"> </w:t>
      </w:r>
      <w:r w:rsidR="00913771">
        <w:lastRenderedPageBreak/>
        <w:t>FWHM of the</w:t>
      </w:r>
      <w:r w:rsidR="003C0141" w:rsidRPr="00936188">
        <w:t xml:space="preserve"> elastic line remains unaltered with increasing pressure)</w:t>
      </w:r>
      <w:r w:rsidR="00CA2534" w:rsidRPr="00936188">
        <w:t xml:space="preserve">, </w:t>
      </w:r>
      <w:r w:rsidR="00813D70" w:rsidRPr="00936188">
        <w:t xml:space="preserve">but the volume of adsorbed hydrogen increases in the pore. </w:t>
      </w:r>
      <w:r w:rsidR="00651A37" w:rsidRPr="00936188">
        <w:t>T</w:t>
      </w:r>
      <w:r w:rsidR="00894F6B" w:rsidRPr="00936188">
        <w:t>he results also show</w:t>
      </w:r>
      <w:r w:rsidR="00651A37" w:rsidRPr="00936188">
        <w:t xml:space="preserve"> </w:t>
      </w:r>
      <w:r w:rsidR="00894F6B" w:rsidRPr="00936188">
        <w:t>that there is an optimum pore size for higher adsorbed hydrogen densities</w:t>
      </w:r>
      <w:r w:rsidR="00CA2534" w:rsidRPr="00936188">
        <w:t>, as the</w:t>
      </w:r>
      <w:r w:rsidR="00651A37" w:rsidRPr="00936188">
        <w:t xml:space="preserve"> smallest pores in MIL-101(Cr) are 0.7 nm, and there is no solid-like formation, which suggests that smaller pores are needed for higher density phases. </w:t>
      </w:r>
      <w:r w:rsidR="00CA2534" w:rsidRPr="00936188">
        <w:t>As suggested in the literature</w:t>
      </w:r>
      <w:r w:rsidR="00453ADA">
        <w:t xml:space="preserve"> </w:t>
      </w:r>
      <w:r w:rsidR="00453ADA">
        <w:rPr>
          <w:noProof/>
        </w:rPr>
        <w:t>[10-12]</w:t>
      </w:r>
      <w:r w:rsidR="00CA2534" w:rsidRPr="00936188">
        <w:t xml:space="preserve">, it seems that pores in the </w:t>
      </w:r>
      <w:proofErr w:type="spellStart"/>
      <w:r w:rsidR="00CA2534" w:rsidRPr="00936188">
        <w:t>ultramicroporous</w:t>
      </w:r>
      <w:proofErr w:type="spellEnd"/>
      <w:r w:rsidR="00CA2534" w:rsidRPr="00936188">
        <w:t xml:space="preserve"> range (&lt; 0.7 nm) </w:t>
      </w:r>
      <w:r w:rsidR="00913771">
        <w:t>are</w:t>
      </w:r>
      <w:r w:rsidR="00CA2534" w:rsidRPr="00936188">
        <w:t xml:space="preserve"> the ones contributing the most to the higher density phases of adsorbed hydrogen. </w:t>
      </w:r>
    </w:p>
    <w:p w14:paraId="78BB8D55" w14:textId="1682F1D3" w:rsidR="00241418" w:rsidRPr="00936188" w:rsidRDefault="00241418" w:rsidP="00226518">
      <w:pPr>
        <w:spacing w:line="360" w:lineRule="auto"/>
        <w:jc w:val="both"/>
      </w:pPr>
    </w:p>
    <w:p w14:paraId="3883D8FC" w14:textId="6E906795" w:rsidR="002A3EAC" w:rsidRPr="00936188" w:rsidRDefault="003C0141" w:rsidP="00226518">
      <w:pPr>
        <w:spacing w:line="360" w:lineRule="auto"/>
        <w:jc w:val="both"/>
      </w:pPr>
      <w:r w:rsidRPr="00936188">
        <w:t>Along with adsorbed densit</w:t>
      </w:r>
      <w:r w:rsidR="00D84FC6">
        <w:t>y</w:t>
      </w:r>
      <w:r w:rsidR="00C03BAE" w:rsidRPr="00936188">
        <w:t xml:space="preserve">, </w:t>
      </w:r>
      <w:r w:rsidRPr="00936188">
        <w:t>the enthalp</w:t>
      </w:r>
      <w:r w:rsidR="00D84FC6">
        <w:t>y</w:t>
      </w:r>
      <w:r w:rsidRPr="00936188">
        <w:t xml:space="preserve"> of adsorption </w:t>
      </w:r>
      <w:r w:rsidR="00D84FC6">
        <w:t>is</w:t>
      </w:r>
      <w:r w:rsidRPr="00936188">
        <w:t xml:space="preserve"> a</w:t>
      </w:r>
      <w:r w:rsidR="00D84FC6">
        <w:t>n</w:t>
      </w:r>
      <w:r w:rsidRPr="00936188">
        <w:t xml:space="preserve"> important </w:t>
      </w:r>
      <w:r w:rsidR="00D84FC6">
        <w:t xml:space="preserve">factor </w:t>
      </w:r>
      <w:r w:rsidRPr="00936188">
        <w:t xml:space="preserve">when evaluating </w:t>
      </w:r>
      <w:r w:rsidR="00D84FC6">
        <w:t>H</w:t>
      </w:r>
      <w:r w:rsidR="00D84FC6" w:rsidRPr="009C2FCB">
        <w:rPr>
          <w:vertAlign w:val="subscript"/>
        </w:rPr>
        <w:t>2</w:t>
      </w:r>
      <w:r w:rsidR="00D84FC6" w:rsidRPr="00936188">
        <w:t xml:space="preserve"> </w:t>
      </w:r>
      <w:r w:rsidRPr="00936188">
        <w:t>storage materials</w:t>
      </w:r>
      <w:r w:rsidR="00D84FC6">
        <w:t>. Ho</w:t>
      </w:r>
      <w:r w:rsidR="009C2FCB">
        <w:t>w</w:t>
      </w:r>
      <w:r w:rsidR="00D84FC6">
        <w:t xml:space="preserve">ever, </w:t>
      </w:r>
      <w:r w:rsidRPr="00936188">
        <w:t xml:space="preserve">determining these appropriately can be </w:t>
      </w:r>
      <w:r w:rsidR="00312580">
        <w:t>challenging</w:t>
      </w:r>
      <w:r w:rsidRPr="00936188">
        <w:t xml:space="preserve">, as noted in the introduction. </w:t>
      </w:r>
      <w:r w:rsidR="00C03BAE" w:rsidRPr="00936188">
        <w:t xml:space="preserve">There are different methods to estimate </w:t>
      </w:r>
      <w:r w:rsidRPr="00936188">
        <w:t>enthalpies of adsorption</w:t>
      </w:r>
      <w:r w:rsidR="00C03BAE" w:rsidRPr="00936188">
        <w:t>, including calorimetry, temperature programmed desorption or the isosteric method. The isosteric method relies on adsorption isotherms measured at different temperatures, which are then evaluated at constant amounts adsorbed by applying the Clausius-Clapeyron equation</w:t>
      </w:r>
      <w:r w:rsidR="00AA3CC2" w:rsidRPr="00936188">
        <w:t xml:space="preserve">. The Clausius-Clapeyron equation is derived from the exact thermodynamic equation for phase changes, which is the Clapeyron equation </w:t>
      </w:r>
      <w:r w:rsidR="00C03BAE" w:rsidRPr="00936188">
        <w:t>(Eq.</w:t>
      </w:r>
      <w:r w:rsidR="00E032FC">
        <w:t>5</w:t>
      </w:r>
      <w:r w:rsidR="00C03BAE" w:rsidRPr="00936188">
        <w:t>):</w:t>
      </w:r>
    </w:p>
    <w:p w14:paraId="0F4BA1BF" w14:textId="6388CB97" w:rsidR="00C03BAE" w:rsidRPr="00936188" w:rsidRDefault="00C03BAE" w:rsidP="00226518">
      <w:pPr>
        <w:spacing w:line="360" w:lineRule="auto"/>
        <w:jc w:val="both"/>
      </w:pPr>
    </w:p>
    <w:p w14:paraId="60CD3D28" w14:textId="1BE137D2" w:rsidR="00AA3CC2" w:rsidRPr="00936188" w:rsidRDefault="009619E0" w:rsidP="00AA3CC2">
      <w:pPr>
        <w:pStyle w:val="equation"/>
        <w:rPr>
          <w:rFonts w:ascii="Arial" w:hAnsi="Arial" w:cs="Arial"/>
        </w:rPr>
      </w:pPr>
      <m:oMath>
        <m:sSub>
          <m:sSubPr>
            <m:ctrlPr>
              <w:rPr>
                <w:rFonts w:ascii="Cambria Math" w:hAnsi="Cambria Math" w:cs="Arial"/>
                <w:i/>
                <w:sz w:val="32"/>
                <w:szCs w:val="32"/>
                <w:lang w:eastAsia="de-DE"/>
              </w:rPr>
            </m:ctrlPr>
          </m:sSubPr>
          <m:e>
            <m:d>
              <m:dPr>
                <m:ctrlPr>
                  <w:rPr>
                    <w:rFonts w:ascii="Cambria Math" w:hAnsi="Cambria Math" w:cs="Arial"/>
                    <w:i/>
                    <w:sz w:val="32"/>
                    <w:szCs w:val="32"/>
                    <w:lang w:eastAsia="de-DE"/>
                  </w:rPr>
                </m:ctrlPr>
              </m:dPr>
              <m:e>
                <m:f>
                  <m:fPr>
                    <m:ctrlPr>
                      <w:rPr>
                        <w:rFonts w:ascii="Cambria Math" w:hAnsi="Cambria Math" w:cs="Arial"/>
                        <w:i/>
                        <w:sz w:val="32"/>
                        <w:szCs w:val="32"/>
                        <w:lang w:eastAsia="de-DE"/>
                      </w:rPr>
                    </m:ctrlPr>
                  </m:fPr>
                  <m:num>
                    <m:r>
                      <w:rPr>
                        <w:rFonts w:ascii="Cambria Math" w:hAnsi="Cambria Math" w:cs="Arial"/>
                        <w:sz w:val="32"/>
                        <w:szCs w:val="32"/>
                        <w:lang w:eastAsia="de-DE"/>
                      </w:rPr>
                      <m:t>dP</m:t>
                    </m:r>
                  </m:num>
                  <m:den>
                    <m:r>
                      <w:rPr>
                        <w:rFonts w:ascii="Cambria Math" w:hAnsi="Cambria Math" w:cs="Arial"/>
                        <w:sz w:val="32"/>
                        <w:szCs w:val="32"/>
                        <w:lang w:eastAsia="de-DE"/>
                      </w:rPr>
                      <m:t>dT</m:t>
                    </m:r>
                  </m:den>
                </m:f>
              </m:e>
            </m:d>
          </m:e>
          <m:sub>
            <m:sSub>
              <m:sSubPr>
                <m:ctrlPr>
                  <w:rPr>
                    <w:rFonts w:ascii="Cambria Math" w:hAnsi="Cambria Math" w:cs="Arial"/>
                    <w:i/>
                    <w:sz w:val="32"/>
                    <w:szCs w:val="32"/>
                    <w:lang w:eastAsia="de-DE"/>
                  </w:rPr>
                </m:ctrlPr>
              </m:sSubPr>
              <m:e>
                <m:r>
                  <w:rPr>
                    <w:rFonts w:ascii="Cambria Math" w:hAnsi="Cambria Math" w:cs="Arial"/>
                    <w:sz w:val="32"/>
                    <w:szCs w:val="32"/>
                    <w:lang w:eastAsia="de-DE"/>
                  </w:rPr>
                  <m:t>n</m:t>
                </m:r>
              </m:e>
              <m:sub>
                <m:r>
                  <w:rPr>
                    <w:rFonts w:ascii="Cambria Math" w:hAnsi="Cambria Math" w:cs="Arial"/>
                    <w:sz w:val="32"/>
                    <w:szCs w:val="32"/>
                    <w:lang w:eastAsia="de-DE"/>
                  </w:rPr>
                  <m:t>a</m:t>
                </m:r>
              </m:sub>
            </m:sSub>
          </m:sub>
        </m:sSub>
        <m:r>
          <w:rPr>
            <w:rFonts w:ascii="Cambria Math" w:hAnsi="Cambria Math" w:cs="Arial"/>
            <w:sz w:val="32"/>
            <w:szCs w:val="32"/>
            <w:lang w:eastAsia="de-DE"/>
          </w:rPr>
          <m:t>=</m:t>
        </m:r>
        <m:f>
          <m:fPr>
            <m:ctrlPr>
              <w:rPr>
                <w:rFonts w:ascii="Cambria Math" w:hAnsi="Cambria Math" w:cs="Arial"/>
                <w:i/>
                <w:sz w:val="32"/>
                <w:szCs w:val="32"/>
                <w:lang w:eastAsia="de-DE"/>
              </w:rPr>
            </m:ctrlPr>
          </m:fPr>
          <m:num>
            <m:r>
              <w:rPr>
                <w:rFonts w:ascii="Cambria Math" w:hAnsi="Cambria Math" w:cs="Arial"/>
                <w:sz w:val="32"/>
                <w:szCs w:val="32"/>
                <w:lang w:eastAsia="de-DE"/>
              </w:rPr>
              <m:t>ΔS</m:t>
            </m:r>
          </m:num>
          <m:den>
            <m:r>
              <w:rPr>
                <w:rFonts w:ascii="Cambria Math" w:hAnsi="Cambria Math" w:cs="Arial"/>
                <w:sz w:val="32"/>
                <w:szCs w:val="32"/>
                <w:lang w:eastAsia="de-DE"/>
              </w:rPr>
              <m:t>Δv</m:t>
            </m:r>
          </m:den>
        </m:f>
      </m:oMath>
      <w:r w:rsidR="00AA3CC2" w:rsidRPr="00936188">
        <w:rPr>
          <w:rFonts w:ascii="Arial" w:hAnsi="Arial" w:cs="Arial"/>
          <w:lang w:eastAsia="de-DE"/>
        </w:rPr>
        <w:tab/>
      </w:r>
      <w:r w:rsidR="00AA3CC2" w:rsidRPr="00936188">
        <w:rPr>
          <w:lang w:eastAsia="de-DE"/>
        </w:rPr>
        <w:tab/>
      </w:r>
      <w:r w:rsidR="00AA3CC2" w:rsidRPr="00936188">
        <w:rPr>
          <w:rFonts w:ascii="Arial" w:hAnsi="Arial" w:cs="Arial"/>
          <w:lang w:eastAsia="de-DE"/>
        </w:rPr>
        <w:tab/>
      </w:r>
      <w:r w:rsidR="00AA3CC2" w:rsidRPr="00936188">
        <w:rPr>
          <w:rFonts w:ascii="Arial" w:hAnsi="Arial" w:cs="Arial"/>
        </w:rPr>
        <w:t>(Eq.</w:t>
      </w:r>
      <w:r w:rsidR="00E032FC">
        <w:rPr>
          <w:rFonts w:ascii="Arial" w:hAnsi="Arial" w:cs="Arial"/>
        </w:rPr>
        <w:t>5</w:t>
      </w:r>
      <w:r w:rsidR="00AA3CC2" w:rsidRPr="00936188">
        <w:rPr>
          <w:rFonts w:ascii="Arial" w:hAnsi="Arial" w:cs="Arial"/>
        </w:rPr>
        <w:t>)</w:t>
      </w:r>
    </w:p>
    <w:p w14:paraId="35D2CFAD" w14:textId="77777777" w:rsidR="00AA3CC2" w:rsidRPr="00936188" w:rsidRDefault="00AA3CC2" w:rsidP="00226518">
      <w:pPr>
        <w:spacing w:line="360" w:lineRule="auto"/>
        <w:jc w:val="both"/>
      </w:pPr>
    </w:p>
    <w:p w14:paraId="28D147CA" w14:textId="68D2C445" w:rsidR="00E4018E" w:rsidRPr="00936188" w:rsidRDefault="00AA3CC2" w:rsidP="00226518">
      <w:pPr>
        <w:spacing w:line="360" w:lineRule="auto"/>
        <w:jc w:val="both"/>
      </w:pPr>
      <w:r w:rsidRPr="00936188">
        <w:t xml:space="preserve">The Clapeyron equation applies to any phase equilibria of any pure substance and it is commonly used for phase transitions occurring at </w:t>
      </w:r>
      <w:r w:rsidR="006600D3" w:rsidRPr="00936188">
        <w:t>vapour-liquid or solid-liquid</w:t>
      </w:r>
      <w:r w:rsidRPr="00936188">
        <w:t xml:space="preserve"> boundaries. It relates the differential of pressure </w:t>
      </w:r>
      <w:r w:rsidRPr="00936188">
        <w:rPr>
          <w:i/>
          <w:iCs/>
        </w:rPr>
        <w:t>P</w:t>
      </w:r>
      <w:r w:rsidR="00266A7C">
        <w:t xml:space="preserve"> with</w:t>
      </w:r>
      <w:r w:rsidRPr="00936188">
        <w:t xml:space="preserve"> temperature </w:t>
      </w:r>
      <w:r w:rsidRPr="00936188">
        <w:rPr>
          <w:i/>
          <w:iCs/>
        </w:rPr>
        <w:t xml:space="preserve">T </w:t>
      </w:r>
      <w:r w:rsidRPr="00936188">
        <w:t xml:space="preserve">at constant amount adsorbed </w:t>
      </w:r>
      <w:proofErr w:type="spellStart"/>
      <w:r w:rsidRPr="00936188">
        <w:rPr>
          <w:i/>
          <w:iCs/>
        </w:rPr>
        <w:t>n</w:t>
      </w:r>
      <w:r w:rsidRPr="00936188">
        <w:rPr>
          <w:vertAlign w:val="subscript"/>
        </w:rPr>
        <w:t>a</w:t>
      </w:r>
      <w:proofErr w:type="spellEnd"/>
      <w:r w:rsidRPr="00936188">
        <w:rPr>
          <w:vertAlign w:val="superscript"/>
        </w:rPr>
        <w:t xml:space="preserve"> </w:t>
      </w:r>
      <w:r w:rsidR="00266A7C">
        <w:t>(an isostere) to</w:t>
      </w:r>
      <w:r w:rsidRPr="00936188">
        <w:t xml:space="preserve"> </w:t>
      </w:r>
      <w:r w:rsidR="00266A7C">
        <w:t xml:space="preserve">changes in </w:t>
      </w:r>
      <w:r w:rsidRPr="00936188">
        <w:t xml:space="preserve">entropy </w:t>
      </w:r>
      <w:r w:rsidRPr="00936188">
        <w:rPr>
          <w:i/>
          <w:iCs/>
        </w:rPr>
        <w:t>S</w:t>
      </w:r>
      <w:r w:rsidRPr="00936188">
        <w:t xml:space="preserve"> and molar volume </w:t>
      </w:r>
      <w:r w:rsidR="006600D3" w:rsidRPr="00936188">
        <w:rPr>
          <w:i/>
          <w:iCs/>
        </w:rPr>
        <w:t>v</w:t>
      </w:r>
      <w:r w:rsidRPr="00936188">
        <w:t xml:space="preserve">. </w:t>
      </w:r>
      <w:r w:rsidR="00E4018E" w:rsidRPr="00936188">
        <w:t xml:space="preserve">The entropy can be </w:t>
      </w:r>
      <w:r w:rsidR="00266A7C">
        <w:t>determined</w:t>
      </w:r>
      <w:r w:rsidR="00266A7C" w:rsidRPr="00936188">
        <w:t xml:space="preserve"> </w:t>
      </w:r>
      <w:r w:rsidR="00E4018E" w:rsidRPr="00936188">
        <w:t xml:space="preserve">from the Second Law of Thermodynamics with the enthalpy </w:t>
      </w:r>
      <w:r w:rsidR="00E4018E" w:rsidRPr="00936188">
        <w:rPr>
          <w:i/>
          <w:iCs/>
        </w:rPr>
        <w:t>H</w:t>
      </w:r>
      <w:r w:rsidR="00E4018E" w:rsidRPr="00936188">
        <w:t xml:space="preserve"> and temperature </w:t>
      </w:r>
      <w:r w:rsidR="00E4018E" w:rsidRPr="00936188">
        <w:rPr>
          <w:i/>
          <w:iCs/>
        </w:rPr>
        <w:t>T</w:t>
      </w:r>
      <w:r w:rsidR="00E4018E" w:rsidRPr="00936188">
        <w:t xml:space="preserve">, so Eq. </w:t>
      </w:r>
      <w:r w:rsidR="00E032FC">
        <w:t>5</w:t>
      </w:r>
      <w:r w:rsidR="00E4018E" w:rsidRPr="00936188">
        <w:t xml:space="preserve"> can be modified to yield </w:t>
      </w:r>
      <w:r w:rsidR="006600D3" w:rsidRPr="00936188">
        <w:t xml:space="preserve">the </w:t>
      </w:r>
      <w:r w:rsidR="00E4018E" w:rsidRPr="00936188">
        <w:t>enthalp</w:t>
      </w:r>
      <w:r w:rsidR="00266A7C">
        <w:t>y</w:t>
      </w:r>
      <w:r w:rsidR="006600D3" w:rsidRPr="00936188">
        <w:t xml:space="preserve"> of adsorption</w:t>
      </w:r>
      <w:r w:rsidR="00266A7C">
        <w:t xml:space="preserve"> </w:t>
      </w:r>
      <w:proofErr w:type="spellStart"/>
      <w:r w:rsidR="00266A7C" w:rsidRPr="00936188">
        <w:rPr>
          <w:rFonts w:cs="Arial"/>
          <w:lang w:eastAsia="en-GB"/>
        </w:rPr>
        <w:t>Δ</w:t>
      </w:r>
      <w:r w:rsidR="00266A7C" w:rsidRPr="00936188">
        <w:rPr>
          <w:rFonts w:cs="Arial"/>
          <w:i/>
          <w:iCs/>
          <w:lang w:eastAsia="en-GB"/>
        </w:rPr>
        <w:t>H</w:t>
      </w:r>
      <w:r w:rsidR="00266A7C" w:rsidRPr="00936188">
        <w:rPr>
          <w:rFonts w:cs="Arial"/>
          <w:vertAlign w:val="subscript"/>
          <w:lang w:eastAsia="en-GB"/>
        </w:rPr>
        <w:t>ads</w:t>
      </w:r>
      <w:proofErr w:type="spellEnd"/>
      <w:r w:rsidR="00E4018E" w:rsidRPr="00936188">
        <w:t>:</w:t>
      </w:r>
    </w:p>
    <w:p w14:paraId="2C0EDE73" w14:textId="5178BE9D" w:rsidR="00E4018E" w:rsidRPr="00936188" w:rsidRDefault="00E4018E" w:rsidP="00226518">
      <w:pPr>
        <w:spacing w:line="360" w:lineRule="auto"/>
        <w:jc w:val="both"/>
      </w:pPr>
    </w:p>
    <w:p w14:paraId="203568E6" w14:textId="12A46A43" w:rsidR="00E4018E" w:rsidRPr="00936188" w:rsidRDefault="009619E0" w:rsidP="00E4018E">
      <w:pPr>
        <w:pStyle w:val="equation"/>
        <w:rPr>
          <w:rFonts w:ascii="Arial" w:hAnsi="Arial" w:cs="Arial"/>
        </w:rPr>
      </w:pPr>
      <m:oMath>
        <m:sSub>
          <m:sSubPr>
            <m:ctrlPr>
              <w:rPr>
                <w:rFonts w:ascii="Cambria Math" w:hAnsi="Cambria Math" w:cs="Arial"/>
                <w:i/>
                <w:sz w:val="32"/>
                <w:szCs w:val="32"/>
                <w:lang w:eastAsia="de-DE"/>
              </w:rPr>
            </m:ctrlPr>
          </m:sSubPr>
          <m:e>
            <m:d>
              <m:dPr>
                <m:ctrlPr>
                  <w:rPr>
                    <w:rFonts w:ascii="Cambria Math" w:hAnsi="Cambria Math" w:cs="Arial"/>
                    <w:i/>
                    <w:sz w:val="32"/>
                    <w:szCs w:val="32"/>
                    <w:lang w:eastAsia="de-DE"/>
                  </w:rPr>
                </m:ctrlPr>
              </m:dPr>
              <m:e>
                <m:f>
                  <m:fPr>
                    <m:ctrlPr>
                      <w:rPr>
                        <w:rFonts w:ascii="Cambria Math" w:hAnsi="Cambria Math" w:cs="Arial"/>
                        <w:i/>
                        <w:sz w:val="32"/>
                        <w:szCs w:val="32"/>
                        <w:lang w:eastAsia="de-DE"/>
                      </w:rPr>
                    </m:ctrlPr>
                  </m:fPr>
                  <m:num>
                    <m:r>
                      <w:rPr>
                        <w:rFonts w:ascii="Cambria Math" w:hAnsi="Cambria Math" w:cs="Arial"/>
                        <w:sz w:val="32"/>
                        <w:szCs w:val="32"/>
                        <w:lang w:eastAsia="de-DE"/>
                      </w:rPr>
                      <m:t>dP</m:t>
                    </m:r>
                  </m:num>
                  <m:den>
                    <m:r>
                      <w:rPr>
                        <w:rFonts w:ascii="Cambria Math" w:hAnsi="Cambria Math" w:cs="Arial"/>
                        <w:sz w:val="32"/>
                        <w:szCs w:val="32"/>
                        <w:lang w:eastAsia="de-DE"/>
                      </w:rPr>
                      <m:t>dT</m:t>
                    </m:r>
                  </m:den>
                </m:f>
              </m:e>
            </m:d>
          </m:e>
          <m:sub>
            <m:sSub>
              <m:sSubPr>
                <m:ctrlPr>
                  <w:rPr>
                    <w:rFonts w:ascii="Cambria Math" w:hAnsi="Cambria Math" w:cs="Arial"/>
                    <w:i/>
                    <w:sz w:val="32"/>
                    <w:szCs w:val="32"/>
                    <w:lang w:eastAsia="de-DE"/>
                  </w:rPr>
                </m:ctrlPr>
              </m:sSubPr>
              <m:e>
                <m:r>
                  <w:rPr>
                    <w:rFonts w:ascii="Cambria Math" w:hAnsi="Cambria Math" w:cs="Arial"/>
                    <w:sz w:val="32"/>
                    <w:szCs w:val="32"/>
                    <w:lang w:eastAsia="de-DE"/>
                  </w:rPr>
                  <m:t>n</m:t>
                </m:r>
              </m:e>
              <m:sub>
                <m:r>
                  <w:rPr>
                    <w:rFonts w:ascii="Cambria Math" w:hAnsi="Cambria Math" w:cs="Arial"/>
                    <w:sz w:val="32"/>
                    <w:szCs w:val="32"/>
                    <w:lang w:eastAsia="de-DE"/>
                  </w:rPr>
                  <m:t>a</m:t>
                </m:r>
              </m:sub>
            </m:sSub>
          </m:sub>
        </m:sSub>
        <m:r>
          <w:rPr>
            <w:rFonts w:ascii="Cambria Math" w:hAnsi="Cambria Math" w:cs="Arial"/>
            <w:sz w:val="32"/>
            <w:szCs w:val="32"/>
            <w:lang w:eastAsia="de-DE"/>
          </w:rPr>
          <m:t>=</m:t>
        </m:r>
        <m:f>
          <m:fPr>
            <m:ctrlPr>
              <w:rPr>
                <w:rFonts w:ascii="Cambria Math" w:hAnsi="Cambria Math" w:cs="Arial"/>
                <w:i/>
                <w:sz w:val="32"/>
                <w:szCs w:val="32"/>
                <w:lang w:eastAsia="de-DE"/>
              </w:rPr>
            </m:ctrlPr>
          </m:fPr>
          <m:num>
            <m:sSub>
              <m:sSubPr>
                <m:ctrlPr>
                  <w:rPr>
                    <w:rFonts w:ascii="Cambria Math" w:hAnsi="Cambria Math" w:cs="Arial"/>
                    <w:i/>
                    <w:sz w:val="32"/>
                    <w:szCs w:val="32"/>
                    <w:lang w:eastAsia="de-DE"/>
                  </w:rPr>
                </m:ctrlPr>
              </m:sSubPr>
              <m:e>
                <m:r>
                  <w:rPr>
                    <w:rFonts w:ascii="Cambria Math" w:hAnsi="Cambria Math" w:cs="Arial"/>
                    <w:sz w:val="32"/>
                    <w:szCs w:val="32"/>
                    <w:lang w:eastAsia="de-DE"/>
                  </w:rPr>
                  <m:t>ΔH</m:t>
                </m:r>
              </m:e>
              <m:sub>
                <m:r>
                  <w:rPr>
                    <w:rFonts w:ascii="Cambria Math" w:hAnsi="Cambria Math" w:cs="Arial"/>
                    <w:sz w:val="32"/>
                    <w:szCs w:val="32"/>
                    <w:lang w:eastAsia="de-DE"/>
                  </w:rPr>
                  <m:t>ads</m:t>
                </m:r>
              </m:sub>
            </m:sSub>
          </m:num>
          <m:den>
            <m:r>
              <w:rPr>
                <w:rFonts w:ascii="Cambria Math" w:hAnsi="Cambria Math" w:cs="Arial"/>
                <w:sz w:val="32"/>
                <w:szCs w:val="32"/>
                <w:lang w:eastAsia="de-DE"/>
              </w:rPr>
              <m:t>TΔv</m:t>
            </m:r>
          </m:den>
        </m:f>
      </m:oMath>
      <w:r w:rsidR="00E4018E" w:rsidRPr="00936188">
        <w:rPr>
          <w:rFonts w:ascii="Arial" w:hAnsi="Arial" w:cs="Arial"/>
          <w:lang w:eastAsia="de-DE"/>
        </w:rPr>
        <w:tab/>
      </w:r>
      <w:r w:rsidR="00E4018E" w:rsidRPr="00936188">
        <w:rPr>
          <w:lang w:eastAsia="de-DE"/>
        </w:rPr>
        <w:tab/>
      </w:r>
      <w:r w:rsidR="00E4018E" w:rsidRPr="00936188">
        <w:rPr>
          <w:rFonts w:ascii="Arial" w:hAnsi="Arial" w:cs="Arial"/>
          <w:lang w:eastAsia="de-DE"/>
        </w:rPr>
        <w:tab/>
      </w:r>
      <w:r w:rsidR="00E4018E" w:rsidRPr="00936188">
        <w:rPr>
          <w:rFonts w:ascii="Arial" w:hAnsi="Arial" w:cs="Arial"/>
        </w:rPr>
        <w:t>(Eq.</w:t>
      </w:r>
      <w:r w:rsidR="001935D6">
        <w:rPr>
          <w:rFonts w:ascii="Arial" w:hAnsi="Arial" w:cs="Arial"/>
        </w:rPr>
        <w:t>6</w:t>
      </w:r>
      <w:r w:rsidR="00E4018E" w:rsidRPr="00936188">
        <w:rPr>
          <w:rFonts w:ascii="Arial" w:hAnsi="Arial" w:cs="Arial"/>
        </w:rPr>
        <w:t>)</w:t>
      </w:r>
    </w:p>
    <w:p w14:paraId="657D30BE" w14:textId="77777777" w:rsidR="00E4018E" w:rsidRPr="00936188" w:rsidRDefault="00E4018E" w:rsidP="00226518">
      <w:pPr>
        <w:spacing w:line="360" w:lineRule="auto"/>
        <w:jc w:val="both"/>
      </w:pPr>
    </w:p>
    <w:p w14:paraId="78052F81" w14:textId="2B7FBE8E" w:rsidR="00AA3CC2" w:rsidRPr="00936188" w:rsidRDefault="00DB52F6" w:rsidP="00E4018E">
      <w:pPr>
        <w:spacing w:line="360" w:lineRule="auto"/>
        <w:jc w:val="both"/>
      </w:pPr>
      <w:r w:rsidRPr="00936188">
        <w:t>The</w:t>
      </w:r>
      <w:r w:rsidR="00E4018E" w:rsidRPr="00936188">
        <w:t xml:space="preserve"> difficulty in determining </w:t>
      </w:r>
      <w:r w:rsidRPr="00936188">
        <w:t xml:space="preserve">both </w:t>
      </w:r>
      <w:r w:rsidR="00E4018E" w:rsidRPr="00936188">
        <w:t>the differential for the isosteres over temperature at constant amount adsorbed</w:t>
      </w:r>
      <w:r w:rsidR="00033D4A" w:rsidRPr="00936188">
        <w:t>,</w:t>
      </w:r>
      <w:r w:rsidRPr="00936188">
        <w:t xml:space="preserve"> and the adsorbed molar volume</w:t>
      </w:r>
      <w:r w:rsidR="00E4018E" w:rsidRPr="00936188">
        <w:t xml:space="preserve">, </w:t>
      </w:r>
      <w:r w:rsidRPr="00936188">
        <w:t>means that</w:t>
      </w:r>
      <w:r w:rsidR="00033D4A" w:rsidRPr="00936188">
        <w:t xml:space="preserve"> rather than </w:t>
      </w:r>
      <w:r w:rsidR="00651A37" w:rsidRPr="00936188">
        <w:t>using the</w:t>
      </w:r>
      <w:r w:rsidR="00033D4A" w:rsidRPr="00936188">
        <w:t xml:space="preserve"> Clapeyron equation, </w:t>
      </w:r>
      <w:r w:rsidR="00E4018E" w:rsidRPr="00936188">
        <w:t>the Clausius-Clapeyron is the equation that is typically used for enthalpy calculations in adsorption. The phase transition refer</w:t>
      </w:r>
      <w:r w:rsidR="00312580">
        <w:t>red</w:t>
      </w:r>
      <w:r w:rsidR="00E4018E" w:rsidRPr="00936188">
        <w:t xml:space="preserve"> to is the one</w:t>
      </w:r>
      <w:r w:rsidR="00AA3CC2" w:rsidRPr="00936188">
        <w:t xml:space="preserve"> that occurs between a molecule in the bulk </w:t>
      </w:r>
      <w:r w:rsidR="00AA3CC2" w:rsidRPr="00936188">
        <w:lastRenderedPageBreak/>
        <w:t>and a molecule in the adsorbed phase</w:t>
      </w:r>
      <w:r w:rsidR="00E4018E" w:rsidRPr="00936188">
        <w:t xml:space="preserve"> and i</w:t>
      </w:r>
      <w:r w:rsidR="00AA3CC2" w:rsidRPr="00936188">
        <w:t xml:space="preserve">t </w:t>
      </w:r>
      <w:r w:rsidR="00C03BAE" w:rsidRPr="00936188">
        <w:t>relies on two main approximations</w:t>
      </w:r>
      <w:r w:rsidR="00AA3CC2" w:rsidRPr="00936188">
        <w:t xml:space="preserve">, which </w:t>
      </w:r>
      <w:r w:rsidR="006600D3" w:rsidRPr="00936188">
        <w:t xml:space="preserve">are the </w:t>
      </w:r>
      <w:r w:rsidR="00C03BAE" w:rsidRPr="00936188">
        <w:t xml:space="preserve">negligible </w:t>
      </w:r>
      <w:r w:rsidR="006600D3" w:rsidRPr="00936188">
        <w:t>adsorbed molar volume</w:t>
      </w:r>
      <w:r w:rsidR="00C03BAE" w:rsidRPr="00936188">
        <w:t xml:space="preserve"> when compared with the </w:t>
      </w:r>
      <w:r w:rsidR="006600D3" w:rsidRPr="00936188">
        <w:t>bulk molar volume (</w:t>
      </w:r>
      <w:proofErr w:type="spellStart"/>
      <w:r w:rsidRPr="00936188">
        <w:rPr>
          <w:rFonts w:cs="Arial"/>
        </w:rPr>
        <w:t>Δ</w:t>
      </w:r>
      <w:r w:rsidRPr="00936188">
        <w:rPr>
          <w:rFonts w:cs="Arial"/>
          <w:i/>
          <w:iCs/>
        </w:rPr>
        <w:t>v</w:t>
      </w:r>
      <w:proofErr w:type="spellEnd"/>
      <w:r w:rsidRPr="00936188">
        <w:rPr>
          <w:rFonts w:cs="Arial"/>
        </w:rPr>
        <w:t xml:space="preserve"> becomes </w:t>
      </w:r>
      <w:proofErr w:type="spellStart"/>
      <w:r w:rsidRPr="00936188">
        <w:rPr>
          <w:rFonts w:cs="Arial"/>
          <w:i/>
          <w:iCs/>
        </w:rPr>
        <w:t>v</w:t>
      </w:r>
      <w:r w:rsidRPr="00936188">
        <w:rPr>
          <w:rFonts w:cs="Arial"/>
          <w:vertAlign w:val="subscript"/>
        </w:rPr>
        <w:t>bulk</w:t>
      </w:r>
      <w:proofErr w:type="spellEnd"/>
      <w:r w:rsidR="006600D3" w:rsidRPr="00936188">
        <w:t>) and the ideal gas approximation (</w:t>
      </w:r>
      <w:r w:rsidRPr="00936188">
        <w:t>the</w:t>
      </w:r>
      <w:r w:rsidR="006600D3" w:rsidRPr="00936188">
        <w:t xml:space="preserve"> molar volume</w:t>
      </w:r>
      <w:r w:rsidRPr="00936188">
        <w:t xml:space="preserve"> of the bulk</w:t>
      </w:r>
      <w:r w:rsidR="006600D3" w:rsidRPr="00936188">
        <w:t xml:space="preserve"> </w:t>
      </w:r>
      <w:r w:rsidRPr="00936188">
        <w:t xml:space="preserve">is calculated </w:t>
      </w:r>
      <w:r w:rsidR="006600D3" w:rsidRPr="00936188">
        <w:t>using the ideal gas equation)</w:t>
      </w:r>
      <w:r w:rsidR="00AA3CC2" w:rsidRPr="00936188">
        <w:t>. When these two approximations are applied to Eq.</w:t>
      </w:r>
      <w:r w:rsidR="001935D6">
        <w:t>6</w:t>
      </w:r>
      <w:r w:rsidR="00AA3CC2" w:rsidRPr="00936188">
        <w:t xml:space="preserve">, </w:t>
      </w:r>
      <w:r w:rsidR="004E2AC1" w:rsidRPr="00936188">
        <w:t>it becomes Eq.</w:t>
      </w:r>
      <w:r w:rsidR="001935D6">
        <w:t>7</w:t>
      </w:r>
      <w:r w:rsidR="004E2AC1" w:rsidRPr="00936188">
        <w:t>:</w:t>
      </w:r>
    </w:p>
    <w:p w14:paraId="5B19AB87" w14:textId="77777777" w:rsidR="004E2AC1" w:rsidRPr="00936188" w:rsidRDefault="004E2AC1" w:rsidP="00226518">
      <w:pPr>
        <w:spacing w:line="360" w:lineRule="auto"/>
        <w:jc w:val="both"/>
      </w:pPr>
    </w:p>
    <w:p w14:paraId="64C9538E" w14:textId="59510565" w:rsidR="00AA3CC2" w:rsidRPr="00936188" w:rsidRDefault="009619E0" w:rsidP="00AA3CC2">
      <w:pPr>
        <w:pStyle w:val="equation"/>
        <w:rPr>
          <w:rFonts w:ascii="Arial" w:hAnsi="Arial" w:cs="Arial"/>
        </w:rPr>
      </w:pPr>
      <m:oMath>
        <m:sSub>
          <m:sSubPr>
            <m:ctrlPr>
              <w:rPr>
                <w:rFonts w:ascii="Cambria Math" w:hAnsi="Cambria Math" w:cs="Arial"/>
                <w:i/>
                <w:sz w:val="32"/>
                <w:szCs w:val="32"/>
                <w:lang w:eastAsia="de-DE"/>
              </w:rPr>
            </m:ctrlPr>
          </m:sSubPr>
          <m:e>
            <m:d>
              <m:dPr>
                <m:ctrlPr>
                  <w:rPr>
                    <w:rFonts w:ascii="Cambria Math" w:hAnsi="Cambria Math" w:cs="Arial"/>
                    <w:i/>
                    <w:sz w:val="32"/>
                    <w:szCs w:val="32"/>
                    <w:lang w:eastAsia="de-DE"/>
                  </w:rPr>
                </m:ctrlPr>
              </m:dPr>
              <m:e>
                <m:f>
                  <m:fPr>
                    <m:ctrlPr>
                      <w:rPr>
                        <w:rFonts w:ascii="Cambria Math" w:hAnsi="Cambria Math" w:cs="Arial"/>
                        <w:i/>
                        <w:sz w:val="32"/>
                        <w:szCs w:val="32"/>
                        <w:lang w:eastAsia="de-DE"/>
                      </w:rPr>
                    </m:ctrlPr>
                  </m:fPr>
                  <m:num>
                    <m:r>
                      <w:rPr>
                        <w:rFonts w:ascii="Cambria Math" w:hAnsi="Cambria Math" w:cs="Arial"/>
                        <w:sz w:val="32"/>
                        <w:szCs w:val="32"/>
                        <w:lang w:eastAsia="de-DE"/>
                      </w:rPr>
                      <m:t>dP</m:t>
                    </m:r>
                  </m:num>
                  <m:den>
                    <m:r>
                      <w:rPr>
                        <w:rFonts w:ascii="Cambria Math" w:hAnsi="Cambria Math" w:cs="Arial"/>
                        <w:sz w:val="32"/>
                        <w:szCs w:val="32"/>
                        <w:lang w:eastAsia="de-DE"/>
                      </w:rPr>
                      <m:t>dT</m:t>
                    </m:r>
                  </m:den>
                </m:f>
              </m:e>
            </m:d>
          </m:e>
          <m:sub>
            <m:sSub>
              <m:sSubPr>
                <m:ctrlPr>
                  <w:rPr>
                    <w:rFonts w:ascii="Cambria Math" w:hAnsi="Cambria Math" w:cs="Arial"/>
                    <w:i/>
                    <w:sz w:val="32"/>
                    <w:szCs w:val="32"/>
                    <w:lang w:eastAsia="de-DE"/>
                  </w:rPr>
                </m:ctrlPr>
              </m:sSubPr>
              <m:e>
                <m:r>
                  <w:rPr>
                    <w:rFonts w:ascii="Cambria Math" w:hAnsi="Cambria Math" w:cs="Arial"/>
                    <w:sz w:val="32"/>
                    <w:szCs w:val="32"/>
                    <w:lang w:eastAsia="de-DE"/>
                  </w:rPr>
                  <m:t>n</m:t>
                </m:r>
              </m:e>
              <m:sub>
                <m:r>
                  <w:rPr>
                    <w:rFonts w:ascii="Cambria Math" w:hAnsi="Cambria Math" w:cs="Arial"/>
                    <w:sz w:val="32"/>
                    <w:szCs w:val="32"/>
                    <w:lang w:eastAsia="de-DE"/>
                  </w:rPr>
                  <m:t>a</m:t>
                </m:r>
              </m:sub>
            </m:sSub>
          </m:sub>
        </m:sSub>
        <m:r>
          <w:rPr>
            <w:rFonts w:ascii="Cambria Math" w:hAnsi="Cambria Math" w:cs="Arial"/>
            <w:sz w:val="32"/>
            <w:szCs w:val="32"/>
            <w:lang w:eastAsia="de-DE"/>
          </w:rPr>
          <m:t>=</m:t>
        </m:r>
        <m:f>
          <m:fPr>
            <m:ctrlPr>
              <w:rPr>
                <w:rFonts w:ascii="Cambria Math" w:hAnsi="Cambria Math" w:cs="Arial"/>
                <w:i/>
                <w:sz w:val="32"/>
                <w:szCs w:val="32"/>
                <w:lang w:eastAsia="de-DE"/>
              </w:rPr>
            </m:ctrlPr>
          </m:fPr>
          <m:num>
            <m:sSub>
              <m:sSubPr>
                <m:ctrlPr>
                  <w:rPr>
                    <w:rFonts w:ascii="Cambria Math" w:hAnsi="Cambria Math" w:cs="Arial"/>
                    <w:i/>
                    <w:sz w:val="32"/>
                    <w:szCs w:val="32"/>
                    <w:lang w:eastAsia="de-DE"/>
                  </w:rPr>
                </m:ctrlPr>
              </m:sSubPr>
              <m:e>
                <m:r>
                  <w:rPr>
                    <w:rFonts w:ascii="Cambria Math" w:hAnsi="Cambria Math" w:cs="Arial"/>
                    <w:sz w:val="32"/>
                    <w:szCs w:val="32"/>
                    <w:lang w:eastAsia="de-DE"/>
                  </w:rPr>
                  <m:t>ΔH</m:t>
                </m:r>
              </m:e>
              <m:sub>
                <m:r>
                  <w:rPr>
                    <w:rFonts w:ascii="Cambria Math" w:hAnsi="Cambria Math" w:cs="Arial"/>
                    <w:sz w:val="32"/>
                    <w:szCs w:val="32"/>
                    <w:lang w:eastAsia="de-DE"/>
                  </w:rPr>
                  <m:t>ads</m:t>
                </m:r>
              </m:sub>
            </m:sSub>
            <m:r>
              <w:rPr>
                <w:rFonts w:ascii="Cambria Math" w:hAnsi="Cambria Math" w:cs="Arial"/>
                <w:sz w:val="32"/>
                <w:szCs w:val="32"/>
                <w:lang w:eastAsia="de-DE"/>
              </w:rPr>
              <m:t>P</m:t>
            </m:r>
          </m:num>
          <m:den>
            <m:r>
              <w:rPr>
                <w:rFonts w:ascii="Cambria Math" w:hAnsi="Cambria Math" w:cs="Arial"/>
                <w:sz w:val="32"/>
                <w:szCs w:val="32"/>
                <w:lang w:eastAsia="de-DE"/>
              </w:rPr>
              <m:t>R</m:t>
            </m:r>
            <m:sSup>
              <m:sSupPr>
                <m:ctrlPr>
                  <w:rPr>
                    <w:rFonts w:ascii="Cambria Math" w:hAnsi="Cambria Math" w:cs="Arial"/>
                    <w:i/>
                    <w:sz w:val="32"/>
                    <w:szCs w:val="32"/>
                    <w:lang w:eastAsia="de-DE"/>
                  </w:rPr>
                </m:ctrlPr>
              </m:sSupPr>
              <m:e>
                <m:r>
                  <w:rPr>
                    <w:rFonts w:ascii="Cambria Math" w:hAnsi="Cambria Math" w:cs="Arial"/>
                    <w:sz w:val="32"/>
                    <w:szCs w:val="32"/>
                    <w:lang w:eastAsia="de-DE"/>
                  </w:rPr>
                  <m:t>T</m:t>
                </m:r>
              </m:e>
              <m:sup>
                <m:r>
                  <w:rPr>
                    <w:rFonts w:ascii="Cambria Math" w:hAnsi="Cambria Math" w:cs="Arial"/>
                    <w:sz w:val="32"/>
                    <w:szCs w:val="32"/>
                    <w:lang w:eastAsia="de-DE"/>
                  </w:rPr>
                  <m:t>2</m:t>
                </m:r>
              </m:sup>
            </m:sSup>
          </m:den>
        </m:f>
      </m:oMath>
      <w:r w:rsidR="00AA3CC2" w:rsidRPr="00936188">
        <w:rPr>
          <w:lang w:eastAsia="de-DE"/>
        </w:rPr>
        <w:tab/>
      </w:r>
      <w:r w:rsidR="00AA3CC2" w:rsidRPr="00936188">
        <w:rPr>
          <w:lang w:eastAsia="de-DE"/>
        </w:rPr>
        <w:tab/>
      </w:r>
      <w:r w:rsidR="00AA3CC2" w:rsidRPr="00936188">
        <w:rPr>
          <w:rFonts w:ascii="Arial" w:hAnsi="Arial" w:cs="Arial"/>
        </w:rPr>
        <w:t>(Eq.</w:t>
      </w:r>
      <w:r w:rsidR="001935D6">
        <w:rPr>
          <w:rFonts w:ascii="Arial" w:hAnsi="Arial" w:cs="Arial"/>
        </w:rPr>
        <w:t>7</w:t>
      </w:r>
      <w:r w:rsidR="00AA3CC2" w:rsidRPr="00936188">
        <w:rPr>
          <w:rFonts w:ascii="Arial" w:hAnsi="Arial" w:cs="Arial"/>
        </w:rPr>
        <w:t>)</w:t>
      </w:r>
    </w:p>
    <w:p w14:paraId="0A05E31D" w14:textId="77777777" w:rsidR="00AA3CC2" w:rsidRPr="00936188" w:rsidRDefault="00AA3CC2" w:rsidP="00AA3CC2">
      <w:pPr>
        <w:rPr>
          <w:lang w:eastAsia="en-GB"/>
        </w:rPr>
      </w:pPr>
    </w:p>
    <w:p w14:paraId="6EE7A1E2" w14:textId="3C049FEC" w:rsidR="004E2AC1" w:rsidRPr="00936188" w:rsidRDefault="00312580" w:rsidP="004E2AC1">
      <w:pPr>
        <w:spacing w:line="360" w:lineRule="auto"/>
        <w:rPr>
          <w:lang w:eastAsia="en-GB"/>
        </w:rPr>
      </w:pPr>
      <w:r>
        <w:rPr>
          <w:lang w:eastAsia="en-GB"/>
        </w:rPr>
        <w:t>i</w:t>
      </w:r>
      <w:r w:rsidR="004E2AC1" w:rsidRPr="00936188">
        <w:rPr>
          <w:lang w:eastAsia="en-GB"/>
        </w:rPr>
        <w:t xml:space="preserve">n which </w:t>
      </w:r>
      <w:r w:rsidR="004E2AC1" w:rsidRPr="00936188">
        <w:rPr>
          <w:rFonts w:cs="Arial"/>
          <w:i/>
          <w:iCs/>
          <w:lang w:eastAsia="en-GB"/>
        </w:rPr>
        <w:t>R</w:t>
      </w:r>
      <w:r w:rsidR="004E2AC1" w:rsidRPr="00936188">
        <w:rPr>
          <w:rFonts w:cs="Arial"/>
          <w:lang w:eastAsia="en-GB"/>
        </w:rPr>
        <w:t xml:space="preserve"> is the molar gas constant (8.314 J mol</w:t>
      </w:r>
      <w:r w:rsidR="004E2AC1" w:rsidRPr="00936188">
        <w:rPr>
          <w:rFonts w:cs="Arial"/>
          <w:vertAlign w:val="superscript"/>
          <w:lang w:eastAsia="en-GB"/>
        </w:rPr>
        <w:t>-1</w:t>
      </w:r>
      <w:r w:rsidR="004E2AC1" w:rsidRPr="00936188">
        <w:rPr>
          <w:rFonts w:cs="Arial"/>
          <w:lang w:eastAsia="en-GB"/>
        </w:rPr>
        <w:t xml:space="preserve"> K</w:t>
      </w:r>
      <w:r w:rsidR="004E2AC1" w:rsidRPr="00936188">
        <w:rPr>
          <w:rFonts w:cs="Arial"/>
          <w:vertAlign w:val="superscript"/>
          <w:lang w:eastAsia="en-GB"/>
        </w:rPr>
        <w:noBreakHyphen/>
        <w:t>1</w:t>
      </w:r>
      <w:r w:rsidR="004E2AC1" w:rsidRPr="00936188">
        <w:rPr>
          <w:rFonts w:cs="Arial"/>
          <w:lang w:eastAsia="en-GB"/>
        </w:rPr>
        <w:t xml:space="preserve">). A </w:t>
      </w:r>
      <w:r w:rsidR="00AA3CC2" w:rsidRPr="00936188">
        <w:rPr>
          <w:lang w:eastAsia="en-GB"/>
        </w:rPr>
        <w:t xml:space="preserve">common way to present </w:t>
      </w:r>
      <w:r w:rsidR="004E2AC1" w:rsidRPr="00936188">
        <w:rPr>
          <w:lang w:eastAsia="en-GB"/>
        </w:rPr>
        <w:t>the Clausius-Clapeyron equation</w:t>
      </w:r>
      <w:r w:rsidR="00AA3CC2" w:rsidRPr="00936188">
        <w:rPr>
          <w:lang w:eastAsia="en-GB"/>
        </w:rPr>
        <w:t xml:space="preserve"> is in its integrated form</w:t>
      </w:r>
      <w:r w:rsidR="00266A7C">
        <w:rPr>
          <w:lang w:eastAsia="en-GB"/>
        </w:rPr>
        <w:t xml:space="preserve"> (which assumes </w:t>
      </w:r>
      <w:proofErr w:type="spellStart"/>
      <w:r w:rsidR="00266A7C" w:rsidRPr="00936188">
        <w:rPr>
          <w:rFonts w:cs="Arial"/>
          <w:lang w:eastAsia="en-GB"/>
        </w:rPr>
        <w:t>Δ</w:t>
      </w:r>
      <w:r w:rsidR="00266A7C" w:rsidRPr="00936188">
        <w:rPr>
          <w:rFonts w:cs="Arial"/>
          <w:i/>
          <w:iCs/>
          <w:lang w:eastAsia="en-GB"/>
        </w:rPr>
        <w:t>H</w:t>
      </w:r>
      <w:r w:rsidR="00266A7C" w:rsidRPr="00936188">
        <w:rPr>
          <w:rFonts w:cs="Arial"/>
          <w:vertAlign w:val="subscript"/>
          <w:lang w:eastAsia="en-GB"/>
        </w:rPr>
        <w:t>ads</w:t>
      </w:r>
      <w:proofErr w:type="spellEnd"/>
      <w:r w:rsidR="004E2AC1" w:rsidRPr="00936188">
        <w:rPr>
          <w:lang w:eastAsia="en-GB"/>
        </w:rPr>
        <w:t>,</w:t>
      </w:r>
      <w:r w:rsidR="00266A7C">
        <w:rPr>
          <w:lang w:eastAsia="en-GB"/>
        </w:rPr>
        <w:t xml:space="preserve"> is temperature independent) </w:t>
      </w:r>
      <w:r w:rsidR="004E2AC1" w:rsidRPr="00936188">
        <w:rPr>
          <w:lang w:eastAsia="en-GB"/>
        </w:rPr>
        <w:t>as shown in Eq.</w:t>
      </w:r>
      <w:r w:rsidR="001935D6">
        <w:rPr>
          <w:lang w:eastAsia="en-GB"/>
        </w:rPr>
        <w:t>8</w:t>
      </w:r>
    </w:p>
    <w:p w14:paraId="1C0D862C" w14:textId="77777777" w:rsidR="00E4018E" w:rsidRPr="00936188" w:rsidRDefault="00E4018E" w:rsidP="004E2AC1">
      <w:pPr>
        <w:spacing w:line="360" w:lineRule="auto"/>
        <w:rPr>
          <w:lang w:eastAsia="en-GB"/>
        </w:rPr>
      </w:pPr>
    </w:p>
    <w:p w14:paraId="50785F5B" w14:textId="56873DB0" w:rsidR="004E2AC1" w:rsidRPr="00936188" w:rsidRDefault="004E2AC1" w:rsidP="004E2AC1">
      <w:pPr>
        <w:pStyle w:val="equation"/>
        <w:rPr>
          <w:rFonts w:ascii="Arial" w:hAnsi="Arial" w:cs="Arial"/>
        </w:rPr>
      </w:pPr>
      <m:oMath>
        <m:r>
          <m:rPr>
            <m:nor/>
          </m:rPr>
          <w:rPr>
            <w:rFonts w:ascii="Arial" w:hAnsi="Arial" w:cs="Arial"/>
            <w:lang w:eastAsia="de-DE"/>
          </w:rPr>
          <m:t>ln</m:t>
        </m:r>
        <m:r>
          <w:rPr>
            <w:rFonts w:ascii="Cambria Math" w:hAnsi="Cambria Math" w:cs="Arial"/>
            <w:lang w:eastAsia="de-DE"/>
          </w:rPr>
          <m:t>P</m:t>
        </m:r>
        <m:r>
          <m:rPr>
            <m:sty m:val="p"/>
          </m:rPr>
          <w:rPr>
            <w:rFonts w:ascii="Cambria Math" w:hAnsi="Cambria Math" w:cs="Arial"/>
            <w:lang w:eastAsia="de-DE"/>
          </w:rPr>
          <m:t>=</m:t>
        </m:r>
        <m:f>
          <m:fPr>
            <m:ctrlPr>
              <w:rPr>
                <w:rFonts w:ascii="Cambria Math" w:hAnsi="Cambria Math" w:cs="Arial"/>
                <w:i/>
                <w:lang w:eastAsia="de-DE"/>
              </w:rPr>
            </m:ctrlPr>
          </m:fPr>
          <m:num>
            <m:sSub>
              <m:sSubPr>
                <m:ctrlPr>
                  <w:rPr>
                    <w:rFonts w:ascii="Cambria Math" w:hAnsi="Cambria Math" w:cs="Arial"/>
                    <w:i/>
                    <w:sz w:val="32"/>
                    <w:szCs w:val="32"/>
                    <w:lang w:eastAsia="de-DE"/>
                  </w:rPr>
                </m:ctrlPr>
              </m:sSubPr>
              <m:e>
                <m:r>
                  <w:rPr>
                    <w:rFonts w:ascii="Cambria Math" w:hAnsi="Cambria Math" w:cs="Arial"/>
                    <w:sz w:val="32"/>
                    <w:szCs w:val="32"/>
                    <w:lang w:eastAsia="de-DE"/>
                  </w:rPr>
                  <m:t>ΔH</m:t>
                </m:r>
              </m:e>
              <m:sub>
                <m:r>
                  <w:rPr>
                    <w:rFonts w:ascii="Cambria Math" w:hAnsi="Cambria Math" w:cs="Arial"/>
                    <w:sz w:val="32"/>
                    <w:szCs w:val="32"/>
                    <w:lang w:eastAsia="de-DE"/>
                  </w:rPr>
                  <m:t>ads</m:t>
                </m:r>
              </m:sub>
            </m:sSub>
          </m:num>
          <m:den>
            <m:r>
              <w:rPr>
                <w:rFonts w:ascii="Cambria Math" w:hAnsi="Cambria Math" w:cs="Arial"/>
                <w:lang w:eastAsia="de-DE"/>
              </w:rPr>
              <m:t>R</m:t>
            </m:r>
          </m:den>
        </m:f>
        <m:d>
          <m:dPr>
            <m:ctrlPr>
              <w:rPr>
                <w:rFonts w:ascii="Cambria Math" w:hAnsi="Cambria Math" w:cs="Arial"/>
                <w:i/>
                <w:lang w:eastAsia="de-DE"/>
              </w:rPr>
            </m:ctrlPr>
          </m:dPr>
          <m:e>
            <m:f>
              <m:fPr>
                <m:ctrlPr>
                  <w:rPr>
                    <w:rFonts w:ascii="Cambria Math" w:hAnsi="Cambria Math" w:cs="Arial"/>
                    <w:i/>
                    <w:lang w:eastAsia="de-DE"/>
                  </w:rPr>
                </m:ctrlPr>
              </m:fPr>
              <m:num>
                <m:r>
                  <w:rPr>
                    <w:rFonts w:ascii="Cambria Math" w:hAnsi="Cambria Math" w:cs="Arial"/>
                    <w:lang w:eastAsia="de-DE"/>
                  </w:rPr>
                  <m:t>1</m:t>
                </m:r>
              </m:num>
              <m:den>
                <m:sSub>
                  <m:sSubPr>
                    <m:ctrlPr>
                      <w:rPr>
                        <w:rFonts w:ascii="Cambria Math" w:hAnsi="Cambria Math" w:cs="Arial"/>
                        <w:i/>
                        <w:lang w:eastAsia="de-DE"/>
                      </w:rPr>
                    </m:ctrlPr>
                  </m:sSubPr>
                  <m:e>
                    <m:r>
                      <w:rPr>
                        <w:rFonts w:ascii="Cambria Math" w:hAnsi="Cambria Math" w:cs="Arial"/>
                        <w:lang w:eastAsia="de-DE"/>
                      </w:rPr>
                      <m:t>T</m:t>
                    </m:r>
                  </m:e>
                  <m:sub>
                    <m:r>
                      <w:rPr>
                        <w:rFonts w:ascii="Cambria Math" w:hAnsi="Cambria Math" w:cs="Arial"/>
                        <w:lang w:eastAsia="de-DE"/>
                      </w:rPr>
                      <m:t>i</m:t>
                    </m:r>
                  </m:sub>
                </m:sSub>
              </m:den>
            </m:f>
            <m:r>
              <w:rPr>
                <w:rFonts w:ascii="Cambria Math" w:hAnsi="Cambria Math" w:cs="Arial"/>
                <w:lang w:eastAsia="de-DE"/>
              </w:rPr>
              <m:t>-</m:t>
            </m:r>
            <m:f>
              <m:fPr>
                <m:ctrlPr>
                  <w:rPr>
                    <w:rFonts w:ascii="Cambria Math" w:hAnsi="Cambria Math" w:cs="Arial"/>
                    <w:i/>
                    <w:lang w:eastAsia="de-DE"/>
                  </w:rPr>
                </m:ctrlPr>
              </m:fPr>
              <m:num>
                <m:r>
                  <w:rPr>
                    <w:rFonts w:ascii="Cambria Math" w:hAnsi="Cambria Math" w:cs="Arial"/>
                    <w:lang w:eastAsia="de-DE"/>
                  </w:rPr>
                  <m:t>1</m:t>
                </m:r>
              </m:num>
              <m:den>
                <m:sSub>
                  <m:sSubPr>
                    <m:ctrlPr>
                      <w:rPr>
                        <w:rFonts w:ascii="Cambria Math" w:hAnsi="Cambria Math" w:cs="Arial"/>
                        <w:i/>
                        <w:lang w:eastAsia="de-DE"/>
                      </w:rPr>
                    </m:ctrlPr>
                  </m:sSubPr>
                  <m:e>
                    <m:r>
                      <w:rPr>
                        <w:rFonts w:ascii="Cambria Math" w:hAnsi="Cambria Math" w:cs="Arial"/>
                        <w:lang w:eastAsia="de-DE"/>
                      </w:rPr>
                      <m:t>T</m:t>
                    </m:r>
                  </m:e>
                  <m:sub>
                    <m:r>
                      <w:rPr>
                        <w:rFonts w:ascii="Cambria Math" w:hAnsi="Cambria Math" w:cs="Arial"/>
                        <w:lang w:eastAsia="de-DE"/>
                      </w:rPr>
                      <m:t>f</m:t>
                    </m:r>
                  </m:sub>
                </m:sSub>
              </m:den>
            </m:f>
          </m:e>
        </m:d>
      </m:oMath>
      <w:r w:rsidRPr="00936188">
        <w:rPr>
          <w:lang w:eastAsia="de-DE"/>
        </w:rPr>
        <w:tab/>
      </w:r>
      <w:r w:rsidRPr="00936188">
        <w:rPr>
          <w:lang w:eastAsia="de-DE"/>
        </w:rPr>
        <w:tab/>
      </w:r>
      <w:r w:rsidRPr="00936188">
        <w:rPr>
          <w:rFonts w:ascii="Arial" w:hAnsi="Arial" w:cs="Arial"/>
        </w:rPr>
        <w:t>(Eq.</w:t>
      </w:r>
      <w:r w:rsidR="001935D6">
        <w:rPr>
          <w:rFonts w:ascii="Arial" w:hAnsi="Arial" w:cs="Arial"/>
        </w:rPr>
        <w:t>8</w:t>
      </w:r>
      <w:r w:rsidRPr="00936188">
        <w:rPr>
          <w:rFonts w:ascii="Arial" w:hAnsi="Arial" w:cs="Arial"/>
        </w:rPr>
        <w:t>)</w:t>
      </w:r>
    </w:p>
    <w:p w14:paraId="4BA0E34D" w14:textId="77777777" w:rsidR="00E4018E" w:rsidRPr="00936188" w:rsidRDefault="00E4018E" w:rsidP="00226518">
      <w:pPr>
        <w:spacing w:line="360" w:lineRule="auto"/>
        <w:jc w:val="both"/>
      </w:pPr>
    </w:p>
    <w:p w14:paraId="688FD853" w14:textId="3FE028E5" w:rsidR="00C03BAE" w:rsidRPr="00936188" w:rsidRDefault="004E2AC1" w:rsidP="00226518">
      <w:pPr>
        <w:spacing w:line="360" w:lineRule="auto"/>
        <w:jc w:val="both"/>
      </w:pPr>
      <w:r w:rsidRPr="00936188">
        <w:t>In Eq.</w:t>
      </w:r>
      <w:r w:rsidR="001935D6">
        <w:t>8</w:t>
      </w:r>
      <w:r w:rsidRPr="00936188">
        <w:t xml:space="preserve">, </w:t>
      </w:r>
      <w:proofErr w:type="spellStart"/>
      <w:r w:rsidRPr="00936188">
        <w:rPr>
          <w:i/>
          <w:iCs/>
        </w:rPr>
        <w:t>T</w:t>
      </w:r>
      <w:r w:rsidRPr="00936188">
        <w:rPr>
          <w:vertAlign w:val="subscript"/>
        </w:rPr>
        <w:t>i</w:t>
      </w:r>
      <w:proofErr w:type="spellEnd"/>
      <w:r w:rsidRPr="00936188">
        <w:t xml:space="preserve"> and </w:t>
      </w:r>
      <w:proofErr w:type="spellStart"/>
      <w:r w:rsidRPr="00936188">
        <w:rPr>
          <w:i/>
          <w:iCs/>
        </w:rPr>
        <w:t>T</w:t>
      </w:r>
      <w:r w:rsidRPr="00936188">
        <w:rPr>
          <w:vertAlign w:val="subscript"/>
        </w:rPr>
        <w:t>f</w:t>
      </w:r>
      <w:proofErr w:type="spellEnd"/>
      <w:r w:rsidRPr="00936188">
        <w:rPr>
          <w:i/>
          <w:iCs/>
        </w:rPr>
        <w:t xml:space="preserve"> </w:t>
      </w:r>
      <w:r w:rsidRPr="00936188">
        <w:t>are the initial and final temperatures, respectively</w:t>
      </w:r>
      <w:r w:rsidR="00033D4A" w:rsidRPr="00936188">
        <w:t>, and correspond to the temperatures at which the isotherms are measured</w:t>
      </w:r>
      <w:r w:rsidRPr="00936188">
        <w:t xml:space="preserve">. </w:t>
      </w:r>
      <w:r w:rsidR="00DB52F6" w:rsidRPr="00936188">
        <w:t>The</w:t>
      </w:r>
      <w:r w:rsidR="00C03BAE" w:rsidRPr="00936188">
        <w:t xml:space="preserve"> isosteric enthalpies</w:t>
      </w:r>
      <w:r w:rsidR="00DB52F6" w:rsidRPr="00936188">
        <w:t xml:space="preserve"> have been calculated for hydrogen at high pressures for the MIL-101(Cr) and the AX-21 activated carbon</w:t>
      </w:r>
      <w:r w:rsidR="00C03BAE" w:rsidRPr="00936188">
        <w:t xml:space="preserve"> using the </w:t>
      </w:r>
      <w:r w:rsidRPr="00936188">
        <w:t xml:space="preserve">Clapeyron, the </w:t>
      </w:r>
      <w:r w:rsidR="00C03BAE" w:rsidRPr="00936188">
        <w:t xml:space="preserve">Clausius-Clapeyron </w:t>
      </w:r>
      <w:r w:rsidRPr="00936188">
        <w:t xml:space="preserve">and the virial equation, </w:t>
      </w:r>
      <w:r w:rsidR="00033D4A" w:rsidRPr="00936188">
        <w:t>with the study concluding</w:t>
      </w:r>
      <w:r w:rsidR="00AA3CC2" w:rsidRPr="00936188">
        <w:t xml:space="preserve"> that </w:t>
      </w:r>
      <w:r w:rsidRPr="00936188">
        <w:t xml:space="preserve">there can be differences when using the </w:t>
      </w:r>
      <w:r w:rsidR="00DB52F6" w:rsidRPr="00936188">
        <w:t xml:space="preserve">different </w:t>
      </w:r>
      <w:r w:rsidRPr="00936188">
        <w:t>methods</w:t>
      </w:r>
      <w:r w:rsidR="00112939" w:rsidRPr="00936188">
        <w:t xml:space="preserve"> </w:t>
      </w:r>
      <w:r w:rsidR="006F0A06">
        <w:rPr>
          <w:noProof/>
        </w:rPr>
        <w:t>[27]</w:t>
      </w:r>
      <w:r w:rsidRPr="00936188">
        <w:t xml:space="preserve">, </w:t>
      </w:r>
      <w:r w:rsidR="00312580">
        <w:t>indicating that</w:t>
      </w:r>
      <w:r w:rsidRPr="00936188">
        <w:t xml:space="preserve"> </w:t>
      </w:r>
      <w:r w:rsidR="00DB52F6" w:rsidRPr="00936188">
        <w:t>the</w:t>
      </w:r>
      <w:r w:rsidRPr="00936188">
        <w:t xml:space="preserve"> </w:t>
      </w:r>
      <w:r w:rsidR="00AA3CC2" w:rsidRPr="00936188">
        <w:t>approximations</w:t>
      </w:r>
      <w:r w:rsidR="00033D4A" w:rsidRPr="00936188">
        <w:t xml:space="preserve"> of the Clausius-Clapeyron</w:t>
      </w:r>
      <w:r w:rsidR="00AA3CC2" w:rsidRPr="00936188">
        <w:t xml:space="preserve"> might not be valid for hydrogen adsorption at high pressures. </w:t>
      </w:r>
    </w:p>
    <w:p w14:paraId="29672A83" w14:textId="75D6BE06" w:rsidR="00C03BAE" w:rsidRPr="00936188" w:rsidRDefault="00C03BAE" w:rsidP="00226518">
      <w:pPr>
        <w:spacing w:line="360" w:lineRule="auto"/>
        <w:jc w:val="both"/>
      </w:pPr>
    </w:p>
    <w:p w14:paraId="33893FDB" w14:textId="18542218" w:rsidR="007A002A" w:rsidRPr="00936188" w:rsidRDefault="00C03BAE" w:rsidP="00226518">
      <w:pPr>
        <w:spacing w:line="360" w:lineRule="auto"/>
        <w:jc w:val="both"/>
      </w:pPr>
      <w:r w:rsidRPr="00936188">
        <w:t xml:space="preserve">The use of the Clausius-Clapeyron equation means that isosteric enthalpies </w:t>
      </w:r>
      <w:r w:rsidR="007A002A" w:rsidRPr="00936188">
        <w:t xml:space="preserve">are usually represented as the </w:t>
      </w:r>
      <w:r w:rsidRPr="00936188">
        <w:t>as a function of coverage</w:t>
      </w:r>
      <w:r w:rsidR="007A002A" w:rsidRPr="00936188">
        <w:t xml:space="preserve">, as their determination relies on plotting the </w:t>
      </w:r>
      <w:r w:rsidR="004E2AC1" w:rsidRPr="00936188">
        <w:t xml:space="preserve">logarithm of the </w:t>
      </w:r>
      <w:r w:rsidR="007A002A" w:rsidRPr="00936188">
        <w:t>isostere (that is, the pressure at equal amount adsorbed) a</w:t>
      </w:r>
      <w:r w:rsidR="004E2AC1" w:rsidRPr="00936188">
        <w:t>gainst the inverse</w:t>
      </w:r>
      <w:r w:rsidR="007A002A" w:rsidRPr="00936188">
        <w:t xml:space="preserve"> temperature</w:t>
      </w:r>
      <w:r w:rsidR="00033D4A" w:rsidRPr="00936188">
        <w:t>s</w:t>
      </w:r>
      <w:r w:rsidR="00312580">
        <w:t xml:space="preserve">. This can be calculated from </w:t>
      </w:r>
      <w:r w:rsidR="00033D4A" w:rsidRPr="00936188">
        <w:t>just two</w:t>
      </w:r>
      <w:r w:rsidR="00312580">
        <w:t xml:space="preserve"> temperatures</w:t>
      </w:r>
      <w:r w:rsidR="00033D4A" w:rsidRPr="00936188">
        <w:t>, as seen in Eq.</w:t>
      </w:r>
      <w:r w:rsidR="001935D6">
        <w:t>8</w:t>
      </w:r>
      <w:r w:rsidR="007A002A" w:rsidRPr="00936188">
        <w:t xml:space="preserve">. </w:t>
      </w:r>
      <w:r w:rsidR="00312580">
        <w:t>using</w:t>
      </w:r>
      <w:r w:rsidR="00033D4A" w:rsidRPr="00936188">
        <w:t xml:space="preserve"> a linear fit </w:t>
      </w:r>
      <w:r w:rsidR="00312580">
        <w:t>to</w:t>
      </w:r>
      <w:r w:rsidR="00033D4A" w:rsidRPr="00936188">
        <w:t xml:space="preserve"> the inverse temperatures. Whe</w:t>
      </w:r>
      <w:r w:rsidR="00312580">
        <w:t>n</w:t>
      </w:r>
      <w:r w:rsidR="00033D4A" w:rsidRPr="00936188">
        <w:t xml:space="preserve"> using two or more temperatures, the</w:t>
      </w:r>
      <w:r w:rsidR="007A002A" w:rsidRPr="00936188">
        <w:t xml:space="preserve"> enthalpy of adsorption for that amount adsorbed is the gradient of the linear fit</w:t>
      </w:r>
      <w:r w:rsidR="00033D4A" w:rsidRPr="00936188">
        <w:t xml:space="preserve"> through the inverse temperature</w:t>
      </w:r>
      <w:r w:rsidR="007A002A" w:rsidRPr="00936188">
        <w:t xml:space="preserve">. One of the consequences </w:t>
      </w:r>
      <w:r w:rsidR="00E4018E" w:rsidRPr="00936188">
        <w:t xml:space="preserve">of this treatment </w:t>
      </w:r>
      <w:r w:rsidR="007A002A" w:rsidRPr="00936188">
        <w:t xml:space="preserve">is that the isosteric enthalpies are then </w:t>
      </w:r>
      <w:r w:rsidR="00033D4A" w:rsidRPr="00936188">
        <w:t>solely a</w:t>
      </w:r>
      <w:r w:rsidR="007A002A" w:rsidRPr="00936188">
        <w:t xml:space="preserve"> function of the coverage and are independent of temperature</w:t>
      </w:r>
      <w:r w:rsidR="00312580">
        <w:t xml:space="preserve"> </w:t>
      </w:r>
      <w:r w:rsidR="00E4018E" w:rsidRPr="00936188">
        <w:t>using this method</w:t>
      </w:r>
      <w:r w:rsidR="007A002A" w:rsidRPr="00936188">
        <w:t xml:space="preserve">. </w:t>
      </w:r>
      <w:r w:rsidR="00E4018E" w:rsidRPr="00936188">
        <w:t>If instead th</w:t>
      </w:r>
      <w:r w:rsidR="007A002A" w:rsidRPr="00936188">
        <w:t xml:space="preserve">e Clapeyron equation </w:t>
      </w:r>
      <w:r w:rsidR="00E4018E" w:rsidRPr="00936188">
        <w:t>is applied t</w:t>
      </w:r>
      <w:r w:rsidR="007A002A" w:rsidRPr="00936188">
        <w:t>o isotherm data</w:t>
      </w:r>
      <w:r w:rsidR="00E4018E" w:rsidRPr="00936188">
        <w:t xml:space="preserve"> (Eq.</w:t>
      </w:r>
      <w:r w:rsidR="001935D6">
        <w:t>6</w:t>
      </w:r>
      <w:r w:rsidR="00E4018E" w:rsidRPr="00936188">
        <w:t>), it</w:t>
      </w:r>
      <w:r w:rsidR="007A002A" w:rsidRPr="00936188">
        <w:t xml:space="preserve"> can yield isosteric enthalpies at different temperatures as a function of coverage</w:t>
      </w:r>
      <w:r w:rsidR="00033D4A" w:rsidRPr="00936188">
        <w:t xml:space="preserve">. </w:t>
      </w:r>
      <w:proofErr w:type="gramStart"/>
      <w:r w:rsidR="00033D4A" w:rsidRPr="00936188">
        <w:t>In order to</w:t>
      </w:r>
      <w:proofErr w:type="gramEnd"/>
      <w:r w:rsidR="00033D4A" w:rsidRPr="00936188">
        <w:t xml:space="preserve"> be able to do this, the isosteres need to be differentiated individually against temperature at constant amount adsorbed, and the adsorbed molar volumes need to be determined. As shown previously</w:t>
      </w:r>
      <w:r w:rsidR="006F0A06">
        <w:t xml:space="preserve"> </w:t>
      </w:r>
      <w:r w:rsidR="00C85924">
        <w:rPr>
          <w:noProof/>
        </w:rPr>
        <w:t>[27]</w:t>
      </w:r>
      <w:r w:rsidR="00033D4A" w:rsidRPr="00936188">
        <w:t xml:space="preserve">, both these can be achieved </w:t>
      </w:r>
      <w:r w:rsidR="00033D4A" w:rsidRPr="00936188">
        <w:lastRenderedPageBreak/>
        <w:t>using a model that is applied to experimental data and can calculate absolute and total amounts adsorbed in the pore</w:t>
      </w:r>
      <w:r w:rsidR="00651A37" w:rsidRPr="00936188">
        <w:t>, making it more accessible to calculate isosteres and differences in molar volumes</w:t>
      </w:r>
      <w:r w:rsidR="00033D4A" w:rsidRPr="00936188">
        <w:t>.</w:t>
      </w:r>
    </w:p>
    <w:p w14:paraId="21FCF225" w14:textId="7FE23A4C" w:rsidR="007A002A" w:rsidRPr="00936188" w:rsidRDefault="007A002A" w:rsidP="00226518">
      <w:pPr>
        <w:spacing w:line="360" w:lineRule="auto"/>
        <w:jc w:val="both"/>
      </w:pPr>
    </w:p>
    <w:p w14:paraId="2703E78D" w14:textId="76A1C40B" w:rsidR="00166303" w:rsidRPr="00936188" w:rsidRDefault="00DB30C7" w:rsidP="00B473B9">
      <w:pPr>
        <w:spacing w:line="360" w:lineRule="auto"/>
        <w:jc w:val="both"/>
      </w:pPr>
      <w:proofErr w:type="gramStart"/>
      <w:r w:rsidRPr="00936188">
        <w:t xml:space="preserve">In order </w:t>
      </w:r>
      <w:r w:rsidR="00E4018E" w:rsidRPr="00936188">
        <w:t>to</w:t>
      </w:r>
      <w:proofErr w:type="gramEnd"/>
      <w:r w:rsidR="00E4018E" w:rsidRPr="00936188">
        <w:t xml:space="preserve"> </w:t>
      </w:r>
      <w:r w:rsidR="001E1FFC" w:rsidRPr="00936188">
        <w:t xml:space="preserve">compare </w:t>
      </w:r>
      <w:r w:rsidR="00166303" w:rsidRPr="00936188">
        <w:t xml:space="preserve">adsorption </w:t>
      </w:r>
      <w:r w:rsidR="001E1FFC" w:rsidRPr="00936188">
        <w:t>enthalpies</w:t>
      </w:r>
      <w:r w:rsidR="00166303" w:rsidRPr="00936188">
        <w:t xml:space="preserve"> in the MIL-101(Cr)</w:t>
      </w:r>
      <w:r w:rsidR="001E1FFC" w:rsidRPr="00936188">
        <w:t xml:space="preserve"> with direct measurement methods, we used </w:t>
      </w:r>
      <w:bookmarkStart w:id="0" w:name="_Hlk47426125"/>
      <w:r w:rsidR="001E1FFC" w:rsidRPr="00936188">
        <w:t xml:space="preserve">high-pressure Differential Scanning Calorimetry (DSC), </w:t>
      </w:r>
      <w:r w:rsidR="00333DFA">
        <w:t>using</w:t>
      </w:r>
      <w:r w:rsidR="001E1FFC" w:rsidRPr="00936188">
        <w:t xml:space="preserve"> a </w:t>
      </w:r>
      <w:proofErr w:type="spellStart"/>
      <w:r w:rsidR="001E1FFC" w:rsidRPr="00936188">
        <w:t>Setaram</w:t>
      </w:r>
      <w:proofErr w:type="spellEnd"/>
      <w:r w:rsidR="001E1FFC" w:rsidRPr="00936188">
        <w:t xml:space="preserve"> μDSC7 Evo module equipped with high-pressure sample holder</w:t>
      </w:r>
      <w:bookmarkEnd w:id="0"/>
      <w:r w:rsidR="00885356" w:rsidRPr="00936188">
        <w:t xml:space="preserve"> coupled to a </w:t>
      </w:r>
      <w:proofErr w:type="spellStart"/>
      <w:r w:rsidR="00885356" w:rsidRPr="00936188">
        <w:t>Setaram</w:t>
      </w:r>
      <w:proofErr w:type="spellEnd"/>
      <w:r w:rsidR="00885356" w:rsidRPr="00936188">
        <w:t xml:space="preserve"> Hy-Energy PCTPro-2000</w:t>
      </w:r>
      <w:r w:rsidR="001E1FFC" w:rsidRPr="00936188">
        <w:t>.</w:t>
      </w:r>
      <w:r w:rsidR="00327DDF" w:rsidRPr="00936188">
        <w:t xml:space="preserve"> Details o</w:t>
      </w:r>
      <w:r w:rsidR="00333DFA">
        <w:t>f</w:t>
      </w:r>
      <w:r w:rsidR="00327DDF" w:rsidRPr="00936188">
        <w:t xml:space="preserve"> the DSC experiments are in Supporting Information. </w:t>
      </w:r>
      <w:r w:rsidR="001E1FFC" w:rsidRPr="00936188">
        <w:t xml:space="preserve"> As can be seen in Fig. 4A, the DSC showed an exothermic peak in the heat flow associated with adsorption at each dose pressure. The </w:t>
      </w:r>
      <w:r w:rsidR="000C27AA" w:rsidRPr="00936188">
        <w:t xml:space="preserve">heat flows and hydrogen pressures are represented in </w:t>
      </w:r>
      <w:r w:rsidR="00333DFA">
        <w:t>F</w:t>
      </w:r>
      <w:r w:rsidR="000C27AA" w:rsidRPr="00936188">
        <w:t>igure</w:t>
      </w:r>
      <w:r w:rsidR="00333DFA">
        <w:t xml:space="preserve"> 4A</w:t>
      </w:r>
      <w:r w:rsidR="000C27AA" w:rsidRPr="00936188">
        <w:t xml:space="preserve">, </w:t>
      </w:r>
      <w:r w:rsidR="00651A37" w:rsidRPr="00936188">
        <w:t xml:space="preserve">with the </w:t>
      </w:r>
      <w:r w:rsidR="00B473B9" w:rsidRPr="00936188">
        <w:t>peak height</w:t>
      </w:r>
      <w:r w:rsidR="00651A37" w:rsidRPr="00936188">
        <w:t>s</w:t>
      </w:r>
      <w:r w:rsidR="00B473B9" w:rsidRPr="00936188">
        <w:t xml:space="preserve"> associated with the exothermic heat flow decreased with increasing dose pressure, as would be expected. </w:t>
      </w:r>
    </w:p>
    <w:p w14:paraId="5FF81876" w14:textId="6F59A330" w:rsidR="00166303" w:rsidRDefault="006F5945" w:rsidP="00166303">
      <w:pPr>
        <w:jc w:val="both"/>
        <w:rPr>
          <w:noProof/>
        </w:rPr>
      </w:pPr>
      <w:r>
        <w:rPr>
          <w:noProof/>
          <w:lang w:val="en-SG" w:eastAsia="en-SG"/>
        </w:rPr>
        <mc:AlternateContent>
          <mc:Choice Requires="wpg">
            <w:drawing>
              <wp:anchor distT="0" distB="0" distL="114300" distR="114300" simplePos="0" relativeHeight="251658240" behindDoc="0" locked="0" layoutInCell="1" allowOverlap="1" wp14:anchorId="7F40671F" wp14:editId="2565933E">
                <wp:simplePos x="0" y="0"/>
                <wp:positionH relativeFrom="column">
                  <wp:posOffset>-139700</wp:posOffset>
                </wp:positionH>
                <wp:positionV relativeFrom="paragraph">
                  <wp:posOffset>142240</wp:posOffset>
                </wp:positionV>
                <wp:extent cx="3429000" cy="241300"/>
                <wp:effectExtent l="0" t="0" r="0" b="6350"/>
                <wp:wrapNone/>
                <wp:docPr id="11" name="Group 11"/>
                <wp:cNvGraphicFramePr/>
                <a:graphic xmlns:a="http://schemas.openxmlformats.org/drawingml/2006/main">
                  <a:graphicData uri="http://schemas.microsoft.com/office/word/2010/wordprocessingGroup">
                    <wpg:wgp>
                      <wpg:cNvGrpSpPr/>
                      <wpg:grpSpPr>
                        <a:xfrm>
                          <a:off x="0" y="0"/>
                          <a:ext cx="3429000" cy="241300"/>
                          <a:chOff x="-19050" y="0"/>
                          <a:chExt cx="3429000" cy="241300"/>
                        </a:xfrm>
                      </wpg:grpSpPr>
                      <wps:wsp>
                        <wps:cNvPr id="15" name="Text Box 2"/>
                        <wps:cNvSpPr txBox="1">
                          <a:spLocks noChangeArrowheads="1"/>
                        </wps:cNvSpPr>
                        <wps:spPr bwMode="auto">
                          <a:xfrm>
                            <a:off x="-19050" y="0"/>
                            <a:ext cx="387350" cy="228600"/>
                          </a:xfrm>
                          <a:prstGeom prst="rect">
                            <a:avLst/>
                          </a:prstGeom>
                          <a:solidFill>
                            <a:srgbClr val="FFFFFF"/>
                          </a:solidFill>
                          <a:ln w="9525">
                            <a:noFill/>
                            <a:miter lim="800000"/>
                            <a:headEnd/>
                            <a:tailEnd/>
                          </a:ln>
                        </wps:spPr>
                        <wps:txbx>
                          <w:txbxContent>
                            <w:p w14:paraId="29ADDC63" w14:textId="77777777" w:rsidR="00820935" w:rsidRDefault="00820935" w:rsidP="006F5945">
                              <w:r>
                                <w:t>A)</w:t>
                              </w:r>
                            </w:p>
                          </w:txbxContent>
                        </wps:txbx>
                        <wps:bodyPr rot="0" vert="horz" wrap="square" lIns="91440" tIns="45720" rIns="91440" bIns="45720" anchor="t" anchorCtr="0">
                          <a:noAutofit/>
                        </wps:bodyPr>
                      </wps:wsp>
                      <wps:wsp>
                        <wps:cNvPr id="20" name="Text Box 2"/>
                        <wps:cNvSpPr txBox="1">
                          <a:spLocks noChangeArrowheads="1"/>
                        </wps:cNvSpPr>
                        <wps:spPr bwMode="auto">
                          <a:xfrm>
                            <a:off x="2990850" y="0"/>
                            <a:ext cx="419100" cy="241300"/>
                          </a:xfrm>
                          <a:prstGeom prst="rect">
                            <a:avLst/>
                          </a:prstGeom>
                          <a:solidFill>
                            <a:srgbClr val="FFFFFF"/>
                          </a:solidFill>
                          <a:ln w="9525">
                            <a:noFill/>
                            <a:miter lim="800000"/>
                            <a:headEnd/>
                            <a:tailEnd/>
                          </a:ln>
                        </wps:spPr>
                        <wps:txbx>
                          <w:txbxContent>
                            <w:p w14:paraId="46CC1A68" w14:textId="77777777" w:rsidR="00820935" w:rsidRPr="008D4650" w:rsidRDefault="00820935" w:rsidP="006F5945">
                              <w:pPr>
                                <w:rPr>
                                  <w:lang w:val="pt-PT"/>
                                </w:rPr>
                              </w:pPr>
                              <w:r>
                                <w:rPr>
                                  <w:lang w:val="pt-PT"/>
                                </w:rPr>
                                <w:t>B)</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F40671F" id="Group 11" o:spid="_x0000_s1034" style="position:absolute;left:0;text-align:left;margin-left:-11pt;margin-top:11.2pt;width:270pt;height:19pt;z-index:251658240;mso-width-relative:margin" coordorigin="-190" coordsize="34290,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">
                <v:shape id="_x0000_s1035" type="#_x0000_t202" style="position:absolute;left:-190;width:38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29ADDC63" w14:textId="77777777" w:rsidR="00820935" w:rsidRDefault="00820935" w:rsidP="006F5945">
                        <w:r>
                          <w:t>A)</w:t>
                        </w:r>
                      </w:p>
                    </w:txbxContent>
                  </v:textbox>
                </v:shape>
                <v:shape id="_x0000_s1036" type="#_x0000_t202" style="position:absolute;left:29908;width:4191;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46CC1A68" w14:textId="77777777" w:rsidR="00820935" w:rsidRPr="008D4650" w:rsidRDefault="00820935" w:rsidP="006F5945">
                        <w:pPr>
                          <w:rPr>
                            <w:lang w:val="pt-PT"/>
                          </w:rPr>
                        </w:pPr>
                        <w:r>
                          <w:rPr>
                            <w:lang w:val="pt-PT"/>
                          </w:rPr>
                          <w:t>B)</w:t>
                        </w:r>
                      </w:p>
                    </w:txbxContent>
                  </v:textbox>
                </v:shape>
              </v:group>
            </w:pict>
          </mc:Fallback>
        </mc:AlternateContent>
      </w:r>
      <w:r w:rsidR="00166303" w:rsidRPr="00936188">
        <w:rPr>
          <w:noProof/>
        </w:rPr>
        <w:t xml:space="preserve"> </w:t>
      </w:r>
    </w:p>
    <w:p w14:paraId="2AE7E03D" w14:textId="74F694DE" w:rsidR="000A7F8B" w:rsidRPr="00936188" w:rsidRDefault="00B25D99" w:rsidP="00166303">
      <w:pPr>
        <w:jc w:val="both"/>
      </w:pPr>
      <w:r w:rsidRPr="00936188">
        <w:rPr>
          <w:noProof/>
          <w:lang w:val="en-SG" w:eastAsia="en-SG"/>
        </w:rPr>
        <w:drawing>
          <wp:inline distT="0" distB="0" distL="0" distR="0" wp14:anchorId="0C9C8D14" wp14:editId="6CDCDD0E">
            <wp:extent cx="2906505" cy="2232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06505" cy="2232000"/>
                    </a:xfrm>
                    <a:prstGeom prst="rect">
                      <a:avLst/>
                    </a:prstGeom>
                    <a:noFill/>
                    <a:ln>
                      <a:noFill/>
                    </a:ln>
                  </pic:spPr>
                </pic:pic>
              </a:graphicData>
            </a:graphic>
          </wp:inline>
        </w:drawing>
      </w:r>
      <w:r w:rsidR="00E74F77">
        <w:rPr>
          <w:noProof/>
          <w:lang w:val="en-SG" w:eastAsia="en-SG"/>
        </w:rPr>
        <w:drawing>
          <wp:inline distT="0" distB="0" distL="0" distR="0" wp14:anchorId="0CBF4511" wp14:editId="7FB8DF1F">
            <wp:extent cx="2916850" cy="2232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6850" cy="2232000"/>
                    </a:xfrm>
                    <a:prstGeom prst="rect">
                      <a:avLst/>
                    </a:prstGeom>
                    <a:noFill/>
                    <a:ln>
                      <a:noFill/>
                    </a:ln>
                  </pic:spPr>
                </pic:pic>
              </a:graphicData>
            </a:graphic>
          </wp:inline>
        </w:drawing>
      </w:r>
    </w:p>
    <w:p w14:paraId="4BCF5E9A" w14:textId="1877F70E" w:rsidR="00166303" w:rsidRPr="00936188" w:rsidRDefault="00166303" w:rsidP="00166303">
      <w:pPr>
        <w:rPr>
          <w:b/>
          <w:bCs/>
          <w:sz w:val="18"/>
          <w:szCs w:val="18"/>
        </w:rPr>
      </w:pPr>
      <w:r w:rsidRPr="00936188">
        <w:rPr>
          <w:b/>
          <w:bCs/>
          <w:sz w:val="18"/>
          <w:szCs w:val="18"/>
        </w:rPr>
        <w:t xml:space="preserve">Figure 4 – </w:t>
      </w:r>
      <w:r w:rsidR="00333DFA">
        <w:rPr>
          <w:b/>
          <w:bCs/>
          <w:sz w:val="18"/>
          <w:szCs w:val="18"/>
        </w:rPr>
        <w:t xml:space="preserve">A) </w:t>
      </w:r>
      <w:r w:rsidR="00165E65" w:rsidRPr="00936188">
        <w:rPr>
          <w:b/>
          <w:bCs/>
          <w:sz w:val="18"/>
          <w:szCs w:val="18"/>
        </w:rPr>
        <w:t>Differential Scanning Calorimetry</w:t>
      </w:r>
      <w:r w:rsidRPr="00936188">
        <w:rPr>
          <w:b/>
          <w:bCs/>
          <w:sz w:val="18"/>
          <w:szCs w:val="18"/>
        </w:rPr>
        <w:t xml:space="preserve"> </w:t>
      </w:r>
      <w:r w:rsidR="00266A7C">
        <w:rPr>
          <w:b/>
          <w:bCs/>
          <w:sz w:val="18"/>
          <w:szCs w:val="18"/>
        </w:rPr>
        <w:t xml:space="preserve">carried out </w:t>
      </w:r>
      <w:r w:rsidRPr="00936188">
        <w:rPr>
          <w:b/>
          <w:bCs/>
          <w:sz w:val="18"/>
          <w:szCs w:val="18"/>
        </w:rPr>
        <w:t>at 300 K</w:t>
      </w:r>
      <w:r w:rsidR="00165E65" w:rsidRPr="00936188">
        <w:rPr>
          <w:b/>
          <w:bCs/>
          <w:sz w:val="18"/>
          <w:szCs w:val="18"/>
        </w:rPr>
        <w:t xml:space="preserve"> using a high-pressure calorimeter coupled to a</w:t>
      </w:r>
      <w:r w:rsidR="00885356" w:rsidRPr="00936188">
        <w:rPr>
          <w:b/>
          <w:bCs/>
          <w:sz w:val="18"/>
          <w:szCs w:val="18"/>
        </w:rPr>
        <w:t xml:space="preserve"> high-pressure volumetric apparatus. </w:t>
      </w:r>
      <w:r w:rsidR="00333DFA">
        <w:rPr>
          <w:b/>
          <w:bCs/>
          <w:sz w:val="18"/>
          <w:szCs w:val="18"/>
        </w:rPr>
        <w:t xml:space="preserve">B) </w:t>
      </w:r>
      <w:r w:rsidRPr="00936188">
        <w:rPr>
          <w:b/>
          <w:bCs/>
          <w:sz w:val="18"/>
          <w:szCs w:val="18"/>
        </w:rPr>
        <w:t>The calorimetric enthalpies and the enthalpies of adsorption calculated from G</w:t>
      </w:r>
      <w:r w:rsidR="004924E2">
        <w:rPr>
          <w:b/>
          <w:bCs/>
          <w:sz w:val="18"/>
          <w:szCs w:val="18"/>
        </w:rPr>
        <w:t>E</w:t>
      </w:r>
      <w:r w:rsidRPr="00936188">
        <w:rPr>
          <w:b/>
          <w:bCs/>
          <w:sz w:val="18"/>
          <w:szCs w:val="18"/>
        </w:rPr>
        <w:t>MC at 77 K and from using exact Clapeyron equation applied to the experimental excess isotherms 77K as a function of coverage</w:t>
      </w:r>
      <w:r w:rsidR="00333DFA">
        <w:rPr>
          <w:b/>
          <w:bCs/>
          <w:sz w:val="18"/>
          <w:szCs w:val="18"/>
        </w:rPr>
        <w:t>.</w:t>
      </w:r>
    </w:p>
    <w:p w14:paraId="3856EEEE" w14:textId="77777777" w:rsidR="00F271AB" w:rsidRPr="00936188" w:rsidRDefault="00F271AB" w:rsidP="00F271AB">
      <w:pPr>
        <w:spacing w:line="360" w:lineRule="auto"/>
        <w:jc w:val="both"/>
      </w:pPr>
    </w:p>
    <w:p w14:paraId="71DE5219" w14:textId="0A9B78AF" w:rsidR="000C27AA" w:rsidRPr="00936188" w:rsidRDefault="00F95A03" w:rsidP="00885356">
      <w:pPr>
        <w:spacing w:line="360" w:lineRule="auto"/>
        <w:jc w:val="both"/>
      </w:pPr>
      <w:r>
        <w:t>Direct c</w:t>
      </w:r>
      <w:r w:rsidR="000C27AA" w:rsidRPr="00936188">
        <w:t>ompar</w:t>
      </w:r>
      <w:r>
        <w:t>ison of</w:t>
      </w:r>
      <w:r w:rsidR="000C27AA" w:rsidRPr="00936188">
        <w:t xml:space="preserve"> enthalpies determined from the isosteric method </w:t>
      </w:r>
      <w:r w:rsidR="00166303" w:rsidRPr="00936188">
        <w:t xml:space="preserve">or from computational simulations </w:t>
      </w:r>
      <w:r w:rsidR="000C27AA" w:rsidRPr="00936188">
        <w:t xml:space="preserve">is </w:t>
      </w:r>
      <w:r w:rsidR="00327DDF" w:rsidRPr="00936188">
        <w:t>difficult</w:t>
      </w:r>
      <w:r w:rsidR="000C27AA" w:rsidRPr="00936188">
        <w:t>,</w:t>
      </w:r>
      <w:r w:rsidR="00165E65" w:rsidRPr="00936188">
        <w:t xml:space="preserve"> because of </w:t>
      </w:r>
      <w:r w:rsidR="0001406D">
        <w:t xml:space="preserve">assumptions </w:t>
      </w:r>
      <w:r w:rsidR="00AC61FC">
        <w:t>inherent to computational simulations and the assumptions</w:t>
      </w:r>
      <w:r w:rsidR="0001406D">
        <w:t xml:space="preserve"> </w:t>
      </w:r>
      <w:r w:rsidR="00AC61FC">
        <w:t>on the</w:t>
      </w:r>
      <w:r w:rsidR="0001406D">
        <w:t xml:space="preserve"> data analysis </w:t>
      </w:r>
      <w:r w:rsidR="00AC61FC">
        <w:t>for</w:t>
      </w:r>
      <w:r w:rsidR="00165E65" w:rsidRPr="00936188">
        <w:t xml:space="preserve"> the </w:t>
      </w:r>
      <w:r w:rsidR="00272ED2">
        <w:t xml:space="preserve">experimental calorimetric </w:t>
      </w:r>
      <w:r w:rsidR="00165E65" w:rsidRPr="00936188">
        <w:t xml:space="preserve">data. </w:t>
      </w:r>
      <w:r w:rsidR="00885356" w:rsidRPr="00936188">
        <w:t>T</w:t>
      </w:r>
      <w:r w:rsidR="00442FC9" w:rsidRPr="00936188">
        <w:t>o compare with other enthalpy determination methods</w:t>
      </w:r>
      <w:r w:rsidR="00883B98">
        <w:t xml:space="preserve"> across the whole range of uptake,</w:t>
      </w:r>
      <w:r w:rsidR="00442FC9" w:rsidRPr="00936188">
        <w:t xml:space="preserve"> each peak would have to be assigned to a specific hydrogen uptake, which even if using an appropriate model (such as the absolute function presented in Eq.2</w:t>
      </w:r>
      <w:r w:rsidR="00885356" w:rsidRPr="00936188">
        <w:t>)</w:t>
      </w:r>
      <w:r w:rsidR="00272ED2">
        <w:t xml:space="preserve"> </w:t>
      </w:r>
      <w:r w:rsidR="00442FC9" w:rsidRPr="00936188">
        <w:t xml:space="preserve">would be highly sensitive to the pressures used. In addition, the experiments were done at room temperature, where hydrogen uptakes are very </w:t>
      </w:r>
      <w:proofErr w:type="gramStart"/>
      <w:r w:rsidR="00442FC9" w:rsidRPr="00936188">
        <w:t>small</w:t>
      </w:r>
      <w:proofErr w:type="gramEnd"/>
      <w:r w:rsidR="00885356" w:rsidRPr="00936188">
        <w:t xml:space="preserve"> and the uncertainty of the measurements is greater</w:t>
      </w:r>
      <w:r w:rsidR="00442FC9" w:rsidRPr="00936188">
        <w:t xml:space="preserve">.  </w:t>
      </w:r>
      <w:proofErr w:type="gramStart"/>
      <w:r w:rsidR="00442FC9" w:rsidRPr="00936188">
        <w:t>In order to</w:t>
      </w:r>
      <w:proofErr w:type="gramEnd"/>
      <w:r w:rsidR="00442FC9" w:rsidRPr="00936188">
        <w:t xml:space="preserve"> reduce uncertainties, the DSC was used to determine the zero-coverage enthalpy only. The first exothermic peak in Fig. 4A</w:t>
      </w:r>
      <w:r w:rsidR="00272ED2">
        <w:t xml:space="preserve"> (at ~500 secs)</w:t>
      </w:r>
      <w:r w:rsidR="00442FC9" w:rsidRPr="00936188">
        <w:t xml:space="preserve"> </w:t>
      </w:r>
      <w:r w:rsidR="00442FC9" w:rsidRPr="00936188">
        <w:lastRenderedPageBreak/>
        <w:t xml:space="preserve">was integrated using </w:t>
      </w:r>
      <w:proofErr w:type="spellStart"/>
      <w:r w:rsidR="00442FC9" w:rsidRPr="00936188">
        <w:t>OriginLab</w:t>
      </w:r>
      <w:proofErr w:type="spellEnd"/>
      <w:r w:rsidR="00442FC9" w:rsidRPr="00936188">
        <w:t xml:space="preserve">, and a value for the zero-coverage enthalpy was calculated (details in Supporting Information). </w:t>
      </w:r>
      <w:r w:rsidR="00B473B9" w:rsidRPr="00936188">
        <w:t xml:space="preserve">This </w:t>
      </w:r>
      <w:r w:rsidR="00272ED2">
        <w:t>calculated experimental value was</w:t>
      </w:r>
      <w:r w:rsidR="00B473B9" w:rsidRPr="00936188">
        <w:t xml:space="preserve"> </w:t>
      </w:r>
      <w:r w:rsidR="00F271AB" w:rsidRPr="00936188">
        <w:t>compare</w:t>
      </w:r>
      <w:r w:rsidR="00272ED2">
        <w:t>d</w:t>
      </w:r>
      <w:r w:rsidR="00F271AB" w:rsidRPr="00936188">
        <w:t xml:space="preserve"> with </w:t>
      </w:r>
      <w:r w:rsidR="00166303" w:rsidRPr="00936188">
        <w:t>the enthalpies calculated with the Clapeyron equation</w:t>
      </w:r>
      <w:r w:rsidR="00442FC9" w:rsidRPr="00936188">
        <w:t>, which were previously determined</w:t>
      </w:r>
      <w:r w:rsidR="00166303" w:rsidRPr="00936188">
        <w:t xml:space="preserve"> and from the </w:t>
      </w:r>
      <w:r w:rsidR="004924E2">
        <w:t xml:space="preserve">GEMC </w:t>
      </w:r>
      <w:r w:rsidR="00166303" w:rsidRPr="00936188">
        <w:t>simulations</w:t>
      </w:r>
      <w:r w:rsidR="00442FC9" w:rsidRPr="00936188">
        <w:t xml:space="preserve"> at 77 K (details in Supporting Information)</w:t>
      </w:r>
      <w:r w:rsidR="00F271AB" w:rsidRPr="00936188">
        <w:t>. In Fig. 4B, the enthalpies</w:t>
      </w:r>
      <w:r w:rsidR="00885356" w:rsidRPr="00936188">
        <w:t xml:space="preserve"> for the MIL-101(Cr)</w:t>
      </w:r>
      <w:r w:rsidR="00F271AB" w:rsidRPr="00936188">
        <w:t xml:space="preserve"> determined from the Clapeyron method at 77 K are shown, along with the zero</w:t>
      </w:r>
      <w:r w:rsidR="00442FC9" w:rsidRPr="00936188">
        <w:t>-</w:t>
      </w:r>
      <w:r w:rsidR="00F271AB" w:rsidRPr="00936188">
        <w:t xml:space="preserve">coverage enthalpy from the calorimetry and the enthalpies of adsorption obtained from </w:t>
      </w:r>
      <w:r w:rsidR="004924E2">
        <w:t xml:space="preserve">GEMC </w:t>
      </w:r>
      <w:r w:rsidR="00F271AB" w:rsidRPr="00936188">
        <w:t xml:space="preserve">simulations at 77 K. </w:t>
      </w:r>
      <w:r w:rsidR="00885356" w:rsidRPr="00936188">
        <w:t>The enthalpies determined from the Clapeyron equation were previously calculated</w:t>
      </w:r>
      <w:r w:rsidR="00C85924">
        <w:t xml:space="preserve"> </w:t>
      </w:r>
      <w:r w:rsidR="00C85924">
        <w:rPr>
          <w:noProof/>
        </w:rPr>
        <w:t>[27]</w:t>
      </w:r>
      <w:r w:rsidR="00885356" w:rsidRPr="00936188">
        <w:t xml:space="preserve"> </w:t>
      </w:r>
      <w:r w:rsidR="00272ED2">
        <w:t xml:space="preserve">by </w:t>
      </w:r>
      <w:r w:rsidR="00885356" w:rsidRPr="00936188">
        <w:t>averag</w:t>
      </w:r>
      <w:r w:rsidR="00272ED2">
        <w:t>ing the enthalpies</w:t>
      </w:r>
      <w:r w:rsidR="00885356" w:rsidRPr="00936188">
        <w:t xml:space="preserve"> across all temperatures to enable comparisons between the virial and Clausius-Clapeyron equation across all temperatures. </w:t>
      </w:r>
      <w:r w:rsidR="00F271AB" w:rsidRPr="00936188">
        <w:t xml:space="preserve">As was the case for the hydrogen uptakes, the enthalpies of adsorption from </w:t>
      </w:r>
      <w:r w:rsidR="00C94382">
        <w:t>simulations</w:t>
      </w:r>
      <w:r w:rsidR="00F271AB" w:rsidRPr="00936188">
        <w:t xml:space="preserve"> and from the Clapeyron equation are in </w:t>
      </w:r>
      <w:r w:rsidR="00442FC9" w:rsidRPr="00936188">
        <w:t>good</w:t>
      </w:r>
      <w:r w:rsidR="00F271AB" w:rsidRPr="00936188">
        <w:t xml:space="preserve"> agreement, and both are in good agreement with the zero-coverage enthalpy obtained for calorimetry</w:t>
      </w:r>
      <w:r w:rsidR="00166303" w:rsidRPr="00936188">
        <w:t xml:space="preserve">, with values between </w:t>
      </w:r>
      <w:r w:rsidR="00442FC9" w:rsidRPr="00936188">
        <w:t>4.</w:t>
      </w:r>
      <w:r w:rsidR="00166303" w:rsidRPr="00936188">
        <w:t xml:space="preserve">5 and </w:t>
      </w:r>
      <w:r w:rsidR="00442FC9" w:rsidRPr="00936188">
        <w:t>7</w:t>
      </w:r>
      <w:r w:rsidR="003E0808">
        <w:t>.0</w:t>
      </w:r>
      <w:r w:rsidR="00166303" w:rsidRPr="00936188">
        <w:t xml:space="preserve"> kJ mol</w:t>
      </w:r>
      <w:r w:rsidR="00166303" w:rsidRPr="00936188">
        <w:rPr>
          <w:vertAlign w:val="superscript"/>
        </w:rPr>
        <w:t>-1</w:t>
      </w:r>
      <w:r w:rsidR="00166303" w:rsidRPr="00936188">
        <w:t xml:space="preserve">. </w:t>
      </w:r>
      <w:r w:rsidR="00926230" w:rsidRPr="00926230">
        <w:t xml:space="preserve">The lowest coverage point (at 0.5 </w:t>
      </w:r>
      <w:proofErr w:type="spellStart"/>
      <w:r w:rsidR="00926230" w:rsidRPr="00926230">
        <w:t>wt</w:t>
      </w:r>
      <w:proofErr w:type="spellEnd"/>
      <w:r w:rsidR="00926230" w:rsidRPr="00926230">
        <w:t xml:space="preserve">%) calculated from the Clapeyron equation at 77 K is 9.94 kJ mol-1. This is within the range reported by </w:t>
      </w:r>
      <w:proofErr w:type="spellStart"/>
      <w:r w:rsidR="00926230" w:rsidRPr="00926230">
        <w:t>Latroche</w:t>
      </w:r>
      <w:proofErr w:type="spellEnd"/>
      <w:r w:rsidR="00926230" w:rsidRPr="00926230">
        <w:t xml:space="preserve"> et al.</w:t>
      </w:r>
      <w:r w:rsidR="00D160A9">
        <w:t xml:space="preserve"> </w:t>
      </w:r>
      <w:r w:rsidR="003D1CAC">
        <w:rPr>
          <w:noProof/>
        </w:rPr>
        <w:t>[24]</w:t>
      </w:r>
      <w:r w:rsidR="00926230" w:rsidRPr="00926230">
        <w:t xml:space="preserve"> (9.3 – 10.0 kJ mol-1), who reached these values using microcalorimetry at low coverages for hydrogen in MIL-101(Cr).</w:t>
      </w:r>
      <w:r w:rsidR="008E3E3C" w:rsidRPr="00936188">
        <w:t>The enthalpies then decrease with coverage and are close to 2</w:t>
      </w:r>
      <w:r w:rsidR="003E0808">
        <w:t>.0</w:t>
      </w:r>
      <w:r w:rsidR="008E3E3C" w:rsidRPr="00936188">
        <w:t xml:space="preserve"> kJ mol</w:t>
      </w:r>
      <w:r w:rsidR="008E3E3C" w:rsidRPr="00936188">
        <w:rPr>
          <w:vertAlign w:val="superscript"/>
        </w:rPr>
        <w:t>-1</w:t>
      </w:r>
      <w:r w:rsidR="008E3E3C" w:rsidRPr="00936188">
        <w:t xml:space="preserve"> at 6 wt.%. The accurate determin</w:t>
      </w:r>
      <w:r w:rsidR="00272ED2">
        <w:t>ation of</w:t>
      </w:r>
      <w:r w:rsidR="008E3E3C" w:rsidRPr="00936188">
        <w:t xml:space="preserve"> the enthalpies</w:t>
      </w:r>
      <w:r w:rsidR="00272ED2">
        <w:t xml:space="preserve"> of adsorption</w:t>
      </w:r>
      <w:r w:rsidR="008E3E3C" w:rsidRPr="00936188">
        <w:t xml:space="preserve"> </w:t>
      </w:r>
      <w:r w:rsidR="00272ED2">
        <w:t>has important implications for</w:t>
      </w:r>
      <w:r w:rsidR="008E3E3C" w:rsidRPr="00936188">
        <w:t xml:space="preserve"> thermal management in hydrogen storage systems. If these rely on adsorbent materials, 77 K is the most likely temperature of operation and a difference as small as 1</w:t>
      </w:r>
      <w:r w:rsidR="003E0808">
        <w:t>.0</w:t>
      </w:r>
      <w:r w:rsidR="008E3E3C" w:rsidRPr="00936188">
        <w:t xml:space="preserve"> kJ mol</w:t>
      </w:r>
      <w:r w:rsidR="008E3E3C" w:rsidRPr="00936188">
        <w:rPr>
          <w:vertAlign w:val="superscript"/>
        </w:rPr>
        <w:t>-1</w:t>
      </w:r>
      <w:r w:rsidR="008E3E3C" w:rsidRPr="00936188">
        <w:t xml:space="preserve"> in estimating these enthalpies could represent</w:t>
      </w:r>
      <w:r w:rsidR="00272ED2">
        <w:t xml:space="preserve"> a difference of</w:t>
      </w:r>
      <w:r w:rsidR="008E3E3C" w:rsidRPr="00936188">
        <w:t xml:space="preserve"> </w:t>
      </w:r>
      <w:r w:rsidR="00124E9F" w:rsidRPr="00936188">
        <w:t xml:space="preserve">almost 1 MJ </w:t>
      </w:r>
      <w:r w:rsidR="00272ED2">
        <w:t xml:space="preserve">of heat released upon absorption </w:t>
      </w:r>
      <w:r w:rsidR="00124E9F" w:rsidRPr="00936188">
        <w:t>when considering a 4 kg hydrogen storage system</w:t>
      </w:r>
      <w:r w:rsidR="00442FC9" w:rsidRPr="00936188">
        <w:t xml:space="preserve">, which is why it is important to </w:t>
      </w:r>
      <w:r w:rsidR="00272ED2">
        <w:t>improve our understanding of the differences between these</w:t>
      </w:r>
      <w:r w:rsidR="00442FC9" w:rsidRPr="00936188">
        <w:t xml:space="preserve"> methods</w:t>
      </w:r>
      <w:r w:rsidR="00272ED2">
        <w:t xml:space="preserve"> of estimation</w:t>
      </w:r>
      <w:r w:rsidR="008E3E3C" w:rsidRPr="00936188">
        <w:t xml:space="preserve">. </w:t>
      </w:r>
    </w:p>
    <w:p w14:paraId="5AB55292" w14:textId="77777777" w:rsidR="007A002A" w:rsidRPr="00936188" w:rsidRDefault="007A002A" w:rsidP="00226518">
      <w:pPr>
        <w:spacing w:line="360" w:lineRule="auto"/>
        <w:jc w:val="both"/>
      </w:pPr>
    </w:p>
    <w:p w14:paraId="72646056" w14:textId="5830CB3F" w:rsidR="002A3EAC" w:rsidRPr="00936188" w:rsidRDefault="00166303" w:rsidP="002A3EAC">
      <w:pPr>
        <w:spacing w:line="360" w:lineRule="auto"/>
        <w:jc w:val="both"/>
        <w:rPr>
          <w:b/>
          <w:bCs/>
        </w:rPr>
      </w:pPr>
      <w:r w:rsidRPr="00936188">
        <w:rPr>
          <w:b/>
          <w:bCs/>
        </w:rPr>
        <w:t>Conclusions</w:t>
      </w:r>
    </w:p>
    <w:p w14:paraId="74267BA7" w14:textId="75A03806" w:rsidR="008E3E3C" w:rsidRPr="00936188" w:rsidRDefault="00124E9F" w:rsidP="008E3E3C">
      <w:pPr>
        <w:spacing w:line="360" w:lineRule="auto"/>
        <w:jc w:val="both"/>
      </w:pPr>
      <w:r w:rsidRPr="00936188">
        <w:t xml:space="preserve">Hydrogen adsorption in metal-organic framework MIL-101(Cr) was analysed with a combination of methods that include variable pressure and temperature </w:t>
      </w:r>
      <w:r w:rsidRPr="009C2FCB">
        <w:rPr>
          <w:i/>
          <w:iCs/>
        </w:rPr>
        <w:t>in-situ</w:t>
      </w:r>
      <w:r w:rsidRPr="00936188">
        <w:t xml:space="preserve"> synchrotron powder X-ray diffraction and inelastic neutron scattering, modelling applied to excess experimental isotherms, </w:t>
      </w:r>
      <w:r w:rsidR="00C94382">
        <w:t xml:space="preserve">molecular </w:t>
      </w:r>
      <w:r w:rsidRPr="00936188">
        <w:t xml:space="preserve">simulations and differential scanning calorimetry. The </w:t>
      </w:r>
      <w:r w:rsidRPr="009C2FCB">
        <w:rPr>
          <w:i/>
          <w:iCs/>
        </w:rPr>
        <w:t>in-situ</w:t>
      </w:r>
      <w:r w:rsidRPr="00936188">
        <w:t xml:space="preserve"> synchrotron X-ray diffraction shows negligible change in the unit cell of the MIL-101(Cr) at temperatures ranging from 80 to 300 K and at pressures up to 10 MPa, unlike other metal-organic frameworks from the MIL family, such as the MIL-53</w:t>
      </w:r>
      <w:r w:rsidR="00A20D6F" w:rsidRPr="00936188">
        <w:t>(Al)</w:t>
      </w:r>
      <w:r w:rsidRPr="00936188">
        <w:t xml:space="preserve">, which under the same conditions shows pressure and temperature variance. </w:t>
      </w:r>
      <w:r w:rsidR="00337098" w:rsidRPr="00936188">
        <w:t xml:space="preserve">This is important as the main assumptions in simulations and in the modelling of the experimental isotherms are the constant volume of adsorption. The </w:t>
      </w:r>
      <w:r w:rsidR="00C94382">
        <w:t xml:space="preserve">simulation </w:t>
      </w:r>
      <w:r w:rsidR="00337098" w:rsidRPr="00936188">
        <w:t xml:space="preserve">results show very good correlation with the absolute uptakes calculated from </w:t>
      </w:r>
      <w:r w:rsidR="00266A7C">
        <w:t xml:space="preserve">adsorption </w:t>
      </w:r>
      <w:r w:rsidR="00266A7C">
        <w:lastRenderedPageBreak/>
        <w:t>experiments</w:t>
      </w:r>
      <w:r w:rsidR="00337098" w:rsidRPr="00936188">
        <w:t xml:space="preserve"> at 77 K and provide an insight into the densification mechanism that happens at the molecular level. </w:t>
      </w:r>
      <w:r w:rsidR="00337098" w:rsidRPr="00D367C5">
        <w:t xml:space="preserve">The simulations indicate that </w:t>
      </w:r>
      <w:r w:rsidR="00B3532F" w:rsidRPr="00B3532F">
        <w:t>H</w:t>
      </w:r>
      <w:r w:rsidR="00B3532F" w:rsidRPr="00B3532F">
        <w:rPr>
          <w:vertAlign w:val="subscript"/>
        </w:rPr>
        <w:t>2</w:t>
      </w:r>
      <w:r w:rsidR="00B3532F">
        <w:t xml:space="preserve"> adsorption at a low pressure is mainly located in the super-tetrahedron </w:t>
      </w:r>
      <w:r w:rsidR="008616EB">
        <w:t xml:space="preserve">(0.7 nm) and </w:t>
      </w:r>
      <w:r w:rsidR="00EC2EB8">
        <w:t xml:space="preserve">then </w:t>
      </w:r>
      <w:r w:rsidR="008616EB">
        <w:t>with</w:t>
      </w:r>
      <w:r w:rsidR="00EC2EB8">
        <w:t xml:space="preserve"> increasing pressure in the small (2.9 nm) and large (3.4 nm) cages.</w:t>
      </w:r>
      <w:r w:rsidR="008616EB">
        <w:t xml:space="preserve"> </w:t>
      </w:r>
      <w:r w:rsidR="00606541" w:rsidRPr="00936188">
        <w:t>To further investigate this, inelastic neutron scattering was done at increasing hydrogen pressures, showing no signs of higher density (solid or liquid-like) adsorbed hydrogen</w:t>
      </w:r>
      <w:r w:rsidR="00E51386" w:rsidRPr="00936188">
        <w:t xml:space="preserve">. Modelling on the experimental excess isotherms indicates an adsorbed density around </w:t>
      </w:r>
      <w:r w:rsidR="00921F34" w:rsidRPr="00936188">
        <w:t>72.</w:t>
      </w:r>
      <w:r w:rsidR="00AB1C6F" w:rsidRPr="00936188">
        <w:t>4</w:t>
      </w:r>
      <w:r w:rsidR="00921F34" w:rsidRPr="00936188">
        <w:t xml:space="preserve"> </w:t>
      </w:r>
      <w:r w:rsidR="00E51386" w:rsidRPr="00936188">
        <w:t>kg m</w:t>
      </w:r>
      <w:r w:rsidR="00E51386" w:rsidRPr="00936188">
        <w:rPr>
          <w:vertAlign w:val="superscript"/>
        </w:rPr>
        <w:t>-3</w:t>
      </w:r>
      <w:r w:rsidR="00E51386" w:rsidRPr="00936188">
        <w:t xml:space="preserve">, which is </w:t>
      </w:r>
      <w:r w:rsidR="00921F34" w:rsidRPr="00936188">
        <w:t>smaller than the density</w:t>
      </w:r>
      <w:r w:rsidR="00E51386" w:rsidRPr="00936188">
        <w:t xml:space="preserve"> of solid hydrogen density at 4 K and 1.2 MPa</w:t>
      </w:r>
      <w:r w:rsidR="00921F34" w:rsidRPr="00936188">
        <w:t>, which is 87.6 kg m</w:t>
      </w:r>
      <w:r w:rsidR="00921F34" w:rsidRPr="00936188">
        <w:rPr>
          <w:vertAlign w:val="superscript"/>
        </w:rPr>
        <w:t>-3</w:t>
      </w:r>
      <w:r w:rsidR="000600AC" w:rsidRPr="00936188">
        <w:t xml:space="preserve">. </w:t>
      </w:r>
      <w:r w:rsidR="00E51386" w:rsidRPr="00936188">
        <w:t xml:space="preserve">The results indicate that the smaller pores in MIL-101(Cr), which are </w:t>
      </w:r>
      <w:r w:rsidR="00A8634F">
        <w:t>0.</w:t>
      </w:r>
      <w:r w:rsidR="00E51386" w:rsidRPr="00936188">
        <w:t xml:space="preserve">7 </w:t>
      </w:r>
      <w:r w:rsidR="00A8634F">
        <w:rPr>
          <w:rFonts w:cs="Arial"/>
        </w:rPr>
        <w:t>nm</w:t>
      </w:r>
      <w:r w:rsidR="00E51386" w:rsidRPr="00936188">
        <w:rPr>
          <w:rFonts w:cs="Arial"/>
        </w:rPr>
        <w:t xml:space="preserve">, are not small enough </w:t>
      </w:r>
      <w:r w:rsidR="0056710A" w:rsidRPr="00936188">
        <w:rPr>
          <w:rFonts w:cs="Arial"/>
        </w:rPr>
        <w:t xml:space="preserve">for </w:t>
      </w:r>
      <w:r w:rsidR="00E51386" w:rsidRPr="00936188">
        <w:rPr>
          <w:rFonts w:cs="Arial"/>
        </w:rPr>
        <w:t>high adsorbed densities</w:t>
      </w:r>
      <w:r w:rsidR="000600AC" w:rsidRPr="00936188">
        <w:rPr>
          <w:rFonts w:cs="Arial"/>
        </w:rPr>
        <w:t>, such as the solid-like densities seen in activated carbons</w:t>
      </w:r>
      <w:r w:rsidR="00E51386" w:rsidRPr="00936188">
        <w:rPr>
          <w:rFonts w:cs="Arial"/>
        </w:rPr>
        <w:t>. Finally, the enthalpies of adsorption are studied with a combination of the Clapeyron equation applied to the experimental excess isotherms</w:t>
      </w:r>
      <w:r w:rsidR="000600AC" w:rsidRPr="00936188">
        <w:rPr>
          <w:rFonts w:cs="Arial"/>
        </w:rPr>
        <w:t xml:space="preserve">, </w:t>
      </w:r>
      <w:r w:rsidR="00E51386" w:rsidRPr="00936188">
        <w:rPr>
          <w:rFonts w:cs="Arial"/>
        </w:rPr>
        <w:t>simulations at 77 K</w:t>
      </w:r>
      <w:r w:rsidR="000600AC" w:rsidRPr="00936188">
        <w:rPr>
          <w:rFonts w:cs="Arial"/>
        </w:rPr>
        <w:t xml:space="preserve">, </w:t>
      </w:r>
      <w:r w:rsidR="00E51386" w:rsidRPr="00936188">
        <w:rPr>
          <w:rFonts w:cs="Arial"/>
        </w:rPr>
        <w:t>and differential scanning calorimetry done at room temperature, showing good correspondence</w:t>
      </w:r>
      <w:r w:rsidR="000600AC" w:rsidRPr="00936188">
        <w:rPr>
          <w:rFonts w:cs="Arial"/>
        </w:rPr>
        <w:t>, with zero-coverage values in the 4.5 – 6</w:t>
      </w:r>
      <w:r w:rsidR="000107C8">
        <w:rPr>
          <w:rFonts w:cs="Arial"/>
        </w:rPr>
        <w:t>.0</w:t>
      </w:r>
      <w:r w:rsidR="000600AC" w:rsidRPr="00936188">
        <w:rPr>
          <w:rFonts w:cs="Arial"/>
        </w:rPr>
        <w:t xml:space="preserve"> kJ mol</w:t>
      </w:r>
      <w:r w:rsidR="000600AC" w:rsidRPr="00936188">
        <w:rPr>
          <w:rFonts w:cs="Arial"/>
          <w:vertAlign w:val="superscript"/>
        </w:rPr>
        <w:t>-1</w:t>
      </w:r>
      <w:r w:rsidR="000600AC" w:rsidRPr="00936188">
        <w:rPr>
          <w:rFonts w:cs="Arial"/>
        </w:rPr>
        <w:t xml:space="preserve"> range and values of 2</w:t>
      </w:r>
      <w:r w:rsidR="000107C8">
        <w:rPr>
          <w:rFonts w:cs="Arial"/>
        </w:rPr>
        <w:t>.0</w:t>
      </w:r>
      <w:r w:rsidR="000600AC" w:rsidRPr="00936188">
        <w:rPr>
          <w:rFonts w:cs="Arial"/>
        </w:rPr>
        <w:t xml:space="preserve"> kJ mol</w:t>
      </w:r>
      <w:r w:rsidR="000600AC" w:rsidRPr="00936188">
        <w:rPr>
          <w:rFonts w:cs="Arial"/>
          <w:vertAlign w:val="superscript"/>
        </w:rPr>
        <w:t>-1</w:t>
      </w:r>
      <w:r w:rsidR="000600AC" w:rsidRPr="00936188">
        <w:rPr>
          <w:rFonts w:cs="Arial"/>
        </w:rPr>
        <w:t xml:space="preserve"> at 6 wt.% for the simulations and the Clapeyron method</w:t>
      </w:r>
      <w:r w:rsidR="00E51386" w:rsidRPr="00936188">
        <w:rPr>
          <w:rFonts w:cs="Arial"/>
        </w:rPr>
        <w:t xml:space="preserve">. </w:t>
      </w:r>
    </w:p>
    <w:p w14:paraId="7D3B59EE" w14:textId="77777777" w:rsidR="008E3E3C" w:rsidRPr="00936188" w:rsidRDefault="008E3E3C" w:rsidP="008E3E3C">
      <w:pPr>
        <w:spacing w:line="360" w:lineRule="auto"/>
        <w:jc w:val="both"/>
        <w:rPr>
          <w:b/>
          <w:bCs/>
        </w:rPr>
      </w:pPr>
    </w:p>
    <w:p w14:paraId="002E7342" w14:textId="68F5FACA" w:rsidR="008E3E3C" w:rsidRPr="00936188" w:rsidRDefault="008E3E3C" w:rsidP="008E3E3C">
      <w:pPr>
        <w:spacing w:line="360" w:lineRule="auto"/>
        <w:jc w:val="both"/>
        <w:rPr>
          <w:b/>
          <w:bCs/>
        </w:rPr>
      </w:pPr>
      <w:r w:rsidRPr="00936188">
        <w:rPr>
          <w:b/>
          <w:bCs/>
        </w:rPr>
        <w:t>Acknowledgements</w:t>
      </w:r>
    </w:p>
    <w:p w14:paraId="670D7CC4" w14:textId="15ECA84F" w:rsidR="00E51386" w:rsidRPr="00936188" w:rsidRDefault="00A8117F" w:rsidP="00E51386">
      <w:pPr>
        <w:spacing w:line="360" w:lineRule="auto"/>
        <w:jc w:val="both"/>
      </w:pPr>
      <w:r>
        <w:t xml:space="preserve">The authors would like to thank the </w:t>
      </w:r>
      <w:r w:rsidR="00E51386" w:rsidRPr="00936188">
        <w:t>Engineering and Physical Sciences Research Council (EPSRC</w:t>
      </w:r>
      <w:r w:rsidR="001D6C1F">
        <w:t xml:space="preserve">) </w:t>
      </w:r>
      <w:r>
        <w:t xml:space="preserve">for </w:t>
      </w:r>
      <w:r w:rsidR="000107C8">
        <w:t xml:space="preserve">a </w:t>
      </w:r>
      <w:r w:rsidR="001D6C1F">
        <w:t>Fellowship (</w:t>
      </w:r>
      <w:r w:rsidR="00AC56AD">
        <w:t>EP/R01660X/1)</w:t>
      </w:r>
      <w:r w:rsidR="00EF200C">
        <w:t xml:space="preserve"> and for </w:t>
      </w:r>
      <w:r w:rsidR="00EF200C" w:rsidRPr="00936188">
        <w:t xml:space="preserve">Hydrogen and Fuel Cells SUPERGEN Hub </w:t>
      </w:r>
      <w:r w:rsidR="00EF200C">
        <w:t xml:space="preserve">projects </w:t>
      </w:r>
      <w:r w:rsidR="00EF200C" w:rsidRPr="00936188">
        <w:t>(EP/E040071/1</w:t>
      </w:r>
      <w:r w:rsidR="00EF200C">
        <w:t xml:space="preserve">, </w:t>
      </w:r>
      <w:r w:rsidR="00EF200C" w:rsidRPr="00EF200C">
        <w:t>EP/K021109/1, EP/L018365/1 and EP/J016454/1</w:t>
      </w:r>
      <w:r w:rsidR="00EF200C">
        <w:t xml:space="preserve">), </w:t>
      </w:r>
      <w:r w:rsidR="00E51386" w:rsidRPr="00936188">
        <w:t>STFC for the allocation of ISIS beamtime (Proposal number RB</w:t>
      </w:r>
      <w:r w:rsidR="001D6C1F">
        <w:t>1320122</w:t>
      </w:r>
      <w:r w:rsidR="00E51386" w:rsidRPr="00936188">
        <w:t xml:space="preserve">), ESRF for allocation of time for </w:t>
      </w:r>
      <w:r w:rsidR="00E51386" w:rsidRPr="000107C8">
        <w:rPr>
          <w:i/>
          <w:iCs/>
        </w:rPr>
        <w:t>in-situ</w:t>
      </w:r>
      <w:r w:rsidR="00E51386" w:rsidRPr="00936188">
        <w:t xml:space="preserve"> X-ray diffraction </w:t>
      </w:r>
      <w:r w:rsidR="001D6C1F">
        <w:t xml:space="preserve">on ID31 </w:t>
      </w:r>
      <w:r w:rsidR="00E51386" w:rsidRPr="00936188">
        <w:t>(</w:t>
      </w:r>
      <w:r w:rsidR="001D6C1F">
        <w:t>MA-1761</w:t>
      </w:r>
      <w:r w:rsidR="00E51386" w:rsidRPr="00936188">
        <w:t xml:space="preserve">), </w:t>
      </w:r>
      <w:r w:rsidR="00EF200C">
        <w:t>and</w:t>
      </w:r>
      <w:r>
        <w:t xml:space="preserve"> </w:t>
      </w:r>
      <w:r w:rsidR="00E51386" w:rsidRPr="00936188">
        <w:t xml:space="preserve">the University of Bath for International Mobility Funding </w:t>
      </w:r>
      <w:r w:rsidR="00EF200C">
        <w:t>to visit Stellenbosch University.</w:t>
      </w:r>
    </w:p>
    <w:p w14:paraId="3C9146C5" w14:textId="5CE995DD" w:rsidR="00E51386" w:rsidRDefault="00E51386" w:rsidP="00E51386">
      <w:pPr>
        <w:spacing w:line="360" w:lineRule="auto"/>
        <w:jc w:val="both"/>
      </w:pPr>
    </w:p>
    <w:p w14:paraId="08272BDC" w14:textId="0271211D" w:rsidR="0010010F" w:rsidRPr="004A1278" w:rsidRDefault="0010010F" w:rsidP="00E51386">
      <w:pPr>
        <w:spacing w:line="360" w:lineRule="auto"/>
        <w:jc w:val="both"/>
        <w:rPr>
          <w:b/>
          <w:bCs/>
        </w:rPr>
      </w:pPr>
      <w:r w:rsidRPr="004A1278">
        <w:rPr>
          <w:b/>
          <w:bCs/>
        </w:rPr>
        <w:t>Supporting Information</w:t>
      </w:r>
    </w:p>
    <w:p w14:paraId="490FF8D3" w14:textId="59D4FD89" w:rsidR="0010010F" w:rsidRDefault="0010010F" w:rsidP="00E51386">
      <w:pPr>
        <w:spacing w:line="360" w:lineRule="auto"/>
        <w:jc w:val="both"/>
      </w:pPr>
      <w:r w:rsidRPr="0010010F">
        <w:t>X-ray diffraction patterns for MIL-53(Al). Description of molecular simulations. Simulation snapshots of hydrogen adsorption in MIL-101(Cr). Description of inelastic neutron scattering experiments. Description of Differential Scanning Calorimetry experiments.</w:t>
      </w:r>
      <w:r w:rsidR="009619E0">
        <w:t xml:space="preserve"> </w:t>
      </w:r>
      <w:r w:rsidR="009619E0" w:rsidRPr="009619E0">
        <w:t>Molecular simulation videos for H</w:t>
      </w:r>
      <w:r w:rsidR="009619E0" w:rsidRPr="009619E0">
        <w:rPr>
          <w:vertAlign w:val="subscript"/>
        </w:rPr>
        <w:t>2</w:t>
      </w:r>
      <w:r w:rsidR="009619E0" w:rsidRPr="009619E0">
        <w:t xml:space="preserve"> adsorption in the small and large cage of MIL-101 at 10,000 kPa.</w:t>
      </w:r>
    </w:p>
    <w:p w14:paraId="000B35AB" w14:textId="77777777" w:rsidR="0010010F" w:rsidRPr="00936188" w:rsidRDefault="0010010F" w:rsidP="00E51386">
      <w:pPr>
        <w:spacing w:line="360" w:lineRule="auto"/>
        <w:jc w:val="both"/>
      </w:pPr>
    </w:p>
    <w:p w14:paraId="43F55A2E" w14:textId="77777777" w:rsidR="00020843" w:rsidRPr="00936188" w:rsidRDefault="00020843" w:rsidP="00020843">
      <w:pPr>
        <w:spacing w:line="360" w:lineRule="auto"/>
        <w:jc w:val="both"/>
        <w:rPr>
          <w:b/>
          <w:bCs/>
        </w:rPr>
      </w:pPr>
      <w:r w:rsidRPr="00936188">
        <w:rPr>
          <w:b/>
          <w:bCs/>
        </w:rPr>
        <w:t>References</w:t>
      </w:r>
    </w:p>
    <w:p w14:paraId="066C2DD1" w14:textId="77777777" w:rsidR="00020843" w:rsidRPr="00D701FD" w:rsidRDefault="00020843" w:rsidP="00020843">
      <w:pPr>
        <w:pStyle w:val="EndNoteBibliography"/>
        <w:ind w:left="720" w:hanging="720"/>
      </w:pPr>
      <w:r w:rsidRPr="00D701FD">
        <w:t>1.</w:t>
      </w:r>
      <w:r w:rsidRPr="00D701FD">
        <w:tab/>
        <w:t xml:space="preserve">Schlapbach, L. and A. Zuttel, </w:t>
      </w:r>
      <w:r w:rsidRPr="00D701FD">
        <w:rPr>
          <w:i/>
        </w:rPr>
        <w:t>Hydrogen-storage materials for mobile applications.</w:t>
      </w:r>
      <w:r w:rsidRPr="00D701FD">
        <w:t xml:space="preserve"> Nature, 2001. </w:t>
      </w:r>
      <w:r w:rsidRPr="00D701FD">
        <w:rPr>
          <w:b/>
        </w:rPr>
        <w:t>414</w:t>
      </w:r>
      <w:r w:rsidRPr="00D701FD">
        <w:t>(6861): p. 353-358.</w:t>
      </w:r>
    </w:p>
    <w:p w14:paraId="7F2670C1" w14:textId="77777777" w:rsidR="00020843" w:rsidRPr="00D701FD" w:rsidRDefault="00020843" w:rsidP="00020843">
      <w:pPr>
        <w:pStyle w:val="EndNoteBibliography"/>
        <w:ind w:left="720" w:hanging="720"/>
      </w:pPr>
      <w:r w:rsidRPr="00D701FD">
        <w:t>2.</w:t>
      </w:r>
      <w:r w:rsidRPr="00D701FD">
        <w:tab/>
        <w:t xml:space="preserve">van den Berg, A.W.C. and C.O. Arean, </w:t>
      </w:r>
      <w:r w:rsidRPr="00D701FD">
        <w:rPr>
          <w:i/>
        </w:rPr>
        <w:t>Materials for hydrogen storage: current research trends and perspectives.</w:t>
      </w:r>
      <w:r w:rsidRPr="00D701FD">
        <w:t xml:space="preserve"> </w:t>
      </w:r>
      <w:r>
        <w:t>Chem. Commun.</w:t>
      </w:r>
      <w:r w:rsidRPr="00D701FD">
        <w:t>, 2008(6): p. 668-681.</w:t>
      </w:r>
    </w:p>
    <w:p w14:paraId="00C0A769" w14:textId="77777777" w:rsidR="00020843" w:rsidRPr="00D701FD" w:rsidRDefault="00020843" w:rsidP="00020843">
      <w:pPr>
        <w:pStyle w:val="EndNoteBibliography"/>
        <w:ind w:left="720" w:hanging="720"/>
      </w:pPr>
      <w:r w:rsidRPr="00D701FD">
        <w:t>3.</w:t>
      </w:r>
      <w:r w:rsidRPr="00D701FD">
        <w:tab/>
        <w:t xml:space="preserve">Thomas, K.M., </w:t>
      </w:r>
      <w:r w:rsidRPr="00D701FD">
        <w:rPr>
          <w:i/>
        </w:rPr>
        <w:t>Hydrogen adsorption and storage on porous materials.</w:t>
      </w:r>
      <w:r w:rsidRPr="00D701FD">
        <w:t xml:space="preserve"> Catal</w:t>
      </w:r>
      <w:r>
        <w:t>.</w:t>
      </w:r>
      <w:r w:rsidRPr="00D701FD">
        <w:t xml:space="preserve"> Today, 2007. </w:t>
      </w:r>
      <w:r w:rsidRPr="00D701FD">
        <w:rPr>
          <w:b/>
        </w:rPr>
        <w:t>120</w:t>
      </w:r>
      <w:r w:rsidRPr="00D701FD">
        <w:t>(3-4): p. 389-398.</w:t>
      </w:r>
    </w:p>
    <w:p w14:paraId="79E30E07" w14:textId="77777777" w:rsidR="00020843" w:rsidRPr="00D701FD" w:rsidRDefault="00020843" w:rsidP="00020843">
      <w:pPr>
        <w:pStyle w:val="EndNoteBibliography"/>
        <w:ind w:left="720" w:hanging="720"/>
      </w:pPr>
      <w:r w:rsidRPr="00D701FD">
        <w:lastRenderedPageBreak/>
        <w:t>4.</w:t>
      </w:r>
      <w:r w:rsidRPr="00D701FD">
        <w:tab/>
        <w:t xml:space="preserve">Ahmed, A., S. Seth, J. Purewal, A.G. Wong-Foy, M. Veenstra, A.J. Matzger, and D.J. Siegel, </w:t>
      </w:r>
      <w:r w:rsidRPr="00D701FD">
        <w:rPr>
          <w:i/>
        </w:rPr>
        <w:t>Exceptional hydrogen storage achieved by screening nearly half a million metal-organic frameworks.</w:t>
      </w:r>
      <w:r w:rsidRPr="00D701FD">
        <w:t xml:space="preserve"> Nat</w:t>
      </w:r>
      <w:r>
        <w:t>.</w:t>
      </w:r>
      <w:r w:rsidRPr="00D701FD">
        <w:t xml:space="preserve"> Commun</w:t>
      </w:r>
      <w:r>
        <w:t>.</w:t>
      </w:r>
      <w:r w:rsidRPr="00D701FD">
        <w:t xml:space="preserve">, 2019. </w:t>
      </w:r>
      <w:r w:rsidRPr="00D701FD">
        <w:rPr>
          <w:b/>
        </w:rPr>
        <w:t>10</w:t>
      </w:r>
      <w:r w:rsidRPr="00D701FD">
        <w:t>(1): p. 1568.</w:t>
      </w:r>
    </w:p>
    <w:p w14:paraId="169E2D2A" w14:textId="77777777" w:rsidR="00020843" w:rsidRPr="00D701FD" w:rsidRDefault="00020843" w:rsidP="00020843">
      <w:pPr>
        <w:pStyle w:val="EndNoteBibliography"/>
        <w:ind w:left="720" w:hanging="720"/>
      </w:pPr>
      <w:r w:rsidRPr="00D701FD">
        <w:t>5.</w:t>
      </w:r>
      <w:r w:rsidRPr="00D701FD">
        <w:tab/>
        <w:t xml:space="preserve">Chen, Z., P. Li, R. Anderson, X. Wang, X. Zhang, L. Robison, L.R. Redfern, S. Moribe, T. Islamoglu, D.A. Gómez-Gualdrón, T. Yildirim, J.F. Stoddart, and O.K. Farha, </w:t>
      </w:r>
      <w:r w:rsidRPr="00D701FD">
        <w:rPr>
          <w:i/>
        </w:rPr>
        <w:t>Balancing volumetric and gravimetric uptake in highly porous materials for clean energy.</w:t>
      </w:r>
      <w:r w:rsidRPr="00D701FD">
        <w:t xml:space="preserve"> Science, 2020. </w:t>
      </w:r>
      <w:r w:rsidRPr="00D701FD">
        <w:rPr>
          <w:b/>
        </w:rPr>
        <w:t>368</w:t>
      </w:r>
      <w:r w:rsidRPr="00D701FD">
        <w:t>(6488): p. 297-303.</w:t>
      </w:r>
    </w:p>
    <w:p w14:paraId="4D37649F" w14:textId="77777777" w:rsidR="00020843" w:rsidRPr="00D701FD" w:rsidRDefault="00020843" w:rsidP="00020843">
      <w:pPr>
        <w:pStyle w:val="EndNoteBibliography"/>
        <w:ind w:left="720" w:hanging="720"/>
        <w:jc w:val="left"/>
      </w:pPr>
      <w:r w:rsidRPr="00D701FD">
        <w:t>6.</w:t>
      </w:r>
      <w:r w:rsidRPr="00D701FD">
        <w:tab/>
      </w:r>
      <w:r>
        <w:t>United States Department of Energy</w:t>
      </w:r>
      <w:r w:rsidRPr="00D701FD">
        <w:t xml:space="preserve">. </w:t>
      </w:r>
      <w:r w:rsidRPr="00D701FD">
        <w:rPr>
          <w:i/>
        </w:rPr>
        <w:t>Targets for Onboard Hydrogen Storage Systems for Light-Duty Vehicles</w:t>
      </w:r>
      <w:r w:rsidRPr="00D701FD">
        <w:t xml:space="preserve">. Available from: </w:t>
      </w:r>
      <w:r w:rsidRPr="002B5AD7">
        <w:t>http://www1.eere.energy.gov/hydrogenandfuelcells/storage/pdfs/targets_onboard_hydro_storage.pdf</w:t>
      </w:r>
      <w:r>
        <w:t xml:space="preserve"> (Accessed March 2021).</w:t>
      </w:r>
    </w:p>
    <w:p w14:paraId="611C02B9" w14:textId="77777777" w:rsidR="00020843" w:rsidRPr="00D701FD" w:rsidRDefault="00020843" w:rsidP="00020843">
      <w:pPr>
        <w:pStyle w:val="EndNoteBibliography"/>
        <w:ind w:left="720" w:hanging="720"/>
      </w:pPr>
      <w:r w:rsidRPr="00D701FD">
        <w:t>7.</w:t>
      </w:r>
      <w:r w:rsidRPr="00D701FD">
        <w:tab/>
        <w:t xml:space="preserve">Hirscher, M., V.A. Yartys, M. Baricco, J. Bellosta von Colbe, D. Blanchard, R.C. Bowman, D.P. Broom, C.E. Buckley, F. Chang, P. Chen, Y.W. Cho, J.-C. Crivello, F. Cuevas, W.I.F. David, P.E. de Jongh, R.V. Denys, M. Dornheim, M. Felderhoff, Y. Filinchuk, G.E. Froudakis, D.M. Grant, E.M. Gray, B.C. Hauback, T. He, T.D. Humphries, T.R. Jensen, S. Kim, Y. Kojima, M. Latroche, H.-W. Li, M.V. Lototskyy, J.W. Makepeace, K.T. Møller, L. Naheed, P. Ngene, D. Noréus, M.M. Nygård, S.-i. Orimo, M. Paskevicius, L. Pasquini, D.B. Ravnsbæk, M. Veronica Sofianos, T.J. Udovic, T. Vegge, G.S. Walker, C.J. Webb, C. Weidenthaler, and C. Zlotea, </w:t>
      </w:r>
      <w:r w:rsidRPr="00D701FD">
        <w:rPr>
          <w:i/>
        </w:rPr>
        <w:t>Materials for hydrogen-based energy storage – past, recent progress and future outlook.</w:t>
      </w:r>
      <w:r w:rsidRPr="00D701FD">
        <w:t xml:space="preserve"> </w:t>
      </w:r>
      <w:r>
        <w:t>J. Alloys Compd.</w:t>
      </w:r>
      <w:r w:rsidRPr="00D701FD">
        <w:t xml:space="preserve">, 2020. </w:t>
      </w:r>
      <w:r w:rsidRPr="00D701FD">
        <w:rPr>
          <w:b/>
        </w:rPr>
        <w:t>827</w:t>
      </w:r>
      <w:r w:rsidRPr="00D701FD">
        <w:t>: p. 153548.</w:t>
      </w:r>
    </w:p>
    <w:p w14:paraId="0AA160AE" w14:textId="77777777" w:rsidR="00020843" w:rsidRPr="00D701FD" w:rsidRDefault="00020843" w:rsidP="00020843">
      <w:pPr>
        <w:pStyle w:val="EndNoteBibliography"/>
        <w:ind w:left="720" w:hanging="720"/>
      </w:pPr>
      <w:r w:rsidRPr="00D701FD">
        <w:t>8.</w:t>
      </w:r>
      <w:r w:rsidRPr="00D701FD">
        <w:tab/>
        <w:t xml:space="preserve">Poirier, E., R. Chahine, and T.K. Bose, </w:t>
      </w:r>
      <w:r w:rsidRPr="00D701FD">
        <w:rPr>
          <w:i/>
        </w:rPr>
        <w:t>Hydrogen adsorption in carbon nanostructures.</w:t>
      </w:r>
      <w:r w:rsidRPr="00D701FD">
        <w:t xml:space="preserve"> </w:t>
      </w:r>
      <w:r>
        <w:t>Int. J. Hydrogen Energy</w:t>
      </w:r>
      <w:r w:rsidRPr="00D701FD">
        <w:t xml:space="preserve">, 2001. </w:t>
      </w:r>
      <w:r w:rsidRPr="00D701FD">
        <w:rPr>
          <w:b/>
        </w:rPr>
        <w:t>26</w:t>
      </w:r>
      <w:r w:rsidRPr="00D701FD">
        <w:t>(8): p. 831-835.</w:t>
      </w:r>
    </w:p>
    <w:p w14:paraId="6C06B525" w14:textId="77777777" w:rsidR="00020843" w:rsidRPr="00D701FD" w:rsidRDefault="00020843" w:rsidP="00020843">
      <w:pPr>
        <w:pStyle w:val="EndNoteBibliography"/>
        <w:ind w:left="720" w:hanging="720"/>
      </w:pPr>
      <w:r w:rsidRPr="00D701FD">
        <w:t>9.</w:t>
      </w:r>
      <w:r w:rsidRPr="00D701FD">
        <w:tab/>
        <w:t xml:space="preserve">Noguera-Diaz, A., N. Bimbo, L.T. Holyfield, I.Y. Ahmet, V.P. Ting, and T.J. Mays, </w:t>
      </w:r>
      <w:r w:rsidRPr="00D701FD">
        <w:rPr>
          <w:i/>
        </w:rPr>
        <w:t>Structure-property relationships in metal-organic frameworks for hydrogen storage.</w:t>
      </w:r>
      <w:r w:rsidRPr="00D701FD">
        <w:t xml:space="preserve"> </w:t>
      </w:r>
      <w:r>
        <w:t>Colloids Surf., A</w:t>
      </w:r>
      <w:r w:rsidRPr="00D701FD">
        <w:t xml:space="preserve">, 2016. </w:t>
      </w:r>
      <w:r w:rsidRPr="00D701FD">
        <w:rPr>
          <w:b/>
        </w:rPr>
        <w:t>496</w:t>
      </w:r>
      <w:r w:rsidRPr="00D701FD">
        <w:t>: p. 77-85.</w:t>
      </w:r>
    </w:p>
    <w:p w14:paraId="586046A6" w14:textId="77777777" w:rsidR="00020843" w:rsidRPr="00D701FD" w:rsidRDefault="00020843" w:rsidP="00020843">
      <w:pPr>
        <w:pStyle w:val="EndNoteBibliography"/>
        <w:ind w:left="720" w:hanging="720"/>
      </w:pPr>
      <w:r w:rsidRPr="00D701FD">
        <w:t>10.</w:t>
      </w:r>
      <w:r w:rsidRPr="00D701FD">
        <w:tab/>
        <w:t xml:space="preserve">Gogotsi, Y., R.K. Dash, G. Yushin, T. Yildirim, G. Laudisio, and J.E. Fischer, </w:t>
      </w:r>
      <w:r w:rsidRPr="00D701FD">
        <w:rPr>
          <w:i/>
        </w:rPr>
        <w:t>Tailoring of Nanoscale Porosity in Carbide-Derived Carbons for Hydrogen Storage.</w:t>
      </w:r>
      <w:r w:rsidRPr="00D701FD">
        <w:t xml:space="preserve"> </w:t>
      </w:r>
      <w:r>
        <w:t>J. Am. Chem. Soc.</w:t>
      </w:r>
      <w:r w:rsidRPr="00D701FD">
        <w:t xml:space="preserve">, 2005. </w:t>
      </w:r>
      <w:r w:rsidRPr="00D701FD">
        <w:rPr>
          <w:b/>
        </w:rPr>
        <w:t>127</w:t>
      </w:r>
      <w:r w:rsidRPr="00D701FD">
        <w:t>(46): p. 16006-16007.</w:t>
      </w:r>
    </w:p>
    <w:p w14:paraId="0083320A" w14:textId="77777777" w:rsidR="00020843" w:rsidRPr="00D701FD" w:rsidRDefault="00020843" w:rsidP="00020843">
      <w:pPr>
        <w:pStyle w:val="EndNoteBibliography"/>
        <w:ind w:left="720" w:hanging="720"/>
      </w:pPr>
      <w:r w:rsidRPr="00D701FD">
        <w:t>11.</w:t>
      </w:r>
      <w:r w:rsidRPr="00D701FD">
        <w:tab/>
        <w:t xml:space="preserve">Laudisio, G., R.K. Dash, J.P. Singer, G. Yushin, Y. Gogotsi, and J.E. Fischer, </w:t>
      </w:r>
      <w:r w:rsidRPr="00D701FD">
        <w:rPr>
          <w:i/>
        </w:rPr>
        <w:t>Carbide-derived carbons: A comparative study of porosity based on small-angle scattering and adsorption isotherms.</w:t>
      </w:r>
      <w:r w:rsidRPr="00D701FD">
        <w:t xml:space="preserve"> Langmuir, 2006. </w:t>
      </w:r>
      <w:r w:rsidRPr="00D701FD">
        <w:rPr>
          <w:b/>
        </w:rPr>
        <w:t>22</w:t>
      </w:r>
      <w:r w:rsidRPr="00D701FD">
        <w:t>(21): p. 8945-8950.</w:t>
      </w:r>
    </w:p>
    <w:p w14:paraId="4423540B" w14:textId="77777777" w:rsidR="00020843" w:rsidRPr="00D701FD" w:rsidRDefault="00020843" w:rsidP="00020843">
      <w:pPr>
        <w:pStyle w:val="EndNoteBibliography"/>
        <w:ind w:left="720" w:hanging="720"/>
      </w:pPr>
      <w:r w:rsidRPr="00D701FD">
        <w:t>12.</w:t>
      </w:r>
      <w:r w:rsidRPr="00D701FD">
        <w:tab/>
        <w:t xml:space="preserve">Sevilla, M., R. Mokaya, and A.B. Fuertes, </w:t>
      </w:r>
      <w:r w:rsidRPr="00D701FD">
        <w:rPr>
          <w:i/>
        </w:rPr>
        <w:t>Ultrahigh surface area polypyrrole-based carbons with superior performance for hydrogen storage.</w:t>
      </w:r>
      <w:r w:rsidRPr="00D701FD">
        <w:t xml:space="preserve"> </w:t>
      </w:r>
      <w:r>
        <w:t>Energy Environ. Sci.</w:t>
      </w:r>
      <w:r w:rsidRPr="00D701FD">
        <w:t xml:space="preserve">, 2011. </w:t>
      </w:r>
      <w:r w:rsidRPr="00D701FD">
        <w:rPr>
          <w:b/>
        </w:rPr>
        <w:t>4</w:t>
      </w:r>
      <w:r w:rsidRPr="00D701FD">
        <w:t>(8): p. 2930-2936.</w:t>
      </w:r>
    </w:p>
    <w:p w14:paraId="1A5BFC7F" w14:textId="77777777" w:rsidR="00020843" w:rsidRPr="00D701FD" w:rsidRDefault="00020843" w:rsidP="00020843">
      <w:pPr>
        <w:pStyle w:val="EndNoteBibliography"/>
        <w:ind w:left="720" w:hanging="720"/>
      </w:pPr>
      <w:r w:rsidRPr="00D701FD">
        <w:t>13.</w:t>
      </w:r>
      <w:r w:rsidRPr="00D701FD">
        <w:tab/>
        <w:t xml:space="preserve">Yushin, G., R. Dash, J. Jagiello, J.E. Fischer, and Y. Gogotsi, </w:t>
      </w:r>
      <w:r w:rsidRPr="00D701FD">
        <w:rPr>
          <w:i/>
        </w:rPr>
        <w:t>Carbide-derived carbons: Effect of pore size on hydrogen uptake and heat of adsorption.</w:t>
      </w:r>
      <w:r w:rsidRPr="00D701FD">
        <w:t xml:space="preserve"> </w:t>
      </w:r>
      <w:r>
        <w:t>Adv. Funct. Mater.</w:t>
      </w:r>
      <w:r w:rsidRPr="00D701FD">
        <w:t xml:space="preserve">, 2006. </w:t>
      </w:r>
      <w:r w:rsidRPr="00D701FD">
        <w:rPr>
          <w:b/>
        </w:rPr>
        <w:t>16</w:t>
      </w:r>
      <w:r w:rsidRPr="00D701FD">
        <w:t>(17): p. 2288-2293.</w:t>
      </w:r>
    </w:p>
    <w:p w14:paraId="55F2528D" w14:textId="77777777" w:rsidR="00020843" w:rsidRPr="00D701FD" w:rsidRDefault="00020843" w:rsidP="00020843">
      <w:pPr>
        <w:pStyle w:val="EndNoteBibliography"/>
        <w:ind w:left="720" w:hanging="720"/>
      </w:pPr>
      <w:r w:rsidRPr="00D701FD">
        <w:t>14.</w:t>
      </w:r>
      <w:r w:rsidRPr="00D701FD">
        <w:tab/>
        <w:t xml:space="preserve">Ting, V.P., A.J. Ramirez-Cuesta, N. Bimbo, J.E. Sharpe, A. Noguera-Diaz, V. Presser, S. Rudic, and T.J. Mays, </w:t>
      </w:r>
      <w:r w:rsidRPr="00D701FD">
        <w:rPr>
          <w:i/>
        </w:rPr>
        <w:t>Direct Evidence for Solid-like Hydrogen in a Nanoporous Carbon Hydrogen Storage Material at Supercritical Temperatures.</w:t>
      </w:r>
      <w:r w:rsidRPr="00D701FD">
        <w:t xml:space="preserve"> ACS Nano, 2015. </w:t>
      </w:r>
      <w:r w:rsidRPr="00D701FD">
        <w:rPr>
          <w:b/>
        </w:rPr>
        <w:t>9</w:t>
      </w:r>
      <w:r w:rsidRPr="00D701FD">
        <w:t>(8): p. 8249-8254.</w:t>
      </w:r>
    </w:p>
    <w:p w14:paraId="4C55D0D3" w14:textId="77777777" w:rsidR="00020843" w:rsidRPr="00D701FD" w:rsidRDefault="00020843" w:rsidP="00020843">
      <w:pPr>
        <w:pStyle w:val="EndNoteBibliography"/>
        <w:ind w:left="720" w:hanging="720"/>
      </w:pPr>
      <w:r w:rsidRPr="00D701FD">
        <w:t>15.</w:t>
      </w:r>
      <w:r w:rsidRPr="00D701FD">
        <w:tab/>
        <w:t xml:space="preserve">Silvera, I.F., </w:t>
      </w:r>
      <w:r w:rsidRPr="00D701FD">
        <w:rPr>
          <w:i/>
        </w:rPr>
        <w:t>The Solid Molecular Hydrogens in the Condensed Phase - Fundamentals and Static Properties.</w:t>
      </w:r>
      <w:r w:rsidRPr="00D701FD">
        <w:t xml:space="preserve"> </w:t>
      </w:r>
      <w:r>
        <w:t>Rev. Mod. Phys.</w:t>
      </w:r>
      <w:r w:rsidRPr="00D701FD">
        <w:t xml:space="preserve">, 1980. </w:t>
      </w:r>
      <w:r w:rsidRPr="00D701FD">
        <w:rPr>
          <w:b/>
        </w:rPr>
        <w:t>52</w:t>
      </w:r>
      <w:r w:rsidRPr="00D701FD">
        <w:t>(2): p. 393-452.</w:t>
      </w:r>
    </w:p>
    <w:p w14:paraId="1339142F" w14:textId="77777777" w:rsidR="00020843" w:rsidRPr="00D701FD" w:rsidRDefault="00020843" w:rsidP="00020843">
      <w:pPr>
        <w:pStyle w:val="EndNoteBibliography"/>
        <w:ind w:left="720" w:hanging="720"/>
      </w:pPr>
      <w:r w:rsidRPr="00D701FD">
        <w:t>16.</w:t>
      </w:r>
      <w:r w:rsidRPr="00D701FD">
        <w:tab/>
        <w:t xml:space="preserve">Tian, M., M.J. Lennox, A.J. O'Malley, A.J. Porter, B. Kruner, S. Rudic, T.J. Mays, T. Duren, V. Presser, L.R. Terry, S. Rols, Y.N. Fang, Z.L. Dong, S. Rochat, and V.P. Ting, </w:t>
      </w:r>
      <w:r w:rsidRPr="00D701FD">
        <w:rPr>
          <w:i/>
        </w:rPr>
        <w:t>Effect of pore geometry on ultra-densified hydrogen in microporous carbons.</w:t>
      </w:r>
      <w:r w:rsidRPr="00D701FD">
        <w:t xml:space="preserve"> Carbon, 2021. </w:t>
      </w:r>
      <w:r w:rsidRPr="00D701FD">
        <w:rPr>
          <w:b/>
        </w:rPr>
        <w:t>173</w:t>
      </w:r>
      <w:r w:rsidRPr="00D701FD">
        <w:t>: p. 968-979.</w:t>
      </w:r>
    </w:p>
    <w:p w14:paraId="0FC80746" w14:textId="77777777" w:rsidR="00020843" w:rsidRPr="00D701FD" w:rsidRDefault="00020843" w:rsidP="00020843">
      <w:pPr>
        <w:pStyle w:val="EndNoteBibliography"/>
        <w:ind w:left="720" w:hanging="720"/>
      </w:pPr>
      <w:r w:rsidRPr="00D701FD">
        <w:t>17.</w:t>
      </w:r>
      <w:r w:rsidRPr="00D701FD">
        <w:tab/>
        <w:t xml:space="preserve">Broom, D.P., </w:t>
      </w:r>
      <w:r w:rsidRPr="00D701FD">
        <w:rPr>
          <w:i/>
        </w:rPr>
        <w:t>Hydrogen storage materials : the characterisation of their storage properties</w:t>
      </w:r>
      <w:r w:rsidRPr="00D701FD">
        <w:t>. 2011, London: Springer.</w:t>
      </w:r>
    </w:p>
    <w:p w14:paraId="07CBC4C0" w14:textId="77777777" w:rsidR="00020843" w:rsidRPr="00D701FD" w:rsidRDefault="00020843" w:rsidP="00020843">
      <w:pPr>
        <w:pStyle w:val="EndNoteBibliography"/>
        <w:ind w:left="720" w:hanging="720"/>
      </w:pPr>
      <w:r w:rsidRPr="00D701FD">
        <w:t>18.</w:t>
      </w:r>
      <w:r w:rsidRPr="00D701FD">
        <w:tab/>
        <w:t xml:space="preserve">Leu, F.C. and T.H. Chang, </w:t>
      </w:r>
      <w:r w:rsidRPr="00D701FD">
        <w:rPr>
          <w:i/>
        </w:rPr>
        <w:t>A convenient TPD method for calculating the integral heat of sorption.</w:t>
      </w:r>
      <w:r w:rsidRPr="00D701FD">
        <w:t xml:space="preserve"> </w:t>
      </w:r>
      <w:r>
        <w:t>J. Chin. Inst. Chem. Eng.</w:t>
      </w:r>
      <w:r w:rsidRPr="00D701FD">
        <w:t xml:space="preserve">, 2002. </w:t>
      </w:r>
      <w:r w:rsidRPr="00D701FD">
        <w:rPr>
          <w:b/>
        </w:rPr>
        <w:t>33</w:t>
      </w:r>
      <w:r w:rsidRPr="00D701FD">
        <w:t>(3): p. 321-324.</w:t>
      </w:r>
    </w:p>
    <w:p w14:paraId="2F47B5B2" w14:textId="77777777" w:rsidR="00020843" w:rsidRPr="00D701FD" w:rsidRDefault="00020843" w:rsidP="00020843">
      <w:pPr>
        <w:pStyle w:val="EndNoteBibliography"/>
        <w:ind w:left="720" w:hanging="720"/>
      </w:pPr>
      <w:r w:rsidRPr="00D701FD">
        <w:lastRenderedPageBreak/>
        <w:t>19.</w:t>
      </w:r>
      <w:r w:rsidRPr="00D701FD">
        <w:tab/>
        <w:t xml:space="preserve">Lynch, J.F. and T.B. Flanagan, </w:t>
      </w:r>
      <w:r w:rsidRPr="00D701FD">
        <w:rPr>
          <w:i/>
        </w:rPr>
        <w:t>Calorimetric Determination of Differential Heats of Absorption of Hydrogen by Palladium.</w:t>
      </w:r>
      <w:r w:rsidRPr="00D701FD">
        <w:t xml:space="preserve"> </w:t>
      </w:r>
      <w:r>
        <w:t>J. Chem. Soc., Faraday Trans. 1</w:t>
      </w:r>
      <w:r w:rsidRPr="00D701FD">
        <w:t xml:space="preserve">, 1974. </w:t>
      </w:r>
      <w:r w:rsidRPr="00D701FD">
        <w:rPr>
          <w:b/>
        </w:rPr>
        <w:t>70</w:t>
      </w:r>
      <w:r w:rsidRPr="00D701FD">
        <w:t>(5): p. 814-824.</w:t>
      </w:r>
    </w:p>
    <w:p w14:paraId="6D122D20" w14:textId="77777777" w:rsidR="00020843" w:rsidRPr="00D701FD" w:rsidRDefault="00020843" w:rsidP="00020843">
      <w:pPr>
        <w:pStyle w:val="EndNoteBibliography"/>
        <w:ind w:left="720" w:hanging="720"/>
      </w:pPr>
      <w:r w:rsidRPr="00D701FD">
        <w:t>20.</w:t>
      </w:r>
      <w:r w:rsidRPr="00D701FD">
        <w:tab/>
        <w:t xml:space="preserve">Matsumoto, A., K. Yamamoto, and T. Miyata, </w:t>
      </w:r>
      <w:r w:rsidRPr="00D701FD">
        <w:rPr>
          <w:i/>
        </w:rPr>
        <w:t>Microcalorimetric Characterization of Hydrogen Adsorption on Nanoporous Carbon Materials.</w:t>
      </w:r>
      <w:r w:rsidRPr="00D701FD">
        <w:t xml:space="preserve"> Characterization of Porous Solids Vii - Proceedings of the 7th International Symposium on the Characterization of Porous Solids (Cops-V</w:t>
      </w:r>
      <w:r>
        <w:t>II</w:t>
      </w:r>
      <w:r w:rsidRPr="00D701FD">
        <w:t xml:space="preserve">), Aix-En-Provence, France, 26-28 May 2005, 2006. </w:t>
      </w:r>
      <w:r w:rsidRPr="00D701FD">
        <w:rPr>
          <w:b/>
        </w:rPr>
        <w:t>160</w:t>
      </w:r>
      <w:r w:rsidRPr="00D701FD">
        <w:t>: p. 121-128.</w:t>
      </w:r>
    </w:p>
    <w:p w14:paraId="6D5A1F0E" w14:textId="77777777" w:rsidR="00020843" w:rsidRPr="00D701FD" w:rsidRDefault="00020843" w:rsidP="00020843">
      <w:pPr>
        <w:pStyle w:val="EndNoteBibliography"/>
        <w:ind w:left="720" w:hanging="720"/>
      </w:pPr>
      <w:r w:rsidRPr="00D701FD">
        <w:t>21.</w:t>
      </w:r>
      <w:r w:rsidRPr="00D701FD">
        <w:tab/>
        <w:t xml:space="preserve">Czepirski, L. and J. Jagiello, </w:t>
      </w:r>
      <w:r w:rsidRPr="00D701FD">
        <w:rPr>
          <w:i/>
        </w:rPr>
        <w:t>Virial-Type Thermal Equation of Gas Solid Adsorption.</w:t>
      </w:r>
      <w:r w:rsidRPr="00D701FD">
        <w:t xml:space="preserve"> </w:t>
      </w:r>
      <w:r>
        <w:t>Chem. Eng. Sci.</w:t>
      </w:r>
      <w:r w:rsidRPr="00D701FD">
        <w:t xml:space="preserve">, 1989. </w:t>
      </w:r>
      <w:r w:rsidRPr="00D701FD">
        <w:rPr>
          <w:b/>
        </w:rPr>
        <w:t>44</w:t>
      </w:r>
      <w:r w:rsidRPr="00D701FD">
        <w:t>(4): p. 797-801.</w:t>
      </w:r>
    </w:p>
    <w:p w14:paraId="356654CC" w14:textId="77777777" w:rsidR="00020843" w:rsidRPr="00D701FD" w:rsidRDefault="00020843" w:rsidP="00020843">
      <w:pPr>
        <w:pStyle w:val="EndNoteBibliography"/>
        <w:ind w:left="720" w:hanging="720"/>
      </w:pPr>
      <w:r w:rsidRPr="00D701FD">
        <w:t>22.</w:t>
      </w:r>
      <w:r w:rsidRPr="00D701FD">
        <w:tab/>
        <w:t xml:space="preserve">Rouquerol, F., J. Rouquerol, and K.S.W. Sing, </w:t>
      </w:r>
      <w:r w:rsidRPr="00D701FD">
        <w:rPr>
          <w:i/>
        </w:rPr>
        <w:t>Adsorption by powders and porous solids : principles, methodology, and applications</w:t>
      </w:r>
      <w:r w:rsidRPr="00D701FD">
        <w:t>. 1999, San Diego: Academic Press. xvi, 467 p.</w:t>
      </w:r>
    </w:p>
    <w:p w14:paraId="31CFE190" w14:textId="77777777" w:rsidR="00020843" w:rsidRPr="00D701FD" w:rsidRDefault="00020843" w:rsidP="00020843">
      <w:pPr>
        <w:pStyle w:val="EndNoteBibliography"/>
        <w:ind w:left="720" w:hanging="720"/>
      </w:pPr>
      <w:r w:rsidRPr="00D701FD">
        <w:t>23.</w:t>
      </w:r>
      <w:r w:rsidRPr="00D701FD">
        <w:tab/>
        <w:t xml:space="preserve">Duren, T., Y.S. Bae, and R.Q. Snurr, </w:t>
      </w:r>
      <w:r w:rsidRPr="00D701FD">
        <w:rPr>
          <w:i/>
        </w:rPr>
        <w:t>Using molecular simulation to characterise metal-organic frameworks for adsorption applications.</w:t>
      </w:r>
      <w:r w:rsidRPr="00D701FD">
        <w:t xml:space="preserve"> </w:t>
      </w:r>
      <w:r>
        <w:t>Chem. Soc. Rev.</w:t>
      </w:r>
      <w:r w:rsidRPr="00D701FD">
        <w:t xml:space="preserve">, 2009. </w:t>
      </w:r>
      <w:r w:rsidRPr="00D701FD">
        <w:rPr>
          <w:b/>
        </w:rPr>
        <w:t>38</w:t>
      </w:r>
      <w:r w:rsidRPr="00D701FD">
        <w:t>(5): p. 1237-1247.</w:t>
      </w:r>
    </w:p>
    <w:p w14:paraId="0F0D27C8" w14:textId="77777777" w:rsidR="00020843" w:rsidRPr="00D701FD" w:rsidRDefault="00020843" w:rsidP="00020843">
      <w:pPr>
        <w:pStyle w:val="EndNoteBibliography"/>
        <w:ind w:left="720" w:hanging="720"/>
      </w:pPr>
      <w:r w:rsidRPr="00D701FD">
        <w:t>24.</w:t>
      </w:r>
      <w:r w:rsidRPr="00D701FD">
        <w:tab/>
        <w:t xml:space="preserve">Latroche, M., S. Surble, C. Serre, C. Mellot-Draznieks, P.L. Llewellyn, J.H. Lee, J.S. Chang, S.H. Jhung, and G. Ferey, </w:t>
      </w:r>
      <w:r w:rsidRPr="00D701FD">
        <w:rPr>
          <w:i/>
        </w:rPr>
        <w:t>Hydrogen storage in the giant-pore metal-organic frameworks MIL-100 and MIL-101.</w:t>
      </w:r>
      <w:r w:rsidRPr="00D701FD">
        <w:t xml:space="preserve"> </w:t>
      </w:r>
      <w:r>
        <w:t>Angew. Chem., Int. Ed.</w:t>
      </w:r>
      <w:r w:rsidRPr="00D701FD">
        <w:t xml:space="preserve">, 2006. </w:t>
      </w:r>
      <w:r w:rsidRPr="00D701FD">
        <w:rPr>
          <w:b/>
        </w:rPr>
        <w:t>45</w:t>
      </w:r>
      <w:r w:rsidRPr="00D701FD">
        <w:t>(48): p. 8227-8231.</w:t>
      </w:r>
    </w:p>
    <w:p w14:paraId="06BBEEAA" w14:textId="77777777" w:rsidR="00020843" w:rsidRPr="00D701FD" w:rsidRDefault="00020843" w:rsidP="00020843">
      <w:pPr>
        <w:pStyle w:val="EndNoteBibliography"/>
        <w:ind w:left="720" w:hanging="720"/>
      </w:pPr>
      <w:r w:rsidRPr="00D701FD">
        <w:t>25.</w:t>
      </w:r>
      <w:r w:rsidRPr="00D701FD">
        <w:tab/>
        <w:t xml:space="preserve">Llewellyn, P.L., S. Bourrelly, C. Serre, A. Vimont, M. Daturi, L. Hamon, G. De Weireld, J.S. Chang, D.Y. Hong, Y.K. Hwang, S.H. Jhung, and G. Ferey, </w:t>
      </w:r>
      <w:r w:rsidRPr="00D701FD">
        <w:rPr>
          <w:i/>
        </w:rPr>
        <w:t>High uptakes of CO</w:t>
      </w:r>
      <w:r w:rsidRPr="00E51F17">
        <w:rPr>
          <w:i/>
          <w:vertAlign w:val="subscript"/>
        </w:rPr>
        <w:t>2</w:t>
      </w:r>
      <w:r w:rsidRPr="00D701FD">
        <w:rPr>
          <w:i/>
        </w:rPr>
        <w:t xml:space="preserve"> and CH</w:t>
      </w:r>
      <w:r w:rsidRPr="00E51F17">
        <w:rPr>
          <w:i/>
          <w:vertAlign w:val="subscript"/>
        </w:rPr>
        <w:t>4</w:t>
      </w:r>
      <w:r w:rsidRPr="00D701FD">
        <w:rPr>
          <w:i/>
        </w:rPr>
        <w:t xml:space="preserve"> in mesoporous metal-organic frameworks MIL-100 and MIL-101.</w:t>
      </w:r>
      <w:r w:rsidRPr="00D701FD">
        <w:t xml:space="preserve"> Langmuir, 2008. </w:t>
      </w:r>
      <w:r w:rsidRPr="00D701FD">
        <w:rPr>
          <w:b/>
        </w:rPr>
        <w:t>24</w:t>
      </w:r>
      <w:r w:rsidRPr="00D701FD">
        <w:t>(14): p. 7245-7250.</w:t>
      </w:r>
    </w:p>
    <w:p w14:paraId="72BF9C6A" w14:textId="77777777" w:rsidR="00020843" w:rsidRPr="00D701FD" w:rsidRDefault="00020843" w:rsidP="00020843">
      <w:pPr>
        <w:pStyle w:val="EndNoteBibliography"/>
        <w:ind w:left="720" w:hanging="720"/>
      </w:pPr>
      <w:r w:rsidRPr="00D701FD">
        <w:t>26.</w:t>
      </w:r>
      <w:r w:rsidRPr="00D701FD">
        <w:tab/>
        <w:t xml:space="preserve">Streppel, B. and M. Hirscher, </w:t>
      </w:r>
      <w:r w:rsidRPr="00D701FD">
        <w:rPr>
          <w:i/>
        </w:rPr>
        <w:t>BET specific surface area and pore structure of MOFs determined by hydrogen adsorption at 20 K.</w:t>
      </w:r>
      <w:r w:rsidRPr="00D701FD">
        <w:t xml:space="preserve"> </w:t>
      </w:r>
      <w:r>
        <w:t>Phys. Chem. Chem. Phys.</w:t>
      </w:r>
      <w:r w:rsidRPr="00D701FD">
        <w:t xml:space="preserve">, 2011. </w:t>
      </w:r>
      <w:r w:rsidRPr="00D701FD">
        <w:rPr>
          <w:b/>
        </w:rPr>
        <w:t>13</w:t>
      </w:r>
      <w:r w:rsidRPr="00D701FD">
        <w:t>(8): p. 3220-3222.</w:t>
      </w:r>
    </w:p>
    <w:p w14:paraId="3BE0723D" w14:textId="77777777" w:rsidR="00020843" w:rsidRPr="00D701FD" w:rsidRDefault="00020843" w:rsidP="00020843">
      <w:pPr>
        <w:pStyle w:val="EndNoteBibliography"/>
        <w:ind w:left="720" w:hanging="720"/>
      </w:pPr>
      <w:r w:rsidRPr="00D701FD">
        <w:t>27.</w:t>
      </w:r>
      <w:r w:rsidRPr="00D701FD">
        <w:tab/>
        <w:t xml:space="preserve">Bimbo, N., J.E. Sharpe, V.P. Ting, A. Noguera-Diaz, and T.J. Mays, </w:t>
      </w:r>
      <w:r w:rsidRPr="00D701FD">
        <w:rPr>
          <w:i/>
        </w:rPr>
        <w:t>Isosteric enthalpies for hydrogen adsorbed on nanoporous materials at high pressures.</w:t>
      </w:r>
      <w:r w:rsidRPr="00D701FD">
        <w:t xml:space="preserve"> Adsorption, 2014. </w:t>
      </w:r>
      <w:r w:rsidRPr="00D701FD">
        <w:rPr>
          <w:b/>
        </w:rPr>
        <w:t>20</w:t>
      </w:r>
      <w:r w:rsidRPr="00D701FD">
        <w:t>(2-3): p. 373-384.</w:t>
      </w:r>
    </w:p>
    <w:p w14:paraId="2C8B5F02" w14:textId="77777777" w:rsidR="00020843" w:rsidRPr="00D701FD" w:rsidRDefault="00020843" w:rsidP="00020843">
      <w:pPr>
        <w:pStyle w:val="EndNoteBibliography"/>
        <w:ind w:left="720" w:hanging="720"/>
      </w:pPr>
      <w:r w:rsidRPr="00D701FD">
        <w:t>28.</w:t>
      </w:r>
      <w:r w:rsidRPr="00D701FD">
        <w:tab/>
        <w:t xml:space="preserve">Bimbo, N., W. Xu, J.E. Sharpe, V.P. Ting, and T.J. Mays, </w:t>
      </w:r>
      <w:r w:rsidRPr="00D701FD">
        <w:rPr>
          <w:i/>
        </w:rPr>
        <w:t>High-pressure adsorptive storage of hydrogen in MIL-101 (Cr) and AX-21 for mobile applications: Cryocharging and cryokinetics (vol 89, pg 1086, 2016).</w:t>
      </w:r>
      <w:r w:rsidRPr="00D701FD">
        <w:t xml:space="preserve"> </w:t>
      </w:r>
      <w:r>
        <w:t>Mater. Des.</w:t>
      </w:r>
      <w:r w:rsidRPr="00D701FD">
        <w:t xml:space="preserve">, 2016. </w:t>
      </w:r>
      <w:r w:rsidRPr="00D701FD">
        <w:rPr>
          <w:b/>
        </w:rPr>
        <w:t>91</w:t>
      </w:r>
      <w:r w:rsidRPr="00D701FD">
        <w:t>: p. 440-440.</w:t>
      </w:r>
    </w:p>
    <w:p w14:paraId="79C8A930" w14:textId="77777777" w:rsidR="00020843" w:rsidRPr="00D701FD" w:rsidRDefault="00020843" w:rsidP="00020843">
      <w:pPr>
        <w:pStyle w:val="EndNoteBibliography"/>
        <w:ind w:left="720" w:hanging="720"/>
      </w:pPr>
      <w:r w:rsidRPr="00D701FD">
        <w:t>29.</w:t>
      </w:r>
      <w:r w:rsidRPr="00D701FD">
        <w:tab/>
        <w:t xml:space="preserve">Sharpe, J.E., N. Bimbo, V.P. Ting, A.D. Burrows, D.M. Jiang, and T.J. Mays, </w:t>
      </w:r>
      <w:r w:rsidRPr="00D701FD">
        <w:rPr>
          <w:i/>
        </w:rPr>
        <w:t>Supercritical hydrogen adsorption in nanostructured solids with hydrogen density variation in pores.</w:t>
      </w:r>
      <w:r w:rsidRPr="00D701FD">
        <w:t xml:space="preserve"> Adsorption, 2013. </w:t>
      </w:r>
      <w:r w:rsidRPr="00D701FD">
        <w:rPr>
          <w:b/>
        </w:rPr>
        <w:t>19</w:t>
      </w:r>
      <w:r w:rsidRPr="00D701FD">
        <w:t>(2-4): p. 643-652.</w:t>
      </w:r>
    </w:p>
    <w:p w14:paraId="220F91FF" w14:textId="77777777" w:rsidR="00020843" w:rsidRPr="00D701FD" w:rsidRDefault="00020843" w:rsidP="00020843">
      <w:pPr>
        <w:pStyle w:val="EndNoteBibliography"/>
        <w:ind w:left="720" w:hanging="720"/>
      </w:pPr>
      <w:r w:rsidRPr="00D701FD">
        <w:t>30.</w:t>
      </w:r>
      <w:r w:rsidRPr="00D701FD">
        <w:tab/>
        <w:t xml:space="preserve">Schneemann, A., V. Bon, I. Schwedler, I. Senkovska, S. Kaskel, and R.A. Fischer, </w:t>
      </w:r>
      <w:r w:rsidRPr="00D701FD">
        <w:rPr>
          <w:i/>
        </w:rPr>
        <w:t>Flexible metal-organic frameworks.</w:t>
      </w:r>
      <w:r w:rsidRPr="00D701FD">
        <w:t xml:space="preserve"> </w:t>
      </w:r>
      <w:r>
        <w:t>Chem. Soc. Rev.</w:t>
      </w:r>
      <w:r w:rsidRPr="00D701FD">
        <w:t xml:space="preserve">, 2014. </w:t>
      </w:r>
      <w:r w:rsidRPr="00D701FD">
        <w:rPr>
          <w:b/>
        </w:rPr>
        <w:t>43</w:t>
      </w:r>
      <w:r w:rsidRPr="00D701FD">
        <w:t>(16): p. 6062-6096.</w:t>
      </w:r>
    </w:p>
    <w:p w14:paraId="4A60AB58" w14:textId="77777777" w:rsidR="00020843" w:rsidRPr="00D701FD" w:rsidRDefault="00020843" w:rsidP="00020843">
      <w:pPr>
        <w:pStyle w:val="EndNoteBibliography"/>
        <w:ind w:left="720" w:hanging="720"/>
      </w:pPr>
      <w:r w:rsidRPr="00D701FD">
        <w:t>31.</w:t>
      </w:r>
      <w:r w:rsidRPr="00D701FD">
        <w:tab/>
        <w:t xml:space="preserve">Coudert, F.-X., </w:t>
      </w:r>
      <w:r w:rsidRPr="00D701FD">
        <w:rPr>
          <w:i/>
        </w:rPr>
        <w:t>Responsive Metal–Organic Frameworks and Framework Materials: Under Pressure, Taking the Heat, in the Spotlight, with Friends.</w:t>
      </w:r>
      <w:r w:rsidRPr="00D701FD">
        <w:t xml:space="preserve"> </w:t>
      </w:r>
      <w:r>
        <w:t>Chem. Mater.</w:t>
      </w:r>
      <w:r w:rsidRPr="00D701FD">
        <w:t xml:space="preserve">, 2015. </w:t>
      </w:r>
      <w:r w:rsidRPr="00D701FD">
        <w:rPr>
          <w:b/>
        </w:rPr>
        <w:t>27</w:t>
      </w:r>
      <w:r w:rsidRPr="00D701FD">
        <w:t>(6): p. 1905-1916.</w:t>
      </w:r>
    </w:p>
    <w:p w14:paraId="799A2249" w14:textId="77777777" w:rsidR="00020843" w:rsidRPr="00D701FD" w:rsidRDefault="00020843" w:rsidP="00020843">
      <w:pPr>
        <w:pStyle w:val="EndNoteBibliography"/>
        <w:ind w:left="720" w:hanging="720"/>
      </w:pPr>
      <w:r w:rsidRPr="00D701FD">
        <w:t>32.</w:t>
      </w:r>
      <w:r w:rsidRPr="00D701FD">
        <w:tab/>
        <w:t xml:space="preserve">Loiseau, T., C. Serre, C. Huguenard, G. Fink, F. Taulelle, M. Henry, T. Bataille, and G. Ferey, </w:t>
      </w:r>
      <w:r w:rsidRPr="00D701FD">
        <w:rPr>
          <w:i/>
        </w:rPr>
        <w:t>A rationale for the large breathing of the porous aluminum terephthalate (MIL-53) upon hydration.</w:t>
      </w:r>
      <w:r w:rsidRPr="00D701FD">
        <w:t xml:space="preserve"> </w:t>
      </w:r>
      <w:r>
        <w:t>Chem. – Eur. J.</w:t>
      </w:r>
      <w:r w:rsidRPr="00D701FD">
        <w:t xml:space="preserve">, 2004. </w:t>
      </w:r>
      <w:r w:rsidRPr="00D701FD">
        <w:rPr>
          <w:b/>
        </w:rPr>
        <w:t>10</w:t>
      </w:r>
      <w:r w:rsidRPr="00D701FD">
        <w:t>(6): p. 1373-1382.</w:t>
      </w:r>
    </w:p>
    <w:p w14:paraId="29224A20" w14:textId="77777777" w:rsidR="00020843" w:rsidRPr="00D701FD" w:rsidRDefault="00020843" w:rsidP="00020843">
      <w:pPr>
        <w:pStyle w:val="EndNoteBibliography"/>
        <w:ind w:left="720" w:hanging="720"/>
      </w:pPr>
      <w:r w:rsidRPr="00D701FD">
        <w:t>33.</w:t>
      </w:r>
      <w:r w:rsidRPr="00D701FD">
        <w:tab/>
        <w:t xml:space="preserve">Yu, Z.W., J. Deschamps, L. Hamon, P.K. Prabhakaran, and P. Pre, </w:t>
      </w:r>
      <w:r w:rsidRPr="00D701FD">
        <w:rPr>
          <w:i/>
        </w:rPr>
        <w:t>Modeling hydrogen diffusion in hybrid activated carbon-MIL-101(Cr) considering temperature variations and surface loading changes.</w:t>
      </w:r>
      <w:r w:rsidRPr="00D701FD">
        <w:t xml:space="preserve"> </w:t>
      </w:r>
      <w:r>
        <w:t>Microporous Mesoporous Mater.</w:t>
      </w:r>
      <w:r w:rsidRPr="00D701FD">
        <w:t xml:space="preserve">, 2017. </w:t>
      </w:r>
      <w:r w:rsidRPr="00D701FD">
        <w:rPr>
          <w:b/>
        </w:rPr>
        <w:t>248</w:t>
      </w:r>
      <w:r w:rsidRPr="00D701FD">
        <w:t>: p. 72-83.</w:t>
      </w:r>
    </w:p>
    <w:p w14:paraId="23826DFE" w14:textId="77777777" w:rsidR="00020843" w:rsidRPr="00D701FD" w:rsidRDefault="00020843" w:rsidP="00020843">
      <w:pPr>
        <w:pStyle w:val="EndNoteBibliography"/>
        <w:ind w:left="720" w:hanging="720"/>
      </w:pPr>
      <w:r w:rsidRPr="00D701FD">
        <w:t>34.</w:t>
      </w:r>
      <w:r w:rsidRPr="00D701FD">
        <w:tab/>
        <w:t xml:space="preserve">Rallapalli, P.B.S., M.C. Raj, S. Senthilkumar, R.S. Somani, and H.C. Bajaj, </w:t>
      </w:r>
      <w:r w:rsidRPr="00D701FD">
        <w:rPr>
          <w:i/>
        </w:rPr>
        <w:t>HF-free synthesis of MIL-101(Cr) and its hydrogen adsorption studies.</w:t>
      </w:r>
      <w:r w:rsidRPr="00D701FD">
        <w:t xml:space="preserve"> </w:t>
      </w:r>
      <w:r>
        <w:t>Environ. Prog. Sustainable Energy</w:t>
      </w:r>
      <w:r w:rsidRPr="00D701FD">
        <w:t xml:space="preserve">, 2016. </w:t>
      </w:r>
      <w:r w:rsidRPr="00D701FD">
        <w:rPr>
          <w:b/>
        </w:rPr>
        <w:t>35</w:t>
      </w:r>
      <w:r w:rsidRPr="00D701FD">
        <w:t>(2): p. 461-468.</w:t>
      </w:r>
    </w:p>
    <w:p w14:paraId="5DC25DDF" w14:textId="77777777" w:rsidR="00020843" w:rsidRPr="00D701FD" w:rsidRDefault="00020843" w:rsidP="00020843">
      <w:pPr>
        <w:pStyle w:val="EndNoteBibliography"/>
        <w:ind w:left="720" w:hanging="720"/>
      </w:pPr>
      <w:r w:rsidRPr="00D701FD">
        <w:t>35.</w:t>
      </w:r>
      <w:r w:rsidRPr="00D701FD">
        <w:tab/>
        <w:t xml:space="preserve">Jiang, J.W. and S.I. Sandler, </w:t>
      </w:r>
      <w:r w:rsidRPr="00D701FD">
        <w:rPr>
          <w:i/>
        </w:rPr>
        <w:t>Monte Carlo simulation of O</w:t>
      </w:r>
      <w:r w:rsidRPr="00E51F17">
        <w:rPr>
          <w:i/>
          <w:vertAlign w:val="subscript"/>
        </w:rPr>
        <w:t>2</w:t>
      </w:r>
      <w:r w:rsidRPr="00D701FD">
        <w:rPr>
          <w:i/>
        </w:rPr>
        <w:t xml:space="preserve"> and N</w:t>
      </w:r>
      <w:r w:rsidRPr="00E51F17">
        <w:rPr>
          <w:i/>
          <w:vertAlign w:val="subscript"/>
        </w:rPr>
        <w:t>2</w:t>
      </w:r>
      <w:r w:rsidRPr="00D701FD">
        <w:rPr>
          <w:i/>
        </w:rPr>
        <w:t xml:space="preserve"> mixture adsorption in nanoporous carbon (C-168 Schwarzite).</w:t>
      </w:r>
      <w:r w:rsidRPr="00D701FD">
        <w:t xml:space="preserve"> Langmuir, 2003. </w:t>
      </w:r>
      <w:r w:rsidRPr="00D701FD">
        <w:rPr>
          <w:b/>
        </w:rPr>
        <w:t>19</w:t>
      </w:r>
      <w:r w:rsidRPr="00D701FD">
        <w:t>(14): p. 5936-5941.</w:t>
      </w:r>
    </w:p>
    <w:p w14:paraId="0498217C" w14:textId="77777777" w:rsidR="00020843" w:rsidRPr="00D701FD" w:rsidRDefault="00020843" w:rsidP="00020843">
      <w:pPr>
        <w:pStyle w:val="EndNoteBibliography"/>
        <w:ind w:left="720" w:hanging="720"/>
      </w:pPr>
      <w:r w:rsidRPr="00D701FD">
        <w:lastRenderedPageBreak/>
        <w:t>36.</w:t>
      </w:r>
      <w:r w:rsidRPr="00D701FD">
        <w:tab/>
        <w:t xml:space="preserve">Bimbo, N., V.P. Ting, A. Hruzewicz-Kolodziejczyk, and T.J. Mays, </w:t>
      </w:r>
      <w:r w:rsidRPr="00D701FD">
        <w:rPr>
          <w:i/>
        </w:rPr>
        <w:t>Analysis of hydrogen storage in nanoporous materials for low carbon energy applications.</w:t>
      </w:r>
      <w:r w:rsidRPr="00D701FD">
        <w:t xml:space="preserve"> </w:t>
      </w:r>
      <w:r>
        <w:t>Faraday Discuss.</w:t>
      </w:r>
      <w:r w:rsidRPr="00D701FD">
        <w:t xml:space="preserve">, 2011. </w:t>
      </w:r>
      <w:r w:rsidRPr="00D701FD">
        <w:rPr>
          <w:b/>
        </w:rPr>
        <w:t>151</w:t>
      </w:r>
      <w:r w:rsidRPr="00D701FD">
        <w:t>: p. 59-74.</w:t>
      </w:r>
    </w:p>
    <w:p w14:paraId="5B4953FC" w14:textId="77777777" w:rsidR="00020843" w:rsidRPr="00D701FD" w:rsidRDefault="00020843" w:rsidP="00020843">
      <w:pPr>
        <w:pStyle w:val="EndNoteBibliography"/>
        <w:ind w:left="720" w:hanging="720"/>
      </w:pPr>
      <w:r w:rsidRPr="00D701FD">
        <w:t>37.</w:t>
      </w:r>
      <w:r w:rsidRPr="00D701FD">
        <w:tab/>
        <w:t xml:space="preserve">Toth, J., </w:t>
      </w:r>
      <w:r w:rsidRPr="00D701FD">
        <w:rPr>
          <w:i/>
        </w:rPr>
        <w:t>State equations of solid-gas interface layers.</w:t>
      </w:r>
      <w:r w:rsidRPr="00D701FD">
        <w:t xml:space="preserve"> </w:t>
      </w:r>
      <w:r>
        <w:t>Acta Chim. Acad. Sci. Hung.</w:t>
      </w:r>
      <w:r w:rsidRPr="00D701FD">
        <w:t xml:space="preserve">, 1971. </w:t>
      </w:r>
      <w:r w:rsidRPr="00D701FD">
        <w:rPr>
          <w:b/>
        </w:rPr>
        <w:t>69</w:t>
      </w:r>
      <w:r w:rsidRPr="00D701FD">
        <w:t>(3).</w:t>
      </w:r>
    </w:p>
    <w:p w14:paraId="2727BE65" w14:textId="77777777" w:rsidR="00020843" w:rsidRPr="00D701FD" w:rsidRDefault="00020843" w:rsidP="00020843">
      <w:pPr>
        <w:pStyle w:val="EndNoteBibliography"/>
        <w:ind w:left="720" w:hanging="720"/>
      </w:pPr>
      <w:r w:rsidRPr="00D701FD">
        <w:t>38.</w:t>
      </w:r>
      <w:r w:rsidRPr="00D701FD">
        <w:tab/>
        <w:t xml:space="preserve">Toth, J., </w:t>
      </w:r>
      <w:r w:rsidRPr="00D701FD">
        <w:rPr>
          <w:i/>
        </w:rPr>
        <w:t>Gas-(dampf-) adsorption an festen oberflachen inhomogener aktivitat .1.</w:t>
      </w:r>
      <w:r w:rsidRPr="00D701FD">
        <w:t xml:space="preserve"> </w:t>
      </w:r>
      <w:r>
        <w:t>Acta Chim. Acad. Sci. Hung.</w:t>
      </w:r>
      <w:r w:rsidRPr="00D701FD">
        <w:t xml:space="preserve">, 1962. </w:t>
      </w:r>
      <w:r w:rsidRPr="00D701FD">
        <w:rPr>
          <w:b/>
        </w:rPr>
        <w:t>30</w:t>
      </w:r>
      <w:r w:rsidRPr="00D701FD">
        <w:t>(4).</w:t>
      </w:r>
    </w:p>
    <w:p w14:paraId="3ABFE5FC" w14:textId="77777777" w:rsidR="00020843" w:rsidRPr="00D701FD" w:rsidRDefault="00020843" w:rsidP="00020843">
      <w:pPr>
        <w:pStyle w:val="EndNoteBibliography"/>
        <w:ind w:left="720" w:hanging="720"/>
      </w:pPr>
      <w:r w:rsidRPr="00D701FD">
        <w:t>39.</w:t>
      </w:r>
      <w:r w:rsidRPr="00D701FD">
        <w:tab/>
        <w:t xml:space="preserve">Leachman, J.W., R.T. Jacobsen, S.G. Penoncello, and E.W. Lemmon, </w:t>
      </w:r>
      <w:r w:rsidRPr="00D701FD">
        <w:rPr>
          <w:i/>
        </w:rPr>
        <w:t>Fundamental Equations of State for Parahydrogen, Normal Hydrogen, and Orthohydrogen.</w:t>
      </w:r>
      <w:r w:rsidRPr="00D701FD">
        <w:t xml:space="preserve"> </w:t>
      </w:r>
      <w:r>
        <w:t>J. Phys. Chem. Ref. Data</w:t>
      </w:r>
      <w:r w:rsidRPr="00D701FD">
        <w:t xml:space="preserve">, 2009. </w:t>
      </w:r>
      <w:r w:rsidRPr="00D701FD">
        <w:rPr>
          <w:b/>
        </w:rPr>
        <w:t>38</w:t>
      </w:r>
      <w:r w:rsidRPr="00D701FD">
        <w:t>(3).</w:t>
      </w:r>
    </w:p>
    <w:p w14:paraId="6EE6BE59" w14:textId="77777777" w:rsidR="00020843" w:rsidRPr="00D701FD" w:rsidRDefault="00020843" w:rsidP="00020843">
      <w:pPr>
        <w:pStyle w:val="EndNoteBibliography"/>
        <w:ind w:left="720" w:hanging="720"/>
      </w:pPr>
      <w:r w:rsidRPr="00D701FD">
        <w:t>40.</w:t>
      </w:r>
      <w:r w:rsidRPr="00D701FD">
        <w:tab/>
        <w:t xml:space="preserve">Colognesi, D., M. Celli, A.J. Ramirez-Cuesta, and M. Zoppi, </w:t>
      </w:r>
      <w:r w:rsidRPr="00D701FD">
        <w:rPr>
          <w:i/>
        </w:rPr>
        <w:t>Lattice vibrations of para-hydrogen impurities in a solid deuterium matrix: An inelastic neutron scattering study.</w:t>
      </w:r>
      <w:r w:rsidRPr="00D701FD">
        <w:t xml:space="preserve"> </w:t>
      </w:r>
      <w:r>
        <w:t>Phys. Rev.</w:t>
      </w:r>
      <w:r w:rsidRPr="00D701FD">
        <w:t xml:space="preserve"> B, 2007. </w:t>
      </w:r>
      <w:r w:rsidRPr="00D701FD">
        <w:rPr>
          <w:b/>
        </w:rPr>
        <w:t>76</w:t>
      </w:r>
      <w:r w:rsidRPr="00D701FD">
        <w:t>(17)</w:t>
      </w:r>
      <w:r>
        <w:t>, 174304.</w:t>
      </w:r>
    </w:p>
    <w:p w14:paraId="25215950" w14:textId="77777777" w:rsidR="00020843" w:rsidRPr="00D701FD" w:rsidRDefault="00020843" w:rsidP="00020843">
      <w:pPr>
        <w:pStyle w:val="EndNoteBibliography"/>
        <w:ind w:left="720" w:hanging="720"/>
      </w:pPr>
      <w:r w:rsidRPr="00D701FD">
        <w:t>41.</w:t>
      </w:r>
      <w:r w:rsidRPr="00D701FD">
        <w:tab/>
        <w:t xml:space="preserve">Ramirez-Cuesta, A.J., M.O. Jones, and W.I.F. David, </w:t>
      </w:r>
      <w:r w:rsidRPr="00D701FD">
        <w:rPr>
          <w:i/>
        </w:rPr>
        <w:t>Neutron scattering and hydrogen storage.</w:t>
      </w:r>
      <w:r w:rsidRPr="00D701FD">
        <w:t xml:space="preserve"> </w:t>
      </w:r>
      <w:r>
        <w:t>Mater. Today</w:t>
      </w:r>
      <w:r w:rsidRPr="00D701FD">
        <w:t xml:space="preserve">, 2009. </w:t>
      </w:r>
      <w:r w:rsidRPr="00D701FD">
        <w:rPr>
          <w:b/>
        </w:rPr>
        <w:t>12</w:t>
      </w:r>
      <w:r w:rsidRPr="00D701FD">
        <w:t>(11): p. 54-61.</w:t>
      </w:r>
    </w:p>
    <w:p w14:paraId="0B6C2B02" w14:textId="77777777" w:rsidR="00020843" w:rsidRPr="00D701FD" w:rsidRDefault="00020843" w:rsidP="00020843">
      <w:pPr>
        <w:pStyle w:val="EndNoteBibliography"/>
        <w:ind w:left="720" w:hanging="720"/>
      </w:pPr>
      <w:r w:rsidRPr="00D701FD">
        <w:t>42.</w:t>
      </w:r>
      <w:r w:rsidRPr="00D701FD">
        <w:tab/>
        <w:t xml:space="preserve">Hruzewicz-Kolodziejczyk, A., V.P. Ting, N. Bimbo, and T.J. Mays, </w:t>
      </w:r>
      <w:r w:rsidRPr="00D701FD">
        <w:rPr>
          <w:i/>
        </w:rPr>
        <w:t>Improving comparability of hydrogen storage capacities of nanoporous materials.</w:t>
      </w:r>
      <w:r w:rsidRPr="00D701FD">
        <w:t xml:space="preserve"> </w:t>
      </w:r>
      <w:r>
        <w:t>Int. J. Hydrogen Energy</w:t>
      </w:r>
      <w:r w:rsidRPr="00D701FD">
        <w:t xml:space="preserve">, 2012. </w:t>
      </w:r>
      <w:r w:rsidRPr="00D701FD">
        <w:rPr>
          <w:b/>
        </w:rPr>
        <w:t>37</w:t>
      </w:r>
      <w:r w:rsidRPr="00D701FD">
        <w:t>(3): p. 2728-2736.</w:t>
      </w:r>
    </w:p>
    <w:p w14:paraId="4FBA9024" w14:textId="77777777" w:rsidR="00020843" w:rsidRPr="00D701FD" w:rsidRDefault="00020843" w:rsidP="00020843">
      <w:pPr>
        <w:pStyle w:val="EndNoteBibliography"/>
        <w:ind w:left="720" w:hanging="720"/>
      </w:pPr>
      <w:r w:rsidRPr="00D701FD">
        <w:t>43.</w:t>
      </w:r>
      <w:r w:rsidRPr="00D701FD">
        <w:tab/>
        <w:t xml:space="preserve">Rzepka, M., P. Lamp, and M.A. de la Casa-Lillo, </w:t>
      </w:r>
      <w:r w:rsidRPr="00D701FD">
        <w:rPr>
          <w:i/>
        </w:rPr>
        <w:t>Physisorption of hydrogen on microporous carbon and carbon nanotubes.</w:t>
      </w:r>
      <w:r w:rsidRPr="00D701FD">
        <w:t xml:space="preserve"> </w:t>
      </w:r>
      <w:r>
        <w:t>J. Phys. Chem. B</w:t>
      </w:r>
      <w:r w:rsidRPr="00D701FD">
        <w:t xml:space="preserve">, 1998. </w:t>
      </w:r>
      <w:r w:rsidRPr="00D701FD">
        <w:rPr>
          <w:b/>
        </w:rPr>
        <w:t>102</w:t>
      </w:r>
      <w:r w:rsidRPr="00D701FD">
        <w:t>(52): p. 10894-10898.</w:t>
      </w:r>
    </w:p>
    <w:p w14:paraId="4338998F" w14:textId="77777777" w:rsidR="00020843" w:rsidRDefault="00020843" w:rsidP="00020843">
      <w:pPr>
        <w:spacing w:line="360" w:lineRule="auto"/>
        <w:jc w:val="both"/>
        <w:rPr>
          <w:b/>
          <w:bCs/>
        </w:rPr>
      </w:pPr>
    </w:p>
    <w:p w14:paraId="6D67CCAD" w14:textId="77777777" w:rsidR="00020843" w:rsidRDefault="00020843" w:rsidP="00020843"/>
    <w:p w14:paraId="700E01E9" w14:textId="77777777" w:rsidR="00020843" w:rsidRDefault="00020843">
      <w:pPr>
        <w:spacing w:after="160" w:line="259" w:lineRule="auto"/>
        <w:rPr>
          <w:b/>
          <w:bCs/>
        </w:rPr>
      </w:pPr>
      <w:r>
        <w:rPr>
          <w:b/>
          <w:bCs/>
        </w:rPr>
        <w:br w:type="page"/>
      </w:r>
    </w:p>
    <w:p w14:paraId="4943BF1A" w14:textId="7D639312" w:rsidR="004A2C42" w:rsidRDefault="004A2C42" w:rsidP="00E51386">
      <w:pPr>
        <w:spacing w:line="360" w:lineRule="auto"/>
        <w:jc w:val="both"/>
        <w:rPr>
          <w:b/>
          <w:bCs/>
        </w:rPr>
      </w:pPr>
      <w:r>
        <w:rPr>
          <w:b/>
          <w:bCs/>
        </w:rPr>
        <w:lastRenderedPageBreak/>
        <w:t>Table of Contents graphic</w:t>
      </w:r>
    </w:p>
    <w:p w14:paraId="0D8DCB73" w14:textId="0CA67F89" w:rsidR="004A2C42" w:rsidRDefault="00692B4A" w:rsidP="00E51386">
      <w:pPr>
        <w:spacing w:line="360" w:lineRule="auto"/>
        <w:jc w:val="both"/>
        <w:rPr>
          <w:b/>
          <w:bCs/>
        </w:rPr>
      </w:pPr>
      <w:r>
        <w:rPr>
          <w:b/>
          <w:bCs/>
          <w:noProof/>
        </w:rPr>
        <w:drawing>
          <wp:inline distT="0" distB="0" distL="0" distR="0" wp14:anchorId="5AB1D543" wp14:editId="57AC66CA">
            <wp:extent cx="5943600" cy="3465195"/>
            <wp:effectExtent l="0" t="0" r="0" b="1905"/>
            <wp:docPr id="21" name="Picture 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943600" cy="3465195"/>
                    </a:xfrm>
                    <a:prstGeom prst="rect">
                      <a:avLst/>
                    </a:prstGeom>
                  </pic:spPr>
                </pic:pic>
              </a:graphicData>
            </a:graphic>
          </wp:inline>
        </w:drawing>
      </w:r>
    </w:p>
    <w:sectPr w:rsidR="004A2C42" w:rsidSect="003605D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0B61C" w14:textId="77777777" w:rsidR="00997494" w:rsidRDefault="00997494" w:rsidP="00505F6D">
      <w:r>
        <w:separator/>
      </w:r>
    </w:p>
  </w:endnote>
  <w:endnote w:type="continuationSeparator" w:id="0">
    <w:p w14:paraId="458163A9" w14:textId="77777777" w:rsidR="00997494" w:rsidRDefault="00997494" w:rsidP="0050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ḷƐ"/>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4700836"/>
      <w:docPartObj>
        <w:docPartGallery w:val="Page Numbers (Bottom of Page)"/>
        <w:docPartUnique/>
      </w:docPartObj>
    </w:sdtPr>
    <w:sdtEndPr>
      <w:rPr>
        <w:noProof/>
      </w:rPr>
    </w:sdtEndPr>
    <w:sdtContent>
      <w:p w14:paraId="0A25C54A" w14:textId="76FFAE7A" w:rsidR="00505F6D" w:rsidRDefault="00505F6D">
        <w:pPr>
          <w:pStyle w:val="Footer"/>
          <w:jc w:val="center"/>
        </w:pPr>
        <w:r>
          <w:fldChar w:fldCharType="begin"/>
        </w:r>
        <w:r>
          <w:instrText xml:space="preserve"> PAGE   \* MERGEFORMAT </w:instrText>
        </w:r>
        <w:r>
          <w:fldChar w:fldCharType="separate"/>
        </w:r>
        <w:r w:rsidR="00566727">
          <w:rPr>
            <w:noProof/>
          </w:rPr>
          <w:t>12</w:t>
        </w:r>
        <w:r>
          <w:rPr>
            <w:noProof/>
          </w:rPr>
          <w:fldChar w:fldCharType="end"/>
        </w:r>
      </w:p>
    </w:sdtContent>
  </w:sdt>
  <w:p w14:paraId="08E9C40A" w14:textId="77777777" w:rsidR="00505F6D" w:rsidRDefault="00505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A7A12" w14:textId="77777777" w:rsidR="00997494" w:rsidRDefault="00997494" w:rsidP="00505F6D">
      <w:r>
        <w:separator/>
      </w:r>
    </w:p>
  </w:footnote>
  <w:footnote w:type="continuationSeparator" w:id="0">
    <w:p w14:paraId="6887C192" w14:textId="77777777" w:rsidR="00997494" w:rsidRDefault="00997494" w:rsidP="00505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vz0vsz02p2szsetw98vts9k20v0fz5pdfaf&quot;&gt;PhD Thesis- after corrections&lt;record-ids&gt;&lt;item&gt;60&lt;/item&gt;&lt;item&gt;149&lt;/item&gt;&lt;item&gt;458&lt;/item&gt;&lt;item&gt;468&lt;/item&gt;&lt;item&gt;495&lt;/item&gt;&lt;item&gt;496&lt;/item&gt;&lt;item&gt;513&lt;/item&gt;&lt;item&gt;733&lt;/item&gt;&lt;item&gt;739&lt;/item&gt;&lt;item&gt;740&lt;/item&gt;&lt;item&gt;1070&lt;/item&gt;&lt;item&gt;1137&lt;/item&gt;&lt;item&gt;1208&lt;/item&gt;&lt;item&gt;1829&lt;/item&gt;&lt;item&gt;1843&lt;/item&gt;&lt;item&gt;2480&lt;/item&gt;&lt;item&gt;2751&lt;/item&gt;&lt;item&gt;4602&lt;/item&gt;&lt;item&gt;4749&lt;/item&gt;&lt;item&gt;4770&lt;/item&gt;&lt;item&gt;4772&lt;/item&gt;&lt;item&gt;4953&lt;/item&gt;&lt;item&gt;5224&lt;/item&gt;&lt;item&gt;5225&lt;/item&gt;&lt;item&gt;5226&lt;/item&gt;&lt;item&gt;5537&lt;/item&gt;&lt;item&gt;5538&lt;/item&gt;&lt;item&gt;5539&lt;/item&gt;&lt;item&gt;5540&lt;/item&gt;&lt;item&gt;5541&lt;/item&gt;&lt;item&gt;5547&lt;/item&gt;&lt;item&gt;5552&lt;/item&gt;&lt;item&gt;5554&lt;/item&gt;&lt;item&gt;5555&lt;/item&gt;&lt;item&gt;6000&lt;/item&gt;&lt;item&gt;6012&lt;/item&gt;&lt;item&gt;6013&lt;/item&gt;&lt;item&gt;6016&lt;/item&gt;&lt;item&gt;6020&lt;/item&gt;&lt;item&gt;6024&lt;/item&gt;&lt;item&gt;6066&lt;/item&gt;&lt;item&gt;6067&lt;/item&gt;&lt;item&gt;6068&lt;/item&gt;&lt;/record-ids&gt;&lt;/item&gt;&lt;/Libraries&gt;"/>
  </w:docVars>
  <w:rsids>
    <w:rsidRoot w:val="00D93C2A"/>
    <w:rsid w:val="00004C61"/>
    <w:rsid w:val="00007088"/>
    <w:rsid w:val="000107C8"/>
    <w:rsid w:val="00012F51"/>
    <w:rsid w:val="0001406D"/>
    <w:rsid w:val="0001543C"/>
    <w:rsid w:val="0001658F"/>
    <w:rsid w:val="00020843"/>
    <w:rsid w:val="00026D15"/>
    <w:rsid w:val="00030A4C"/>
    <w:rsid w:val="00033D4A"/>
    <w:rsid w:val="00036A89"/>
    <w:rsid w:val="00041314"/>
    <w:rsid w:val="0004226E"/>
    <w:rsid w:val="00044787"/>
    <w:rsid w:val="0005594B"/>
    <w:rsid w:val="00057579"/>
    <w:rsid w:val="000600AC"/>
    <w:rsid w:val="000615C2"/>
    <w:rsid w:val="00072C06"/>
    <w:rsid w:val="00075ADB"/>
    <w:rsid w:val="00082683"/>
    <w:rsid w:val="00082F5D"/>
    <w:rsid w:val="00087C57"/>
    <w:rsid w:val="000901B4"/>
    <w:rsid w:val="000901E3"/>
    <w:rsid w:val="000904F1"/>
    <w:rsid w:val="00096DCA"/>
    <w:rsid w:val="0009757D"/>
    <w:rsid w:val="00097C8B"/>
    <w:rsid w:val="000A2861"/>
    <w:rsid w:val="000A6C6A"/>
    <w:rsid w:val="000A7F8B"/>
    <w:rsid w:val="000C0477"/>
    <w:rsid w:val="000C27AA"/>
    <w:rsid w:val="000C4EEB"/>
    <w:rsid w:val="000E2091"/>
    <w:rsid w:val="000F455A"/>
    <w:rsid w:val="0010010F"/>
    <w:rsid w:val="00101875"/>
    <w:rsid w:val="001048F0"/>
    <w:rsid w:val="00112939"/>
    <w:rsid w:val="00117688"/>
    <w:rsid w:val="00122CB2"/>
    <w:rsid w:val="0012310E"/>
    <w:rsid w:val="00124210"/>
    <w:rsid w:val="00124E9F"/>
    <w:rsid w:val="00125922"/>
    <w:rsid w:val="00147ADC"/>
    <w:rsid w:val="001525D7"/>
    <w:rsid w:val="00155A11"/>
    <w:rsid w:val="00160199"/>
    <w:rsid w:val="00165E65"/>
    <w:rsid w:val="00166303"/>
    <w:rsid w:val="00176884"/>
    <w:rsid w:val="00193170"/>
    <w:rsid w:val="001935D6"/>
    <w:rsid w:val="00195610"/>
    <w:rsid w:val="001A48C5"/>
    <w:rsid w:val="001A6013"/>
    <w:rsid w:val="001A728D"/>
    <w:rsid w:val="001B2718"/>
    <w:rsid w:val="001B6BB9"/>
    <w:rsid w:val="001C6F62"/>
    <w:rsid w:val="001D6241"/>
    <w:rsid w:val="001D631C"/>
    <w:rsid w:val="001D6C1F"/>
    <w:rsid w:val="001E1FFC"/>
    <w:rsid w:val="001E3D81"/>
    <w:rsid w:val="001F1210"/>
    <w:rsid w:val="001F6F4B"/>
    <w:rsid w:val="002109CF"/>
    <w:rsid w:val="00220853"/>
    <w:rsid w:val="00226518"/>
    <w:rsid w:val="00227B26"/>
    <w:rsid w:val="00241418"/>
    <w:rsid w:val="0024731E"/>
    <w:rsid w:val="00255C8F"/>
    <w:rsid w:val="00260C4C"/>
    <w:rsid w:val="0026180E"/>
    <w:rsid w:val="0026200F"/>
    <w:rsid w:val="00264122"/>
    <w:rsid w:val="00266A7C"/>
    <w:rsid w:val="00272829"/>
    <w:rsid w:val="00272ED2"/>
    <w:rsid w:val="00280524"/>
    <w:rsid w:val="00282A7D"/>
    <w:rsid w:val="002908F8"/>
    <w:rsid w:val="002943CC"/>
    <w:rsid w:val="00297912"/>
    <w:rsid w:val="002A3EAC"/>
    <w:rsid w:val="002A547E"/>
    <w:rsid w:val="002A74F6"/>
    <w:rsid w:val="002B1758"/>
    <w:rsid w:val="002B2956"/>
    <w:rsid w:val="002B30CE"/>
    <w:rsid w:val="002B5AD7"/>
    <w:rsid w:val="002B6426"/>
    <w:rsid w:val="002C394D"/>
    <w:rsid w:val="002C626C"/>
    <w:rsid w:val="002C659A"/>
    <w:rsid w:val="002C7F36"/>
    <w:rsid w:val="002D06EE"/>
    <w:rsid w:val="002E2115"/>
    <w:rsid w:val="002E6AF4"/>
    <w:rsid w:val="002E726B"/>
    <w:rsid w:val="002F5551"/>
    <w:rsid w:val="002F763D"/>
    <w:rsid w:val="003069FF"/>
    <w:rsid w:val="00306A1F"/>
    <w:rsid w:val="00307F0F"/>
    <w:rsid w:val="00312580"/>
    <w:rsid w:val="003125CB"/>
    <w:rsid w:val="00327DDF"/>
    <w:rsid w:val="00333DFA"/>
    <w:rsid w:val="00337098"/>
    <w:rsid w:val="00337D82"/>
    <w:rsid w:val="00355F51"/>
    <w:rsid w:val="003605D3"/>
    <w:rsid w:val="00364AAC"/>
    <w:rsid w:val="003665D9"/>
    <w:rsid w:val="00367415"/>
    <w:rsid w:val="00370D48"/>
    <w:rsid w:val="003718E9"/>
    <w:rsid w:val="003744BB"/>
    <w:rsid w:val="003767A2"/>
    <w:rsid w:val="0038037E"/>
    <w:rsid w:val="00381F94"/>
    <w:rsid w:val="00385D4C"/>
    <w:rsid w:val="00386D8F"/>
    <w:rsid w:val="0039090E"/>
    <w:rsid w:val="003A3651"/>
    <w:rsid w:val="003B73CB"/>
    <w:rsid w:val="003C0141"/>
    <w:rsid w:val="003D1A97"/>
    <w:rsid w:val="003D1CAC"/>
    <w:rsid w:val="003D2C15"/>
    <w:rsid w:val="003D4269"/>
    <w:rsid w:val="003D50F0"/>
    <w:rsid w:val="003D545C"/>
    <w:rsid w:val="003D576E"/>
    <w:rsid w:val="003D7A26"/>
    <w:rsid w:val="003E0808"/>
    <w:rsid w:val="003E72A6"/>
    <w:rsid w:val="003F6B2D"/>
    <w:rsid w:val="003F71EF"/>
    <w:rsid w:val="00402DD1"/>
    <w:rsid w:val="00410CBC"/>
    <w:rsid w:val="0042247C"/>
    <w:rsid w:val="004244E0"/>
    <w:rsid w:val="00434AD5"/>
    <w:rsid w:val="00440E58"/>
    <w:rsid w:val="00442264"/>
    <w:rsid w:val="00442FC9"/>
    <w:rsid w:val="00453ADA"/>
    <w:rsid w:val="00462A48"/>
    <w:rsid w:val="00470F5A"/>
    <w:rsid w:val="00473610"/>
    <w:rsid w:val="00485568"/>
    <w:rsid w:val="00485B4B"/>
    <w:rsid w:val="00485C58"/>
    <w:rsid w:val="00486CB8"/>
    <w:rsid w:val="00490FE9"/>
    <w:rsid w:val="004924E2"/>
    <w:rsid w:val="00496C67"/>
    <w:rsid w:val="004974DB"/>
    <w:rsid w:val="004A1278"/>
    <w:rsid w:val="004A171E"/>
    <w:rsid w:val="004A2C42"/>
    <w:rsid w:val="004B7F37"/>
    <w:rsid w:val="004C27E8"/>
    <w:rsid w:val="004E2AC1"/>
    <w:rsid w:val="004E3ABC"/>
    <w:rsid w:val="004E7BA2"/>
    <w:rsid w:val="004F022F"/>
    <w:rsid w:val="004F200A"/>
    <w:rsid w:val="004F6C84"/>
    <w:rsid w:val="004F784C"/>
    <w:rsid w:val="005009DC"/>
    <w:rsid w:val="00505F6D"/>
    <w:rsid w:val="0051185E"/>
    <w:rsid w:val="005244F8"/>
    <w:rsid w:val="005246DA"/>
    <w:rsid w:val="00525A45"/>
    <w:rsid w:val="00526B1E"/>
    <w:rsid w:val="005330AA"/>
    <w:rsid w:val="00533FE5"/>
    <w:rsid w:val="005425B7"/>
    <w:rsid w:val="00554F16"/>
    <w:rsid w:val="00562FBF"/>
    <w:rsid w:val="00566727"/>
    <w:rsid w:val="0056710A"/>
    <w:rsid w:val="0057091E"/>
    <w:rsid w:val="00580A6A"/>
    <w:rsid w:val="00590651"/>
    <w:rsid w:val="00590DE6"/>
    <w:rsid w:val="005939E0"/>
    <w:rsid w:val="0059556F"/>
    <w:rsid w:val="005B29BE"/>
    <w:rsid w:val="005B4EC6"/>
    <w:rsid w:val="005C5A0E"/>
    <w:rsid w:val="005D3777"/>
    <w:rsid w:val="005E370A"/>
    <w:rsid w:val="005E3D7C"/>
    <w:rsid w:val="005E494F"/>
    <w:rsid w:val="005F1CD2"/>
    <w:rsid w:val="00606541"/>
    <w:rsid w:val="0061026C"/>
    <w:rsid w:val="00613986"/>
    <w:rsid w:val="006206BE"/>
    <w:rsid w:val="00620AC4"/>
    <w:rsid w:val="006320BD"/>
    <w:rsid w:val="0063224C"/>
    <w:rsid w:val="0063421F"/>
    <w:rsid w:val="0063470D"/>
    <w:rsid w:val="0064365E"/>
    <w:rsid w:val="00651A37"/>
    <w:rsid w:val="00652875"/>
    <w:rsid w:val="0065320E"/>
    <w:rsid w:val="00653E32"/>
    <w:rsid w:val="00655B08"/>
    <w:rsid w:val="006561D2"/>
    <w:rsid w:val="006600D3"/>
    <w:rsid w:val="0067243E"/>
    <w:rsid w:val="006748D6"/>
    <w:rsid w:val="006807DC"/>
    <w:rsid w:val="0068648A"/>
    <w:rsid w:val="0068786F"/>
    <w:rsid w:val="006906DD"/>
    <w:rsid w:val="00691D00"/>
    <w:rsid w:val="00692B4A"/>
    <w:rsid w:val="006A0938"/>
    <w:rsid w:val="006A1EC9"/>
    <w:rsid w:val="006A7375"/>
    <w:rsid w:val="006B5EC7"/>
    <w:rsid w:val="006B6ACC"/>
    <w:rsid w:val="006C0193"/>
    <w:rsid w:val="006D0EEB"/>
    <w:rsid w:val="006D3403"/>
    <w:rsid w:val="006D7DFB"/>
    <w:rsid w:val="006E05C7"/>
    <w:rsid w:val="006E2049"/>
    <w:rsid w:val="006F0A06"/>
    <w:rsid w:val="006F0C39"/>
    <w:rsid w:val="006F5945"/>
    <w:rsid w:val="00707105"/>
    <w:rsid w:val="00714AA8"/>
    <w:rsid w:val="00716AB7"/>
    <w:rsid w:val="0072263B"/>
    <w:rsid w:val="00732535"/>
    <w:rsid w:val="00737A92"/>
    <w:rsid w:val="00746739"/>
    <w:rsid w:val="00750C3A"/>
    <w:rsid w:val="0076558C"/>
    <w:rsid w:val="00776406"/>
    <w:rsid w:val="00784EFD"/>
    <w:rsid w:val="0079030C"/>
    <w:rsid w:val="007A002A"/>
    <w:rsid w:val="007C39C4"/>
    <w:rsid w:val="007C3BA5"/>
    <w:rsid w:val="007C51AE"/>
    <w:rsid w:val="007F34FA"/>
    <w:rsid w:val="00800142"/>
    <w:rsid w:val="00813D70"/>
    <w:rsid w:val="00820935"/>
    <w:rsid w:val="00821DAD"/>
    <w:rsid w:val="00831974"/>
    <w:rsid w:val="00832AAA"/>
    <w:rsid w:val="00840276"/>
    <w:rsid w:val="00841BB7"/>
    <w:rsid w:val="0084650E"/>
    <w:rsid w:val="00847220"/>
    <w:rsid w:val="008527CE"/>
    <w:rsid w:val="00857FBD"/>
    <w:rsid w:val="008616EB"/>
    <w:rsid w:val="0086294C"/>
    <w:rsid w:val="00862ACD"/>
    <w:rsid w:val="0088207E"/>
    <w:rsid w:val="00882EDE"/>
    <w:rsid w:val="00883B98"/>
    <w:rsid w:val="00885356"/>
    <w:rsid w:val="008857B3"/>
    <w:rsid w:val="00885EBF"/>
    <w:rsid w:val="00886080"/>
    <w:rsid w:val="008935EE"/>
    <w:rsid w:val="00894F6B"/>
    <w:rsid w:val="00895B90"/>
    <w:rsid w:val="00897679"/>
    <w:rsid w:val="008B4153"/>
    <w:rsid w:val="008C12F3"/>
    <w:rsid w:val="008C55A9"/>
    <w:rsid w:val="008D4650"/>
    <w:rsid w:val="008D7695"/>
    <w:rsid w:val="008E3E3C"/>
    <w:rsid w:val="008F3B18"/>
    <w:rsid w:val="008F7F39"/>
    <w:rsid w:val="0090380F"/>
    <w:rsid w:val="00905281"/>
    <w:rsid w:val="00911514"/>
    <w:rsid w:val="00913771"/>
    <w:rsid w:val="00915A03"/>
    <w:rsid w:val="00921458"/>
    <w:rsid w:val="00921F34"/>
    <w:rsid w:val="00926230"/>
    <w:rsid w:val="00926CC9"/>
    <w:rsid w:val="009325FD"/>
    <w:rsid w:val="00935EED"/>
    <w:rsid w:val="00936188"/>
    <w:rsid w:val="00937B45"/>
    <w:rsid w:val="0094367A"/>
    <w:rsid w:val="009443EA"/>
    <w:rsid w:val="0094535E"/>
    <w:rsid w:val="009479AF"/>
    <w:rsid w:val="009619E0"/>
    <w:rsid w:val="00961CF9"/>
    <w:rsid w:val="00964171"/>
    <w:rsid w:val="00985200"/>
    <w:rsid w:val="00993A38"/>
    <w:rsid w:val="00997494"/>
    <w:rsid w:val="009A448D"/>
    <w:rsid w:val="009B669F"/>
    <w:rsid w:val="009C0B56"/>
    <w:rsid w:val="009C25AC"/>
    <w:rsid w:val="009C2FCB"/>
    <w:rsid w:val="009C4259"/>
    <w:rsid w:val="009C4617"/>
    <w:rsid w:val="009D17AF"/>
    <w:rsid w:val="009D53A4"/>
    <w:rsid w:val="009D621B"/>
    <w:rsid w:val="009D75C6"/>
    <w:rsid w:val="009E47AE"/>
    <w:rsid w:val="009F289A"/>
    <w:rsid w:val="00A00B25"/>
    <w:rsid w:val="00A060B2"/>
    <w:rsid w:val="00A07367"/>
    <w:rsid w:val="00A20D6F"/>
    <w:rsid w:val="00A2378F"/>
    <w:rsid w:val="00A23836"/>
    <w:rsid w:val="00A25B57"/>
    <w:rsid w:val="00A31E10"/>
    <w:rsid w:val="00A40039"/>
    <w:rsid w:val="00A407DC"/>
    <w:rsid w:val="00A5102C"/>
    <w:rsid w:val="00A53F05"/>
    <w:rsid w:val="00A66014"/>
    <w:rsid w:val="00A720D0"/>
    <w:rsid w:val="00A7457A"/>
    <w:rsid w:val="00A74954"/>
    <w:rsid w:val="00A75237"/>
    <w:rsid w:val="00A75823"/>
    <w:rsid w:val="00A8117F"/>
    <w:rsid w:val="00A829BC"/>
    <w:rsid w:val="00A8634F"/>
    <w:rsid w:val="00A94AD9"/>
    <w:rsid w:val="00A97ABA"/>
    <w:rsid w:val="00AA3CC2"/>
    <w:rsid w:val="00AA4A75"/>
    <w:rsid w:val="00AA4D5E"/>
    <w:rsid w:val="00AB1C6F"/>
    <w:rsid w:val="00AB302F"/>
    <w:rsid w:val="00AB4896"/>
    <w:rsid w:val="00AC116F"/>
    <w:rsid w:val="00AC56AD"/>
    <w:rsid w:val="00AC61FC"/>
    <w:rsid w:val="00AD106F"/>
    <w:rsid w:val="00AF1F9E"/>
    <w:rsid w:val="00AF74F1"/>
    <w:rsid w:val="00B05617"/>
    <w:rsid w:val="00B0593F"/>
    <w:rsid w:val="00B07D92"/>
    <w:rsid w:val="00B107A3"/>
    <w:rsid w:val="00B13AE8"/>
    <w:rsid w:val="00B1416E"/>
    <w:rsid w:val="00B25D99"/>
    <w:rsid w:val="00B3090F"/>
    <w:rsid w:val="00B3532F"/>
    <w:rsid w:val="00B36441"/>
    <w:rsid w:val="00B368B7"/>
    <w:rsid w:val="00B42782"/>
    <w:rsid w:val="00B44B15"/>
    <w:rsid w:val="00B473B9"/>
    <w:rsid w:val="00B608A2"/>
    <w:rsid w:val="00B653CF"/>
    <w:rsid w:val="00B72779"/>
    <w:rsid w:val="00B830F7"/>
    <w:rsid w:val="00B850BD"/>
    <w:rsid w:val="00BB3A73"/>
    <w:rsid w:val="00BD69CA"/>
    <w:rsid w:val="00BE6FFF"/>
    <w:rsid w:val="00BF61D0"/>
    <w:rsid w:val="00C0074C"/>
    <w:rsid w:val="00C02C55"/>
    <w:rsid w:val="00C0323C"/>
    <w:rsid w:val="00C03BAE"/>
    <w:rsid w:val="00C06D43"/>
    <w:rsid w:val="00C119AB"/>
    <w:rsid w:val="00C17807"/>
    <w:rsid w:val="00C20B47"/>
    <w:rsid w:val="00C21709"/>
    <w:rsid w:val="00C2346A"/>
    <w:rsid w:val="00C2585C"/>
    <w:rsid w:val="00C30EEA"/>
    <w:rsid w:val="00C323DE"/>
    <w:rsid w:val="00C34FC6"/>
    <w:rsid w:val="00C367F3"/>
    <w:rsid w:val="00C41923"/>
    <w:rsid w:val="00C63A4C"/>
    <w:rsid w:val="00C65E0C"/>
    <w:rsid w:val="00C718A9"/>
    <w:rsid w:val="00C77E8A"/>
    <w:rsid w:val="00C8036B"/>
    <w:rsid w:val="00C8549A"/>
    <w:rsid w:val="00C85924"/>
    <w:rsid w:val="00C90F77"/>
    <w:rsid w:val="00C93797"/>
    <w:rsid w:val="00C94382"/>
    <w:rsid w:val="00CA0609"/>
    <w:rsid w:val="00CA2534"/>
    <w:rsid w:val="00CA32AD"/>
    <w:rsid w:val="00CB379D"/>
    <w:rsid w:val="00CB6FB5"/>
    <w:rsid w:val="00CD1EA3"/>
    <w:rsid w:val="00CE15F4"/>
    <w:rsid w:val="00CF2C65"/>
    <w:rsid w:val="00CF7061"/>
    <w:rsid w:val="00D0363A"/>
    <w:rsid w:val="00D10215"/>
    <w:rsid w:val="00D132F0"/>
    <w:rsid w:val="00D160A9"/>
    <w:rsid w:val="00D2296D"/>
    <w:rsid w:val="00D250B8"/>
    <w:rsid w:val="00D367C5"/>
    <w:rsid w:val="00D504D4"/>
    <w:rsid w:val="00D53A1A"/>
    <w:rsid w:val="00D701FD"/>
    <w:rsid w:val="00D74904"/>
    <w:rsid w:val="00D75F9B"/>
    <w:rsid w:val="00D83A1D"/>
    <w:rsid w:val="00D84FC6"/>
    <w:rsid w:val="00D8734E"/>
    <w:rsid w:val="00D87706"/>
    <w:rsid w:val="00D93C2A"/>
    <w:rsid w:val="00DA7CEB"/>
    <w:rsid w:val="00DB30C7"/>
    <w:rsid w:val="00DB52F6"/>
    <w:rsid w:val="00DC5774"/>
    <w:rsid w:val="00DD2A32"/>
    <w:rsid w:val="00DD5A98"/>
    <w:rsid w:val="00DE1DB1"/>
    <w:rsid w:val="00E032FC"/>
    <w:rsid w:val="00E1335D"/>
    <w:rsid w:val="00E143A9"/>
    <w:rsid w:val="00E214DE"/>
    <w:rsid w:val="00E26AC2"/>
    <w:rsid w:val="00E26AD7"/>
    <w:rsid w:val="00E277FB"/>
    <w:rsid w:val="00E4018E"/>
    <w:rsid w:val="00E4488C"/>
    <w:rsid w:val="00E51386"/>
    <w:rsid w:val="00E51F17"/>
    <w:rsid w:val="00E525E8"/>
    <w:rsid w:val="00E53777"/>
    <w:rsid w:val="00E55420"/>
    <w:rsid w:val="00E569C6"/>
    <w:rsid w:val="00E56EC0"/>
    <w:rsid w:val="00E64128"/>
    <w:rsid w:val="00E64BFC"/>
    <w:rsid w:val="00E6516B"/>
    <w:rsid w:val="00E66473"/>
    <w:rsid w:val="00E74F77"/>
    <w:rsid w:val="00E827E7"/>
    <w:rsid w:val="00E85FCD"/>
    <w:rsid w:val="00E90E64"/>
    <w:rsid w:val="00E96DAC"/>
    <w:rsid w:val="00EC01F6"/>
    <w:rsid w:val="00EC14BC"/>
    <w:rsid w:val="00EC2EB8"/>
    <w:rsid w:val="00EC50A3"/>
    <w:rsid w:val="00ED3EBF"/>
    <w:rsid w:val="00ED596A"/>
    <w:rsid w:val="00ED5FCF"/>
    <w:rsid w:val="00ED723B"/>
    <w:rsid w:val="00EE2FD1"/>
    <w:rsid w:val="00EE4F69"/>
    <w:rsid w:val="00EE7E52"/>
    <w:rsid w:val="00EF200C"/>
    <w:rsid w:val="00EF7188"/>
    <w:rsid w:val="00F1102B"/>
    <w:rsid w:val="00F13DAC"/>
    <w:rsid w:val="00F147FE"/>
    <w:rsid w:val="00F15D30"/>
    <w:rsid w:val="00F24B7B"/>
    <w:rsid w:val="00F26FA2"/>
    <w:rsid w:val="00F271AB"/>
    <w:rsid w:val="00F32441"/>
    <w:rsid w:val="00F33729"/>
    <w:rsid w:val="00F50248"/>
    <w:rsid w:val="00F5468C"/>
    <w:rsid w:val="00F71075"/>
    <w:rsid w:val="00F829C8"/>
    <w:rsid w:val="00F83D08"/>
    <w:rsid w:val="00F91B44"/>
    <w:rsid w:val="00F94832"/>
    <w:rsid w:val="00F95A03"/>
    <w:rsid w:val="00F97EE1"/>
    <w:rsid w:val="00FB014F"/>
    <w:rsid w:val="00FB3B4F"/>
    <w:rsid w:val="00FC1B2F"/>
    <w:rsid w:val="00FE4D91"/>
    <w:rsid w:val="00FF03DB"/>
    <w:rsid w:val="00FF1AEF"/>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1E1EA9"/>
  <w15:chartTrackingRefBased/>
  <w15:docId w15:val="{21776FD1-EEE1-4E12-A83C-29D6DB48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A2"/>
    <w:pPr>
      <w:spacing w:after="0" w:line="240" w:lineRule="auto"/>
    </w:pPr>
    <w:rPr>
      <w:rFonts w:ascii="Arial" w:hAnsi="Arial"/>
    </w:rPr>
  </w:style>
  <w:style w:type="paragraph" w:styleId="Heading1">
    <w:name w:val="heading 1"/>
    <w:basedOn w:val="Normal"/>
    <w:link w:val="Heading1Char"/>
    <w:uiPriority w:val="9"/>
    <w:qFormat/>
    <w:rsid w:val="00750C3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5">
    <w:name w:val="heading 5"/>
    <w:basedOn w:val="Normal"/>
    <w:next w:val="Normal"/>
    <w:link w:val="Heading5Char"/>
    <w:uiPriority w:val="9"/>
    <w:semiHidden/>
    <w:unhideWhenUsed/>
    <w:qFormat/>
    <w:rsid w:val="00462A4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1F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FC"/>
    <w:rPr>
      <w:rFonts w:ascii="Segoe UI" w:hAnsi="Segoe UI" w:cs="Segoe UI"/>
      <w:sz w:val="18"/>
      <w:szCs w:val="18"/>
    </w:rPr>
  </w:style>
  <w:style w:type="paragraph" w:customStyle="1" w:styleId="equation">
    <w:name w:val="equation"/>
    <w:basedOn w:val="Normal"/>
    <w:next w:val="Normal"/>
    <w:rsid w:val="00AA3CC2"/>
    <w:pPr>
      <w:spacing w:before="120" w:after="120"/>
      <w:jc w:val="center"/>
    </w:pPr>
    <w:rPr>
      <w:rFonts w:ascii="Times New Roman" w:eastAsia="Times New Roman" w:hAnsi="Times New Roman" w:cs="Times New Roman"/>
      <w:sz w:val="24"/>
      <w:szCs w:val="24"/>
      <w:lang w:eastAsia="en-GB"/>
    </w:rPr>
  </w:style>
  <w:style w:type="paragraph" w:customStyle="1" w:styleId="TAMainText">
    <w:name w:val="TA_Main_Text"/>
    <w:basedOn w:val="Normal"/>
    <w:rsid w:val="00C17807"/>
    <w:pPr>
      <w:spacing w:line="480" w:lineRule="auto"/>
      <w:ind w:firstLine="202"/>
      <w:jc w:val="both"/>
    </w:pPr>
    <w:rPr>
      <w:rFonts w:ascii="Times" w:eastAsia="Times New Roman" w:hAnsi="Times" w:cs="Times New Roman"/>
      <w:sz w:val="24"/>
      <w:szCs w:val="20"/>
      <w:lang w:val="en-US"/>
    </w:rPr>
  </w:style>
  <w:style w:type="table" w:styleId="TableGrid">
    <w:name w:val="Table Grid"/>
    <w:basedOn w:val="TableNormal"/>
    <w:rsid w:val="000C0477"/>
    <w:pPr>
      <w:spacing w:after="0" w:line="240" w:lineRule="auto"/>
    </w:pPr>
    <w:rPr>
      <w:rFonts w:ascii="New York" w:eastAsia="Times New Roman" w:hAnsi="New York"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C0477"/>
    <w:pPr>
      <w:spacing w:after="200"/>
      <w:jc w:val="both"/>
    </w:pPr>
    <w:rPr>
      <w:rFonts w:ascii="Times" w:eastAsia="Times New Roman" w:hAnsi="Times" w:cs="Times New Roman"/>
      <w:b/>
      <w:bCs/>
      <w:sz w:val="18"/>
      <w:szCs w:val="18"/>
      <w:lang w:val="en-US"/>
    </w:rPr>
  </w:style>
  <w:style w:type="paragraph" w:customStyle="1" w:styleId="EndNoteBibliographyTitle">
    <w:name w:val="EndNote Bibliography Title"/>
    <w:basedOn w:val="Normal"/>
    <w:link w:val="EndNoteBibliographyTitleChar"/>
    <w:rsid w:val="00C2585C"/>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C2585C"/>
    <w:rPr>
      <w:rFonts w:ascii="Arial" w:hAnsi="Arial" w:cs="Arial"/>
      <w:noProof/>
      <w:lang w:val="en-US"/>
    </w:rPr>
  </w:style>
  <w:style w:type="paragraph" w:customStyle="1" w:styleId="EndNoteBibliography">
    <w:name w:val="EndNote Bibliography"/>
    <w:basedOn w:val="Normal"/>
    <w:link w:val="EndNoteBibliographyChar"/>
    <w:rsid w:val="00C2585C"/>
    <w:pPr>
      <w:jc w:val="both"/>
    </w:pPr>
    <w:rPr>
      <w:rFonts w:cs="Arial"/>
      <w:noProof/>
      <w:lang w:val="en-US"/>
    </w:rPr>
  </w:style>
  <w:style w:type="character" w:customStyle="1" w:styleId="EndNoteBibliographyChar">
    <w:name w:val="EndNote Bibliography Char"/>
    <w:basedOn w:val="DefaultParagraphFont"/>
    <w:link w:val="EndNoteBibliography"/>
    <w:rsid w:val="00C2585C"/>
    <w:rPr>
      <w:rFonts w:ascii="Arial" w:hAnsi="Arial" w:cs="Arial"/>
      <w:noProof/>
      <w:lang w:val="en-US"/>
    </w:rPr>
  </w:style>
  <w:style w:type="character" w:styleId="Hyperlink">
    <w:name w:val="Hyperlink"/>
    <w:basedOn w:val="DefaultParagraphFont"/>
    <w:uiPriority w:val="99"/>
    <w:unhideWhenUsed/>
    <w:rsid w:val="008F3B18"/>
    <w:rPr>
      <w:color w:val="0563C1" w:themeColor="hyperlink"/>
      <w:u w:val="single"/>
    </w:rPr>
  </w:style>
  <w:style w:type="character" w:customStyle="1" w:styleId="UnresolvedMention1">
    <w:name w:val="Unresolved Mention1"/>
    <w:basedOn w:val="DefaultParagraphFont"/>
    <w:uiPriority w:val="99"/>
    <w:semiHidden/>
    <w:unhideWhenUsed/>
    <w:rsid w:val="008F3B18"/>
    <w:rPr>
      <w:color w:val="605E5C"/>
      <w:shd w:val="clear" w:color="auto" w:fill="E1DFDD"/>
    </w:rPr>
  </w:style>
  <w:style w:type="character" w:styleId="CommentReference">
    <w:name w:val="annotation reference"/>
    <w:basedOn w:val="DefaultParagraphFont"/>
    <w:uiPriority w:val="99"/>
    <w:semiHidden/>
    <w:unhideWhenUsed/>
    <w:rsid w:val="00716AB7"/>
    <w:rPr>
      <w:sz w:val="16"/>
      <w:szCs w:val="16"/>
    </w:rPr>
  </w:style>
  <w:style w:type="paragraph" w:styleId="CommentText">
    <w:name w:val="annotation text"/>
    <w:basedOn w:val="Normal"/>
    <w:link w:val="CommentTextChar"/>
    <w:uiPriority w:val="99"/>
    <w:semiHidden/>
    <w:unhideWhenUsed/>
    <w:rsid w:val="00716AB7"/>
    <w:rPr>
      <w:sz w:val="20"/>
      <w:szCs w:val="20"/>
    </w:rPr>
  </w:style>
  <w:style w:type="character" w:customStyle="1" w:styleId="CommentTextChar">
    <w:name w:val="Comment Text Char"/>
    <w:basedOn w:val="DefaultParagraphFont"/>
    <w:link w:val="CommentText"/>
    <w:uiPriority w:val="99"/>
    <w:semiHidden/>
    <w:rsid w:val="00716AB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6AB7"/>
    <w:rPr>
      <w:b/>
      <w:bCs/>
    </w:rPr>
  </w:style>
  <w:style w:type="character" w:customStyle="1" w:styleId="CommentSubjectChar">
    <w:name w:val="Comment Subject Char"/>
    <w:basedOn w:val="CommentTextChar"/>
    <w:link w:val="CommentSubject"/>
    <w:uiPriority w:val="99"/>
    <w:semiHidden/>
    <w:rsid w:val="00716AB7"/>
    <w:rPr>
      <w:rFonts w:ascii="Arial" w:hAnsi="Arial"/>
      <w:b/>
      <w:bCs/>
      <w:sz w:val="20"/>
      <w:szCs w:val="20"/>
    </w:rPr>
  </w:style>
  <w:style w:type="character" w:customStyle="1" w:styleId="Heading1Char">
    <w:name w:val="Heading 1 Char"/>
    <w:basedOn w:val="DefaultParagraphFont"/>
    <w:link w:val="Heading1"/>
    <w:uiPriority w:val="9"/>
    <w:rsid w:val="00750C3A"/>
    <w:rPr>
      <w:rFonts w:ascii="Times New Roman" w:eastAsia="Times New Roman" w:hAnsi="Times New Roman" w:cs="Times New Roman"/>
      <w:b/>
      <w:bCs/>
      <w:kern w:val="36"/>
      <w:sz w:val="48"/>
      <w:szCs w:val="48"/>
      <w:lang w:eastAsia="en-GB"/>
    </w:rPr>
  </w:style>
  <w:style w:type="character" w:customStyle="1" w:styleId="title-text">
    <w:name w:val="title-text"/>
    <w:basedOn w:val="DefaultParagraphFont"/>
    <w:rsid w:val="00750C3A"/>
  </w:style>
  <w:style w:type="character" w:customStyle="1" w:styleId="sr-only">
    <w:name w:val="sr-only"/>
    <w:basedOn w:val="DefaultParagraphFont"/>
    <w:rsid w:val="00750C3A"/>
  </w:style>
  <w:style w:type="character" w:customStyle="1" w:styleId="text">
    <w:name w:val="text"/>
    <w:basedOn w:val="DefaultParagraphFont"/>
    <w:rsid w:val="00750C3A"/>
  </w:style>
  <w:style w:type="paragraph" w:styleId="Revision">
    <w:name w:val="Revision"/>
    <w:hidden/>
    <w:uiPriority w:val="99"/>
    <w:semiHidden/>
    <w:rsid w:val="009F289A"/>
    <w:pPr>
      <w:spacing w:after="0" w:line="240" w:lineRule="auto"/>
    </w:pPr>
    <w:rPr>
      <w:rFonts w:ascii="Arial" w:hAnsi="Arial"/>
    </w:rPr>
  </w:style>
  <w:style w:type="character" w:customStyle="1" w:styleId="apple-converted-space">
    <w:name w:val="apple-converted-space"/>
    <w:basedOn w:val="DefaultParagraphFont"/>
    <w:rsid w:val="00776406"/>
  </w:style>
  <w:style w:type="character" w:customStyle="1" w:styleId="UnresolvedMention2">
    <w:name w:val="Unresolved Mention2"/>
    <w:basedOn w:val="DefaultParagraphFont"/>
    <w:uiPriority w:val="99"/>
    <w:semiHidden/>
    <w:unhideWhenUsed/>
    <w:rsid w:val="00AF74F1"/>
    <w:rPr>
      <w:color w:val="605E5C"/>
      <w:shd w:val="clear" w:color="auto" w:fill="E1DFDD"/>
    </w:rPr>
  </w:style>
  <w:style w:type="paragraph" w:styleId="Header">
    <w:name w:val="header"/>
    <w:basedOn w:val="Normal"/>
    <w:link w:val="HeaderChar"/>
    <w:uiPriority w:val="99"/>
    <w:unhideWhenUsed/>
    <w:rsid w:val="00505F6D"/>
    <w:pPr>
      <w:tabs>
        <w:tab w:val="center" w:pos="4680"/>
        <w:tab w:val="right" w:pos="9360"/>
      </w:tabs>
    </w:pPr>
  </w:style>
  <w:style w:type="character" w:customStyle="1" w:styleId="HeaderChar">
    <w:name w:val="Header Char"/>
    <w:basedOn w:val="DefaultParagraphFont"/>
    <w:link w:val="Header"/>
    <w:uiPriority w:val="99"/>
    <w:rsid w:val="00505F6D"/>
    <w:rPr>
      <w:rFonts w:ascii="Arial" w:hAnsi="Arial"/>
    </w:rPr>
  </w:style>
  <w:style w:type="paragraph" w:styleId="Footer">
    <w:name w:val="footer"/>
    <w:basedOn w:val="Normal"/>
    <w:link w:val="FooterChar"/>
    <w:uiPriority w:val="99"/>
    <w:unhideWhenUsed/>
    <w:rsid w:val="00505F6D"/>
    <w:pPr>
      <w:tabs>
        <w:tab w:val="center" w:pos="4680"/>
        <w:tab w:val="right" w:pos="9360"/>
      </w:tabs>
    </w:pPr>
  </w:style>
  <w:style w:type="character" w:customStyle="1" w:styleId="FooterChar">
    <w:name w:val="Footer Char"/>
    <w:basedOn w:val="DefaultParagraphFont"/>
    <w:link w:val="Footer"/>
    <w:uiPriority w:val="99"/>
    <w:rsid w:val="00505F6D"/>
    <w:rPr>
      <w:rFonts w:ascii="Arial" w:hAnsi="Arial"/>
    </w:rPr>
  </w:style>
  <w:style w:type="character" w:styleId="LineNumber">
    <w:name w:val="line number"/>
    <w:basedOn w:val="DefaultParagraphFont"/>
    <w:uiPriority w:val="99"/>
    <w:semiHidden/>
    <w:unhideWhenUsed/>
    <w:rsid w:val="00746739"/>
  </w:style>
  <w:style w:type="character" w:customStyle="1" w:styleId="UnresolvedMention3">
    <w:name w:val="Unresolved Mention3"/>
    <w:basedOn w:val="DefaultParagraphFont"/>
    <w:uiPriority w:val="99"/>
    <w:semiHidden/>
    <w:unhideWhenUsed/>
    <w:rsid w:val="00935EED"/>
    <w:rPr>
      <w:color w:val="605E5C"/>
      <w:shd w:val="clear" w:color="auto" w:fill="E1DFDD"/>
    </w:rPr>
  </w:style>
  <w:style w:type="character" w:styleId="UnresolvedMention">
    <w:name w:val="Unresolved Mention"/>
    <w:basedOn w:val="DefaultParagraphFont"/>
    <w:uiPriority w:val="99"/>
    <w:semiHidden/>
    <w:unhideWhenUsed/>
    <w:rsid w:val="00EE7E52"/>
    <w:rPr>
      <w:color w:val="605E5C"/>
      <w:shd w:val="clear" w:color="auto" w:fill="E1DFDD"/>
    </w:rPr>
  </w:style>
  <w:style w:type="character" w:customStyle="1" w:styleId="Heading5Char">
    <w:name w:val="Heading 5 Char"/>
    <w:basedOn w:val="DefaultParagraphFont"/>
    <w:link w:val="Heading5"/>
    <w:uiPriority w:val="9"/>
    <w:semiHidden/>
    <w:rsid w:val="00462A4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524131">
      <w:bodyDiv w:val="1"/>
      <w:marLeft w:val="0"/>
      <w:marRight w:val="0"/>
      <w:marTop w:val="0"/>
      <w:marBottom w:val="0"/>
      <w:divBdr>
        <w:top w:val="none" w:sz="0" w:space="0" w:color="auto"/>
        <w:left w:val="none" w:sz="0" w:space="0" w:color="auto"/>
        <w:bottom w:val="none" w:sz="0" w:space="0" w:color="auto"/>
        <w:right w:val="none" w:sz="0" w:space="0" w:color="auto"/>
      </w:divBdr>
      <w:divsChild>
        <w:div w:id="1102184502">
          <w:marLeft w:val="0"/>
          <w:marRight w:val="0"/>
          <w:marTop w:val="0"/>
          <w:marBottom w:val="0"/>
          <w:divBdr>
            <w:top w:val="none" w:sz="0" w:space="0" w:color="auto"/>
            <w:left w:val="none" w:sz="0" w:space="0" w:color="auto"/>
            <w:bottom w:val="none" w:sz="0" w:space="0" w:color="auto"/>
            <w:right w:val="none" w:sz="0" w:space="0" w:color="auto"/>
          </w:divBdr>
          <w:divsChild>
            <w:div w:id="1978413331">
              <w:marLeft w:val="0"/>
              <w:marRight w:val="0"/>
              <w:marTop w:val="0"/>
              <w:marBottom w:val="0"/>
              <w:divBdr>
                <w:top w:val="none" w:sz="0" w:space="0" w:color="auto"/>
                <w:left w:val="none" w:sz="0" w:space="0" w:color="auto"/>
                <w:bottom w:val="none" w:sz="0" w:space="0" w:color="auto"/>
                <w:right w:val="none" w:sz="0" w:space="0" w:color="auto"/>
              </w:divBdr>
              <w:divsChild>
                <w:div w:id="1085808568">
                  <w:marLeft w:val="0"/>
                  <w:marRight w:val="0"/>
                  <w:marTop w:val="0"/>
                  <w:marBottom w:val="0"/>
                  <w:divBdr>
                    <w:top w:val="none" w:sz="0" w:space="0" w:color="auto"/>
                    <w:left w:val="none" w:sz="0" w:space="0" w:color="auto"/>
                    <w:bottom w:val="none" w:sz="0" w:space="0" w:color="auto"/>
                    <w:right w:val="none" w:sz="0" w:space="0" w:color="auto"/>
                  </w:divBdr>
                  <w:divsChild>
                    <w:div w:id="20866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90510">
      <w:bodyDiv w:val="1"/>
      <w:marLeft w:val="0"/>
      <w:marRight w:val="0"/>
      <w:marTop w:val="0"/>
      <w:marBottom w:val="0"/>
      <w:divBdr>
        <w:top w:val="none" w:sz="0" w:space="0" w:color="auto"/>
        <w:left w:val="none" w:sz="0" w:space="0" w:color="auto"/>
        <w:bottom w:val="none" w:sz="0" w:space="0" w:color="auto"/>
        <w:right w:val="none" w:sz="0" w:space="0" w:color="auto"/>
      </w:divBdr>
      <w:divsChild>
        <w:div w:id="1947156635">
          <w:marLeft w:val="0"/>
          <w:marRight w:val="0"/>
          <w:marTop w:val="0"/>
          <w:marBottom w:val="0"/>
          <w:divBdr>
            <w:top w:val="none" w:sz="0" w:space="0" w:color="auto"/>
            <w:left w:val="none" w:sz="0" w:space="0" w:color="auto"/>
            <w:bottom w:val="none" w:sz="0" w:space="0" w:color="auto"/>
            <w:right w:val="none" w:sz="0" w:space="0" w:color="auto"/>
          </w:divBdr>
          <w:divsChild>
            <w:div w:id="932862655">
              <w:marLeft w:val="0"/>
              <w:marRight w:val="0"/>
              <w:marTop w:val="0"/>
              <w:marBottom w:val="0"/>
              <w:divBdr>
                <w:top w:val="none" w:sz="0" w:space="0" w:color="auto"/>
                <w:left w:val="none" w:sz="0" w:space="0" w:color="auto"/>
                <w:bottom w:val="none" w:sz="0" w:space="0" w:color="auto"/>
                <w:right w:val="none" w:sz="0" w:space="0" w:color="auto"/>
              </w:divBdr>
              <w:divsChild>
                <w:div w:id="162356659">
                  <w:marLeft w:val="0"/>
                  <w:marRight w:val="0"/>
                  <w:marTop w:val="0"/>
                  <w:marBottom w:val="0"/>
                  <w:divBdr>
                    <w:top w:val="none" w:sz="0" w:space="0" w:color="auto"/>
                    <w:left w:val="none" w:sz="0" w:space="0" w:color="auto"/>
                    <w:bottom w:val="none" w:sz="0" w:space="0" w:color="auto"/>
                    <w:right w:val="none" w:sz="0" w:space="0" w:color="auto"/>
                  </w:divBdr>
                  <w:divsChild>
                    <w:div w:id="5124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79632">
      <w:bodyDiv w:val="1"/>
      <w:marLeft w:val="0"/>
      <w:marRight w:val="0"/>
      <w:marTop w:val="0"/>
      <w:marBottom w:val="0"/>
      <w:divBdr>
        <w:top w:val="none" w:sz="0" w:space="0" w:color="auto"/>
        <w:left w:val="none" w:sz="0" w:space="0" w:color="auto"/>
        <w:bottom w:val="none" w:sz="0" w:space="0" w:color="auto"/>
        <w:right w:val="none" w:sz="0" w:space="0" w:color="auto"/>
      </w:divBdr>
    </w:div>
    <w:div w:id="1488934735">
      <w:bodyDiv w:val="1"/>
      <w:marLeft w:val="0"/>
      <w:marRight w:val="0"/>
      <w:marTop w:val="0"/>
      <w:marBottom w:val="0"/>
      <w:divBdr>
        <w:top w:val="none" w:sz="0" w:space="0" w:color="auto"/>
        <w:left w:val="none" w:sz="0" w:space="0" w:color="auto"/>
        <w:bottom w:val="none" w:sz="0" w:space="0" w:color="auto"/>
        <w:right w:val="none" w:sz="0" w:space="0" w:color="auto"/>
      </w:divBdr>
    </w:div>
    <w:div w:id="1555846308">
      <w:bodyDiv w:val="1"/>
      <w:marLeft w:val="0"/>
      <w:marRight w:val="0"/>
      <w:marTop w:val="0"/>
      <w:marBottom w:val="0"/>
      <w:divBdr>
        <w:top w:val="none" w:sz="0" w:space="0" w:color="auto"/>
        <w:left w:val="none" w:sz="0" w:space="0" w:color="auto"/>
        <w:bottom w:val="none" w:sz="0" w:space="0" w:color="auto"/>
        <w:right w:val="none" w:sz="0" w:space="0" w:color="auto"/>
      </w:divBdr>
    </w:div>
    <w:div w:id="1622147932">
      <w:bodyDiv w:val="1"/>
      <w:marLeft w:val="0"/>
      <w:marRight w:val="0"/>
      <w:marTop w:val="0"/>
      <w:marBottom w:val="0"/>
      <w:divBdr>
        <w:top w:val="none" w:sz="0" w:space="0" w:color="auto"/>
        <w:left w:val="none" w:sz="0" w:space="0" w:color="auto"/>
        <w:bottom w:val="none" w:sz="0" w:space="0" w:color="auto"/>
        <w:right w:val="none" w:sz="0" w:space="0" w:color="auto"/>
      </w:divBdr>
    </w:div>
    <w:div w:id="18980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15DE-8656-4961-B2FC-0B2AFEBA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7310</Words>
  <Characters>41672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Bimbo, Nuno</dc:creator>
  <cp:keywords/>
  <dc:description/>
  <cp:lastModifiedBy>Nuno Bimbo</cp:lastModifiedBy>
  <cp:revision>23</cp:revision>
  <dcterms:created xsi:type="dcterms:W3CDTF">2021-06-21T11:07:00Z</dcterms:created>
  <dcterms:modified xsi:type="dcterms:W3CDTF">2021-07-28T14:17:00Z</dcterms:modified>
</cp:coreProperties>
</file>