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777A" w14:textId="77777777" w:rsidR="005B62C2" w:rsidRPr="001C096A" w:rsidRDefault="005B62C2" w:rsidP="005B62C2">
      <w:pPr>
        <w:spacing w:line="276" w:lineRule="auto"/>
        <w:jc w:val="center"/>
        <w:rPr>
          <w:rFonts w:asciiTheme="majorBidi" w:hAnsiTheme="majorBidi" w:cstheme="majorBidi"/>
          <w:b/>
          <w:sz w:val="28"/>
          <w:szCs w:val="32"/>
        </w:rPr>
      </w:pPr>
      <w:r w:rsidRPr="001C096A">
        <w:rPr>
          <w:rFonts w:asciiTheme="majorBidi" w:hAnsiTheme="majorBidi" w:cstheme="majorBidi"/>
          <w:b/>
          <w:sz w:val="28"/>
          <w:szCs w:val="32"/>
        </w:rPr>
        <w:t>If you feel good, I feel good! The mediating effect of behavioral factors on the relationship between industry indices and Bitcoin returns</w:t>
      </w:r>
      <w:r>
        <w:rPr>
          <w:rFonts w:asciiTheme="majorBidi" w:hAnsiTheme="majorBidi" w:cstheme="majorBidi"/>
          <w:b/>
          <w:sz w:val="28"/>
          <w:szCs w:val="32"/>
        </w:rPr>
        <w:t>.</w:t>
      </w:r>
    </w:p>
    <w:p w14:paraId="00495479" w14:textId="77777777" w:rsidR="005B62C2" w:rsidRDefault="005B62C2" w:rsidP="005B62C2">
      <w:pPr>
        <w:jc w:val="center"/>
        <w:rPr>
          <w:rFonts w:asciiTheme="majorBidi" w:hAnsiTheme="majorBidi" w:cstheme="majorBidi"/>
          <w:b/>
        </w:rPr>
      </w:pPr>
    </w:p>
    <w:p w14:paraId="183A4E92" w14:textId="77777777" w:rsidR="005B62C2" w:rsidRPr="00803ED2" w:rsidRDefault="005B62C2" w:rsidP="005B62C2">
      <w:pPr>
        <w:jc w:val="center"/>
        <w:rPr>
          <w:rFonts w:asciiTheme="majorBidi" w:hAnsiTheme="majorBidi" w:cstheme="majorBidi"/>
          <w:b/>
        </w:rPr>
      </w:pPr>
    </w:p>
    <w:p w14:paraId="5CCFA023" w14:textId="77777777" w:rsidR="005B62C2" w:rsidRDefault="005B62C2" w:rsidP="005B62C2">
      <w:pPr>
        <w:spacing w:line="276" w:lineRule="auto"/>
        <w:jc w:val="center"/>
        <w:rPr>
          <w:szCs w:val="24"/>
        </w:rPr>
        <w:sectPr w:rsidR="005B62C2" w:rsidSect="005B62C2">
          <w:footerReference w:type="default" r:id="rId8"/>
          <w:pgSz w:w="11906" w:h="16838" w:code="9"/>
          <w:pgMar w:top="1440" w:right="1440" w:bottom="1440" w:left="1440" w:header="709" w:footer="709" w:gutter="0"/>
          <w:pgNumType w:start="0"/>
          <w:cols w:space="708"/>
          <w:titlePg/>
          <w:docGrid w:linePitch="360"/>
        </w:sectPr>
      </w:pPr>
    </w:p>
    <w:p w14:paraId="0FE4FBC1" w14:textId="18FA7E65" w:rsidR="005B62C2" w:rsidRDefault="005B62C2" w:rsidP="005B62C2">
      <w:pPr>
        <w:spacing w:line="276" w:lineRule="auto"/>
        <w:jc w:val="center"/>
        <w:rPr>
          <w:szCs w:val="24"/>
          <w:vertAlign w:val="superscript"/>
        </w:rPr>
      </w:pPr>
      <w:r>
        <w:rPr>
          <w:szCs w:val="24"/>
        </w:rPr>
        <w:t>Antonios Kalyvas</w:t>
      </w:r>
      <w:r>
        <w:rPr>
          <w:rStyle w:val="FootnoteReference"/>
          <w:szCs w:val="24"/>
        </w:rPr>
        <w:footnoteReference w:id="1"/>
      </w:r>
      <w:r>
        <w:rPr>
          <w:szCs w:val="24"/>
        </w:rPr>
        <w:t xml:space="preserve"> </w:t>
      </w:r>
    </w:p>
    <w:p w14:paraId="5E9ACC3F" w14:textId="77777777" w:rsidR="005B62C2" w:rsidRDefault="005B62C2" w:rsidP="005B62C2">
      <w:pPr>
        <w:spacing w:line="276" w:lineRule="auto"/>
        <w:jc w:val="center"/>
        <w:rPr>
          <w:szCs w:val="24"/>
        </w:rPr>
      </w:pPr>
      <w:r>
        <w:rPr>
          <w:szCs w:val="24"/>
        </w:rPr>
        <w:t>University of Southampton</w:t>
      </w:r>
    </w:p>
    <w:p w14:paraId="739A7491" w14:textId="77777777" w:rsidR="005B62C2" w:rsidRDefault="005B62C2" w:rsidP="005B62C2">
      <w:pPr>
        <w:spacing w:line="276" w:lineRule="auto"/>
        <w:jc w:val="center"/>
        <w:rPr>
          <w:szCs w:val="24"/>
        </w:rPr>
      </w:pPr>
    </w:p>
    <w:p w14:paraId="2E5B6103" w14:textId="77777777" w:rsidR="0096212B" w:rsidRDefault="0096212B" w:rsidP="0096212B">
      <w:pPr>
        <w:spacing w:line="276" w:lineRule="auto"/>
        <w:jc w:val="center"/>
        <w:rPr>
          <w:szCs w:val="24"/>
          <w:vertAlign w:val="superscript"/>
        </w:rPr>
      </w:pPr>
      <w:r>
        <w:rPr>
          <w:szCs w:val="24"/>
        </w:rPr>
        <w:t>Zeming Li</w:t>
      </w:r>
      <w:r>
        <w:rPr>
          <w:rStyle w:val="FootnoteReference"/>
          <w:szCs w:val="24"/>
        </w:rPr>
        <w:footnoteReference w:id="2"/>
      </w:r>
      <w:r>
        <w:rPr>
          <w:szCs w:val="24"/>
        </w:rPr>
        <w:t xml:space="preserve"> </w:t>
      </w:r>
    </w:p>
    <w:p w14:paraId="02A58D9B" w14:textId="2C741695" w:rsidR="0096212B" w:rsidRDefault="0096212B" w:rsidP="0096212B">
      <w:pPr>
        <w:spacing w:line="276" w:lineRule="auto"/>
        <w:jc w:val="center"/>
        <w:rPr>
          <w:szCs w:val="24"/>
        </w:rPr>
      </w:pPr>
      <w:r>
        <w:rPr>
          <w:szCs w:val="24"/>
        </w:rPr>
        <w:t>University College Dublin</w:t>
      </w:r>
    </w:p>
    <w:p w14:paraId="78A5092A" w14:textId="77777777" w:rsidR="005B62C2" w:rsidRDefault="005B62C2" w:rsidP="005B62C2">
      <w:pPr>
        <w:spacing w:line="276" w:lineRule="auto"/>
        <w:rPr>
          <w:bCs/>
          <w:szCs w:val="24"/>
        </w:rPr>
      </w:pPr>
    </w:p>
    <w:p w14:paraId="6E5D842B" w14:textId="77777777" w:rsidR="005B62C2" w:rsidRDefault="005B62C2" w:rsidP="005B62C2">
      <w:pPr>
        <w:spacing w:line="276" w:lineRule="auto"/>
        <w:jc w:val="center"/>
        <w:rPr>
          <w:szCs w:val="24"/>
          <w:vertAlign w:val="superscript"/>
        </w:rPr>
      </w:pPr>
      <w:r>
        <w:rPr>
          <w:szCs w:val="24"/>
        </w:rPr>
        <w:t>Panayiotis Papakyriakou</w:t>
      </w:r>
      <w:r>
        <w:rPr>
          <w:rStyle w:val="FootnoteReference"/>
          <w:szCs w:val="24"/>
        </w:rPr>
        <w:footnoteReference w:id="3"/>
      </w:r>
      <w:r>
        <w:rPr>
          <w:szCs w:val="24"/>
        </w:rPr>
        <w:t>*</w:t>
      </w:r>
    </w:p>
    <w:p w14:paraId="14A465D4" w14:textId="77777777" w:rsidR="005B62C2" w:rsidRDefault="005B62C2" w:rsidP="005B62C2">
      <w:pPr>
        <w:spacing w:line="276" w:lineRule="auto"/>
        <w:jc w:val="center"/>
        <w:rPr>
          <w:szCs w:val="24"/>
        </w:rPr>
      </w:pPr>
      <w:r>
        <w:rPr>
          <w:szCs w:val="24"/>
        </w:rPr>
        <w:t>University of Southampton</w:t>
      </w:r>
    </w:p>
    <w:p w14:paraId="01E32167" w14:textId="77777777" w:rsidR="005B62C2" w:rsidRDefault="005B62C2" w:rsidP="005B62C2">
      <w:pPr>
        <w:spacing w:line="276" w:lineRule="auto"/>
        <w:jc w:val="center"/>
        <w:rPr>
          <w:szCs w:val="24"/>
        </w:rPr>
      </w:pPr>
    </w:p>
    <w:p w14:paraId="0185266B" w14:textId="77777777" w:rsidR="005B62C2" w:rsidRDefault="005B62C2" w:rsidP="005B62C2">
      <w:pPr>
        <w:spacing w:line="276" w:lineRule="auto"/>
        <w:jc w:val="center"/>
        <w:rPr>
          <w:szCs w:val="24"/>
          <w:vertAlign w:val="superscript"/>
        </w:rPr>
      </w:pPr>
      <w:r>
        <w:rPr>
          <w:szCs w:val="24"/>
        </w:rPr>
        <w:t>Athanasios Sakkas</w:t>
      </w:r>
      <w:r>
        <w:rPr>
          <w:rStyle w:val="FootnoteReference"/>
          <w:szCs w:val="24"/>
        </w:rPr>
        <w:footnoteReference w:id="4"/>
      </w:r>
      <w:r>
        <w:rPr>
          <w:szCs w:val="24"/>
        </w:rPr>
        <w:t xml:space="preserve"> </w:t>
      </w:r>
    </w:p>
    <w:p w14:paraId="6C1F7A9D" w14:textId="77777777" w:rsidR="005B62C2" w:rsidRDefault="005B62C2" w:rsidP="005B62C2">
      <w:pPr>
        <w:spacing w:line="276" w:lineRule="auto"/>
        <w:jc w:val="center"/>
        <w:rPr>
          <w:szCs w:val="24"/>
        </w:rPr>
      </w:pPr>
      <w:r>
        <w:rPr>
          <w:szCs w:val="24"/>
        </w:rPr>
        <w:t>University of Nottingham</w:t>
      </w:r>
    </w:p>
    <w:p w14:paraId="2ACAD5D8" w14:textId="77777777" w:rsidR="005B62C2" w:rsidRDefault="005B62C2" w:rsidP="005B62C2">
      <w:pPr>
        <w:spacing w:line="276" w:lineRule="auto"/>
        <w:jc w:val="center"/>
        <w:rPr>
          <w:szCs w:val="24"/>
        </w:rPr>
        <w:sectPr w:rsidR="005B62C2" w:rsidSect="005B62C2">
          <w:footnotePr>
            <w:numFmt w:val="lowerLetter"/>
            <w:numRestart w:val="eachSect"/>
          </w:footnotePr>
          <w:type w:val="continuous"/>
          <w:pgSz w:w="11906" w:h="16838" w:code="9"/>
          <w:pgMar w:top="1440" w:right="1440" w:bottom="1440" w:left="1440" w:header="709" w:footer="709" w:gutter="0"/>
          <w:cols w:space="708"/>
          <w:titlePg/>
          <w:docGrid w:linePitch="360"/>
        </w:sectPr>
      </w:pPr>
    </w:p>
    <w:p w14:paraId="0EAFBC2A" w14:textId="243F4871" w:rsidR="005B62C2" w:rsidRDefault="005B62C2" w:rsidP="005B62C2">
      <w:pPr>
        <w:spacing w:line="276" w:lineRule="auto"/>
        <w:jc w:val="center"/>
        <w:rPr>
          <w:szCs w:val="24"/>
        </w:rPr>
      </w:pPr>
    </w:p>
    <w:p w14:paraId="06D2438B" w14:textId="77777777" w:rsidR="005B62C2" w:rsidRDefault="005B62C2" w:rsidP="005B62C2">
      <w:pPr>
        <w:rPr>
          <w:szCs w:val="24"/>
        </w:rPr>
      </w:pPr>
    </w:p>
    <w:p w14:paraId="4B75EC62" w14:textId="77777777" w:rsidR="005B62C2" w:rsidRPr="00EF5C92" w:rsidRDefault="005B62C2" w:rsidP="005B62C2">
      <w:pPr>
        <w:jc w:val="center"/>
        <w:rPr>
          <w:b/>
          <w:szCs w:val="24"/>
        </w:rPr>
      </w:pPr>
      <w:r>
        <w:rPr>
          <w:b/>
          <w:szCs w:val="24"/>
        </w:rPr>
        <w:t>August</w:t>
      </w:r>
      <w:r w:rsidRPr="000F3DA5">
        <w:rPr>
          <w:b/>
          <w:szCs w:val="24"/>
        </w:rPr>
        <w:t xml:space="preserve"> 202</w:t>
      </w:r>
      <w:r>
        <w:rPr>
          <w:b/>
          <w:szCs w:val="24"/>
        </w:rPr>
        <w:t>1</w:t>
      </w:r>
    </w:p>
    <w:p w14:paraId="775C0C86" w14:textId="38920299" w:rsidR="005B62C2" w:rsidRDefault="005B62C2" w:rsidP="00EA5CA1">
      <w:pPr>
        <w:spacing w:line="276" w:lineRule="auto"/>
        <w:jc w:val="center"/>
        <w:rPr>
          <w:b/>
          <w:sz w:val="28"/>
          <w:szCs w:val="32"/>
        </w:rPr>
      </w:pPr>
    </w:p>
    <w:p w14:paraId="547A8923" w14:textId="7BEBF095" w:rsidR="005B62C2" w:rsidRDefault="005B62C2" w:rsidP="00EA5CA1">
      <w:pPr>
        <w:spacing w:line="276" w:lineRule="auto"/>
        <w:jc w:val="center"/>
        <w:rPr>
          <w:b/>
          <w:sz w:val="28"/>
          <w:szCs w:val="32"/>
        </w:rPr>
      </w:pPr>
    </w:p>
    <w:p w14:paraId="25798169" w14:textId="41666798" w:rsidR="005B62C2" w:rsidRDefault="005B62C2" w:rsidP="00EA5CA1">
      <w:pPr>
        <w:spacing w:line="276" w:lineRule="auto"/>
        <w:jc w:val="center"/>
        <w:rPr>
          <w:b/>
          <w:sz w:val="28"/>
          <w:szCs w:val="32"/>
        </w:rPr>
      </w:pPr>
    </w:p>
    <w:p w14:paraId="10A112E1" w14:textId="0E5E015B" w:rsidR="005B62C2" w:rsidRDefault="005B62C2" w:rsidP="00EA5CA1">
      <w:pPr>
        <w:spacing w:line="276" w:lineRule="auto"/>
        <w:jc w:val="center"/>
        <w:rPr>
          <w:b/>
          <w:sz w:val="28"/>
          <w:szCs w:val="32"/>
        </w:rPr>
      </w:pPr>
    </w:p>
    <w:p w14:paraId="4766BBB4" w14:textId="4B3BB258" w:rsidR="005B62C2" w:rsidRDefault="005B62C2" w:rsidP="00EA5CA1">
      <w:pPr>
        <w:spacing w:line="276" w:lineRule="auto"/>
        <w:jc w:val="center"/>
        <w:rPr>
          <w:b/>
          <w:sz w:val="28"/>
          <w:szCs w:val="32"/>
        </w:rPr>
      </w:pPr>
    </w:p>
    <w:p w14:paraId="4C35BE86" w14:textId="44DAEB61" w:rsidR="005B62C2" w:rsidRDefault="005B62C2" w:rsidP="00EA5CA1">
      <w:pPr>
        <w:spacing w:line="276" w:lineRule="auto"/>
        <w:jc w:val="center"/>
        <w:rPr>
          <w:b/>
          <w:sz w:val="28"/>
          <w:szCs w:val="32"/>
        </w:rPr>
      </w:pPr>
    </w:p>
    <w:p w14:paraId="1D84B3C5" w14:textId="06F143A4" w:rsidR="005B62C2" w:rsidRDefault="005B62C2" w:rsidP="00EA5CA1">
      <w:pPr>
        <w:spacing w:line="276" w:lineRule="auto"/>
        <w:jc w:val="center"/>
        <w:rPr>
          <w:b/>
          <w:sz w:val="28"/>
          <w:szCs w:val="32"/>
        </w:rPr>
      </w:pPr>
    </w:p>
    <w:p w14:paraId="70BCB175" w14:textId="11F0CF44" w:rsidR="005B62C2" w:rsidRDefault="005B62C2" w:rsidP="00EA5CA1">
      <w:pPr>
        <w:spacing w:line="276" w:lineRule="auto"/>
        <w:jc w:val="center"/>
        <w:rPr>
          <w:b/>
          <w:sz w:val="28"/>
          <w:szCs w:val="32"/>
        </w:rPr>
      </w:pPr>
    </w:p>
    <w:p w14:paraId="5E4C1D9F" w14:textId="29194643" w:rsidR="005B62C2" w:rsidRDefault="005B62C2" w:rsidP="00EA5CA1">
      <w:pPr>
        <w:spacing w:line="276" w:lineRule="auto"/>
        <w:jc w:val="center"/>
        <w:rPr>
          <w:b/>
          <w:sz w:val="28"/>
          <w:szCs w:val="32"/>
        </w:rPr>
      </w:pPr>
    </w:p>
    <w:p w14:paraId="49A94896" w14:textId="7E5290EF" w:rsidR="005B62C2" w:rsidRDefault="005B62C2" w:rsidP="00EA5CA1">
      <w:pPr>
        <w:spacing w:line="276" w:lineRule="auto"/>
        <w:jc w:val="center"/>
        <w:rPr>
          <w:b/>
          <w:sz w:val="28"/>
          <w:szCs w:val="32"/>
        </w:rPr>
      </w:pPr>
    </w:p>
    <w:p w14:paraId="408F16FD" w14:textId="4C71AC9E" w:rsidR="005B62C2" w:rsidRDefault="005B62C2" w:rsidP="00EA5CA1">
      <w:pPr>
        <w:spacing w:line="276" w:lineRule="auto"/>
        <w:jc w:val="center"/>
        <w:rPr>
          <w:b/>
          <w:sz w:val="28"/>
          <w:szCs w:val="32"/>
        </w:rPr>
      </w:pPr>
    </w:p>
    <w:p w14:paraId="3FF818E4" w14:textId="77777777" w:rsidR="005B62C2" w:rsidRDefault="005B62C2" w:rsidP="00EA5CA1">
      <w:pPr>
        <w:spacing w:line="276" w:lineRule="auto"/>
        <w:jc w:val="center"/>
        <w:rPr>
          <w:b/>
          <w:sz w:val="28"/>
          <w:szCs w:val="32"/>
        </w:rPr>
      </w:pPr>
    </w:p>
    <w:p w14:paraId="30BB75D6" w14:textId="6283DA56" w:rsidR="00916B26" w:rsidRPr="00FE03B8" w:rsidRDefault="00EA5CA1" w:rsidP="00EA5CA1">
      <w:pPr>
        <w:spacing w:line="276" w:lineRule="auto"/>
        <w:jc w:val="center"/>
        <w:rPr>
          <w:b/>
          <w:sz w:val="28"/>
          <w:szCs w:val="32"/>
        </w:rPr>
      </w:pPr>
      <w:r w:rsidRPr="00FE03B8">
        <w:rPr>
          <w:b/>
          <w:sz w:val="28"/>
          <w:szCs w:val="32"/>
        </w:rPr>
        <w:lastRenderedPageBreak/>
        <w:t>If you feel good, I feel good! The mediating effect of</w:t>
      </w:r>
      <w:r w:rsidR="00CF6EF8" w:rsidRPr="00FE03B8">
        <w:rPr>
          <w:b/>
          <w:sz w:val="28"/>
          <w:szCs w:val="32"/>
        </w:rPr>
        <w:t xml:space="preserve"> </w:t>
      </w:r>
      <w:r w:rsidR="00916B26" w:rsidRPr="00FE03B8">
        <w:rPr>
          <w:b/>
          <w:sz w:val="28"/>
          <w:szCs w:val="32"/>
        </w:rPr>
        <w:t>behavioral factors</w:t>
      </w:r>
      <w:r w:rsidR="00CF6EF8" w:rsidRPr="00FE03B8">
        <w:rPr>
          <w:b/>
          <w:sz w:val="28"/>
          <w:szCs w:val="32"/>
        </w:rPr>
        <w:t xml:space="preserve"> </w:t>
      </w:r>
      <w:r w:rsidRPr="00FE03B8">
        <w:rPr>
          <w:b/>
          <w:sz w:val="28"/>
          <w:szCs w:val="32"/>
        </w:rPr>
        <w:t xml:space="preserve">on the </w:t>
      </w:r>
      <w:r w:rsidR="00CF6EF8" w:rsidRPr="00FE03B8">
        <w:rPr>
          <w:b/>
          <w:sz w:val="28"/>
          <w:szCs w:val="32"/>
        </w:rPr>
        <w:t>relationship between industry indices and</w:t>
      </w:r>
      <w:r w:rsidR="00916B26" w:rsidRPr="00FE03B8">
        <w:rPr>
          <w:b/>
          <w:sz w:val="28"/>
          <w:szCs w:val="32"/>
        </w:rPr>
        <w:t xml:space="preserve"> Bitcoin returns</w:t>
      </w:r>
      <w:r w:rsidR="008325EB">
        <w:rPr>
          <w:b/>
          <w:sz w:val="28"/>
          <w:szCs w:val="32"/>
        </w:rPr>
        <w:t>.</w:t>
      </w:r>
    </w:p>
    <w:p w14:paraId="22A45B0D" w14:textId="77777777" w:rsidR="00916B26" w:rsidRDefault="00916B26" w:rsidP="00916B26">
      <w:pPr>
        <w:rPr>
          <w:b/>
        </w:rPr>
      </w:pPr>
    </w:p>
    <w:p w14:paraId="1645C011" w14:textId="77777777" w:rsidR="00916B26" w:rsidRDefault="00916B26" w:rsidP="00916B26">
      <w:pPr>
        <w:pStyle w:val="Heading1"/>
        <w:jc w:val="center"/>
      </w:pPr>
      <w:r w:rsidRPr="0078308C">
        <w:t>Abstract</w:t>
      </w:r>
    </w:p>
    <w:p w14:paraId="0CE60473" w14:textId="189108D2" w:rsidR="003D63C4" w:rsidRPr="00FE03B8" w:rsidRDefault="00EA5CA1" w:rsidP="00233A2E">
      <w:pPr>
        <w:rPr>
          <w:color w:val="000000"/>
          <w:szCs w:val="24"/>
        </w:rPr>
      </w:pPr>
      <w:r w:rsidRPr="00FE03B8">
        <w:rPr>
          <w:color w:val="000000"/>
          <w:szCs w:val="24"/>
        </w:rPr>
        <w:t>Do</w:t>
      </w:r>
      <w:r w:rsidR="009D4D8A" w:rsidRPr="00FE03B8">
        <w:rPr>
          <w:color w:val="000000"/>
          <w:szCs w:val="24"/>
        </w:rPr>
        <w:t xml:space="preserve"> behavioral factors mediate the relationship</w:t>
      </w:r>
      <w:r w:rsidR="00EE5EA0" w:rsidRPr="00FE03B8">
        <w:rPr>
          <w:color w:val="000000"/>
          <w:szCs w:val="24"/>
        </w:rPr>
        <w:t xml:space="preserve"> </w:t>
      </w:r>
      <w:r w:rsidR="00EE61EA" w:rsidRPr="00FE03B8">
        <w:rPr>
          <w:color w:val="000000"/>
          <w:szCs w:val="24"/>
        </w:rPr>
        <w:t xml:space="preserve">between </w:t>
      </w:r>
      <w:r w:rsidR="00EE5EA0" w:rsidRPr="00FE03B8">
        <w:rPr>
          <w:color w:val="000000"/>
          <w:szCs w:val="24"/>
        </w:rPr>
        <w:t>indust</w:t>
      </w:r>
      <w:r w:rsidR="00EE61EA" w:rsidRPr="00FE03B8">
        <w:rPr>
          <w:color w:val="000000"/>
          <w:szCs w:val="24"/>
        </w:rPr>
        <w:t>ry returns</w:t>
      </w:r>
      <w:r w:rsidR="009D4D8A" w:rsidRPr="00FE03B8">
        <w:rPr>
          <w:color w:val="000000"/>
          <w:szCs w:val="24"/>
        </w:rPr>
        <w:t xml:space="preserve"> and</w:t>
      </w:r>
      <w:r w:rsidRPr="00FE03B8">
        <w:rPr>
          <w:color w:val="000000"/>
          <w:szCs w:val="24"/>
        </w:rPr>
        <w:t xml:space="preserve"> Bitcoin returns?  </w:t>
      </w:r>
      <w:r w:rsidR="00233A2E">
        <w:rPr>
          <w:color w:val="000000"/>
          <w:szCs w:val="24"/>
        </w:rPr>
        <w:t>We use four industry indices in technology, energy, clean energy, and banking, and the Sentiment index from Thomson Reuters Marketpsych Indices as a behavioral factor to investigate this question</w:t>
      </w:r>
      <w:r w:rsidR="003F00D9" w:rsidRPr="00FE03B8">
        <w:rPr>
          <w:color w:val="000000"/>
          <w:szCs w:val="24"/>
        </w:rPr>
        <w:t>. W</w:t>
      </w:r>
      <w:r w:rsidR="00D61381" w:rsidRPr="00FE03B8">
        <w:rPr>
          <w:color w:val="000000"/>
          <w:szCs w:val="24"/>
        </w:rPr>
        <w:t>e show</w:t>
      </w:r>
      <w:r w:rsidR="00EE5EA0" w:rsidRPr="00FE03B8">
        <w:rPr>
          <w:color w:val="000000"/>
          <w:szCs w:val="24"/>
        </w:rPr>
        <w:t xml:space="preserve"> </w:t>
      </w:r>
      <w:r w:rsidR="00D61381" w:rsidRPr="00FE03B8">
        <w:rPr>
          <w:color w:val="000000"/>
          <w:szCs w:val="24"/>
        </w:rPr>
        <w:t xml:space="preserve">that </w:t>
      </w:r>
      <w:r w:rsidR="00EE5EA0" w:rsidRPr="00FE03B8">
        <w:rPr>
          <w:color w:val="000000"/>
          <w:szCs w:val="24"/>
        </w:rPr>
        <w:t>the sensitivit</w:t>
      </w:r>
      <w:r w:rsidR="006875E9" w:rsidRPr="00FE03B8">
        <w:rPr>
          <w:color w:val="000000"/>
          <w:szCs w:val="24"/>
        </w:rPr>
        <w:t>ies</w:t>
      </w:r>
      <w:r w:rsidR="00EE5EA0" w:rsidRPr="00FE03B8">
        <w:rPr>
          <w:color w:val="000000"/>
          <w:szCs w:val="24"/>
        </w:rPr>
        <w:t xml:space="preserve"> of </w:t>
      </w:r>
      <w:r w:rsidR="006875E9" w:rsidRPr="00FE03B8">
        <w:rPr>
          <w:color w:val="000000"/>
          <w:szCs w:val="24"/>
        </w:rPr>
        <w:t xml:space="preserve">technology and </w:t>
      </w:r>
      <w:r w:rsidR="00F56793" w:rsidRPr="00FE03B8">
        <w:rPr>
          <w:color w:val="000000"/>
          <w:szCs w:val="24"/>
        </w:rPr>
        <w:t xml:space="preserve">clean </w:t>
      </w:r>
      <w:r w:rsidR="006875E9" w:rsidRPr="00FE03B8">
        <w:rPr>
          <w:color w:val="000000"/>
          <w:szCs w:val="24"/>
        </w:rPr>
        <w:t xml:space="preserve">energy </w:t>
      </w:r>
      <w:r w:rsidR="00EE5EA0" w:rsidRPr="00FE03B8">
        <w:rPr>
          <w:color w:val="000000"/>
          <w:szCs w:val="24"/>
        </w:rPr>
        <w:t>industry indices</w:t>
      </w:r>
      <w:r w:rsidR="003F00D9" w:rsidRPr="00FE03B8">
        <w:rPr>
          <w:color w:val="000000"/>
          <w:szCs w:val="24"/>
        </w:rPr>
        <w:t xml:space="preserve"> to </w:t>
      </w:r>
      <w:r w:rsidR="00C41D08">
        <w:rPr>
          <w:color w:val="000000"/>
          <w:szCs w:val="24"/>
        </w:rPr>
        <w:t>S</w:t>
      </w:r>
      <w:r w:rsidR="00C41D08" w:rsidRPr="00FE03B8">
        <w:rPr>
          <w:color w:val="000000"/>
          <w:szCs w:val="24"/>
        </w:rPr>
        <w:t>entiment</w:t>
      </w:r>
      <w:r w:rsidR="00F96FB8">
        <w:rPr>
          <w:color w:val="000000"/>
          <w:szCs w:val="24"/>
        </w:rPr>
        <w:t>,</w:t>
      </w:r>
      <w:r w:rsidR="00C41D08" w:rsidRPr="00FE03B8">
        <w:rPr>
          <w:color w:val="000000"/>
          <w:szCs w:val="24"/>
        </w:rPr>
        <w:t xml:space="preserve"> </w:t>
      </w:r>
      <w:r w:rsidR="00D61381" w:rsidRPr="00FE03B8">
        <w:rPr>
          <w:color w:val="000000"/>
          <w:szCs w:val="24"/>
        </w:rPr>
        <w:t>positively and significantly</w:t>
      </w:r>
      <w:r w:rsidR="00F96FB8">
        <w:rPr>
          <w:color w:val="000000"/>
          <w:szCs w:val="24"/>
        </w:rPr>
        <w:t xml:space="preserve">, </w:t>
      </w:r>
      <w:r w:rsidR="00D61381" w:rsidRPr="00FE03B8">
        <w:rPr>
          <w:color w:val="000000"/>
          <w:szCs w:val="24"/>
        </w:rPr>
        <w:t>strengthen the relationship between sentiment</w:t>
      </w:r>
      <w:r w:rsidR="00EE5EA0" w:rsidRPr="00FE03B8">
        <w:rPr>
          <w:color w:val="000000"/>
          <w:szCs w:val="24"/>
        </w:rPr>
        <w:t xml:space="preserve"> and </w:t>
      </w:r>
      <w:r w:rsidR="00AB61F8" w:rsidRPr="00FE03B8">
        <w:rPr>
          <w:color w:val="000000"/>
          <w:szCs w:val="24"/>
        </w:rPr>
        <w:t>Bitcoin retur</w:t>
      </w:r>
      <w:r w:rsidR="00EE5EA0" w:rsidRPr="00FE03B8">
        <w:rPr>
          <w:color w:val="000000"/>
          <w:szCs w:val="24"/>
        </w:rPr>
        <w:t>n</w:t>
      </w:r>
      <w:r w:rsidR="00AB61F8" w:rsidRPr="00FE03B8">
        <w:rPr>
          <w:color w:val="000000"/>
          <w:szCs w:val="24"/>
        </w:rPr>
        <w:t>s</w:t>
      </w:r>
      <w:r w:rsidR="000B0E0A" w:rsidRPr="00FE03B8">
        <w:rPr>
          <w:color w:val="000000"/>
          <w:szCs w:val="24"/>
        </w:rPr>
        <w:t xml:space="preserve">. By showing </w:t>
      </w:r>
      <w:r w:rsidR="000B0E0A" w:rsidRPr="00345851">
        <w:rPr>
          <w:color w:val="000000"/>
          <w:szCs w:val="24"/>
        </w:rPr>
        <w:t>that behavioral factors mediate</w:t>
      </w:r>
      <w:r w:rsidR="000B0E0A" w:rsidRPr="00FE03B8">
        <w:rPr>
          <w:color w:val="000000"/>
          <w:szCs w:val="24"/>
        </w:rPr>
        <w:t xml:space="preserve"> the association between</w:t>
      </w:r>
      <w:r w:rsidR="00FD3173" w:rsidRPr="00FE03B8">
        <w:rPr>
          <w:color w:val="000000"/>
          <w:szCs w:val="24"/>
        </w:rPr>
        <w:t xml:space="preserve"> the returns of industry indices and</w:t>
      </w:r>
      <w:r w:rsidR="000B0E0A" w:rsidRPr="00FE03B8">
        <w:rPr>
          <w:color w:val="000000"/>
          <w:szCs w:val="24"/>
        </w:rPr>
        <w:t xml:space="preserve"> </w:t>
      </w:r>
      <w:r w:rsidR="002508B4">
        <w:rPr>
          <w:color w:val="000000"/>
          <w:szCs w:val="24"/>
        </w:rPr>
        <w:t>B</w:t>
      </w:r>
      <w:r w:rsidR="000B0E0A" w:rsidRPr="00FE03B8">
        <w:rPr>
          <w:color w:val="000000"/>
          <w:szCs w:val="24"/>
        </w:rPr>
        <w:t>itcoin returns</w:t>
      </w:r>
      <w:r w:rsidR="004F3654" w:rsidRPr="00FE03B8">
        <w:rPr>
          <w:color w:val="000000"/>
          <w:szCs w:val="24"/>
        </w:rPr>
        <w:t>,</w:t>
      </w:r>
      <w:r w:rsidR="000B0E0A" w:rsidRPr="00FE03B8">
        <w:rPr>
          <w:color w:val="000000"/>
          <w:szCs w:val="24"/>
        </w:rPr>
        <w:t xml:space="preserve"> we provide evidence that investors</w:t>
      </w:r>
      <w:r w:rsidR="004F3654" w:rsidRPr="00FE03B8">
        <w:rPr>
          <w:color w:val="000000"/>
          <w:szCs w:val="24"/>
        </w:rPr>
        <w:t>'</w:t>
      </w:r>
      <w:r w:rsidR="000B0E0A" w:rsidRPr="00FE03B8">
        <w:rPr>
          <w:color w:val="000000"/>
          <w:szCs w:val="24"/>
        </w:rPr>
        <w:t xml:space="preserve"> </w:t>
      </w:r>
      <w:r w:rsidR="00C41D08">
        <w:rPr>
          <w:color w:val="000000"/>
          <w:szCs w:val="24"/>
        </w:rPr>
        <w:t>S</w:t>
      </w:r>
      <w:r w:rsidR="00C41D08" w:rsidRPr="00FE03B8">
        <w:rPr>
          <w:color w:val="000000"/>
          <w:szCs w:val="24"/>
        </w:rPr>
        <w:t xml:space="preserve">entiment </w:t>
      </w:r>
      <w:r w:rsidR="000B0E0A" w:rsidRPr="00FE03B8">
        <w:rPr>
          <w:color w:val="000000"/>
          <w:szCs w:val="24"/>
        </w:rPr>
        <w:t xml:space="preserve">captures the association between Bitcoin and </w:t>
      </w:r>
      <w:r w:rsidR="00FD3173" w:rsidRPr="00FE03B8">
        <w:rPr>
          <w:color w:val="000000"/>
          <w:szCs w:val="24"/>
        </w:rPr>
        <w:t>sectors</w:t>
      </w:r>
      <w:r w:rsidR="000B0E0A" w:rsidRPr="00FE03B8">
        <w:rPr>
          <w:color w:val="000000"/>
          <w:szCs w:val="24"/>
        </w:rPr>
        <w:t xml:space="preserve"> related </w:t>
      </w:r>
      <w:r w:rsidR="004F3654" w:rsidRPr="00FE03B8">
        <w:rPr>
          <w:color w:val="000000"/>
          <w:szCs w:val="24"/>
        </w:rPr>
        <w:t>to</w:t>
      </w:r>
      <w:r w:rsidR="000B0E0A" w:rsidRPr="00FE03B8">
        <w:rPr>
          <w:color w:val="000000"/>
          <w:szCs w:val="24"/>
        </w:rPr>
        <w:t xml:space="preserve"> cryptocurrencies. </w:t>
      </w:r>
      <w:r w:rsidR="003F00D9" w:rsidRPr="00FE03B8">
        <w:rPr>
          <w:color w:val="000000"/>
          <w:szCs w:val="24"/>
        </w:rPr>
        <w:t>Our</w:t>
      </w:r>
      <w:r w:rsidR="006875E9" w:rsidRPr="00FE03B8">
        <w:rPr>
          <w:color w:val="000000"/>
          <w:szCs w:val="24"/>
        </w:rPr>
        <w:t xml:space="preserve"> results</w:t>
      </w:r>
      <w:r w:rsidR="000B0E0A" w:rsidRPr="00FE03B8">
        <w:rPr>
          <w:color w:val="000000"/>
          <w:szCs w:val="24"/>
        </w:rPr>
        <w:t>, however, do</w:t>
      </w:r>
      <w:r w:rsidR="006875E9" w:rsidRPr="00FE03B8">
        <w:rPr>
          <w:color w:val="000000"/>
          <w:szCs w:val="24"/>
        </w:rPr>
        <w:t xml:space="preserve"> not support </w:t>
      </w:r>
      <w:r w:rsidR="00AB61F8" w:rsidRPr="00FE03B8">
        <w:rPr>
          <w:color w:val="000000"/>
          <w:szCs w:val="24"/>
        </w:rPr>
        <w:t>prior studies' finding</w:t>
      </w:r>
      <w:r w:rsidR="00237795" w:rsidRPr="00FE03B8">
        <w:rPr>
          <w:color w:val="000000"/>
          <w:szCs w:val="24"/>
        </w:rPr>
        <w:t xml:space="preserve">s </w:t>
      </w:r>
      <w:r w:rsidR="00AB61F8" w:rsidRPr="00FE03B8">
        <w:rPr>
          <w:color w:val="000000"/>
          <w:szCs w:val="24"/>
        </w:rPr>
        <w:t>of</w:t>
      </w:r>
      <w:r w:rsidR="00237795" w:rsidRPr="00FE03B8">
        <w:rPr>
          <w:color w:val="000000"/>
          <w:szCs w:val="24"/>
        </w:rPr>
        <w:t xml:space="preserve"> a </w:t>
      </w:r>
      <w:r w:rsidR="006875E9" w:rsidRPr="00FE03B8">
        <w:rPr>
          <w:color w:val="000000"/>
          <w:szCs w:val="24"/>
        </w:rPr>
        <w:t>direct relationship betw</w:t>
      </w:r>
      <w:r w:rsidR="003F00D9" w:rsidRPr="00FE03B8">
        <w:rPr>
          <w:color w:val="000000"/>
          <w:szCs w:val="24"/>
        </w:rPr>
        <w:t>een the industry indices</w:t>
      </w:r>
      <w:r w:rsidR="006875E9" w:rsidRPr="00FE03B8">
        <w:rPr>
          <w:color w:val="000000"/>
          <w:szCs w:val="24"/>
        </w:rPr>
        <w:t xml:space="preserve"> and </w:t>
      </w:r>
      <w:r w:rsidR="004A4E4A" w:rsidRPr="00FE03B8">
        <w:rPr>
          <w:color w:val="000000"/>
          <w:szCs w:val="24"/>
        </w:rPr>
        <w:t>B</w:t>
      </w:r>
      <w:r w:rsidR="006875E9" w:rsidRPr="00FE03B8">
        <w:rPr>
          <w:color w:val="000000"/>
          <w:szCs w:val="24"/>
        </w:rPr>
        <w:t>itcoin returns.</w:t>
      </w:r>
      <w:r w:rsidR="003F00D9" w:rsidRPr="00FE03B8">
        <w:rPr>
          <w:color w:val="000000"/>
          <w:szCs w:val="24"/>
        </w:rPr>
        <w:t xml:space="preserve"> </w:t>
      </w:r>
    </w:p>
    <w:p w14:paraId="6F45730F" w14:textId="77777777" w:rsidR="00916B26" w:rsidRPr="00DE1560" w:rsidRDefault="00916B26" w:rsidP="00916B26">
      <w:pPr>
        <w:spacing w:line="360" w:lineRule="auto"/>
        <w:rPr>
          <w:sz w:val="28"/>
        </w:rPr>
      </w:pPr>
    </w:p>
    <w:p w14:paraId="565C0AFF" w14:textId="77777777" w:rsidR="00916B26" w:rsidRDefault="00916B26" w:rsidP="00AB61F8">
      <w:pPr>
        <w:spacing w:line="360" w:lineRule="auto"/>
        <w:rPr>
          <w:i/>
        </w:rPr>
      </w:pPr>
      <w:r w:rsidRPr="00DE1560">
        <w:rPr>
          <w:i/>
        </w:rPr>
        <w:t>Keywords:</w:t>
      </w:r>
      <w:r w:rsidR="00522D7D">
        <w:rPr>
          <w:i/>
        </w:rPr>
        <w:t xml:space="preserve"> Bitcoin; Sentiment; </w:t>
      </w:r>
      <w:r w:rsidR="00CF6EF8">
        <w:rPr>
          <w:i/>
        </w:rPr>
        <w:t>related Industries</w:t>
      </w:r>
      <w:r w:rsidR="00AB61F8">
        <w:rPr>
          <w:i/>
        </w:rPr>
        <w:t>'</w:t>
      </w:r>
      <w:r w:rsidR="00CF6EF8">
        <w:rPr>
          <w:i/>
        </w:rPr>
        <w:t xml:space="preserve"> indices</w:t>
      </w:r>
    </w:p>
    <w:p w14:paraId="241EBEEA" w14:textId="77777777" w:rsidR="00916B26" w:rsidRDefault="00916B26" w:rsidP="00916B26">
      <w:pPr>
        <w:spacing w:line="360" w:lineRule="auto"/>
        <w:rPr>
          <w:i/>
        </w:rPr>
      </w:pPr>
    </w:p>
    <w:p w14:paraId="4A8EEE86" w14:textId="77777777" w:rsidR="00916B26" w:rsidRDefault="00916B26" w:rsidP="00916B26">
      <w:pPr>
        <w:spacing w:line="360" w:lineRule="auto"/>
        <w:rPr>
          <w:i/>
        </w:rPr>
      </w:pPr>
    </w:p>
    <w:p w14:paraId="68616A83" w14:textId="77777777" w:rsidR="00916B26" w:rsidRDefault="00916B26" w:rsidP="00916B26">
      <w:pPr>
        <w:spacing w:line="360" w:lineRule="auto"/>
        <w:rPr>
          <w:i/>
        </w:rPr>
      </w:pPr>
    </w:p>
    <w:p w14:paraId="7C4009A4" w14:textId="77777777" w:rsidR="00916B26" w:rsidRDefault="00916B26" w:rsidP="00916B26">
      <w:pPr>
        <w:spacing w:line="360" w:lineRule="auto"/>
        <w:rPr>
          <w:i/>
        </w:rPr>
      </w:pPr>
    </w:p>
    <w:p w14:paraId="3FBEC18E" w14:textId="77777777" w:rsidR="00916B26" w:rsidRDefault="00916B26" w:rsidP="00916B26">
      <w:pPr>
        <w:spacing w:line="360" w:lineRule="auto"/>
        <w:rPr>
          <w:i/>
        </w:rPr>
      </w:pPr>
    </w:p>
    <w:p w14:paraId="14142A7F" w14:textId="77777777" w:rsidR="00916B26" w:rsidRDefault="00916B26" w:rsidP="00916B26">
      <w:pPr>
        <w:spacing w:line="360" w:lineRule="auto"/>
        <w:rPr>
          <w:i/>
        </w:rPr>
      </w:pPr>
    </w:p>
    <w:p w14:paraId="64AF0FAB" w14:textId="77777777" w:rsidR="00916B26" w:rsidRDefault="00916B26" w:rsidP="00916B26">
      <w:pPr>
        <w:spacing w:line="360" w:lineRule="auto"/>
        <w:rPr>
          <w:i/>
        </w:rPr>
      </w:pPr>
    </w:p>
    <w:p w14:paraId="2AF9028B" w14:textId="77777777" w:rsidR="00916B26" w:rsidRDefault="00916B26" w:rsidP="00916B26">
      <w:pPr>
        <w:spacing w:line="360" w:lineRule="auto"/>
        <w:rPr>
          <w:i/>
        </w:rPr>
      </w:pPr>
    </w:p>
    <w:p w14:paraId="2DE345CB" w14:textId="77777777" w:rsidR="00916B26" w:rsidRDefault="00916B26" w:rsidP="00916B26">
      <w:pPr>
        <w:spacing w:line="360" w:lineRule="auto"/>
        <w:rPr>
          <w:i/>
        </w:rPr>
      </w:pPr>
    </w:p>
    <w:p w14:paraId="02F9588A" w14:textId="77777777" w:rsidR="00916B26" w:rsidRDefault="00916B26" w:rsidP="00916B26">
      <w:pPr>
        <w:spacing w:line="360" w:lineRule="auto"/>
        <w:rPr>
          <w:i/>
        </w:rPr>
      </w:pPr>
    </w:p>
    <w:p w14:paraId="32C646CD" w14:textId="77777777" w:rsidR="00916B26" w:rsidRDefault="00916B26" w:rsidP="00916B26">
      <w:pPr>
        <w:spacing w:line="360" w:lineRule="auto"/>
        <w:rPr>
          <w:i/>
        </w:rPr>
      </w:pPr>
    </w:p>
    <w:p w14:paraId="7B9707CE" w14:textId="77777777" w:rsidR="00916B26" w:rsidRDefault="00916B26" w:rsidP="00916B26">
      <w:pPr>
        <w:spacing w:line="360" w:lineRule="auto"/>
        <w:rPr>
          <w:i/>
        </w:rPr>
      </w:pPr>
    </w:p>
    <w:p w14:paraId="6C1358CD" w14:textId="77777777" w:rsidR="00916B26" w:rsidRDefault="00916B26" w:rsidP="00916B26">
      <w:pPr>
        <w:spacing w:line="360" w:lineRule="auto"/>
        <w:rPr>
          <w:i/>
        </w:rPr>
      </w:pPr>
    </w:p>
    <w:p w14:paraId="3D42B120" w14:textId="77777777" w:rsidR="00C0386D" w:rsidRDefault="00C0386D" w:rsidP="00C0386D">
      <w:pPr>
        <w:pStyle w:val="Heading1"/>
        <w:numPr>
          <w:ilvl w:val="0"/>
          <w:numId w:val="1"/>
        </w:numPr>
        <w:ind w:left="720"/>
      </w:pPr>
      <w:r>
        <w:lastRenderedPageBreak/>
        <w:t xml:space="preserve">Introduction       </w:t>
      </w:r>
    </w:p>
    <w:p w14:paraId="4291EDD2" w14:textId="03F859C0" w:rsidR="00C0386D" w:rsidRPr="00D67C04" w:rsidRDefault="00C0386D" w:rsidP="00233A2E">
      <w:pPr>
        <w:ind w:firstLine="426"/>
      </w:pPr>
      <w:r>
        <w:t>There is an ongoing debate about what the value of Bitcoin should be. While the intrinsic</w:t>
      </w:r>
      <w:r w:rsidR="00D67C04">
        <w:t xml:space="preserve"> </w:t>
      </w:r>
      <w:r>
        <w:t xml:space="preserve">value of Bitcoin remains </w:t>
      </w:r>
      <w:r w:rsidR="000665C9">
        <w:t>enigmatic</w:t>
      </w:r>
      <w:r>
        <w:t xml:space="preserve">, empirical attempts to understand what </w:t>
      </w:r>
      <w:r w:rsidR="00E635A4">
        <w:t xml:space="preserve">factors </w:t>
      </w:r>
      <w:r>
        <w:t xml:space="preserve">might drive the </w:t>
      </w:r>
      <w:proofErr w:type="spellStart"/>
      <w:r>
        <w:t>behavior</w:t>
      </w:r>
      <w:proofErr w:type="spellEnd"/>
      <w:r>
        <w:t xml:space="preserve"> of its returns </w:t>
      </w:r>
      <w:r w:rsidR="00E635A4">
        <w:t xml:space="preserve">fall into </w:t>
      </w:r>
      <w:r w:rsidR="000665C9">
        <w:t>two strands</w:t>
      </w:r>
      <w:r w:rsidR="00477D81">
        <w:t xml:space="preserve"> of literature. The first strand</w:t>
      </w:r>
      <w:r>
        <w:t xml:space="preserve"> of </w:t>
      </w:r>
      <w:r w:rsidR="00F96FB8">
        <w:t>literature</w:t>
      </w:r>
      <w:r>
        <w:t xml:space="preserve"> addresses the issue based on the production costs of Bitcoin. For example, </w:t>
      </w:r>
      <w:r w:rsidRPr="00FE03B8">
        <w:rPr>
          <w:bCs/>
          <w:lang w:eastAsia="zh-CN"/>
        </w:rPr>
        <w:t xml:space="preserve">given  the enormous computing and electricity power required in the mining and transaction processes </w:t>
      </w:r>
      <w:r w:rsidRPr="002508B4">
        <w:rPr>
          <w:bCs/>
          <w:lang w:eastAsia="zh-CN"/>
        </w:rPr>
        <w:fldChar w:fldCharType="begin"/>
      </w:r>
      <w:r w:rsidRPr="00736486">
        <w:rPr>
          <w:bCs/>
          <w:lang w:eastAsia="zh-CN"/>
        </w:rPr>
        <w:instrText xml:space="preserve"> ADDIN EN.CITE &lt;EndNote&gt;&lt;Cite&gt;&lt;Author&gt;de Vries&lt;/Author&gt;&lt;Year&gt;2020&lt;/Year&gt;&lt;IDText&gt;Bitcoin’s energy consumption is underestimated: A market dynamics approach&lt;/IDText&gt;&lt;DisplayText&gt;(de Vries, 2020)&lt;/DisplayText&gt;&lt;record&gt;&lt;dates&gt;&lt;pub-dates&gt;&lt;date&gt;2020/12/01/&lt;/date&gt;&lt;/pub-dates&gt;&lt;year&gt;2020&lt;/year&gt;&lt;/dates&gt;&lt;keywords&gt;&lt;keyword&gt;Bitcoin&lt;/keyword&gt;&lt;keyword&gt;Blockchain&lt;/keyword&gt;&lt;keyword&gt;Energy consumption&lt;/keyword&gt;&lt;keyword&gt;Cryptocurrency mining&lt;/keyword&gt;&lt;keyword&gt;Proof-of-work&lt;/keyword&gt;&lt;keyword&gt;Behavioral economics&lt;/keyword&gt;&lt;/keywords&gt;&lt;urls&gt;&lt;related-urls&gt;&lt;url&gt;http://www.sciencedirect.com/science/article/pii/S2214629620302966&lt;/url&gt;&lt;/related-urls&gt;&lt;/urls&gt;&lt;isbn&gt;2214-6296&lt;/isbn&gt;&lt;titles&gt;&lt;title&gt;Bitcoin’s energy consumption is underestimated: A market dynamics approach&lt;/title&gt;&lt;secondary-title&gt;Energy Research &amp;amp; Social Science&lt;/secondary-title&gt;&lt;/titles&gt;&lt;pages&gt;101721&lt;/pages&gt;&lt;contributors&gt;&lt;authors&gt;&lt;author&gt;de Vries, Alex&lt;/author&gt;&lt;/authors&gt;&lt;/contributors&gt;&lt;added-date format="utc"&gt;1608584672&lt;/added-date&gt;&lt;ref-type name="Journal Article"&gt;17&lt;/ref-type&gt;&lt;rec-number&gt;227&lt;/rec-number&gt;&lt;last-updated-date format="utc"&gt;1608584672&lt;/last-updated-date&gt;&lt;electronic-resource-num&gt;https://doi.org/10.1016/j.erss.2020.101721&lt;/electronic-resource-num&gt;&lt;volume&gt;70&lt;/volume&gt;&lt;/record&gt;&lt;/Cite&gt;&lt;/EndNote&gt;</w:instrText>
      </w:r>
      <w:r w:rsidRPr="002508B4">
        <w:rPr>
          <w:bCs/>
          <w:lang w:eastAsia="zh-CN"/>
        </w:rPr>
        <w:fldChar w:fldCharType="separate"/>
      </w:r>
      <w:r w:rsidRPr="002508B4">
        <w:rPr>
          <w:bCs/>
          <w:noProof/>
          <w:lang w:eastAsia="zh-CN"/>
        </w:rPr>
        <w:t>(de Vries, 2020)</w:t>
      </w:r>
      <w:r w:rsidRPr="002508B4">
        <w:rPr>
          <w:bCs/>
          <w:lang w:eastAsia="zh-CN"/>
        </w:rPr>
        <w:fldChar w:fldCharType="end"/>
      </w:r>
      <w:r w:rsidR="00E635A4">
        <w:rPr>
          <w:bCs/>
          <w:lang w:eastAsia="zh-CN"/>
        </w:rPr>
        <w:t xml:space="preserve">, </w:t>
      </w:r>
      <w:r w:rsidRPr="00F27B1B">
        <w:rPr>
          <w:bCs/>
          <w:noProof/>
          <w:lang w:eastAsia="zh-CN"/>
        </w:rPr>
        <w:t>Symitsi</w:t>
      </w:r>
      <w:r w:rsidRPr="002508B4">
        <w:rPr>
          <w:bCs/>
          <w:noProof/>
          <w:lang w:eastAsia="zh-CN"/>
        </w:rPr>
        <w:t xml:space="preserve"> and Chalvatzis</w:t>
      </w:r>
      <w:r w:rsidRPr="002508B4">
        <w:rPr>
          <w:bCs/>
          <w:lang w:eastAsia="zh-CN"/>
        </w:rPr>
        <w:t xml:space="preserve"> </w:t>
      </w:r>
      <w:r w:rsidRPr="002508B4">
        <w:rPr>
          <w:bCs/>
          <w:lang w:eastAsia="zh-CN"/>
        </w:rPr>
        <w:fldChar w:fldCharType="begin"/>
      </w:r>
      <w:r w:rsidRPr="002508B4">
        <w:rPr>
          <w:bCs/>
          <w:lang w:eastAsia="zh-CN"/>
        </w:rPr>
        <w:instrText xml:space="preserve"> ADDIN EN.CITE &lt;EndNote&gt;&lt;Cite ExcludeAuth="1"&gt;&lt;Author&gt;Symitsi&lt;/Author&gt;&lt;Year&gt;2018&lt;/Year&gt;&lt;IDText&gt;Return, volatility and shock spillovers of Bitcoin with energy and technology companies&lt;/IDText&gt;&lt;DisplayText&gt;(2018)&lt;/DisplayText&gt;&lt;record&gt;&lt;dates&gt;&lt;pub-dates&gt;&lt;date&gt;2018/09/01/&lt;/date&gt;&lt;/pub-dates&gt;&lt;year&gt;2018&lt;/year&gt;&lt;/dates&gt;&lt;keywords&gt;&lt;keyword&gt;Bitcoin&lt;/keyword&gt;&lt;keyword&gt;Energy&lt;/keyword&gt;&lt;keyword&gt;Technology&lt;/keyword&gt;&lt;keyword&gt;Spillovers&lt;/keyword&gt;&lt;keyword&gt;Multivariate GARCH&lt;/keyword&gt;&lt;/keywords&gt;&lt;urls&gt;&lt;related-urls&gt;&lt;url&gt;http://www.sciencedirect.com/science/article/pii/S0165176518302350&lt;/url&gt;&lt;/related-urls&gt;&lt;/urls&gt;&lt;isbn&gt;0165-1765&lt;/isbn&gt;&lt;titles&gt;&lt;title&gt;Return, volatility and shock spillovers of Bitcoin with energy and technology companies&lt;/title&gt;&lt;secondary-title&gt;Economics Letters&lt;/secondary-title&gt;&lt;/titles&gt;&lt;pages&gt;127-130&lt;/pages&gt;&lt;contributors&gt;&lt;authors&gt;&lt;author&gt;Symitsi, Efthymia&lt;/author&gt;&lt;author&gt;Chalvatzis, Konstantinos J.&lt;/author&gt;&lt;/authors&gt;&lt;/contributors&gt;&lt;added-date format="utc"&gt;1608352386&lt;/added-date&gt;&lt;ref-type name="Journal Article"&gt;17&lt;/ref-type&gt;&lt;rec-number&gt;206&lt;/rec-number&gt;&lt;last-updated-date format="utc"&gt;1608352386&lt;/last-updated-date&gt;&lt;electronic-resource-num&gt;https://doi.org/10.1016/j.econlet.2018.06.012&lt;/electronic-resource-num&gt;&lt;volume&gt;170&lt;/volume&gt;&lt;/record&gt;&lt;/Cite&gt;&lt;/EndNote&gt;</w:instrText>
      </w:r>
      <w:r w:rsidRPr="002508B4">
        <w:rPr>
          <w:bCs/>
          <w:lang w:eastAsia="zh-CN"/>
        </w:rPr>
        <w:fldChar w:fldCharType="separate"/>
      </w:r>
      <w:r w:rsidRPr="002508B4">
        <w:rPr>
          <w:bCs/>
          <w:noProof/>
          <w:lang w:eastAsia="zh-CN"/>
        </w:rPr>
        <w:t>(2018)</w:t>
      </w:r>
      <w:r w:rsidRPr="002508B4">
        <w:rPr>
          <w:bCs/>
          <w:lang w:eastAsia="zh-CN"/>
        </w:rPr>
        <w:fldChar w:fldCharType="end"/>
      </w:r>
      <w:r w:rsidR="003F00D9" w:rsidRPr="00FE03B8">
        <w:rPr>
          <w:bCs/>
          <w:lang w:eastAsia="zh-CN"/>
        </w:rPr>
        <w:t xml:space="preserve"> find effects </w:t>
      </w:r>
      <w:r w:rsidR="00E635A4">
        <w:rPr>
          <w:bCs/>
          <w:lang w:eastAsia="zh-CN"/>
        </w:rPr>
        <w:t xml:space="preserve">on Bitcoin returns </w:t>
      </w:r>
      <w:r w:rsidR="003F00D9" w:rsidRPr="00FE03B8">
        <w:rPr>
          <w:bCs/>
          <w:lang w:eastAsia="zh-CN"/>
        </w:rPr>
        <w:t xml:space="preserve">stemming from </w:t>
      </w:r>
      <w:r w:rsidRPr="00FE03B8">
        <w:rPr>
          <w:bCs/>
          <w:lang w:eastAsia="zh-CN"/>
        </w:rPr>
        <w:t xml:space="preserve"> Bitcoin-related industries such as </w:t>
      </w:r>
      <w:r w:rsidR="00233A2E">
        <w:rPr>
          <w:bCs/>
          <w:lang w:eastAsia="zh-CN"/>
        </w:rPr>
        <w:t xml:space="preserve">the </w:t>
      </w:r>
      <w:r w:rsidRPr="00FE03B8">
        <w:rPr>
          <w:bCs/>
          <w:lang w:eastAsia="zh-CN"/>
        </w:rPr>
        <w:t xml:space="preserve">energy and technology sectors. The discussion of this relationship between Bitcoin and industries related to its production has also been joined by </w:t>
      </w:r>
      <w:r w:rsidRPr="00736486">
        <w:rPr>
          <w:bCs/>
          <w:noProof/>
          <w:lang w:eastAsia="zh-TW"/>
        </w:rPr>
        <w:t>Borri</w:t>
      </w:r>
      <w:r w:rsidRPr="00736486">
        <w:rPr>
          <w:bCs/>
          <w:lang w:eastAsia="zh-TW"/>
        </w:rPr>
        <w:t xml:space="preserve"> </w:t>
      </w:r>
      <w:r w:rsidRPr="00736486">
        <w:rPr>
          <w:bCs/>
          <w:lang w:eastAsia="zh-CN"/>
        </w:rPr>
        <w:fldChar w:fldCharType="begin"/>
      </w:r>
      <w:r w:rsidRPr="00736486">
        <w:rPr>
          <w:bCs/>
          <w:lang w:eastAsia="zh-CN"/>
        </w:rPr>
        <w:instrText xml:space="preserve"> ADDIN EN.CITE &lt;EndNote&gt;&lt;Cite ExcludeAuth="1"&gt;&lt;Author&gt;Borri&lt;/Author&gt;&lt;Year&gt;2019&lt;/Year&gt;&lt;IDText&gt;Conditional tail-risk in cryptocurrency markets&lt;/IDText&gt;&lt;DisplayText&gt;(2019)&lt;/DisplayText&gt;&lt;record&gt;&lt;dates&gt;&lt;pub-dates&gt;&lt;date&gt;2019/01/01/&lt;/date&gt;&lt;/pub-dates&gt;&lt;year&gt;2019&lt;/year&gt;&lt;/dates&gt;&lt;keywords&gt;&lt;keyword&gt;Cryptocurrency&lt;/keyword&gt;&lt;keyword&gt;Contagion&lt;/keyword&gt;&lt;keyword&gt;Tail-risk&lt;/keyword&gt;&lt;/keywords&gt;&lt;urls&gt;&lt;related-urls&gt;&lt;url&gt;http://www.sciencedirect.com/science/article/pii/S0927539818300781&lt;/url&gt;&lt;/related-urls&gt;&lt;/urls&gt;&lt;isbn&gt;0927-5398&lt;/isbn&gt;&lt;titles&gt;&lt;title&gt;Conditional tail-risk in cryptocurrency markets&lt;/title&gt;&lt;secondary-title&gt;Journal of Empirical Finance&lt;/secondary-title&gt;&lt;/titles&gt;&lt;pages&gt;1-19&lt;/pages&gt;&lt;contributors&gt;&lt;authors&gt;&lt;author&gt;Borri, Nicola&lt;/author&gt;&lt;/authors&gt;&lt;/contributors&gt;&lt;added-date format="utc"&gt;1608566142&lt;/added-date&gt;&lt;ref-type name="Journal Article"&gt;17&lt;/ref-type&gt;&lt;rec-number&gt;218&lt;/rec-number&gt;&lt;last-updated-date format="utc"&gt;1608566142&lt;/last-updated-date&gt;&lt;electronic-resource-num&gt;https://doi.org/10.1016/j.jempfin.2018.11.002&lt;/electronic-resource-num&gt;&lt;volume&gt;50&lt;/volume&gt;&lt;/record&gt;&lt;/Cite&gt;&lt;/EndNote&gt;</w:instrText>
      </w:r>
      <w:r w:rsidRPr="00736486">
        <w:rPr>
          <w:bCs/>
          <w:lang w:eastAsia="zh-CN"/>
        </w:rPr>
        <w:fldChar w:fldCharType="separate"/>
      </w:r>
      <w:r w:rsidRPr="00736486">
        <w:rPr>
          <w:bCs/>
          <w:noProof/>
          <w:lang w:eastAsia="zh-CN"/>
        </w:rPr>
        <w:t>(2019)</w:t>
      </w:r>
      <w:r w:rsidRPr="00736486">
        <w:rPr>
          <w:bCs/>
          <w:lang w:eastAsia="zh-CN"/>
        </w:rPr>
        <w:fldChar w:fldCharType="end"/>
      </w:r>
      <w:r w:rsidRPr="00736486">
        <w:rPr>
          <w:bCs/>
          <w:lang w:eastAsia="zh-CN"/>
        </w:rPr>
        <w:t xml:space="preserve">, </w:t>
      </w:r>
      <w:r w:rsidRPr="00736486">
        <w:rPr>
          <w:bCs/>
          <w:noProof/>
          <w:lang w:eastAsia="zh-CN"/>
        </w:rPr>
        <w:t xml:space="preserve">Damianov and Elsayed </w:t>
      </w:r>
      <w:r w:rsidRPr="00736486">
        <w:rPr>
          <w:bCs/>
          <w:lang w:eastAsia="zh-CN"/>
        </w:rPr>
        <w:fldChar w:fldCharType="begin"/>
      </w:r>
      <w:r w:rsidRPr="00736486">
        <w:rPr>
          <w:bCs/>
          <w:lang w:eastAsia="zh-CN"/>
        </w:rPr>
        <w:instrText xml:space="preserve"> ADDIN EN.CITE &lt;EndNote&gt;&lt;Cite ExcludeAuth="1"&gt;&lt;Author&gt;Damianov&lt;/Author&gt;&lt;Year&gt;2020&lt;/Year&gt;&lt;IDText&gt;Does Bitcoin add value to global industry portfolios?&lt;/IDText&gt;&lt;DisplayText&gt;(2020)&lt;/DisplayText&gt;&lt;record&gt;&lt;dates&gt;&lt;pub-dates&gt;&lt;date&gt;2020/06/01/&lt;/date&gt;&lt;/pub-dates&gt;&lt;year&gt;2020&lt;/year&gt;&lt;/dates&gt;&lt;keywords&gt;&lt;keyword&gt;Bitcoin&lt;/keyword&gt;&lt;keyword&gt;Global industry sectors&lt;/keyword&gt;&lt;keyword&gt;Return spillovers&lt;/keyword&gt;&lt;keyword&gt;Portfolio diversification&lt;/keyword&gt;&lt;/keywords&gt;&lt;urls&gt;&lt;related-urls&gt;&lt;url&gt;http://www.sciencedirect.com/science/article/pii/S0165176519304768&lt;/url&gt;&lt;/related-urls&gt;&lt;/urls&gt;&lt;isbn&gt;0165-1765&lt;/isbn&gt;&lt;titles&gt;&lt;title&gt;Does Bitcoin add value to global industry portfolios?&lt;/title&gt;&lt;secondary-title&gt;Economics Letters&lt;/secondary-title&gt;&lt;/titles&gt;&lt;pages&gt;108935&lt;/pages&gt;&lt;contributors&gt;&lt;authors&gt;&lt;author&gt;Damianov, Damian S.&lt;/author&gt;&lt;author&gt;Elsayed, Ahmed H.&lt;/author&gt;&lt;/authors&gt;&lt;/contributors&gt;&lt;added-date format="utc"&gt;1608353881&lt;/added-date&gt;&lt;ref-type name="Journal Article"&gt;17&lt;/ref-type&gt;&lt;rec-number&gt;208&lt;/rec-number&gt;&lt;last-updated-date format="utc"&gt;1608353881&lt;/last-updated-date&gt;&lt;electronic-resource-num&gt;https://doi.org/10.1016/j.econlet.2019.108935&lt;/electronic-resource-num&gt;&lt;volume&gt;191&lt;/volume&gt;&lt;/record&gt;&lt;/Cite&gt;&lt;/EndNote&gt;</w:instrText>
      </w:r>
      <w:r w:rsidRPr="00736486">
        <w:rPr>
          <w:bCs/>
          <w:lang w:eastAsia="zh-CN"/>
        </w:rPr>
        <w:fldChar w:fldCharType="separate"/>
      </w:r>
      <w:r w:rsidRPr="00736486">
        <w:rPr>
          <w:bCs/>
          <w:lang w:eastAsia="zh-CN"/>
        </w:rPr>
        <w:t>(2020)</w:t>
      </w:r>
      <w:r w:rsidRPr="00736486">
        <w:rPr>
          <w:bCs/>
          <w:lang w:eastAsia="zh-CN"/>
        </w:rPr>
        <w:fldChar w:fldCharType="end"/>
      </w:r>
      <w:r w:rsidR="00233A2E">
        <w:rPr>
          <w:bCs/>
          <w:lang w:eastAsia="zh-CN"/>
        </w:rPr>
        <w:t>,</w:t>
      </w:r>
      <w:r w:rsidRPr="00736486">
        <w:rPr>
          <w:bCs/>
          <w:lang w:eastAsia="zh-CN"/>
        </w:rPr>
        <w:t xml:space="preserve"> </w:t>
      </w:r>
      <w:r w:rsidR="004A4E4A" w:rsidRPr="00736486">
        <w:rPr>
          <w:bCs/>
          <w:lang w:eastAsia="zh-CN"/>
        </w:rPr>
        <w:t xml:space="preserve">and </w:t>
      </w:r>
      <w:r w:rsidRPr="00736486">
        <w:rPr>
          <w:bCs/>
          <w:noProof/>
          <w:lang w:eastAsia="zh-CN"/>
        </w:rPr>
        <w:t xml:space="preserve">Selmi et al. </w:t>
      </w:r>
      <w:r w:rsidRPr="00736486">
        <w:rPr>
          <w:bCs/>
          <w:lang w:eastAsia="zh-CN"/>
        </w:rPr>
        <w:fldChar w:fldCharType="begin"/>
      </w:r>
      <w:r w:rsidRPr="00736486">
        <w:rPr>
          <w:bCs/>
          <w:lang w:eastAsia="zh-CN"/>
        </w:rPr>
        <w:instrText xml:space="preserve"> ADDIN EN.CITE &lt;EndNote&gt;&lt;Cite ExcludeAuth="1"&gt;&lt;Author&gt;Selmi&lt;/Author&gt;&lt;Year&gt;2018&lt;/Year&gt;&lt;IDText&gt;Is Bitcoin a hedge, a safe haven or a diversifier for oil price movements? A comparison with gold&lt;/IDText&gt;&lt;DisplayText&gt;(2018)&lt;/DisplayText&gt;&lt;record&gt;&lt;dates&gt;&lt;pub-dates&gt;&lt;date&gt;2018/08/01/&lt;/date&gt;&lt;/pub-dates&gt;&lt;year&gt;2018&lt;/year&gt;&lt;/dates&gt;&lt;keywords&gt;&lt;keyword&gt;Oil, Bitcoin and gold&lt;/keyword&gt;&lt;keyword&gt;Diversifier, hedge and safe haven&lt;/keyword&gt;&lt;keyword&gt;Quantile-on-quantile regression&lt;/keyword&gt;&lt;keyword&gt;CoVaR&lt;/keyword&gt;&lt;/keywords&gt;&lt;urls&gt;&lt;related-urls&gt;&lt;url&gt;http://www.sciencedirect.com/science/article/pii/S0140988318302524&lt;/url&gt;&lt;/related-urls&gt;&lt;/urls&gt;&lt;isbn&gt;0140-9883&lt;/isbn&gt;&lt;titles&gt;&lt;title&gt;Is Bitcoin a hedge, a safe haven or a diversifier for oil price movements? A comparison with gold&lt;/title&gt;&lt;secondary-title&gt;Energy Economics&lt;/secondary-title&gt;&lt;/titles&gt;&lt;pages&gt;787-801&lt;/pages&gt;&lt;contributors&gt;&lt;authors&gt;&lt;author&gt;Selmi, Refk&lt;/author&gt;&lt;author&gt;Mensi, Walid&lt;/author&gt;&lt;author&gt;Hammoudeh, Shawkat&lt;/author&gt;&lt;author&gt;Bouoiyour, Jamal&lt;/author&gt;&lt;/authors&gt;&lt;/contributors&gt;&lt;added-date format="utc"&gt;1608584792&lt;/added-date&gt;&lt;ref-type name="Journal Article"&gt;17&lt;/ref-type&gt;&lt;rec-number&gt;228&lt;/rec-number&gt;&lt;last-updated-date format="utc"&gt;1608584792&lt;/last-updated-date&gt;&lt;electronic-resource-num&gt;https://doi.org/10.1016/j.eneco.2018.07.007&lt;/electronic-resource-num&gt;&lt;volume&gt;74&lt;/volume&gt;&lt;/record&gt;&lt;/Cite&gt;&lt;/EndNote&gt;</w:instrText>
      </w:r>
      <w:r w:rsidRPr="00736486">
        <w:rPr>
          <w:bCs/>
          <w:lang w:eastAsia="zh-CN"/>
        </w:rPr>
        <w:fldChar w:fldCharType="separate"/>
      </w:r>
      <w:r w:rsidRPr="00736486">
        <w:rPr>
          <w:bCs/>
          <w:noProof/>
          <w:lang w:eastAsia="zh-TW"/>
        </w:rPr>
        <w:t>(2018)</w:t>
      </w:r>
      <w:r w:rsidRPr="00736486">
        <w:rPr>
          <w:bCs/>
          <w:lang w:eastAsia="zh-CN"/>
        </w:rPr>
        <w:fldChar w:fldCharType="end"/>
      </w:r>
      <w:r w:rsidRPr="00FE03B8">
        <w:rPr>
          <w:bCs/>
          <w:lang w:eastAsia="zh-TW"/>
        </w:rPr>
        <w:t>,</w:t>
      </w:r>
      <w:r w:rsidRPr="00FE03B8">
        <w:rPr>
          <w:bCs/>
          <w:lang w:eastAsia="zh-CN"/>
        </w:rPr>
        <w:t xml:space="preserve"> among others. </w:t>
      </w:r>
      <w:r w:rsidR="00F07E6B">
        <w:rPr>
          <w:lang w:eastAsia="zh-TW"/>
        </w:rPr>
        <w:t>The second strand</w:t>
      </w:r>
      <w:r>
        <w:rPr>
          <w:lang w:eastAsia="zh-TW"/>
        </w:rPr>
        <w:t xml:space="preserve"> of literature seeks to understand Bitcoin value from its market characteristics, such as </w:t>
      </w:r>
      <w:r w:rsidR="004F3654">
        <w:rPr>
          <w:lang w:eastAsia="zh-TW"/>
        </w:rPr>
        <w:t>behavioral</w:t>
      </w:r>
      <w:r>
        <w:rPr>
          <w:lang w:eastAsia="zh-TW"/>
        </w:rPr>
        <w:t xml:space="preserve"> biases. For instance,</w:t>
      </w:r>
      <w:r>
        <w:rPr>
          <w:noProof/>
          <w:lang w:eastAsia="zh-TW"/>
        </w:rPr>
        <w:t xml:space="preserve"> </w:t>
      </w:r>
      <w:r w:rsidRPr="00736486">
        <w:rPr>
          <w:noProof/>
          <w:lang w:eastAsia="zh-TW"/>
        </w:rPr>
        <w:t>Gurdgiev and O</w:t>
      </w:r>
      <w:r w:rsidR="00AB61F8" w:rsidRPr="00736486">
        <w:rPr>
          <w:noProof/>
          <w:lang w:eastAsia="zh-TW"/>
        </w:rPr>
        <w:t>'</w:t>
      </w:r>
      <w:r w:rsidRPr="00736486">
        <w:rPr>
          <w:noProof/>
          <w:lang w:eastAsia="zh-TW"/>
        </w:rPr>
        <w:t>Loughlin</w:t>
      </w:r>
      <w:r w:rsidRPr="00736486">
        <w:rPr>
          <w:lang w:eastAsia="zh-TW"/>
        </w:rPr>
        <w:t xml:space="preserve"> </w:t>
      </w:r>
      <w:r w:rsidRPr="00736486">
        <w:rPr>
          <w:lang w:eastAsia="zh-TW"/>
        </w:rPr>
        <w:fldChar w:fldCharType="begin"/>
      </w:r>
      <w:r w:rsidRPr="00736486">
        <w:rPr>
          <w:lang w:eastAsia="zh-TW"/>
        </w:rPr>
        <w:instrText xml:space="preserve"> ADDIN EN.CITE &lt;EndNote&gt;&lt;Cite ExcludeAuth="1"&gt;&lt;Author&gt;Gurdgiev&lt;/Author&gt;&lt;Year&gt;2020&lt;/Year&gt;&lt;IDText&gt;Herding and anchoring in cryptocurrency markets: Investor reaction to fear and uncertainty&lt;/IDText&gt;&lt;DisplayText&gt;(2020)&lt;/DisplayText&gt;&lt;record&gt;&lt;dates&gt;&lt;pub-dates&gt;&lt;date&gt;2020/03/01/&lt;/date&gt;&lt;/pub-dates&gt;&lt;year&gt;2020&lt;/year&gt;&lt;/dates&gt;&lt;keywords&gt;&lt;keyword&gt;Cryptocurrencies&lt;/keyword&gt;&lt;keyword&gt;Blockchain&lt;/keyword&gt;&lt;keyword&gt;Crypto assets&lt;/keyword&gt;&lt;keyword&gt;Behavioral finance&lt;/keyword&gt;&lt;keyword&gt;Bitcoin&lt;/keyword&gt;&lt;keyword&gt;Ripple&lt;/keyword&gt;&lt;keyword&gt;Ethereum&lt;/keyword&gt;&lt;keyword&gt;Investment markets&lt;/keyword&gt;&lt;/keywords&gt;&lt;urls&gt;&lt;related-urls&gt;&lt;url&gt;http://www.sciencedirect.com/science/article/pii/S2214635019301534&lt;/url&gt;&lt;/related-urls&gt;&lt;/urls&gt;&lt;isbn&gt;2214-6350&lt;/isbn&gt;&lt;titles&gt;&lt;title&gt;Herding and anchoring in cryptocurrency markets: Investor reaction to fear and uncertainty&lt;/title&gt;&lt;secondary-title&gt;Journal of Behavioral and Experimental Finance&lt;/secondary-title&gt;&lt;/titles&gt;&lt;pages&gt;100271&lt;/pages&gt;&lt;contributors&gt;&lt;authors&gt;&lt;author&gt;Gurdgiev, Constantin&lt;/author&gt;&lt;author&gt;O’Loughlin, Daniel&lt;/author&gt;&lt;/authors&gt;&lt;/contributors&gt;&lt;added-date format="utc"&gt;1608585028&lt;/added-date&gt;&lt;ref-type name="Journal Article"&gt;17&lt;/ref-type&gt;&lt;rec-number&gt;229&lt;/rec-number&gt;&lt;last-updated-date format="utc"&gt;1608585028&lt;/last-updated-date&gt;&lt;electronic-resource-num&gt;https://doi.org/10.1016/j.jbef.2020.100271&lt;/electronic-resource-num&gt;&lt;volume&gt;25&lt;/volume&gt;&lt;/record&gt;&lt;/Cite&gt;&lt;/EndNote&gt;</w:instrText>
      </w:r>
      <w:r w:rsidRPr="00736486">
        <w:rPr>
          <w:lang w:eastAsia="zh-TW"/>
        </w:rPr>
        <w:fldChar w:fldCharType="separate"/>
      </w:r>
      <w:r w:rsidRPr="00736486">
        <w:rPr>
          <w:noProof/>
          <w:lang w:eastAsia="zh-TW"/>
        </w:rPr>
        <w:t>(2020)</w:t>
      </w:r>
      <w:r w:rsidRPr="00736486">
        <w:rPr>
          <w:lang w:eastAsia="zh-TW"/>
        </w:rPr>
        <w:fldChar w:fldCharType="end"/>
      </w:r>
      <w:r>
        <w:rPr>
          <w:lang w:eastAsia="zh-TW"/>
        </w:rPr>
        <w:t xml:space="preserve"> show that investor sentiment predicts </w:t>
      </w:r>
      <w:r w:rsidR="00233A2E">
        <w:rPr>
          <w:lang w:eastAsia="zh-TW"/>
        </w:rPr>
        <w:t xml:space="preserve">the </w:t>
      </w:r>
      <w:r>
        <w:rPr>
          <w:lang w:eastAsia="zh-TW"/>
        </w:rPr>
        <w:t xml:space="preserve">price direction of Bitcoin price movement, implying </w:t>
      </w:r>
      <w:r w:rsidR="004A4E4A">
        <w:rPr>
          <w:lang w:eastAsia="zh-TW"/>
        </w:rPr>
        <w:t xml:space="preserve">the </w:t>
      </w:r>
      <w:r>
        <w:rPr>
          <w:lang w:eastAsia="zh-TW"/>
        </w:rPr>
        <w:t>direct impact of herding and anchoring biases in the market. Similar</w:t>
      </w:r>
      <w:r w:rsidRPr="00736486">
        <w:rPr>
          <w:lang w:eastAsia="zh-TW"/>
        </w:rPr>
        <w:t xml:space="preserve">ly, </w:t>
      </w:r>
      <w:r w:rsidRPr="00736486">
        <w:rPr>
          <w:bCs/>
          <w:lang w:eastAsia="zh-CN"/>
        </w:rPr>
        <w:t xml:space="preserve">Kalyvas et al. </w:t>
      </w:r>
      <w:r w:rsidRPr="00736486">
        <w:rPr>
          <w:bCs/>
          <w:lang w:eastAsia="zh-CN"/>
        </w:rPr>
        <w:fldChar w:fldCharType="begin"/>
      </w:r>
      <w:r w:rsidRPr="00736486">
        <w:rPr>
          <w:bCs/>
          <w:lang w:eastAsia="zh-CN"/>
        </w:rPr>
        <w:instrText xml:space="preserve"> ADDIN EN.CITE &lt;EndNote&gt;&lt;Cite ExcludeAuth="1"&gt;&lt;Author&gt;Kalyvas&lt;/Author&gt;&lt;Year&gt;2020&lt;/Year&gt;&lt;IDText&gt;What drives Bitcoin’s price crash risk?&lt;/IDText&gt;&lt;DisplayText&gt;(2020)&lt;/DisplayText&gt;&lt;record&gt;&lt;dates&gt;&lt;pub-dates&gt;&lt;date&gt;2020/06/01/&lt;/date&gt;&lt;/pub-dates&gt;&lt;year&gt;2020&lt;/year&gt;&lt;/dates&gt;&lt;keywords&gt;&lt;keyword&gt;Bitcoin&lt;/keyword&gt;&lt;keyword&gt;Crash risk&lt;/keyword&gt;&lt;keyword&gt;EPU&lt;/keyword&gt;&lt;keyword&gt;VIX&lt;/keyword&gt;&lt;keyword&gt;VSTOXX&lt;/keyword&gt;&lt;keyword&gt;Behavioral factors&lt;/keyword&gt;&lt;/keywords&gt;&lt;urls&gt;&lt;related-urls&gt;&lt;url&gt;http://www.sciencedirect.com/science/article/pii/S0165176519303908&lt;/url&gt;&lt;/related-urls&gt;&lt;/urls&gt;&lt;isbn&gt;0165-1765&lt;/isbn&gt;&lt;titles&gt;&lt;title&gt;What drives Bitcoin’s price crash risk?&lt;/title&gt;&lt;secondary-title&gt;Economics Letters&lt;/secondary-title&gt;&lt;/titles&gt;&lt;pages&gt;108777&lt;/pages&gt;&lt;contributors&gt;&lt;authors&gt;&lt;author&gt;Kalyvas, Antonios&lt;/author&gt;&lt;author&gt;Papakyriakou, Panayiotis&lt;/author&gt;&lt;author&gt;Sakkas, Athanasios&lt;/author&gt;&lt;author&gt;Urquhart, Andrew&lt;/author&gt;&lt;/authors&gt;&lt;/contributors&gt;&lt;added-date format="utc"&gt;1608493284&lt;/added-date&gt;&lt;ref-type name="Journal Article"&gt;17&lt;/ref-type&gt;&lt;rec-number&gt;211&lt;/rec-number&gt;&lt;last-updated-date format="utc"&gt;1608493284&lt;/last-updated-date&gt;&lt;electronic-resource-num&gt;https://doi.org/10.1016/j.econlet.2019.108777&lt;/electronic-resource-num&gt;&lt;volume&gt;191&lt;/volume&gt;&lt;/record&gt;&lt;/Cite&gt;&lt;/EndNote&gt;</w:instrText>
      </w:r>
      <w:r w:rsidRPr="00736486">
        <w:rPr>
          <w:bCs/>
          <w:lang w:eastAsia="zh-CN"/>
        </w:rPr>
        <w:fldChar w:fldCharType="separate"/>
      </w:r>
      <w:r w:rsidRPr="00736486">
        <w:rPr>
          <w:bCs/>
          <w:lang w:eastAsia="zh-CN"/>
        </w:rPr>
        <w:t>(2020)</w:t>
      </w:r>
      <w:r w:rsidRPr="00736486">
        <w:rPr>
          <w:bCs/>
          <w:lang w:eastAsia="zh-CN"/>
        </w:rPr>
        <w:fldChar w:fldCharType="end"/>
      </w:r>
      <w:r w:rsidR="00394BDC" w:rsidRPr="00FE03B8">
        <w:rPr>
          <w:bCs/>
          <w:lang w:eastAsia="zh-CN"/>
        </w:rPr>
        <w:t xml:space="preserve"> show a wea</w:t>
      </w:r>
      <w:r w:rsidRPr="00FE03B8">
        <w:rPr>
          <w:bCs/>
          <w:lang w:eastAsia="zh-CN"/>
        </w:rPr>
        <w:t xml:space="preserve">k correlation between Bitcoin </w:t>
      </w:r>
      <w:r w:rsidR="00D67C04" w:rsidRPr="00FE03B8">
        <w:rPr>
          <w:bCs/>
          <w:lang w:eastAsia="zh-CN"/>
        </w:rPr>
        <w:t xml:space="preserve">price crash risk </w:t>
      </w:r>
      <w:r w:rsidRPr="00FE03B8">
        <w:rPr>
          <w:bCs/>
          <w:lang w:eastAsia="zh-CN"/>
        </w:rPr>
        <w:t xml:space="preserve">and </w:t>
      </w:r>
      <w:r w:rsidR="004F3654" w:rsidRPr="00FE03B8">
        <w:rPr>
          <w:bCs/>
          <w:lang w:eastAsia="zh-CN"/>
        </w:rPr>
        <w:t>behavioral</w:t>
      </w:r>
      <w:r w:rsidRPr="00FE03B8">
        <w:rPr>
          <w:bCs/>
          <w:lang w:eastAsia="zh-CN"/>
        </w:rPr>
        <w:t xml:space="preserve"> factors</w:t>
      </w:r>
      <w:r w:rsidR="00D67C04" w:rsidRPr="00FE03B8">
        <w:rPr>
          <w:bCs/>
          <w:lang w:eastAsia="zh-CN"/>
        </w:rPr>
        <w:t>,</w:t>
      </w:r>
      <w:r w:rsidRPr="00FE03B8">
        <w:rPr>
          <w:bCs/>
          <w:lang w:eastAsia="zh-CN"/>
        </w:rPr>
        <w:t xml:space="preserve"> </w:t>
      </w:r>
      <w:r w:rsidR="00D67C04" w:rsidRPr="00FE03B8">
        <w:rPr>
          <w:bCs/>
          <w:lang w:eastAsia="zh-CN"/>
        </w:rPr>
        <w:t>proxied by</w:t>
      </w:r>
      <w:r w:rsidRPr="00FE03B8">
        <w:rPr>
          <w:bCs/>
          <w:lang w:eastAsia="zh-CN"/>
        </w:rPr>
        <w:t xml:space="preserve"> the Thomson Reuters Marketpsych Indices (TRMI). However, both st</w:t>
      </w:r>
      <w:r w:rsidR="000B44FB" w:rsidRPr="00FE03B8">
        <w:rPr>
          <w:bCs/>
          <w:lang w:eastAsia="zh-CN"/>
        </w:rPr>
        <w:t>r</w:t>
      </w:r>
      <w:r w:rsidR="00505ED1">
        <w:rPr>
          <w:bCs/>
          <w:lang w:eastAsia="zh-CN"/>
        </w:rPr>
        <w:t>ands</w:t>
      </w:r>
      <w:r w:rsidRPr="00FE03B8">
        <w:rPr>
          <w:bCs/>
          <w:lang w:eastAsia="zh-CN"/>
        </w:rPr>
        <w:t xml:space="preserve"> of literature examine direct </w:t>
      </w:r>
      <w:proofErr w:type="spellStart"/>
      <w:r w:rsidRPr="00FE03B8">
        <w:rPr>
          <w:bCs/>
          <w:lang w:eastAsia="zh-CN"/>
        </w:rPr>
        <w:t>spillover</w:t>
      </w:r>
      <w:proofErr w:type="spellEnd"/>
      <w:r w:rsidRPr="00FE03B8">
        <w:rPr>
          <w:bCs/>
          <w:lang w:eastAsia="zh-CN"/>
        </w:rPr>
        <w:t xml:space="preserve"> effects between Bitcoin and </w:t>
      </w:r>
      <w:r w:rsidR="004F3654" w:rsidRPr="00FE03B8">
        <w:rPr>
          <w:bCs/>
          <w:lang w:eastAsia="zh-CN"/>
        </w:rPr>
        <w:t>behavioral</w:t>
      </w:r>
      <w:r w:rsidRPr="00FE03B8">
        <w:rPr>
          <w:bCs/>
          <w:lang w:eastAsia="zh-CN"/>
        </w:rPr>
        <w:t xml:space="preserve"> factors or Bitcoin-related stocks, despite numerous studies documenting </w:t>
      </w:r>
      <w:r w:rsidR="004A4E4A" w:rsidRPr="00FE03B8">
        <w:rPr>
          <w:bCs/>
          <w:lang w:eastAsia="zh-CN"/>
        </w:rPr>
        <w:t xml:space="preserve">the </w:t>
      </w:r>
      <w:r w:rsidRPr="00FE03B8">
        <w:rPr>
          <w:bCs/>
          <w:lang w:eastAsia="zh-CN"/>
        </w:rPr>
        <w:t xml:space="preserve">significant impact of </w:t>
      </w:r>
      <w:r w:rsidR="004F3654" w:rsidRPr="00FE03B8">
        <w:rPr>
          <w:bCs/>
          <w:lang w:eastAsia="zh-CN"/>
        </w:rPr>
        <w:t>behavioral</w:t>
      </w:r>
      <w:r w:rsidRPr="00FE03B8">
        <w:rPr>
          <w:bCs/>
          <w:lang w:eastAsia="zh-CN"/>
        </w:rPr>
        <w:t xml:space="preserve"> factors on the stock market. Therefore, </w:t>
      </w:r>
      <w:r w:rsidRPr="00FE03B8">
        <w:rPr>
          <w:bCs/>
        </w:rPr>
        <w:t>i</w:t>
      </w:r>
      <w:r w:rsidR="00395F19" w:rsidRPr="00FE03B8">
        <w:rPr>
          <w:bCs/>
        </w:rPr>
        <w:t xml:space="preserve">n our paper, </w:t>
      </w:r>
      <w:r w:rsidRPr="00FE03B8">
        <w:rPr>
          <w:bCs/>
        </w:rPr>
        <w:t xml:space="preserve">we </w:t>
      </w:r>
      <w:r w:rsidR="002B5373" w:rsidRPr="00FE03B8">
        <w:rPr>
          <w:bCs/>
        </w:rPr>
        <w:t>attempt</w:t>
      </w:r>
      <w:r w:rsidR="0021755E" w:rsidRPr="00FE03B8">
        <w:rPr>
          <w:bCs/>
        </w:rPr>
        <w:t xml:space="preserve"> to connect these two groups</w:t>
      </w:r>
      <w:r w:rsidRPr="00FE03B8">
        <w:rPr>
          <w:bCs/>
        </w:rPr>
        <w:t xml:space="preserve"> of studies by exploring the possibili</w:t>
      </w:r>
      <w:r w:rsidR="003F00D9" w:rsidRPr="00FE03B8">
        <w:rPr>
          <w:bCs/>
        </w:rPr>
        <w:t xml:space="preserve">ty </w:t>
      </w:r>
      <w:r w:rsidR="00233A2E">
        <w:rPr>
          <w:bCs/>
        </w:rPr>
        <w:t>of</w:t>
      </w:r>
      <w:r w:rsidR="003D6062" w:rsidRPr="00FE03B8">
        <w:rPr>
          <w:bCs/>
        </w:rPr>
        <w:t xml:space="preserve"> an </w:t>
      </w:r>
      <w:r w:rsidR="00B51516" w:rsidRPr="00FE03B8">
        <w:rPr>
          <w:bCs/>
        </w:rPr>
        <w:t>indirect effect</w:t>
      </w:r>
      <w:r w:rsidR="003D6062" w:rsidRPr="00FE03B8">
        <w:rPr>
          <w:bCs/>
        </w:rPr>
        <w:t xml:space="preserve"> from </w:t>
      </w:r>
      <w:r w:rsidR="004F3654" w:rsidRPr="00FE03B8">
        <w:rPr>
          <w:bCs/>
        </w:rPr>
        <w:t>behavioral</w:t>
      </w:r>
      <w:r w:rsidR="003D6062" w:rsidRPr="00FE03B8">
        <w:rPr>
          <w:bCs/>
        </w:rPr>
        <w:t xml:space="preserve"> factors to Bitcoin through industries</w:t>
      </w:r>
      <w:r w:rsidRPr="00FE03B8">
        <w:rPr>
          <w:bCs/>
        </w:rPr>
        <w:t xml:space="preserve"> closely related to its production activities.</w:t>
      </w:r>
    </w:p>
    <w:p w14:paraId="735D58EB" w14:textId="0F1B4C08" w:rsidR="003D6062" w:rsidRPr="00FE03B8" w:rsidRDefault="00C0386D" w:rsidP="00233A2E">
      <w:pPr>
        <w:ind w:firstLine="426"/>
        <w:rPr>
          <w:bCs/>
        </w:rPr>
      </w:pPr>
      <w:r w:rsidRPr="00FE03B8">
        <w:rPr>
          <w:bCs/>
        </w:rPr>
        <w:t xml:space="preserve">Bitcoin production </w:t>
      </w:r>
      <w:r w:rsidR="00267793" w:rsidRPr="00FE03B8">
        <w:rPr>
          <w:bCs/>
        </w:rPr>
        <w:t>involves</w:t>
      </w:r>
      <w:r w:rsidR="006C6A8D" w:rsidRPr="00FE03B8">
        <w:rPr>
          <w:bCs/>
        </w:rPr>
        <w:t xml:space="preserve"> </w:t>
      </w:r>
      <w:r w:rsidRPr="00FE03B8">
        <w:rPr>
          <w:bCs/>
        </w:rPr>
        <w:t>solv</w:t>
      </w:r>
      <w:r w:rsidR="006C6A8D" w:rsidRPr="00FE03B8">
        <w:rPr>
          <w:bCs/>
        </w:rPr>
        <w:t>ing</w:t>
      </w:r>
      <w:r w:rsidRPr="00FE03B8">
        <w:rPr>
          <w:bCs/>
        </w:rPr>
        <w:t xml:space="preserve"> complex algorithmic puzzles </w:t>
      </w:r>
      <w:r w:rsidR="00267793" w:rsidRPr="00FE03B8">
        <w:rPr>
          <w:bCs/>
        </w:rPr>
        <w:t>requiring</w:t>
      </w:r>
      <w:r w:rsidR="006C6A8D" w:rsidRPr="00FE03B8">
        <w:rPr>
          <w:bCs/>
        </w:rPr>
        <w:t xml:space="preserve"> expensive and energy-consuming IT equipment</w:t>
      </w:r>
      <w:r w:rsidRPr="00FE03B8">
        <w:rPr>
          <w:bCs/>
        </w:rPr>
        <w:t xml:space="preserve">. As a result, the cost of Bitcoin might be closely related to industries that produce </w:t>
      </w:r>
      <w:r w:rsidR="000D6483" w:rsidRPr="00FE03B8">
        <w:rPr>
          <w:bCs/>
        </w:rPr>
        <w:t>IT equipment</w:t>
      </w:r>
      <w:r w:rsidRPr="00FE03B8">
        <w:rPr>
          <w:bCs/>
        </w:rPr>
        <w:t xml:space="preserve"> and energy</w:t>
      </w:r>
      <w:r w:rsidRPr="00274A88">
        <w:rPr>
          <w:bCs/>
        </w:rPr>
        <w:t xml:space="preserve">. For example, an increase in </w:t>
      </w:r>
      <w:r w:rsidR="00233A2E">
        <w:rPr>
          <w:bCs/>
        </w:rPr>
        <w:t>IT equipment and traditional energy prices</w:t>
      </w:r>
      <w:r w:rsidRPr="00274A88">
        <w:rPr>
          <w:bCs/>
        </w:rPr>
        <w:t xml:space="preserve"> might </w:t>
      </w:r>
      <w:r w:rsidR="004F3654" w:rsidRPr="00274A88">
        <w:rPr>
          <w:bCs/>
        </w:rPr>
        <w:t>increase</w:t>
      </w:r>
      <w:r w:rsidR="003D6062" w:rsidRPr="00274A88">
        <w:rPr>
          <w:bCs/>
        </w:rPr>
        <w:t xml:space="preserve"> their stock values due to </w:t>
      </w:r>
      <w:r w:rsidR="00233A2E">
        <w:rPr>
          <w:bCs/>
        </w:rPr>
        <w:t xml:space="preserve">an </w:t>
      </w:r>
      <w:r w:rsidR="003D6062" w:rsidRPr="00274A88">
        <w:rPr>
          <w:bCs/>
        </w:rPr>
        <w:t xml:space="preserve">enlarged profit margin </w:t>
      </w:r>
      <w:r w:rsidR="003D6062" w:rsidRPr="00274A88">
        <w:rPr>
          <w:bCs/>
        </w:rPr>
        <w:lastRenderedPageBreak/>
        <w:t>and</w:t>
      </w:r>
      <w:r w:rsidRPr="00274A88">
        <w:rPr>
          <w:bCs/>
        </w:rPr>
        <w:t xml:space="preserve"> an increase in Bitcoin prices due to </w:t>
      </w:r>
      <w:r w:rsidR="00AE108B" w:rsidRPr="00274A88">
        <w:rPr>
          <w:bCs/>
        </w:rPr>
        <w:t>higher mining costs. In contrast</w:t>
      </w:r>
      <w:r w:rsidRPr="00274A88">
        <w:rPr>
          <w:bCs/>
        </w:rPr>
        <w:t>, a pro-</w:t>
      </w:r>
      <w:r w:rsidRPr="00FE03B8">
        <w:rPr>
          <w:bCs/>
        </w:rPr>
        <w:t>environment policy in the green clean energy sector</w:t>
      </w:r>
      <w:r w:rsidR="00B56FE7" w:rsidRPr="00FE03B8">
        <w:rPr>
          <w:bCs/>
        </w:rPr>
        <w:t xml:space="preserve"> –</w:t>
      </w:r>
      <w:r w:rsidRPr="00FE03B8">
        <w:rPr>
          <w:bCs/>
        </w:rPr>
        <w:t xml:space="preserve"> e.g.</w:t>
      </w:r>
      <w:r w:rsidR="00B56FE7" w:rsidRPr="00FE03B8">
        <w:rPr>
          <w:bCs/>
        </w:rPr>
        <w:t>,</w:t>
      </w:r>
      <w:r w:rsidRPr="00FE03B8">
        <w:rPr>
          <w:bCs/>
        </w:rPr>
        <w:t xml:space="preserve"> tax reduction</w:t>
      </w:r>
      <w:r w:rsidR="00B56FE7" w:rsidRPr="00FE03B8">
        <w:rPr>
          <w:bCs/>
        </w:rPr>
        <w:t xml:space="preserve"> –</w:t>
      </w:r>
      <w:r w:rsidRPr="00FE03B8">
        <w:rPr>
          <w:bCs/>
        </w:rPr>
        <w:t xml:space="preserve"> might push up the value of relevant companies but lessen the value of Bitcoin because of the potential decrease in production costs.</w:t>
      </w:r>
    </w:p>
    <w:p w14:paraId="5F292216" w14:textId="3CC536A4" w:rsidR="00C0386D" w:rsidRPr="00FE03B8" w:rsidRDefault="00C0386D" w:rsidP="00C41D08">
      <w:pPr>
        <w:ind w:firstLine="426"/>
        <w:rPr>
          <w:bCs/>
        </w:rPr>
      </w:pPr>
      <w:r w:rsidRPr="00FE03B8">
        <w:rPr>
          <w:bCs/>
        </w:rPr>
        <w:t>Meanwhile</w:t>
      </w:r>
      <w:r w:rsidR="004F3654" w:rsidRPr="00FE03B8">
        <w:rPr>
          <w:bCs/>
        </w:rPr>
        <w:t>,</w:t>
      </w:r>
      <w:r w:rsidRPr="00FE03B8">
        <w:rPr>
          <w:bCs/>
        </w:rPr>
        <w:t xml:space="preserve"> as a decentrali</w:t>
      </w:r>
      <w:r w:rsidR="00B56FE7" w:rsidRPr="00FE03B8">
        <w:rPr>
          <w:bCs/>
        </w:rPr>
        <w:t>z</w:t>
      </w:r>
      <w:r w:rsidRPr="00FE03B8">
        <w:rPr>
          <w:bCs/>
        </w:rPr>
        <w:t>ed government-free currency, the value of Bitcoin is largely affected by traders</w:t>
      </w:r>
      <w:r w:rsidR="00AB61F8" w:rsidRPr="00FE03B8">
        <w:rPr>
          <w:bCs/>
        </w:rPr>
        <w:t>'</w:t>
      </w:r>
      <w:r w:rsidRPr="00FE03B8">
        <w:rPr>
          <w:bCs/>
        </w:rPr>
        <w:t xml:space="preserve"> </w:t>
      </w:r>
      <w:r w:rsidR="00FC5DC9">
        <w:rPr>
          <w:bCs/>
        </w:rPr>
        <w:t>s</w:t>
      </w:r>
      <w:r w:rsidR="00C41D08" w:rsidRPr="00FE03B8">
        <w:rPr>
          <w:bCs/>
        </w:rPr>
        <w:t xml:space="preserve">entiment </w:t>
      </w:r>
      <w:r w:rsidRPr="00FE03B8">
        <w:rPr>
          <w:bCs/>
        </w:rPr>
        <w:t xml:space="preserve">and </w:t>
      </w:r>
      <w:r w:rsidR="004F3654" w:rsidRPr="00FE03B8">
        <w:rPr>
          <w:bCs/>
        </w:rPr>
        <w:t>behavioral</w:t>
      </w:r>
      <w:r w:rsidRPr="00FE03B8">
        <w:rPr>
          <w:bCs/>
        </w:rPr>
        <w:t xml:space="preserve"> biases </w:t>
      </w:r>
      <w:r w:rsidRPr="00FE03B8">
        <w:rPr>
          <w:bCs/>
        </w:rPr>
        <w:fldChar w:fldCharType="begin">
          <w:fldData xml:space="preserve">PEVuZE5vdGU+PENpdGU+PEF1dGhvcj5Db3JiZXQ8L0F1dGhvcj48WWVhcj4yMDE4PC9ZZWFyPjxJ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</w:fldData>
        </w:fldChar>
      </w:r>
      <w:r w:rsidRPr="00FE03B8">
        <w:rPr>
          <w:bCs/>
        </w:rPr>
        <w:instrText xml:space="preserve"> ADDIN EN.CITE </w:instrText>
      </w:r>
      <w:r w:rsidRPr="00FE03B8">
        <w:rPr>
          <w:bCs/>
        </w:rPr>
        <w:fldChar w:fldCharType="begin">
          <w:fldData xml:space="preserve">PEVuZE5vdGU+PENpdGU+PEF1dGhvcj5Db3JiZXQ8L0F1dGhvcj48WWVhcj4yMDE4PC9ZZWFyPjxJ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</w:fldData>
        </w:fldChar>
      </w:r>
      <w:r w:rsidRPr="00FE03B8">
        <w:rPr>
          <w:bCs/>
        </w:rPr>
        <w:instrText xml:space="preserve"> ADDIN EN.CITE.DATA </w:instrText>
      </w:r>
      <w:r w:rsidRPr="00FE03B8">
        <w:rPr>
          <w:bCs/>
        </w:rPr>
      </w:r>
      <w:r w:rsidRPr="00FE03B8">
        <w:rPr>
          <w:bCs/>
        </w:rPr>
        <w:fldChar w:fldCharType="end"/>
      </w:r>
      <w:r w:rsidRPr="00FE03B8">
        <w:rPr>
          <w:bCs/>
        </w:rPr>
      </w:r>
      <w:r w:rsidRPr="00FE03B8">
        <w:rPr>
          <w:bCs/>
        </w:rPr>
        <w:fldChar w:fldCharType="separate"/>
      </w:r>
      <w:r w:rsidRPr="00736486">
        <w:rPr>
          <w:bCs/>
          <w:noProof/>
        </w:rPr>
        <w:t>(Bouri et al., 201</w:t>
      </w:r>
      <w:r w:rsidR="00D3389E" w:rsidRPr="00736486">
        <w:rPr>
          <w:bCs/>
          <w:noProof/>
        </w:rPr>
        <w:t>8</w:t>
      </w:r>
      <w:r w:rsidRPr="00736486">
        <w:rPr>
          <w:bCs/>
          <w:noProof/>
        </w:rPr>
        <w:t>; Corbet et al., 2018</w:t>
      </w:r>
      <w:r w:rsidR="005F6472">
        <w:rPr>
          <w:bCs/>
          <w:noProof/>
        </w:rPr>
        <w:t>a</w:t>
      </w:r>
      <w:r w:rsidRPr="00736486">
        <w:rPr>
          <w:bCs/>
          <w:noProof/>
        </w:rPr>
        <w:t>; d</w:t>
      </w:r>
      <w:r w:rsidR="00F63FA7" w:rsidRPr="00736486">
        <w:rPr>
          <w:bCs/>
          <w:noProof/>
        </w:rPr>
        <w:t>e</w:t>
      </w:r>
      <w:r w:rsidRPr="00736486">
        <w:rPr>
          <w:bCs/>
          <w:noProof/>
        </w:rPr>
        <w:t xml:space="preserve"> Gama Silva et al., 2019; Gurdgiev </w:t>
      </w:r>
      <w:r w:rsidR="004844EE">
        <w:rPr>
          <w:bCs/>
          <w:noProof/>
        </w:rPr>
        <w:t>and</w:t>
      </w:r>
      <w:r w:rsidRPr="00736486">
        <w:rPr>
          <w:bCs/>
          <w:noProof/>
        </w:rPr>
        <w:t xml:space="preserve"> O</w:t>
      </w:r>
      <w:r w:rsidR="00AB61F8" w:rsidRPr="00736486">
        <w:rPr>
          <w:bCs/>
          <w:noProof/>
        </w:rPr>
        <w:t>'</w:t>
      </w:r>
      <w:r w:rsidRPr="00736486">
        <w:rPr>
          <w:bCs/>
          <w:noProof/>
        </w:rPr>
        <w:t>Loughlin, 2020</w:t>
      </w:r>
      <w:r w:rsidRPr="00FE03B8">
        <w:rPr>
          <w:bCs/>
          <w:noProof/>
        </w:rPr>
        <w:t>)</w:t>
      </w:r>
      <w:r w:rsidRPr="00FE03B8">
        <w:rPr>
          <w:bCs/>
        </w:rPr>
        <w:fldChar w:fldCharType="end"/>
      </w:r>
      <w:r w:rsidRPr="00FE03B8">
        <w:rPr>
          <w:bCs/>
        </w:rPr>
        <w:t xml:space="preserve">. On the other hand, the effects of </w:t>
      </w:r>
      <w:r w:rsidR="004F3654" w:rsidRPr="00FE03B8">
        <w:rPr>
          <w:bCs/>
        </w:rPr>
        <w:t>behavioral</w:t>
      </w:r>
      <w:r w:rsidRPr="00FE03B8">
        <w:rPr>
          <w:bCs/>
        </w:rPr>
        <w:t xml:space="preserve"> factors have also been extensively documented in the stock markets </w:t>
      </w:r>
      <w:r w:rsidR="00505ED1" w:rsidRPr="00505ED1">
        <w:rPr>
          <w:bCs/>
        </w:rPr>
        <w:t xml:space="preserve">(Baker and Wurgler, 2006; Kumar and Lee, 2006; </w:t>
      </w:r>
      <w:proofErr w:type="spellStart"/>
      <w:r w:rsidR="00505ED1" w:rsidRPr="00505ED1">
        <w:rPr>
          <w:bCs/>
        </w:rPr>
        <w:t>Sayim</w:t>
      </w:r>
      <w:proofErr w:type="spellEnd"/>
      <w:r w:rsidR="00505ED1" w:rsidRPr="00505ED1">
        <w:rPr>
          <w:bCs/>
        </w:rPr>
        <w:t xml:space="preserve"> et al., 2013; </w:t>
      </w:r>
      <w:proofErr w:type="spellStart"/>
      <w:r w:rsidR="00505ED1" w:rsidRPr="00505ED1">
        <w:rPr>
          <w:bCs/>
        </w:rPr>
        <w:t>Tetlock</w:t>
      </w:r>
      <w:proofErr w:type="spellEnd"/>
      <w:r w:rsidR="00505ED1" w:rsidRPr="00505ED1">
        <w:rPr>
          <w:bCs/>
        </w:rPr>
        <w:t>, 2007).</w:t>
      </w:r>
      <w:r w:rsidRPr="00FE03B8">
        <w:rPr>
          <w:bCs/>
        </w:rPr>
        <w:t xml:space="preserve"> Therefore, it is important to understand how behavioral factors may affect Bitcoin value through the channel of </w:t>
      </w:r>
      <w:r w:rsidR="003D6062" w:rsidRPr="00FE03B8">
        <w:rPr>
          <w:bCs/>
        </w:rPr>
        <w:t>industries</w:t>
      </w:r>
      <w:r w:rsidR="00274A88" w:rsidRPr="00274A88">
        <w:rPr>
          <w:bCs/>
        </w:rPr>
        <w:t xml:space="preserve"> </w:t>
      </w:r>
      <w:r w:rsidR="00274A88" w:rsidRPr="00FE03B8">
        <w:rPr>
          <w:bCs/>
        </w:rPr>
        <w:t xml:space="preserve">closely related </w:t>
      </w:r>
      <w:r w:rsidRPr="00FE03B8">
        <w:rPr>
          <w:bCs/>
        </w:rPr>
        <w:t>to Bitcoin mining.</w:t>
      </w:r>
    </w:p>
    <w:p w14:paraId="480D836D" w14:textId="2C1F93B5" w:rsidR="008D463E" w:rsidRDefault="00C0386D" w:rsidP="00233A2E">
      <w:pPr>
        <w:ind w:firstLine="426"/>
        <w:contextualSpacing/>
        <w:rPr>
          <w:lang w:val="en-US"/>
        </w:rPr>
      </w:pPr>
      <w:r w:rsidRPr="00FE03B8">
        <w:rPr>
          <w:bCs/>
        </w:rPr>
        <w:t xml:space="preserve">We </w:t>
      </w:r>
      <w:r w:rsidR="00F56A3A" w:rsidRPr="00FE03B8">
        <w:rPr>
          <w:bCs/>
        </w:rPr>
        <w:t>commence</w:t>
      </w:r>
      <w:r w:rsidRPr="00FE03B8">
        <w:rPr>
          <w:bCs/>
        </w:rPr>
        <w:t xml:space="preserve"> our investigation by estimating the sensitivity of Bitcoin and related industry indices to the Sentiment index from the TRMI. </w:t>
      </w:r>
      <w:r w:rsidR="00233A2E">
        <w:rPr>
          <w:bCs/>
        </w:rPr>
        <w:t>Specifically</w:t>
      </w:r>
      <w:r w:rsidRPr="00FE03B8">
        <w:rPr>
          <w:bCs/>
        </w:rPr>
        <w:t xml:space="preserve">, we adopt </w:t>
      </w:r>
      <w:r w:rsidR="000A3704" w:rsidRPr="00FE03B8">
        <w:rPr>
          <w:bCs/>
        </w:rPr>
        <w:t xml:space="preserve">the methodology in </w:t>
      </w:r>
      <w:r w:rsidR="003D6062" w:rsidRPr="00736486">
        <w:rPr>
          <w:bCs/>
        </w:rPr>
        <w:t>Francis et al. (2014</w:t>
      </w:r>
      <w:r w:rsidR="00EE61EA" w:rsidRPr="00FE03B8">
        <w:rPr>
          <w:bCs/>
        </w:rPr>
        <w:t>)</w:t>
      </w:r>
      <w:r w:rsidR="00AB61F8" w:rsidRPr="00FE03B8">
        <w:rPr>
          <w:bCs/>
        </w:rPr>
        <w:t xml:space="preserve"> </w:t>
      </w:r>
      <w:r w:rsidRPr="00FE03B8">
        <w:rPr>
          <w:bCs/>
        </w:rPr>
        <w:t xml:space="preserve">and regress </w:t>
      </w:r>
      <w:r w:rsidR="004F3654" w:rsidRPr="00FE03B8">
        <w:rPr>
          <w:bCs/>
        </w:rPr>
        <w:t>Bitcoin and industry indices' return</w:t>
      </w:r>
      <w:r w:rsidRPr="00FE03B8">
        <w:rPr>
          <w:bCs/>
        </w:rPr>
        <w:t xml:space="preserve">s against the behavioral factor, </w:t>
      </w:r>
      <w:r w:rsidR="00C41D08">
        <w:rPr>
          <w:bCs/>
        </w:rPr>
        <w:t>S</w:t>
      </w:r>
      <w:r w:rsidR="00C41D08" w:rsidRPr="00FE03B8">
        <w:rPr>
          <w:bCs/>
        </w:rPr>
        <w:t>entiment</w:t>
      </w:r>
      <w:r w:rsidRPr="00FE03B8">
        <w:rPr>
          <w:bCs/>
        </w:rPr>
        <w:t xml:space="preserve">, approximated by the Sentiment </w:t>
      </w:r>
      <w:r w:rsidR="00C867FF" w:rsidRPr="00FE03B8">
        <w:rPr>
          <w:bCs/>
        </w:rPr>
        <w:t>index</w:t>
      </w:r>
      <w:r w:rsidRPr="00FE03B8">
        <w:rPr>
          <w:bCs/>
        </w:rPr>
        <w:t xml:space="preserve"> of the TRMI indices. By adopting a rolling window approach, we obtain a time-series estimate of </w:t>
      </w:r>
      <w:r w:rsidR="003D6062" w:rsidRPr="00FE03B8">
        <w:rPr>
          <w:bCs/>
        </w:rPr>
        <w:t xml:space="preserve">the </w:t>
      </w:r>
      <w:r w:rsidRPr="00FE03B8">
        <w:rPr>
          <w:bCs/>
        </w:rPr>
        <w:t>sensitivity of Bitcoin or related industry returns to the behavioral proxy, measured as the slope coefficients. Then we pe</w:t>
      </w:r>
      <w:r w:rsidR="008D463E" w:rsidRPr="00FE03B8">
        <w:rPr>
          <w:bCs/>
        </w:rPr>
        <w:t xml:space="preserve">rform a preliminary examination of our conjecture. We show that </w:t>
      </w:r>
      <w:r w:rsidR="004F3654" w:rsidRPr="00FE03B8">
        <w:rPr>
          <w:bCs/>
        </w:rPr>
        <w:t>Bitcoin returns' sensitivity</w:t>
      </w:r>
      <w:r w:rsidR="008D463E" w:rsidRPr="00FE03B8">
        <w:rPr>
          <w:bCs/>
        </w:rPr>
        <w:t xml:space="preserve"> to </w:t>
      </w:r>
      <w:r w:rsidR="00C41D08">
        <w:rPr>
          <w:bCs/>
        </w:rPr>
        <w:t>S</w:t>
      </w:r>
      <w:r w:rsidR="00C41D08" w:rsidRPr="00FE03B8">
        <w:rPr>
          <w:bCs/>
        </w:rPr>
        <w:t xml:space="preserve">entiment </w:t>
      </w:r>
      <w:r w:rsidR="008D463E" w:rsidRPr="00FE03B8">
        <w:rPr>
          <w:bCs/>
        </w:rPr>
        <w:t>display</w:t>
      </w:r>
      <w:r w:rsidR="003D6062" w:rsidRPr="00FE03B8">
        <w:rPr>
          <w:bCs/>
        </w:rPr>
        <w:t>s</w:t>
      </w:r>
      <w:r w:rsidR="008D463E" w:rsidRPr="00FE03B8">
        <w:rPr>
          <w:bCs/>
        </w:rPr>
        <w:t xml:space="preserve"> a significant association with </w:t>
      </w:r>
      <w:r w:rsidR="003D6062" w:rsidRPr="00FE03B8">
        <w:rPr>
          <w:bCs/>
        </w:rPr>
        <w:t>related industries' sensitivit</w:t>
      </w:r>
      <w:r w:rsidR="008D463E" w:rsidRPr="00FE03B8">
        <w:rPr>
          <w:bCs/>
        </w:rPr>
        <w:t xml:space="preserve">ies to </w:t>
      </w:r>
      <w:r w:rsidR="00C41D08">
        <w:rPr>
          <w:bCs/>
        </w:rPr>
        <w:t>S</w:t>
      </w:r>
      <w:r w:rsidR="00C41D08" w:rsidRPr="00FE03B8">
        <w:rPr>
          <w:bCs/>
        </w:rPr>
        <w:t>entiment</w:t>
      </w:r>
      <w:r w:rsidR="008D463E" w:rsidRPr="00FE03B8">
        <w:rPr>
          <w:bCs/>
        </w:rPr>
        <w:t xml:space="preserve">. On the other hand, we do not observe a significant association between Bitcoin returns and the </w:t>
      </w:r>
      <w:r w:rsidR="004F3654" w:rsidRPr="00FE03B8">
        <w:rPr>
          <w:bCs/>
        </w:rPr>
        <w:t>indices' return</w:t>
      </w:r>
      <w:r w:rsidR="00B51516" w:rsidRPr="00FE03B8">
        <w:rPr>
          <w:bCs/>
        </w:rPr>
        <w:t>s</w:t>
      </w:r>
      <w:r w:rsidR="002C6FCD" w:rsidRPr="00FE03B8">
        <w:rPr>
          <w:bCs/>
        </w:rPr>
        <w:t xml:space="preserve"> of the related industries</w:t>
      </w:r>
      <w:r w:rsidR="00B51516" w:rsidRPr="00FE03B8">
        <w:rPr>
          <w:bCs/>
        </w:rPr>
        <w:t xml:space="preserve">. </w:t>
      </w:r>
      <w:r w:rsidR="007E0F2B" w:rsidRPr="00FE03B8">
        <w:rPr>
          <w:bCs/>
        </w:rPr>
        <w:t>These</w:t>
      </w:r>
      <w:r w:rsidR="008D463E">
        <w:rPr>
          <w:lang w:val="en-US"/>
        </w:rPr>
        <w:t xml:space="preserve"> findings </w:t>
      </w:r>
      <w:r w:rsidR="008B0AB6">
        <w:rPr>
          <w:lang w:val="en-US"/>
        </w:rPr>
        <w:t>provide</w:t>
      </w:r>
      <w:r w:rsidR="008D463E">
        <w:rPr>
          <w:lang w:val="en-US"/>
        </w:rPr>
        <w:t xml:space="preserve"> </w:t>
      </w:r>
      <w:r w:rsidR="008B0AB6">
        <w:rPr>
          <w:lang w:val="en-US"/>
        </w:rPr>
        <w:t>preliminary</w:t>
      </w:r>
      <w:r>
        <w:rPr>
          <w:lang w:val="en-US"/>
        </w:rPr>
        <w:t xml:space="preserve"> evidence </w:t>
      </w:r>
      <w:r w:rsidR="008D463E">
        <w:rPr>
          <w:lang w:val="en-US"/>
        </w:rPr>
        <w:t>th</w:t>
      </w:r>
      <w:r w:rsidR="003D6062">
        <w:rPr>
          <w:lang w:val="en-US"/>
        </w:rPr>
        <w:t>at related industries</w:t>
      </w:r>
      <w:r w:rsidR="00AB61F8">
        <w:rPr>
          <w:lang w:val="en-US"/>
        </w:rPr>
        <w:t>'</w:t>
      </w:r>
      <w:r w:rsidR="003D6062">
        <w:rPr>
          <w:lang w:val="en-US"/>
        </w:rPr>
        <w:t xml:space="preserve"> returns are associated with Bitcoin returns</w:t>
      </w:r>
      <w:r w:rsidR="008D463E">
        <w:rPr>
          <w:lang w:val="en-US"/>
        </w:rPr>
        <w:t xml:space="preserve"> t</w:t>
      </w:r>
      <w:r w:rsidR="003D6062">
        <w:rPr>
          <w:lang w:val="en-US"/>
        </w:rPr>
        <w:t>hr</w:t>
      </w:r>
      <w:r w:rsidR="008D463E">
        <w:rPr>
          <w:lang w:val="en-US"/>
        </w:rPr>
        <w:t>ough behavioral factors such as investor sentiment.</w:t>
      </w:r>
    </w:p>
    <w:p w14:paraId="4977D9D8" w14:textId="6E90C3CF" w:rsidR="008B0AB6" w:rsidRPr="00FE03B8" w:rsidRDefault="008D463E" w:rsidP="00233A2E">
      <w:pPr>
        <w:ind w:firstLine="426"/>
        <w:rPr>
          <w:rFonts w:eastAsia="PMingLiU"/>
        </w:rPr>
      </w:pPr>
      <w:r w:rsidRPr="00FE03B8">
        <w:rPr>
          <w:bCs/>
        </w:rPr>
        <w:t>Next, we study this mediating e</w:t>
      </w:r>
      <w:r w:rsidR="000D7A5C" w:rsidRPr="00FE03B8">
        <w:rPr>
          <w:bCs/>
        </w:rPr>
        <w:t xml:space="preserve">ffect in more detail through a model with interaction terms. </w:t>
      </w:r>
      <w:r w:rsidR="002C6FCD" w:rsidRPr="00FE03B8">
        <w:rPr>
          <w:bCs/>
        </w:rPr>
        <w:t>P</w:t>
      </w:r>
      <w:r w:rsidR="000D7A5C" w:rsidRPr="00FE03B8">
        <w:rPr>
          <w:bCs/>
        </w:rPr>
        <w:t>articular</w:t>
      </w:r>
      <w:r w:rsidR="002C6FCD" w:rsidRPr="00FE03B8">
        <w:rPr>
          <w:bCs/>
        </w:rPr>
        <w:t>ly</w:t>
      </w:r>
      <w:r w:rsidR="003D6062" w:rsidRPr="00FE03B8">
        <w:rPr>
          <w:bCs/>
        </w:rPr>
        <w:t>,</w:t>
      </w:r>
      <w:r w:rsidR="000D7A5C" w:rsidRPr="00FE03B8">
        <w:rPr>
          <w:bCs/>
        </w:rPr>
        <w:t xml:space="preserve"> we regress </w:t>
      </w:r>
      <w:r w:rsidR="002C6FCD" w:rsidRPr="00FE03B8">
        <w:rPr>
          <w:bCs/>
        </w:rPr>
        <w:t>B</w:t>
      </w:r>
      <w:r w:rsidR="00C0386D" w:rsidRPr="00FE03B8">
        <w:rPr>
          <w:bCs/>
        </w:rPr>
        <w:t xml:space="preserve">itcoin returns on </w:t>
      </w:r>
      <w:r w:rsidR="00C41D08">
        <w:rPr>
          <w:bCs/>
        </w:rPr>
        <w:t>S</w:t>
      </w:r>
      <w:r w:rsidR="00C41D08" w:rsidRPr="00FE03B8">
        <w:rPr>
          <w:bCs/>
        </w:rPr>
        <w:t>entiment</w:t>
      </w:r>
      <w:r w:rsidR="00C0386D" w:rsidRPr="00FE03B8">
        <w:rPr>
          <w:bCs/>
        </w:rPr>
        <w:t>, industry sensitivit</w:t>
      </w:r>
      <w:r w:rsidR="008B0AB6" w:rsidRPr="00FE03B8">
        <w:rPr>
          <w:bCs/>
        </w:rPr>
        <w:t>ies</w:t>
      </w:r>
      <w:r w:rsidR="00C0386D" w:rsidRPr="00FE03B8">
        <w:rPr>
          <w:bCs/>
        </w:rPr>
        <w:t xml:space="preserve"> on </w:t>
      </w:r>
      <w:r w:rsidR="00C41D08">
        <w:rPr>
          <w:bCs/>
        </w:rPr>
        <w:t>S</w:t>
      </w:r>
      <w:r w:rsidR="00C41D08" w:rsidRPr="00FE03B8">
        <w:rPr>
          <w:bCs/>
        </w:rPr>
        <w:t>entiment</w:t>
      </w:r>
      <w:r w:rsidR="00C0386D" w:rsidRPr="00FE03B8">
        <w:rPr>
          <w:bCs/>
        </w:rPr>
        <w:t xml:space="preserve">, and </w:t>
      </w:r>
      <w:r w:rsidR="00C0386D" w:rsidRPr="00FE03B8">
        <w:rPr>
          <w:bCs/>
        </w:rPr>
        <w:lastRenderedPageBreak/>
        <w:t xml:space="preserve">an interaction term of the two, </w:t>
      </w:r>
      <w:r w:rsidR="008B0AB6" w:rsidRPr="00FE03B8">
        <w:rPr>
          <w:bCs/>
        </w:rPr>
        <w:t xml:space="preserve">while also controlling for factors </w:t>
      </w:r>
      <w:r w:rsidR="002C6FCD" w:rsidRPr="00FE03B8">
        <w:rPr>
          <w:bCs/>
        </w:rPr>
        <w:t xml:space="preserve">that </w:t>
      </w:r>
      <w:r w:rsidR="008B0AB6" w:rsidRPr="00FE03B8">
        <w:rPr>
          <w:bCs/>
        </w:rPr>
        <w:t xml:space="preserve">prior literature has identified as Bitcoin </w:t>
      </w:r>
      <w:r w:rsidR="00AD1D95">
        <w:rPr>
          <w:bCs/>
        </w:rPr>
        <w:t xml:space="preserve">price </w:t>
      </w:r>
      <w:r w:rsidR="008B0AB6" w:rsidRPr="00FE03B8">
        <w:rPr>
          <w:bCs/>
        </w:rPr>
        <w:t>determinants</w:t>
      </w:r>
      <w:r w:rsidR="00C0386D" w:rsidRPr="00FE03B8">
        <w:rPr>
          <w:bCs/>
        </w:rPr>
        <w:t xml:space="preserve">. </w:t>
      </w:r>
      <w:r w:rsidR="008B0AB6" w:rsidRPr="00FE03B8">
        <w:rPr>
          <w:rFonts w:eastAsia="PMingLiU"/>
        </w:rPr>
        <w:t xml:space="preserve">We find that the interaction of </w:t>
      </w:r>
      <w:r w:rsidR="00C41D08">
        <w:rPr>
          <w:rFonts w:eastAsia="PMingLiU"/>
        </w:rPr>
        <w:t>S</w:t>
      </w:r>
      <w:r w:rsidR="00C41D08" w:rsidRPr="00FE03B8">
        <w:rPr>
          <w:rFonts w:eastAsia="PMingLiU"/>
        </w:rPr>
        <w:t xml:space="preserve">entiment </w:t>
      </w:r>
      <w:r w:rsidR="008B0AB6" w:rsidRPr="00FE03B8">
        <w:rPr>
          <w:rFonts w:eastAsia="PMingLiU"/>
        </w:rPr>
        <w:t xml:space="preserve">with </w:t>
      </w:r>
      <w:r w:rsidR="000D7A5C" w:rsidRPr="00FE03B8">
        <w:rPr>
          <w:rFonts w:eastAsia="PMingLiU"/>
        </w:rPr>
        <w:t xml:space="preserve">the sensitivity of </w:t>
      </w:r>
      <w:r w:rsidR="008B0AB6" w:rsidRPr="00FE03B8">
        <w:rPr>
          <w:rFonts w:eastAsia="PMingLiU"/>
        </w:rPr>
        <w:t xml:space="preserve">two industry </w:t>
      </w:r>
      <w:r w:rsidR="000D7A5C" w:rsidRPr="00FE03B8">
        <w:rPr>
          <w:rFonts w:eastAsia="PMingLiU"/>
        </w:rPr>
        <w:t xml:space="preserve">indices (IT and clean energy) to </w:t>
      </w:r>
      <w:r w:rsidR="00C41D08">
        <w:rPr>
          <w:rFonts w:eastAsia="PMingLiU"/>
        </w:rPr>
        <w:t>S</w:t>
      </w:r>
      <w:r w:rsidR="00C41D08" w:rsidRPr="00FE03B8">
        <w:rPr>
          <w:rFonts w:eastAsia="PMingLiU"/>
        </w:rPr>
        <w:t xml:space="preserve">entiment </w:t>
      </w:r>
      <w:r w:rsidR="000D7A5C" w:rsidRPr="00FE03B8">
        <w:rPr>
          <w:rFonts w:eastAsia="PMingLiU"/>
        </w:rPr>
        <w:t>ha</w:t>
      </w:r>
      <w:r w:rsidR="002C6FCD" w:rsidRPr="00FE03B8">
        <w:rPr>
          <w:rFonts w:eastAsia="PMingLiU"/>
        </w:rPr>
        <w:t>s</w:t>
      </w:r>
      <w:r w:rsidR="000D7A5C" w:rsidRPr="00FE03B8">
        <w:rPr>
          <w:rFonts w:eastAsia="PMingLiU"/>
        </w:rPr>
        <w:t xml:space="preserve"> a </w:t>
      </w:r>
      <w:r w:rsidR="008B0AB6" w:rsidRPr="00FE03B8">
        <w:rPr>
          <w:rFonts w:eastAsia="PMingLiU"/>
        </w:rPr>
        <w:t>positive</w:t>
      </w:r>
      <w:r w:rsidR="000D7A5C" w:rsidRPr="00FE03B8">
        <w:rPr>
          <w:rFonts w:eastAsia="PMingLiU"/>
        </w:rPr>
        <w:t xml:space="preserve"> and significant association with Bitcoin returns. </w:t>
      </w:r>
      <w:r w:rsidR="008B0AB6" w:rsidRPr="00FE03B8">
        <w:rPr>
          <w:rFonts w:eastAsia="PMingLiU"/>
        </w:rPr>
        <w:t xml:space="preserve">This result suggests that when the </w:t>
      </w:r>
      <w:r w:rsidR="00C41D08">
        <w:rPr>
          <w:rFonts w:eastAsia="PMingLiU"/>
        </w:rPr>
        <w:t>S</w:t>
      </w:r>
      <w:r w:rsidR="00C41D08" w:rsidRPr="00FE03B8">
        <w:rPr>
          <w:rFonts w:eastAsia="PMingLiU"/>
        </w:rPr>
        <w:t xml:space="preserve">entiment </w:t>
      </w:r>
      <w:r w:rsidR="008B0AB6" w:rsidRPr="00FE03B8">
        <w:rPr>
          <w:rFonts w:eastAsia="PMingLiU"/>
        </w:rPr>
        <w:t xml:space="preserve">is positively related </w:t>
      </w:r>
      <w:r w:rsidR="00233A2E">
        <w:rPr>
          <w:rFonts w:eastAsia="PMingLiU"/>
        </w:rPr>
        <w:t>to</w:t>
      </w:r>
      <w:r w:rsidR="008B0AB6" w:rsidRPr="00FE03B8">
        <w:rPr>
          <w:rFonts w:eastAsia="PMingLiU"/>
        </w:rPr>
        <w:t xml:space="preserve"> the returns of the IT and clean energy, this effect </w:t>
      </w:r>
      <w:r w:rsidR="00F94A42" w:rsidRPr="00FE03B8">
        <w:rPr>
          <w:rFonts w:eastAsia="PMingLiU"/>
        </w:rPr>
        <w:t>passes to</w:t>
      </w:r>
      <w:r w:rsidR="008B0AB6" w:rsidRPr="00FE03B8">
        <w:rPr>
          <w:rFonts w:eastAsia="PMingLiU"/>
        </w:rPr>
        <w:t xml:space="preserve"> the returns of Bitcoin, increasing its value, </w:t>
      </w:r>
      <w:r w:rsidR="002C6FCD" w:rsidRPr="00FE03B8">
        <w:rPr>
          <w:rFonts w:eastAsia="PMingLiU"/>
        </w:rPr>
        <w:t xml:space="preserve">particularly </w:t>
      </w:r>
      <w:r w:rsidR="008B0AB6" w:rsidRPr="00FE03B8">
        <w:rPr>
          <w:rFonts w:eastAsia="PMingLiU"/>
        </w:rPr>
        <w:t xml:space="preserve">when </w:t>
      </w:r>
      <w:r w:rsidR="000972E2" w:rsidRPr="00FE03B8">
        <w:rPr>
          <w:rFonts w:eastAsia="PMingLiU"/>
        </w:rPr>
        <w:t xml:space="preserve">the </w:t>
      </w:r>
      <w:r w:rsidR="00C41D08">
        <w:rPr>
          <w:rFonts w:eastAsia="PMingLiU"/>
        </w:rPr>
        <w:t>S</w:t>
      </w:r>
      <w:r w:rsidR="00C41D08" w:rsidRPr="00FE03B8">
        <w:rPr>
          <w:rFonts w:eastAsia="PMingLiU"/>
        </w:rPr>
        <w:t xml:space="preserve">entiment </w:t>
      </w:r>
      <w:r w:rsidR="008B0AB6" w:rsidRPr="00FE03B8">
        <w:rPr>
          <w:rFonts w:eastAsia="PMingLiU"/>
        </w:rPr>
        <w:t xml:space="preserve">becomes stronger. </w:t>
      </w:r>
      <w:r w:rsidR="000972E2" w:rsidRPr="00FE03B8">
        <w:rPr>
          <w:rFonts w:eastAsia="PMingLiU"/>
        </w:rPr>
        <w:t>Our findings confirm</w:t>
      </w:r>
      <w:r w:rsidR="008B0AB6" w:rsidRPr="00FE03B8">
        <w:rPr>
          <w:rFonts w:eastAsia="PMingLiU"/>
        </w:rPr>
        <w:t xml:space="preserve"> the importance of the technology and energy sectors for cryptocurrencies. Both these industries produce inputs for the development of cryptocurrencies. </w:t>
      </w:r>
      <w:r w:rsidR="000972E2" w:rsidRPr="00FE03B8">
        <w:rPr>
          <w:rFonts w:eastAsia="PMingLiU"/>
        </w:rPr>
        <w:t>We show that</w:t>
      </w:r>
      <w:r w:rsidR="008B0AB6" w:rsidRPr="00FE03B8">
        <w:rPr>
          <w:rFonts w:eastAsia="PMingLiU"/>
        </w:rPr>
        <w:t xml:space="preserve"> if they display a positive sensi</w:t>
      </w:r>
      <w:r w:rsidR="000972E2" w:rsidRPr="00FE03B8">
        <w:rPr>
          <w:rFonts w:eastAsia="PMingLiU"/>
        </w:rPr>
        <w:t xml:space="preserve">tivity to </w:t>
      </w:r>
      <w:r w:rsidR="00C41D08">
        <w:rPr>
          <w:rFonts w:eastAsia="PMingLiU"/>
        </w:rPr>
        <w:t>S</w:t>
      </w:r>
      <w:r w:rsidR="00C41D08" w:rsidRPr="00FE03B8">
        <w:rPr>
          <w:rFonts w:eastAsia="PMingLiU"/>
        </w:rPr>
        <w:t>entiment</w:t>
      </w:r>
      <w:r w:rsidR="000972E2" w:rsidRPr="00FE03B8">
        <w:rPr>
          <w:rFonts w:eastAsia="PMingLiU"/>
        </w:rPr>
        <w:t xml:space="preserve">, </w:t>
      </w:r>
      <w:r w:rsidR="002C6FCD" w:rsidRPr="00FE03B8">
        <w:rPr>
          <w:rFonts w:eastAsia="PMingLiU"/>
        </w:rPr>
        <w:t xml:space="preserve">we can observe </w:t>
      </w:r>
      <w:r w:rsidR="00F94A42" w:rsidRPr="00FE03B8">
        <w:rPr>
          <w:rFonts w:eastAsia="PMingLiU"/>
        </w:rPr>
        <w:t xml:space="preserve">a positive </w:t>
      </w:r>
      <w:r w:rsidR="008B0AB6" w:rsidRPr="00FE03B8">
        <w:rPr>
          <w:rFonts w:eastAsia="PMingLiU"/>
        </w:rPr>
        <w:t xml:space="preserve">effect </w:t>
      </w:r>
      <w:r w:rsidR="002C6FCD" w:rsidRPr="00FE03B8">
        <w:rPr>
          <w:rFonts w:eastAsia="PMingLiU"/>
        </w:rPr>
        <w:t xml:space="preserve">on </w:t>
      </w:r>
      <w:r w:rsidR="008B0AB6" w:rsidRPr="00FE03B8">
        <w:rPr>
          <w:rFonts w:eastAsia="PMingLiU"/>
        </w:rPr>
        <w:t xml:space="preserve">Bitcoin returns </w:t>
      </w:r>
      <w:r w:rsidR="00F94A42" w:rsidRPr="00FE03B8">
        <w:rPr>
          <w:rFonts w:eastAsia="PMingLiU"/>
        </w:rPr>
        <w:t xml:space="preserve">mediated </w:t>
      </w:r>
      <w:r w:rsidR="008B0AB6" w:rsidRPr="00FE03B8">
        <w:rPr>
          <w:rFonts w:eastAsia="PMingLiU"/>
        </w:rPr>
        <w:t xml:space="preserve">through </w:t>
      </w:r>
      <w:r w:rsidR="00C41D08">
        <w:rPr>
          <w:rFonts w:eastAsia="PMingLiU"/>
        </w:rPr>
        <w:t>S</w:t>
      </w:r>
      <w:r w:rsidR="00C41D08" w:rsidRPr="00FE03B8">
        <w:rPr>
          <w:rFonts w:eastAsia="PMingLiU"/>
        </w:rPr>
        <w:t>entiment</w:t>
      </w:r>
      <w:r w:rsidR="008B0AB6" w:rsidRPr="00FE03B8">
        <w:rPr>
          <w:rFonts w:eastAsia="PMingLiU"/>
        </w:rPr>
        <w:t xml:space="preserve">. </w:t>
      </w:r>
    </w:p>
    <w:p w14:paraId="15ED06DE" w14:textId="3FC6749D" w:rsidR="00C0386D" w:rsidRPr="00FE03B8" w:rsidRDefault="00C0386D" w:rsidP="003D6062">
      <w:pPr>
        <w:ind w:firstLine="426"/>
        <w:contextualSpacing/>
        <w:rPr>
          <w:bCs/>
        </w:rPr>
      </w:pPr>
      <w:r w:rsidRPr="00FE03B8">
        <w:rPr>
          <w:bCs/>
        </w:rPr>
        <w:t xml:space="preserve">Since the introduction of Bitcoin, scholars have paid increasing attention to its price and return </w:t>
      </w:r>
      <w:proofErr w:type="spellStart"/>
      <w:r w:rsidRPr="00736486">
        <w:rPr>
          <w:bCs/>
        </w:rPr>
        <w:t>behavior</w:t>
      </w:r>
      <w:proofErr w:type="spellEnd"/>
      <w:r w:rsidRPr="00736486">
        <w:rPr>
          <w:bCs/>
        </w:rPr>
        <w:t xml:space="preserve"> </w:t>
      </w:r>
      <w:r w:rsidRPr="00736486">
        <w:rPr>
          <w:bCs/>
        </w:rPr>
        <w:fldChar w:fldCharType="begin">
          <w:fldData xml:space="preserve">PEVuZE5vdGU+PENpdGU+PEF1dGhvcj5Db3JiZXQ8L0F1dGhvcj48WWVhcj4yMDE5PC9ZZWFyPjxJ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</w:fldData>
        </w:fldChar>
      </w:r>
      <w:r w:rsidRPr="00736486">
        <w:rPr>
          <w:bCs/>
        </w:rPr>
        <w:instrText xml:space="preserve"> ADDIN EN.CITE </w:instrText>
      </w:r>
      <w:r w:rsidRPr="00736486">
        <w:rPr>
          <w:bCs/>
        </w:rPr>
        <w:fldChar w:fldCharType="begin">
          <w:fldData xml:space="preserve">PEVuZE5vdGU+PENpdGU+PEF1dGhvcj5Db3JiZXQ8L0F1dGhvcj48WWVhcj4yMDE5PC9ZZWFyPjxJ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</w:fldData>
        </w:fldChar>
      </w:r>
      <w:r w:rsidRPr="00736486">
        <w:rPr>
          <w:bCs/>
        </w:rPr>
        <w:instrText xml:space="preserve"> ADDIN EN.CITE.DATA </w:instrText>
      </w:r>
      <w:r w:rsidRPr="00736486">
        <w:rPr>
          <w:bCs/>
        </w:rPr>
      </w:r>
      <w:r w:rsidRPr="00736486">
        <w:rPr>
          <w:bCs/>
        </w:rPr>
        <w:fldChar w:fldCharType="end"/>
      </w:r>
      <w:r w:rsidRPr="00736486">
        <w:rPr>
          <w:bCs/>
        </w:rPr>
      </w:r>
      <w:r w:rsidRPr="00736486">
        <w:rPr>
          <w:bCs/>
        </w:rPr>
        <w:fldChar w:fldCharType="separate"/>
      </w:r>
      <w:r w:rsidRPr="00736486">
        <w:rPr>
          <w:bCs/>
          <w:noProof/>
        </w:rPr>
        <w:t xml:space="preserve">(Bariviera, 2017; Blau, 2017; Chu et al., 2020; Corbet et al., 2019; Gerritsen et al., 2020; Jain et al., 2019; Nadarajah </w:t>
      </w:r>
      <w:r w:rsidR="004844EE">
        <w:rPr>
          <w:bCs/>
          <w:noProof/>
        </w:rPr>
        <w:t>and</w:t>
      </w:r>
      <w:r w:rsidRPr="00736486">
        <w:rPr>
          <w:bCs/>
          <w:noProof/>
        </w:rPr>
        <w:t xml:space="preserve"> Chu, 2017; Urquhart, 2016; Zargar </w:t>
      </w:r>
      <w:r w:rsidR="004844EE">
        <w:rPr>
          <w:bCs/>
          <w:noProof/>
        </w:rPr>
        <w:t>and</w:t>
      </w:r>
      <w:r w:rsidRPr="00736486">
        <w:rPr>
          <w:bCs/>
          <w:noProof/>
        </w:rPr>
        <w:t xml:space="preserve"> Kumar, 2019)</w:t>
      </w:r>
      <w:r w:rsidRPr="00736486">
        <w:rPr>
          <w:bCs/>
        </w:rPr>
        <w:fldChar w:fldCharType="end"/>
      </w:r>
      <w:r w:rsidRPr="00736486">
        <w:rPr>
          <w:bCs/>
        </w:rPr>
        <w:t>. However, it remains</w:t>
      </w:r>
      <w:r w:rsidRPr="00FE03B8">
        <w:rPr>
          <w:bCs/>
        </w:rPr>
        <w:t xml:space="preserve"> unclear how the value of Bitcoin should be determined. </w:t>
      </w:r>
      <w:r w:rsidRPr="00736486">
        <w:rPr>
          <w:bCs/>
        </w:rPr>
        <w:t xml:space="preserve">Theoretically, </w:t>
      </w:r>
      <w:r w:rsidRPr="00736486">
        <w:rPr>
          <w:bCs/>
          <w:noProof/>
        </w:rPr>
        <w:t>Pagnotta and Buraschi</w:t>
      </w:r>
      <w:r w:rsidRPr="00736486">
        <w:rPr>
          <w:bCs/>
        </w:rPr>
        <w:t xml:space="preserve"> </w:t>
      </w:r>
      <w:r w:rsidRPr="00736486">
        <w:rPr>
          <w:bCs/>
        </w:rPr>
        <w:fldChar w:fldCharType="begin"/>
      </w:r>
      <w:r w:rsidRPr="00736486">
        <w:rPr>
          <w:bCs/>
        </w:rPr>
        <w:instrText xml:space="preserve"> ADDIN EN.CITE &lt;EndNote&gt;&lt;Cite ExcludeAuth="1"&gt;&lt;Author&gt;Pagnotta&lt;/Author&gt;&lt;Year&gt;2018&lt;/Year&gt;&lt;IDText&gt;An equilibrium valuation of bitcoin and decentralized network assets&lt;/IDText&gt;&lt;DisplayText&gt;(2018)&lt;/DisplayText&gt;&lt;record&gt;&lt;titles&gt;&lt;title&gt;An equilibrium valuation of bitcoin and decentralized network assets&lt;/title&gt;&lt;secondary-title&gt;Available at SSRN 3142022&lt;/secondary-title&gt;&lt;/titles&gt;&lt;contributors&gt;&lt;authors&gt;&lt;author&gt;Pagnotta, Emiliano&lt;/author&gt;&lt;author&gt;Buraschi, Andrea&lt;/author&gt;&lt;/authors&gt;&lt;/contributors&gt;&lt;added-date format="utc"&gt;1608597712&lt;/added-date&gt;&lt;ref-type name="Journal Article"&gt;17&lt;/ref-type&gt;&lt;dates&gt;&lt;year&gt;2018&lt;/year&gt;&lt;/dates&gt;&lt;rec-number&gt;233&lt;/rec-number&gt;&lt;last-updated-date format="utc"&gt;1608597712&lt;/last-updated-date&gt;&lt;/record&gt;&lt;/Cite&gt;&lt;/EndNote&gt;</w:instrText>
      </w:r>
      <w:r w:rsidRPr="00736486">
        <w:rPr>
          <w:bCs/>
        </w:rPr>
        <w:fldChar w:fldCharType="separate"/>
      </w:r>
      <w:r w:rsidRPr="00736486">
        <w:rPr>
          <w:bCs/>
          <w:noProof/>
        </w:rPr>
        <w:t>(2018)</w:t>
      </w:r>
      <w:r w:rsidRPr="00736486">
        <w:rPr>
          <w:bCs/>
        </w:rPr>
        <w:fldChar w:fldCharType="end"/>
      </w:r>
      <w:r w:rsidRPr="00736486">
        <w:rPr>
          <w:bCs/>
        </w:rPr>
        <w:t xml:space="preserve"> and </w:t>
      </w:r>
      <w:r w:rsidRPr="00736486">
        <w:rPr>
          <w:bCs/>
          <w:noProof/>
        </w:rPr>
        <w:t xml:space="preserve">Biais et al. </w:t>
      </w:r>
      <w:r w:rsidRPr="00736486">
        <w:rPr>
          <w:bCs/>
        </w:rPr>
        <w:fldChar w:fldCharType="begin"/>
      </w:r>
      <w:r w:rsidRPr="00736486">
        <w:rPr>
          <w:bCs/>
        </w:rPr>
        <w:instrText xml:space="preserve"> ADDIN EN.CITE &lt;EndNote&gt;&lt;Cite ExcludeAuth="1"&gt;&lt;Author&gt;Biais&lt;/Author&gt;&lt;Year&gt;2020&lt;/Year&gt;&lt;IDText&gt;Equilibrium bitcoin pricing&lt;/IDText&gt;&lt;DisplayText&gt;(2020)&lt;/DisplayText&gt;&lt;record&gt;&lt;titles&gt;&lt;title&gt;Equilibrium bitcoin pricing&lt;/title&gt;&lt;secondary-title&gt;Available at SSRN 3261063&lt;/secondary-title&gt;&lt;/titles&gt;&lt;contributors&gt;&lt;authors&gt;&lt;author&gt;Biais, Bruno&lt;/author&gt;&lt;author&gt;Bisiere, Christophe&lt;/author&gt;&lt;author&gt;Bouvard, Matthieu&lt;/author&gt;&lt;author&gt;Casamatta, Catherine&lt;/author&gt;&lt;author&gt;Menkveld, Albert J.&lt;/author&gt;&lt;/authors&gt;&lt;/contributors&gt;&lt;added-date format="utc"&gt;1608597850&lt;/added-date&gt;&lt;ref-type name="Journal Article"&gt;17&lt;/ref-type&gt;&lt;dates&gt;&lt;year&gt;2020&lt;/year&gt;&lt;/dates&gt;&lt;rec-number&gt;234&lt;/rec-number&gt;&lt;last-updated-date format="utc"&gt;1608597850&lt;/last-updated-date&gt;&lt;/record&gt;&lt;/Cite&gt;&lt;/EndNote&gt;</w:instrText>
      </w:r>
      <w:r w:rsidRPr="00736486">
        <w:rPr>
          <w:bCs/>
        </w:rPr>
        <w:fldChar w:fldCharType="separate"/>
      </w:r>
      <w:r w:rsidRPr="00736486">
        <w:rPr>
          <w:bCs/>
          <w:noProof/>
        </w:rPr>
        <w:t>(2020)</w:t>
      </w:r>
      <w:r w:rsidRPr="00736486">
        <w:rPr>
          <w:bCs/>
        </w:rPr>
        <w:fldChar w:fldCharType="end"/>
      </w:r>
      <w:r w:rsidRPr="00736486">
        <w:rPr>
          <w:bCs/>
        </w:rPr>
        <w:t xml:space="preserve"> provide</w:t>
      </w:r>
      <w:r w:rsidRPr="00FE03B8">
        <w:rPr>
          <w:bCs/>
        </w:rPr>
        <w:t xml:space="preserve"> models that explain Bitcoin value from </w:t>
      </w:r>
      <w:r w:rsidR="003D6062" w:rsidRPr="00FE03B8">
        <w:rPr>
          <w:bCs/>
        </w:rPr>
        <w:t>the</w:t>
      </w:r>
      <w:r w:rsidRPr="00FE03B8">
        <w:rPr>
          <w:bCs/>
        </w:rPr>
        <w:t xml:space="preserve"> standpoint of its network effect. On the other hand, </w:t>
      </w:r>
      <w:r w:rsidRPr="00736486">
        <w:rPr>
          <w:bCs/>
          <w:noProof/>
        </w:rPr>
        <w:t>Cong and He</w:t>
      </w:r>
      <w:r w:rsidRPr="00736486">
        <w:rPr>
          <w:bCs/>
        </w:rPr>
        <w:t xml:space="preserve"> </w:t>
      </w:r>
      <w:r w:rsidRPr="00736486">
        <w:rPr>
          <w:bCs/>
        </w:rPr>
        <w:fldChar w:fldCharType="begin"/>
      </w:r>
      <w:r w:rsidRPr="00736486">
        <w:rPr>
          <w:bCs/>
        </w:rPr>
        <w:instrText xml:space="preserve"> ADDIN EN.CITE &lt;EndNote&gt;&lt;Cite ExcludeAuth="1"&gt;&lt;Author&gt;Cong&lt;/Author&gt;&lt;Year&gt;2019&lt;/Year&gt;&lt;IDText&gt;Blockchain Disruption and Smart Contracts&lt;/IDText&gt;&lt;DisplayText&gt;(2019)&lt;/DisplayText&gt;&lt;record&gt;&lt;urls&gt;&lt;related-urls&gt;&lt;url&gt;https://doi.org/10.1093/rfs/hhz007&lt;/url&gt;&lt;/related-urls&gt;&lt;/urls&gt;&lt;isbn&gt;0893-9454&lt;/isbn&gt;&lt;titles&gt;&lt;title&gt;Blockchain Disruption and Smart Contracts&lt;/title&gt;&lt;secondary-title&gt;The Review of Financial Studies&lt;/secondary-title&gt;&lt;/titles&gt;&lt;pages&gt;1754-1797&lt;/pages&gt;&lt;number&gt;5&lt;/number&gt;&lt;access-date&gt;12/22/2020&lt;/access-date&gt;&lt;contributors&gt;&lt;authors&gt;&lt;author&gt;Cong, Lin William&lt;/author&gt;&lt;author&gt;He, Zhiguo&lt;/author&gt;&lt;/authors&gt;&lt;/contributors&gt;&lt;added-date format="utc"&gt;1608598004&lt;/added-date&gt;&lt;ref-type name="Journal Article"&gt;17&lt;/ref-type&gt;&lt;dates&gt;&lt;year&gt;2019&lt;/year&gt;&lt;/dates&gt;&lt;rec-number&gt;235&lt;/rec-number&gt;&lt;last-updated-date format="utc"&gt;1608598004&lt;/last-updated-date&gt;&lt;electronic-resource-num&gt;10.1093/rfs/hhz007&lt;/electronic-resource-num&gt;&lt;volume&gt;32&lt;/volume&gt;&lt;/record&gt;&lt;/Cite&gt;&lt;/EndNote&gt;</w:instrText>
      </w:r>
      <w:r w:rsidRPr="00736486">
        <w:rPr>
          <w:bCs/>
        </w:rPr>
        <w:fldChar w:fldCharType="separate"/>
      </w:r>
      <w:r w:rsidRPr="00736486">
        <w:rPr>
          <w:bCs/>
          <w:noProof/>
        </w:rPr>
        <w:t>(2019)</w:t>
      </w:r>
      <w:r w:rsidRPr="00736486">
        <w:rPr>
          <w:bCs/>
        </w:rPr>
        <w:fldChar w:fldCharType="end"/>
      </w:r>
      <w:r w:rsidRPr="00736486">
        <w:rPr>
          <w:bCs/>
        </w:rPr>
        <w:t xml:space="preserve"> and </w:t>
      </w:r>
      <w:r w:rsidRPr="00736486">
        <w:rPr>
          <w:bCs/>
          <w:noProof/>
        </w:rPr>
        <w:t>Sockin and Xiong</w:t>
      </w:r>
      <w:r w:rsidRPr="00736486">
        <w:rPr>
          <w:bCs/>
        </w:rPr>
        <w:t xml:space="preserve"> </w:t>
      </w:r>
      <w:r w:rsidRPr="00736486">
        <w:rPr>
          <w:bCs/>
        </w:rPr>
        <w:fldChar w:fldCharType="begin"/>
      </w:r>
      <w:r w:rsidRPr="00736486">
        <w:rPr>
          <w:bCs/>
        </w:rPr>
        <w:instrText xml:space="preserve"> ADDIN EN.CITE &lt;EndNote&gt;&lt;Cite ExcludeAuth="1"&gt;&lt;Author&gt;Sockin&lt;/Author&gt;&lt;Year&gt;2020&lt;/Year&gt;&lt;IDText&gt;A model of cryptocurrencies&lt;/IDText&gt;&lt;DisplayText&gt;(2020)&lt;/DisplayText&gt;&lt;record&gt;&lt;isbn&gt;0898-2937&lt;/isbn&gt;&lt;titles&gt;&lt;title&gt;A model of cryptocurrencies&lt;/title&gt;&lt;/titles&gt;&lt;contributors&gt;&lt;authors&gt;&lt;author&gt;Sockin, Michael&lt;/author&gt;&lt;author&gt;Xiong, Wei&lt;/author&gt;&lt;/authors&gt;&lt;/contributors&gt;&lt;added-date format="utc"&gt;1608598211&lt;/added-date&gt;&lt;ref-type name="Report"&gt;27&lt;/ref-type&gt;&lt;dates&gt;&lt;year&gt;2020&lt;/year&gt;&lt;/dates&gt;&lt;rec-number&gt;236&lt;/rec-number&gt;&lt;publisher&gt;National Bureau of Economic Research&lt;/publisher&gt;&lt;last-updated-date format="utc"&gt;1608598211&lt;/last-updated-date&gt;&lt;/record&gt;&lt;/Cite&gt;&lt;/EndNote&gt;</w:instrText>
      </w:r>
      <w:r w:rsidRPr="00736486">
        <w:rPr>
          <w:bCs/>
        </w:rPr>
        <w:fldChar w:fldCharType="separate"/>
      </w:r>
      <w:r w:rsidRPr="00736486">
        <w:rPr>
          <w:bCs/>
          <w:noProof/>
        </w:rPr>
        <w:t>(2020)</w:t>
      </w:r>
      <w:r w:rsidRPr="00736486">
        <w:rPr>
          <w:bCs/>
        </w:rPr>
        <w:fldChar w:fldCharType="end"/>
      </w:r>
      <w:r w:rsidRPr="00FE03B8">
        <w:rPr>
          <w:bCs/>
        </w:rPr>
        <w:t xml:space="preserve"> model </w:t>
      </w:r>
      <w:r w:rsidR="003D6062" w:rsidRPr="00FE03B8">
        <w:rPr>
          <w:bCs/>
        </w:rPr>
        <w:t>cryptocurrencies' value</w:t>
      </w:r>
      <w:r w:rsidRPr="00FE03B8">
        <w:rPr>
          <w:bCs/>
        </w:rPr>
        <w:t xml:space="preserve"> based on their production costs. Empirically, </w:t>
      </w:r>
      <w:r w:rsidRPr="00736486">
        <w:rPr>
          <w:bCs/>
          <w:noProof/>
          <w:lang w:eastAsia="zh-TW"/>
        </w:rPr>
        <w:t xml:space="preserve">Wang et al. </w:t>
      </w:r>
      <w:r w:rsidRPr="00736486">
        <w:rPr>
          <w:bCs/>
          <w:lang w:eastAsia="zh-CN"/>
        </w:rPr>
        <w:fldChar w:fldCharType="begin"/>
      </w:r>
      <w:r w:rsidRPr="00736486">
        <w:rPr>
          <w:bCs/>
          <w:lang w:eastAsia="zh-TW"/>
        </w:rPr>
        <w:instrText xml:space="preserve"> ADDIN EN.CITE &lt;EndNote&gt;&lt;Cite ExcludeAuth="1"&gt;&lt;Author&gt;Wang&lt;/Author&gt;&lt;Year&gt;2019&lt;/Year&gt;&lt;IDText&gt;When Bitcoin meets economic policy uncertainty (EPU): Me</w:instrText>
      </w:r>
      <w:r w:rsidRPr="00736486">
        <w:rPr>
          <w:bCs/>
          <w:lang w:eastAsia="zh-CN"/>
        </w:rPr>
        <w:instrText>asuring risk spillover effect from EPU to Bitcoin&lt;/IDText&gt;&lt;DisplayText&gt;(2019)&lt;/DisplayText&gt;&lt;record&gt;&lt;dates&gt;&lt;pub-dates&gt;&lt;date&gt;2019/12/01/&lt;/date&gt;&lt;/pub-dates&gt;&lt;year&gt;2019&lt;/year&gt;&lt;/dates&gt;&lt;keywords&gt;&lt;keyword&gt;Bitcoin&lt;/keyword&gt;&lt;keyword&gt;Economic policy uncertainty&lt;/keyword&gt;&lt;keyword&gt;Risk spillover effect&lt;/keyword&gt;&lt;keyword&gt;Multivariate quantile model&lt;/keyword&gt;&lt;keyword&gt;Granger causality risk test&lt;/keyword&gt;&lt;/keywords&gt;&lt;urls&gt;&lt;related-urls&gt;&lt;url&gt;http://www.sciencedirect.com/science/article/pii/S1544612318305749&lt;/url&gt;&lt;/related-urls&gt;&lt;/urls&gt;&lt;isbn&gt;1544-6123&lt;/isbn&gt;&lt;titles&gt;&lt;title&gt;When Bitcoin meets economic policy uncertainty (EPU): Measuring risk spillover effect from EPU to Bitcoin&lt;/title&gt;&lt;secondary-title&gt;Finance Research Letters&lt;/secondary-title&gt;&lt;/titles&gt;&lt;contributors&gt;&lt;authors&gt;&lt;author&gt;Wang, Gang-Jin&lt;/author&gt;&lt;author&gt;Xie, Chi&lt;/author&gt;&lt;author&gt;Wen, Danyan&lt;/author&gt;&lt;author&gt;Zhao, Longfeng&lt;/author&gt;&lt;/authors&gt;&lt;/contributors&gt;&lt;added-date format="utc"&gt;1608353145&lt;/added-date&gt;&lt;ref-type name="Journal Article"&gt;17&lt;/ref-type&gt;&lt;rec-number&gt;207&lt;/rec-number&gt;&lt;last-updated-date format="utc"&gt;1608353145&lt;/last-updated-date&gt;&lt;electronic-resource-num&gt;https://doi.org/10.1016/j.frl.2018.12.028&lt;/electronic-resource-num&gt;&lt;volume&gt;31&lt;/volume&gt;&lt;/record&gt;&lt;/Cite&gt;&lt;/EndNote&gt;</w:instrText>
      </w:r>
      <w:r w:rsidRPr="00736486">
        <w:rPr>
          <w:bCs/>
          <w:lang w:eastAsia="zh-CN"/>
        </w:rPr>
        <w:fldChar w:fldCharType="separate"/>
      </w:r>
      <w:r w:rsidRPr="00736486">
        <w:rPr>
          <w:bCs/>
          <w:noProof/>
          <w:lang w:eastAsia="zh-CN"/>
        </w:rPr>
        <w:t>(2019)</w:t>
      </w:r>
      <w:r w:rsidRPr="00736486">
        <w:rPr>
          <w:bCs/>
          <w:lang w:eastAsia="zh-CN"/>
        </w:rPr>
        <w:fldChar w:fldCharType="end"/>
      </w:r>
      <w:r w:rsidRPr="00FE03B8">
        <w:rPr>
          <w:bCs/>
          <w:lang w:eastAsia="zh-CN"/>
        </w:rPr>
        <w:t xml:space="preserve"> </w:t>
      </w:r>
      <w:r w:rsidRPr="00FE03B8">
        <w:rPr>
          <w:bCs/>
          <w:noProof/>
          <w:lang w:eastAsia="zh-CN"/>
        </w:rPr>
        <w:t>look into the spillover effects between Bitcoin and economic policy uncertainty indicators</w:t>
      </w:r>
      <w:r w:rsidR="00233A2E">
        <w:rPr>
          <w:bCs/>
          <w:noProof/>
          <w:lang w:eastAsia="zh-CN"/>
        </w:rPr>
        <w:t>,</w:t>
      </w:r>
      <w:r w:rsidR="002C6FCD" w:rsidRPr="00FE03B8">
        <w:rPr>
          <w:bCs/>
          <w:noProof/>
          <w:lang w:eastAsia="zh-CN"/>
        </w:rPr>
        <w:t xml:space="preserve"> while</w:t>
      </w:r>
      <w:r w:rsidRPr="00FE03B8">
        <w:rPr>
          <w:bCs/>
          <w:noProof/>
          <w:lang w:eastAsia="zh-CN"/>
        </w:rPr>
        <w:t xml:space="preserve"> </w:t>
      </w:r>
      <w:r w:rsidRPr="00736486">
        <w:rPr>
          <w:bCs/>
          <w:noProof/>
          <w:lang w:eastAsia="zh-CN"/>
        </w:rPr>
        <w:t xml:space="preserve">Gillaizeau et al. </w:t>
      </w:r>
      <w:r w:rsidRPr="00736486">
        <w:rPr>
          <w:bCs/>
          <w:noProof/>
          <w:lang w:eastAsia="zh-CN"/>
        </w:rPr>
        <w:fldChar w:fldCharType="begin"/>
      </w:r>
      <w:r w:rsidRPr="00736486">
        <w:rPr>
          <w:bCs/>
          <w:noProof/>
          <w:lang w:eastAsia="zh-CN"/>
        </w:rPr>
        <w:instrText xml:space="preserve"> ADDIN EN.CITE &lt;EndNote&gt;&lt;Cite ExcludeAuth="1"&gt;&lt;Author&gt;Gillaizeau&lt;/Author&gt;&lt;Year&gt;2019&lt;/Year&gt;&lt;IDText&gt;Giver and the receiver: Understanding spillover effects and predictive power in cross-market Bitcoin prices&lt;/IDText&gt;&lt;DisplayText&gt;(2019)&lt;/DisplayText&gt;&lt;record&gt;&lt;dates&gt;&lt;pub-dates&gt;&lt;date&gt;2019/05/01/&lt;/date&gt;&lt;/pub-dates&gt;&lt;year&gt;2019&lt;/year&gt;&lt;/dates&gt;&lt;keywords&gt;&lt;keyword&gt;Cross-market Bitcoin prices&lt;/keyword&gt;&lt;keyword&gt;Return and volatility spillovers&lt;/keyword&gt;&lt;keyword&gt;Uncertainty&lt;/keyword&gt;&lt;keyword&gt;Inefficiency&lt;/keyword&gt;&lt;keyword&gt;Prediction&lt;/keyword&gt;&lt;/keywords&gt;&lt;urls&gt;&lt;related-urls&gt;&lt;url&gt;http://www.sciencedirect.com/science/article/pii/S1057521918308032&lt;/url&gt;&lt;/related-urls&gt;&lt;/urls&gt;&lt;isbn&gt;1057-5219&lt;/isbn&gt;&lt;titles&gt;&lt;title&gt;Giver and the receiver: Understanding spillover effects and predictive power in cross-market Bitcoin prices&lt;/title&gt;&lt;secondary-title&gt;International Review of Financial Analysis&lt;/secondary-title&gt;&lt;/titles&gt;&lt;pages&gt;86-104&lt;/pages&gt;&lt;contributors&gt;&lt;authors&gt;&lt;author&gt;Gillaizeau, Marc&lt;/author&gt;&lt;author&gt;Jayasekera, Ranadeva&lt;/author&gt;&lt;author&gt;Maaitah, Ahmad&lt;/author&gt;&lt;author&gt;Mishra, Tapas&lt;/author&gt;&lt;author&gt;Parhi, Mamata&lt;/author&gt;&lt;author&gt;Volokitina, Evgeniia&lt;/author&gt;&lt;/authors&gt;&lt;/contributors&gt;&lt;added-date format="utc"&gt;1608354993&lt;/added-date&gt;&lt;ref-type name="Journal Article"&gt;17&lt;/ref-type&gt;&lt;rec-number&gt;210&lt;/rec-number&gt;&lt;last-updated-date format="utc"&gt;1608354993&lt;/last-updated-date&gt;&lt;electronic-resource-num&gt;https://doi.org/10.1016/j.irfa.2019.03.005&lt;/electronic-resource-num&gt;&lt;volume&gt;63&lt;/volume&gt;&lt;/record&gt;&lt;/Cite&gt;&lt;/EndNote&gt;</w:instrText>
      </w:r>
      <w:r w:rsidRPr="00736486">
        <w:rPr>
          <w:bCs/>
          <w:noProof/>
          <w:lang w:eastAsia="zh-CN"/>
        </w:rPr>
        <w:fldChar w:fldCharType="separate"/>
      </w:r>
      <w:r w:rsidRPr="00736486">
        <w:rPr>
          <w:bCs/>
          <w:noProof/>
          <w:lang w:eastAsia="zh-CN"/>
        </w:rPr>
        <w:t>(2019)</w:t>
      </w:r>
      <w:r w:rsidRPr="00736486">
        <w:rPr>
          <w:bCs/>
          <w:noProof/>
          <w:lang w:eastAsia="zh-CN"/>
        </w:rPr>
        <w:fldChar w:fldCharType="end"/>
      </w:r>
      <w:r w:rsidRPr="00FE03B8">
        <w:rPr>
          <w:bCs/>
          <w:noProof/>
          <w:lang w:eastAsia="zh-CN"/>
        </w:rPr>
        <w:t xml:space="preserve"> study the spillover effects between Bitcoin markets clarified by the </w:t>
      </w:r>
      <w:r w:rsidR="000B563D">
        <w:rPr>
          <w:bCs/>
          <w:noProof/>
          <w:lang w:eastAsia="zh-CN"/>
        </w:rPr>
        <w:t xml:space="preserve">fiat </w:t>
      </w:r>
      <w:r w:rsidRPr="00FE03B8">
        <w:rPr>
          <w:bCs/>
          <w:noProof/>
          <w:lang w:eastAsia="zh-CN"/>
        </w:rPr>
        <w:t>currency against which Bitcoin is traded.</w:t>
      </w:r>
      <w:r w:rsidRPr="00FE03B8">
        <w:rPr>
          <w:bCs/>
          <w:lang w:eastAsia="zh-CN"/>
        </w:rPr>
        <w:t xml:space="preserve"> </w:t>
      </w:r>
      <w:r w:rsidRPr="00121FC2">
        <w:rPr>
          <w:bCs/>
          <w:noProof/>
          <w:lang w:eastAsia="zh-CN"/>
        </w:rPr>
        <w:t xml:space="preserve">Gkillas et al. </w:t>
      </w:r>
      <w:r w:rsidRPr="00121FC2">
        <w:rPr>
          <w:bCs/>
          <w:lang w:eastAsia="zh-CN"/>
        </w:rPr>
        <w:fldChar w:fldCharType="begin"/>
      </w:r>
      <w:r w:rsidRPr="00121FC2">
        <w:rPr>
          <w:bCs/>
          <w:lang w:eastAsia="zh-CN"/>
        </w:rPr>
        <w:instrText xml:space="preserve"> ADDIN EN.CITE &lt;EndNote&gt;&lt;Cite ExcludeAuth="1"&gt;&lt;Author&gt;Gkillas&lt;/Author&gt;&lt;Year&gt;2020&lt;/Year&gt;&lt;IDText&gt;Spillovers in Higher-Order Moments of Crude Oil, Gold, and Bitcoin&lt;/IDText&gt;&lt;DisplayText&gt;(2020)&lt;/DisplayText&gt;&lt;record&gt;&lt;dates&gt;&lt;pub-dates&gt;&lt;date&gt;2020/09/05/&lt;/date&gt;&lt;/pub-dates&gt;&lt;year&gt;2020&lt;/year&gt;&lt;/dates&gt;&lt;keywords&gt;&lt;keyword&gt;crude oil&lt;/keyword&gt;&lt;keyword&gt;gold&lt;/keyword&gt;&lt;keyword&gt;Bitcoin&lt;/keyword&gt;&lt;keyword&gt;realized moments&lt;/keyword&gt;&lt;keyword&gt;spillover effect&lt;/keyword&gt;&lt;/keywords&gt;&lt;urls&gt;&lt;related-urls&gt;&lt;url&gt;http://www.sciencedirect.com/science/article/pii/S1062976920301095&lt;/url&gt;&lt;/related-urls&gt;&lt;/urls&gt;&lt;isbn&gt;1062-9769&lt;/isbn&gt;&lt;titles&gt;&lt;title&gt;Spillovers in Higher-Order Moments of Crude Oil, Gold, and Bitcoin&lt;/title&gt;&lt;secondary-title&gt;The Quarterly Review of Economics and Finance&lt;/secondary-title&gt;&lt;/titles&gt;&lt;contributors&gt;&lt;authors&gt;&lt;author&gt;Gkillas, Konstantinos&lt;/author&gt;&lt;author&gt;Bouri, Elie&lt;/author&gt;&lt;author&gt;Gupta, Rangan&lt;/author&gt;&lt;author&gt;Roubaud, David&lt;/author&gt;&lt;/authors&gt;&lt;/contributors&gt;&lt;added-date format="utc"&gt;1608354358&lt;/added-date&gt;&lt;ref-type name="Journal Article"&gt;17&lt;/ref-type&gt;&lt;rec-number&gt;209&lt;/rec-number&gt;&lt;last-updated-date format="utc"&gt;1608354358&lt;/last-updated-date&gt;&lt;electronic-resource-num&gt;https://doi.org/10.1016/j.qref.2020.08.004&lt;/electronic-resource-num&gt;&lt;/record&gt;&lt;/Cite&gt;&lt;/EndNote&gt;</w:instrText>
      </w:r>
      <w:r w:rsidRPr="00121FC2">
        <w:rPr>
          <w:bCs/>
          <w:lang w:eastAsia="zh-CN"/>
        </w:rPr>
        <w:fldChar w:fldCharType="separate"/>
      </w:r>
      <w:r w:rsidRPr="00121FC2">
        <w:rPr>
          <w:bCs/>
          <w:noProof/>
          <w:lang w:eastAsia="zh-CN"/>
        </w:rPr>
        <w:t>(2020)</w:t>
      </w:r>
      <w:r w:rsidRPr="00121FC2">
        <w:rPr>
          <w:bCs/>
          <w:lang w:eastAsia="zh-CN"/>
        </w:rPr>
        <w:fldChar w:fldCharType="end"/>
      </w:r>
      <w:r w:rsidRPr="00FE03B8">
        <w:rPr>
          <w:bCs/>
          <w:lang w:eastAsia="zh-CN"/>
        </w:rPr>
        <w:t xml:space="preserve"> </w:t>
      </w:r>
      <w:r w:rsidRPr="00FE03B8">
        <w:rPr>
          <w:bCs/>
          <w:noProof/>
          <w:lang w:eastAsia="zh-CN"/>
        </w:rPr>
        <w:t xml:space="preserve">examine the spillover effect between Bitcoin, crude oil, and gold in the higher-order moments. Bouri et al. </w:t>
      </w:r>
      <w:r w:rsidRPr="00FE03B8">
        <w:rPr>
          <w:bCs/>
          <w:noProof/>
          <w:lang w:eastAsia="zh-CN"/>
        </w:rPr>
        <w:fldChar w:fldCharType="begin"/>
      </w:r>
      <w:r w:rsidRPr="00FE03B8">
        <w:rPr>
          <w:bCs/>
          <w:noProof/>
          <w:lang w:eastAsia="zh-CN"/>
        </w:rPr>
        <w:instrText xml:space="preserve"> ADDIN EN.CITE &lt;EndNote&gt;&lt;Cite ExcludeAuth="1"&gt;&lt;Author&gt;Bouri&lt;/Author&gt;&lt;Year&gt;2018&lt;/Year&gt;&lt;IDText&gt;Spillovers between Bitcoin and other assets during bear and bull markets&lt;/IDText&gt;&lt;DisplayText&gt;(2018)&lt;/DisplayText&gt;&lt;record&gt;&lt;dates&gt;&lt;pub-dates&gt;&lt;date&gt;2018/11/26&lt;/date&gt;&lt;/pub-dates&gt;&lt;year&gt;2018&lt;/year&gt;&lt;/dates&gt;&lt;urls&gt;&lt;related-urls&gt;&lt;url&gt;https://doi.org/10.1080/00036846.2018.1488075&lt;/url&gt;&lt;/related-urls&gt;&lt;/urls&gt;&lt;isbn&gt;0003-6846&lt;/isbn&gt;&lt;titles&gt;&lt;title&gt;Spillovers between Bitcoin and other assets during bear and bull markets&lt;/title&gt;&lt;secondary-title&gt;Applied Economics&lt;/secondary-title&gt;&lt;/titles&gt;&lt;pages&gt;5935-5949&lt;/pages&gt;&lt;number&gt;55&lt;/number&gt;&lt;contributors&gt;&lt;authors&gt;&lt;author&gt;Bouri, Elie&lt;/author&gt;&lt;author&gt;Das, Mahamitra&lt;/author&gt;&lt;author&gt;Gupta, Rangan&lt;/author&gt;&lt;author&gt;Roubaud, David&lt;/author&gt;&lt;/authors&gt;&lt;/contributors&gt;&lt;added-date format="utc"&gt;1608595659&lt;/added-date&gt;&lt;ref-type name="Journal Article"&gt;17&lt;/ref-type&gt;&lt;rec-number&gt;231&lt;/rec-number&gt;&lt;publisher&gt;Routledge&lt;/publisher&gt;&lt;last-updated-date format="utc"&gt;1608595659&lt;/last-updated-date&gt;&lt;electronic-resource-num&gt;10.1080/00036846.2018.1488075&lt;/electronic-resource-num&gt;&lt;volume&gt;50&lt;/volume&gt;&lt;/record&gt;&lt;/Cite&gt;&lt;/EndNote&gt;</w:instrText>
      </w:r>
      <w:r w:rsidRPr="00FE03B8">
        <w:rPr>
          <w:bCs/>
          <w:noProof/>
          <w:lang w:eastAsia="zh-CN"/>
        </w:rPr>
        <w:fldChar w:fldCharType="separate"/>
      </w:r>
      <w:r w:rsidRPr="00FE03B8">
        <w:rPr>
          <w:bCs/>
          <w:noProof/>
          <w:lang w:eastAsia="zh-CN"/>
        </w:rPr>
        <w:t>(2018)</w:t>
      </w:r>
      <w:r w:rsidRPr="00FE03B8">
        <w:rPr>
          <w:bCs/>
          <w:noProof/>
          <w:lang w:eastAsia="zh-CN"/>
        </w:rPr>
        <w:fldChar w:fldCharType="end"/>
      </w:r>
      <w:r w:rsidRPr="00FE03B8">
        <w:rPr>
          <w:bCs/>
          <w:noProof/>
          <w:lang w:eastAsia="zh-CN"/>
        </w:rPr>
        <w:t xml:space="preserve"> study the tail risks in cryptocurrencies.</w:t>
      </w:r>
      <w:r w:rsidRPr="00FE03B8">
        <w:rPr>
          <w:bCs/>
        </w:rPr>
        <w:t xml:space="preserve"> Our research contributes to this stream of literature by showing that behavioral factors </w:t>
      </w:r>
      <w:r w:rsidR="003D6062" w:rsidRPr="00FE03B8">
        <w:rPr>
          <w:bCs/>
        </w:rPr>
        <w:t>affect the value of Bitcoin through industries</w:t>
      </w:r>
      <w:r w:rsidRPr="00FE03B8">
        <w:rPr>
          <w:bCs/>
        </w:rPr>
        <w:t xml:space="preserve"> related to its mining costs.</w:t>
      </w:r>
    </w:p>
    <w:p w14:paraId="412D2C7E" w14:textId="323E5C22" w:rsidR="00C0386D" w:rsidRPr="00FE03B8" w:rsidRDefault="00880B96" w:rsidP="00233A2E">
      <w:pPr>
        <w:ind w:firstLine="426"/>
        <w:contextualSpacing/>
        <w:rPr>
          <w:bCs/>
          <w:lang w:eastAsia="zh-TW"/>
        </w:rPr>
      </w:pPr>
      <w:r w:rsidRPr="00880B96">
        <w:rPr>
          <w:bCs/>
        </w:rPr>
        <w:lastRenderedPageBreak/>
        <w:t>Our research also provides practical implications f</w:t>
      </w:r>
      <w:r w:rsidR="00233A2E">
        <w:rPr>
          <w:bCs/>
        </w:rPr>
        <w:t>or</w:t>
      </w:r>
      <w:r w:rsidRPr="00880B96">
        <w:rPr>
          <w:bCs/>
        </w:rPr>
        <w:t xml:space="preserve"> investing in cryptocurrencies. We provide evidence on a hidden relat</w:t>
      </w:r>
      <w:r w:rsidR="00FC5DC9">
        <w:rPr>
          <w:bCs/>
        </w:rPr>
        <w:t>ion between Bitcoin and the indices of</w:t>
      </w:r>
      <w:r w:rsidRPr="00880B96">
        <w:rPr>
          <w:bCs/>
        </w:rPr>
        <w:t xml:space="preserve"> industries related to the Bitcoin mining process</w:t>
      </w:r>
      <w:r w:rsidR="00FC5DC9">
        <w:rPr>
          <w:bCs/>
        </w:rPr>
        <w:t xml:space="preserve"> and operations</w:t>
      </w:r>
      <w:r w:rsidRPr="00880B96">
        <w:rPr>
          <w:bCs/>
        </w:rPr>
        <w:t xml:space="preserve"> through behavioral factors.</w:t>
      </w:r>
    </w:p>
    <w:p w14:paraId="7D10C04D" w14:textId="46BFE285" w:rsidR="00C0386D" w:rsidRPr="00FE03B8" w:rsidRDefault="00C0386D" w:rsidP="00537166">
      <w:pPr>
        <w:ind w:firstLine="426"/>
        <w:contextualSpacing/>
        <w:rPr>
          <w:bCs/>
          <w:lang w:eastAsia="zh-TW"/>
        </w:rPr>
      </w:pPr>
      <w:r w:rsidRPr="00FE03B8">
        <w:rPr>
          <w:bCs/>
        </w:rPr>
        <w:t>The remain</w:t>
      </w:r>
      <w:r w:rsidR="00CC752C" w:rsidRPr="00FE03B8">
        <w:rPr>
          <w:bCs/>
        </w:rPr>
        <w:t>der</w:t>
      </w:r>
      <w:r w:rsidRPr="00FE03B8">
        <w:rPr>
          <w:bCs/>
        </w:rPr>
        <w:t xml:space="preserve"> of this paper is structured as follows. In Section 2</w:t>
      </w:r>
      <w:r w:rsidR="003D6062" w:rsidRPr="00FE03B8">
        <w:rPr>
          <w:bCs/>
        </w:rPr>
        <w:t>,</w:t>
      </w:r>
      <w:r w:rsidRPr="00FE03B8">
        <w:rPr>
          <w:bCs/>
        </w:rPr>
        <w:t xml:space="preserve"> we discuss our data and data sources, in Section 3</w:t>
      </w:r>
      <w:r w:rsidR="003D6062" w:rsidRPr="00FE03B8">
        <w:rPr>
          <w:bCs/>
        </w:rPr>
        <w:t>,</w:t>
      </w:r>
      <w:r w:rsidRPr="00FE03B8">
        <w:rPr>
          <w:bCs/>
        </w:rPr>
        <w:t xml:space="preserve"> we </w:t>
      </w:r>
      <w:r w:rsidR="00CC752C" w:rsidRPr="00FE03B8">
        <w:rPr>
          <w:bCs/>
        </w:rPr>
        <w:t xml:space="preserve">describe </w:t>
      </w:r>
      <w:r w:rsidRPr="00FE03B8">
        <w:rPr>
          <w:bCs/>
        </w:rPr>
        <w:t>our methodology</w:t>
      </w:r>
      <w:r w:rsidR="003D6062" w:rsidRPr="00FE03B8">
        <w:rPr>
          <w:bCs/>
        </w:rPr>
        <w:t>,</w:t>
      </w:r>
      <w:r w:rsidRPr="00FE03B8">
        <w:rPr>
          <w:bCs/>
        </w:rPr>
        <w:t xml:space="preserve"> and in Section 4</w:t>
      </w:r>
      <w:r w:rsidR="003D6062" w:rsidRPr="00FE03B8">
        <w:rPr>
          <w:bCs/>
        </w:rPr>
        <w:t>,</w:t>
      </w:r>
      <w:r w:rsidRPr="00FE03B8">
        <w:rPr>
          <w:bCs/>
        </w:rPr>
        <w:t xml:space="preserve"> we present and discuss our results. Section 5 concludes the paper. </w:t>
      </w:r>
    </w:p>
    <w:p w14:paraId="06AE44B6" w14:textId="77777777" w:rsidR="00916B26" w:rsidRDefault="00916B26" w:rsidP="00916B26">
      <w:pPr>
        <w:pStyle w:val="Heading1"/>
        <w:numPr>
          <w:ilvl w:val="0"/>
          <w:numId w:val="1"/>
        </w:numPr>
      </w:pPr>
      <w:r>
        <w:t>Data and sample selection</w:t>
      </w:r>
    </w:p>
    <w:p w14:paraId="668E9B9C" w14:textId="64695DA1" w:rsidR="00916B26" w:rsidRPr="00FE03B8" w:rsidRDefault="00032D63" w:rsidP="00233A2E">
      <w:pPr>
        <w:ind w:firstLine="426"/>
        <w:rPr>
          <w:rFonts w:eastAsia="PMingLiU"/>
        </w:rPr>
      </w:pPr>
      <w:r w:rsidRPr="00FE03B8">
        <w:rPr>
          <w:rFonts w:eastAsia="PMingLiU"/>
        </w:rPr>
        <w:t>This paper employs</w:t>
      </w:r>
      <w:r w:rsidR="00916B26" w:rsidRPr="00FE03B8">
        <w:rPr>
          <w:rFonts w:eastAsia="PMingLiU"/>
        </w:rPr>
        <w:t xml:space="preserve"> three </w:t>
      </w:r>
      <w:r w:rsidR="003D6062" w:rsidRPr="00FE03B8">
        <w:rPr>
          <w:rFonts w:eastAsia="PMingLiU"/>
        </w:rPr>
        <w:t>data sources</w:t>
      </w:r>
      <w:r w:rsidR="00916B26" w:rsidRPr="00FE03B8">
        <w:rPr>
          <w:rFonts w:eastAsia="PMingLiU"/>
        </w:rPr>
        <w:t xml:space="preserve">: a) Bitcoin </w:t>
      </w:r>
      <w:r w:rsidR="007B6FF4" w:rsidRPr="00FE03B8">
        <w:rPr>
          <w:rFonts w:eastAsia="PMingLiU"/>
        </w:rPr>
        <w:t>data</w:t>
      </w:r>
      <w:r w:rsidR="00916B26" w:rsidRPr="00FE03B8">
        <w:rPr>
          <w:rFonts w:eastAsia="PMingLiU"/>
        </w:rPr>
        <w:t xml:space="preserve">, b) industry stock market indices from Thomson DataStream, and c) Marketpsych indices provided by Thomson Reuters. All our data </w:t>
      </w:r>
      <w:r w:rsidR="00B3426F" w:rsidRPr="00FE03B8">
        <w:rPr>
          <w:rFonts w:eastAsia="PMingLiU"/>
        </w:rPr>
        <w:t xml:space="preserve">are </w:t>
      </w:r>
      <w:r w:rsidR="00916B26" w:rsidRPr="00FE03B8">
        <w:rPr>
          <w:rFonts w:eastAsia="PMingLiU"/>
        </w:rPr>
        <w:t xml:space="preserve">considered </w:t>
      </w:r>
      <w:r w:rsidR="003D6062" w:rsidRPr="00FE03B8">
        <w:rPr>
          <w:rFonts w:eastAsia="PMingLiU"/>
        </w:rPr>
        <w:t>daily</w:t>
      </w:r>
      <w:r w:rsidR="00233A2E">
        <w:rPr>
          <w:rFonts w:eastAsia="PMingLiU"/>
        </w:rPr>
        <w:t>,</w:t>
      </w:r>
      <w:r w:rsidR="00916B26" w:rsidRPr="00FE03B8">
        <w:rPr>
          <w:rFonts w:eastAsia="PMingLiU"/>
        </w:rPr>
        <w:t xml:space="preserve"> and combining </w:t>
      </w:r>
      <w:r w:rsidR="00B3426F" w:rsidRPr="00FE03B8">
        <w:rPr>
          <w:rFonts w:eastAsia="PMingLiU"/>
        </w:rPr>
        <w:t>them in</w:t>
      </w:r>
      <w:r w:rsidR="00916B26" w:rsidRPr="00FE03B8">
        <w:rPr>
          <w:rFonts w:eastAsia="PMingLiU"/>
        </w:rPr>
        <w:t>to a single dataset yields a total of 1908 observations spanning 1</w:t>
      </w:r>
      <w:r w:rsidR="00EF1DF6">
        <w:rPr>
          <w:rFonts w:eastAsia="PMingLiU"/>
          <w:vertAlign w:val="superscript"/>
        </w:rPr>
        <w:t>st</w:t>
      </w:r>
      <w:r w:rsidR="00916B26" w:rsidRPr="00FE03B8">
        <w:rPr>
          <w:rFonts w:eastAsia="PMingLiU"/>
        </w:rPr>
        <w:t xml:space="preserve"> October 2013 – 31</w:t>
      </w:r>
      <w:r w:rsidR="00EF1DF6" w:rsidRPr="00EF1DF6">
        <w:rPr>
          <w:rFonts w:eastAsia="PMingLiU"/>
          <w:vertAlign w:val="superscript"/>
        </w:rPr>
        <w:t>st</w:t>
      </w:r>
      <w:r w:rsidR="00EF1DF6">
        <w:rPr>
          <w:rFonts w:eastAsia="PMingLiU"/>
        </w:rPr>
        <w:t xml:space="preserve"> </w:t>
      </w:r>
      <w:r w:rsidR="00916B26" w:rsidRPr="00FE03B8">
        <w:rPr>
          <w:rFonts w:eastAsia="PMingLiU"/>
        </w:rPr>
        <w:t xml:space="preserve">December 2018. </w:t>
      </w:r>
      <w:r w:rsidR="00B3426F" w:rsidRPr="00FE03B8">
        <w:rPr>
          <w:rFonts w:eastAsia="PMingLiU"/>
        </w:rPr>
        <w:t xml:space="preserve">Because </w:t>
      </w:r>
      <w:r w:rsidR="00916B26" w:rsidRPr="00FE03B8">
        <w:rPr>
          <w:rFonts w:eastAsia="PMingLiU"/>
        </w:rPr>
        <w:t xml:space="preserve">some of our variables </w:t>
      </w:r>
      <w:r w:rsidR="00B3426F" w:rsidRPr="00FE03B8">
        <w:rPr>
          <w:rFonts w:eastAsia="PMingLiU"/>
        </w:rPr>
        <w:t xml:space="preserve">are </w:t>
      </w:r>
      <w:r w:rsidR="00916B26" w:rsidRPr="00FE03B8">
        <w:rPr>
          <w:rFonts w:eastAsia="PMingLiU"/>
        </w:rPr>
        <w:t xml:space="preserve">available </w:t>
      </w:r>
      <w:r w:rsidR="003D6062" w:rsidRPr="00FE03B8">
        <w:rPr>
          <w:rFonts w:eastAsia="PMingLiU"/>
        </w:rPr>
        <w:t>seven</w:t>
      </w:r>
      <w:r w:rsidR="00916B26" w:rsidRPr="00FE03B8">
        <w:rPr>
          <w:rFonts w:eastAsia="PMingLiU"/>
        </w:rPr>
        <w:t xml:space="preserve"> days a week and other</w:t>
      </w:r>
      <w:r w:rsidR="00B3426F" w:rsidRPr="00FE03B8">
        <w:rPr>
          <w:rFonts w:eastAsia="PMingLiU"/>
        </w:rPr>
        <w:t>s</w:t>
      </w:r>
      <w:r w:rsidR="00916B26" w:rsidRPr="00FE03B8">
        <w:rPr>
          <w:rFonts w:eastAsia="PMingLiU"/>
        </w:rPr>
        <w:t xml:space="preserve"> available </w:t>
      </w:r>
      <w:r w:rsidR="003D6062" w:rsidRPr="00FE03B8">
        <w:rPr>
          <w:rFonts w:eastAsia="PMingLiU"/>
        </w:rPr>
        <w:t>five</w:t>
      </w:r>
      <w:r w:rsidR="00916B26" w:rsidRPr="00FE03B8">
        <w:rPr>
          <w:rFonts w:eastAsia="PMingLiU"/>
        </w:rPr>
        <w:t xml:space="preserve"> days a week, the useful number of observations used to estimate the regression models is below 1908 and can vary, depending on the specification of the estimated model. Finally, all our variables are winsori</w:t>
      </w:r>
      <w:r w:rsidR="003D6062" w:rsidRPr="00FE03B8">
        <w:rPr>
          <w:rFonts w:eastAsia="PMingLiU"/>
        </w:rPr>
        <w:t>z</w:t>
      </w:r>
      <w:r w:rsidR="00916B26" w:rsidRPr="00FE03B8">
        <w:rPr>
          <w:rFonts w:eastAsia="PMingLiU"/>
        </w:rPr>
        <w:t>ed at 5% and 95% to remove outliers.</w:t>
      </w:r>
    </w:p>
    <w:p w14:paraId="07F490EF" w14:textId="77777777" w:rsidR="00916B26" w:rsidRPr="00FE03B8" w:rsidRDefault="00916B26" w:rsidP="00916B26">
      <w:pPr>
        <w:pStyle w:val="Heading2"/>
        <w:numPr>
          <w:ilvl w:val="1"/>
          <w:numId w:val="1"/>
        </w:numPr>
      </w:pPr>
      <w:r w:rsidRPr="00FE03B8">
        <w:t>Bitcoin data</w:t>
      </w:r>
    </w:p>
    <w:p w14:paraId="4C68CB75" w14:textId="364D4BF7" w:rsidR="00916B26" w:rsidRDefault="00916B26" w:rsidP="00233A2E">
      <w:pPr>
        <w:ind w:firstLine="426"/>
      </w:pPr>
      <w:r>
        <w:t>W</w:t>
      </w:r>
      <w:r w:rsidRPr="00A904BF">
        <w:t>e employ tick</w:t>
      </w:r>
      <w:r w:rsidR="00B3426F">
        <w:t>-</w:t>
      </w:r>
      <w:r w:rsidRPr="00A904BF">
        <w:t xml:space="preserve">level data of </w:t>
      </w:r>
      <w:proofErr w:type="spellStart"/>
      <w:r w:rsidRPr="00A904BF">
        <w:t>Bitstamp</w:t>
      </w:r>
      <w:proofErr w:type="spellEnd"/>
      <w:r w:rsidR="009E64CE">
        <w:rPr>
          <w:rStyle w:val="FootnoteReference"/>
        </w:rPr>
        <w:footnoteReference w:id="5"/>
      </w:r>
      <w:r w:rsidRPr="00A904BF">
        <w:t xml:space="preserve"> </w:t>
      </w:r>
      <w:r w:rsidR="009E64CE">
        <w:t xml:space="preserve">to generate daily Bitcoin prices and trading volume. </w:t>
      </w:r>
      <w:r w:rsidRPr="00A904BF">
        <w:t xml:space="preserve">We choose </w:t>
      </w:r>
      <w:proofErr w:type="spellStart"/>
      <w:r w:rsidRPr="00A904BF">
        <w:t>Bitstamp</w:t>
      </w:r>
      <w:proofErr w:type="spellEnd"/>
      <w:r w:rsidRPr="00A904BF">
        <w:t xml:space="preserve"> as it is one of the most popular and liquid Bitcoin exchanges (</w:t>
      </w:r>
      <w:r w:rsidRPr="00736486">
        <w:t>Shen et al</w:t>
      </w:r>
      <w:r w:rsidR="003D6062" w:rsidRPr="00736486">
        <w:t>.,</w:t>
      </w:r>
      <w:r w:rsidRPr="00736486">
        <w:t xml:space="preserve"> 2019</w:t>
      </w:r>
      <w:r w:rsidRPr="00A904BF">
        <w:t>).</w:t>
      </w:r>
      <w:r>
        <w:t xml:space="preserve"> For our analysis</w:t>
      </w:r>
      <w:r w:rsidR="003D6062">
        <w:t>,</w:t>
      </w:r>
      <w:r>
        <w:t xml:space="preserve"> we transform Bitcoin prices to returns using the following </w:t>
      </w:r>
      <w:r w:rsidR="00B3426F">
        <w:t>e</w:t>
      </w:r>
      <w:r>
        <w:t>quation.</w:t>
      </w:r>
    </w:p>
    <w:tbl>
      <w:tblPr>
        <w:tblW w:w="0" w:type="auto"/>
        <w:tblLook w:val="04A0" w:firstRow="1" w:lastRow="0" w:firstColumn="1" w:lastColumn="0" w:noHBand="0" w:noVBand="1"/>
      </w:tblPr>
      <w:tblGrid>
        <w:gridCol w:w="8530"/>
        <w:gridCol w:w="496"/>
      </w:tblGrid>
      <w:tr w:rsidR="00916B26" w14:paraId="4C5F9141" w14:textId="77777777" w:rsidTr="00FE03B8">
        <w:tc>
          <w:tcPr>
            <w:tcW w:w="8776" w:type="dxa"/>
            <w:shd w:val="clear" w:color="auto" w:fill="auto"/>
            <w:vAlign w:val="center"/>
          </w:tcPr>
          <w:p w14:paraId="6B522EE7" w14:textId="01608CFA" w:rsidR="00916B26" w:rsidRPr="00C65C21" w:rsidRDefault="00C65C21" w:rsidP="00691A0C">
            <w:pPr>
              <w:spacing w:line="240" w:lineRule="auto"/>
              <w:ind w:firstLine="426"/>
              <w:jc w:val="center"/>
              <w:rPr>
                <w:rFonts w:eastAsia="PMingLiU"/>
              </w:rPr>
            </w:pPr>
            <m:oMathPara>
              <m:oMath>
                <m:r>
                  <w:rPr>
                    <w:rFonts w:ascii="Cambria Math" w:eastAsia="PMingLiU" w:hAnsi="Cambria Math"/>
                  </w:rPr>
                  <m:t xml:space="preserve">BTC Return= </m:t>
                </m:r>
                <m:f>
                  <m:fPr>
                    <m:ctrlPr>
                      <w:rPr>
                        <w:rFonts w:ascii="Cambria Math" w:eastAsia="PMingLiU" w:hAnsi="Cambria Math"/>
                        <w:i/>
                      </w:rPr>
                    </m:ctrlPr>
                  </m:fPr>
                  <m:num>
                    <m:r>
                      <w:rPr>
                        <w:rFonts w:ascii="Cambria Math" w:eastAsia="PMingLiU" w:hAnsi="Cambria Math"/>
                      </w:rPr>
                      <m:t>BTC Price</m:t>
                    </m:r>
                  </m:num>
                  <m:den>
                    <m:r>
                      <w:rPr>
                        <w:rFonts w:ascii="Cambria Math" w:eastAsia="PMingLiU" w:hAnsi="Cambria Math"/>
                      </w:rPr>
                      <m:t>Lagged BTC Price</m:t>
                    </m:r>
                  </m:den>
                </m:f>
                <m:r>
                  <w:rPr>
                    <w:rFonts w:ascii="Cambria Math" w:eastAsia="PMingLiU" w:hAnsi="Cambria Math"/>
                  </w:rPr>
                  <m:t>-1</m:t>
                </m:r>
              </m:oMath>
            </m:oMathPara>
          </w:p>
        </w:tc>
        <w:tc>
          <w:tcPr>
            <w:tcW w:w="240" w:type="dxa"/>
            <w:shd w:val="clear" w:color="auto" w:fill="auto"/>
            <w:vAlign w:val="center"/>
          </w:tcPr>
          <w:p w14:paraId="4ADE473B" w14:textId="77777777" w:rsidR="00916B26" w:rsidRPr="00F27B1B" w:rsidRDefault="00916B26" w:rsidP="00FE03B8">
            <w:pPr>
              <w:spacing w:line="240" w:lineRule="auto"/>
              <w:jc w:val="center"/>
              <w:rPr>
                <w:iCs/>
              </w:rPr>
            </w:pPr>
            <w:r w:rsidRPr="00F27B1B">
              <w:rPr>
                <w:iCs/>
              </w:rPr>
              <w:t>(1)</w:t>
            </w:r>
          </w:p>
        </w:tc>
      </w:tr>
    </w:tbl>
    <w:p w14:paraId="095436E5" w14:textId="77777777" w:rsidR="00916B26" w:rsidRDefault="00916B26" w:rsidP="00916B26">
      <w:pPr>
        <w:spacing w:after="240" w:line="240" w:lineRule="auto"/>
      </w:pPr>
    </w:p>
    <w:p w14:paraId="7ECA9F38" w14:textId="77777777" w:rsidR="00916B26" w:rsidRPr="00FE03B8" w:rsidRDefault="00916B26" w:rsidP="00916B26">
      <w:pPr>
        <w:pStyle w:val="Heading2"/>
        <w:numPr>
          <w:ilvl w:val="1"/>
          <w:numId w:val="1"/>
        </w:numPr>
      </w:pPr>
      <w:r w:rsidRPr="00FE03B8">
        <w:lastRenderedPageBreak/>
        <w:t xml:space="preserve">Industry equity indices  </w:t>
      </w:r>
    </w:p>
    <w:p w14:paraId="3E4B11BE" w14:textId="0C6B4015" w:rsidR="00916B26" w:rsidRPr="00FE03B8" w:rsidRDefault="00916B26" w:rsidP="003D6062">
      <w:pPr>
        <w:ind w:firstLine="426"/>
      </w:pPr>
      <w:r w:rsidRPr="00FE03B8">
        <w:rPr>
          <w:rFonts w:eastAsia="PMingLiU"/>
        </w:rPr>
        <w:t xml:space="preserve">We select </w:t>
      </w:r>
      <w:r w:rsidR="003D6062" w:rsidRPr="00FE03B8">
        <w:rPr>
          <w:rFonts w:eastAsia="PMingLiU"/>
        </w:rPr>
        <w:t>four</w:t>
      </w:r>
      <w:r w:rsidRPr="00FE03B8">
        <w:rPr>
          <w:rFonts w:eastAsia="PMingLiU"/>
        </w:rPr>
        <w:t xml:space="preserve"> stock market indices that relate to inf</w:t>
      </w:r>
      <w:r w:rsidR="003D6062" w:rsidRPr="00FE03B8">
        <w:rPr>
          <w:rFonts w:eastAsia="PMingLiU"/>
        </w:rPr>
        <w:t>ormation technology</w:t>
      </w:r>
      <w:r w:rsidR="004844EE">
        <w:rPr>
          <w:rFonts w:eastAsia="PMingLiU"/>
        </w:rPr>
        <w:t>, banking</w:t>
      </w:r>
      <w:r w:rsidR="003D6062" w:rsidRPr="00FE03B8">
        <w:rPr>
          <w:rFonts w:eastAsia="PMingLiU"/>
        </w:rPr>
        <w:t xml:space="preserve"> and energy industries. Prior</w:t>
      </w:r>
      <w:r w:rsidRPr="00FE03B8">
        <w:rPr>
          <w:rFonts w:eastAsia="PMingLiU"/>
        </w:rPr>
        <w:t xml:space="preserve"> literature shows </w:t>
      </w:r>
      <w:r w:rsidR="00F5086C">
        <w:rPr>
          <w:rFonts w:eastAsia="PMingLiU"/>
        </w:rPr>
        <w:t xml:space="preserve">that these indices </w:t>
      </w:r>
      <w:r w:rsidRPr="00FE03B8">
        <w:rPr>
          <w:rFonts w:eastAsia="PMingLiU"/>
        </w:rPr>
        <w:t>are associated with Bitcoin price returns (</w:t>
      </w:r>
      <w:proofErr w:type="spellStart"/>
      <w:r w:rsidR="007B6FF4" w:rsidRPr="00121FC2">
        <w:rPr>
          <w:rFonts w:eastAsia="PMingLiU"/>
        </w:rPr>
        <w:t>Symitsi</w:t>
      </w:r>
      <w:proofErr w:type="spellEnd"/>
      <w:r w:rsidR="007B6FF4" w:rsidRPr="00121FC2">
        <w:rPr>
          <w:rFonts w:eastAsia="PMingLiU"/>
        </w:rPr>
        <w:t xml:space="preserve"> </w:t>
      </w:r>
      <w:r w:rsidR="004844EE">
        <w:rPr>
          <w:rFonts w:eastAsia="PMingLiU"/>
        </w:rPr>
        <w:t xml:space="preserve">and </w:t>
      </w:r>
      <w:r w:rsidR="007B6FF4" w:rsidRPr="00121FC2">
        <w:rPr>
          <w:rFonts w:eastAsia="PMingLiU"/>
        </w:rPr>
        <w:t>Chalvatzis, 2018</w:t>
      </w:r>
      <w:r w:rsidRPr="00FE03B8">
        <w:rPr>
          <w:rFonts w:eastAsia="PMingLiU"/>
        </w:rPr>
        <w:t xml:space="preserve">). The </w:t>
      </w:r>
      <w:r w:rsidR="003D6062" w:rsidRPr="00FE03B8">
        <w:rPr>
          <w:rFonts w:eastAsia="PMingLiU"/>
        </w:rPr>
        <w:t>four</w:t>
      </w:r>
      <w:r w:rsidRPr="00FE03B8">
        <w:rPr>
          <w:rFonts w:eastAsia="PMingLiU"/>
        </w:rPr>
        <w:t xml:space="preserve"> indices are </w:t>
      </w:r>
      <w:r w:rsidR="003D6062" w:rsidRPr="00FE03B8">
        <w:rPr>
          <w:rFonts w:eastAsia="PMingLiU"/>
        </w:rPr>
        <w:t xml:space="preserve">the </w:t>
      </w:r>
      <w:r w:rsidRPr="00FE03B8">
        <w:rPr>
          <w:rFonts w:eastAsia="PMingLiU"/>
        </w:rPr>
        <w:t>S&amp;P Global Clean Energy Index, MSCI World Energy Index, MSCI World Information Technology Index</w:t>
      </w:r>
      <w:r w:rsidR="003D6062" w:rsidRPr="00FE03B8">
        <w:rPr>
          <w:rFonts w:eastAsia="PMingLiU"/>
        </w:rPr>
        <w:t>,</w:t>
      </w:r>
      <w:r w:rsidRPr="00FE03B8">
        <w:rPr>
          <w:rFonts w:eastAsia="PMingLiU"/>
        </w:rPr>
        <w:t xml:space="preserve"> and </w:t>
      </w:r>
      <w:r w:rsidRPr="00A904BF">
        <w:rPr>
          <w:lang w:val="en-US"/>
        </w:rPr>
        <w:t xml:space="preserve">MSCI World Bank </w:t>
      </w:r>
      <w:r>
        <w:rPr>
          <w:lang w:val="en-US"/>
        </w:rPr>
        <w:t xml:space="preserve">sourced </w:t>
      </w:r>
      <w:r w:rsidRPr="00A904BF">
        <w:rPr>
          <w:lang w:val="en-US"/>
        </w:rPr>
        <w:t xml:space="preserve">from </w:t>
      </w:r>
      <w:r>
        <w:rPr>
          <w:lang w:val="en-US"/>
        </w:rPr>
        <w:t xml:space="preserve">Thomson </w:t>
      </w:r>
      <w:r w:rsidRPr="00A904BF">
        <w:rPr>
          <w:lang w:val="en-US"/>
        </w:rPr>
        <w:t xml:space="preserve">Datastream. </w:t>
      </w:r>
    </w:p>
    <w:p w14:paraId="60F47D2A" w14:textId="77777777" w:rsidR="00916B26" w:rsidRPr="00A904BF" w:rsidRDefault="00916B26" w:rsidP="00916B26">
      <w:pPr>
        <w:pStyle w:val="Heading2"/>
        <w:numPr>
          <w:ilvl w:val="1"/>
          <w:numId w:val="1"/>
        </w:numPr>
      </w:pPr>
      <w:r>
        <w:t>Thomson Reuters Marketpsych Indices</w:t>
      </w:r>
    </w:p>
    <w:p w14:paraId="1E72979D" w14:textId="517F1A26" w:rsidR="00916B26" w:rsidRPr="00B313FC" w:rsidRDefault="00916B26" w:rsidP="00233A2E">
      <w:pPr>
        <w:ind w:firstLine="426"/>
        <w:rPr>
          <w:szCs w:val="24"/>
        </w:rPr>
      </w:pPr>
      <w:r w:rsidRPr="00FE03B8">
        <w:t>Finally, we employ the Thomson Reuters Marketpsych Indices (TRMI)</w:t>
      </w:r>
      <w:r w:rsidR="003D6062" w:rsidRPr="00FE03B8">
        <w:t>,</w:t>
      </w:r>
      <w:r w:rsidRPr="00FE03B8">
        <w:t xml:space="preserve"> which are available at the country level, </w:t>
      </w:r>
      <w:r w:rsidR="003D6062" w:rsidRPr="00FE03B8">
        <w:t>daily</w:t>
      </w:r>
      <w:r w:rsidRPr="00FE03B8">
        <w:t>, and seven days per week since January</w:t>
      </w:r>
      <w:r w:rsidR="00EF1DF6">
        <w:t xml:space="preserve"> 1</w:t>
      </w:r>
      <w:r w:rsidR="00EF1DF6" w:rsidRPr="00EF1DF6">
        <w:rPr>
          <w:vertAlign w:val="superscript"/>
        </w:rPr>
        <w:t>st</w:t>
      </w:r>
      <w:r w:rsidR="00EF1DF6">
        <w:t xml:space="preserve">, </w:t>
      </w:r>
      <w:r w:rsidRPr="00FE03B8">
        <w:t xml:space="preserve">1998. </w:t>
      </w:r>
      <w:r w:rsidRPr="00B313FC">
        <w:rPr>
          <w:szCs w:val="23"/>
        </w:rPr>
        <w:t xml:space="preserve">TRMI </w:t>
      </w:r>
      <w:r w:rsidRPr="000B0729">
        <w:t>summari</w:t>
      </w:r>
      <w:r w:rsidR="00B3426F">
        <w:t>z</w:t>
      </w:r>
      <w:r w:rsidRPr="000B0729">
        <w:t>e the content a</w:t>
      </w:r>
      <w:r w:rsidR="003D6062">
        <w:t>nd</w:t>
      </w:r>
      <w:r w:rsidRPr="000B0729">
        <w:t xml:space="preserve"> the quantity of economic, </w:t>
      </w:r>
      <w:r>
        <w:t xml:space="preserve">social, </w:t>
      </w:r>
      <w:r w:rsidRPr="000B0729">
        <w:t>political</w:t>
      </w:r>
      <w:r w:rsidR="003D6062">
        <w:t>,</w:t>
      </w:r>
      <w:r w:rsidRPr="000B0729">
        <w:t xml:space="preserve"> and other country-level news into meaningful daily indices</w:t>
      </w:r>
      <w:r w:rsidR="003D6062">
        <w:t>,</w:t>
      </w:r>
      <w:r w:rsidRPr="000B0729">
        <w:t xml:space="preserve"> which gauge the overall </w:t>
      </w:r>
      <w:r w:rsidR="00C41D08">
        <w:t>S</w:t>
      </w:r>
      <w:r w:rsidR="00C41D08" w:rsidRPr="000B0729">
        <w:t xml:space="preserve">entiment </w:t>
      </w:r>
      <w:r w:rsidRPr="000B0729">
        <w:t xml:space="preserve">and </w:t>
      </w:r>
      <w:r>
        <w:t xml:space="preserve">several </w:t>
      </w:r>
      <w:r w:rsidRPr="000B0729">
        <w:t xml:space="preserve">other market feelings </w:t>
      </w:r>
      <w:r>
        <w:t>that can be both positive (i.e.</w:t>
      </w:r>
      <w:r w:rsidR="00233A2E">
        <w:t>,</w:t>
      </w:r>
      <w:r>
        <w:t xml:space="preserve"> </w:t>
      </w:r>
      <w:r w:rsidR="008F2FCB">
        <w:t>O</w:t>
      </w:r>
      <w:r>
        <w:t>ptimism) and negative (i.e.</w:t>
      </w:r>
      <w:r w:rsidR="00233A2E">
        <w:t>,</w:t>
      </w:r>
      <w:r>
        <w:t xml:space="preserve"> </w:t>
      </w:r>
      <w:r w:rsidR="003D6062">
        <w:t>F</w:t>
      </w:r>
      <w:r>
        <w:t>ear)</w:t>
      </w:r>
      <w:r w:rsidRPr="000B0729">
        <w:t xml:space="preserve">. These indices are generated by an algorithm developed by </w:t>
      </w:r>
      <w:r w:rsidRPr="00B313FC">
        <w:rPr>
          <w:rFonts w:eastAsia="Times New Roman"/>
          <w:szCs w:val="24"/>
        </w:rPr>
        <w:t>Thomson Reuters in collaboration with Marketpsych LLC</w:t>
      </w:r>
      <w:r w:rsidR="003D6062">
        <w:rPr>
          <w:rFonts w:eastAsia="Times New Roman"/>
          <w:szCs w:val="24"/>
        </w:rPr>
        <w:t>,</w:t>
      </w:r>
      <w:r w:rsidRPr="00B313FC">
        <w:rPr>
          <w:rFonts w:eastAsia="Times New Roman"/>
          <w:szCs w:val="24"/>
        </w:rPr>
        <w:t xml:space="preserve"> which identifies news stories from Thomson Reuters News Feed Direct, Factiva News</w:t>
      </w:r>
      <w:r w:rsidR="003D6062">
        <w:rPr>
          <w:rFonts w:eastAsia="Times New Roman"/>
          <w:szCs w:val="24"/>
        </w:rPr>
        <w:t>,</w:t>
      </w:r>
      <w:r w:rsidRPr="00B313FC">
        <w:rPr>
          <w:rFonts w:eastAsia="Times New Roman"/>
          <w:szCs w:val="24"/>
        </w:rPr>
        <w:t xml:space="preserve"> and other third-party news sources</w:t>
      </w:r>
      <w:r w:rsidRPr="00B313FC">
        <w:rPr>
          <w:szCs w:val="24"/>
        </w:rPr>
        <w:t xml:space="preserve"> on a real-time basis and over a 24-hour rolling window.</w:t>
      </w:r>
      <w:r w:rsidRPr="000B0729">
        <w:rPr>
          <w:rStyle w:val="FootnoteReference"/>
          <w:szCs w:val="24"/>
        </w:rPr>
        <w:footnoteReference w:id="6"/>
      </w:r>
    </w:p>
    <w:p w14:paraId="2D2F3655" w14:textId="785E53E6" w:rsidR="00916B26" w:rsidRPr="00B313FC" w:rsidRDefault="00352091" w:rsidP="00233A2E">
      <w:pPr>
        <w:ind w:firstLine="426"/>
        <w:rPr>
          <w:szCs w:val="24"/>
        </w:rPr>
      </w:pPr>
      <w:r>
        <w:t xml:space="preserve">Next, we discuss some of the </w:t>
      </w:r>
      <w:r w:rsidR="0050317A">
        <w:t>significant</w:t>
      </w:r>
      <w:r w:rsidR="00916B26" w:rsidRPr="000B0729">
        <w:t xml:space="preserve"> advantages </w:t>
      </w:r>
      <w:r w:rsidR="00916B26">
        <w:t>of</w:t>
      </w:r>
      <w:r w:rsidR="00916B26" w:rsidRPr="000B0729">
        <w:t xml:space="preserve"> </w:t>
      </w:r>
      <w:r w:rsidR="00916B26">
        <w:t xml:space="preserve">using the TRMI. </w:t>
      </w:r>
      <w:r w:rsidR="00916B26" w:rsidRPr="000B0729">
        <w:t xml:space="preserve">First, </w:t>
      </w:r>
      <w:r w:rsidR="00916B26">
        <w:t>the TRMI</w:t>
      </w:r>
      <w:r w:rsidR="00916B26" w:rsidRPr="000B0729">
        <w:t xml:space="preserve"> </w:t>
      </w:r>
      <w:r w:rsidR="00A40C13">
        <w:t>are</w:t>
      </w:r>
      <w:r w:rsidR="00A40C13" w:rsidRPr="000B0729">
        <w:t xml:space="preserve"> </w:t>
      </w:r>
      <w:r w:rsidR="00916B26" w:rsidRPr="000B0729">
        <w:t xml:space="preserve">available for </w:t>
      </w:r>
      <w:r w:rsidR="00032D63">
        <w:t>many</w:t>
      </w:r>
      <w:r w:rsidR="00916B26" w:rsidRPr="000B0729">
        <w:t xml:space="preserve"> countries </w:t>
      </w:r>
      <w:r w:rsidR="00916B26">
        <w:t>compared</w:t>
      </w:r>
      <w:r w:rsidR="00916B26" w:rsidRPr="000B0729">
        <w:t xml:space="preserve"> to </w:t>
      </w:r>
      <w:r w:rsidR="00916B26">
        <w:t xml:space="preserve">more </w:t>
      </w:r>
      <w:r w:rsidR="00916B26" w:rsidRPr="000B0729">
        <w:t>traditional sentiment measures (</w:t>
      </w:r>
      <w:r w:rsidR="00916B26" w:rsidRPr="00121FC2">
        <w:t xml:space="preserve">Baker </w:t>
      </w:r>
      <w:r w:rsidR="004844EE">
        <w:t>and</w:t>
      </w:r>
      <w:r w:rsidRPr="00121FC2">
        <w:t xml:space="preserve"> </w:t>
      </w:r>
      <w:r w:rsidR="00916B26" w:rsidRPr="00121FC2">
        <w:t xml:space="preserve">Wurgler, 2006; Yu </w:t>
      </w:r>
      <w:r w:rsidR="004844EE">
        <w:t>and</w:t>
      </w:r>
      <w:r w:rsidRPr="00121FC2">
        <w:t xml:space="preserve"> </w:t>
      </w:r>
      <w:r w:rsidR="00916B26" w:rsidRPr="00121FC2">
        <w:t>Yuan, 2011; Huang et al., 2015</w:t>
      </w:r>
      <w:r w:rsidR="00916B26" w:rsidRPr="000B0729">
        <w:t>)</w:t>
      </w:r>
      <w:r w:rsidR="00916B26">
        <w:t>,</w:t>
      </w:r>
      <w:r w:rsidR="00916B26" w:rsidRPr="000B0729">
        <w:t xml:space="preserve"> </w:t>
      </w:r>
      <w:r w:rsidR="00916B26">
        <w:t xml:space="preserve">allowing for a broader and more accurate analysis. </w:t>
      </w:r>
      <w:r w:rsidR="00916B26" w:rsidRPr="000B0729">
        <w:t xml:space="preserve">Second, </w:t>
      </w:r>
      <w:r w:rsidR="00916B26">
        <w:t>the</w:t>
      </w:r>
      <w:r w:rsidR="00916B26" w:rsidRPr="000B0729">
        <w:t xml:space="preserve"> </w:t>
      </w:r>
      <w:r w:rsidR="00916B26">
        <w:t>TRMI</w:t>
      </w:r>
      <w:r w:rsidR="00916B26" w:rsidRPr="000B0729">
        <w:t xml:space="preserve"> </w:t>
      </w:r>
      <w:r w:rsidR="00A40C13">
        <w:t>are</w:t>
      </w:r>
      <w:r w:rsidR="00A40C13" w:rsidRPr="000B0729">
        <w:t xml:space="preserve"> </w:t>
      </w:r>
      <w:r w:rsidR="00916B26" w:rsidRPr="000B0729">
        <w:t xml:space="preserve">based on </w:t>
      </w:r>
      <w:r w:rsidR="003D6062">
        <w:t>many</w:t>
      </w:r>
      <w:r w:rsidR="00916B26">
        <w:t xml:space="preserve"> news</w:t>
      </w:r>
      <w:r w:rsidR="00916B26" w:rsidRPr="000B0729">
        <w:t xml:space="preserve"> sources</w:t>
      </w:r>
      <w:r w:rsidR="00916B26">
        <w:t xml:space="preserve">, suggesting that the indices are </w:t>
      </w:r>
      <w:r w:rsidR="00916B26" w:rsidRPr="000B0729">
        <w:t>comprehensive</w:t>
      </w:r>
      <w:r w:rsidR="00916B26">
        <w:t>,</w:t>
      </w:r>
      <w:r w:rsidR="00916B26" w:rsidRPr="000B0729">
        <w:t xml:space="preserve"> efficient</w:t>
      </w:r>
      <w:r w:rsidR="003D6062">
        <w:t>,</w:t>
      </w:r>
      <w:r w:rsidR="00916B26" w:rsidRPr="000B0729">
        <w:t xml:space="preserve"> </w:t>
      </w:r>
      <w:r w:rsidR="00916B26">
        <w:t>and reliable (</w:t>
      </w:r>
      <w:r w:rsidR="00916B26" w:rsidRPr="009835F1">
        <w:t>Huang et al., 2018</w:t>
      </w:r>
      <w:r w:rsidR="00916B26">
        <w:t>)</w:t>
      </w:r>
      <w:r w:rsidR="00916B26" w:rsidRPr="000B0729">
        <w:t>.</w:t>
      </w:r>
      <w:r w:rsidR="00916B26">
        <w:t xml:space="preserve"> Third, the </w:t>
      </w:r>
      <w:r w:rsidR="00916B26" w:rsidRPr="00333A1F">
        <w:t xml:space="preserve">TRMI are </w:t>
      </w:r>
      <w:r w:rsidR="00916B26">
        <w:t xml:space="preserve">flexible as they are available for </w:t>
      </w:r>
      <w:r w:rsidR="00233A2E">
        <w:t>traditional news, social media, and combined news sources</w:t>
      </w:r>
      <w:r w:rsidR="00916B26" w:rsidRPr="00333A1F">
        <w:t>.</w:t>
      </w:r>
      <w:r w:rsidR="00916B26">
        <w:rPr>
          <w:rStyle w:val="FootnoteReference"/>
        </w:rPr>
        <w:footnoteReference w:id="7"/>
      </w:r>
    </w:p>
    <w:p w14:paraId="07441B9F" w14:textId="5FC30ED5" w:rsidR="00916B26" w:rsidRPr="00FE03B8" w:rsidRDefault="00233A2E" w:rsidP="003D6062">
      <w:pPr>
        <w:ind w:firstLine="426"/>
        <w:rPr>
          <w:color w:val="000000"/>
        </w:rPr>
      </w:pPr>
      <w:r>
        <w:lastRenderedPageBreak/>
        <w:t>This paper considers</w:t>
      </w:r>
      <w:r w:rsidR="00916B26" w:rsidRPr="00FE03B8">
        <w:t xml:space="preserve"> </w:t>
      </w:r>
      <w:r w:rsidR="008F2FCB" w:rsidRPr="00FE03B8">
        <w:t xml:space="preserve">the </w:t>
      </w:r>
      <w:r w:rsidR="00916B26" w:rsidRPr="00FE03B8">
        <w:t>Sentiment</w:t>
      </w:r>
      <w:r w:rsidR="008F2FCB" w:rsidRPr="00FE03B8">
        <w:rPr>
          <w:i/>
        </w:rPr>
        <w:t xml:space="preserve"> </w:t>
      </w:r>
      <w:r w:rsidR="008F2FCB" w:rsidRPr="00FE03B8">
        <w:t>index that q</w:t>
      </w:r>
      <w:r w:rsidR="00916B26" w:rsidRPr="00FE03B8">
        <w:t xml:space="preserve">uantifies </w:t>
      </w:r>
      <w:r w:rsidR="003D6062" w:rsidRPr="00FE03B8">
        <w:t>news stories' content</w:t>
      </w:r>
      <w:r w:rsidR="00916B26" w:rsidRPr="00FE03B8">
        <w:t xml:space="preserve"> on a continuous scale </w:t>
      </w:r>
      <w:r w:rsidR="00EF1DF6">
        <w:t xml:space="preserve">in the range </w:t>
      </w:r>
      <w:r w:rsidR="00916B26" w:rsidRPr="00FE03B8">
        <w:t xml:space="preserve">-1 </w:t>
      </w:r>
      <w:r w:rsidR="00EF1DF6">
        <w:t>to</w:t>
      </w:r>
      <w:r w:rsidR="00916B26" w:rsidRPr="00FE03B8">
        <w:t xml:space="preserve"> +1, from the most negative to the most positive. </w:t>
      </w:r>
      <w:r w:rsidR="00916B26" w:rsidRPr="00FE03B8">
        <w:rPr>
          <w:color w:val="000000"/>
        </w:rPr>
        <w:t xml:space="preserve">We construct GDP-weighted averages of </w:t>
      </w:r>
      <w:r w:rsidR="008F2FCB" w:rsidRPr="00FE03B8">
        <w:t>Sentiment</w:t>
      </w:r>
      <w:r w:rsidR="008F2FCB" w:rsidRPr="00FE03B8">
        <w:rPr>
          <w:color w:val="000000"/>
        </w:rPr>
        <w:t xml:space="preserve"> </w:t>
      </w:r>
      <w:r w:rsidR="00916B26" w:rsidRPr="00FE03B8">
        <w:rPr>
          <w:color w:val="000000"/>
        </w:rPr>
        <w:t>by using the GDP data of the G20 economies that we source from the World Development Indicators of the World Bank.</w:t>
      </w:r>
    </w:p>
    <w:p w14:paraId="5AE453D7" w14:textId="77777777" w:rsidR="00EF3FB5" w:rsidRPr="00FE03B8" w:rsidRDefault="00EF3FB5" w:rsidP="00EF3FB5">
      <w:pPr>
        <w:pStyle w:val="Heading2"/>
        <w:numPr>
          <w:ilvl w:val="1"/>
          <w:numId w:val="1"/>
        </w:numPr>
      </w:pPr>
      <w:r w:rsidRPr="00FE03B8">
        <w:t>Uncertainty control factors</w:t>
      </w:r>
    </w:p>
    <w:p w14:paraId="047137F9" w14:textId="62AD71F1" w:rsidR="00EF3FB5" w:rsidRPr="00EF3FB5" w:rsidRDefault="00EF3FB5" w:rsidP="00537166">
      <w:pPr>
        <w:ind w:firstLine="426"/>
      </w:pPr>
      <w:r w:rsidRPr="00EF3FB5">
        <w:t xml:space="preserve">We employ two uncertainty factors in order </w:t>
      </w:r>
      <w:r>
        <w:t>to augment the regression models with additional controls</w:t>
      </w:r>
      <w:r w:rsidRPr="00EF3FB5">
        <w:t xml:space="preserve">. The first is the implied volatility index (VIX), a measure of uncertainty in the US equity market. The VIX index </w:t>
      </w:r>
      <w:r w:rsidR="003D6062">
        <w:t>estimates</w:t>
      </w:r>
      <w:r w:rsidRPr="00EF3FB5">
        <w:t xml:space="preserve"> the expectation of the </w:t>
      </w:r>
      <w:r w:rsidR="003D6062">
        <w:t>near-term market</w:t>
      </w:r>
      <w:r w:rsidRPr="00EF3FB5">
        <w:t xml:space="preserve"> volatility based on stock index option prices.  We source this variable from the FRED database of the Federal Reserve Bank of St Louis. The VIX index is available </w:t>
      </w:r>
      <w:r w:rsidR="00233A2E">
        <w:t>daily</w:t>
      </w:r>
      <w:r w:rsidRPr="00EF3FB5">
        <w:t>, excluding non-trading days (e.g.</w:t>
      </w:r>
      <w:r w:rsidR="003D6062">
        <w:t>,</w:t>
      </w:r>
      <w:r w:rsidRPr="00EF3FB5">
        <w:t xml:space="preserve"> weekends). The second uncertainty factor is the US economic policy uncertainty (EPU) index. This </w:t>
      </w:r>
      <w:r w:rsidR="00233A2E">
        <w:t>news-based index</w:t>
      </w:r>
      <w:r w:rsidRPr="00EF3FB5">
        <w:t xml:space="preserve"> captures the overall level of uncertainty in terms of economic policy in the US and is available </w:t>
      </w:r>
      <w:r w:rsidR="003D6062">
        <w:t>daily</w:t>
      </w:r>
      <w:r w:rsidRPr="00EF3FB5">
        <w:t xml:space="preserve"> (</w:t>
      </w:r>
      <w:r w:rsidR="00A40C13">
        <w:t>seven</w:t>
      </w:r>
      <w:r w:rsidRPr="00EF3FB5">
        <w:t xml:space="preserve"> days a week).</w:t>
      </w:r>
      <w:r>
        <w:rPr>
          <w:rStyle w:val="FootnoteReference"/>
        </w:rPr>
        <w:footnoteReference w:id="8"/>
      </w:r>
      <w:r w:rsidRPr="00EF3FB5">
        <w:t xml:space="preserve"> </w:t>
      </w:r>
      <w:r w:rsidR="003D6062">
        <w:t xml:space="preserve">We use the natural logarithm of VIX and EPU to control </w:t>
      </w:r>
      <w:r w:rsidR="00B54A01">
        <w:t xml:space="preserve">for </w:t>
      </w:r>
      <w:r w:rsidR="003D6062">
        <w:t>excess skewness and excess kurtosis in our estimation</w:t>
      </w:r>
      <w:r w:rsidRPr="00EF3FB5">
        <w:t xml:space="preserve">s. We follow other studies in the finance and </w:t>
      </w:r>
      <w:r w:rsidR="00EF1DF6">
        <w:t>b</w:t>
      </w:r>
      <w:r w:rsidRPr="00EF3FB5">
        <w:t>itcoin literature (e.g.</w:t>
      </w:r>
      <w:r w:rsidR="003D6062">
        <w:t>,</w:t>
      </w:r>
      <w:r w:rsidRPr="00EF3FB5">
        <w:t xml:space="preserve"> Mueller et al., 2017; Wu et al., 2019) and use US-based measures of uncertainty because of </w:t>
      </w:r>
      <w:r w:rsidR="00B54A01" w:rsidRPr="00EF3FB5">
        <w:t xml:space="preserve">the </w:t>
      </w:r>
      <w:r w:rsidR="00B54A01">
        <w:t>dominant</w:t>
      </w:r>
      <w:r w:rsidR="003D6062">
        <w:t xml:space="preserve"> </w:t>
      </w:r>
      <w:r w:rsidRPr="00EF3FB5">
        <w:t>econom</w:t>
      </w:r>
      <w:r w:rsidR="00A40C13">
        <w:t>ic</w:t>
      </w:r>
      <w:r w:rsidRPr="00EF3FB5">
        <w:t xml:space="preserve"> </w:t>
      </w:r>
      <w:r w:rsidR="00A40C13">
        <w:t xml:space="preserve">role of the US </w:t>
      </w:r>
      <w:r w:rsidRPr="00EF3FB5">
        <w:t>in the global financial markets.</w:t>
      </w:r>
    </w:p>
    <w:p w14:paraId="067D0F45" w14:textId="77777777" w:rsidR="00916B26" w:rsidRDefault="00916B26" w:rsidP="00916B26">
      <w:pPr>
        <w:pStyle w:val="Heading1"/>
        <w:numPr>
          <w:ilvl w:val="0"/>
          <w:numId w:val="1"/>
        </w:numPr>
      </w:pPr>
      <w:r>
        <w:t>Methodology</w:t>
      </w:r>
    </w:p>
    <w:p w14:paraId="06BF8C4F" w14:textId="77777777" w:rsidR="00916B26" w:rsidRDefault="00916B26" w:rsidP="00916B26">
      <w:pPr>
        <w:pStyle w:val="Heading2"/>
        <w:numPr>
          <w:ilvl w:val="1"/>
          <w:numId w:val="1"/>
        </w:numPr>
      </w:pPr>
      <w:r>
        <w:t>Estimating Sensitivities</w:t>
      </w:r>
    </w:p>
    <w:p w14:paraId="7D7655B0" w14:textId="35AEC0AD" w:rsidR="00916B26" w:rsidRPr="00FE03B8" w:rsidRDefault="00AD651D" w:rsidP="00233A2E">
      <w:pPr>
        <w:ind w:firstLine="426"/>
      </w:pPr>
      <w:r w:rsidRPr="00FE03B8">
        <w:t xml:space="preserve">We measure the daily sensitivity of the </w:t>
      </w:r>
      <w:r w:rsidR="00A40C13" w:rsidRPr="00FE03B8">
        <w:t>B</w:t>
      </w:r>
      <w:r w:rsidRPr="00FE03B8">
        <w:t xml:space="preserve">itcoin, information technology index, world energy sector, global clean energy sector, and the global banking sector to behavioral factors based on the global version of the 3-factor </w:t>
      </w:r>
      <w:r w:rsidR="000B563D">
        <w:t xml:space="preserve">Fama </w:t>
      </w:r>
      <w:r w:rsidR="00A3177D">
        <w:t>and</w:t>
      </w:r>
      <w:r w:rsidR="000B563D">
        <w:t xml:space="preserve"> French</w:t>
      </w:r>
      <w:r w:rsidRPr="00FE03B8">
        <w:t xml:space="preserve"> model, motivated by Francis et al. (2014). We follow this approach because it enables </w:t>
      </w:r>
      <w:r w:rsidR="00A40C13" w:rsidRPr="00FE03B8">
        <w:t xml:space="preserve">us </w:t>
      </w:r>
      <w:r w:rsidRPr="00FE03B8">
        <w:t xml:space="preserve">to estimate the sensitivities of </w:t>
      </w:r>
      <w:r w:rsidRPr="00FE03B8">
        <w:lastRenderedPageBreak/>
        <w:t>microeconomic units, such as firms o</w:t>
      </w:r>
      <w:r w:rsidR="00233A2E">
        <w:t>r sectors, to variables</w:t>
      </w:r>
      <w:r w:rsidRPr="00FE03B8">
        <w:t xml:space="preserve"> at the </w:t>
      </w:r>
      <w:r w:rsidR="00233A2E">
        <w:t>broa</w:t>
      </w:r>
      <w:r w:rsidRPr="00FE03B8">
        <w:t>der market</w:t>
      </w:r>
      <w:r w:rsidR="00A40C13" w:rsidRPr="00FE03B8">
        <w:t xml:space="preserve"> </w:t>
      </w:r>
      <w:r w:rsidRPr="00FE03B8">
        <w:t xml:space="preserve">level or the macroeconomic level. For example, Francis et al. (2014) </w:t>
      </w:r>
      <w:proofErr w:type="gramStart"/>
      <w:r w:rsidR="00A40C13" w:rsidRPr="00FE03B8">
        <w:t>employ</w:t>
      </w:r>
      <w:proofErr w:type="gramEnd"/>
      <w:r w:rsidR="00A40C13" w:rsidRPr="00FE03B8">
        <w:t xml:space="preserve"> </w:t>
      </w:r>
      <w:r w:rsidRPr="00FE03B8">
        <w:t>this approach to estimate firm-specific sensitivities to economic policy uncertainty (EPU). The adoption of the</w:t>
      </w:r>
      <w:r w:rsidR="00A40C13" w:rsidRPr="00FE03B8">
        <w:t>ir</w:t>
      </w:r>
      <w:r w:rsidRPr="00FE03B8">
        <w:t xml:space="preserve"> approach is now common in the finance literature (</w:t>
      </w:r>
      <w:proofErr w:type="spellStart"/>
      <w:r w:rsidRPr="000B563D">
        <w:t>Brogaard</w:t>
      </w:r>
      <w:proofErr w:type="spellEnd"/>
      <w:r w:rsidRPr="000B563D">
        <w:t xml:space="preserve"> </w:t>
      </w:r>
      <w:r w:rsidR="004844EE">
        <w:t>and</w:t>
      </w:r>
      <w:r w:rsidR="00121FC2" w:rsidRPr="000B563D">
        <w:t xml:space="preserve"> </w:t>
      </w:r>
      <w:proofErr w:type="spellStart"/>
      <w:r w:rsidRPr="000B563D">
        <w:t>Detzel</w:t>
      </w:r>
      <w:proofErr w:type="spellEnd"/>
      <w:r w:rsidRPr="000B563D">
        <w:t>, 2015</w:t>
      </w:r>
      <w:r w:rsidRPr="00121FC2">
        <w:t xml:space="preserve">; </w:t>
      </w:r>
      <w:r w:rsidR="00121FC2" w:rsidRPr="00121FC2">
        <w:t>Cui et al., 2020</w:t>
      </w:r>
      <w:r w:rsidR="00121FC2">
        <w:t>;</w:t>
      </w:r>
      <w:r w:rsidR="00121FC2" w:rsidRPr="00FE03B8">
        <w:t xml:space="preserve"> </w:t>
      </w:r>
      <w:r w:rsidRPr="00121FC2">
        <w:t>Datta et al., 2019, Yang et al., 2019</w:t>
      </w:r>
      <w:r w:rsidRPr="00FE03B8">
        <w:t xml:space="preserve">). The behavioral factor that we employ in this paper </w:t>
      </w:r>
      <w:r w:rsidR="00DA337F">
        <w:t>is</w:t>
      </w:r>
      <w:r w:rsidRPr="00FE03B8">
        <w:t xml:space="preserve"> at the </w:t>
      </w:r>
      <w:r w:rsidR="00233A2E">
        <w:t>broa</w:t>
      </w:r>
      <w:r w:rsidRPr="00FE03B8">
        <w:t>der market level. Hence, to estimate sector-specific sensitivities to th</w:t>
      </w:r>
      <w:r w:rsidR="00DA337F">
        <w:t>is</w:t>
      </w:r>
      <w:r w:rsidRPr="00FE03B8">
        <w:t xml:space="preserve"> behavioral factor</w:t>
      </w:r>
      <w:r w:rsidR="00A40C13" w:rsidRPr="00FE03B8">
        <w:t>,</w:t>
      </w:r>
      <w:r w:rsidRPr="00FE03B8">
        <w:t xml:space="preserve"> the methodology of Francis et al. (2014) is appropriate. An ideal alternative would be to use behavioral factor </w:t>
      </w:r>
      <w:r w:rsidR="00744319">
        <w:t xml:space="preserve">data </w:t>
      </w:r>
      <w:r w:rsidRPr="00FE03B8">
        <w:t>that are directly measured at the sector level. Alas, we do not have access to such data.</w:t>
      </w:r>
      <w:r w:rsidR="00916B26" w:rsidRPr="00FE03B8">
        <w:t xml:space="preserve">  </w:t>
      </w:r>
    </w:p>
    <w:tbl>
      <w:tblPr>
        <w:tblW w:w="0" w:type="auto"/>
        <w:tblLook w:val="04A0" w:firstRow="1" w:lastRow="0" w:firstColumn="1" w:lastColumn="0" w:noHBand="0" w:noVBand="1"/>
      </w:tblPr>
      <w:tblGrid>
        <w:gridCol w:w="8530"/>
        <w:gridCol w:w="496"/>
      </w:tblGrid>
      <w:tr w:rsidR="00916B26" w14:paraId="46D8359D" w14:textId="77777777" w:rsidTr="00FE03B8">
        <w:trPr>
          <w:trHeight w:val="161"/>
        </w:trPr>
        <w:tc>
          <w:tcPr>
            <w:tcW w:w="8776" w:type="dxa"/>
            <w:shd w:val="clear" w:color="auto" w:fill="auto"/>
            <w:vAlign w:val="center"/>
          </w:tcPr>
          <w:p w14:paraId="3FC23A79" w14:textId="3D2CA77C" w:rsidR="00916B26" w:rsidRPr="00C65C21" w:rsidRDefault="00F26C22" w:rsidP="00691A0C">
            <w:pPr>
              <w:spacing w:line="276" w:lineRule="auto"/>
              <w:jc w:val="center"/>
            </w:pPr>
            <m:oMathPara>
              <m:oMath>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=a+</m:t>
                </m:r>
                <m:sSub>
                  <m:sSubPr>
                    <m:ctrlPr>
                      <w:rPr>
                        <w:rFonts w:ascii="Cambria Math" w:hAnsi="Cambria Math"/>
                        <w:i/>
                      </w:rPr>
                    </m:ctrlPr>
                  </m:sSubPr>
                  <m:e>
                    <m:r>
                      <w:rPr>
                        <w:rFonts w:ascii="Cambria Math" w:hAnsi="Cambria Math"/>
                      </w:rPr>
                      <m:t>b</m:t>
                    </m:r>
                  </m:e>
                  <m:sub>
                    <m:r>
                      <w:rPr>
                        <w:rFonts w:ascii="Cambria Math" w:hAnsi="Cambria Math"/>
                      </w:rPr>
                      <m:t>1i</m:t>
                    </m:r>
                  </m:sub>
                </m:sSub>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2i</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f,t</m:t>
                        </m:r>
                      </m:sub>
                    </m:sSub>
                  </m:e>
                </m:d>
                <m:sSub>
                  <m:sSubPr>
                    <m:ctrlPr>
                      <w:rPr>
                        <w:rFonts w:ascii="Cambria Math" w:hAnsi="Cambria Math"/>
                        <w:i/>
                      </w:rPr>
                    </m:ctrlPr>
                  </m:sSubPr>
                  <m:e>
                    <m:r>
                      <w:rPr>
                        <w:rFonts w:ascii="Cambria Math" w:hAnsi="Cambria Math"/>
                      </w:rPr>
                      <m:t>+b</m:t>
                    </m:r>
                  </m:e>
                  <m:sub>
                    <m:r>
                      <w:rPr>
                        <w:rFonts w:ascii="Cambria Math" w:hAnsi="Cambria Math"/>
                      </w:rPr>
                      <m:t>3i</m:t>
                    </m:r>
                  </m:sub>
                </m:sSub>
                <m:sSub>
                  <m:sSubPr>
                    <m:ctrlPr>
                      <w:rPr>
                        <w:rFonts w:ascii="Cambria Math" w:hAnsi="Cambria Math"/>
                        <w:i/>
                      </w:rPr>
                    </m:ctrlPr>
                  </m:sSubPr>
                  <m:e>
                    <m:r>
                      <w:rPr>
                        <w:rFonts w:ascii="Cambria Math" w:hAnsi="Cambria Math"/>
                      </w:rPr>
                      <m:t>SMB</m:t>
                    </m:r>
                  </m:e>
                  <m:sub>
                    <m:r>
                      <w:rPr>
                        <w:rFonts w:ascii="Cambria Math" w:hAnsi="Cambria Math"/>
                      </w:rPr>
                      <m:t>t</m:t>
                    </m:r>
                  </m:sub>
                </m:sSub>
                <m:sSub>
                  <m:sSubPr>
                    <m:ctrlPr>
                      <w:rPr>
                        <w:rFonts w:ascii="Cambria Math" w:hAnsi="Cambria Math"/>
                        <w:i/>
                      </w:rPr>
                    </m:ctrlPr>
                  </m:sSubPr>
                  <m:e>
                    <m:r>
                      <w:rPr>
                        <w:rFonts w:ascii="Cambria Math" w:hAnsi="Cambria Math"/>
                      </w:rPr>
                      <m:t>+b</m:t>
                    </m:r>
                  </m:e>
                  <m:sub>
                    <m:r>
                      <w:rPr>
                        <w:rFonts w:ascii="Cambria Math" w:hAnsi="Cambria Math"/>
                      </w:rPr>
                      <m:t>4i</m:t>
                    </m:r>
                  </m:sub>
                </m:sSub>
                <m:sSub>
                  <m:sSubPr>
                    <m:ctrlPr>
                      <w:rPr>
                        <w:rFonts w:ascii="Cambria Math" w:hAnsi="Cambria Math"/>
                        <w:i/>
                      </w:rPr>
                    </m:ctrlPr>
                  </m:sSubPr>
                  <m:e>
                    <m:r>
                      <w:rPr>
                        <w:rFonts w:ascii="Cambria Math" w:hAnsi="Cambria Math"/>
                      </w:rPr>
                      <m:t>HML</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lang w:val="el-GR"/>
                      </w:rPr>
                      <m:t>ε</m:t>
                    </m:r>
                  </m:e>
                  <m:sub>
                    <m:r>
                      <w:rPr>
                        <w:rFonts w:ascii="Cambria Math" w:hAnsi="Cambria Math"/>
                      </w:rPr>
                      <m:t>it</m:t>
                    </m:r>
                  </m:sub>
                </m:sSub>
              </m:oMath>
            </m:oMathPara>
          </w:p>
        </w:tc>
        <w:tc>
          <w:tcPr>
            <w:tcW w:w="240" w:type="dxa"/>
            <w:shd w:val="clear" w:color="auto" w:fill="auto"/>
            <w:vAlign w:val="center"/>
          </w:tcPr>
          <w:p w14:paraId="1949FF6A" w14:textId="77777777" w:rsidR="00916B26" w:rsidRPr="00F27B1B" w:rsidRDefault="00916B26" w:rsidP="00FE03B8">
            <w:pPr>
              <w:spacing w:line="276" w:lineRule="auto"/>
              <w:jc w:val="center"/>
              <w:rPr>
                <w:iCs/>
              </w:rPr>
            </w:pPr>
            <w:r w:rsidRPr="00F27B1B">
              <w:rPr>
                <w:rFonts w:eastAsia="PMingLiU"/>
                <w:iCs/>
              </w:rPr>
              <w:t>(2)</w:t>
            </w:r>
          </w:p>
        </w:tc>
      </w:tr>
    </w:tbl>
    <w:p w14:paraId="6F8D9309" w14:textId="77777777" w:rsidR="00916B26" w:rsidRPr="00FE03B8" w:rsidRDefault="00916B26" w:rsidP="00916B26"/>
    <w:p w14:paraId="254EB9A8" w14:textId="72F2C5E1" w:rsidR="00916B26" w:rsidRPr="00FE03B8" w:rsidRDefault="00916B26" w:rsidP="00AB61F8">
      <w:pPr>
        <w:spacing w:after="240"/>
        <w:ind w:firstLine="426"/>
      </w:pPr>
      <w:r w:rsidRPr="00FE03B8">
        <w:rPr>
          <w:rFonts w:eastAsia="PMingLiU"/>
        </w:rPr>
        <w:t xml:space="preserve">We also consider the global version of </w:t>
      </w:r>
      <w:r w:rsidR="000D131D">
        <w:rPr>
          <w:rFonts w:eastAsia="PMingLiU"/>
        </w:rPr>
        <w:t xml:space="preserve">the </w:t>
      </w:r>
      <w:r w:rsidR="000D131D" w:rsidRPr="00FE03B8">
        <w:rPr>
          <w:rFonts w:eastAsia="PMingLiU"/>
        </w:rPr>
        <w:t>4-factor model</w:t>
      </w:r>
      <w:r w:rsidR="000D131D">
        <w:rPr>
          <w:rFonts w:eastAsia="PMingLiU"/>
        </w:rPr>
        <w:t>,</w:t>
      </w:r>
      <w:r w:rsidR="000D131D" w:rsidRPr="00121FC2">
        <w:rPr>
          <w:rFonts w:eastAsia="PMingLiU"/>
        </w:rPr>
        <w:t xml:space="preserve"> </w:t>
      </w:r>
      <w:r w:rsidR="000D131D">
        <w:rPr>
          <w:rFonts w:eastAsia="PMingLiU"/>
        </w:rPr>
        <w:t xml:space="preserve">developed in </w:t>
      </w:r>
      <w:proofErr w:type="spellStart"/>
      <w:r w:rsidRPr="00121FC2">
        <w:rPr>
          <w:rFonts w:eastAsia="PMingLiU"/>
        </w:rPr>
        <w:t>Car</w:t>
      </w:r>
      <w:r w:rsidR="00A3177D">
        <w:rPr>
          <w:rFonts w:eastAsia="PMingLiU"/>
        </w:rPr>
        <w:t>t</w:t>
      </w:r>
      <w:r w:rsidRPr="00121FC2">
        <w:rPr>
          <w:rFonts w:eastAsia="PMingLiU"/>
        </w:rPr>
        <w:t>hart</w:t>
      </w:r>
      <w:proofErr w:type="spellEnd"/>
      <w:r w:rsidRPr="00121FC2">
        <w:rPr>
          <w:rFonts w:eastAsia="PMingLiU"/>
        </w:rPr>
        <w:t xml:space="preserve"> (199</w:t>
      </w:r>
      <w:r w:rsidRPr="00FE03B8">
        <w:rPr>
          <w:rFonts w:eastAsia="PMingLiU"/>
        </w:rPr>
        <w:t>7)</w:t>
      </w:r>
      <w:r w:rsidR="000D131D">
        <w:rPr>
          <w:rFonts w:eastAsia="PMingLiU"/>
        </w:rPr>
        <w:t xml:space="preserve">, </w:t>
      </w:r>
      <w:r w:rsidR="000D131D" w:rsidRPr="00FE03B8">
        <w:rPr>
          <w:rFonts w:eastAsia="PMingLiU"/>
        </w:rPr>
        <w:t>an extension of the</w:t>
      </w:r>
      <w:r w:rsidR="000D131D">
        <w:rPr>
          <w:rFonts w:eastAsia="PMingLiU"/>
        </w:rPr>
        <w:t xml:space="preserve"> </w:t>
      </w:r>
      <w:r w:rsidR="000D131D" w:rsidRPr="00FE03B8">
        <w:rPr>
          <w:rFonts w:eastAsia="PMingLiU"/>
        </w:rPr>
        <w:t xml:space="preserve">3-factor model proposed in </w:t>
      </w:r>
      <w:r w:rsidR="000D131D">
        <w:rPr>
          <w:rFonts w:eastAsia="PMingLiU"/>
        </w:rPr>
        <w:t>Fama and French</w:t>
      </w:r>
      <w:r w:rsidR="000D131D" w:rsidRPr="00FE03B8">
        <w:rPr>
          <w:rFonts w:eastAsia="PMingLiU"/>
        </w:rPr>
        <w:t xml:space="preserve"> (1993)</w:t>
      </w:r>
      <w:r w:rsidRPr="00FE03B8">
        <w:t>:</w:t>
      </w:r>
    </w:p>
    <w:tbl>
      <w:tblPr>
        <w:tblW w:w="0" w:type="auto"/>
        <w:tblLook w:val="04A0" w:firstRow="1" w:lastRow="0" w:firstColumn="1" w:lastColumn="0" w:noHBand="0" w:noVBand="1"/>
      </w:tblPr>
      <w:tblGrid>
        <w:gridCol w:w="8530"/>
        <w:gridCol w:w="496"/>
      </w:tblGrid>
      <w:tr w:rsidR="00916B26" w:rsidRPr="00F27B1B" w14:paraId="3AB00383" w14:textId="77777777" w:rsidTr="00FE03B8">
        <w:tc>
          <w:tcPr>
            <w:tcW w:w="8776" w:type="dxa"/>
            <w:shd w:val="clear" w:color="auto" w:fill="auto"/>
            <w:vAlign w:val="center"/>
          </w:tcPr>
          <w:p w14:paraId="58351F65" w14:textId="698D89E8" w:rsidR="00916B26" w:rsidRPr="00C65C21" w:rsidRDefault="00F26C22" w:rsidP="00691A0C">
            <w:pPr>
              <w:spacing w:line="276" w:lineRule="auto"/>
              <w:jc w:val="center"/>
            </w:pPr>
            <m:oMathPara>
              <m:oMath>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=a+</m:t>
                </m:r>
                <m:sSub>
                  <m:sSubPr>
                    <m:ctrlPr>
                      <w:rPr>
                        <w:rFonts w:ascii="Cambria Math" w:hAnsi="Cambria Math"/>
                        <w:i/>
                      </w:rPr>
                    </m:ctrlPr>
                  </m:sSubPr>
                  <m:e>
                    <m:r>
                      <w:rPr>
                        <w:rFonts w:ascii="Cambria Math" w:hAnsi="Cambria Math"/>
                        <w:lang w:val="el-GR"/>
                      </w:rPr>
                      <m:t>b</m:t>
                    </m:r>
                  </m:e>
                  <m:sub>
                    <m:r>
                      <w:rPr>
                        <w:rFonts w:ascii="Cambria Math" w:hAnsi="Cambria Math"/>
                      </w:rPr>
                      <m:t>1i</m:t>
                    </m:r>
                  </m:sub>
                </m:sSub>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2i</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f,t</m:t>
                        </m:r>
                      </m:sub>
                    </m:sSub>
                  </m:e>
                </m:d>
                <m:sSub>
                  <m:sSubPr>
                    <m:ctrlPr>
                      <w:rPr>
                        <w:rFonts w:ascii="Cambria Math" w:hAnsi="Cambria Math"/>
                        <w:i/>
                      </w:rPr>
                    </m:ctrlPr>
                  </m:sSubPr>
                  <m:e>
                    <m:r>
                      <w:rPr>
                        <w:rFonts w:ascii="Cambria Math" w:hAnsi="Cambria Math"/>
                      </w:rPr>
                      <m:t>+b</m:t>
                    </m:r>
                  </m:e>
                  <m:sub>
                    <m:r>
                      <w:rPr>
                        <w:rFonts w:ascii="Cambria Math" w:hAnsi="Cambria Math"/>
                      </w:rPr>
                      <m:t>3i</m:t>
                    </m:r>
                  </m:sub>
                </m:sSub>
                <m:sSub>
                  <m:sSubPr>
                    <m:ctrlPr>
                      <w:rPr>
                        <w:rFonts w:ascii="Cambria Math" w:hAnsi="Cambria Math"/>
                        <w:i/>
                      </w:rPr>
                    </m:ctrlPr>
                  </m:sSubPr>
                  <m:e>
                    <m:r>
                      <w:rPr>
                        <w:rFonts w:ascii="Cambria Math" w:hAnsi="Cambria Math"/>
                      </w:rPr>
                      <m:t>SMB</m:t>
                    </m:r>
                  </m:e>
                  <m:sub>
                    <m:r>
                      <w:rPr>
                        <w:rFonts w:ascii="Cambria Math" w:hAnsi="Cambria Math"/>
                      </w:rPr>
                      <m:t>t</m:t>
                    </m:r>
                  </m:sub>
                </m:sSub>
                <m:sSub>
                  <m:sSubPr>
                    <m:ctrlPr>
                      <w:rPr>
                        <w:rFonts w:ascii="Cambria Math" w:hAnsi="Cambria Math"/>
                        <w:i/>
                      </w:rPr>
                    </m:ctrlPr>
                  </m:sSubPr>
                  <m:e>
                    <m:r>
                      <w:rPr>
                        <w:rFonts w:ascii="Cambria Math" w:hAnsi="Cambria Math"/>
                      </w:rPr>
                      <m:t>+b</m:t>
                    </m:r>
                  </m:e>
                  <m:sub>
                    <m:r>
                      <w:rPr>
                        <w:rFonts w:ascii="Cambria Math" w:hAnsi="Cambria Math"/>
                      </w:rPr>
                      <m:t>4i</m:t>
                    </m:r>
                  </m:sub>
                </m:sSub>
                <m:sSub>
                  <m:sSubPr>
                    <m:ctrlPr>
                      <w:rPr>
                        <w:rFonts w:ascii="Cambria Math" w:hAnsi="Cambria Math"/>
                        <w:i/>
                      </w:rPr>
                    </m:ctrlPr>
                  </m:sSubPr>
                  <m:e>
                    <m:r>
                      <w:rPr>
                        <w:rFonts w:ascii="Cambria Math" w:hAnsi="Cambria Math"/>
                      </w:rPr>
                      <m:t>HML</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b</m:t>
                        </m:r>
                      </m:e>
                      <m:sub>
                        <m:r>
                          <w:rPr>
                            <w:rFonts w:ascii="Cambria Math" w:hAnsi="Cambria Math"/>
                          </w:rPr>
                          <m:t>5</m:t>
                        </m:r>
                      </m:sub>
                    </m:sSub>
                    <m:sSub>
                      <m:sSubPr>
                        <m:ctrlPr>
                          <w:rPr>
                            <w:rFonts w:ascii="Cambria Math" w:hAnsi="Cambria Math"/>
                            <w:i/>
                          </w:rPr>
                        </m:ctrlPr>
                      </m:sSubPr>
                      <m:e>
                        <m:r>
                          <w:rPr>
                            <w:rFonts w:ascii="Cambria Math" w:hAnsi="Cambria Math"/>
                          </w:rPr>
                          <m:t>ΜΟΜ</m:t>
                        </m:r>
                      </m:e>
                      <m:sub>
                        <m:r>
                          <w:rPr>
                            <w:rFonts w:ascii="Cambria Math" w:hAnsi="Cambria Math"/>
                          </w:rPr>
                          <m:t>t</m:t>
                        </m:r>
                      </m:sub>
                    </m:sSub>
                    <m:r>
                      <w:rPr>
                        <w:rFonts w:ascii="Cambria Math" w:hAnsi="Cambria Math"/>
                      </w:rPr>
                      <m:t>+ε</m:t>
                    </m:r>
                  </m:e>
                  <m:sub>
                    <m:r>
                      <w:rPr>
                        <w:rFonts w:ascii="Cambria Math" w:hAnsi="Cambria Math"/>
                      </w:rPr>
                      <m:t>it</m:t>
                    </m:r>
                  </m:sub>
                </m:sSub>
              </m:oMath>
            </m:oMathPara>
          </w:p>
        </w:tc>
        <w:tc>
          <w:tcPr>
            <w:tcW w:w="240" w:type="dxa"/>
            <w:shd w:val="clear" w:color="auto" w:fill="auto"/>
            <w:vAlign w:val="center"/>
          </w:tcPr>
          <w:p w14:paraId="09025CD5" w14:textId="77777777" w:rsidR="00916B26" w:rsidRPr="00F27B1B" w:rsidRDefault="00916B26" w:rsidP="00FE03B8">
            <w:pPr>
              <w:spacing w:line="276" w:lineRule="auto"/>
              <w:jc w:val="center"/>
              <w:rPr>
                <w:iCs/>
              </w:rPr>
            </w:pPr>
            <w:r w:rsidRPr="00F27B1B">
              <w:rPr>
                <w:rFonts w:eastAsia="PMingLiU"/>
                <w:iCs/>
              </w:rPr>
              <w:t>(3)</w:t>
            </w:r>
          </w:p>
        </w:tc>
      </w:tr>
    </w:tbl>
    <w:p w14:paraId="0D8391E8" w14:textId="77777777" w:rsidR="00916B26" w:rsidRPr="00FE03B8" w:rsidRDefault="00916B26" w:rsidP="00916B26">
      <w:pPr>
        <w:spacing w:line="360" w:lineRule="auto"/>
        <w:rPr>
          <w:rFonts w:eastAsia="PMingLiU"/>
        </w:rPr>
      </w:pPr>
      <w:r w:rsidRPr="00FE03B8">
        <w:rPr>
          <w:rFonts w:eastAsia="PMingLiU"/>
        </w:rPr>
        <w:t xml:space="preserve">                 </w:t>
      </w:r>
    </w:p>
    <w:p w14:paraId="0B81388B" w14:textId="017D3020" w:rsidR="00322105" w:rsidRPr="00FE03B8" w:rsidRDefault="000D131D" w:rsidP="000513C3">
      <w:pPr>
        <w:spacing w:after="240"/>
        <w:ind w:firstLine="426"/>
        <w:rPr>
          <w:rFonts w:eastAsia="PMingLiU"/>
        </w:rPr>
      </w:pPr>
      <w:r>
        <w:rPr>
          <w:rFonts w:eastAsia="PMingLiU"/>
        </w:rPr>
        <w:t>O</w:t>
      </w:r>
      <w:r w:rsidR="00322105" w:rsidRPr="00FE03B8">
        <w:rPr>
          <w:rFonts w:eastAsia="PMingLiU"/>
        </w:rPr>
        <w:t xml:space="preserve">ur analysis is also inclusive of the 5-factor model developed in </w:t>
      </w:r>
      <w:r w:rsidR="000B563D">
        <w:rPr>
          <w:rFonts w:eastAsia="PMingLiU"/>
        </w:rPr>
        <w:t xml:space="preserve">Fama </w:t>
      </w:r>
      <w:r w:rsidR="0042111F">
        <w:rPr>
          <w:rFonts w:eastAsia="PMingLiU"/>
        </w:rPr>
        <w:t>and</w:t>
      </w:r>
      <w:r w:rsidR="000B563D">
        <w:rPr>
          <w:rFonts w:eastAsia="PMingLiU"/>
        </w:rPr>
        <w:t xml:space="preserve"> French</w:t>
      </w:r>
      <w:r w:rsidR="00322105" w:rsidRPr="00FE03B8">
        <w:rPr>
          <w:rFonts w:eastAsia="PMingLiU"/>
        </w:rPr>
        <w:t xml:space="preserve"> (2015), </w:t>
      </w:r>
      <w:r>
        <w:rPr>
          <w:rFonts w:eastAsia="PMingLiU"/>
        </w:rPr>
        <w:t xml:space="preserve">that is </w:t>
      </w:r>
      <w:r w:rsidR="00322105" w:rsidRPr="00FE03B8">
        <w:rPr>
          <w:rFonts w:eastAsia="PMingLiU"/>
        </w:rPr>
        <w:t>an</w:t>
      </w:r>
      <w:r>
        <w:rPr>
          <w:rFonts w:eastAsia="PMingLiU"/>
        </w:rPr>
        <w:t>other</w:t>
      </w:r>
      <w:r w:rsidR="00322105" w:rsidRPr="00FE03B8">
        <w:rPr>
          <w:rFonts w:eastAsia="PMingLiU"/>
        </w:rPr>
        <w:t xml:space="preserve"> extension of the 3-factor model </w:t>
      </w:r>
      <w:r>
        <w:rPr>
          <w:rFonts w:eastAsia="PMingLiU"/>
        </w:rPr>
        <w:t>in</w:t>
      </w:r>
      <w:r w:rsidR="00322105" w:rsidRPr="00FE03B8">
        <w:rPr>
          <w:rFonts w:eastAsia="PMingLiU"/>
        </w:rPr>
        <w:t xml:space="preserve"> </w:t>
      </w:r>
      <w:r w:rsidR="000B563D">
        <w:rPr>
          <w:rFonts w:eastAsia="PMingLiU"/>
        </w:rPr>
        <w:t xml:space="preserve">Fama </w:t>
      </w:r>
      <w:r>
        <w:rPr>
          <w:rFonts w:eastAsia="PMingLiU"/>
        </w:rPr>
        <w:t>and</w:t>
      </w:r>
      <w:r w:rsidR="000B563D">
        <w:rPr>
          <w:rFonts w:eastAsia="PMingLiU"/>
        </w:rPr>
        <w:t xml:space="preserve"> French</w:t>
      </w:r>
      <w:r w:rsidR="00322105" w:rsidRPr="00FE03B8">
        <w:rPr>
          <w:rFonts w:eastAsia="PMingLiU"/>
        </w:rPr>
        <w:t xml:space="preserve"> (1993).</w:t>
      </w:r>
    </w:p>
    <w:tbl>
      <w:tblPr>
        <w:tblW w:w="0" w:type="auto"/>
        <w:tblLook w:val="04A0" w:firstRow="1" w:lastRow="0" w:firstColumn="1" w:lastColumn="0" w:noHBand="0" w:noVBand="1"/>
      </w:tblPr>
      <w:tblGrid>
        <w:gridCol w:w="8530"/>
        <w:gridCol w:w="496"/>
      </w:tblGrid>
      <w:tr w:rsidR="000513C3" w:rsidRPr="000A77DA" w14:paraId="3F0338FF" w14:textId="77777777" w:rsidTr="00FE03B8">
        <w:tc>
          <w:tcPr>
            <w:tcW w:w="8776" w:type="dxa"/>
            <w:shd w:val="clear" w:color="auto" w:fill="auto"/>
            <w:vAlign w:val="center"/>
          </w:tcPr>
          <w:p w14:paraId="7762D601" w14:textId="1CE954B8" w:rsidR="000513C3" w:rsidRPr="00C65C21" w:rsidRDefault="00F26C22" w:rsidP="003E3BDA">
            <w:pPr>
              <w:spacing w:line="276" w:lineRule="auto"/>
              <w:jc w:val="center"/>
            </w:pPr>
            <m:oMathPara>
              <m:oMath>
                <m:sSub>
                  <m:sSubPr>
                    <m:ctrlPr>
                      <w:rPr>
                        <w:rFonts w:ascii="Cambria Math" w:hAnsi="Cambria Math"/>
                        <w:i/>
                      </w:rPr>
                    </m:ctrlPr>
                  </m:sSubPr>
                  <m:e>
                    <m:r>
                      <w:rPr>
                        <w:rFonts w:ascii="Cambria Math" w:hAnsi="Cambria Math"/>
                      </w:rPr>
                      <m:t>R</m:t>
                    </m:r>
                  </m:e>
                  <m:sub>
                    <m:r>
                      <w:rPr>
                        <w:rFonts w:ascii="Cambria Math" w:hAnsi="Cambria Math"/>
                      </w:rPr>
                      <m:t>i,t</m:t>
                    </m:r>
                  </m:sub>
                </m:sSub>
                <m:r>
                  <w:rPr>
                    <w:rFonts w:ascii="Cambria Math" w:hAnsi="Cambria Math"/>
                  </w:rPr>
                  <m:t>=a+</m:t>
                </m:r>
                <m:sSub>
                  <m:sSubPr>
                    <m:ctrlPr>
                      <w:rPr>
                        <w:rFonts w:ascii="Cambria Math" w:hAnsi="Cambria Math"/>
                        <w:i/>
                      </w:rPr>
                    </m:ctrlPr>
                  </m:sSubPr>
                  <m:e>
                    <m:r>
                      <w:rPr>
                        <w:rFonts w:ascii="Cambria Math" w:hAnsi="Cambria Math"/>
                        <w:lang w:val="el-GR"/>
                      </w:rPr>
                      <m:t>b</m:t>
                    </m:r>
                  </m:e>
                  <m:sub>
                    <m:r>
                      <w:rPr>
                        <w:rFonts w:ascii="Cambria Math" w:hAnsi="Cambria Math"/>
                      </w:rPr>
                      <m:t>1i</m:t>
                    </m:r>
                  </m:sub>
                </m:sSub>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2i</m:t>
                    </m:r>
                  </m:sub>
                </m:sSub>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f,t</m:t>
                        </m:r>
                      </m:sub>
                    </m:sSub>
                  </m:e>
                </m:d>
                <m:sSub>
                  <m:sSubPr>
                    <m:ctrlPr>
                      <w:rPr>
                        <w:rFonts w:ascii="Cambria Math" w:hAnsi="Cambria Math"/>
                        <w:i/>
                      </w:rPr>
                    </m:ctrlPr>
                  </m:sSubPr>
                  <m:e>
                    <m:r>
                      <w:rPr>
                        <w:rFonts w:ascii="Cambria Math" w:hAnsi="Cambria Math"/>
                      </w:rPr>
                      <m:t>+b</m:t>
                    </m:r>
                  </m:e>
                  <m:sub>
                    <m:r>
                      <w:rPr>
                        <w:rFonts w:ascii="Cambria Math" w:hAnsi="Cambria Math"/>
                      </w:rPr>
                      <m:t>3i</m:t>
                    </m:r>
                  </m:sub>
                </m:sSub>
                <m:sSub>
                  <m:sSubPr>
                    <m:ctrlPr>
                      <w:rPr>
                        <w:rFonts w:ascii="Cambria Math" w:hAnsi="Cambria Math"/>
                        <w:i/>
                      </w:rPr>
                    </m:ctrlPr>
                  </m:sSubPr>
                  <m:e>
                    <m:r>
                      <w:rPr>
                        <w:rFonts w:ascii="Cambria Math" w:hAnsi="Cambria Math"/>
                      </w:rPr>
                      <m:t>SMB</m:t>
                    </m:r>
                  </m:e>
                  <m:sub>
                    <m:r>
                      <w:rPr>
                        <w:rFonts w:ascii="Cambria Math" w:hAnsi="Cambria Math"/>
                      </w:rPr>
                      <m:t>t</m:t>
                    </m:r>
                  </m:sub>
                </m:sSub>
                <m:sSub>
                  <m:sSubPr>
                    <m:ctrlPr>
                      <w:rPr>
                        <w:rFonts w:ascii="Cambria Math" w:hAnsi="Cambria Math"/>
                        <w:i/>
                      </w:rPr>
                    </m:ctrlPr>
                  </m:sSubPr>
                  <m:e>
                    <m:r>
                      <w:rPr>
                        <w:rFonts w:ascii="Cambria Math" w:hAnsi="Cambria Math"/>
                      </w:rPr>
                      <m:t>+b</m:t>
                    </m:r>
                  </m:e>
                  <m:sub>
                    <m:r>
                      <w:rPr>
                        <w:rFonts w:ascii="Cambria Math" w:hAnsi="Cambria Math"/>
                      </w:rPr>
                      <m:t>4i</m:t>
                    </m:r>
                  </m:sub>
                </m:sSub>
                <m:sSub>
                  <m:sSubPr>
                    <m:ctrlPr>
                      <w:rPr>
                        <w:rFonts w:ascii="Cambria Math" w:hAnsi="Cambria Math"/>
                        <w:i/>
                      </w:rPr>
                    </m:ctrlPr>
                  </m:sSubPr>
                  <m:e>
                    <m:r>
                      <w:rPr>
                        <w:rFonts w:ascii="Cambria Math" w:hAnsi="Cambria Math"/>
                      </w:rPr>
                      <m:t>HML</m:t>
                    </m:r>
                  </m:e>
                  <m:sub>
                    <m:r>
                      <w:rPr>
                        <w:rFonts w:ascii="Cambria Math" w:hAnsi="Cambria Math"/>
                      </w:rPr>
                      <m:t>t</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b</m:t>
                        </m:r>
                      </m:e>
                      <m:sub>
                        <m:r>
                          <w:rPr>
                            <w:rFonts w:ascii="Cambria Math" w:hAnsi="Cambria Math"/>
                          </w:rPr>
                          <m:t>5</m:t>
                        </m:r>
                      </m:sub>
                    </m:sSub>
                    <m:sSub>
                      <m:sSubPr>
                        <m:ctrlPr>
                          <w:rPr>
                            <w:rFonts w:ascii="Cambria Math" w:hAnsi="Cambria Math"/>
                            <w:i/>
                          </w:rPr>
                        </m:ctrlPr>
                      </m:sSubPr>
                      <m:e>
                        <m:r>
                          <w:rPr>
                            <w:rFonts w:ascii="Cambria Math" w:hAnsi="Cambria Math"/>
                          </w:rPr>
                          <m:t>RMW</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6</m:t>
                        </m:r>
                      </m:sub>
                    </m:sSub>
                    <m:sSub>
                      <m:sSubPr>
                        <m:ctrlPr>
                          <w:rPr>
                            <w:rFonts w:ascii="Cambria Math" w:hAnsi="Cambria Math"/>
                            <w:i/>
                          </w:rPr>
                        </m:ctrlPr>
                      </m:sSubPr>
                      <m:e>
                        <m:r>
                          <w:rPr>
                            <w:rFonts w:ascii="Cambria Math" w:hAnsi="Cambria Math"/>
                          </w:rPr>
                          <m:t>CMA</m:t>
                        </m:r>
                      </m:e>
                      <m:sub>
                        <m:r>
                          <w:rPr>
                            <w:rFonts w:ascii="Cambria Math" w:hAnsi="Cambria Math"/>
                          </w:rPr>
                          <m:t>t</m:t>
                        </m:r>
                      </m:sub>
                    </m:sSub>
                    <m:r>
                      <w:rPr>
                        <w:rFonts w:ascii="Cambria Math" w:hAnsi="Cambria Math"/>
                      </w:rPr>
                      <m:t>+ε</m:t>
                    </m:r>
                  </m:e>
                  <m:sub>
                    <m:r>
                      <w:rPr>
                        <w:rFonts w:ascii="Cambria Math" w:hAnsi="Cambria Math"/>
                      </w:rPr>
                      <m:t>it</m:t>
                    </m:r>
                  </m:sub>
                </m:sSub>
              </m:oMath>
            </m:oMathPara>
          </w:p>
        </w:tc>
        <w:tc>
          <w:tcPr>
            <w:tcW w:w="240" w:type="dxa"/>
            <w:shd w:val="clear" w:color="auto" w:fill="auto"/>
            <w:vAlign w:val="center"/>
          </w:tcPr>
          <w:p w14:paraId="25B8D655" w14:textId="77777777" w:rsidR="000513C3" w:rsidRPr="00F27B1B" w:rsidRDefault="000513C3" w:rsidP="00FE03B8">
            <w:pPr>
              <w:spacing w:line="276" w:lineRule="auto"/>
              <w:jc w:val="center"/>
              <w:rPr>
                <w:iCs/>
              </w:rPr>
            </w:pPr>
            <w:r w:rsidRPr="00F27B1B">
              <w:rPr>
                <w:rFonts w:eastAsia="PMingLiU"/>
                <w:iCs/>
              </w:rPr>
              <w:t>(</w:t>
            </w:r>
            <w:r w:rsidR="003E3BDA" w:rsidRPr="00F27B1B">
              <w:rPr>
                <w:rFonts w:eastAsia="PMingLiU"/>
                <w:iCs/>
              </w:rPr>
              <w:t>4</w:t>
            </w:r>
            <w:r w:rsidRPr="00F27B1B">
              <w:rPr>
                <w:rFonts w:eastAsia="PMingLiU"/>
                <w:iCs/>
              </w:rPr>
              <w:t>)</w:t>
            </w:r>
          </w:p>
        </w:tc>
      </w:tr>
    </w:tbl>
    <w:p w14:paraId="79AE585D" w14:textId="77777777" w:rsidR="000513C3" w:rsidRPr="00FE03B8" w:rsidRDefault="000513C3" w:rsidP="000513C3">
      <w:pPr>
        <w:rPr>
          <w:rFonts w:eastAsia="PMingLiU"/>
        </w:rPr>
      </w:pPr>
    </w:p>
    <w:p w14:paraId="3080DDCC" w14:textId="572BD8EB" w:rsidR="00916B26" w:rsidRPr="00FE03B8" w:rsidRDefault="00F26C22" w:rsidP="00233A2E">
      <w:pPr>
        <w:ind w:firstLine="426"/>
      </w:pPr>
      <m:oMath>
        <m:sSub>
          <m:sSubPr>
            <m:ctrlPr>
              <w:rPr>
                <w:rFonts w:ascii="Cambria Math" w:hAnsi="Cambria Math"/>
                <w:i/>
              </w:rPr>
            </m:ctrlPr>
          </m:sSubPr>
          <m:e>
            <m:r>
              <w:rPr>
                <w:rFonts w:ascii="Cambria Math" w:hAnsi="Cambria Math"/>
              </w:rPr>
              <m:t>R</m:t>
            </m:r>
          </m:e>
          <m:sub>
            <m:r>
              <w:rPr>
                <w:rFonts w:ascii="Cambria Math" w:hAnsi="Cambria Math"/>
              </w:rPr>
              <m:t>i,t</m:t>
            </m:r>
          </m:sub>
        </m:sSub>
      </m:oMath>
      <w:r w:rsidR="00916B26" w:rsidRPr="00FE03B8">
        <w:rPr>
          <w:rFonts w:eastAsia="PMingLiU"/>
        </w:rPr>
        <w:t xml:space="preserve"> denotes the daily returns </w:t>
      </w:r>
      <w:r w:rsidR="00B54A01" w:rsidRPr="00FE03B8">
        <w:rPr>
          <w:rFonts w:eastAsia="PMingLiU"/>
        </w:rPr>
        <w:t xml:space="preserve">of </w:t>
      </w:r>
      <w:r w:rsidR="00B54A01" w:rsidRPr="00FE03B8">
        <w:t>the</w:t>
      </w:r>
      <w:r w:rsidR="00916B26" w:rsidRPr="00FE03B8">
        <w:t xml:space="preserve"> bitcoin, information technology index, world energy sector, global clean energy sector, and the global banking sector (discussed in Section 2.2)</w:t>
      </w:r>
      <w:r w:rsidR="00916B26" w:rsidRPr="00FE03B8">
        <w:rPr>
          <w:rFonts w:eastAsia="PMingLiU"/>
        </w:rPr>
        <w:t xml:space="preserve">, </w:t>
      </w:r>
      <m:oMath>
        <m:sSub>
          <m:sSubPr>
            <m:ctrlPr>
              <w:rPr>
                <w:rFonts w:ascii="Cambria Math" w:hAnsi="Cambria Math"/>
                <w:i/>
              </w:rPr>
            </m:ctrlPr>
          </m:sSubPr>
          <m:e>
            <m:r>
              <w:rPr>
                <w:rFonts w:ascii="Cambria Math" w:hAnsi="Cambria Math"/>
              </w:rPr>
              <m:t>R</m:t>
            </m:r>
          </m:e>
          <m:sub>
            <m:r>
              <w:rPr>
                <w:rFonts w:ascii="Cambria Math" w:hAnsi="Cambria Math"/>
              </w:rPr>
              <m:t>M,t</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f,t</m:t>
            </m:r>
          </m:sub>
        </m:sSub>
      </m:oMath>
      <w:r w:rsidR="00916B26" w:rsidRPr="00FE03B8">
        <w:rPr>
          <w:rFonts w:eastAsia="PMingLiU"/>
        </w:rPr>
        <w:t xml:space="preserve"> stands for the excess return on the world market, </w:t>
      </w:r>
      <w:r w:rsidR="00F71800">
        <w:rPr>
          <w:rFonts w:eastAsia="PMingLiU"/>
        </w:rPr>
        <w:t xml:space="preserve">and </w:t>
      </w:r>
      <m:oMath>
        <m:sSub>
          <m:sSubPr>
            <m:ctrlPr>
              <w:rPr>
                <w:rFonts w:ascii="Cambria Math" w:hAnsi="Cambria Math"/>
                <w:i/>
              </w:rPr>
            </m:ctrlPr>
          </m:sSubPr>
          <m:e>
            <m:r>
              <w:rPr>
                <w:rFonts w:ascii="Cambria Math" w:hAnsi="Cambria Math"/>
              </w:rPr>
              <m:t>SMB</m:t>
            </m:r>
          </m:e>
          <m:sub>
            <m:r>
              <w:rPr>
                <w:rFonts w:ascii="Cambria Math" w:hAnsi="Cambria Math"/>
              </w:rPr>
              <m:t>t</m:t>
            </m:r>
          </m:sub>
        </m:sSub>
      </m:oMath>
      <w:r w:rsidR="00916B26" w:rsidRPr="00FE03B8">
        <w:rPr>
          <w:rFonts w:eastAsia="PMingLiU"/>
        </w:rPr>
        <w:t xml:space="preserve"> and  </w:t>
      </w:r>
      <m:oMath>
        <m:sSub>
          <m:sSubPr>
            <m:ctrlPr>
              <w:rPr>
                <w:rFonts w:ascii="Cambria Math" w:hAnsi="Cambria Math"/>
                <w:i/>
              </w:rPr>
            </m:ctrlPr>
          </m:sSubPr>
          <m:e>
            <m:r>
              <w:rPr>
                <w:rFonts w:ascii="Cambria Math" w:hAnsi="Cambria Math"/>
              </w:rPr>
              <m:t>HML</m:t>
            </m:r>
          </m:e>
          <m:sub>
            <m:r>
              <w:rPr>
                <w:rFonts w:ascii="Cambria Math" w:hAnsi="Cambria Math"/>
              </w:rPr>
              <m:t>t</m:t>
            </m:r>
          </m:sub>
        </m:sSub>
      </m:oMath>
      <w:r w:rsidR="00FB3BBA" w:rsidRPr="00FE03B8">
        <w:rPr>
          <w:rFonts w:eastAsia="PMingLiU"/>
        </w:rPr>
        <w:t xml:space="preserve"> </w:t>
      </w:r>
      <w:r w:rsidR="00916B26" w:rsidRPr="00FE03B8">
        <w:rPr>
          <w:rFonts w:eastAsia="PMingLiU"/>
        </w:rPr>
        <w:t>stand for the size and value portfolios</w:t>
      </w:r>
      <w:r w:rsidR="00FB3BBA" w:rsidRPr="00FE03B8">
        <w:rPr>
          <w:rFonts w:eastAsia="PMingLiU"/>
        </w:rPr>
        <w:t xml:space="preserve"> proposed in </w:t>
      </w:r>
      <w:r w:rsidR="000B563D">
        <w:rPr>
          <w:rFonts w:eastAsia="PMingLiU"/>
        </w:rPr>
        <w:t xml:space="preserve">Fama </w:t>
      </w:r>
      <w:r w:rsidR="00A3177D">
        <w:rPr>
          <w:rFonts w:eastAsia="PMingLiU"/>
        </w:rPr>
        <w:t>and</w:t>
      </w:r>
      <w:r w:rsidR="000B563D">
        <w:rPr>
          <w:rFonts w:eastAsia="PMingLiU"/>
        </w:rPr>
        <w:t xml:space="preserve"> French</w:t>
      </w:r>
      <w:r w:rsidR="00FB3BBA" w:rsidRPr="00FE03B8">
        <w:rPr>
          <w:rFonts w:eastAsia="PMingLiU"/>
        </w:rPr>
        <w:t xml:space="preserve"> (1993)</w:t>
      </w:r>
      <w:r w:rsidR="00916B26" w:rsidRPr="00FE03B8">
        <w:rPr>
          <w:rFonts w:eastAsia="PMingLiU"/>
        </w:rPr>
        <w:t>.</w:t>
      </w:r>
      <w:r w:rsidR="00223D57" w:rsidRPr="00FE03B8">
        <w:rPr>
          <w:rFonts w:eastAsia="PMingLiU"/>
        </w:rPr>
        <w:t xml:space="preserve"> </w:t>
      </w:r>
      <m:oMath>
        <m:sSub>
          <m:sSubPr>
            <m:ctrlPr>
              <w:rPr>
                <w:rFonts w:ascii="Cambria Math" w:hAnsi="Cambria Math"/>
                <w:i/>
              </w:rPr>
            </m:ctrlPr>
          </m:sSubPr>
          <m:e>
            <m:r>
              <w:rPr>
                <w:rFonts w:ascii="Cambria Math" w:hAnsi="Cambria Math"/>
              </w:rPr>
              <m:t>ΜΟΜ</m:t>
            </m:r>
          </m:e>
          <m:sub>
            <m:r>
              <w:rPr>
                <w:rFonts w:ascii="Cambria Math" w:hAnsi="Cambria Math"/>
              </w:rPr>
              <m:t>t</m:t>
            </m:r>
          </m:sub>
        </m:sSub>
      </m:oMath>
      <w:r w:rsidR="00223D57" w:rsidRPr="00FE03B8">
        <w:rPr>
          <w:rFonts w:eastAsia="PMingLiU"/>
        </w:rPr>
        <w:t xml:space="preserve"> is the momentum factor proposed </w:t>
      </w:r>
      <w:r w:rsidR="00223D57" w:rsidRPr="00121FC2">
        <w:rPr>
          <w:rFonts w:eastAsia="PMingLiU"/>
        </w:rPr>
        <w:t xml:space="preserve">in </w:t>
      </w:r>
      <w:proofErr w:type="spellStart"/>
      <w:r w:rsidR="00223D57" w:rsidRPr="00121FC2">
        <w:rPr>
          <w:rFonts w:eastAsia="PMingLiU"/>
        </w:rPr>
        <w:t>Carthart</w:t>
      </w:r>
      <w:proofErr w:type="spellEnd"/>
      <w:r w:rsidR="00223D57" w:rsidRPr="00121FC2">
        <w:rPr>
          <w:rFonts w:eastAsia="PMingLiU"/>
        </w:rPr>
        <w:t xml:space="preserve"> (1997</w:t>
      </w:r>
      <w:r w:rsidR="00223D57" w:rsidRPr="00FE03B8">
        <w:rPr>
          <w:rFonts w:eastAsia="PMingLiU"/>
        </w:rPr>
        <w:t xml:space="preserve">) controlling for the premium of winners minus </w:t>
      </w:r>
      <w:proofErr w:type="gramStart"/>
      <w:r w:rsidR="00223D57" w:rsidRPr="00FE03B8">
        <w:rPr>
          <w:rFonts w:eastAsia="PMingLiU"/>
        </w:rPr>
        <w:t>losers.</w:t>
      </w:r>
      <w:proofErr w:type="gramEnd"/>
      <w:r w:rsidR="00FB3BBA" w:rsidRPr="00FE03B8">
        <w:rPr>
          <w:rFonts w:eastAsia="PMingLiU"/>
        </w:rPr>
        <w:t xml:space="preserve"> </w:t>
      </w:r>
      <m:oMath>
        <m:sSub>
          <m:sSubPr>
            <m:ctrlPr>
              <w:rPr>
                <w:rFonts w:ascii="Cambria Math" w:hAnsi="Cambria Math"/>
                <w:i/>
              </w:rPr>
            </m:ctrlPr>
          </m:sSubPr>
          <m:e>
            <m:r>
              <w:rPr>
                <w:rFonts w:ascii="Cambria Math" w:hAnsi="Cambria Math"/>
              </w:rPr>
              <m:t>RMW</m:t>
            </m:r>
          </m:e>
          <m:sub>
            <m:r>
              <w:rPr>
                <w:rFonts w:ascii="Cambria Math" w:hAnsi="Cambria Math"/>
              </w:rPr>
              <m:t>t</m:t>
            </m:r>
          </m:sub>
        </m:sSub>
      </m:oMath>
      <w:r w:rsidR="00FB3BBA" w:rsidRPr="00FE03B8">
        <w:rPr>
          <w:rFonts w:eastAsia="PMingLiU"/>
        </w:rPr>
        <w:t xml:space="preserve"> and  </w:t>
      </w:r>
      <m:oMath>
        <m:sSub>
          <m:sSubPr>
            <m:ctrlPr>
              <w:rPr>
                <w:rFonts w:ascii="Cambria Math" w:hAnsi="Cambria Math"/>
                <w:i/>
              </w:rPr>
            </m:ctrlPr>
          </m:sSubPr>
          <m:e>
            <m:r>
              <w:rPr>
                <w:rFonts w:ascii="Cambria Math" w:hAnsi="Cambria Math"/>
              </w:rPr>
              <m:t>CMA</m:t>
            </m:r>
          </m:e>
          <m:sub>
            <m:r>
              <w:rPr>
                <w:rFonts w:ascii="Cambria Math" w:hAnsi="Cambria Math"/>
              </w:rPr>
              <m:t>t</m:t>
            </m:r>
          </m:sub>
        </m:sSub>
      </m:oMath>
      <w:r w:rsidR="00FB3BBA" w:rsidRPr="00FE03B8">
        <w:rPr>
          <w:rFonts w:eastAsia="PMingLiU"/>
        </w:rPr>
        <w:t xml:space="preserve"> represent</w:t>
      </w:r>
      <w:r w:rsidR="00F71800">
        <w:rPr>
          <w:rFonts w:eastAsia="PMingLiU"/>
        </w:rPr>
        <w:t>, respectively,</w:t>
      </w:r>
      <w:r w:rsidR="00FB3BBA" w:rsidRPr="00FE03B8">
        <w:rPr>
          <w:rFonts w:eastAsia="PMingLiU"/>
        </w:rPr>
        <w:t xml:space="preserve"> the profitability and investment portfolios proposed in </w:t>
      </w:r>
      <w:r w:rsidR="000B563D">
        <w:rPr>
          <w:rFonts w:eastAsia="PMingLiU"/>
        </w:rPr>
        <w:t xml:space="preserve">Fama </w:t>
      </w:r>
      <w:r w:rsidR="00A3177D">
        <w:rPr>
          <w:rFonts w:eastAsia="PMingLiU"/>
        </w:rPr>
        <w:lastRenderedPageBreak/>
        <w:t>and</w:t>
      </w:r>
      <w:r w:rsidR="000B563D">
        <w:rPr>
          <w:rFonts w:eastAsia="PMingLiU"/>
        </w:rPr>
        <w:t xml:space="preserve"> French</w:t>
      </w:r>
      <w:r w:rsidR="00FB3BBA" w:rsidRPr="00FE03B8">
        <w:rPr>
          <w:rFonts w:eastAsia="PMingLiU"/>
        </w:rPr>
        <w:t xml:space="preserve"> (2015).</w:t>
      </w:r>
      <w:r w:rsidR="00223D57" w:rsidRPr="00FE03B8">
        <w:rPr>
          <w:rFonts w:eastAsia="PMingLiU"/>
        </w:rPr>
        <w:t xml:space="preserve"> </w:t>
      </w:r>
      <m:oMath>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 xml:space="preserve"> </m:t>
        </m:r>
      </m:oMath>
      <w:r w:rsidR="00916B26" w:rsidRPr="00FE03B8">
        <w:t xml:space="preserve">is proxied by the </w:t>
      </w:r>
      <w:r w:rsidR="00916B26" w:rsidRPr="00FE03B8">
        <w:rPr>
          <w:i/>
        </w:rPr>
        <w:t>behavioral factors</w:t>
      </w:r>
      <w:r w:rsidR="00916B26" w:rsidRPr="00FE03B8">
        <w:t xml:space="preserve"> from the Thomson Reuters Marketpsych Indices (discussed in Section 2.3). It should be noted that we use a </w:t>
      </w:r>
      <w:r w:rsidR="00734AE6">
        <w:t>one-</w:t>
      </w:r>
      <w:r w:rsidR="00916B26" w:rsidRPr="00FE03B8">
        <w:t>year rolling window approach to estimate the models in order to obtain a time</w:t>
      </w:r>
      <w:r w:rsidR="00233A2E">
        <w:t xml:space="preserve"> </w:t>
      </w:r>
      <w:r w:rsidR="00916B26" w:rsidRPr="00FE03B8">
        <w:t xml:space="preserve">series of estimated coefficients. Finally, </w:t>
      </w:r>
      <w:r w:rsidR="003D6062" w:rsidRPr="00FE03B8">
        <w:t xml:space="preserve">we </w:t>
      </w:r>
      <w:r w:rsidR="00B54A01">
        <w:t>use</w:t>
      </w:r>
      <w:r w:rsidR="003D6062" w:rsidRPr="00FE03B8">
        <w:t xml:space="preserve"> heteroscedasticity robust standard errors in all our models to address potential heteroscedasticity in the error term</w:t>
      </w:r>
      <w:r w:rsidR="00916B26" w:rsidRPr="00FE03B8">
        <w:t xml:space="preserve">s. </w:t>
      </w:r>
    </w:p>
    <w:p w14:paraId="5AC9B83E" w14:textId="77777777" w:rsidR="00916B26" w:rsidRPr="00D861A7" w:rsidRDefault="00916B26" w:rsidP="00916B26">
      <w:pPr>
        <w:pStyle w:val="Heading2"/>
        <w:numPr>
          <w:ilvl w:val="1"/>
          <w:numId w:val="1"/>
        </w:numPr>
      </w:pPr>
      <w:r>
        <w:t xml:space="preserve">Association of Sensitivities </w:t>
      </w:r>
    </w:p>
    <w:p w14:paraId="07AE1A43" w14:textId="74EF1B26" w:rsidR="00916B26" w:rsidRPr="00FE03B8" w:rsidRDefault="00916B26" w:rsidP="003D6062">
      <w:pPr>
        <w:spacing w:after="240"/>
        <w:ind w:firstLine="426"/>
      </w:pPr>
      <w:r w:rsidRPr="00FE03B8">
        <w:rPr>
          <w:rFonts w:eastAsia="PMingLiU"/>
        </w:rPr>
        <w:t>Once we run Equations (1) and (2)</w:t>
      </w:r>
      <w:r w:rsidR="003D6062" w:rsidRPr="00FE03B8">
        <w:rPr>
          <w:rFonts w:eastAsia="PMingLiU"/>
        </w:rPr>
        <w:t>,</w:t>
      </w:r>
      <w:r w:rsidRPr="00FE03B8">
        <w:rPr>
          <w:rFonts w:eastAsia="PMingLiU"/>
        </w:rPr>
        <w:t xml:space="preserve"> we obtain the estimates for the </w:t>
      </w:r>
      <m:oMath>
        <m:sSub>
          <m:sSubPr>
            <m:ctrlPr>
              <w:rPr>
                <w:rFonts w:ascii="Cambria Math" w:hAnsi="Cambria Math"/>
                <w:i/>
              </w:rPr>
            </m:ctrlPr>
          </m:sSubPr>
          <m:e>
            <m:r>
              <w:rPr>
                <w:rFonts w:ascii="Cambria Math" w:hAnsi="Cambria Math"/>
              </w:rPr>
              <m:t>b</m:t>
            </m:r>
          </m:e>
          <m:sub>
            <m:r>
              <w:rPr>
                <w:rFonts w:ascii="Cambria Math" w:hAnsi="Cambria Math"/>
              </w:rPr>
              <m:t>1i</m:t>
            </m:r>
          </m:sub>
        </m:sSub>
      </m:oMath>
      <w:r w:rsidRPr="00FE03B8">
        <w:rPr>
          <w:rFonts w:eastAsia="PMingLiU"/>
        </w:rPr>
        <w:t xml:space="preserve"> coefficients. These coefficients represent the sensitivity of </w:t>
      </w:r>
      <w:r w:rsidR="00734AE6">
        <w:rPr>
          <w:rFonts w:eastAsia="PMingLiU"/>
        </w:rPr>
        <w:t>B</w:t>
      </w:r>
      <w:r w:rsidRPr="00FE03B8">
        <w:rPr>
          <w:rFonts w:eastAsia="PMingLiU"/>
        </w:rPr>
        <w:t>itcoin returns a</w:t>
      </w:r>
      <w:r w:rsidR="003D6062" w:rsidRPr="00FE03B8">
        <w:rPr>
          <w:rFonts w:eastAsia="PMingLiU"/>
        </w:rPr>
        <w:t>nd</w:t>
      </w:r>
      <w:r w:rsidRPr="00FE03B8">
        <w:rPr>
          <w:rFonts w:eastAsia="PMingLiU"/>
        </w:rPr>
        <w:t xml:space="preserve"> the returns of the industry indices on the </w:t>
      </w:r>
      <w:r w:rsidR="00986412">
        <w:rPr>
          <w:rFonts w:eastAsia="PMingLiU"/>
        </w:rPr>
        <w:t xml:space="preserve">Sentiment </w:t>
      </w:r>
      <w:r w:rsidRPr="00FE03B8">
        <w:rPr>
          <w:rFonts w:eastAsia="PMingLiU"/>
        </w:rPr>
        <w:t xml:space="preserve">that we source from </w:t>
      </w:r>
      <w:r w:rsidRPr="00FE03B8">
        <w:t>Thomson Reuters (i.e.</w:t>
      </w:r>
      <w:r w:rsidR="00233A2E">
        <w:t>,</w:t>
      </w:r>
      <w:r w:rsidRPr="00FE03B8">
        <w:t xml:space="preserve"> the TRMI). Then, in the second stage, we run two models. The first mode</w:t>
      </w:r>
      <w:r w:rsidR="0084286F" w:rsidRPr="00FE03B8">
        <w:t>l (Equation (5</w:t>
      </w:r>
      <w:r w:rsidRPr="00FE03B8">
        <w:t>)) is provided below.</w:t>
      </w:r>
    </w:p>
    <w:tbl>
      <w:tblPr>
        <w:tblW w:w="0" w:type="auto"/>
        <w:tblLook w:val="04A0" w:firstRow="1" w:lastRow="0" w:firstColumn="1" w:lastColumn="0" w:noHBand="0" w:noVBand="1"/>
      </w:tblPr>
      <w:tblGrid>
        <w:gridCol w:w="8500"/>
        <w:gridCol w:w="516"/>
      </w:tblGrid>
      <w:tr w:rsidR="00916B26" w:rsidRPr="000A77DA" w14:paraId="6A53D251" w14:textId="77777777" w:rsidTr="00FE03B8">
        <w:trPr>
          <w:trHeight w:val="341"/>
        </w:trPr>
        <w:tc>
          <w:tcPr>
            <w:tcW w:w="8500" w:type="dxa"/>
            <w:shd w:val="clear" w:color="auto" w:fill="auto"/>
            <w:vAlign w:val="center"/>
          </w:tcPr>
          <w:p w14:paraId="3D3239DB" w14:textId="1C6399C7" w:rsidR="00916B26" w:rsidRPr="00C65C21" w:rsidRDefault="00F26C22" w:rsidP="00691A0C">
            <w:pPr>
              <w:spacing w:line="276" w:lineRule="auto"/>
              <w:jc w:val="center"/>
            </w:pPr>
            <m:oMathPara>
              <m:oMath>
                <m:sSub>
                  <m:sSubPr>
                    <m:ctrlPr>
                      <w:rPr>
                        <w:rFonts w:ascii="Cambria Math" w:hAnsi="Cambria Math"/>
                        <w:i/>
                      </w:rPr>
                    </m:ctrlPr>
                  </m:sSubPr>
                  <m:e>
                    <m:r>
                      <w:rPr>
                        <w:rFonts w:ascii="Cambria Math" w:hAnsi="Cambria Math"/>
                      </w:rPr>
                      <m:t>Btc Sens</m:t>
                    </m:r>
                  </m:e>
                  <m:sub>
                    <m:r>
                      <w:rPr>
                        <w:rFonts w:ascii="Cambria Math" w:hAnsi="Cambria Math"/>
                      </w:rPr>
                      <m:t>t</m:t>
                    </m:r>
                  </m:sub>
                </m:sSub>
                <m:r>
                  <w:rPr>
                    <w:rFonts w:ascii="Cambria Math" w:hAnsi="Cambria Math"/>
                  </w:rPr>
                  <m:t>=a+</m:t>
                </m:r>
                <m:sSub>
                  <m:sSubPr>
                    <m:ctrlPr>
                      <w:rPr>
                        <w:rFonts w:ascii="Cambria Math" w:hAnsi="Cambria Math"/>
                        <w:i/>
                      </w:rPr>
                    </m:ctrlPr>
                  </m:sSubPr>
                  <m:e>
                    <m:r>
                      <w:rPr>
                        <w:rFonts w:ascii="Cambria Math" w:hAnsi="Cambria Math"/>
                        <w:lang w:val="el-GR"/>
                      </w:rPr>
                      <m:t>b</m:t>
                    </m:r>
                  </m:e>
                  <m:sub>
                    <m:r>
                      <w:rPr>
                        <w:rFonts w:ascii="Cambria Math" w:hAnsi="Cambria Math"/>
                      </w:rPr>
                      <m:t>1</m:t>
                    </m:r>
                  </m:sub>
                </m:sSub>
                <m:sSub>
                  <m:sSubPr>
                    <m:ctrlPr>
                      <w:rPr>
                        <w:rFonts w:ascii="Cambria Math" w:hAnsi="Cambria Math"/>
                        <w:i/>
                      </w:rPr>
                    </m:ctrlPr>
                  </m:sSubPr>
                  <m:e>
                    <m:r>
                      <w:rPr>
                        <w:rFonts w:ascii="Cambria Math" w:hAnsi="Cambria Math"/>
                      </w:rPr>
                      <m:t>Industry Sens</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+ε</m:t>
                    </m:r>
                  </m:e>
                  <m:sub>
                    <m:r>
                      <w:rPr>
                        <w:rFonts w:ascii="Cambria Math" w:hAnsi="Cambria Math"/>
                      </w:rPr>
                      <m:t>t</m:t>
                    </m:r>
                  </m:sub>
                </m:sSub>
              </m:oMath>
            </m:oMathPara>
          </w:p>
        </w:tc>
        <w:tc>
          <w:tcPr>
            <w:tcW w:w="516" w:type="dxa"/>
            <w:shd w:val="clear" w:color="auto" w:fill="auto"/>
            <w:vAlign w:val="center"/>
          </w:tcPr>
          <w:p w14:paraId="4AE26545" w14:textId="77777777" w:rsidR="00916B26" w:rsidRPr="00F27B1B" w:rsidRDefault="00916B26" w:rsidP="00FE03B8">
            <w:pPr>
              <w:spacing w:line="276" w:lineRule="auto"/>
              <w:jc w:val="center"/>
              <w:rPr>
                <w:rFonts w:eastAsia="PMingLiU"/>
                <w:iCs/>
              </w:rPr>
            </w:pPr>
            <w:r w:rsidRPr="00F27B1B">
              <w:rPr>
                <w:rFonts w:eastAsia="PMingLiU"/>
                <w:iCs/>
              </w:rPr>
              <w:t>(</w:t>
            </w:r>
            <w:r w:rsidR="0084286F" w:rsidRPr="00F27B1B">
              <w:rPr>
                <w:rFonts w:eastAsia="PMingLiU"/>
                <w:iCs/>
              </w:rPr>
              <w:t>5</w:t>
            </w:r>
            <w:r w:rsidRPr="00F27B1B">
              <w:rPr>
                <w:rFonts w:eastAsia="PMingLiU"/>
                <w:iCs/>
              </w:rPr>
              <w:t>)</w:t>
            </w:r>
          </w:p>
        </w:tc>
      </w:tr>
    </w:tbl>
    <w:p w14:paraId="2CB86DDB" w14:textId="77777777" w:rsidR="00916B26" w:rsidRPr="00FE03B8" w:rsidRDefault="00916B26" w:rsidP="00916B26">
      <w:pPr>
        <w:spacing w:line="360" w:lineRule="auto"/>
        <w:rPr>
          <w:rFonts w:eastAsia="PMingLiU"/>
        </w:rPr>
      </w:pPr>
    </w:p>
    <w:p w14:paraId="3A5B2AC6" w14:textId="0898467E" w:rsidR="00916B26" w:rsidRPr="00FE03B8" w:rsidRDefault="00916B26" w:rsidP="00233A2E">
      <w:pPr>
        <w:ind w:firstLine="426"/>
        <w:rPr>
          <w:rFonts w:eastAsia="PMingLiU"/>
        </w:rPr>
      </w:pPr>
      <w:r w:rsidRPr="00FE03B8">
        <w:rPr>
          <w:rFonts w:eastAsia="PMingLiU"/>
        </w:rPr>
        <w:t xml:space="preserve">In this model, we investigate the association between the sensitivity of the returns of the industry indices to </w:t>
      </w:r>
      <w:r w:rsidR="00E20FFB">
        <w:rPr>
          <w:rFonts w:eastAsia="PMingLiU"/>
        </w:rPr>
        <w:t>Sentiment</w:t>
      </w:r>
      <w:r w:rsidRPr="00FE03B8">
        <w:rPr>
          <w:rFonts w:eastAsia="PMingLiU"/>
        </w:rPr>
        <w:t xml:space="preserve"> (vector </w:t>
      </w:r>
      <m:oMath>
        <m:sSub>
          <m:sSubPr>
            <m:ctrlPr>
              <w:rPr>
                <w:rFonts w:ascii="Cambria Math" w:hAnsi="Cambria Math"/>
                <w:i/>
              </w:rPr>
            </m:ctrlPr>
          </m:sSubPr>
          <m:e>
            <m:r>
              <w:rPr>
                <w:rFonts w:ascii="Cambria Math" w:hAnsi="Cambria Math"/>
              </w:rPr>
              <m:t>Industry Sens</m:t>
            </m:r>
          </m:e>
          <m:sub>
            <m:r>
              <w:rPr>
                <w:rFonts w:ascii="Cambria Math" w:hAnsi="Cambria Math"/>
              </w:rPr>
              <m:t>t</m:t>
            </m:r>
          </m:sub>
        </m:sSub>
        <m:r>
          <w:rPr>
            <w:rFonts w:ascii="Cambria Math" w:hAnsi="Cambria Math"/>
          </w:rPr>
          <m:t xml:space="preserve">) </m:t>
        </m:r>
      </m:oMath>
      <w:r w:rsidRPr="00FE03B8">
        <w:rPr>
          <w:rFonts w:eastAsia="PMingLiU"/>
        </w:rPr>
        <w:t xml:space="preserve">with the sensitivity of </w:t>
      </w:r>
      <w:r w:rsidR="003B3564">
        <w:rPr>
          <w:rFonts w:eastAsia="PMingLiU"/>
        </w:rPr>
        <w:t>B</w:t>
      </w:r>
      <w:r w:rsidR="00E20FFB">
        <w:rPr>
          <w:rFonts w:eastAsia="PMingLiU"/>
        </w:rPr>
        <w:t>itcoin returns to Sentiment</w:t>
      </w:r>
      <m:oMath>
        <m:sSub>
          <m:sSubPr>
            <m:ctrlPr>
              <w:rPr>
                <w:rFonts w:ascii="Cambria Math" w:hAnsi="Cambria Math"/>
                <w:i/>
              </w:rPr>
            </m:ctrlPr>
          </m:sSubPr>
          <m:e>
            <m:r>
              <w:rPr>
                <w:rFonts w:ascii="Cambria Math" w:hAnsi="Cambria Math"/>
              </w:rPr>
              <m:t xml:space="preserve"> (Btc Sens</m:t>
            </m:r>
          </m:e>
          <m:sub>
            <m:r>
              <w:rPr>
                <w:rFonts w:ascii="Cambria Math" w:hAnsi="Cambria Math"/>
              </w:rPr>
              <m:t>t</m:t>
            </m:r>
          </m:sub>
        </m:sSub>
        <m:r>
          <w:rPr>
            <w:rFonts w:ascii="Cambria Math" w:hAnsi="Cambria Math"/>
          </w:rPr>
          <m:t>)</m:t>
        </m:r>
      </m:oMath>
      <w:r w:rsidRPr="00FE03B8">
        <w:rPr>
          <w:rFonts w:eastAsia="PMingLiU"/>
        </w:rPr>
        <w:t>. Significant results following the estimation of Equation (</w:t>
      </w:r>
      <w:r w:rsidR="00A3177D">
        <w:rPr>
          <w:rFonts w:eastAsia="PMingLiU"/>
        </w:rPr>
        <w:t>5</w:t>
      </w:r>
      <w:r w:rsidRPr="00FE03B8">
        <w:rPr>
          <w:rFonts w:eastAsia="PMingLiU"/>
        </w:rPr>
        <w:t xml:space="preserve">) would provide some preliminary evidence that the effect of </w:t>
      </w:r>
      <w:r w:rsidR="00E20FFB">
        <w:rPr>
          <w:rFonts w:eastAsia="PMingLiU"/>
        </w:rPr>
        <w:t>Sentiment</w:t>
      </w:r>
      <w:r w:rsidRPr="00FE03B8">
        <w:rPr>
          <w:rFonts w:eastAsia="PMingLiU"/>
        </w:rPr>
        <w:t xml:space="preserve"> on Bitcoin returns would depend on the sensitivity of the </w:t>
      </w:r>
      <w:r w:rsidR="003D6062" w:rsidRPr="00FE03B8">
        <w:rPr>
          <w:rFonts w:eastAsia="PMingLiU"/>
        </w:rPr>
        <w:t>industry indices' return</w:t>
      </w:r>
      <w:r w:rsidRPr="00FE03B8">
        <w:rPr>
          <w:rFonts w:eastAsia="PMingLiU"/>
        </w:rPr>
        <w:t xml:space="preserve">s to </w:t>
      </w:r>
      <w:r w:rsidR="00907004">
        <w:rPr>
          <w:rFonts w:eastAsia="PMingLiU"/>
        </w:rPr>
        <w:t>the Sentiment</w:t>
      </w:r>
      <w:r w:rsidRPr="00FE03B8">
        <w:rPr>
          <w:rFonts w:eastAsia="PMingLiU"/>
        </w:rPr>
        <w:t xml:space="preserve">. This would provide some initial evidence that </w:t>
      </w:r>
      <w:r w:rsidR="004D45C8">
        <w:rPr>
          <w:rFonts w:eastAsia="PMingLiU"/>
        </w:rPr>
        <w:t>Sentiment</w:t>
      </w:r>
      <w:r w:rsidRPr="00FE03B8">
        <w:rPr>
          <w:rFonts w:eastAsia="PMingLiU"/>
        </w:rPr>
        <w:t xml:space="preserve"> could affect Bitcoin returns through the</w:t>
      </w:r>
      <w:r w:rsidR="003D6062" w:rsidRPr="00FE03B8">
        <w:rPr>
          <w:rFonts w:eastAsia="PMingLiU"/>
        </w:rPr>
        <w:t>ir effect</w:t>
      </w:r>
      <w:r w:rsidRPr="00FE03B8">
        <w:rPr>
          <w:rFonts w:eastAsia="PMingLiU"/>
        </w:rPr>
        <w:t xml:space="preserve"> in other industries. Hence, this would </w:t>
      </w:r>
      <w:r w:rsidR="00233A2E">
        <w:rPr>
          <w:rFonts w:eastAsia="PMingLiU"/>
        </w:rPr>
        <w:t>indicate</w:t>
      </w:r>
      <w:r w:rsidRPr="00FE03B8">
        <w:rPr>
          <w:rFonts w:eastAsia="PMingLiU"/>
        </w:rPr>
        <w:t xml:space="preserve"> that the transmission of the effect</w:t>
      </w:r>
      <w:r w:rsidR="00AD1D95">
        <w:rPr>
          <w:rFonts w:eastAsia="PMingLiU"/>
        </w:rPr>
        <w:t xml:space="preserve"> of</w:t>
      </w:r>
      <w:r w:rsidRPr="00FE03B8">
        <w:rPr>
          <w:rFonts w:eastAsia="PMingLiU"/>
        </w:rPr>
        <w:t xml:space="preserve"> </w:t>
      </w:r>
      <w:r w:rsidR="00007E8B">
        <w:rPr>
          <w:rFonts w:eastAsia="PMingLiU"/>
        </w:rPr>
        <w:t xml:space="preserve">Sentiment </w:t>
      </w:r>
      <w:r w:rsidRPr="00FE03B8">
        <w:rPr>
          <w:rFonts w:eastAsia="PMingLiU"/>
        </w:rPr>
        <w:t xml:space="preserve">on Bitcoin returns is </w:t>
      </w:r>
      <w:r w:rsidR="00D20139" w:rsidRPr="00FE03B8">
        <w:rPr>
          <w:rFonts w:eastAsia="PMingLiU"/>
        </w:rPr>
        <w:t>channelled</w:t>
      </w:r>
      <w:r w:rsidR="0075541D" w:rsidRPr="00FE03B8">
        <w:rPr>
          <w:rFonts w:eastAsia="PMingLiU"/>
        </w:rPr>
        <w:t xml:space="preserve"> through other </w:t>
      </w:r>
      <w:r w:rsidRPr="00FE03B8">
        <w:rPr>
          <w:rFonts w:eastAsia="PMingLiU"/>
        </w:rPr>
        <w:t xml:space="preserve">industries. </w:t>
      </w:r>
    </w:p>
    <w:p w14:paraId="5684BAF4" w14:textId="77777777" w:rsidR="00916B26" w:rsidRPr="00FE03B8" w:rsidRDefault="00916B26" w:rsidP="00916B26">
      <w:pPr>
        <w:pStyle w:val="Heading2"/>
        <w:numPr>
          <w:ilvl w:val="1"/>
          <w:numId w:val="1"/>
        </w:numPr>
      </w:pPr>
      <w:r w:rsidRPr="00FE03B8">
        <w:t>Main model</w:t>
      </w:r>
    </w:p>
    <w:p w14:paraId="3D05185A" w14:textId="62E78408" w:rsidR="00916B26" w:rsidRPr="00FE03B8" w:rsidRDefault="00A3177D" w:rsidP="0064216B">
      <w:pPr>
        <w:ind w:firstLine="426"/>
        <w:rPr>
          <w:rFonts w:eastAsia="PMingLiU"/>
        </w:rPr>
      </w:pPr>
      <w:r>
        <w:rPr>
          <w:rFonts w:eastAsia="PMingLiU"/>
        </w:rPr>
        <w:t>This paper’s main model, given in</w:t>
      </w:r>
      <w:r w:rsidR="00916B26" w:rsidRPr="00FE03B8">
        <w:rPr>
          <w:rFonts w:eastAsia="PMingLiU"/>
        </w:rPr>
        <w:t xml:space="preserve"> Equation (</w:t>
      </w:r>
      <w:r>
        <w:rPr>
          <w:rFonts w:eastAsia="PMingLiU"/>
        </w:rPr>
        <w:t>6</w:t>
      </w:r>
      <w:r w:rsidR="00916B26" w:rsidRPr="00FE03B8">
        <w:rPr>
          <w:rFonts w:eastAsia="PMingLiU"/>
        </w:rPr>
        <w:t>)</w:t>
      </w:r>
      <w:r>
        <w:rPr>
          <w:rFonts w:eastAsia="PMingLiU"/>
        </w:rPr>
        <w:t>,</w:t>
      </w:r>
      <w:r w:rsidR="00916B26" w:rsidRPr="00FE03B8">
        <w:rPr>
          <w:rFonts w:eastAsia="PMingLiU"/>
        </w:rPr>
        <w:t xml:space="preserve"> regresses the effect of </w:t>
      </w:r>
      <w:r w:rsidR="00F9088F">
        <w:rPr>
          <w:rFonts w:eastAsia="PMingLiU"/>
        </w:rPr>
        <w:t>Sentiment</w:t>
      </w:r>
      <w:r w:rsidR="00AD1D95">
        <w:rPr>
          <w:rFonts w:eastAsia="PMingLiU"/>
        </w:rPr>
        <w:t>,</w:t>
      </w:r>
      <w:r w:rsidR="00916B26" w:rsidRPr="00FE03B8">
        <w:rPr>
          <w:rFonts w:eastAsia="PMingLiU"/>
        </w:rPr>
        <w:t xml:space="preserve"> industry sensitivity to </w:t>
      </w:r>
      <w:r w:rsidR="00F9088F">
        <w:rPr>
          <w:rFonts w:eastAsia="PMingLiU"/>
        </w:rPr>
        <w:t>Sentiment</w:t>
      </w:r>
      <w:r w:rsidR="003D6062" w:rsidRPr="00FE03B8">
        <w:rPr>
          <w:rFonts w:eastAsia="PMingLiU"/>
        </w:rPr>
        <w:t>,</w:t>
      </w:r>
      <w:r w:rsidR="00916B26" w:rsidRPr="00FE03B8">
        <w:rPr>
          <w:rFonts w:eastAsia="PMingLiU"/>
        </w:rPr>
        <w:t xml:space="preserve"> and their interaction on Bitcoin returns. Out of all the explanatory variables, most of the interest falls on the coefficient of the interaction term (b</w:t>
      </w:r>
      <w:r w:rsidR="00916B26" w:rsidRPr="00FE03B8">
        <w:rPr>
          <w:rFonts w:eastAsia="PMingLiU"/>
          <w:vertAlign w:val="subscript"/>
        </w:rPr>
        <w:t>3</w:t>
      </w:r>
      <w:r w:rsidR="00916B26" w:rsidRPr="00FE03B8">
        <w:rPr>
          <w:rFonts w:eastAsia="PMingLiU"/>
        </w:rPr>
        <w:t>)</w:t>
      </w:r>
      <w:r w:rsidR="0050317A" w:rsidRPr="00FE03B8">
        <w:rPr>
          <w:rFonts w:eastAsia="PMingLiU"/>
        </w:rPr>
        <w:t xml:space="preserve">. Significant </w:t>
      </w:r>
      <w:r w:rsidR="0050317A" w:rsidRPr="00FE03B8">
        <w:rPr>
          <w:rFonts w:eastAsia="PMingLiU"/>
        </w:rPr>
        <w:lastRenderedPageBreak/>
        <w:t>values for this coefficient</w:t>
      </w:r>
      <w:r w:rsidR="00916B26" w:rsidRPr="00FE03B8">
        <w:rPr>
          <w:rFonts w:eastAsia="PMingLiU"/>
        </w:rPr>
        <w:t xml:space="preserve"> suggest that industry sensitivity to </w:t>
      </w:r>
      <w:r w:rsidR="009B2CF8">
        <w:rPr>
          <w:rFonts w:eastAsia="PMingLiU"/>
        </w:rPr>
        <w:t>Sentiment</w:t>
      </w:r>
      <w:r w:rsidR="00916B26" w:rsidRPr="00FE03B8">
        <w:rPr>
          <w:rFonts w:eastAsia="PMingLiU"/>
        </w:rPr>
        <w:t xml:space="preserve"> </w:t>
      </w:r>
      <w:r w:rsidR="00F9088F">
        <w:rPr>
          <w:rFonts w:eastAsia="PMingLiU"/>
        </w:rPr>
        <w:t xml:space="preserve">facilitates the </w:t>
      </w:r>
      <w:r w:rsidR="00AD1D95">
        <w:rPr>
          <w:rFonts w:eastAsia="PMingLiU"/>
        </w:rPr>
        <w:t xml:space="preserve">association </w:t>
      </w:r>
      <w:r w:rsidR="00E33873">
        <w:rPr>
          <w:rFonts w:eastAsia="PMingLiU"/>
        </w:rPr>
        <w:t>between industry</w:t>
      </w:r>
      <w:r w:rsidR="00DA337F">
        <w:rPr>
          <w:rFonts w:eastAsia="PMingLiU"/>
        </w:rPr>
        <w:t xml:space="preserve"> </w:t>
      </w:r>
      <w:r w:rsidR="00CE0E6E">
        <w:rPr>
          <w:rFonts w:eastAsia="PMingLiU"/>
        </w:rPr>
        <w:t>indices</w:t>
      </w:r>
      <w:r w:rsidR="00F9088F">
        <w:rPr>
          <w:rFonts w:eastAsia="PMingLiU"/>
        </w:rPr>
        <w:t xml:space="preserve"> </w:t>
      </w:r>
      <w:r w:rsidR="00AD1D95">
        <w:rPr>
          <w:rFonts w:eastAsia="PMingLiU"/>
        </w:rPr>
        <w:t>and</w:t>
      </w:r>
      <w:r w:rsidR="00916B26" w:rsidRPr="00FE03B8">
        <w:rPr>
          <w:rFonts w:eastAsia="PMingLiU"/>
        </w:rPr>
        <w:t xml:space="preserve"> Bitcoin returns.</w:t>
      </w:r>
    </w:p>
    <w:tbl>
      <w:tblPr>
        <w:tblW w:w="9104" w:type="dxa"/>
        <w:tblCellMar>
          <w:left w:w="0" w:type="dxa"/>
          <w:right w:w="0" w:type="dxa"/>
        </w:tblCellMar>
        <w:tblLook w:val="04A0" w:firstRow="1" w:lastRow="0" w:firstColumn="1" w:lastColumn="0" w:noHBand="0" w:noVBand="1"/>
      </w:tblPr>
      <w:tblGrid>
        <w:gridCol w:w="8447"/>
        <w:gridCol w:w="657"/>
      </w:tblGrid>
      <w:tr w:rsidR="005220F6" w14:paraId="14CBCD6F" w14:textId="77777777" w:rsidTr="00FE03B8">
        <w:trPr>
          <w:trHeight w:val="641"/>
        </w:trPr>
        <w:tc>
          <w:tcPr>
            <w:tcW w:w="8447" w:type="dxa"/>
            <w:shd w:val="clear" w:color="auto" w:fill="auto"/>
            <w:vAlign w:val="center"/>
          </w:tcPr>
          <w:bookmarkStart w:id="0" w:name="_Hlk75805537"/>
          <w:p w14:paraId="07841C40" w14:textId="1545F9C7" w:rsidR="005220F6" w:rsidRPr="00FE03B8" w:rsidRDefault="00F26C22" w:rsidP="00F9088F">
            <w:pPr>
              <w:spacing w:line="240" w:lineRule="auto"/>
              <w:jc w:val="center"/>
              <w:rPr>
                <w:rFonts w:eastAsia="PMingLiU"/>
              </w:rPr>
            </w:pPr>
            <m:oMath>
              <m:sSub>
                <m:sSubPr>
                  <m:ctrlPr>
                    <w:rPr>
                      <w:rFonts w:ascii="Cambria Math" w:hAnsi="Cambria Math"/>
                      <w:i/>
                    </w:rPr>
                  </m:ctrlPr>
                </m:sSubPr>
                <m:e>
                  <m:r>
                    <w:rPr>
                      <w:rFonts w:ascii="Cambria Math" w:hAnsi="Cambria Math"/>
                    </w:rPr>
                    <m:t>B</m:t>
                  </m:r>
                  <m:r>
                    <w:rPr>
                      <w:rFonts w:ascii="Cambria Math" w:hAnsi="Cambria Math"/>
                      <w:lang w:val="en-US"/>
                    </w:rPr>
                    <m:t>TC</m:t>
                  </m:r>
                  <m:r>
                    <w:rPr>
                      <w:rFonts w:ascii="Cambria Math" w:hAnsi="Cambria Math"/>
                    </w:rPr>
                    <m:t xml:space="preserve"> Return</m:t>
                  </m:r>
                </m:e>
                <m:sub>
                  <m:r>
                    <w:rPr>
                      <w:rFonts w:ascii="Cambria Math" w:hAnsi="Cambria Math"/>
                    </w:rPr>
                    <m:t>t</m:t>
                  </m:r>
                </m:sub>
              </m:sSub>
              <m:sSub>
                <m:sSubPr>
                  <m:ctrlPr>
                    <w:rPr>
                      <w:rFonts w:ascii="Cambria Math" w:hAnsi="Cambria Math"/>
                      <w:i/>
                    </w:rPr>
                  </m:ctrlPr>
                </m:sSubPr>
                <m:e>
                  <m:r>
                    <w:rPr>
                      <w:rFonts w:ascii="Cambria Math" w:hAnsi="Cambria Math"/>
                    </w:rPr>
                    <m:t>=</m:t>
                  </m:r>
                  <m:r>
                    <w:rPr>
                      <w:rFonts w:ascii="Cambria Math" w:hAnsi="Cambria Math"/>
                      <w:lang w:val="el-GR"/>
                    </w:rPr>
                    <m:t>α</m:t>
                  </m:r>
                  <m:r>
                    <w:rPr>
                      <w:rFonts w:ascii="Cambria Math" w:hAnsi="Cambria Math"/>
                    </w:rPr>
                    <m:t xml:space="preserve"> + </m:t>
                  </m:r>
                  <m:sSub>
                    <m:sSubPr>
                      <m:ctrlPr>
                        <w:rPr>
                          <w:rFonts w:ascii="Cambria Math" w:hAnsi="Cambria Math"/>
                          <w:i/>
                        </w:rPr>
                      </m:ctrlPr>
                    </m:sSubPr>
                    <m:e>
                      <m:r>
                        <w:rPr>
                          <w:rFonts w:ascii="Cambria Math" w:hAnsi="Cambria Math"/>
                          <w:lang w:val="el-GR"/>
                        </w:rPr>
                        <m:t>b</m:t>
                      </m:r>
                    </m:e>
                    <m:sub>
                      <m:r>
                        <w:rPr>
                          <w:rFonts w:ascii="Cambria Math" w:hAnsi="Cambria Math"/>
                        </w:rPr>
                        <m:t>1</m:t>
                      </m:r>
                    </m:sub>
                  </m:sSub>
                  <m:sSub>
                    <m:sSubPr>
                      <m:ctrlPr>
                        <w:rPr>
                          <w:rFonts w:ascii="Cambria Math" w:hAnsi="Cambria Math"/>
                          <w:i/>
                        </w:rPr>
                      </m:ctrlPr>
                    </m:sSubPr>
                    <m:e>
                      <m:r>
                        <w:rPr>
                          <w:rFonts w:ascii="Cambria Math" w:hAnsi="Cambria Math"/>
                        </w:rPr>
                        <m:t>Sentiment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lang w:val="el-GR"/>
                        </w:rPr>
                        <m:t>b</m:t>
                      </m:r>
                    </m:e>
                    <m:sub>
                      <m:r>
                        <w:rPr>
                          <w:rFonts w:ascii="Cambria Math" w:hAnsi="Cambria Math"/>
                        </w:rPr>
                        <m:t>2</m:t>
                      </m:r>
                    </m:sub>
                  </m:sSub>
                  <m:sSub>
                    <m:sSubPr>
                      <m:ctrlPr>
                        <w:rPr>
                          <w:rFonts w:ascii="Cambria Math" w:hAnsi="Cambria Math"/>
                          <w:i/>
                        </w:rPr>
                      </m:ctrlPr>
                    </m:sSubPr>
                    <m:e>
                      <m:r>
                        <w:rPr>
                          <w:rFonts w:ascii="Cambria Math" w:hAnsi="Cambria Math"/>
                        </w:rPr>
                        <m:t>Industry Sens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lang w:val="el-GR"/>
                        </w:rPr>
                        <m:t>b</m:t>
                      </m:r>
                    </m:e>
                    <m:sub>
                      <m:r>
                        <w:rPr>
                          <w:rFonts w:ascii="Cambria Math" w:hAnsi="Cambria Math"/>
                        </w:rPr>
                        <m:t>3</m:t>
                      </m:r>
                    </m:sub>
                  </m:sSub>
                  <m:d>
                    <m:dPr>
                      <m:ctrlPr>
                        <w:rPr>
                          <w:rFonts w:ascii="Cambria Math" w:hAnsi="Cambria Math"/>
                          <w:i/>
                        </w:rPr>
                      </m:ctrlPr>
                    </m:dPr>
                    <m:e>
                      <m:sSub>
                        <m:sSubPr>
                          <m:ctrlPr>
                            <w:rPr>
                              <w:rFonts w:ascii="Cambria Math" w:hAnsi="Cambria Math"/>
                              <w:i/>
                            </w:rPr>
                          </m:ctrlPr>
                        </m:sSubPr>
                        <m:e>
                          <m:r>
                            <w:rPr>
                              <w:rFonts w:ascii="Cambria Math" w:hAnsi="Cambria Math"/>
                            </w:rPr>
                            <m:t>Industry Sens</m:t>
                          </m:r>
                        </m:e>
                        <m:sub>
                          <m:r>
                            <w:rPr>
                              <w:rFonts w:ascii="Cambria Math" w:hAnsi="Cambria Math"/>
                            </w:rPr>
                            <m:t>t</m:t>
                          </m:r>
                        </m:sub>
                      </m:sSub>
                      <m:r>
                        <w:rPr>
                          <w:rFonts w:ascii="Cambria Math" w:hAnsi="Cambria Math"/>
                        </w:rPr>
                        <m:t xml:space="preserve"> *</m:t>
                      </m:r>
                      <m:sSub>
                        <m:sSubPr>
                          <m:ctrlPr>
                            <w:rPr>
                              <w:rFonts w:ascii="Cambria Math" w:hAnsi="Cambria Math"/>
                              <w:i/>
                            </w:rPr>
                          </m:ctrlPr>
                        </m:sSubPr>
                        <m:e>
                          <m:r>
                            <w:rPr>
                              <w:rFonts w:ascii="Cambria Math" w:hAnsi="Cambria Math"/>
                            </w:rPr>
                            <m:t>Sentiment</m:t>
                          </m:r>
                        </m:e>
                        <m:sub>
                          <m:r>
                            <w:rPr>
                              <w:rFonts w:ascii="Cambria Math" w:hAnsi="Cambria Math"/>
                            </w:rPr>
                            <m:t>t</m:t>
                          </m:r>
                        </m:sub>
                      </m:sSub>
                    </m:e>
                  </m:d>
                  <m:r>
                    <w:rPr>
                      <w:rFonts w:ascii="Cambria Math" w:hAnsi="Cambria Math"/>
                    </w:rPr>
                    <m:t>+</m:t>
                  </m:r>
                  <m:sSub>
                    <m:sSubPr>
                      <m:ctrlPr>
                        <w:rPr>
                          <w:rFonts w:ascii="Cambria Math" w:hAnsi="Cambria Math"/>
                          <w:i/>
                        </w:rPr>
                      </m:ctrlPr>
                    </m:sSubPr>
                    <m:e>
                      <m:r>
                        <w:rPr>
                          <w:rFonts w:ascii="Cambria Math" w:hAnsi="Cambria Math"/>
                          <w:lang w:val="el-GR"/>
                        </w:rPr>
                        <m:t>b</m:t>
                      </m:r>
                    </m:e>
                    <m:sub>
                      <m:r>
                        <w:rPr>
                          <w:rFonts w:ascii="Cambria Math" w:hAnsi="Cambria Math"/>
                        </w:rPr>
                        <m:t>4</m:t>
                      </m:r>
                    </m:sub>
                  </m:sSub>
                  <m:sSub>
                    <m:sSubPr>
                      <m:ctrlPr>
                        <w:rPr>
                          <w:rFonts w:ascii="Cambria Math" w:hAnsi="Cambria Math"/>
                          <w:i/>
                        </w:rPr>
                      </m:ctrlPr>
                    </m:sSubPr>
                    <m:e>
                      <m:r>
                        <w:rPr>
                          <w:rFonts w:ascii="Cambria Math" w:hAnsi="Cambria Math"/>
                        </w:rPr>
                        <m:t>Controls</m:t>
                      </m:r>
                    </m:e>
                    <m:sub>
                      <m:r>
                        <w:rPr>
                          <w:rFonts w:ascii="Cambria Math" w:hAnsi="Cambria Math"/>
                        </w:rPr>
                        <m:t>t</m:t>
                      </m:r>
                    </m:sub>
                  </m:sSub>
                  <m:r>
                    <w:rPr>
                      <w:rFonts w:ascii="Cambria Math" w:hAnsi="Cambria Math"/>
                    </w:rPr>
                    <m:t xml:space="preserve"> + ε</m:t>
                  </m:r>
                </m:e>
                <m:sub>
                  <m:r>
                    <w:rPr>
                      <w:rFonts w:ascii="Cambria Math" w:hAnsi="Cambria Math"/>
                    </w:rPr>
                    <m:t>t</m:t>
                  </m:r>
                </m:sub>
              </m:sSub>
            </m:oMath>
            <w:bookmarkEnd w:id="0"/>
            <w:r w:rsidR="007D2EF9" w:rsidRPr="00FE03B8">
              <w:rPr>
                <w:rFonts w:eastAsia="PMingLiU"/>
              </w:rPr>
              <w:t xml:space="preserve"> </w:t>
            </w:r>
          </w:p>
        </w:tc>
        <w:tc>
          <w:tcPr>
            <w:tcW w:w="657" w:type="dxa"/>
            <w:shd w:val="clear" w:color="auto" w:fill="auto"/>
            <w:vAlign w:val="center"/>
          </w:tcPr>
          <w:p w14:paraId="723C77C6" w14:textId="77777777" w:rsidR="005220F6" w:rsidRPr="00FE03B8" w:rsidRDefault="005220F6" w:rsidP="00FE03B8">
            <w:pPr>
              <w:spacing w:line="240" w:lineRule="auto"/>
              <w:jc w:val="center"/>
              <w:rPr>
                <w:rFonts w:eastAsia="PMingLiU"/>
                <w:i/>
                <w:iCs/>
                <w:lang w:val="el-GR"/>
              </w:rPr>
            </w:pPr>
            <w:r w:rsidRPr="00FE03B8">
              <w:rPr>
                <w:rFonts w:eastAsia="PMingLiU"/>
                <w:i/>
                <w:iCs/>
                <w:lang w:val="el-GR"/>
              </w:rPr>
              <w:t>(6)</w:t>
            </w:r>
          </w:p>
        </w:tc>
      </w:tr>
    </w:tbl>
    <w:p w14:paraId="7FC7C8E5" w14:textId="77777777" w:rsidR="000B563D" w:rsidRDefault="000B563D" w:rsidP="000B563D"/>
    <w:p w14:paraId="6994E161" w14:textId="3586646F" w:rsidR="00916B26" w:rsidRDefault="00916B26" w:rsidP="00916B26">
      <w:pPr>
        <w:pStyle w:val="Heading1"/>
        <w:numPr>
          <w:ilvl w:val="0"/>
          <w:numId w:val="1"/>
        </w:numPr>
      </w:pPr>
      <w:r>
        <w:t>Results</w:t>
      </w:r>
    </w:p>
    <w:p w14:paraId="0F974013" w14:textId="5FFE9855" w:rsidR="000F2890" w:rsidRPr="000F2890" w:rsidRDefault="000F2890" w:rsidP="00233A2E">
      <w:pPr>
        <w:ind w:firstLine="426"/>
      </w:pPr>
      <w:r>
        <w:t xml:space="preserve">In this section, we </w:t>
      </w:r>
      <w:r w:rsidR="00B54A01">
        <w:t>present</w:t>
      </w:r>
      <w:r>
        <w:t xml:space="preserve"> </w:t>
      </w:r>
      <w:r w:rsidR="003B3564">
        <w:t xml:space="preserve">our </w:t>
      </w:r>
      <w:r>
        <w:t xml:space="preserve">results in two </w:t>
      </w:r>
      <w:r w:rsidR="00EB1D21">
        <w:t>part</w:t>
      </w:r>
      <w:r>
        <w:t xml:space="preserve">s. In the first </w:t>
      </w:r>
      <w:r w:rsidR="00EB1D21">
        <w:t>part</w:t>
      </w:r>
      <w:r>
        <w:t xml:space="preserve"> (Preliminary Analysis)</w:t>
      </w:r>
      <w:r w:rsidR="003D6062">
        <w:t>,</w:t>
      </w:r>
      <w:r>
        <w:t xml:space="preserve"> we attempt to replicate the analysis from prior literature and contrast results. </w:t>
      </w:r>
      <w:r w:rsidR="00233A2E">
        <w:t>The second part (Main Analysis) estimates the models we develop in Section 3 (Methodology) and discusse</w:t>
      </w:r>
      <w:r>
        <w:t>s our findings.</w:t>
      </w:r>
    </w:p>
    <w:p w14:paraId="3881D9B7" w14:textId="77777777" w:rsidR="000F2890" w:rsidRDefault="000F2890" w:rsidP="00FC31FB">
      <w:pPr>
        <w:pStyle w:val="Heading2"/>
        <w:numPr>
          <w:ilvl w:val="1"/>
          <w:numId w:val="1"/>
        </w:numPr>
      </w:pPr>
      <w:r>
        <w:t>Preliminary Analysis</w:t>
      </w:r>
    </w:p>
    <w:p w14:paraId="688A1FE3" w14:textId="0CC104A7" w:rsidR="00871B6D" w:rsidRDefault="00F427E0" w:rsidP="0050317A">
      <w:pPr>
        <w:ind w:firstLine="426"/>
      </w:pPr>
      <w:r>
        <w:t xml:space="preserve">Table 1 </w:t>
      </w:r>
      <w:r w:rsidR="00871B6D">
        <w:t xml:space="preserve">presents the estimated correlation coefficients of Bitcoin return and the returns of the four industry indices we discussed in Section </w:t>
      </w:r>
      <w:r w:rsidR="00E20A1F">
        <w:t>2</w:t>
      </w:r>
      <w:r w:rsidR="00871B6D">
        <w:t xml:space="preserve"> (Data). We observe that the estimated correlations between the return of Bitcoin and the </w:t>
      </w:r>
      <w:r w:rsidR="0050317A">
        <w:t>four industry indices' return</w:t>
      </w:r>
      <w:r w:rsidR="00871B6D">
        <w:t>s are statistically insignificant.</w:t>
      </w:r>
    </w:p>
    <w:p w14:paraId="15F64293" w14:textId="77777777" w:rsidR="005702AD" w:rsidRDefault="005702AD" w:rsidP="004910CC">
      <w:pPr>
        <w:spacing w:after="240"/>
        <w:ind w:firstLine="426"/>
        <w:jc w:val="center"/>
      </w:pPr>
      <w:r>
        <w:t>[INSERT TABLE 1]</w:t>
      </w:r>
    </w:p>
    <w:p w14:paraId="2364C597" w14:textId="7464B23C" w:rsidR="00871B6D" w:rsidRDefault="00871B6D" w:rsidP="00871B6D">
      <w:pPr>
        <w:ind w:firstLine="426"/>
      </w:pPr>
      <w:r>
        <w:t xml:space="preserve">Table 2 presents the results of regressing Bitcoin return on each of the industry returns individually while also controlling for factors that have been shown in prior literature to be associated with Bitcoin returns, </w:t>
      </w:r>
      <w:r w:rsidR="003B351F">
        <w:t>Bitcoin Trading Volume (Volume</w:t>
      </w:r>
      <w:r w:rsidR="00011720">
        <w:t>)</w:t>
      </w:r>
      <w:r w:rsidR="003B351F">
        <w:t xml:space="preserve">, </w:t>
      </w:r>
      <w:r>
        <w:t xml:space="preserve">Volatility Index (VIX), </w:t>
      </w:r>
      <w:r w:rsidR="003B351F">
        <w:t xml:space="preserve">and Political Uncertainty (EPU). The results suggest </w:t>
      </w:r>
      <w:r w:rsidR="003D6062">
        <w:t xml:space="preserve">an </w:t>
      </w:r>
      <w:r w:rsidR="003B351F">
        <w:t xml:space="preserve">insignificant association between the returns of Bitcoin and Industry indices. </w:t>
      </w:r>
    </w:p>
    <w:p w14:paraId="6BFCF091" w14:textId="77777777" w:rsidR="000D34A3" w:rsidRDefault="000D34A3" w:rsidP="000D34A3">
      <w:pPr>
        <w:ind w:firstLine="426"/>
        <w:jc w:val="center"/>
      </w:pPr>
      <w:r>
        <w:t>[INSERT TABLE 2]</w:t>
      </w:r>
    </w:p>
    <w:p w14:paraId="61A5EC26" w14:textId="56169FE8" w:rsidR="004F0A0D" w:rsidRDefault="003B351F" w:rsidP="00233A2E">
      <w:pPr>
        <w:ind w:firstLine="426"/>
      </w:pPr>
      <w:r>
        <w:t>Table 3 presents the estimates of regression Bitco</w:t>
      </w:r>
      <w:r w:rsidR="00845053">
        <w:t xml:space="preserve">in return on </w:t>
      </w:r>
      <w:r w:rsidR="00C41D08">
        <w:t xml:space="preserve">Sentiment </w:t>
      </w:r>
      <w:r>
        <w:t>return by progressively adding control variables in the model (Volume, VIX</w:t>
      </w:r>
      <w:r w:rsidR="003D6062">
        <w:t>,</w:t>
      </w:r>
      <w:r>
        <w:t xml:space="preserve"> and EPU). In all cases, we find that </w:t>
      </w:r>
      <w:r w:rsidR="003D6062">
        <w:t xml:space="preserve">the </w:t>
      </w:r>
      <w:r w:rsidR="00845053">
        <w:t>coefficient of s</w:t>
      </w:r>
      <w:r>
        <w:t xml:space="preserve">entiment return is insignificant. </w:t>
      </w:r>
    </w:p>
    <w:p w14:paraId="35616936" w14:textId="77777777" w:rsidR="000D34A3" w:rsidRDefault="000D34A3" w:rsidP="000D34A3">
      <w:pPr>
        <w:ind w:firstLine="426"/>
        <w:jc w:val="center"/>
      </w:pPr>
      <w:r>
        <w:t>[INSERT TABLE 3]</w:t>
      </w:r>
    </w:p>
    <w:p w14:paraId="750E1CAC" w14:textId="77777777" w:rsidR="00F427E0" w:rsidRDefault="004F0A0D" w:rsidP="00FC31FB">
      <w:pPr>
        <w:pStyle w:val="Heading3"/>
        <w:numPr>
          <w:ilvl w:val="2"/>
          <w:numId w:val="1"/>
        </w:numPr>
      </w:pPr>
      <w:r>
        <w:lastRenderedPageBreak/>
        <w:t>Links to prior literature</w:t>
      </w:r>
      <w:r w:rsidR="00871B6D">
        <w:t xml:space="preserve"> </w:t>
      </w:r>
    </w:p>
    <w:p w14:paraId="396EED71" w14:textId="0510AB29" w:rsidR="00792D44" w:rsidRPr="00FE03B8" w:rsidRDefault="00792D44" w:rsidP="00233A2E">
      <w:pPr>
        <w:ind w:firstLine="426"/>
        <w:contextualSpacing/>
        <w:rPr>
          <w:color w:val="323130"/>
          <w:szCs w:val="24"/>
          <w:shd w:val="clear" w:color="auto" w:fill="FFFFFF"/>
        </w:rPr>
      </w:pPr>
      <w:r w:rsidRPr="00FE03B8">
        <w:rPr>
          <w:color w:val="323130"/>
          <w:szCs w:val="24"/>
          <w:shd w:val="clear" w:color="auto" w:fill="FFFFFF"/>
        </w:rPr>
        <w:t xml:space="preserve">Our preliminary results conform to the findings of </w:t>
      </w:r>
      <w:r w:rsidRPr="00121FC2">
        <w:rPr>
          <w:color w:val="323130"/>
          <w:szCs w:val="24"/>
          <w:shd w:val="clear" w:color="auto" w:fill="FFFFFF"/>
        </w:rPr>
        <w:t>Corbet et al. (2018</w:t>
      </w:r>
      <w:r w:rsidR="005F6472">
        <w:rPr>
          <w:color w:val="323130"/>
          <w:szCs w:val="24"/>
          <w:shd w:val="clear" w:color="auto" w:fill="FFFFFF"/>
        </w:rPr>
        <w:t>b</w:t>
      </w:r>
      <w:r w:rsidRPr="00FE03B8">
        <w:rPr>
          <w:color w:val="323130"/>
          <w:szCs w:val="24"/>
          <w:shd w:val="clear" w:color="auto" w:fill="FFFFFF"/>
        </w:rPr>
        <w:t>)</w:t>
      </w:r>
      <w:r w:rsidR="00233A2E">
        <w:rPr>
          <w:color w:val="323130"/>
          <w:szCs w:val="24"/>
          <w:shd w:val="clear" w:color="auto" w:fill="FFFFFF"/>
        </w:rPr>
        <w:t>,</w:t>
      </w:r>
      <w:r w:rsidRPr="00FE03B8">
        <w:rPr>
          <w:color w:val="323130"/>
          <w:szCs w:val="24"/>
          <w:shd w:val="clear" w:color="auto" w:fill="FFFFFF"/>
        </w:rPr>
        <w:t xml:space="preserve"> who find cryptocurrency prices to be isolated from the stock market. The authors argue that in this relatively early stage of the </w:t>
      </w:r>
      <w:r w:rsidR="00233A2E">
        <w:rPr>
          <w:color w:val="323130"/>
          <w:szCs w:val="24"/>
          <w:shd w:val="clear" w:color="auto" w:fill="FFFFFF"/>
        </w:rPr>
        <w:t>cryptocurrency market developmen</w:t>
      </w:r>
      <w:r w:rsidRPr="00FE03B8">
        <w:rPr>
          <w:color w:val="323130"/>
          <w:szCs w:val="24"/>
          <w:shd w:val="clear" w:color="auto" w:fill="FFFFFF"/>
        </w:rPr>
        <w:t>t, structural conditions (</w:t>
      </w:r>
      <w:r w:rsidR="00E93703" w:rsidRPr="00FE03B8">
        <w:rPr>
          <w:color w:val="323130"/>
          <w:szCs w:val="24"/>
          <w:shd w:val="clear" w:color="auto" w:fill="FFFFFF"/>
        </w:rPr>
        <w:t>e.g.</w:t>
      </w:r>
      <w:r w:rsidR="00233A2E">
        <w:rPr>
          <w:color w:val="323130"/>
          <w:szCs w:val="24"/>
          <w:shd w:val="clear" w:color="auto" w:fill="FFFFFF"/>
        </w:rPr>
        <w:t>,</w:t>
      </w:r>
      <w:r w:rsidRPr="00FE03B8">
        <w:rPr>
          <w:color w:val="323130"/>
          <w:szCs w:val="24"/>
          <w:shd w:val="clear" w:color="auto" w:fill="FFFFFF"/>
        </w:rPr>
        <w:t xml:space="preserve"> the design, operations</w:t>
      </w:r>
      <w:r w:rsidR="00233A2E">
        <w:rPr>
          <w:color w:val="323130"/>
          <w:szCs w:val="24"/>
          <w:shd w:val="clear" w:color="auto" w:fill="FFFFFF"/>
        </w:rPr>
        <w:t>,</w:t>
      </w:r>
      <w:r w:rsidRPr="00FE03B8">
        <w:rPr>
          <w:color w:val="323130"/>
          <w:szCs w:val="24"/>
          <w:shd w:val="clear" w:color="auto" w:fill="FFFFFF"/>
        </w:rPr>
        <w:t xml:space="preserve"> and the clearing function of cryptocurrencies) are more important than the general financial conditions.  However, our preliminary results are not </w:t>
      </w:r>
      <w:r w:rsidR="00233A2E">
        <w:rPr>
          <w:color w:val="323130"/>
          <w:szCs w:val="24"/>
          <w:shd w:val="clear" w:color="auto" w:fill="FFFFFF"/>
        </w:rPr>
        <w:t>entire</w:t>
      </w:r>
      <w:r w:rsidRPr="00FE03B8">
        <w:rPr>
          <w:color w:val="323130"/>
          <w:szCs w:val="24"/>
          <w:shd w:val="clear" w:color="auto" w:fill="FFFFFF"/>
        </w:rPr>
        <w:t>ly in</w:t>
      </w:r>
      <w:r w:rsidR="00DD0D3D">
        <w:rPr>
          <w:color w:val="323130"/>
          <w:szCs w:val="24"/>
          <w:shd w:val="clear" w:color="auto" w:fill="FFFFFF"/>
        </w:rPr>
        <w:t xml:space="preserve"> </w:t>
      </w:r>
      <w:r w:rsidRPr="00FE03B8">
        <w:rPr>
          <w:color w:val="323130"/>
          <w:szCs w:val="24"/>
          <w:shd w:val="clear" w:color="auto" w:fill="FFFFFF"/>
        </w:rPr>
        <w:t xml:space="preserve">line with another paper in the literature. </w:t>
      </w:r>
      <w:proofErr w:type="spellStart"/>
      <w:r w:rsidRPr="00121FC2">
        <w:rPr>
          <w:color w:val="323130"/>
          <w:szCs w:val="24"/>
          <w:shd w:val="clear" w:color="auto" w:fill="FFFFFF"/>
        </w:rPr>
        <w:t>Symitsi</w:t>
      </w:r>
      <w:proofErr w:type="spellEnd"/>
      <w:r w:rsidRPr="00121FC2">
        <w:rPr>
          <w:color w:val="323130"/>
          <w:szCs w:val="24"/>
          <w:shd w:val="clear" w:color="auto" w:fill="FFFFFF"/>
        </w:rPr>
        <w:t xml:space="preserve"> and Chalvatzis (2018</w:t>
      </w:r>
      <w:r w:rsidRPr="00FE03B8">
        <w:rPr>
          <w:color w:val="323130"/>
          <w:szCs w:val="24"/>
          <w:shd w:val="clear" w:color="auto" w:fill="FFFFFF"/>
        </w:rPr>
        <w:t>) find significant associations between the price returns of Bitcoin and energy companies and</w:t>
      </w:r>
      <w:r w:rsidR="00DD0D3D">
        <w:rPr>
          <w:color w:val="323130"/>
          <w:szCs w:val="24"/>
          <w:shd w:val="clear" w:color="auto" w:fill="FFFFFF"/>
        </w:rPr>
        <w:t>,</w:t>
      </w:r>
      <w:r w:rsidRPr="00FE03B8">
        <w:rPr>
          <w:color w:val="323130"/>
          <w:szCs w:val="24"/>
          <w:shd w:val="clear" w:color="auto" w:fill="FFFFFF"/>
        </w:rPr>
        <w:t xml:space="preserve"> also</w:t>
      </w:r>
      <w:r w:rsidR="00DD0D3D">
        <w:rPr>
          <w:color w:val="323130"/>
          <w:szCs w:val="24"/>
          <w:shd w:val="clear" w:color="auto" w:fill="FFFFFF"/>
        </w:rPr>
        <w:t>,</w:t>
      </w:r>
      <w:r w:rsidRPr="00FE03B8">
        <w:rPr>
          <w:color w:val="323130"/>
          <w:szCs w:val="24"/>
          <w:shd w:val="clear" w:color="auto" w:fill="FFFFFF"/>
        </w:rPr>
        <w:t xml:space="preserve"> between the price returns of Bitcoin and technology companies. In our analysis, we find no such significant associations (Table 2)</w:t>
      </w:r>
      <w:r w:rsidR="00011720" w:rsidRPr="00FE03B8">
        <w:rPr>
          <w:rStyle w:val="FootnoteReference"/>
          <w:color w:val="323130"/>
          <w:szCs w:val="24"/>
          <w:shd w:val="clear" w:color="auto" w:fill="FFFFFF"/>
        </w:rPr>
        <w:t xml:space="preserve"> </w:t>
      </w:r>
      <w:r w:rsidR="00011720" w:rsidRPr="00FE03B8">
        <w:rPr>
          <w:rStyle w:val="FootnoteReference"/>
          <w:color w:val="323130"/>
          <w:szCs w:val="24"/>
          <w:shd w:val="clear" w:color="auto" w:fill="FFFFFF"/>
        </w:rPr>
        <w:footnoteReference w:id="9"/>
      </w:r>
      <w:r w:rsidRPr="00FE03B8">
        <w:rPr>
          <w:color w:val="323130"/>
          <w:szCs w:val="24"/>
          <w:shd w:val="clear" w:color="auto" w:fill="FFFFFF"/>
        </w:rPr>
        <w:t xml:space="preserve">, yet the correlation coefficients we estimate (Table 1) yield similar results as in </w:t>
      </w:r>
      <w:proofErr w:type="spellStart"/>
      <w:r w:rsidRPr="00FE03B8">
        <w:rPr>
          <w:color w:val="323130"/>
          <w:szCs w:val="24"/>
          <w:shd w:val="clear" w:color="auto" w:fill="FFFFFF"/>
        </w:rPr>
        <w:t>Symitsi</w:t>
      </w:r>
      <w:proofErr w:type="spellEnd"/>
      <w:r w:rsidRPr="00FE03B8">
        <w:rPr>
          <w:color w:val="323130"/>
          <w:szCs w:val="24"/>
          <w:shd w:val="clear" w:color="auto" w:fill="FFFFFF"/>
        </w:rPr>
        <w:t xml:space="preserve"> and Chalvatzis (2018). </w:t>
      </w:r>
      <w:r w:rsidR="00A30624" w:rsidRPr="00FE03B8">
        <w:rPr>
          <w:color w:val="323130"/>
          <w:szCs w:val="24"/>
          <w:shd w:val="clear" w:color="auto" w:fill="FFFFFF"/>
        </w:rPr>
        <w:t xml:space="preserve"> </w:t>
      </w:r>
      <w:r w:rsidRPr="00FE03B8">
        <w:rPr>
          <w:color w:val="323130"/>
          <w:szCs w:val="24"/>
          <w:shd w:val="clear" w:color="auto" w:fill="FFFFFF"/>
        </w:rPr>
        <w:t xml:space="preserve">However, the findings of </w:t>
      </w:r>
      <w:proofErr w:type="spellStart"/>
      <w:r w:rsidRPr="00FE03B8">
        <w:rPr>
          <w:color w:val="323130"/>
          <w:szCs w:val="24"/>
          <w:shd w:val="clear" w:color="auto" w:fill="FFFFFF"/>
        </w:rPr>
        <w:t>Symitsi</w:t>
      </w:r>
      <w:proofErr w:type="spellEnd"/>
      <w:r w:rsidRPr="00FE03B8">
        <w:rPr>
          <w:color w:val="323130"/>
          <w:szCs w:val="24"/>
          <w:shd w:val="clear" w:color="auto" w:fill="FFFFFF"/>
        </w:rPr>
        <w:t xml:space="preserve"> and Chalvatzis</w:t>
      </w:r>
      <w:r w:rsidR="00DA337F">
        <w:rPr>
          <w:color w:val="323130"/>
          <w:szCs w:val="24"/>
          <w:shd w:val="clear" w:color="auto" w:fill="FFFFFF"/>
        </w:rPr>
        <w:t xml:space="preserve"> (2018)</w:t>
      </w:r>
      <w:r w:rsidRPr="00FE03B8">
        <w:rPr>
          <w:color w:val="323130"/>
          <w:szCs w:val="24"/>
          <w:shd w:val="clear" w:color="auto" w:fill="FFFFFF"/>
        </w:rPr>
        <w:t xml:space="preserve"> </w:t>
      </w:r>
      <w:r w:rsidR="00233A2E">
        <w:rPr>
          <w:color w:val="323130"/>
          <w:szCs w:val="24"/>
          <w:shd w:val="clear" w:color="auto" w:fill="FFFFFF"/>
        </w:rPr>
        <w:t>support</w:t>
      </w:r>
      <w:r w:rsidRPr="00FE03B8">
        <w:rPr>
          <w:color w:val="323130"/>
          <w:szCs w:val="24"/>
          <w:shd w:val="clear" w:color="auto" w:fill="FFFFFF"/>
        </w:rPr>
        <w:t xml:space="preserve"> the view that industries that are more related to the structural conditions of the cryptocurrency markets are more likely to be associated with the performance of cryptocurrencies. </w:t>
      </w:r>
    </w:p>
    <w:p w14:paraId="6F97E4BC" w14:textId="603F1409" w:rsidR="004F0A0D" w:rsidRPr="00FE03B8" w:rsidRDefault="00792D44" w:rsidP="00233A2E">
      <w:pPr>
        <w:ind w:firstLine="426"/>
        <w:contextualSpacing/>
        <w:rPr>
          <w:color w:val="000000"/>
          <w:szCs w:val="24"/>
        </w:rPr>
      </w:pPr>
      <w:r w:rsidRPr="00FE03B8">
        <w:rPr>
          <w:color w:val="323130"/>
          <w:szCs w:val="24"/>
          <w:shd w:val="clear" w:color="auto" w:fill="FFFFFF"/>
        </w:rPr>
        <w:t>Our main analysis in the following section attempts to reconcile the contrasting evidence in the prior literature. Although Corbet et al. (2018</w:t>
      </w:r>
      <w:r w:rsidR="005F6472">
        <w:rPr>
          <w:color w:val="323130"/>
          <w:szCs w:val="24"/>
          <w:shd w:val="clear" w:color="auto" w:fill="FFFFFF"/>
        </w:rPr>
        <w:t>b</w:t>
      </w:r>
      <w:r w:rsidRPr="00FE03B8">
        <w:rPr>
          <w:color w:val="323130"/>
          <w:szCs w:val="24"/>
          <w:shd w:val="clear" w:color="auto" w:fill="FFFFFF"/>
        </w:rPr>
        <w:t xml:space="preserve">) provide limited evidence regarding the association between the stock market and cryptocurrencies, they argue that structural conditions are important for the performance of cryptocurrencies. Sectors related to the production and operation of Bitcoin (energy and technology sectors) and the competition that Bitcoin faces (banking sector) represent important components of the structural conditions of the cryptocurrency market. Hence, investigating if behavioral factors </w:t>
      </w:r>
      <w:r w:rsidRPr="00FE03B8">
        <w:rPr>
          <w:color w:val="000000"/>
          <w:szCs w:val="24"/>
        </w:rPr>
        <w:t xml:space="preserve">mediate the association between industry indices and </w:t>
      </w:r>
      <w:r w:rsidR="00DD0D3D">
        <w:rPr>
          <w:color w:val="000000"/>
          <w:szCs w:val="24"/>
        </w:rPr>
        <w:t>B</w:t>
      </w:r>
      <w:r w:rsidRPr="00FE03B8">
        <w:rPr>
          <w:color w:val="000000"/>
          <w:szCs w:val="24"/>
        </w:rPr>
        <w:t xml:space="preserve">itcoin returns becomes a </w:t>
      </w:r>
      <w:r w:rsidR="00233A2E">
        <w:rPr>
          <w:color w:val="000000"/>
          <w:szCs w:val="24"/>
        </w:rPr>
        <w:t>valuable</w:t>
      </w:r>
      <w:r w:rsidRPr="00FE03B8">
        <w:rPr>
          <w:color w:val="000000"/>
          <w:szCs w:val="24"/>
        </w:rPr>
        <w:t xml:space="preserve"> exercise.</w:t>
      </w:r>
    </w:p>
    <w:p w14:paraId="312EF496" w14:textId="77777777" w:rsidR="000F2890" w:rsidRPr="000F2890" w:rsidRDefault="000F2890" w:rsidP="004E08C5">
      <w:pPr>
        <w:pStyle w:val="Heading2"/>
        <w:numPr>
          <w:ilvl w:val="1"/>
          <w:numId w:val="1"/>
        </w:numPr>
      </w:pPr>
      <w:r>
        <w:lastRenderedPageBreak/>
        <w:t>Main Analysis</w:t>
      </w:r>
    </w:p>
    <w:p w14:paraId="7169F4BB" w14:textId="418EF77B" w:rsidR="00916B26" w:rsidRPr="00FE03B8" w:rsidRDefault="00233A2E" w:rsidP="00233A2E">
      <w:pPr>
        <w:ind w:firstLine="426"/>
        <w:rPr>
          <w:rFonts w:eastAsia="PMingLiU"/>
        </w:rPr>
      </w:pPr>
      <w:r>
        <w:rPr>
          <w:rFonts w:eastAsia="PMingLiU"/>
        </w:rPr>
        <w:t>From estimating Equation (5), the first stream of main results</w:t>
      </w:r>
      <w:r w:rsidR="00916B26" w:rsidRPr="00FE03B8">
        <w:rPr>
          <w:rFonts w:eastAsia="PMingLiU"/>
        </w:rPr>
        <w:t xml:space="preserve"> </w:t>
      </w:r>
      <w:r>
        <w:rPr>
          <w:rFonts w:eastAsia="PMingLiU"/>
        </w:rPr>
        <w:t>is</w:t>
      </w:r>
      <w:r w:rsidR="00916B26" w:rsidRPr="00FE03B8">
        <w:rPr>
          <w:rFonts w:eastAsia="PMingLiU"/>
        </w:rPr>
        <w:t xml:space="preserve"> available in Table </w:t>
      </w:r>
      <w:r w:rsidR="006E2B32" w:rsidRPr="00FE03B8">
        <w:rPr>
          <w:rFonts w:eastAsia="PMingLiU"/>
        </w:rPr>
        <w:t>4</w:t>
      </w:r>
      <w:r w:rsidR="00D473C2" w:rsidRPr="00FE03B8">
        <w:rPr>
          <w:rFonts w:eastAsia="PMingLiU"/>
        </w:rPr>
        <w:t>.</w:t>
      </w:r>
      <w:r w:rsidR="00916B26" w:rsidRPr="00FE03B8">
        <w:rPr>
          <w:rFonts w:eastAsia="PMingLiU"/>
        </w:rPr>
        <w:t xml:space="preserve"> </w:t>
      </w:r>
      <w:r w:rsidR="00D473C2" w:rsidRPr="00FE03B8">
        <w:rPr>
          <w:rFonts w:eastAsia="PMingLiU"/>
        </w:rPr>
        <w:t>W</w:t>
      </w:r>
      <w:r w:rsidR="00916B26" w:rsidRPr="00FE03B8">
        <w:rPr>
          <w:rFonts w:eastAsia="PMingLiU"/>
        </w:rPr>
        <w:t xml:space="preserve">e </w:t>
      </w:r>
      <w:r w:rsidR="00D473C2" w:rsidRPr="00FE03B8">
        <w:rPr>
          <w:rFonts w:eastAsia="PMingLiU"/>
        </w:rPr>
        <w:t>observe</w:t>
      </w:r>
      <w:r w:rsidR="00916B26" w:rsidRPr="00FE03B8">
        <w:rPr>
          <w:rFonts w:eastAsia="PMingLiU"/>
        </w:rPr>
        <w:t xml:space="preserve"> that </w:t>
      </w:r>
      <w:r w:rsidR="002D0EDA" w:rsidRPr="00FE03B8">
        <w:rPr>
          <w:rFonts w:eastAsia="PMingLiU"/>
        </w:rPr>
        <w:t xml:space="preserve">the </w:t>
      </w:r>
      <w:r w:rsidR="00916B26" w:rsidRPr="00FE03B8">
        <w:rPr>
          <w:rFonts w:eastAsia="PMingLiU"/>
        </w:rPr>
        <w:t xml:space="preserve">sensitivity of Bitcoin to </w:t>
      </w:r>
      <w:r w:rsidR="00C41D08">
        <w:rPr>
          <w:rFonts w:eastAsia="PMingLiU"/>
        </w:rPr>
        <w:t>S</w:t>
      </w:r>
      <w:r w:rsidR="00C41D08" w:rsidRPr="00FE03B8">
        <w:rPr>
          <w:rFonts w:eastAsia="PMingLiU"/>
        </w:rPr>
        <w:t xml:space="preserve">entiment </w:t>
      </w:r>
      <w:r w:rsidR="00916B26" w:rsidRPr="00FE03B8">
        <w:rPr>
          <w:rFonts w:eastAsia="PMingLiU"/>
        </w:rPr>
        <w:t xml:space="preserve">has a significant association with the </w:t>
      </w:r>
      <w:r w:rsidR="002D0EDA" w:rsidRPr="00FE03B8">
        <w:rPr>
          <w:rFonts w:eastAsia="PMingLiU"/>
        </w:rPr>
        <w:t xml:space="preserve">sensitivities of </w:t>
      </w:r>
      <w:r w:rsidR="00916B26" w:rsidRPr="00FE03B8">
        <w:rPr>
          <w:rFonts w:eastAsia="PMingLiU"/>
        </w:rPr>
        <w:t xml:space="preserve">four industry indices </w:t>
      </w:r>
      <w:r w:rsidR="002D0EDA" w:rsidRPr="00FE03B8">
        <w:rPr>
          <w:rFonts w:eastAsia="PMingLiU"/>
        </w:rPr>
        <w:t xml:space="preserve">to </w:t>
      </w:r>
      <w:r w:rsidR="00C41D08">
        <w:rPr>
          <w:rFonts w:eastAsia="PMingLiU"/>
        </w:rPr>
        <w:t>S</w:t>
      </w:r>
      <w:r w:rsidR="00C41D08" w:rsidRPr="00FE03B8">
        <w:rPr>
          <w:rFonts w:eastAsia="PMingLiU"/>
        </w:rPr>
        <w:t>entiment</w:t>
      </w:r>
      <w:r w:rsidR="00916B26" w:rsidRPr="00FE03B8">
        <w:rPr>
          <w:rFonts w:eastAsia="PMingLiU"/>
        </w:rPr>
        <w:t xml:space="preserve">. </w:t>
      </w:r>
      <w:r w:rsidR="00D473C2" w:rsidRPr="00FE03B8">
        <w:rPr>
          <w:rFonts w:eastAsia="PMingLiU"/>
        </w:rPr>
        <w:t>More specifically, o</w:t>
      </w:r>
      <w:r w:rsidR="00150599" w:rsidRPr="00FE03B8">
        <w:rPr>
          <w:rFonts w:eastAsia="PMingLiU"/>
        </w:rPr>
        <w:t xml:space="preserve">ur results indicate a negative association between the </w:t>
      </w:r>
      <w:r w:rsidR="003D6062" w:rsidRPr="00FE03B8">
        <w:rPr>
          <w:rFonts w:eastAsia="PMingLiU"/>
        </w:rPr>
        <w:t>IT industry's sensitivit</w:t>
      </w:r>
      <w:r w:rsidR="00150599" w:rsidRPr="00FE03B8">
        <w:rPr>
          <w:rFonts w:eastAsia="PMingLiU"/>
        </w:rPr>
        <w:t xml:space="preserve">y (proxied by the MSCI IT index) to </w:t>
      </w:r>
      <w:r w:rsidR="00C41D08">
        <w:rPr>
          <w:rFonts w:eastAsia="PMingLiU"/>
        </w:rPr>
        <w:t>S</w:t>
      </w:r>
      <w:r w:rsidR="00C41D08" w:rsidRPr="00FE03B8">
        <w:rPr>
          <w:rFonts w:eastAsia="PMingLiU"/>
        </w:rPr>
        <w:t xml:space="preserve">entiment </w:t>
      </w:r>
      <w:r w:rsidR="00150599" w:rsidRPr="00FE03B8">
        <w:rPr>
          <w:rFonts w:eastAsia="PMingLiU"/>
        </w:rPr>
        <w:t xml:space="preserve">and the </w:t>
      </w:r>
      <w:r w:rsidR="00DD0D3D">
        <w:rPr>
          <w:rFonts w:eastAsia="PMingLiU"/>
        </w:rPr>
        <w:t>s</w:t>
      </w:r>
      <w:r w:rsidR="00150599" w:rsidRPr="00FE03B8">
        <w:rPr>
          <w:rFonts w:eastAsia="PMingLiU"/>
        </w:rPr>
        <w:t xml:space="preserve">ensitivity of Bitcoin to </w:t>
      </w:r>
      <w:r w:rsidR="00C41D08">
        <w:rPr>
          <w:rFonts w:eastAsia="PMingLiU"/>
        </w:rPr>
        <w:t>S</w:t>
      </w:r>
      <w:r w:rsidR="00C41D08" w:rsidRPr="00FE03B8">
        <w:rPr>
          <w:rFonts w:eastAsia="PMingLiU"/>
        </w:rPr>
        <w:t>entiment</w:t>
      </w:r>
      <w:r w:rsidR="00150599" w:rsidRPr="00FE03B8">
        <w:rPr>
          <w:rFonts w:eastAsia="PMingLiU"/>
        </w:rPr>
        <w:t xml:space="preserve">. </w:t>
      </w:r>
      <w:r w:rsidR="003D6062" w:rsidRPr="00FE03B8">
        <w:rPr>
          <w:rFonts w:eastAsia="PMingLiU"/>
        </w:rPr>
        <w:t>Besides</w:t>
      </w:r>
      <w:r w:rsidR="00150599" w:rsidRPr="00FE03B8">
        <w:rPr>
          <w:rFonts w:eastAsia="PMingLiU"/>
        </w:rPr>
        <w:t>, we find negative, positive</w:t>
      </w:r>
      <w:r w:rsidR="003D6062" w:rsidRPr="00FE03B8">
        <w:rPr>
          <w:rFonts w:eastAsia="PMingLiU"/>
        </w:rPr>
        <w:t>,</w:t>
      </w:r>
      <w:r w:rsidR="00150599" w:rsidRPr="00FE03B8">
        <w:rPr>
          <w:rFonts w:eastAsia="PMingLiU"/>
        </w:rPr>
        <w:t xml:space="preserve"> and negative association</w:t>
      </w:r>
      <w:r w:rsidR="003D6062" w:rsidRPr="00FE03B8">
        <w:rPr>
          <w:rFonts w:eastAsia="PMingLiU"/>
        </w:rPr>
        <w:t>s</w:t>
      </w:r>
      <w:r w:rsidR="00DD0D3D">
        <w:rPr>
          <w:rFonts w:eastAsia="PMingLiU"/>
        </w:rPr>
        <w:t>,</w:t>
      </w:r>
      <w:r w:rsidR="00150599" w:rsidRPr="00FE03B8">
        <w:rPr>
          <w:rFonts w:eastAsia="PMingLiU"/>
        </w:rPr>
        <w:t xml:space="preserve"> respectively</w:t>
      </w:r>
      <w:r w:rsidR="00DD0D3D">
        <w:rPr>
          <w:rFonts w:eastAsia="PMingLiU"/>
        </w:rPr>
        <w:t>,</w:t>
      </w:r>
      <w:r w:rsidR="00150599" w:rsidRPr="00FE03B8">
        <w:rPr>
          <w:rFonts w:eastAsia="PMingLiU"/>
        </w:rPr>
        <w:t xml:space="preserve"> between the sensitivities of </w:t>
      </w:r>
      <w:r w:rsidR="00630EC9" w:rsidRPr="00FE03B8">
        <w:rPr>
          <w:rFonts w:eastAsia="PMingLiU"/>
        </w:rPr>
        <w:t>e</w:t>
      </w:r>
      <w:r w:rsidR="00150599" w:rsidRPr="00FE03B8">
        <w:rPr>
          <w:rFonts w:eastAsia="PMingLiU"/>
        </w:rPr>
        <w:t xml:space="preserve">nergy (proxied by MSCI World Energy), </w:t>
      </w:r>
      <w:r w:rsidR="00630EC9" w:rsidRPr="00FE03B8">
        <w:rPr>
          <w:rFonts w:eastAsia="PMingLiU"/>
        </w:rPr>
        <w:t>clean energy (proxied by S&amp;P Global Clean Energy)</w:t>
      </w:r>
      <w:r w:rsidR="003D6062" w:rsidRPr="00FE03B8">
        <w:rPr>
          <w:rFonts w:eastAsia="PMingLiU"/>
        </w:rPr>
        <w:t>,</w:t>
      </w:r>
      <w:r w:rsidR="00630EC9" w:rsidRPr="00FE03B8">
        <w:rPr>
          <w:rFonts w:eastAsia="PMingLiU"/>
        </w:rPr>
        <w:t xml:space="preserve"> and the banking industry (proxied by MSCI World Bank) and the sensitivity of Bitcoin to </w:t>
      </w:r>
      <w:r w:rsidR="00C41D08">
        <w:rPr>
          <w:rFonts w:eastAsia="PMingLiU"/>
        </w:rPr>
        <w:t>S</w:t>
      </w:r>
      <w:r w:rsidR="00C41D08" w:rsidRPr="00FE03B8">
        <w:rPr>
          <w:rFonts w:eastAsia="PMingLiU"/>
        </w:rPr>
        <w:t>entiment</w:t>
      </w:r>
      <w:r w:rsidR="00630EC9" w:rsidRPr="00FE03B8">
        <w:rPr>
          <w:rFonts w:eastAsia="PMingLiU"/>
        </w:rPr>
        <w:t xml:space="preserve">. These significant associations demonstrate that the sensitivity of Bitcoin returns to </w:t>
      </w:r>
      <w:r w:rsidR="000D6A0A">
        <w:rPr>
          <w:rFonts w:eastAsia="PMingLiU"/>
        </w:rPr>
        <w:t>Sentiment</w:t>
      </w:r>
      <w:r w:rsidR="00630EC9" w:rsidRPr="00FE03B8">
        <w:rPr>
          <w:rFonts w:eastAsia="PMingLiU"/>
        </w:rPr>
        <w:t xml:space="preserve"> and </w:t>
      </w:r>
      <w:r w:rsidR="00DD0D3D">
        <w:rPr>
          <w:rFonts w:eastAsia="PMingLiU"/>
        </w:rPr>
        <w:t xml:space="preserve">that </w:t>
      </w:r>
      <w:r w:rsidR="00630EC9" w:rsidRPr="00FE03B8">
        <w:rPr>
          <w:rFonts w:eastAsia="PMingLiU"/>
        </w:rPr>
        <w:t xml:space="preserve">the sensitivity of industry indices to </w:t>
      </w:r>
      <w:r w:rsidR="000D6A0A">
        <w:rPr>
          <w:rFonts w:eastAsia="PMingLiU"/>
        </w:rPr>
        <w:t>S</w:t>
      </w:r>
      <w:r w:rsidR="00D30520">
        <w:rPr>
          <w:rFonts w:eastAsia="PMingLiU"/>
        </w:rPr>
        <w:t>entiment</w:t>
      </w:r>
      <w:r w:rsidR="00630EC9" w:rsidRPr="00FE03B8">
        <w:rPr>
          <w:rFonts w:eastAsia="PMingLiU"/>
        </w:rPr>
        <w:t xml:space="preserve"> are interdependent. Hence, this could</w:t>
      </w:r>
      <w:r w:rsidR="00EE61EA" w:rsidRPr="00FE03B8">
        <w:rPr>
          <w:rFonts w:eastAsia="PMingLiU"/>
        </w:rPr>
        <w:t xml:space="preserve"> facilitate the transmission of the effects of </w:t>
      </w:r>
      <w:r w:rsidR="00630EC9" w:rsidRPr="00FE03B8">
        <w:rPr>
          <w:rFonts w:eastAsia="PMingLiU"/>
        </w:rPr>
        <w:t xml:space="preserve">behavioral factors from the industry indices to Bitcoin. </w:t>
      </w:r>
      <w:r w:rsidR="00150599" w:rsidRPr="00FE03B8">
        <w:rPr>
          <w:rFonts w:eastAsia="PMingLiU"/>
        </w:rPr>
        <w:t xml:space="preserve"> </w:t>
      </w:r>
    </w:p>
    <w:p w14:paraId="08DEACC3" w14:textId="77777777" w:rsidR="00AE2217" w:rsidRPr="00AE2217" w:rsidRDefault="00AE2217" w:rsidP="004B3DB1">
      <w:pPr>
        <w:ind w:firstLine="426"/>
        <w:jc w:val="center"/>
      </w:pPr>
      <w:r>
        <w:t>[INSERT TABLE 4]</w:t>
      </w:r>
    </w:p>
    <w:p w14:paraId="61966E02" w14:textId="2289FE8E" w:rsidR="00020445" w:rsidRDefault="00916B26" w:rsidP="00233A2E">
      <w:pPr>
        <w:ind w:firstLine="426"/>
        <w:rPr>
          <w:rFonts w:eastAsia="PMingLiU"/>
        </w:rPr>
      </w:pPr>
      <w:r w:rsidRPr="00FE03B8">
        <w:rPr>
          <w:rFonts w:eastAsia="PMingLiU"/>
        </w:rPr>
        <w:t xml:space="preserve">We examine if this is the case with </w:t>
      </w:r>
      <w:r w:rsidR="002D0EDA" w:rsidRPr="00FE03B8">
        <w:rPr>
          <w:rFonts w:eastAsia="PMingLiU"/>
        </w:rPr>
        <w:t>E</w:t>
      </w:r>
      <w:r w:rsidRPr="00FE03B8">
        <w:rPr>
          <w:rFonts w:eastAsia="PMingLiU"/>
        </w:rPr>
        <w:t>quation (</w:t>
      </w:r>
      <w:r w:rsidR="0084286F" w:rsidRPr="00FE03B8">
        <w:rPr>
          <w:rFonts w:eastAsia="PMingLiU"/>
        </w:rPr>
        <w:t>6</w:t>
      </w:r>
      <w:r w:rsidRPr="00FE03B8">
        <w:rPr>
          <w:rFonts w:eastAsia="PMingLiU"/>
        </w:rPr>
        <w:t xml:space="preserve">). The results from the specifications of </w:t>
      </w:r>
      <w:r w:rsidR="002D0EDA" w:rsidRPr="00FE03B8">
        <w:rPr>
          <w:rFonts w:eastAsia="PMingLiU"/>
        </w:rPr>
        <w:t>E</w:t>
      </w:r>
      <w:r w:rsidRPr="00FE03B8">
        <w:rPr>
          <w:rFonts w:eastAsia="PMingLiU"/>
        </w:rPr>
        <w:t>quation (</w:t>
      </w:r>
      <w:r w:rsidR="0084286F" w:rsidRPr="00FE03B8">
        <w:rPr>
          <w:rFonts w:eastAsia="PMingLiU"/>
        </w:rPr>
        <w:t>6</w:t>
      </w:r>
      <w:r w:rsidRPr="00FE03B8">
        <w:rPr>
          <w:rFonts w:eastAsia="PMingLiU"/>
        </w:rPr>
        <w:t xml:space="preserve">) are available in Table </w:t>
      </w:r>
      <w:r w:rsidR="002D0EDA" w:rsidRPr="00FE03B8">
        <w:rPr>
          <w:rFonts w:eastAsia="PMingLiU"/>
        </w:rPr>
        <w:t>5</w:t>
      </w:r>
      <w:r w:rsidRPr="00FE03B8">
        <w:rPr>
          <w:rFonts w:eastAsia="PMingLiU"/>
        </w:rPr>
        <w:t xml:space="preserve">. </w:t>
      </w:r>
      <w:r w:rsidR="00FE2331" w:rsidRPr="00FE03B8">
        <w:rPr>
          <w:rFonts w:eastAsia="PMingLiU"/>
        </w:rPr>
        <w:t xml:space="preserve">Table 5 contains four different estimates of Equation </w:t>
      </w:r>
      <w:r w:rsidR="0084286F" w:rsidRPr="00FE03B8">
        <w:rPr>
          <w:rFonts w:eastAsia="PMingLiU"/>
        </w:rPr>
        <w:t>(6)</w:t>
      </w:r>
      <w:r w:rsidR="00FE2331" w:rsidRPr="00FE03B8">
        <w:rPr>
          <w:rFonts w:eastAsia="PMingLiU"/>
        </w:rPr>
        <w:t xml:space="preserve">, progressively adding industry sensitivities to </w:t>
      </w:r>
      <w:r w:rsidR="00C41D08">
        <w:rPr>
          <w:rFonts w:eastAsia="PMingLiU"/>
        </w:rPr>
        <w:t>S</w:t>
      </w:r>
      <w:r w:rsidR="00C41D08" w:rsidRPr="00FE03B8">
        <w:rPr>
          <w:rFonts w:eastAsia="PMingLiU"/>
        </w:rPr>
        <w:t xml:space="preserve">entiment </w:t>
      </w:r>
      <w:r w:rsidR="00FE2331" w:rsidRPr="00FE03B8">
        <w:rPr>
          <w:rFonts w:eastAsia="PMingLiU"/>
        </w:rPr>
        <w:t>a</w:t>
      </w:r>
      <w:r w:rsidR="00233A2E">
        <w:rPr>
          <w:rFonts w:eastAsia="PMingLiU"/>
        </w:rPr>
        <w:t>nd</w:t>
      </w:r>
      <w:r w:rsidR="00FE2331" w:rsidRPr="00FE03B8">
        <w:rPr>
          <w:rFonts w:eastAsia="PMingLiU"/>
        </w:rPr>
        <w:t xml:space="preserve"> the</w:t>
      </w:r>
      <w:r w:rsidR="00732BCA" w:rsidRPr="00FE03B8">
        <w:rPr>
          <w:rFonts w:eastAsia="PMingLiU"/>
        </w:rPr>
        <w:t>ir</w:t>
      </w:r>
      <w:r w:rsidR="00FE2331" w:rsidRPr="00FE03B8">
        <w:rPr>
          <w:rFonts w:eastAsia="PMingLiU"/>
        </w:rPr>
        <w:t xml:space="preserve"> interactions </w:t>
      </w:r>
      <w:r w:rsidR="00732BCA" w:rsidRPr="00FE03B8">
        <w:rPr>
          <w:rFonts w:eastAsia="PMingLiU"/>
        </w:rPr>
        <w:t>with</w:t>
      </w:r>
      <w:r w:rsidR="00FE2331" w:rsidRPr="00FE03B8">
        <w:rPr>
          <w:rFonts w:eastAsia="PMingLiU"/>
        </w:rPr>
        <w:t xml:space="preserve"> the Bitcoin return. We find that the interaction</w:t>
      </w:r>
      <w:r w:rsidR="00233A2E">
        <w:rPr>
          <w:rFonts w:eastAsia="PMingLiU"/>
        </w:rPr>
        <w:t>s</w:t>
      </w:r>
      <w:r w:rsidR="00FE2331" w:rsidRPr="00FE03B8">
        <w:rPr>
          <w:rFonts w:eastAsia="PMingLiU"/>
        </w:rPr>
        <w:t xml:space="preserve"> of </w:t>
      </w:r>
      <w:r w:rsidR="00C41D08">
        <w:rPr>
          <w:rFonts w:eastAsia="PMingLiU"/>
        </w:rPr>
        <w:t>S</w:t>
      </w:r>
      <w:r w:rsidR="00C41D08" w:rsidRPr="00FE03B8">
        <w:rPr>
          <w:rFonts w:eastAsia="PMingLiU"/>
        </w:rPr>
        <w:t xml:space="preserve">entiment </w:t>
      </w:r>
      <w:r w:rsidR="00A72476" w:rsidRPr="00FE03B8">
        <w:rPr>
          <w:rFonts w:eastAsia="PMingLiU"/>
        </w:rPr>
        <w:t xml:space="preserve">with </w:t>
      </w:r>
      <w:r w:rsidR="00FE2331" w:rsidRPr="00FE03B8">
        <w:rPr>
          <w:rFonts w:eastAsia="PMingLiU"/>
        </w:rPr>
        <w:t xml:space="preserve">two industry sensitivities to Bitcoin (IT and clean energy) </w:t>
      </w:r>
      <w:r w:rsidR="003D6062" w:rsidRPr="00FE03B8">
        <w:rPr>
          <w:rFonts w:eastAsia="PMingLiU"/>
        </w:rPr>
        <w:t>significantly impact</w:t>
      </w:r>
      <w:r w:rsidR="00D473C2" w:rsidRPr="00FE03B8">
        <w:rPr>
          <w:rFonts w:eastAsia="PMingLiU"/>
        </w:rPr>
        <w:t xml:space="preserve"> Bitcoin return. </w:t>
      </w:r>
      <w:r w:rsidRPr="00FE03B8">
        <w:rPr>
          <w:rFonts w:eastAsia="PMingLiU"/>
        </w:rPr>
        <w:t xml:space="preserve">This means that when </w:t>
      </w:r>
      <w:r w:rsidR="00C41D08">
        <w:rPr>
          <w:rFonts w:eastAsia="PMingLiU"/>
        </w:rPr>
        <w:t>S</w:t>
      </w:r>
      <w:r w:rsidR="00C41D08" w:rsidRPr="00FE03B8">
        <w:rPr>
          <w:rFonts w:eastAsia="PMingLiU"/>
        </w:rPr>
        <w:t xml:space="preserve">entiment </w:t>
      </w:r>
      <w:r w:rsidRPr="00FE03B8">
        <w:rPr>
          <w:rFonts w:eastAsia="PMingLiU"/>
        </w:rPr>
        <w:t xml:space="preserve">affects </w:t>
      </w:r>
      <w:r w:rsidR="003D6062" w:rsidRPr="00FE03B8">
        <w:rPr>
          <w:rFonts w:eastAsia="PMingLiU"/>
        </w:rPr>
        <w:t>the IT and clean energy sectors' return</w:t>
      </w:r>
      <w:r w:rsidRPr="00FE03B8">
        <w:rPr>
          <w:rFonts w:eastAsia="PMingLiU"/>
        </w:rPr>
        <w:t>s</w:t>
      </w:r>
      <w:r w:rsidR="00DD0D3D" w:rsidRPr="00DD0D3D">
        <w:rPr>
          <w:rFonts w:eastAsia="PMingLiU"/>
        </w:rPr>
        <w:t xml:space="preserve"> </w:t>
      </w:r>
      <w:proofErr w:type="spellStart"/>
      <w:r w:rsidR="00DD0D3D" w:rsidRPr="00FE03B8">
        <w:rPr>
          <w:rFonts w:eastAsia="PMingLiU"/>
        </w:rPr>
        <w:t>favorably</w:t>
      </w:r>
      <w:proofErr w:type="spellEnd"/>
      <w:r w:rsidRPr="00FE03B8">
        <w:rPr>
          <w:rFonts w:eastAsia="PMingLiU"/>
        </w:rPr>
        <w:t xml:space="preserve">, then this effect </w:t>
      </w:r>
      <w:r w:rsidR="005F4847" w:rsidRPr="00FE03B8">
        <w:rPr>
          <w:rFonts w:eastAsia="PMingLiU"/>
        </w:rPr>
        <w:t xml:space="preserve">passes </w:t>
      </w:r>
      <w:r w:rsidRPr="00FE03B8">
        <w:rPr>
          <w:rFonts w:eastAsia="PMingLiU"/>
        </w:rPr>
        <w:t>to the returns of Bitcoin</w:t>
      </w:r>
      <w:r w:rsidR="00EB1D21" w:rsidRPr="00FE03B8">
        <w:rPr>
          <w:rFonts w:eastAsia="PMingLiU"/>
        </w:rPr>
        <w:t xml:space="preserve"> by increasing its value,</w:t>
      </w:r>
      <w:r w:rsidRPr="00FE03B8">
        <w:rPr>
          <w:rFonts w:eastAsia="PMingLiU"/>
        </w:rPr>
        <w:t xml:space="preserve"> </w:t>
      </w:r>
      <w:r w:rsidR="00DD0D3D">
        <w:rPr>
          <w:rFonts w:eastAsia="PMingLiU"/>
        </w:rPr>
        <w:t>particularly</w:t>
      </w:r>
      <w:r w:rsidR="00DD0D3D" w:rsidRPr="00FE03B8">
        <w:rPr>
          <w:rFonts w:eastAsia="PMingLiU"/>
        </w:rPr>
        <w:t xml:space="preserve"> </w:t>
      </w:r>
      <w:r w:rsidRPr="00FE03B8">
        <w:rPr>
          <w:rFonts w:eastAsia="PMingLiU"/>
        </w:rPr>
        <w:t xml:space="preserve">when </w:t>
      </w:r>
      <w:r w:rsidR="00C41D08">
        <w:rPr>
          <w:rFonts w:eastAsia="PMingLiU"/>
        </w:rPr>
        <w:t>S</w:t>
      </w:r>
      <w:r w:rsidR="00C41D08" w:rsidRPr="00FE03B8">
        <w:rPr>
          <w:rFonts w:eastAsia="PMingLiU"/>
        </w:rPr>
        <w:t xml:space="preserve">entiment </w:t>
      </w:r>
      <w:r w:rsidRPr="00FE03B8">
        <w:rPr>
          <w:rFonts w:eastAsia="PMingLiU"/>
        </w:rPr>
        <w:t xml:space="preserve">becomes stronger. This confirms the importance of the </w:t>
      </w:r>
      <w:r w:rsidR="00EB1D21" w:rsidRPr="00FE03B8">
        <w:rPr>
          <w:rFonts w:eastAsia="PMingLiU"/>
        </w:rPr>
        <w:t>technology</w:t>
      </w:r>
      <w:r w:rsidRPr="00FE03B8">
        <w:rPr>
          <w:rFonts w:eastAsia="PMingLiU"/>
        </w:rPr>
        <w:t xml:space="preserve"> and energy sectors for cryptocurrencies. Both these industries produce inputs for the development of cryptocurrencies. Hence, if they display a positive sensitivity to </w:t>
      </w:r>
      <w:r w:rsidR="00C41D08">
        <w:rPr>
          <w:rFonts w:eastAsia="PMingLiU"/>
        </w:rPr>
        <w:t>S</w:t>
      </w:r>
      <w:r w:rsidR="00C41D08" w:rsidRPr="00FE03B8">
        <w:rPr>
          <w:rFonts w:eastAsia="PMingLiU"/>
        </w:rPr>
        <w:t>entiment</w:t>
      </w:r>
      <w:r w:rsidRPr="00FE03B8">
        <w:rPr>
          <w:rFonts w:eastAsia="PMingLiU"/>
        </w:rPr>
        <w:t>, t</w:t>
      </w:r>
      <w:r w:rsidR="005F4847" w:rsidRPr="00FE03B8">
        <w:rPr>
          <w:rFonts w:eastAsia="PMingLiU"/>
        </w:rPr>
        <w:t xml:space="preserve">his could </w:t>
      </w:r>
      <w:r w:rsidR="0050317A" w:rsidRPr="00FE03B8">
        <w:rPr>
          <w:rFonts w:eastAsia="PMingLiU"/>
        </w:rPr>
        <w:t>positively affect</w:t>
      </w:r>
      <w:r w:rsidRPr="00FE03B8">
        <w:rPr>
          <w:rFonts w:eastAsia="PMingLiU"/>
        </w:rPr>
        <w:t xml:space="preserve"> Bitcoin returns through </w:t>
      </w:r>
      <w:r w:rsidR="00C41D08">
        <w:rPr>
          <w:rFonts w:eastAsia="PMingLiU"/>
        </w:rPr>
        <w:t>S</w:t>
      </w:r>
      <w:r w:rsidR="00C41D08" w:rsidRPr="00FE03B8">
        <w:rPr>
          <w:rFonts w:eastAsia="PMingLiU"/>
        </w:rPr>
        <w:t>entiment</w:t>
      </w:r>
      <w:r w:rsidRPr="00FE03B8">
        <w:rPr>
          <w:rFonts w:eastAsia="PMingLiU"/>
        </w:rPr>
        <w:t xml:space="preserve">. </w:t>
      </w:r>
      <w:r w:rsidR="00A72476" w:rsidRPr="00FE03B8">
        <w:rPr>
          <w:rFonts w:eastAsia="PMingLiU"/>
        </w:rPr>
        <w:t xml:space="preserve">We further observe that the interaction of </w:t>
      </w:r>
      <w:r w:rsidR="00C41D08">
        <w:rPr>
          <w:rFonts w:eastAsia="PMingLiU"/>
        </w:rPr>
        <w:t>S</w:t>
      </w:r>
      <w:r w:rsidR="00C41D08" w:rsidRPr="00FE03B8">
        <w:rPr>
          <w:rFonts w:eastAsia="PMingLiU"/>
        </w:rPr>
        <w:t xml:space="preserve">entiment </w:t>
      </w:r>
      <w:r w:rsidR="00C07FC8" w:rsidRPr="00FE03B8">
        <w:rPr>
          <w:rFonts w:eastAsia="PMingLiU"/>
        </w:rPr>
        <w:t>with</w:t>
      </w:r>
      <w:r w:rsidR="00A72476" w:rsidRPr="00FE03B8">
        <w:rPr>
          <w:rFonts w:eastAsia="PMingLiU"/>
        </w:rPr>
        <w:t xml:space="preserve"> the </w:t>
      </w:r>
      <w:r w:rsidR="0050317A" w:rsidRPr="00FE03B8">
        <w:rPr>
          <w:rFonts w:eastAsia="PMingLiU"/>
        </w:rPr>
        <w:t>energy industry's sensitivit</w:t>
      </w:r>
      <w:r w:rsidR="00A72476" w:rsidRPr="00FE03B8">
        <w:rPr>
          <w:rFonts w:eastAsia="PMingLiU"/>
        </w:rPr>
        <w:t xml:space="preserve">y to </w:t>
      </w:r>
      <w:r w:rsidR="00C41D08">
        <w:rPr>
          <w:rFonts w:eastAsia="PMingLiU"/>
        </w:rPr>
        <w:t>S</w:t>
      </w:r>
      <w:r w:rsidR="00C41D08" w:rsidRPr="00FE03B8">
        <w:rPr>
          <w:rFonts w:eastAsia="PMingLiU"/>
        </w:rPr>
        <w:t xml:space="preserve">entiment </w:t>
      </w:r>
      <w:r w:rsidR="00A72476" w:rsidRPr="00FE03B8">
        <w:rPr>
          <w:rFonts w:eastAsia="PMingLiU"/>
        </w:rPr>
        <w:t xml:space="preserve">is negative with relatively small economic significance. </w:t>
      </w:r>
    </w:p>
    <w:p w14:paraId="22F7420A" w14:textId="4982D304" w:rsidR="004B3DB1" w:rsidRPr="004B3DB1" w:rsidRDefault="004B3DB1" w:rsidP="004B3DB1">
      <w:pPr>
        <w:ind w:firstLine="426"/>
        <w:jc w:val="center"/>
      </w:pPr>
      <w:r>
        <w:lastRenderedPageBreak/>
        <w:t>[INSERT TABLE 5]</w:t>
      </w:r>
    </w:p>
    <w:p w14:paraId="63073344" w14:textId="19B35416" w:rsidR="008A42F2" w:rsidRPr="00FE03B8" w:rsidRDefault="008A42F2" w:rsidP="00233A2E">
      <w:pPr>
        <w:ind w:firstLine="426"/>
        <w:rPr>
          <w:rFonts w:eastAsia="PMingLiU"/>
        </w:rPr>
      </w:pPr>
      <w:r w:rsidRPr="00FE03B8">
        <w:rPr>
          <w:rFonts w:eastAsia="PMingLiU"/>
        </w:rPr>
        <w:t>These findings reveal the increasing importance of clean energy in the process of Bitcoin mining. Forbes reports that Bitcoin mining exhibits an intensive use of sustainable energy (around 56%)</w:t>
      </w:r>
      <w:r w:rsidR="00D85F2B" w:rsidRPr="00FE03B8">
        <w:rPr>
          <w:rFonts w:eastAsia="PMingLiU"/>
        </w:rPr>
        <w:t>.</w:t>
      </w:r>
      <w:r w:rsidR="00D85F2B" w:rsidRPr="00FE03B8">
        <w:rPr>
          <w:rStyle w:val="FootnoteReference"/>
          <w:rFonts w:eastAsia="PMingLiU"/>
        </w:rPr>
        <w:footnoteReference w:id="10"/>
      </w:r>
      <w:r w:rsidRPr="00FE03B8">
        <w:rPr>
          <w:rFonts w:eastAsia="PMingLiU"/>
        </w:rPr>
        <w:t xml:space="preserve"> This percentage renders Bitcoin mining one of the most sustainable industries in the world. Furthermore, the location choice process for Bitcoin mining strongly </w:t>
      </w:r>
      <w:r w:rsidR="00233A2E">
        <w:rPr>
          <w:rFonts w:eastAsia="PMingLiU"/>
        </w:rPr>
        <w:t>considers</w:t>
      </w:r>
      <w:r w:rsidRPr="00FE03B8">
        <w:rPr>
          <w:rFonts w:eastAsia="PMingLiU"/>
        </w:rPr>
        <w:t xml:space="preserve"> the availability of renewable energy sources in each candidate area.</w:t>
      </w:r>
      <w:r w:rsidR="007A583C" w:rsidRPr="00FE03B8">
        <w:rPr>
          <w:rStyle w:val="FootnoteReference"/>
          <w:rFonts w:eastAsia="PMingLiU"/>
        </w:rPr>
        <w:footnoteReference w:id="11"/>
      </w:r>
    </w:p>
    <w:p w14:paraId="2646B12A" w14:textId="6C7E96F4" w:rsidR="000B1CAD" w:rsidRDefault="00A72476" w:rsidP="00233A2E">
      <w:pPr>
        <w:ind w:firstLine="426"/>
      </w:pPr>
      <w:r w:rsidRPr="00FE03B8">
        <w:rPr>
          <w:rFonts w:eastAsia="PMingLiU"/>
        </w:rPr>
        <w:t>Finally</w:t>
      </w:r>
      <w:r w:rsidR="003D6062" w:rsidRPr="00FE03B8">
        <w:rPr>
          <w:rFonts w:eastAsia="PMingLiU"/>
        </w:rPr>
        <w:t>,</w:t>
      </w:r>
      <w:r w:rsidRPr="00FE03B8">
        <w:rPr>
          <w:rFonts w:eastAsia="PMingLiU"/>
        </w:rPr>
        <w:t xml:space="preserve"> the interaction of </w:t>
      </w:r>
      <w:r w:rsidR="00C41D08">
        <w:rPr>
          <w:rFonts w:eastAsia="PMingLiU"/>
        </w:rPr>
        <w:t>S</w:t>
      </w:r>
      <w:r w:rsidR="00C41D08" w:rsidRPr="00FE03B8">
        <w:rPr>
          <w:rFonts w:eastAsia="PMingLiU"/>
        </w:rPr>
        <w:t xml:space="preserve">entiment </w:t>
      </w:r>
      <w:r w:rsidRPr="00FE03B8">
        <w:rPr>
          <w:rFonts w:eastAsia="PMingLiU"/>
        </w:rPr>
        <w:t xml:space="preserve">and the sensitivity of the banking industry to </w:t>
      </w:r>
      <w:r w:rsidR="00C41D08">
        <w:rPr>
          <w:rFonts w:eastAsia="PMingLiU"/>
        </w:rPr>
        <w:t>S</w:t>
      </w:r>
      <w:r w:rsidR="00C41D08" w:rsidRPr="00FE03B8">
        <w:rPr>
          <w:rFonts w:eastAsia="PMingLiU"/>
        </w:rPr>
        <w:t xml:space="preserve">entiment </w:t>
      </w:r>
      <w:r w:rsidRPr="00FE03B8">
        <w:rPr>
          <w:rFonts w:eastAsia="PMingLiU"/>
        </w:rPr>
        <w:t>is statistically insignificant.</w:t>
      </w:r>
      <w:r w:rsidR="00020445" w:rsidRPr="00FE03B8">
        <w:rPr>
          <w:rFonts w:eastAsia="PMingLiU"/>
        </w:rPr>
        <w:t xml:space="preserve"> </w:t>
      </w:r>
      <w:r w:rsidR="000B1CAD" w:rsidRPr="000B1CAD">
        <w:t xml:space="preserve">There is a wider push towards greater adoption of cryptocurrencies in mainstream finance transactions. However, cryptocurrencies still have some disadvantages in comparison with fiat money. </w:t>
      </w:r>
      <w:proofErr w:type="spellStart"/>
      <w:r w:rsidR="000B1CAD" w:rsidRPr="00121FC2">
        <w:t>Thakor</w:t>
      </w:r>
      <w:proofErr w:type="spellEnd"/>
      <w:r w:rsidR="000B1CAD" w:rsidRPr="00121FC2">
        <w:t xml:space="preserve"> (2020</w:t>
      </w:r>
      <w:r w:rsidR="000B1CAD" w:rsidRPr="000B1CAD">
        <w:t>) discusses</w:t>
      </w:r>
      <w:r w:rsidR="0067201A">
        <w:t>,</w:t>
      </w:r>
      <w:r w:rsidR="000B1CAD" w:rsidRPr="000B1CAD">
        <w:t xml:space="preserve"> analytically</w:t>
      </w:r>
      <w:r w:rsidR="0067201A">
        <w:t>,</w:t>
      </w:r>
      <w:r w:rsidR="000B1CAD" w:rsidRPr="000B1CAD">
        <w:t xml:space="preserve"> these disadvantages of cryptocurrencies. </w:t>
      </w:r>
      <w:r w:rsidR="000B1CAD" w:rsidRPr="004B3DB1">
        <w:t xml:space="preserve">The </w:t>
      </w:r>
      <w:r w:rsidR="000B1CAD" w:rsidRPr="004B3DB1">
        <w:rPr>
          <w:i/>
          <w:iCs/>
        </w:rPr>
        <w:t>first</w:t>
      </w:r>
      <w:r w:rsidR="000B1CAD" w:rsidRPr="004B3DB1">
        <w:t xml:space="preserve"> </w:t>
      </w:r>
      <w:r w:rsidR="000B1CAD" w:rsidRPr="000B1CAD">
        <w:t xml:space="preserve">is that the use of cryptocurrencies as </w:t>
      </w:r>
      <w:r w:rsidR="0067201A">
        <w:t xml:space="preserve">the </w:t>
      </w:r>
      <w:r w:rsidR="000B1CAD" w:rsidRPr="000B1CAD">
        <w:t xml:space="preserve">medium of exchange remains limited </w:t>
      </w:r>
      <w:r w:rsidR="00233A2E">
        <w:t>because</w:t>
      </w:r>
      <w:r w:rsidR="000B1CAD" w:rsidRPr="000B1CAD">
        <w:t xml:space="preserve"> it represents a tiny fraction of overall payments. The </w:t>
      </w:r>
      <w:r w:rsidR="000B1CAD" w:rsidRPr="00F27B1B">
        <w:rPr>
          <w:i/>
          <w:iCs/>
        </w:rPr>
        <w:t>second</w:t>
      </w:r>
      <w:r w:rsidR="000B1CAD" w:rsidRPr="000B1CAD">
        <w:t xml:space="preserve"> is that many cryptocurrency transactions between companies and consumers still involve intermediaries that convert cryptocurrencies to fiat currency. The </w:t>
      </w:r>
      <w:r w:rsidR="000B1CAD" w:rsidRPr="00F27B1B">
        <w:rPr>
          <w:i/>
          <w:iCs/>
        </w:rPr>
        <w:t>third</w:t>
      </w:r>
      <w:r w:rsidR="000B1CAD" w:rsidRPr="000B1CAD">
        <w:t xml:space="preserve"> is that</w:t>
      </w:r>
      <w:r w:rsidR="0067201A">
        <w:t>, to date,</w:t>
      </w:r>
      <w:r w:rsidR="000B1CAD" w:rsidRPr="000B1CAD">
        <w:t xml:space="preserve"> cryptocurrencies have not </w:t>
      </w:r>
      <w:r w:rsidR="0067201A">
        <w:t xml:space="preserve">yet </w:t>
      </w:r>
      <w:r w:rsidR="000B1CAD" w:rsidRPr="000B1CAD">
        <w:t xml:space="preserve">achieved the status of a stable source of value because they display large price fluctuations. Hence, investors might view the banking sector </w:t>
      </w:r>
      <w:r w:rsidR="00233A2E">
        <w:t>as</w:t>
      </w:r>
      <w:r w:rsidR="000B1CAD" w:rsidRPr="000B1CAD">
        <w:t xml:space="preserve"> immune to the rise of cryptocurrencies in the short</w:t>
      </w:r>
      <w:r w:rsidR="0067201A">
        <w:t xml:space="preserve"> </w:t>
      </w:r>
      <w:r w:rsidR="000B1CAD" w:rsidRPr="000B1CAD">
        <w:t xml:space="preserve">term.  </w:t>
      </w:r>
    </w:p>
    <w:p w14:paraId="1277FFE0" w14:textId="13310B66" w:rsidR="00AD651D" w:rsidRPr="00AE2217" w:rsidRDefault="00AD651D" w:rsidP="00233A2E">
      <w:pPr>
        <w:ind w:firstLine="426"/>
      </w:pPr>
      <w:r w:rsidRPr="00AD651D">
        <w:t xml:space="preserve">Our findings </w:t>
      </w:r>
      <w:r>
        <w:t xml:space="preserve">also </w:t>
      </w:r>
      <w:r w:rsidRPr="00AD651D">
        <w:t>show that the direct effect of our behavioral factor (Sentiment RTN) on Bitcoin returns is not significantly different from zero. This is consistent with the findings of Kalyvas et al. (2020)</w:t>
      </w:r>
      <w:r w:rsidR="00233A2E">
        <w:t>,</w:t>
      </w:r>
      <w:r w:rsidRPr="00AD651D">
        <w:t xml:space="preserve"> who show that behavioral factors display a weak direct association with the crash risk of Bitcoin</w:t>
      </w:r>
      <w:r w:rsidR="00233A2E">
        <w:t>'</w:t>
      </w:r>
      <w:r w:rsidRPr="00AD651D">
        <w:t xml:space="preserve">s price.  In contrast, </w:t>
      </w:r>
      <w:proofErr w:type="spellStart"/>
      <w:r w:rsidRPr="00736486">
        <w:t>Gurdgiev</w:t>
      </w:r>
      <w:proofErr w:type="spellEnd"/>
      <w:r w:rsidRPr="00736486">
        <w:t xml:space="preserve"> and O'Loughlin (2020</w:t>
      </w:r>
      <w:r w:rsidRPr="00AD651D">
        <w:t xml:space="preserve">) show that investor sentiment has a positive and significant relationship with the returns of cryptocurrencies. However, the measure of investor sentiment they use is specific to the </w:t>
      </w:r>
      <w:r w:rsidRPr="00AD651D">
        <w:lastRenderedPageBreak/>
        <w:t>cryptocurrency market</w:t>
      </w:r>
      <w:r w:rsidR="00233A2E">
        <w:t>,</w:t>
      </w:r>
      <w:r w:rsidRPr="00AD651D">
        <w:t xml:space="preserve"> while our sentiment measure is market</w:t>
      </w:r>
      <w:r w:rsidR="00233A2E">
        <w:t>-</w:t>
      </w:r>
      <w:r w:rsidRPr="00AD651D">
        <w:t xml:space="preserve">wide. Our interaction terms analysis provides evidence that the general investor sentiment is still able to associate with Bitcoin prices indirectly through the sensitivity that industries related to cryptocurrencies display towards such </w:t>
      </w:r>
      <w:r w:rsidR="00C41D08">
        <w:t>S</w:t>
      </w:r>
      <w:r w:rsidR="00C41D08" w:rsidRPr="00AD651D">
        <w:t>entiment</w:t>
      </w:r>
      <w:r w:rsidRPr="00AD651D">
        <w:t>.</w:t>
      </w:r>
    </w:p>
    <w:p w14:paraId="209FE0E3" w14:textId="77777777" w:rsidR="0084286F" w:rsidRPr="000F2890" w:rsidRDefault="0084286F" w:rsidP="004E08C5">
      <w:pPr>
        <w:pStyle w:val="Heading2"/>
        <w:numPr>
          <w:ilvl w:val="1"/>
          <w:numId w:val="1"/>
        </w:numPr>
      </w:pPr>
      <w:r>
        <w:t>Additional Analysis</w:t>
      </w:r>
    </w:p>
    <w:p w14:paraId="30831F66" w14:textId="5F263947" w:rsidR="0084286F" w:rsidRPr="00FE03B8" w:rsidRDefault="0067201A" w:rsidP="003D6062">
      <w:pPr>
        <w:ind w:firstLine="426"/>
        <w:rPr>
          <w:rFonts w:eastAsia="PMingLiU"/>
        </w:rPr>
      </w:pPr>
      <w:r>
        <w:rPr>
          <w:rFonts w:eastAsia="PMingLiU"/>
        </w:rPr>
        <w:t>T</w:t>
      </w:r>
      <w:r w:rsidR="00214571" w:rsidRPr="00FE03B8">
        <w:rPr>
          <w:rFonts w:eastAsia="PMingLiU"/>
        </w:rPr>
        <w:t>o test the validity</w:t>
      </w:r>
      <w:r w:rsidR="0084286F" w:rsidRPr="00FE03B8">
        <w:rPr>
          <w:rFonts w:eastAsia="PMingLiU"/>
        </w:rPr>
        <w:t xml:space="preserve"> of our results </w:t>
      </w:r>
      <w:r w:rsidR="00214571" w:rsidRPr="00FE03B8">
        <w:rPr>
          <w:rFonts w:eastAsia="PMingLiU"/>
        </w:rPr>
        <w:t xml:space="preserve">and inference, </w:t>
      </w:r>
      <w:r w:rsidR="0084286F" w:rsidRPr="00FE03B8">
        <w:rPr>
          <w:rFonts w:eastAsia="PMingLiU"/>
        </w:rPr>
        <w:t xml:space="preserve">we repeat the analysis by estimating Equations (5) and (6), using the sensitivity estimates from Equations (3) and (4) instead of Equation (2). The results are </w:t>
      </w:r>
      <w:r w:rsidR="000C6A7A" w:rsidRPr="00FE03B8">
        <w:rPr>
          <w:rFonts w:eastAsia="PMingLiU"/>
        </w:rPr>
        <w:t>illustrated</w:t>
      </w:r>
      <w:r w:rsidR="0084286F" w:rsidRPr="00FE03B8">
        <w:rPr>
          <w:rFonts w:eastAsia="PMingLiU"/>
        </w:rPr>
        <w:t xml:space="preserve"> in Tables 6 and 7</w:t>
      </w:r>
      <w:r w:rsidR="003D6062" w:rsidRPr="00FE03B8">
        <w:rPr>
          <w:rFonts w:eastAsia="PMingLiU"/>
        </w:rPr>
        <w:t>,</w:t>
      </w:r>
      <w:r w:rsidR="0084286F" w:rsidRPr="00FE03B8">
        <w:rPr>
          <w:rFonts w:eastAsia="PMingLiU"/>
        </w:rPr>
        <w:t xml:space="preserve"> respectively</w:t>
      </w:r>
      <w:r w:rsidR="003D6062" w:rsidRPr="00FE03B8">
        <w:rPr>
          <w:rFonts w:eastAsia="PMingLiU"/>
        </w:rPr>
        <w:t>,</w:t>
      </w:r>
      <w:r w:rsidR="0084286F" w:rsidRPr="00FE03B8">
        <w:rPr>
          <w:rFonts w:eastAsia="PMingLiU"/>
        </w:rPr>
        <w:t xml:space="preserve"> </w:t>
      </w:r>
      <w:r w:rsidR="000C6A7A" w:rsidRPr="00FE03B8">
        <w:rPr>
          <w:rFonts w:eastAsia="PMingLiU"/>
        </w:rPr>
        <w:t xml:space="preserve">and are qualitatively similar to the results of our main analysis (Table 5), </w:t>
      </w:r>
      <w:r w:rsidR="00214571" w:rsidRPr="00FE03B8">
        <w:rPr>
          <w:rFonts w:eastAsia="PMingLiU"/>
        </w:rPr>
        <w:t>suggesting</w:t>
      </w:r>
      <w:r w:rsidR="000C6A7A" w:rsidRPr="00FE03B8">
        <w:rPr>
          <w:rFonts w:eastAsia="PMingLiU"/>
        </w:rPr>
        <w:t xml:space="preserve"> that the inference remains unchanged. </w:t>
      </w:r>
      <w:r w:rsidR="0084286F" w:rsidRPr="00FE03B8">
        <w:rPr>
          <w:rFonts w:eastAsia="PMingLiU"/>
        </w:rPr>
        <w:t xml:space="preserve"> </w:t>
      </w:r>
    </w:p>
    <w:p w14:paraId="31584D5B" w14:textId="77777777" w:rsidR="00AE2217" w:rsidRPr="00AE2217" w:rsidRDefault="00AE2217" w:rsidP="004910CC">
      <w:pPr>
        <w:spacing w:after="240"/>
        <w:ind w:firstLine="426"/>
        <w:jc w:val="center"/>
      </w:pPr>
      <w:r>
        <w:t>[INSERT TABLES 6, 7]</w:t>
      </w:r>
    </w:p>
    <w:p w14:paraId="239C6E38" w14:textId="424AAB7B" w:rsidR="0084286F" w:rsidRDefault="00A72476" w:rsidP="00C45051">
      <w:pPr>
        <w:spacing w:after="240"/>
        <w:ind w:firstLine="426"/>
        <w:rPr>
          <w:rFonts w:eastAsia="PMingLiU"/>
        </w:rPr>
      </w:pPr>
      <w:r w:rsidRPr="00FE03B8">
        <w:rPr>
          <w:rFonts w:eastAsia="PMingLiU"/>
        </w:rPr>
        <w:t>Overall, o</w:t>
      </w:r>
      <w:r w:rsidR="00916B26" w:rsidRPr="00FE03B8">
        <w:rPr>
          <w:rFonts w:eastAsia="PMingLiU"/>
        </w:rPr>
        <w:t xml:space="preserve">ur findings indeed </w:t>
      </w:r>
      <w:r w:rsidR="0067201A">
        <w:rPr>
          <w:rFonts w:eastAsia="PMingLiU"/>
        </w:rPr>
        <w:t xml:space="preserve">show </w:t>
      </w:r>
      <w:r w:rsidR="00916B26" w:rsidRPr="00FE03B8">
        <w:rPr>
          <w:rFonts w:eastAsia="PMingLiU"/>
        </w:rPr>
        <w:t>that sensitivities of the industries</w:t>
      </w:r>
      <w:r w:rsidR="00D473C2" w:rsidRPr="00FE03B8">
        <w:rPr>
          <w:rFonts w:eastAsia="PMingLiU"/>
        </w:rPr>
        <w:t>,</w:t>
      </w:r>
      <w:r w:rsidR="00916B26" w:rsidRPr="00FE03B8">
        <w:rPr>
          <w:rFonts w:eastAsia="PMingLiU"/>
        </w:rPr>
        <w:t xml:space="preserve"> closely related with cryptocurrencies</w:t>
      </w:r>
      <w:r w:rsidR="00D473C2" w:rsidRPr="00FE03B8">
        <w:rPr>
          <w:rFonts w:eastAsia="PMingLiU"/>
        </w:rPr>
        <w:t>,</w:t>
      </w:r>
      <w:r w:rsidR="00916B26" w:rsidRPr="00FE03B8">
        <w:rPr>
          <w:rFonts w:eastAsia="PMingLiU"/>
        </w:rPr>
        <w:t xml:space="preserve"> to </w:t>
      </w:r>
      <w:r w:rsidR="009C4256">
        <w:rPr>
          <w:rFonts w:eastAsia="PMingLiU"/>
        </w:rPr>
        <w:t>Sentiment</w:t>
      </w:r>
      <w:r w:rsidR="00233A2E">
        <w:rPr>
          <w:rFonts w:eastAsia="PMingLiU"/>
        </w:rPr>
        <w:t>,</w:t>
      </w:r>
      <w:r w:rsidR="00916B26" w:rsidRPr="00FE03B8">
        <w:rPr>
          <w:rFonts w:eastAsia="PMingLiU"/>
        </w:rPr>
        <w:t xml:space="preserve"> facilitate the effect of </w:t>
      </w:r>
      <w:r w:rsidR="009C4256">
        <w:rPr>
          <w:rFonts w:eastAsia="PMingLiU"/>
        </w:rPr>
        <w:t>Sentiment</w:t>
      </w:r>
      <w:r w:rsidR="00916B26" w:rsidRPr="00FE03B8">
        <w:rPr>
          <w:rFonts w:eastAsia="PMingLiU"/>
        </w:rPr>
        <w:t xml:space="preserve"> on Bitcoin returns. </w:t>
      </w:r>
    </w:p>
    <w:p w14:paraId="2252170A" w14:textId="13B13374" w:rsidR="00906D33" w:rsidRDefault="00906D33" w:rsidP="00906D33">
      <w:pPr>
        <w:pStyle w:val="Heading2"/>
        <w:numPr>
          <w:ilvl w:val="1"/>
          <w:numId w:val="1"/>
        </w:numPr>
      </w:pPr>
      <w:r>
        <w:t xml:space="preserve">An </w:t>
      </w:r>
      <w:r w:rsidR="00B06C8B">
        <w:t>E</w:t>
      </w:r>
      <w:r>
        <w:t>xample</w:t>
      </w:r>
    </w:p>
    <w:p w14:paraId="75F5F9A7" w14:textId="06749973" w:rsidR="00906D33" w:rsidRPr="00906D33" w:rsidRDefault="00906D33" w:rsidP="00EA549D">
      <w:pPr>
        <w:ind w:firstLine="360"/>
      </w:pPr>
      <w:r>
        <w:t>In this Section we discuss an example illustrat</w:t>
      </w:r>
      <w:r w:rsidR="00EA549D">
        <w:t>ing</w:t>
      </w:r>
      <w:r>
        <w:t xml:space="preserve"> some implications </w:t>
      </w:r>
      <w:r w:rsidR="00EA549D">
        <w:t xml:space="preserve">of </w:t>
      </w:r>
      <w:r>
        <w:t xml:space="preserve">our findings for investors. </w:t>
      </w:r>
      <w:r w:rsidR="00EA549D">
        <w:t xml:space="preserve">To implement this example, we perform the following steps. </w:t>
      </w:r>
      <w:r w:rsidRPr="00F50FCC">
        <w:t>First</w:t>
      </w:r>
      <w:r>
        <w:t>, we calculate the median of the full</w:t>
      </w:r>
      <w:r w:rsidR="00CD7D0D">
        <w:t xml:space="preserve"> </w:t>
      </w:r>
      <w:r>
        <w:t>sample on the Sentiment, information technology and clean energy sensitivities to Sentiment</w:t>
      </w:r>
      <w:r w:rsidR="00CD7D0D">
        <w:t>. B</w:t>
      </w:r>
      <w:r w:rsidRPr="005D4CA0">
        <w:t>ased on the median</w:t>
      </w:r>
      <w:r>
        <w:t xml:space="preserve"> values</w:t>
      </w:r>
      <w:r w:rsidR="00EA549D">
        <w:t xml:space="preserve"> we find</w:t>
      </w:r>
      <w:r w:rsidR="008F7C64">
        <w:t>,</w:t>
      </w:r>
      <w:r w:rsidRPr="005D4CA0">
        <w:t xml:space="preserve"> we split the full </w:t>
      </w:r>
      <w:r w:rsidR="00CD7D0D">
        <w:t>sample</w:t>
      </w:r>
      <w:r w:rsidRPr="005D4CA0">
        <w:t xml:space="preserve"> into two sub</w:t>
      </w:r>
      <w:r w:rsidR="00CD7D0D">
        <w:t>samples</w:t>
      </w:r>
      <w:r w:rsidRPr="005D4CA0">
        <w:t>.</w:t>
      </w:r>
      <w:r w:rsidR="00CD7D0D">
        <w:rPr>
          <w:rStyle w:val="FootnoteReference"/>
        </w:rPr>
        <w:footnoteReference w:id="12"/>
      </w:r>
      <w:r>
        <w:t xml:space="preserve"> Next, we compare the Sharpe ratios of Bitcoin, information technology and global clean energy indices</w:t>
      </w:r>
      <w:r w:rsidR="00EA549D">
        <w:t xml:space="preserve"> and find that</w:t>
      </w:r>
      <w:r>
        <w:t xml:space="preserve">, in periods with high Sentiment and when the two industries display a high positive sensitivity to Sentiment, the Sharpe ratio of Bitcoin is </w:t>
      </w:r>
      <w:r w:rsidR="00A91C89">
        <w:t>greater</w:t>
      </w:r>
      <w:r>
        <w:t xml:space="preserve"> than the Sharpe ratio of the two industries. For instance, in periods with high Sentiment, and </w:t>
      </w:r>
      <w:r>
        <w:lastRenderedPageBreak/>
        <w:t xml:space="preserve">when the information technology index exhibits a high positive sensitivity to Sentiment, the Bitcoin achieves an annualized Sharpe ratio of 1.50, higher, compared to the Sharpe ratio of information technology (-2.13) and global clean energy (-4.07). The results are qualitatively similar when we </w:t>
      </w:r>
      <w:r w:rsidR="008F7C64">
        <w:t xml:space="preserve">use </w:t>
      </w:r>
      <w:r>
        <w:t>the global clean energy sensitivity instead of the information technology sensitivity on Sentiment.  On the other hand, in periods with low Sentiment, and when the two industries display a lower sensitivity to Sentiment, we document opposite results – i.e., the Sharpe ratio</w:t>
      </w:r>
      <w:r w:rsidR="00CE47A9">
        <w:t>s</w:t>
      </w:r>
      <w:r>
        <w:t xml:space="preserve"> of information technology and global clean energy indices </w:t>
      </w:r>
      <w:r w:rsidR="00CE47A9">
        <w:t>are greater</w:t>
      </w:r>
      <w:r>
        <w:t xml:space="preserve"> than Bitcoin’s.</w:t>
      </w:r>
      <w:r w:rsidR="009630E0">
        <w:rPr>
          <w:rStyle w:val="FootnoteReference"/>
        </w:rPr>
        <w:footnoteReference w:id="13"/>
      </w:r>
      <w:r>
        <w:t xml:space="preserve"> </w:t>
      </w:r>
    </w:p>
    <w:p w14:paraId="433D277C" w14:textId="77777777" w:rsidR="00916B26" w:rsidRDefault="00916B26" w:rsidP="00916B26">
      <w:pPr>
        <w:pStyle w:val="Heading1"/>
        <w:numPr>
          <w:ilvl w:val="0"/>
          <w:numId w:val="1"/>
        </w:numPr>
      </w:pPr>
      <w:r>
        <w:t>Conclusions</w:t>
      </w:r>
    </w:p>
    <w:p w14:paraId="1C2086AB" w14:textId="32C994A4" w:rsidR="00C07FC8" w:rsidRPr="00FE03B8" w:rsidRDefault="00C07FC8" w:rsidP="00233A2E">
      <w:pPr>
        <w:ind w:firstLine="426"/>
        <w:rPr>
          <w:rFonts w:eastAsia="PMingLiU"/>
        </w:rPr>
      </w:pPr>
      <w:r>
        <w:t xml:space="preserve">This paper explores </w:t>
      </w:r>
      <w:r w:rsidR="003D6062">
        <w:t xml:space="preserve">the </w:t>
      </w:r>
      <w:r w:rsidRPr="00FE03B8">
        <w:rPr>
          <w:color w:val="000000"/>
          <w:szCs w:val="24"/>
        </w:rPr>
        <w:t xml:space="preserve">potential </w:t>
      </w:r>
      <w:r w:rsidR="00FC3127" w:rsidRPr="00FE03B8">
        <w:rPr>
          <w:color w:val="000000"/>
          <w:szCs w:val="24"/>
        </w:rPr>
        <w:t xml:space="preserve">mediation effect </w:t>
      </w:r>
      <w:r w:rsidRPr="00FE03B8">
        <w:rPr>
          <w:color w:val="000000"/>
          <w:szCs w:val="24"/>
        </w:rPr>
        <w:t xml:space="preserve">of </w:t>
      </w:r>
      <w:r w:rsidR="00FC3127" w:rsidRPr="00FE03B8">
        <w:rPr>
          <w:color w:val="000000"/>
          <w:szCs w:val="24"/>
        </w:rPr>
        <w:t xml:space="preserve">behavioral factors </w:t>
      </w:r>
      <w:r w:rsidR="00FD3173" w:rsidRPr="00FE03B8">
        <w:rPr>
          <w:color w:val="000000"/>
          <w:szCs w:val="24"/>
        </w:rPr>
        <w:t>on the</w:t>
      </w:r>
      <w:r w:rsidR="00FC3127" w:rsidRPr="00FE03B8">
        <w:rPr>
          <w:color w:val="000000"/>
          <w:szCs w:val="24"/>
        </w:rPr>
        <w:t xml:space="preserve"> relationship</w:t>
      </w:r>
      <w:r w:rsidRPr="00FE03B8">
        <w:rPr>
          <w:color w:val="000000"/>
          <w:szCs w:val="24"/>
        </w:rPr>
        <w:t xml:space="preserve"> </w:t>
      </w:r>
      <w:r w:rsidR="00FC3127" w:rsidRPr="00FE03B8">
        <w:rPr>
          <w:color w:val="000000"/>
          <w:szCs w:val="24"/>
        </w:rPr>
        <w:t xml:space="preserve">between </w:t>
      </w:r>
      <w:r w:rsidRPr="00FE03B8">
        <w:rPr>
          <w:color w:val="000000"/>
          <w:szCs w:val="24"/>
        </w:rPr>
        <w:t xml:space="preserve">industry indices on Bitcoin returns. </w:t>
      </w:r>
      <w:r w:rsidR="00A14CB5" w:rsidRPr="00FE03B8">
        <w:rPr>
          <w:color w:val="000000"/>
          <w:szCs w:val="24"/>
        </w:rPr>
        <w:t xml:space="preserve"> </w:t>
      </w:r>
      <w:r w:rsidRPr="00FE03B8">
        <w:rPr>
          <w:color w:val="000000"/>
          <w:szCs w:val="24"/>
        </w:rPr>
        <w:t xml:space="preserve">We employ </w:t>
      </w:r>
      <w:r w:rsidR="003D6062" w:rsidRPr="00FE03B8">
        <w:rPr>
          <w:color w:val="000000"/>
          <w:szCs w:val="24"/>
        </w:rPr>
        <w:t>four</w:t>
      </w:r>
      <w:r w:rsidRPr="00FE03B8">
        <w:rPr>
          <w:color w:val="000000"/>
          <w:szCs w:val="24"/>
        </w:rPr>
        <w:t xml:space="preserve"> industry indices in technology, energy</w:t>
      </w:r>
      <w:r w:rsidR="00F56793" w:rsidRPr="00FE03B8">
        <w:rPr>
          <w:color w:val="000000"/>
          <w:szCs w:val="24"/>
        </w:rPr>
        <w:t>, clean energy</w:t>
      </w:r>
      <w:r w:rsidR="003D6062" w:rsidRPr="00FE03B8">
        <w:rPr>
          <w:color w:val="000000"/>
          <w:szCs w:val="24"/>
        </w:rPr>
        <w:t>,</w:t>
      </w:r>
      <w:r w:rsidRPr="00FE03B8">
        <w:rPr>
          <w:color w:val="000000"/>
          <w:szCs w:val="24"/>
        </w:rPr>
        <w:t xml:space="preserve"> and banking, and the Sentiment index from Thomson Reuters Marketpsych Indices as </w:t>
      </w:r>
      <w:r w:rsidR="003D6062" w:rsidRPr="00FE03B8">
        <w:rPr>
          <w:color w:val="000000"/>
          <w:szCs w:val="24"/>
        </w:rPr>
        <w:t xml:space="preserve">a </w:t>
      </w:r>
      <w:r w:rsidRPr="00FE03B8">
        <w:rPr>
          <w:color w:val="000000"/>
          <w:szCs w:val="24"/>
        </w:rPr>
        <w:t xml:space="preserve">proxy for investor </w:t>
      </w:r>
      <w:proofErr w:type="spellStart"/>
      <w:r w:rsidRPr="00FE03B8">
        <w:rPr>
          <w:color w:val="000000"/>
          <w:szCs w:val="24"/>
        </w:rPr>
        <w:t>behavior</w:t>
      </w:r>
      <w:proofErr w:type="spellEnd"/>
      <w:r w:rsidRPr="00FE03B8">
        <w:rPr>
          <w:color w:val="000000"/>
          <w:szCs w:val="24"/>
        </w:rPr>
        <w:t xml:space="preserve"> for the purposes of our analysis. Our results </w:t>
      </w:r>
      <w:r w:rsidR="00E33873">
        <w:rPr>
          <w:color w:val="000000"/>
          <w:szCs w:val="24"/>
        </w:rPr>
        <w:t>provide</w:t>
      </w:r>
      <w:r w:rsidRPr="00FE03B8">
        <w:rPr>
          <w:color w:val="000000"/>
          <w:szCs w:val="24"/>
        </w:rPr>
        <w:t xml:space="preserve"> evidence of </w:t>
      </w:r>
      <w:r w:rsidR="003D6062" w:rsidRPr="00FE03B8">
        <w:rPr>
          <w:color w:val="000000"/>
          <w:szCs w:val="24"/>
        </w:rPr>
        <w:t xml:space="preserve">a </w:t>
      </w:r>
      <w:r w:rsidRPr="00FE03B8">
        <w:rPr>
          <w:color w:val="000000"/>
          <w:szCs w:val="24"/>
        </w:rPr>
        <w:t xml:space="preserve">significant </w:t>
      </w:r>
      <w:r w:rsidR="00B80BE3" w:rsidRPr="00FE03B8">
        <w:rPr>
          <w:color w:val="000000"/>
          <w:szCs w:val="24"/>
        </w:rPr>
        <w:t xml:space="preserve">positive </w:t>
      </w:r>
      <w:r w:rsidRPr="00FE03B8">
        <w:rPr>
          <w:color w:val="000000"/>
          <w:szCs w:val="24"/>
        </w:rPr>
        <w:t>association between the sensitivities of technology and clean energy industry in</w:t>
      </w:r>
      <w:r w:rsidR="004370A1" w:rsidRPr="00FE03B8">
        <w:rPr>
          <w:color w:val="000000"/>
          <w:szCs w:val="24"/>
        </w:rPr>
        <w:t>dices and the return</w:t>
      </w:r>
      <w:r w:rsidR="00E33873">
        <w:rPr>
          <w:color w:val="000000"/>
          <w:szCs w:val="24"/>
        </w:rPr>
        <w:t>s</w:t>
      </w:r>
      <w:r w:rsidR="004370A1" w:rsidRPr="00FE03B8">
        <w:rPr>
          <w:color w:val="000000"/>
          <w:szCs w:val="24"/>
        </w:rPr>
        <w:t xml:space="preserve"> of Bitcoin when the </w:t>
      </w:r>
      <w:r w:rsidR="00C41D08">
        <w:rPr>
          <w:color w:val="000000"/>
          <w:szCs w:val="24"/>
        </w:rPr>
        <w:t>S</w:t>
      </w:r>
      <w:r w:rsidR="00C41D08" w:rsidRPr="00FE03B8">
        <w:rPr>
          <w:color w:val="000000"/>
          <w:szCs w:val="24"/>
        </w:rPr>
        <w:t xml:space="preserve">entiment </w:t>
      </w:r>
      <w:r w:rsidR="004370A1" w:rsidRPr="00FE03B8">
        <w:rPr>
          <w:color w:val="000000"/>
          <w:szCs w:val="24"/>
        </w:rPr>
        <w:t>becomes strong</w:t>
      </w:r>
      <w:r w:rsidR="004D0DBC" w:rsidRPr="00FE03B8">
        <w:rPr>
          <w:color w:val="000000"/>
          <w:szCs w:val="24"/>
        </w:rPr>
        <w:t>er, with the latter result</w:t>
      </w:r>
      <w:r w:rsidR="004370A1" w:rsidRPr="00FE03B8">
        <w:rPr>
          <w:color w:val="000000"/>
          <w:szCs w:val="24"/>
        </w:rPr>
        <w:t xml:space="preserve"> exhibiting high economic significance. </w:t>
      </w:r>
      <w:r w:rsidRPr="00FE03B8">
        <w:rPr>
          <w:color w:val="000000"/>
          <w:szCs w:val="24"/>
        </w:rPr>
        <w:t xml:space="preserve"> </w:t>
      </w:r>
      <w:r w:rsidRPr="00FE03B8">
        <w:rPr>
          <w:rFonts w:eastAsia="PMingLiU"/>
        </w:rPr>
        <w:t xml:space="preserve">We further observe that the interaction of </w:t>
      </w:r>
      <w:r w:rsidR="00C41D08">
        <w:rPr>
          <w:rFonts w:eastAsia="PMingLiU"/>
        </w:rPr>
        <w:t>S</w:t>
      </w:r>
      <w:r w:rsidR="00C41D08" w:rsidRPr="00FE03B8">
        <w:rPr>
          <w:rFonts w:eastAsia="PMingLiU"/>
        </w:rPr>
        <w:t xml:space="preserve">entiment </w:t>
      </w:r>
      <w:r w:rsidRPr="00FE03B8">
        <w:rPr>
          <w:rFonts w:eastAsia="PMingLiU"/>
        </w:rPr>
        <w:t xml:space="preserve">with the </w:t>
      </w:r>
      <w:r w:rsidR="0050317A" w:rsidRPr="00FE03B8">
        <w:rPr>
          <w:rFonts w:eastAsia="PMingLiU"/>
        </w:rPr>
        <w:t>energy industry's sensitivit</w:t>
      </w:r>
      <w:r w:rsidRPr="00FE03B8">
        <w:rPr>
          <w:rFonts w:eastAsia="PMingLiU"/>
        </w:rPr>
        <w:t xml:space="preserve">y to </w:t>
      </w:r>
      <w:r w:rsidR="00C41D08">
        <w:rPr>
          <w:rFonts w:eastAsia="PMingLiU"/>
        </w:rPr>
        <w:t>S</w:t>
      </w:r>
      <w:r w:rsidR="00C41D08" w:rsidRPr="00FE03B8">
        <w:rPr>
          <w:rFonts w:eastAsia="PMingLiU"/>
        </w:rPr>
        <w:t xml:space="preserve">entiment </w:t>
      </w:r>
      <w:r w:rsidRPr="00FE03B8">
        <w:rPr>
          <w:rFonts w:eastAsia="PMingLiU"/>
        </w:rPr>
        <w:t>is negative with relatively small economic significance. Finally</w:t>
      </w:r>
      <w:r w:rsidR="003D6062" w:rsidRPr="00FE03B8">
        <w:rPr>
          <w:rFonts w:eastAsia="PMingLiU"/>
        </w:rPr>
        <w:t>,</w:t>
      </w:r>
      <w:r w:rsidRPr="00FE03B8">
        <w:rPr>
          <w:rFonts w:eastAsia="PMingLiU"/>
        </w:rPr>
        <w:t xml:space="preserve"> the interaction of </w:t>
      </w:r>
      <w:r w:rsidR="00C41D08">
        <w:rPr>
          <w:rFonts w:eastAsia="PMingLiU"/>
        </w:rPr>
        <w:t>S</w:t>
      </w:r>
      <w:r w:rsidR="00C41D08" w:rsidRPr="00FE03B8">
        <w:rPr>
          <w:rFonts w:eastAsia="PMingLiU"/>
        </w:rPr>
        <w:t xml:space="preserve">entiment </w:t>
      </w:r>
      <w:r w:rsidRPr="00FE03B8">
        <w:rPr>
          <w:rFonts w:eastAsia="PMingLiU"/>
        </w:rPr>
        <w:t xml:space="preserve">and the sensitivity of the banking industry to </w:t>
      </w:r>
      <w:r w:rsidR="00C41D08">
        <w:rPr>
          <w:rFonts w:eastAsia="PMingLiU"/>
        </w:rPr>
        <w:t>S</w:t>
      </w:r>
      <w:r w:rsidR="00C41D08" w:rsidRPr="00FE03B8">
        <w:rPr>
          <w:rFonts w:eastAsia="PMingLiU"/>
        </w:rPr>
        <w:t xml:space="preserve">entiment </w:t>
      </w:r>
      <w:r w:rsidRPr="00FE03B8">
        <w:rPr>
          <w:rFonts w:eastAsia="PMingLiU"/>
        </w:rPr>
        <w:t>is statistically insignificant.</w:t>
      </w:r>
      <w:r w:rsidR="00E33873">
        <w:rPr>
          <w:rFonts w:eastAsia="PMingLiU"/>
        </w:rPr>
        <w:t xml:space="preserve"> </w:t>
      </w:r>
      <w:r w:rsidR="00CE0E6E">
        <w:rPr>
          <w:rFonts w:eastAsia="PMingLiU"/>
        </w:rPr>
        <w:t xml:space="preserve"> Overall, our results suggest that when the indices of highl</w:t>
      </w:r>
      <w:r w:rsidR="00C41D08">
        <w:rPr>
          <w:rFonts w:eastAsia="PMingLiU"/>
        </w:rPr>
        <w:t xml:space="preserve">y related industries react strongly and positively </w:t>
      </w:r>
      <w:r w:rsidR="00CE0E6E">
        <w:rPr>
          <w:rFonts w:eastAsia="PMingLiU"/>
        </w:rPr>
        <w:t xml:space="preserve">to </w:t>
      </w:r>
      <w:r w:rsidR="00C41D08">
        <w:rPr>
          <w:rFonts w:eastAsia="PMingLiU"/>
        </w:rPr>
        <w:t>increased S</w:t>
      </w:r>
      <w:r w:rsidR="00CE0E6E">
        <w:rPr>
          <w:rFonts w:eastAsia="PMingLiU"/>
        </w:rPr>
        <w:t>entiment</w:t>
      </w:r>
      <w:r w:rsidR="00C41D08">
        <w:rPr>
          <w:rFonts w:eastAsia="PMingLiU"/>
        </w:rPr>
        <w:t>,</w:t>
      </w:r>
      <w:r w:rsidR="00CE0E6E">
        <w:rPr>
          <w:rFonts w:eastAsia="PMingLiU"/>
        </w:rPr>
        <w:t xml:space="preserve"> </w:t>
      </w:r>
      <w:r w:rsidR="00C41D08">
        <w:rPr>
          <w:rFonts w:eastAsia="PMingLiU"/>
        </w:rPr>
        <w:t xml:space="preserve">then this </w:t>
      </w:r>
      <w:r w:rsidR="00E33873">
        <w:rPr>
          <w:rFonts w:eastAsia="PMingLiU"/>
        </w:rPr>
        <w:t>is reflected</w:t>
      </w:r>
      <w:r w:rsidR="00C41D08">
        <w:rPr>
          <w:rFonts w:eastAsia="PMingLiU"/>
        </w:rPr>
        <w:t xml:space="preserve"> in the price of Bitcoin. Furthermore, these findings underline the importance of the techn</w:t>
      </w:r>
      <w:r w:rsidR="00E33873">
        <w:rPr>
          <w:rFonts w:eastAsia="PMingLiU"/>
        </w:rPr>
        <w:t>ology and clean energy sectors</w:t>
      </w:r>
      <w:r w:rsidR="00C41D08">
        <w:rPr>
          <w:rFonts w:eastAsia="PMingLiU"/>
        </w:rPr>
        <w:t xml:space="preserve"> for the production and operation of cryptocurrencies. </w:t>
      </w:r>
    </w:p>
    <w:p w14:paraId="26DB1C59" w14:textId="60892080" w:rsidR="00554AC0" w:rsidRDefault="00347FD3" w:rsidP="00233A2E">
      <w:pPr>
        <w:ind w:firstLine="426"/>
      </w:pPr>
      <w:r>
        <w:lastRenderedPageBreak/>
        <w:t xml:space="preserve">We conduct several robustness tests </w:t>
      </w:r>
      <w:r w:rsidR="0020692B">
        <w:t xml:space="preserve">as </w:t>
      </w:r>
      <w:r w:rsidR="003D6062">
        <w:t xml:space="preserve">a </w:t>
      </w:r>
      <w:r w:rsidR="0020692B">
        <w:t xml:space="preserve">means of testing the correctness of our results. </w:t>
      </w:r>
      <w:r w:rsidR="00233A2E">
        <w:t>Notab</w:t>
      </w:r>
      <w:r w:rsidR="0067201A">
        <w:t>ly</w:t>
      </w:r>
      <w:r w:rsidR="0020692B">
        <w:t xml:space="preserve">, we employ three different models to estimate industry sensitivities to Bitcoin, controlling for the </w:t>
      </w:r>
      <w:r w:rsidR="000B563D">
        <w:t xml:space="preserve">Fama </w:t>
      </w:r>
      <w:r w:rsidR="009C4256">
        <w:t>and</w:t>
      </w:r>
      <w:r w:rsidR="000B563D">
        <w:t xml:space="preserve"> French</w:t>
      </w:r>
      <w:r w:rsidR="0020692B">
        <w:t xml:space="preserve"> (1993) </w:t>
      </w:r>
      <w:r w:rsidR="005F7488">
        <w:t xml:space="preserve">market, size and </w:t>
      </w:r>
      <w:r w:rsidR="0020692B">
        <w:t xml:space="preserve">value portfolios, controlling for the </w:t>
      </w:r>
      <w:proofErr w:type="spellStart"/>
      <w:r w:rsidR="0020692B">
        <w:t>Car</w:t>
      </w:r>
      <w:r w:rsidR="000D131D">
        <w:t>t</w:t>
      </w:r>
      <w:r w:rsidR="0020692B">
        <w:t>hart</w:t>
      </w:r>
      <w:proofErr w:type="spellEnd"/>
      <w:r w:rsidR="0020692B">
        <w:t xml:space="preserve"> (1997) momentum portfolio</w:t>
      </w:r>
      <w:r w:rsidR="003D6062">
        <w:t>,</w:t>
      </w:r>
      <w:r w:rsidR="0020692B">
        <w:t xml:space="preserve"> and also controlling for the </w:t>
      </w:r>
      <w:r w:rsidR="000B563D">
        <w:t xml:space="preserve">Fama </w:t>
      </w:r>
      <w:r w:rsidR="009C4256">
        <w:t>and</w:t>
      </w:r>
      <w:r w:rsidR="000B563D">
        <w:t xml:space="preserve"> French</w:t>
      </w:r>
      <w:r w:rsidR="0020692B">
        <w:t xml:space="preserve"> (2015) profitability and investment portfolios. While our base case is developed around the model controlling for </w:t>
      </w:r>
      <w:r w:rsidR="000B563D">
        <w:t xml:space="preserve">Fama </w:t>
      </w:r>
      <w:r w:rsidR="009C4256">
        <w:t>and</w:t>
      </w:r>
      <w:r w:rsidR="000B563D">
        <w:t xml:space="preserve"> French</w:t>
      </w:r>
      <w:r w:rsidR="0020692B">
        <w:t xml:space="preserve"> (1993) </w:t>
      </w:r>
      <w:r w:rsidR="0013642D">
        <w:t xml:space="preserve">factors, all three methodologies generate </w:t>
      </w:r>
      <w:r w:rsidR="00081C55">
        <w:t xml:space="preserve">qualitatively </w:t>
      </w:r>
      <w:r w:rsidR="0013642D">
        <w:t>similar results.</w:t>
      </w:r>
    </w:p>
    <w:p w14:paraId="3EDB4E16" w14:textId="07F91F18" w:rsidR="00273194" w:rsidRDefault="008E191B" w:rsidP="00233A2E">
      <w:pPr>
        <w:ind w:firstLine="426"/>
      </w:pPr>
      <w:r>
        <w:t xml:space="preserve">Our inference is similar to </w:t>
      </w:r>
      <w:r w:rsidR="0067201A">
        <w:t xml:space="preserve">the findings from </w:t>
      </w:r>
      <w:r>
        <w:t xml:space="preserve">prior literature but via a different route. </w:t>
      </w:r>
      <w:proofErr w:type="spellStart"/>
      <w:r w:rsidR="00273194">
        <w:t>Symitsi</w:t>
      </w:r>
      <w:proofErr w:type="spellEnd"/>
      <w:r w:rsidR="00273194">
        <w:t xml:space="preserve"> and Chalvatzis (20</w:t>
      </w:r>
      <w:r w:rsidR="00D3389E">
        <w:t>1</w:t>
      </w:r>
      <w:r w:rsidR="00273194">
        <w:t>8) find a direct link between Bitcoin and technology and energy indices. Our analysis does not provide sufficient evidence that such a link exists</w:t>
      </w:r>
      <w:r w:rsidR="00DA337F">
        <w:t>.</w:t>
      </w:r>
      <w:r w:rsidR="00233A2E">
        <w:t xml:space="preserve"> </w:t>
      </w:r>
      <w:r w:rsidR="00DA337F">
        <w:t>W</w:t>
      </w:r>
      <w:r w:rsidR="00273194">
        <w:t xml:space="preserve">e attribute </w:t>
      </w:r>
      <w:r w:rsidR="00233A2E">
        <w:t xml:space="preserve">this </w:t>
      </w:r>
      <w:r w:rsidR="00273194">
        <w:t>to the very volatile nature of Bitcoin</w:t>
      </w:r>
      <w:r w:rsidR="00F50FCC">
        <w:t xml:space="preserve"> and the use of control variables in our models</w:t>
      </w:r>
      <w:r w:rsidR="00DA337F">
        <w:t>. However,</w:t>
      </w:r>
      <w:r w:rsidR="00273194">
        <w:t xml:space="preserve"> we do identify a link via changes </w:t>
      </w:r>
      <w:r w:rsidR="00233A2E">
        <w:t>in Sentiment</w:t>
      </w:r>
      <w:r w:rsidR="00C41D08">
        <w:t xml:space="preserve"> </w:t>
      </w:r>
      <w:r w:rsidR="00273194">
        <w:t xml:space="preserve">in conjunction with changes in the sensitivities of those industries to </w:t>
      </w:r>
      <w:r w:rsidR="00744319">
        <w:t>Sentiment.</w:t>
      </w:r>
    </w:p>
    <w:p w14:paraId="0CB1826B" w14:textId="6A432287" w:rsidR="00FC215C" w:rsidRDefault="00273194" w:rsidP="0070544D">
      <w:pPr>
        <w:ind w:firstLine="426"/>
      </w:pPr>
      <w:r>
        <w:t xml:space="preserve">Our results </w:t>
      </w:r>
      <w:r w:rsidR="00EA549D">
        <w:t xml:space="preserve">also </w:t>
      </w:r>
      <w:r>
        <w:t>have significant implications for cryptocurrency investors</w:t>
      </w:r>
      <w:r w:rsidR="00233A2E">
        <w:t>,</w:t>
      </w:r>
      <w:r>
        <w:t xml:space="preserve"> who</w:t>
      </w:r>
      <w:r w:rsidR="00233A2E">
        <w:t>m</w:t>
      </w:r>
      <w:r>
        <w:t xml:space="preserve"> we advise </w:t>
      </w:r>
      <w:r w:rsidR="00233A2E">
        <w:t>paying close attention to TRMI Sentiment and</w:t>
      </w:r>
      <w:r w:rsidR="0067201A">
        <w:t xml:space="preserve"> </w:t>
      </w:r>
      <w:r w:rsidR="009C0936">
        <w:t>the sensitivity of the technology and clean energy industries since, per our findings, these are significant determinants of Bitcoin returns.</w:t>
      </w:r>
      <w:r w:rsidR="00E46546">
        <w:t xml:space="preserve"> </w:t>
      </w:r>
      <w:r w:rsidR="0070544D">
        <w:t xml:space="preserve">For example, </w:t>
      </w:r>
      <w:r w:rsidR="00FC215C">
        <w:t>an in</w:t>
      </w:r>
      <w:r w:rsidR="0070544D">
        <w:t>dividual</w:t>
      </w:r>
      <w:r w:rsidR="00FC215C">
        <w:t xml:space="preserve"> who invests in </w:t>
      </w:r>
      <w:r w:rsidR="002508B4">
        <w:t>B</w:t>
      </w:r>
      <w:r w:rsidR="00FC215C">
        <w:t xml:space="preserve">itcoin can incur significant gains in periods when </w:t>
      </w:r>
      <w:r w:rsidR="00C41D08">
        <w:t xml:space="preserve">Sentiment </w:t>
      </w:r>
      <w:r w:rsidR="00FC215C">
        <w:t>is high</w:t>
      </w:r>
      <w:r w:rsidR="0022700B">
        <w:t xml:space="preserve"> while</w:t>
      </w:r>
      <w:r w:rsidR="00FC215C">
        <w:t xml:space="preserve"> information technology and global clean energy industries display strong positive sensitivity to </w:t>
      </w:r>
      <w:r w:rsidR="00C41D08">
        <w:t>Sentiment</w:t>
      </w:r>
      <w:r w:rsidR="00FC215C">
        <w:t>.</w:t>
      </w:r>
      <w:r w:rsidR="0070544D">
        <w:rPr>
          <w:rStyle w:val="FootnoteReference"/>
        </w:rPr>
        <w:footnoteReference w:id="14"/>
      </w:r>
    </w:p>
    <w:p w14:paraId="48C02AD2" w14:textId="4AA155F0" w:rsidR="0047395B" w:rsidRDefault="009B01FB" w:rsidP="006D5A8B">
      <w:pPr>
        <w:ind w:firstLine="426"/>
      </w:pPr>
      <w:r>
        <w:t>P</w:t>
      </w:r>
      <w:r w:rsidR="00AB61F8">
        <w:t xml:space="preserve">ossible future </w:t>
      </w:r>
      <w:r w:rsidR="002508B4">
        <w:t xml:space="preserve">extensions to this research </w:t>
      </w:r>
      <w:r w:rsidR="009C0936">
        <w:t xml:space="preserve">include </w:t>
      </w:r>
      <w:r>
        <w:t>expanding the analysis to</w:t>
      </w:r>
      <w:r w:rsidR="00AF5F81">
        <w:t xml:space="preserve"> incorporate</w:t>
      </w:r>
      <w:r>
        <w:t xml:space="preserve"> </w:t>
      </w:r>
      <w:r w:rsidR="009C0936">
        <w:t>additional cryptocurrencies (e.g.</w:t>
      </w:r>
      <w:r w:rsidR="003D6062">
        <w:t>,</w:t>
      </w:r>
      <w:r w:rsidR="009C0936">
        <w:t xml:space="preserve"> </w:t>
      </w:r>
      <w:proofErr w:type="spellStart"/>
      <w:r w:rsidR="009C0936" w:rsidRPr="000B563D">
        <w:t>Etherium</w:t>
      </w:r>
      <w:proofErr w:type="spellEnd"/>
      <w:r w:rsidR="009C0936" w:rsidRPr="000B563D">
        <w:t xml:space="preserve"> </w:t>
      </w:r>
      <w:r w:rsidR="004844EE">
        <w:t>and</w:t>
      </w:r>
      <w:r w:rsidR="002508B4" w:rsidRPr="000B563D">
        <w:t xml:space="preserve"> </w:t>
      </w:r>
      <w:r w:rsidR="009C0936" w:rsidRPr="000B563D">
        <w:t>Ripple)</w:t>
      </w:r>
      <w:r w:rsidR="003A5454" w:rsidRPr="000B563D">
        <w:t>,</w:t>
      </w:r>
      <w:r>
        <w:t xml:space="preserve"> </w:t>
      </w:r>
      <w:r w:rsidR="009C0936">
        <w:t xml:space="preserve">alternative </w:t>
      </w:r>
      <w:r w:rsidR="00EE7CA4">
        <w:t>proxies for behavioral factors</w:t>
      </w:r>
      <w:r w:rsidR="002508B4">
        <w:t>,</w:t>
      </w:r>
      <w:r w:rsidR="003A5454">
        <w:t xml:space="preserve"> and a more recent sample of data</w:t>
      </w:r>
      <w:r>
        <w:t>.</w:t>
      </w:r>
      <w:r w:rsidR="003A5454">
        <w:rPr>
          <w:rStyle w:val="FootnoteReference"/>
        </w:rPr>
        <w:footnoteReference w:id="15"/>
      </w:r>
      <w:r>
        <w:t xml:space="preserve"> </w:t>
      </w:r>
      <w:r w:rsidR="009C0936">
        <w:t xml:space="preserve">  </w:t>
      </w:r>
    </w:p>
    <w:sdt>
      <w:sdtPr>
        <w:rPr>
          <w:rFonts w:eastAsia="SimSun"/>
          <w:b w:val="0"/>
          <w:color w:val="auto"/>
          <w:szCs w:val="22"/>
        </w:rPr>
        <w:id w:val="1341207266"/>
        <w:docPartObj>
          <w:docPartGallery w:val="Bibliographies"/>
          <w:docPartUnique/>
        </w:docPartObj>
      </w:sdtPr>
      <w:sdtEndPr/>
      <w:sdtContent>
        <w:p w14:paraId="37A555F0" w14:textId="381ED65E" w:rsidR="006D5A8B" w:rsidRDefault="006D5A8B" w:rsidP="00FD7D70">
          <w:pPr>
            <w:pStyle w:val="Heading1"/>
            <w:spacing w:line="360" w:lineRule="auto"/>
            <w:jc w:val="center"/>
          </w:pPr>
          <w:r>
            <w:t>References</w:t>
          </w:r>
        </w:p>
        <w:sdt>
          <w:sdtPr>
            <w:id w:val="111145805"/>
            <w:bibliography/>
          </w:sdtPr>
          <w:sdtEndPr/>
          <w:sdtContent>
            <w:p w14:paraId="43E0D515" w14:textId="77777777" w:rsidR="00E22560" w:rsidRDefault="006D5A8B" w:rsidP="00FD7D70">
              <w:pPr>
                <w:pStyle w:val="Bibliography"/>
                <w:spacing w:line="360" w:lineRule="auto"/>
                <w:ind w:left="720" w:hanging="720"/>
                <w:rPr>
                  <w:noProof/>
                  <w:szCs w:val="24"/>
                </w:rPr>
              </w:pPr>
              <w:r>
                <w:fldChar w:fldCharType="begin"/>
              </w:r>
              <w:r>
                <w:instrText xml:space="preserve"> BIBLIOGRAPHY </w:instrText>
              </w:r>
              <w:r>
                <w:fldChar w:fldCharType="separate"/>
              </w:r>
              <w:r w:rsidR="00E22560">
                <w:rPr>
                  <w:noProof/>
                </w:rPr>
                <w:t xml:space="preserve">Baker, M., &amp; Wurgler, J. (2006). Investor Sentiment and the Cross-Section of Stock Returns. </w:t>
              </w:r>
              <w:r w:rsidR="00E22560">
                <w:rPr>
                  <w:i/>
                  <w:iCs/>
                  <w:noProof/>
                </w:rPr>
                <w:t>Journal of Finance, 61</w:t>
              </w:r>
              <w:r w:rsidR="00E22560">
                <w:rPr>
                  <w:noProof/>
                </w:rPr>
                <w:t>(4), 1645-1680.</w:t>
              </w:r>
            </w:p>
            <w:p w14:paraId="235B71B4" w14:textId="77777777" w:rsidR="00E22560" w:rsidRDefault="00E22560" w:rsidP="00FD7D70">
              <w:pPr>
                <w:pStyle w:val="Bibliography"/>
                <w:spacing w:line="360" w:lineRule="auto"/>
                <w:ind w:left="720" w:hanging="720"/>
                <w:rPr>
                  <w:noProof/>
                </w:rPr>
              </w:pPr>
              <w:r>
                <w:rPr>
                  <w:noProof/>
                </w:rPr>
                <w:t xml:space="preserve">Bariviera, A. F. (2017). The inefficiency of Bitcoin revisited: A dynamic approach. </w:t>
              </w:r>
              <w:r>
                <w:rPr>
                  <w:i/>
                  <w:iCs/>
                  <w:noProof/>
                </w:rPr>
                <w:t>Economics Letters, 161</w:t>
              </w:r>
              <w:r>
                <w:rPr>
                  <w:noProof/>
                </w:rPr>
                <w:t>, 1-4.</w:t>
              </w:r>
            </w:p>
            <w:p w14:paraId="0625CF86" w14:textId="77777777" w:rsidR="00E22560" w:rsidRDefault="00E22560" w:rsidP="00FD7D70">
              <w:pPr>
                <w:pStyle w:val="Bibliography"/>
                <w:spacing w:line="360" w:lineRule="auto"/>
                <w:ind w:left="720" w:hanging="720"/>
                <w:rPr>
                  <w:noProof/>
                </w:rPr>
              </w:pPr>
              <w:r>
                <w:rPr>
                  <w:noProof/>
                </w:rPr>
                <w:t xml:space="preserve">Biais, B., Bisiere, C., Bouvard, M., Casamatta, C., &amp; Menkverd, A. J. (2020). Equilibrium Bitcoin Pricing. </w:t>
              </w:r>
              <w:r>
                <w:rPr>
                  <w:i/>
                  <w:iCs/>
                  <w:noProof/>
                </w:rPr>
                <w:t>Working Paper</w:t>
              </w:r>
              <w:r>
                <w:rPr>
                  <w:noProof/>
                </w:rPr>
                <w:t>.</w:t>
              </w:r>
            </w:p>
            <w:p w14:paraId="739705F1" w14:textId="77777777" w:rsidR="00E22560" w:rsidRDefault="00E22560" w:rsidP="00FD7D70">
              <w:pPr>
                <w:pStyle w:val="Bibliography"/>
                <w:spacing w:line="360" w:lineRule="auto"/>
                <w:ind w:left="720" w:hanging="720"/>
                <w:rPr>
                  <w:noProof/>
                </w:rPr>
              </w:pPr>
              <w:r>
                <w:rPr>
                  <w:noProof/>
                </w:rPr>
                <w:t xml:space="preserve">Blau, B. M. (2017). Price dynamics and speculative trading in bitcoin. </w:t>
              </w:r>
              <w:r>
                <w:rPr>
                  <w:i/>
                  <w:iCs/>
                  <w:noProof/>
                </w:rPr>
                <w:t>Research in International Business and Finance, 41</w:t>
              </w:r>
              <w:r>
                <w:rPr>
                  <w:noProof/>
                </w:rPr>
                <w:t>, 493-499.</w:t>
              </w:r>
            </w:p>
            <w:p w14:paraId="03CBEC96" w14:textId="77777777" w:rsidR="00E22560" w:rsidRDefault="00E22560" w:rsidP="00FD7D70">
              <w:pPr>
                <w:pStyle w:val="Bibliography"/>
                <w:spacing w:line="360" w:lineRule="auto"/>
                <w:ind w:left="720" w:hanging="720"/>
                <w:rPr>
                  <w:noProof/>
                </w:rPr>
              </w:pPr>
              <w:r>
                <w:rPr>
                  <w:noProof/>
                </w:rPr>
                <w:t xml:space="preserve">Borri, N. (2019). Conditional tail-risk in cryptocurrency markets. </w:t>
              </w:r>
              <w:r>
                <w:rPr>
                  <w:i/>
                  <w:iCs/>
                  <w:noProof/>
                </w:rPr>
                <w:t>Journal of Empirical Finance, 50</w:t>
              </w:r>
              <w:r>
                <w:rPr>
                  <w:noProof/>
                </w:rPr>
                <w:t>, 1-19.</w:t>
              </w:r>
            </w:p>
            <w:p w14:paraId="413FD7B0" w14:textId="77777777" w:rsidR="00E22560" w:rsidRDefault="00E22560" w:rsidP="00FD7D70">
              <w:pPr>
                <w:pStyle w:val="Bibliography"/>
                <w:spacing w:line="360" w:lineRule="auto"/>
                <w:ind w:left="720" w:hanging="720"/>
                <w:rPr>
                  <w:noProof/>
                </w:rPr>
              </w:pPr>
              <w:r>
                <w:rPr>
                  <w:noProof/>
                </w:rPr>
                <w:t xml:space="preserve">Bouri, E., Das, M., Gupta, R., &amp; Roubaud, D. (2018). Spillovers between Bitcoin and other assets during bear and bull markets. </w:t>
              </w:r>
              <w:r>
                <w:rPr>
                  <w:i/>
                  <w:iCs/>
                  <w:noProof/>
                </w:rPr>
                <w:t>Applied Economics, 50</w:t>
              </w:r>
              <w:r>
                <w:rPr>
                  <w:noProof/>
                </w:rPr>
                <w:t>(55), 5935-5949.</w:t>
              </w:r>
            </w:p>
            <w:p w14:paraId="49424052" w14:textId="77777777" w:rsidR="00E22560" w:rsidRDefault="00E22560" w:rsidP="00FD7D70">
              <w:pPr>
                <w:pStyle w:val="Bibliography"/>
                <w:spacing w:line="360" w:lineRule="auto"/>
                <w:ind w:left="720" w:hanging="720"/>
                <w:rPr>
                  <w:noProof/>
                </w:rPr>
              </w:pPr>
              <w:r>
                <w:rPr>
                  <w:noProof/>
                </w:rPr>
                <w:t xml:space="preserve">Brogaard, J., &amp; Detzel, A. (2015). The Asset-Pricing Implications of Government Economic Policy Uncertainty. </w:t>
              </w:r>
              <w:r>
                <w:rPr>
                  <w:i/>
                  <w:iCs/>
                  <w:noProof/>
                </w:rPr>
                <w:t>Management Science, 61</w:t>
              </w:r>
              <w:r>
                <w:rPr>
                  <w:noProof/>
                </w:rPr>
                <w:t>(1), 3-18.</w:t>
              </w:r>
            </w:p>
            <w:p w14:paraId="0DAA6B46" w14:textId="77777777" w:rsidR="00E22560" w:rsidRDefault="00E22560" w:rsidP="00FD7D70">
              <w:pPr>
                <w:pStyle w:val="Bibliography"/>
                <w:spacing w:line="360" w:lineRule="auto"/>
                <w:ind w:left="720" w:hanging="720"/>
                <w:rPr>
                  <w:noProof/>
                </w:rPr>
              </w:pPr>
              <w:r>
                <w:rPr>
                  <w:noProof/>
                </w:rPr>
                <w:t xml:space="preserve">Carhart, M. M. (1997). On Persistence in Mutual Fund Performance. </w:t>
              </w:r>
              <w:r>
                <w:rPr>
                  <w:i/>
                  <w:iCs/>
                  <w:noProof/>
                </w:rPr>
                <w:t>Journal of Finance, 52</w:t>
              </w:r>
              <w:r>
                <w:rPr>
                  <w:noProof/>
                </w:rPr>
                <w:t>(1), 57-82.</w:t>
              </w:r>
            </w:p>
            <w:p w14:paraId="5DE21BF8" w14:textId="77777777" w:rsidR="00E22560" w:rsidRDefault="00E22560" w:rsidP="00FD7D70">
              <w:pPr>
                <w:pStyle w:val="Bibliography"/>
                <w:spacing w:line="360" w:lineRule="auto"/>
                <w:ind w:left="720" w:hanging="720"/>
                <w:rPr>
                  <w:noProof/>
                </w:rPr>
              </w:pPr>
              <w:r>
                <w:rPr>
                  <w:noProof/>
                </w:rPr>
                <w:t xml:space="preserve">Chu, J., Chan, S., &amp; Zhang, Y. (2020). High frequency momentum trading with cryptocurrencies. </w:t>
              </w:r>
              <w:r>
                <w:rPr>
                  <w:i/>
                  <w:iCs/>
                  <w:noProof/>
                </w:rPr>
                <w:t>Research in International Business and Finance, 52</w:t>
              </w:r>
              <w:r>
                <w:rPr>
                  <w:noProof/>
                </w:rPr>
                <w:t>, 101176.</w:t>
              </w:r>
            </w:p>
            <w:p w14:paraId="4657D422" w14:textId="77777777" w:rsidR="00E22560" w:rsidRDefault="00E22560" w:rsidP="00FD7D70">
              <w:pPr>
                <w:pStyle w:val="Bibliography"/>
                <w:spacing w:line="360" w:lineRule="auto"/>
                <w:ind w:left="720" w:hanging="720"/>
                <w:rPr>
                  <w:noProof/>
                </w:rPr>
              </w:pPr>
              <w:r>
                <w:rPr>
                  <w:noProof/>
                </w:rPr>
                <w:t xml:space="preserve">Cong, L. W., &amp; He, Z. (2019). Blockchain Disruption and Smart Contracts. </w:t>
              </w:r>
              <w:r>
                <w:rPr>
                  <w:i/>
                  <w:iCs/>
                  <w:noProof/>
                </w:rPr>
                <w:t>Review of Financial Studies, 32</w:t>
              </w:r>
              <w:r>
                <w:rPr>
                  <w:noProof/>
                </w:rPr>
                <w:t>(5), 1754–1797.</w:t>
              </w:r>
            </w:p>
            <w:p w14:paraId="3271EA6E" w14:textId="77777777" w:rsidR="00E22560" w:rsidRDefault="00E22560" w:rsidP="00FD7D70">
              <w:pPr>
                <w:pStyle w:val="Bibliography"/>
                <w:spacing w:line="360" w:lineRule="auto"/>
                <w:ind w:left="720" w:hanging="720"/>
                <w:rPr>
                  <w:noProof/>
                </w:rPr>
              </w:pPr>
              <w:r>
                <w:rPr>
                  <w:noProof/>
                </w:rPr>
                <w:t xml:space="preserve">Corbet, S., Eraslan, V., Lucey, B., &amp; Sensoy, A. (2019). The effectiveness of technical trading rules in cryptocurrency markets. </w:t>
              </w:r>
              <w:r>
                <w:rPr>
                  <w:i/>
                  <w:iCs/>
                  <w:noProof/>
                </w:rPr>
                <w:t>Finance Research Letters, 31</w:t>
              </w:r>
              <w:r>
                <w:rPr>
                  <w:noProof/>
                </w:rPr>
                <w:t>, 32-37.</w:t>
              </w:r>
            </w:p>
            <w:p w14:paraId="573B3BC7" w14:textId="77777777" w:rsidR="00E22560" w:rsidRDefault="00E22560" w:rsidP="00FD7D70">
              <w:pPr>
                <w:pStyle w:val="Bibliography"/>
                <w:spacing w:line="360" w:lineRule="auto"/>
                <w:ind w:left="720" w:hanging="720"/>
                <w:rPr>
                  <w:noProof/>
                </w:rPr>
              </w:pPr>
              <w:r>
                <w:rPr>
                  <w:noProof/>
                </w:rPr>
                <w:t xml:space="preserve">Corbet, S., Lucey, B., &amp; Yarovaya, L. (2018a). Datestamping the Bitcoin and Ethereum bubbles. </w:t>
              </w:r>
              <w:r>
                <w:rPr>
                  <w:i/>
                  <w:iCs/>
                  <w:noProof/>
                </w:rPr>
                <w:t>Finance Research Letters, 26</w:t>
              </w:r>
              <w:r>
                <w:rPr>
                  <w:noProof/>
                </w:rPr>
                <w:t>, 81-88.</w:t>
              </w:r>
            </w:p>
            <w:p w14:paraId="16711584" w14:textId="77777777" w:rsidR="00E22560" w:rsidRDefault="00E22560" w:rsidP="00FD7D70">
              <w:pPr>
                <w:pStyle w:val="Bibliography"/>
                <w:spacing w:line="360" w:lineRule="auto"/>
                <w:ind w:left="720" w:hanging="720"/>
                <w:rPr>
                  <w:noProof/>
                </w:rPr>
              </w:pPr>
              <w:r>
                <w:rPr>
                  <w:noProof/>
                </w:rPr>
                <w:t xml:space="preserve">Corbet, S., Meegan, A., Larkin, C., Lucey, B., &amp; Yarovaya, L. (2018b). Exploring the dynamic relationships between cryptocurrencies and other financial assets. </w:t>
              </w:r>
              <w:r>
                <w:rPr>
                  <w:i/>
                  <w:iCs/>
                  <w:noProof/>
                </w:rPr>
                <w:t>Economics Letters, 165</w:t>
              </w:r>
              <w:r>
                <w:rPr>
                  <w:noProof/>
                </w:rPr>
                <w:t>, 28-34.</w:t>
              </w:r>
            </w:p>
            <w:p w14:paraId="0B5322BA" w14:textId="77777777" w:rsidR="00E22560" w:rsidRDefault="00E22560" w:rsidP="00FD7D70">
              <w:pPr>
                <w:pStyle w:val="Bibliography"/>
                <w:spacing w:line="360" w:lineRule="auto"/>
                <w:ind w:left="720" w:hanging="720"/>
                <w:rPr>
                  <w:noProof/>
                </w:rPr>
              </w:pPr>
              <w:r>
                <w:rPr>
                  <w:noProof/>
                </w:rPr>
                <w:t xml:space="preserve">Cui, X., Yao, S., Fang, Z., &amp; Wang, H. (2020). Economic policy uncertainty exposure and earnings management: evidence from China. </w:t>
              </w:r>
              <w:r>
                <w:rPr>
                  <w:i/>
                  <w:iCs/>
                  <w:noProof/>
                </w:rPr>
                <w:t>Accounting &amp; Finance</w:t>
              </w:r>
              <w:r>
                <w:rPr>
                  <w:noProof/>
                </w:rPr>
                <w:t>, Forthcoming.</w:t>
              </w:r>
            </w:p>
            <w:p w14:paraId="0F67EEC6" w14:textId="77777777" w:rsidR="00E22560" w:rsidRDefault="00E22560" w:rsidP="00FD7D70">
              <w:pPr>
                <w:pStyle w:val="Bibliography"/>
                <w:spacing w:line="360" w:lineRule="auto"/>
                <w:ind w:left="720" w:hanging="720"/>
                <w:rPr>
                  <w:noProof/>
                </w:rPr>
              </w:pPr>
              <w:r>
                <w:rPr>
                  <w:noProof/>
                </w:rPr>
                <w:t xml:space="preserve">Damianov, D. S., &amp; Elsayed, A. H. (2020). Does Bitcoin add value to global industry portfolios? </w:t>
              </w:r>
              <w:r>
                <w:rPr>
                  <w:i/>
                  <w:iCs/>
                  <w:noProof/>
                </w:rPr>
                <w:t>Economics Letters, 191</w:t>
              </w:r>
              <w:r>
                <w:rPr>
                  <w:noProof/>
                </w:rPr>
                <w:t>, 108935.</w:t>
              </w:r>
            </w:p>
            <w:p w14:paraId="213FD40F" w14:textId="77777777" w:rsidR="00E22560" w:rsidRDefault="00E22560" w:rsidP="00FD7D70">
              <w:pPr>
                <w:pStyle w:val="Bibliography"/>
                <w:spacing w:line="360" w:lineRule="auto"/>
                <w:ind w:left="720" w:hanging="720"/>
                <w:rPr>
                  <w:noProof/>
                </w:rPr>
              </w:pPr>
              <w:r>
                <w:rPr>
                  <w:noProof/>
                </w:rPr>
                <w:t xml:space="preserve">Datta, S., Doan, T., &amp; Iskandar-Datta, M. (2019). Policy uncertainty and the maturity structure of corporate debt. </w:t>
              </w:r>
              <w:r>
                <w:rPr>
                  <w:i/>
                  <w:iCs/>
                  <w:noProof/>
                </w:rPr>
                <w:t>Journal of Financial Stability, 44</w:t>
              </w:r>
              <w:r>
                <w:rPr>
                  <w:noProof/>
                </w:rPr>
                <w:t>, 100694.</w:t>
              </w:r>
            </w:p>
            <w:p w14:paraId="28B70AC8" w14:textId="77777777" w:rsidR="00E22560" w:rsidRDefault="00E22560" w:rsidP="00FD7D70">
              <w:pPr>
                <w:pStyle w:val="Bibliography"/>
                <w:spacing w:line="360" w:lineRule="auto"/>
                <w:ind w:left="720" w:hanging="720"/>
                <w:rPr>
                  <w:noProof/>
                </w:rPr>
              </w:pPr>
              <w:r>
                <w:rPr>
                  <w:noProof/>
                </w:rPr>
                <w:lastRenderedPageBreak/>
                <w:t xml:space="preserve">de Gama Silva, P. V., Klotzle, M. C., Pinto, A. C., &amp; Gomes, L. L. (2019). Herding behavior and contagion in the cryptocurrency market. </w:t>
              </w:r>
              <w:r>
                <w:rPr>
                  <w:i/>
                  <w:iCs/>
                  <w:noProof/>
                </w:rPr>
                <w:t>Journal of Behavioral and Experimental Finance, 22</w:t>
              </w:r>
              <w:r>
                <w:rPr>
                  <w:noProof/>
                </w:rPr>
                <w:t>, 41-50.</w:t>
              </w:r>
            </w:p>
            <w:p w14:paraId="11257180" w14:textId="1A7C1DBD" w:rsidR="00E22560" w:rsidRDefault="00E22560" w:rsidP="00FD7D70">
              <w:pPr>
                <w:pStyle w:val="Bibliography"/>
                <w:spacing w:line="360" w:lineRule="auto"/>
                <w:ind w:left="720" w:hanging="720"/>
                <w:rPr>
                  <w:noProof/>
                </w:rPr>
              </w:pPr>
              <w:r>
                <w:rPr>
                  <w:noProof/>
                </w:rPr>
                <w:t>de Vries, A. (2020). Bitcoin</w:t>
              </w:r>
              <w:r w:rsidR="00233A2E">
                <w:rPr>
                  <w:noProof/>
                </w:rPr>
                <w:t>'</w:t>
              </w:r>
              <w:r>
                <w:rPr>
                  <w:noProof/>
                </w:rPr>
                <w:t xml:space="preserve">s energy consumption is underestimated: A market dynamics approach. </w:t>
              </w:r>
              <w:r>
                <w:rPr>
                  <w:i/>
                  <w:iCs/>
                  <w:noProof/>
                </w:rPr>
                <w:t>Energy Research &amp; Social Science, 70</w:t>
              </w:r>
              <w:r>
                <w:rPr>
                  <w:noProof/>
                </w:rPr>
                <w:t>, 101721.</w:t>
              </w:r>
            </w:p>
            <w:p w14:paraId="648002FB" w14:textId="77777777" w:rsidR="00E22560" w:rsidRDefault="00E22560" w:rsidP="00FD7D70">
              <w:pPr>
                <w:pStyle w:val="Bibliography"/>
                <w:spacing w:line="360" w:lineRule="auto"/>
                <w:ind w:left="720" w:hanging="720"/>
                <w:rPr>
                  <w:noProof/>
                </w:rPr>
              </w:pPr>
              <w:r>
                <w:rPr>
                  <w:noProof/>
                </w:rPr>
                <w:t xml:space="preserve">Fama, E. F., &amp; French, K. R. (1993). Common risk factors in the returns on stocks and bonds. </w:t>
              </w:r>
              <w:r>
                <w:rPr>
                  <w:i/>
                  <w:iCs/>
                  <w:noProof/>
                </w:rPr>
                <w:t>Journal of Financial Economics, 33</w:t>
              </w:r>
              <w:r>
                <w:rPr>
                  <w:noProof/>
                </w:rPr>
                <w:t>(1), 3-56.</w:t>
              </w:r>
            </w:p>
            <w:p w14:paraId="1DFF3BF7" w14:textId="77777777" w:rsidR="00E22560" w:rsidRDefault="00E22560" w:rsidP="00FD7D70">
              <w:pPr>
                <w:pStyle w:val="Bibliography"/>
                <w:spacing w:line="360" w:lineRule="auto"/>
                <w:ind w:left="720" w:hanging="720"/>
                <w:rPr>
                  <w:noProof/>
                </w:rPr>
              </w:pPr>
              <w:r>
                <w:rPr>
                  <w:noProof/>
                </w:rPr>
                <w:t xml:space="preserve">Fama, E. F., &amp; French, K. R. (2015). A five-factor asset pricing model. </w:t>
              </w:r>
              <w:r>
                <w:rPr>
                  <w:i/>
                  <w:iCs/>
                  <w:noProof/>
                </w:rPr>
                <w:t>Journal of Financial Economics, 116</w:t>
              </w:r>
              <w:r>
                <w:rPr>
                  <w:noProof/>
                </w:rPr>
                <w:t>(1), 1-22.</w:t>
              </w:r>
            </w:p>
            <w:p w14:paraId="63AC31F8" w14:textId="77777777" w:rsidR="00E22560" w:rsidRDefault="00E22560" w:rsidP="00FD7D70">
              <w:pPr>
                <w:pStyle w:val="Bibliography"/>
                <w:spacing w:line="360" w:lineRule="auto"/>
                <w:ind w:left="720" w:hanging="720"/>
                <w:rPr>
                  <w:noProof/>
                </w:rPr>
              </w:pPr>
              <w:r>
                <w:rPr>
                  <w:noProof/>
                </w:rPr>
                <w:t xml:space="preserve">Francis, B. B., Hasan, I., &amp; Zhu, Y. (2014). Political uncertainty and bank loan contracting. </w:t>
              </w:r>
              <w:r>
                <w:rPr>
                  <w:i/>
                  <w:iCs/>
                  <w:noProof/>
                </w:rPr>
                <w:t>Journal of Empirical Finance, 29</w:t>
              </w:r>
              <w:r>
                <w:rPr>
                  <w:noProof/>
                </w:rPr>
                <w:t>, 281-286.</w:t>
              </w:r>
            </w:p>
            <w:p w14:paraId="6005DC9F" w14:textId="77777777" w:rsidR="00E22560" w:rsidRDefault="00E22560" w:rsidP="00FD7D70">
              <w:pPr>
                <w:pStyle w:val="Bibliography"/>
                <w:spacing w:line="360" w:lineRule="auto"/>
                <w:ind w:left="720" w:hanging="720"/>
                <w:rPr>
                  <w:noProof/>
                </w:rPr>
              </w:pPr>
              <w:r>
                <w:rPr>
                  <w:noProof/>
                </w:rPr>
                <w:t xml:space="preserve">Gerritsen, D. F., Bouri, E., Ramezanifar, E., &amp; Roubaud, D. (2020). The profitability of technical trading rules in the Bitcoin market. </w:t>
              </w:r>
              <w:r>
                <w:rPr>
                  <w:i/>
                  <w:iCs/>
                  <w:noProof/>
                </w:rPr>
                <w:t>Finance Research Letters, 34</w:t>
              </w:r>
              <w:r>
                <w:rPr>
                  <w:noProof/>
                </w:rPr>
                <w:t>, 101263.</w:t>
              </w:r>
            </w:p>
            <w:p w14:paraId="5BED9E52" w14:textId="77777777" w:rsidR="00E22560" w:rsidRDefault="00E22560" w:rsidP="00FD7D70">
              <w:pPr>
                <w:pStyle w:val="Bibliography"/>
                <w:spacing w:line="360" w:lineRule="auto"/>
                <w:ind w:left="720" w:hanging="720"/>
                <w:rPr>
                  <w:noProof/>
                </w:rPr>
              </w:pPr>
              <w:r>
                <w:rPr>
                  <w:noProof/>
                </w:rPr>
                <w:t xml:space="preserve">Gillaizeau, M., Jayasekera, R., Maaitah, A., Mishra, T., Parhi, M., &amp; Volokitina, E. (2019). Giver and the receiver: Understanding spillover effects and predictive power in cross-market Bitcoin prices. </w:t>
              </w:r>
              <w:r>
                <w:rPr>
                  <w:i/>
                  <w:iCs/>
                  <w:noProof/>
                </w:rPr>
                <w:t>International Review of Financial Analysis, 63</w:t>
              </w:r>
              <w:r>
                <w:rPr>
                  <w:noProof/>
                </w:rPr>
                <w:t>, 86-104.</w:t>
              </w:r>
            </w:p>
            <w:p w14:paraId="45DF9278" w14:textId="77777777" w:rsidR="00E22560" w:rsidRDefault="00E22560" w:rsidP="00FD7D70">
              <w:pPr>
                <w:pStyle w:val="Bibliography"/>
                <w:spacing w:line="360" w:lineRule="auto"/>
                <w:ind w:left="720" w:hanging="720"/>
                <w:rPr>
                  <w:noProof/>
                </w:rPr>
              </w:pPr>
              <w:r>
                <w:rPr>
                  <w:noProof/>
                </w:rPr>
                <w:t xml:space="preserve">Gkillas, K., Bouri, E., Gupta, R., &amp; Roubaud, D. (2020). Spillovers in Higher-Order Moments of Crude Oil, Gold, and Bitcoin. </w:t>
              </w:r>
              <w:r>
                <w:rPr>
                  <w:i/>
                  <w:iCs/>
                  <w:noProof/>
                </w:rPr>
                <w:t>The Quarterly Review of Economics and Finance</w:t>
              </w:r>
              <w:r>
                <w:rPr>
                  <w:noProof/>
                </w:rPr>
                <w:t>, Forthcoming.</w:t>
              </w:r>
            </w:p>
            <w:p w14:paraId="2D02E7E7" w14:textId="77777777" w:rsidR="00E22560" w:rsidRDefault="00E22560" w:rsidP="00FD7D70">
              <w:pPr>
                <w:pStyle w:val="Bibliography"/>
                <w:spacing w:line="360" w:lineRule="auto"/>
                <w:ind w:left="720" w:hanging="720"/>
                <w:rPr>
                  <w:noProof/>
                </w:rPr>
              </w:pPr>
              <w:r>
                <w:rPr>
                  <w:noProof/>
                </w:rPr>
                <w:t xml:space="preserve">Gurdgiev, C., &amp; O'Loughlin, D. (2020). Herding and anchoring in cryptocurrency markets: Investor reaction to fear and uncertainty. </w:t>
              </w:r>
              <w:r>
                <w:rPr>
                  <w:i/>
                  <w:iCs/>
                  <w:noProof/>
                </w:rPr>
                <w:t>Journal of Behavioral and Experimental Finance, 25</w:t>
              </w:r>
              <w:r>
                <w:rPr>
                  <w:noProof/>
                </w:rPr>
                <w:t>, 100271.</w:t>
              </w:r>
            </w:p>
            <w:p w14:paraId="63874861" w14:textId="77777777" w:rsidR="00E22560" w:rsidRDefault="00E22560" w:rsidP="00FD7D70">
              <w:pPr>
                <w:pStyle w:val="Bibliography"/>
                <w:spacing w:line="360" w:lineRule="auto"/>
                <w:ind w:left="720" w:hanging="720"/>
                <w:rPr>
                  <w:noProof/>
                </w:rPr>
              </w:pPr>
              <w:r>
                <w:rPr>
                  <w:noProof/>
                </w:rPr>
                <w:t xml:space="preserve">Huang, D., Jiang, F., Tu, J., &amp; Zhou, G. (2015). Investor Sentiment Aligned: A Powerful Predictor of Stock Returns. </w:t>
              </w:r>
              <w:r>
                <w:rPr>
                  <w:i/>
                  <w:iCs/>
                  <w:noProof/>
                </w:rPr>
                <w:t>Review of Financial Studies, 28</w:t>
              </w:r>
              <w:r>
                <w:rPr>
                  <w:noProof/>
                </w:rPr>
                <w:t>(3), 791-837.</w:t>
              </w:r>
            </w:p>
            <w:p w14:paraId="57F0ABAC" w14:textId="77777777" w:rsidR="00E22560" w:rsidRDefault="00E22560" w:rsidP="00FD7D70">
              <w:pPr>
                <w:pStyle w:val="Bibliography"/>
                <w:spacing w:line="360" w:lineRule="auto"/>
                <w:ind w:left="720" w:hanging="720"/>
                <w:rPr>
                  <w:noProof/>
                </w:rPr>
              </w:pPr>
              <w:r>
                <w:rPr>
                  <w:noProof/>
                </w:rPr>
                <w:t xml:space="preserve">Huang, D., Lehkonen, H., Pukthuanthong, K., &amp; Zhou, G. (2018). Sentiment Across Asset Markets. </w:t>
              </w:r>
              <w:r>
                <w:rPr>
                  <w:i/>
                  <w:iCs/>
                  <w:noProof/>
                </w:rPr>
                <w:t>Working Paper</w:t>
              </w:r>
              <w:r>
                <w:rPr>
                  <w:noProof/>
                </w:rPr>
                <w:t>.</w:t>
              </w:r>
            </w:p>
            <w:p w14:paraId="46F6B7AE" w14:textId="77777777" w:rsidR="00E22560" w:rsidRDefault="00E22560" w:rsidP="00FD7D70">
              <w:pPr>
                <w:pStyle w:val="Bibliography"/>
                <w:spacing w:line="360" w:lineRule="auto"/>
                <w:ind w:left="720" w:hanging="720"/>
                <w:rPr>
                  <w:noProof/>
                </w:rPr>
              </w:pPr>
              <w:r>
                <w:rPr>
                  <w:noProof/>
                </w:rPr>
                <w:t xml:space="preserve">Jain, P. K., McInish, T. H., &amp; Miller, J. L. (2019). Insights from bitcoin trading. </w:t>
              </w:r>
              <w:r>
                <w:rPr>
                  <w:i/>
                  <w:iCs/>
                  <w:noProof/>
                </w:rPr>
                <w:t>Financial Management, 48</w:t>
              </w:r>
              <w:r>
                <w:rPr>
                  <w:noProof/>
                </w:rPr>
                <w:t>(4), 1031-1048.</w:t>
              </w:r>
            </w:p>
            <w:p w14:paraId="01F17205" w14:textId="24566E3C" w:rsidR="00E22560" w:rsidRDefault="00E22560" w:rsidP="00FD7D70">
              <w:pPr>
                <w:pStyle w:val="Bibliography"/>
                <w:spacing w:line="360" w:lineRule="auto"/>
                <w:ind w:left="720" w:hanging="720"/>
                <w:rPr>
                  <w:noProof/>
                </w:rPr>
              </w:pPr>
              <w:r>
                <w:rPr>
                  <w:noProof/>
                </w:rPr>
                <w:t>Kalyvas, A., Papakyriakou, P., Sakkas, A., &amp; Urquhart, A. (2020). What drives Bitcoin</w:t>
              </w:r>
              <w:r w:rsidR="00233A2E">
                <w:rPr>
                  <w:noProof/>
                </w:rPr>
                <w:t>'</w:t>
              </w:r>
              <w:r>
                <w:rPr>
                  <w:noProof/>
                </w:rPr>
                <w:t xml:space="preserve">s price crash risk? </w:t>
              </w:r>
              <w:r>
                <w:rPr>
                  <w:i/>
                  <w:iCs/>
                  <w:noProof/>
                </w:rPr>
                <w:t>Economics Letters, 191</w:t>
              </w:r>
              <w:r>
                <w:rPr>
                  <w:noProof/>
                </w:rPr>
                <w:t>, 108777.</w:t>
              </w:r>
            </w:p>
            <w:p w14:paraId="26AFDB32" w14:textId="77777777" w:rsidR="00E22560" w:rsidRDefault="00E22560" w:rsidP="00FD7D70">
              <w:pPr>
                <w:pStyle w:val="Bibliography"/>
                <w:spacing w:line="360" w:lineRule="auto"/>
                <w:ind w:left="720" w:hanging="720"/>
                <w:rPr>
                  <w:noProof/>
                </w:rPr>
              </w:pPr>
              <w:r>
                <w:rPr>
                  <w:noProof/>
                </w:rPr>
                <w:t xml:space="preserve">Kumar, A., &amp; Lee, C. M. (2006). Retail Investor Sentiment and Return Comovements. </w:t>
              </w:r>
              <w:r>
                <w:rPr>
                  <w:i/>
                  <w:iCs/>
                  <w:noProof/>
                </w:rPr>
                <w:t>Journal of Finance, 61</w:t>
              </w:r>
              <w:r>
                <w:rPr>
                  <w:noProof/>
                </w:rPr>
                <w:t>(5), 2451-2486.</w:t>
              </w:r>
            </w:p>
            <w:p w14:paraId="4378DB8B" w14:textId="77777777" w:rsidR="00E22560" w:rsidRDefault="00E22560" w:rsidP="00FD7D70">
              <w:pPr>
                <w:pStyle w:val="Bibliography"/>
                <w:spacing w:line="360" w:lineRule="auto"/>
                <w:ind w:left="720" w:hanging="720"/>
                <w:rPr>
                  <w:noProof/>
                </w:rPr>
              </w:pPr>
              <w:r>
                <w:rPr>
                  <w:noProof/>
                </w:rPr>
                <w:t xml:space="preserve">Ledoit, O., &amp; Wolf, M. (2008). Robust performance hypothesis testing with the Sharpe ratio. </w:t>
              </w:r>
              <w:r>
                <w:rPr>
                  <w:i/>
                  <w:iCs/>
                  <w:noProof/>
                </w:rPr>
                <w:t>Journal of Empirical Finance, 15</w:t>
              </w:r>
              <w:r>
                <w:rPr>
                  <w:noProof/>
                </w:rPr>
                <w:t>(5), 850-859.</w:t>
              </w:r>
            </w:p>
            <w:p w14:paraId="0E8B2DD4" w14:textId="77777777" w:rsidR="00E22560" w:rsidRDefault="00E22560" w:rsidP="00FD7D70">
              <w:pPr>
                <w:pStyle w:val="Bibliography"/>
                <w:spacing w:line="360" w:lineRule="auto"/>
                <w:ind w:left="720" w:hanging="720"/>
                <w:rPr>
                  <w:noProof/>
                </w:rPr>
              </w:pPr>
              <w:r>
                <w:rPr>
                  <w:noProof/>
                </w:rPr>
                <w:lastRenderedPageBreak/>
                <w:t xml:space="preserve">Mueller, P., Stathopoulos, A., &amp; Vedolin, A. (2017). International correlation risk. </w:t>
              </w:r>
              <w:r>
                <w:rPr>
                  <w:i/>
                  <w:iCs/>
                  <w:noProof/>
                </w:rPr>
                <w:t>Journal of Financial Economics, 126</w:t>
              </w:r>
              <w:r>
                <w:rPr>
                  <w:noProof/>
                </w:rPr>
                <w:t>(2), 270-299.</w:t>
              </w:r>
            </w:p>
            <w:p w14:paraId="0C69D8B0" w14:textId="77777777" w:rsidR="00E22560" w:rsidRDefault="00E22560" w:rsidP="00FD7D70">
              <w:pPr>
                <w:pStyle w:val="Bibliography"/>
                <w:spacing w:line="360" w:lineRule="auto"/>
                <w:ind w:left="720" w:hanging="720"/>
                <w:rPr>
                  <w:noProof/>
                </w:rPr>
              </w:pPr>
              <w:r>
                <w:rPr>
                  <w:noProof/>
                </w:rPr>
                <w:t xml:space="preserve">Nadarajah, S., &amp; Chu, J. (2017). On the inefficiency of Bitcoin. </w:t>
              </w:r>
              <w:r>
                <w:rPr>
                  <w:i/>
                  <w:iCs/>
                  <w:noProof/>
                </w:rPr>
                <w:t>Economics Letters, 150</w:t>
              </w:r>
              <w:r>
                <w:rPr>
                  <w:noProof/>
                </w:rPr>
                <w:t>, 6-9.</w:t>
              </w:r>
            </w:p>
            <w:p w14:paraId="53AA9407" w14:textId="77777777" w:rsidR="00E22560" w:rsidRDefault="00E22560" w:rsidP="00FD7D70">
              <w:pPr>
                <w:pStyle w:val="Bibliography"/>
                <w:spacing w:line="360" w:lineRule="auto"/>
                <w:ind w:left="720" w:hanging="720"/>
                <w:rPr>
                  <w:noProof/>
                </w:rPr>
              </w:pPr>
              <w:r>
                <w:rPr>
                  <w:noProof/>
                </w:rPr>
                <w:t xml:space="preserve">Pagnotta, E., &amp; Buraschi, A. (2018). An Equilibrium Valuation of Bitcoin and Decentralized Network Assets. </w:t>
              </w:r>
              <w:r>
                <w:rPr>
                  <w:i/>
                  <w:iCs/>
                  <w:noProof/>
                </w:rPr>
                <w:t>Working Paper</w:t>
              </w:r>
              <w:r>
                <w:rPr>
                  <w:noProof/>
                </w:rPr>
                <w:t>.</w:t>
              </w:r>
            </w:p>
            <w:p w14:paraId="51FDC44E" w14:textId="77777777" w:rsidR="00E22560" w:rsidRDefault="00E22560" w:rsidP="00FD7D70">
              <w:pPr>
                <w:pStyle w:val="Bibliography"/>
                <w:spacing w:line="360" w:lineRule="auto"/>
                <w:ind w:left="720" w:hanging="720"/>
                <w:rPr>
                  <w:noProof/>
                </w:rPr>
              </w:pPr>
              <w:r>
                <w:rPr>
                  <w:noProof/>
                </w:rPr>
                <w:t xml:space="preserve">Sayim, M., Morris, P. D., &amp; Rahman, H. (2013). The effect of US individual investor sentiment on industry‐specific stock returns and volatility. </w:t>
              </w:r>
              <w:r>
                <w:rPr>
                  <w:i/>
                  <w:iCs/>
                  <w:noProof/>
                </w:rPr>
                <w:t>Review of Behavioral Finance, 5</w:t>
              </w:r>
              <w:r>
                <w:rPr>
                  <w:noProof/>
                </w:rPr>
                <w:t>(1), 58-76.</w:t>
              </w:r>
            </w:p>
            <w:p w14:paraId="0F60D688" w14:textId="77777777" w:rsidR="00E22560" w:rsidRDefault="00E22560" w:rsidP="00FD7D70">
              <w:pPr>
                <w:pStyle w:val="Bibliography"/>
                <w:spacing w:line="360" w:lineRule="auto"/>
                <w:ind w:left="720" w:hanging="720"/>
                <w:rPr>
                  <w:noProof/>
                </w:rPr>
              </w:pPr>
              <w:r>
                <w:rPr>
                  <w:noProof/>
                </w:rPr>
                <w:t xml:space="preserve">Selmi, R., Mensi, W., Hammoudeh, S., &amp; Bouoiyour, J. (2018). Is Bitcoin a hedge, a safe haven or a diversifier for oil price movements? A comparison with gold. </w:t>
              </w:r>
              <w:r>
                <w:rPr>
                  <w:i/>
                  <w:iCs/>
                  <w:noProof/>
                </w:rPr>
                <w:t>Energy Economics, 74</w:t>
              </w:r>
              <w:r>
                <w:rPr>
                  <w:noProof/>
                </w:rPr>
                <w:t>, 787-801.</w:t>
              </w:r>
            </w:p>
            <w:p w14:paraId="1112CBFE" w14:textId="77777777" w:rsidR="00E22560" w:rsidRDefault="00E22560" w:rsidP="00FD7D70">
              <w:pPr>
                <w:pStyle w:val="Bibliography"/>
                <w:spacing w:line="360" w:lineRule="auto"/>
                <w:ind w:left="720" w:hanging="720"/>
                <w:rPr>
                  <w:noProof/>
                </w:rPr>
              </w:pPr>
              <w:r>
                <w:rPr>
                  <w:noProof/>
                </w:rPr>
                <w:t xml:space="preserve">Shen, D., Urquhart, A., &amp; Wang, P. (2019). Does twitter predict Bitcoin? </w:t>
              </w:r>
              <w:r>
                <w:rPr>
                  <w:i/>
                  <w:iCs/>
                  <w:noProof/>
                </w:rPr>
                <w:t>Economics Letters, 174</w:t>
              </w:r>
              <w:r>
                <w:rPr>
                  <w:noProof/>
                </w:rPr>
                <w:t>, 118-122.</w:t>
              </w:r>
            </w:p>
            <w:p w14:paraId="192885AD" w14:textId="77777777" w:rsidR="00E22560" w:rsidRDefault="00E22560" w:rsidP="00FD7D70">
              <w:pPr>
                <w:pStyle w:val="Bibliography"/>
                <w:spacing w:line="360" w:lineRule="auto"/>
                <w:ind w:left="720" w:hanging="720"/>
                <w:rPr>
                  <w:noProof/>
                </w:rPr>
              </w:pPr>
              <w:r>
                <w:rPr>
                  <w:noProof/>
                </w:rPr>
                <w:t xml:space="preserve">Sockin, M., &amp; Xiong, W. (2020). A Model of Cryptocurrencies. </w:t>
              </w:r>
              <w:r>
                <w:rPr>
                  <w:i/>
                  <w:iCs/>
                  <w:noProof/>
                </w:rPr>
                <w:t>Working Paper</w:t>
              </w:r>
              <w:r>
                <w:rPr>
                  <w:noProof/>
                </w:rPr>
                <w:t>.</w:t>
              </w:r>
            </w:p>
            <w:p w14:paraId="429CEC61" w14:textId="77777777" w:rsidR="00E22560" w:rsidRDefault="00E22560" w:rsidP="00FD7D70">
              <w:pPr>
                <w:pStyle w:val="Bibliography"/>
                <w:spacing w:line="360" w:lineRule="auto"/>
                <w:ind w:left="720" w:hanging="720"/>
                <w:rPr>
                  <w:noProof/>
                </w:rPr>
              </w:pPr>
              <w:r>
                <w:rPr>
                  <w:noProof/>
                </w:rPr>
                <w:t xml:space="preserve">Symitsi, E., &amp; Chalvatzis, K. J. (2018). Return, volatility and shock spillovers of Bitcoin with energy and technology companies. </w:t>
              </w:r>
              <w:r>
                <w:rPr>
                  <w:i/>
                  <w:iCs/>
                  <w:noProof/>
                </w:rPr>
                <w:t>Economics Letters, 170</w:t>
              </w:r>
              <w:r>
                <w:rPr>
                  <w:noProof/>
                </w:rPr>
                <w:t>, 127-130.</w:t>
              </w:r>
            </w:p>
            <w:p w14:paraId="1925175D" w14:textId="77777777" w:rsidR="00E22560" w:rsidRDefault="00E22560" w:rsidP="00FD7D70">
              <w:pPr>
                <w:pStyle w:val="Bibliography"/>
                <w:spacing w:line="360" w:lineRule="auto"/>
                <w:ind w:left="720" w:hanging="720"/>
                <w:rPr>
                  <w:noProof/>
                </w:rPr>
              </w:pPr>
              <w:r>
                <w:rPr>
                  <w:noProof/>
                </w:rPr>
                <w:t xml:space="preserve">Tetlock, P. C. (2007). Giving Content to Investor Sentiment: The Role of Media in the Stock Market. </w:t>
              </w:r>
              <w:r>
                <w:rPr>
                  <w:i/>
                  <w:iCs/>
                  <w:noProof/>
                </w:rPr>
                <w:t>Journal of Finance, 62</w:t>
              </w:r>
              <w:r>
                <w:rPr>
                  <w:noProof/>
                </w:rPr>
                <w:t>(3), 1139-1168.</w:t>
              </w:r>
            </w:p>
            <w:p w14:paraId="3EFE0142" w14:textId="77777777" w:rsidR="00E22560" w:rsidRDefault="00E22560" w:rsidP="00FD7D70">
              <w:pPr>
                <w:pStyle w:val="Bibliography"/>
                <w:spacing w:line="360" w:lineRule="auto"/>
                <w:ind w:left="720" w:hanging="720"/>
                <w:rPr>
                  <w:noProof/>
                </w:rPr>
              </w:pPr>
              <w:r>
                <w:rPr>
                  <w:noProof/>
                </w:rPr>
                <w:t xml:space="preserve">Thakor, A. V. (2020). Fintech and banking: What do we know? </w:t>
              </w:r>
              <w:r>
                <w:rPr>
                  <w:i/>
                  <w:iCs/>
                  <w:noProof/>
                </w:rPr>
                <w:t>Journal of Financial Intermediation, 41</w:t>
              </w:r>
              <w:r>
                <w:rPr>
                  <w:noProof/>
                </w:rPr>
                <w:t>, 100833.</w:t>
              </w:r>
            </w:p>
            <w:p w14:paraId="31831CD7" w14:textId="77777777" w:rsidR="00E22560" w:rsidRDefault="00E22560" w:rsidP="00FD7D70">
              <w:pPr>
                <w:pStyle w:val="Bibliography"/>
                <w:spacing w:line="360" w:lineRule="auto"/>
                <w:ind w:left="720" w:hanging="720"/>
                <w:rPr>
                  <w:noProof/>
                </w:rPr>
              </w:pPr>
              <w:r>
                <w:rPr>
                  <w:noProof/>
                </w:rPr>
                <w:t xml:space="preserve">Urquhart, A. (2016). The inefficiency of Bitcoin. </w:t>
              </w:r>
              <w:r>
                <w:rPr>
                  <w:i/>
                  <w:iCs/>
                  <w:noProof/>
                </w:rPr>
                <w:t>Economics Letters, 148</w:t>
              </w:r>
              <w:r>
                <w:rPr>
                  <w:noProof/>
                </w:rPr>
                <w:t>, 80-82.</w:t>
              </w:r>
            </w:p>
            <w:p w14:paraId="0DF6321C" w14:textId="77777777" w:rsidR="00E22560" w:rsidRDefault="00E22560" w:rsidP="00FD7D70">
              <w:pPr>
                <w:pStyle w:val="Bibliography"/>
                <w:spacing w:line="360" w:lineRule="auto"/>
                <w:ind w:left="720" w:hanging="720"/>
                <w:rPr>
                  <w:noProof/>
                </w:rPr>
              </w:pPr>
              <w:r w:rsidRPr="00AD1D95">
                <w:rPr>
                  <w:noProof/>
                  <w:lang w:val="de-DE"/>
                </w:rPr>
                <w:t xml:space="preserve">Wang, G. J., Xie, C., Wen, D., &amp; Zhao, L. (2019). </w:t>
              </w:r>
              <w:r>
                <w:rPr>
                  <w:noProof/>
                </w:rPr>
                <w:t xml:space="preserve">When Bitcoin meets economic policy uncertainty (EPU): Measuring risk spillover effect from EPU to Bitcoin. </w:t>
              </w:r>
              <w:r>
                <w:rPr>
                  <w:i/>
                  <w:iCs/>
                  <w:noProof/>
                </w:rPr>
                <w:t>Finance Research Letters, 31</w:t>
              </w:r>
              <w:r>
                <w:rPr>
                  <w:noProof/>
                </w:rPr>
                <w:t>.</w:t>
              </w:r>
            </w:p>
            <w:p w14:paraId="38ED1305" w14:textId="77777777" w:rsidR="00E22560" w:rsidRDefault="00E22560" w:rsidP="00FD7D70">
              <w:pPr>
                <w:pStyle w:val="Bibliography"/>
                <w:spacing w:line="360" w:lineRule="auto"/>
                <w:ind w:left="720" w:hanging="720"/>
                <w:rPr>
                  <w:noProof/>
                </w:rPr>
              </w:pPr>
              <w:r>
                <w:rPr>
                  <w:noProof/>
                </w:rPr>
                <w:t xml:space="preserve">Wu, S., Tong, M., Yang, Z., &amp; Derbali, A. (2019). Does gold or Bitcoin hedge economic policy uncertainty? </w:t>
              </w:r>
              <w:r>
                <w:rPr>
                  <w:i/>
                  <w:iCs/>
                  <w:noProof/>
                </w:rPr>
                <w:t>Finance Research Letters, 31</w:t>
              </w:r>
              <w:r>
                <w:rPr>
                  <w:noProof/>
                </w:rPr>
                <w:t>, 171-178.</w:t>
              </w:r>
            </w:p>
            <w:p w14:paraId="79FF7F27" w14:textId="77777777" w:rsidR="00E22560" w:rsidRDefault="00E22560" w:rsidP="00FD7D70">
              <w:pPr>
                <w:pStyle w:val="Bibliography"/>
                <w:spacing w:line="360" w:lineRule="auto"/>
                <w:ind w:left="720" w:hanging="720"/>
                <w:rPr>
                  <w:noProof/>
                </w:rPr>
              </w:pPr>
              <w:r>
                <w:rPr>
                  <w:noProof/>
                </w:rPr>
                <w:t xml:space="preserve">Yang, Z., Yu, Y., Zhang, Y., &amp; Zhou, S. (2019). Policy uncertainty exposure and market value: Evidence from China. </w:t>
              </w:r>
              <w:r>
                <w:rPr>
                  <w:i/>
                  <w:iCs/>
                  <w:noProof/>
                </w:rPr>
                <w:t>Pacific-Basin Finance Journal, 57</w:t>
              </w:r>
              <w:r>
                <w:rPr>
                  <w:noProof/>
                </w:rPr>
                <w:t>, 101178.</w:t>
              </w:r>
            </w:p>
            <w:p w14:paraId="59BE014A" w14:textId="77777777" w:rsidR="00E22560" w:rsidRDefault="00E22560" w:rsidP="00FD7D70">
              <w:pPr>
                <w:pStyle w:val="Bibliography"/>
                <w:spacing w:line="360" w:lineRule="auto"/>
                <w:ind w:left="720" w:hanging="720"/>
                <w:rPr>
                  <w:noProof/>
                </w:rPr>
              </w:pPr>
              <w:r>
                <w:rPr>
                  <w:noProof/>
                </w:rPr>
                <w:t xml:space="preserve">Yu, J., &amp; Yuan, Y. (2011). Investor sentiment and the mean–variance relation. </w:t>
              </w:r>
              <w:r>
                <w:rPr>
                  <w:i/>
                  <w:iCs/>
                  <w:noProof/>
                </w:rPr>
                <w:t>Journal of Financial Economics, 100</w:t>
              </w:r>
              <w:r>
                <w:rPr>
                  <w:noProof/>
                </w:rPr>
                <w:t>(2), 367-381.</w:t>
              </w:r>
            </w:p>
            <w:p w14:paraId="6944531D" w14:textId="77777777" w:rsidR="00E22560" w:rsidRDefault="00E22560" w:rsidP="00FD7D70">
              <w:pPr>
                <w:pStyle w:val="Bibliography"/>
                <w:spacing w:line="360" w:lineRule="auto"/>
                <w:ind w:left="720" w:hanging="720"/>
                <w:rPr>
                  <w:noProof/>
                </w:rPr>
              </w:pPr>
              <w:r>
                <w:rPr>
                  <w:noProof/>
                </w:rPr>
                <w:t xml:space="preserve">Zargar, F. N., &amp; Kumar, D. (2019). Informational inefficiency of Bitcoin: A study based on high-frequency data. </w:t>
              </w:r>
              <w:r>
                <w:rPr>
                  <w:i/>
                  <w:iCs/>
                  <w:noProof/>
                </w:rPr>
                <w:t>Research in International Business and Finance, 47</w:t>
              </w:r>
              <w:r>
                <w:rPr>
                  <w:noProof/>
                </w:rPr>
                <w:t>, 344-353.</w:t>
              </w:r>
            </w:p>
            <w:p w14:paraId="5CDEA6DC" w14:textId="1F0B921B" w:rsidR="006D5A8B" w:rsidRDefault="006D5A8B" w:rsidP="00FD7D70">
              <w:pPr>
                <w:spacing w:line="360" w:lineRule="auto"/>
              </w:pPr>
              <w:r>
                <w:rPr>
                  <w:b/>
                  <w:bCs/>
                  <w:noProof/>
                </w:rPr>
                <w:fldChar w:fldCharType="end"/>
              </w:r>
            </w:p>
          </w:sdtContent>
        </w:sdt>
      </w:sdtContent>
    </w:sdt>
    <w:p w14:paraId="61EED749" w14:textId="11280E7A" w:rsidR="006D5A8B" w:rsidRPr="004F0490" w:rsidRDefault="006D5A8B" w:rsidP="001C37F7">
      <w:pPr>
        <w:spacing w:line="360" w:lineRule="auto"/>
        <w:sectPr w:rsidR="006D5A8B" w:rsidRPr="004F0490" w:rsidSect="005B62C2">
          <w:footnotePr>
            <w:numRestart w:val="eachSect"/>
          </w:footnotePr>
          <w:type w:val="continuous"/>
          <w:pgSz w:w="11906" w:h="16838" w:code="9"/>
          <w:pgMar w:top="1440" w:right="1440" w:bottom="1440" w:left="1440" w:header="709" w:footer="709" w:gutter="0"/>
          <w:cols w:space="708"/>
          <w:titlePg/>
          <w:docGrid w:linePitch="360"/>
        </w:sectPr>
      </w:pPr>
    </w:p>
    <w:p w14:paraId="22C60056" w14:textId="77777777" w:rsidR="00916B26" w:rsidRPr="00FC71FA" w:rsidRDefault="00916B26" w:rsidP="00916B26">
      <w:pPr>
        <w:keepNext/>
        <w:keepLines/>
        <w:jc w:val="center"/>
        <w:outlineLvl w:val="0"/>
        <w:rPr>
          <w:b/>
          <w:szCs w:val="32"/>
          <w:lang w:eastAsia="en-US"/>
        </w:rPr>
      </w:pPr>
      <w:r w:rsidRPr="00FC71FA">
        <w:rPr>
          <w:b/>
          <w:szCs w:val="32"/>
          <w:lang w:eastAsia="en-US"/>
        </w:rPr>
        <w:lastRenderedPageBreak/>
        <w:t xml:space="preserve">Tables </w:t>
      </w:r>
    </w:p>
    <w:p w14:paraId="21079D8A" w14:textId="77777777" w:rsidR="0010551B" w:rsidRDefault="0010551B" w:rsidP="0010551B">
      <w:pPr>
        <w:keepNext/>
        <w:spacing w:after="200" w:line="240" w:lineRule="auto"/>
        <w:ind w:left="-426"/>
        <w:jc w:val="left"/>
        <w:rPr>
          <w:b/>
          <w:i/>
          <w:iCs/>
          <w:color w:val="000000"/>
          <w:szCs w:val="24"/>
        </w:rPr>
      </w:pPr>
      <w:r w:rsidRPr="006C59AD">
        <w:rPr>
          <w:b/>
          <w:i/>
          <w:iCs/>
          <w:color w:val="000000"/>
          <w:szCs w:val="24"/>
        </w:rPr>
        <w:t xml:space="preserve">Table </w:t>
      </w:r>
      <w:r>
        <w:rPr>
          <w:b/>
          <w:i/>
          <w:iCs/>
          <w:color w:val="000000"/>
          <w:szCs w:val="24"/>
        </w:rPr>
        <w:t>1</w:t>
      </w:r>
      <w:r w:rsidRPr="006C59AD">
        <w:rPr>
          <w:b/>
          <w:i/>
          <w:iCs/>
          <w:color w:val="000000"/>
          <w:szCs w:val="24"/>
        </w:rPr>
        <w:t>:</w:t>
      </w:r>
      <w:r>
        <w:rPr>
          <w:b/>
          <w:i/>
          <w:iCs/>
          <w:color w:val="000000"/>
          <w:szCs w:val="24"/>
        </w:rPr>
        <w:t xml:space="preserve"> Correlations of</w:t>
      </w:r>
      <w:r w:rsidRPr="006C59AD">
        <w:rPr>
          <w:b/>
          <w:i/>
          <w:iCs/>
          <w:color w:val="000000"/>
          <w:szCs w:val="24"/>
        </w:rPr>
        <w:t xml:space="preserve"> Bitcoin </w:t>
      </w:r>
      <w:r>
        <w:rPr>
          <w:b/>
          <w:i/>
          <w:iCs/>
          <w:color w:val="000000"/>
          <w:szCs w:val="24"/>
        </w:rPr>
        <w:t>and</w:t>
      </w:r>
      <w:r w:rsidRPr="006C59AD">
        <w:rPr>
          <w:b/>
          <w:i/>
          <w:iCs/>
          <w:color w:val="000000"/>
          <w:szCs w:val="24"/>
        </w:rPr>
        <w:t xml:space="preserve"> </w:t>
      </w:r>
      <w:r>
        <w:rPr>
          <w:b/>
          <w:i/>
          <w:iCs/>
          <w:color w:val="000000"/>
          <w:szCs w:val="24"/>
        </w:rPr>
        <w:t>Industry indices</w:t>
      </w:r>
      <w:r w:rsidRPr="006C59AD">
        <w:rPr>
          <w:b/>
          <w:i/>
          <w:iCs/>
          <w:color w:val="000000"/>
          <w:szCs w:val="24"/>
        </w:rPr>
        <w:t xml:space="preserve"> </w:t>
      </w:r>
      <w:r>
        <w:rPr>
          <w:b/>
          <w:i/>
          <w:iCs/>
          <w:color w:val="000000"/>
          <w:szCs w:val="24"/>
        </w:rPr>
        <w:t>returns</w:t>
      </w:r>
    </w:p>
    <w:tbl>
      <w:tblPr>
        <w:tblW w:w="0" w:type="auto"/>
        <w:tblInd w:w="-426" w:type="dxa"/>
        <w:tblLayout w:type="fixed"/>
        <w:tblLook w:val="0000" w:firstRow="0" w:lastRow="0" w:firstColumn="0" w:lastColumn="0" w:noHBand="0" w:noVBand="0"/>
      </w:tblPr>
      <w:tblGrid>
        <w:gridCol w:w="2166"/>
        <w:gridCol w:w="1840"/>
        <w:gridCol w:w="2200"/>
        <w:gridCol w:w="2200"/>
        <w:gridCol w:w="2200"/>
        <w:gridCol w:w="2200"/>
      </w:tblGrid>
      <w:tr w:rsidR="0010551B" w14:paraId="46347E27" w14:textId="77777777" w:rsidTr="001D10FF">
        <w:trPr>
          <w:trHeight w:val="210"/>
        </w:trPr>
        <w:tc>
          <w:tcPr>
            <w:tcW w:w="2166" w:type="dxa"/>
            <w:tcBorders>
              <w:top w:val="single" w:sz="4" w:space="0" w:color="auto"/>
              <w:left w:val="nil"/>
              <w:bottom w:val="single" w:sz="4" w:space="0" w:color="auto"/>
              <w:right w:val="nil"/>
            </w:tcBorders>
            <w:vAlign w:val="center"/>
          </w:tcPr>
          <w:p w14:paraId="3C3376BF" w14:textId="77777777" w:rsidR="0010551B" w:rsidRPr="001D10FF" w:rsidRDefault="001D10FF" w:rsidP="001D10FF">
            <w:pPr>
              <w:widowControl w:val="0"/>
              <w:autoSpaceDE w:val="0"/>
              <w:autoSpaceDN w:val="0"/>
              <w:adjustRightInd w:val="0"/>
              <w:spacing w:line="240" w:lineRule="auto"/>
              <w:jc w:val="center"/>
              <w:rPr>
                <w:b/>
                <w:szCs w:val="24"/>
                <w:lang w:val="el-GR"/>
              </w:rPr>
            </w:pPr>
            <w:r w:rsidRPr="001D10FF">
              <w:rPr>
                <w:b/>
                <w:szCs w:val="24"/>
                <w:lang w:val="el-GR"/>
              </w:rPr>
              <w:t>ρ</w:t>
            </w:r>
          </w:p>
        </w:tc>
        <w:tc>
          <w:tcPr>
            <w:tcW w:w="1840" w:type="dxa"/>
            <w:tcBorders>
              <w:top w:val="single" w:sz="4" w:space="0" w:color="auto"/>
              <w:left w:val="nil"/>
              <w:bottom w:val="single" w:sz="4" w:space="0" w:color="auto"/>
              <w:right w:val="nil"/>
            </w:tcBorders>
            <w:vAlign w:val="center"/>
          </w:tcPr>
          <w:p w14:paraId="1D5F5F65" w14:textId="77777777" w:rsidR="0010551B" w:rsidRPr="003915CA" w:rsidRDefault="0010551B" w:rsidP="001D10FF">
            <w:pPr>
              <w:spacing w:line="240" w:lineRule="auto"/>
              <w:jc w:val="center"/>
            </w:pPr>
            <w:r w:rsidRPr="003915CA">
              <w:t>Bitcoin Return</w:t>
            </w:r>
          </w:p>
        </w:tc>
        <w:tc>
          <w:tcPr>
            <w:tcW w:w="2200" w:type="dxa"/>
            <w:tcBorders>
              <w:top w:val="single" w:sz="4" w:space="0" w:color="auto"/>
              <w:left w:val="nil"/>
              <w:bottom w:val="single" w:sz="4" w:space="0" w:color="auto"/>
              <w:right w:val="nil"/>
            </w:tcBorders>
            <w:vAlign w:val="center"/>
          </w:tcPr>
          <w:p w14:paraId="6EDB6FA5" w14:textId="77777777" w:rsidR="0010551B" w:rsidRPr="003915CA" w:rsidRDefault="0010551B" w:rsidP="001D10FF">
            <w:pPr>
              <w:spacing w:line="240" w:lineRule="auto"/>
              <w:jc w:val="center"/>
            </w:pPr>
            <w:r w:rsidRPr="003915CA">
              <w:t>MSCI Information Technology Return</w:t>
            </w:r>
          </w:p>
        </w:tc>
        <w:tc>
          <w:tcPr>
            <w:tcW w:w="2200" w:type="dxa"/>
            <w:tcBorders>
              <w:top w:val="single" w:sz="4" w:space="0" w:color="auto"/>
              <w:left w:val="nil"/>
              <w:bottom w:val="single" w:sz="4" w:space="0" w:color="auto"/>
              <w:right w:val="nil"/>
            </w:tcBorders>
            <w:vAlign w:val="center"/>
          </w:tcPr>
          <w:p w14:paraId="7356F17E" w14:textId="77777777" w:rsidR="0010551B" w:rsidRPr="003915CA" w:rsidRDefault="0010551B" w:rsidP="001D10FF">
            <w:pPr>
              <w:spacing w:line="240" w:lineRule="auto"/>
              <w:jc w:val="center"/>
            </w:pPr>
            <w:r w:rsidRPr="003915CA">
              <w:t>MSCI World Energy Return</w:t>
            </w:r>
          </w:p>
        </w:tc>
        <w:tc>
          <w:tcPr>
            <w:tcW w:w="2200" w:type="dxa"/>
            <w:tcBorders>
              <w:top w:val="single" w:sz="4" w:space="0" w:color="auto"/>
              <w:left w:val="nil"/>
              <w:bottom w:val="single" w:sz="4" w:space="0" w:color="auto"/>
              <w:right w:val="nil"/>
            </w:tcBorders>
            <w:vAlign w:val="center"/>
          </w:tcPr>
          <w:p w14:paraId="697B65FB" w14:textId="77777777" w:rsidR="0010551B" w:rsidRPr="003915CA" w:rsidRDefault="0010551B" w:rsidP="001D10FF">
            <w:pPr>
              <w:spacing w:line="240" w:lineRule="auto"/>
              <w:jc w:val="center"/>
            </w:pPr>
            <w:r w:rsidRPr="003915CA">
              <w:t>S&amp;P Global Clean Energy Return</w:t>
            </w:r>
          </w:p>
        </w:tc>
        <w:tc>
          <w:tcPr>
            <w:tcW w:w="2200" w:type="dxa"/>
            <w:tcBorders>
              <w:top w:val="single" w:sz="4" w:space="0" w:color="auto"/>
              <w:left w:val="nil"/>
              <w:bottom w:val="single" w:sz="4" w:space="0" w:color="auto"/>
              <w:right w:val="nil"/>
            </w:tcBorders>
            <w:vAlign w:val="center"/>
          </w:tcPr>
          <w:p w14:paraId="3E044E16" w14:textId="77777777" w:rsidR="0010551B" w:rsidRDefault="0010551B" w:rsidP="001D10FF">
            <w:pPr>
              <w:spacing w:line="240" w:lineRule="auto"/>
              <w:jc w:val="center"/>
            </w:pPr>
            <w:r w:rsidRPr="003915CA">
              <w:t>MSCI World Bank Return</w:t>
            </w:r>
          </w:p>
        </w:tc>
      </w:tr>
      <w:tr w:rsidR="0010551B" w14:paraId="6CDB017E" w14:textId="77777777" w:rsidTr="001D10FF">
        <w:trPr>
          <w:trHeight w:val="210"/>
        </w:trPr>
        <w:tc>
          <w:tcPr>
            <w:tcW w:w="2166" w:type="dxa"/>
            <w:tcBorders>
              <w:top w:val="single" w:sz="4" w:space="0" w:color="auto"/>
              <w:left w:val="nil"/>
              <w:bottom w:val="nil"/>
              <w:right w:val="nil"/>
            </w:tcBorders>
            <w:vAlign w:val="center"/>
          </w:tcPr>
          <w:p w14:paraId="66D8880A" w14:textId="77777777" w:rsidR="0010551B" w:rsidRDefault="0010551B" w:rsidP="001D10FF">
            <w:pPr>
              <w:widowControl w:val="0"/>
              <w:autoSpaceDE w:val="0"/>
              <w:autoSpaceDN w:val="0"/>
              <w:adjustRightInd w:val="0"/>
              <w:spacing w:line="240" w:lineRule="auto"/>
              <w:jc w:val="center"/>
              <w:rPr>
                <w:szCs w:val="24"/>
                <w:lang w:val="en-US"/>
              </w:rPr>
            </w:pPr>
            <w:r w:rsidRPr="003935C0">
              <w:rPr>
                <w:rFonts w:eastAsia="Calibri" w:cs="Arial"/>
                <w:szCs w:val="20"/>
                <w:lang w:val="en-US" w:eastAsia="en-US"/>
              </w:rPr>
              <w:t>Bitcoin Return</w:t>
            </w:r>
          </w:p>
        </w:tc>
        <w:tc>
          <w:tcPr>
            <w:tcW w:w="1840" w:type="dxa"/>
            <w:tcBorders>
              <w:top w:val="single" w:sz="4" w:space="0" w:color="auto"/>
              <w:left w:val="nil"/>
              <w:bottom w:val="nil"/>
              <w:right w:val="nil"/>
            </w:tcBorders>
            <w:vAlign w:val="center"/>
          </w:tcPr>
          <w:p w14:paraId="1BE7DABA"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1</w:t>
            </w:r>
          </w:p>
        </w:tc>
        <w:tc>
          <w:tcPr>
            <w:tcW w:w="2200" w:type="dxa"/>
            <w:tcBorders>
              <w:top w:val="single" w:sz="4" w:space="0" w:color="auto"/>
              <w:left w:val="nil"/>
              <w:bottom w:val="nil"/>
              <w:right w:val="nil"/>
            </w:tcBorders>
            <w:vAlign w:val="center"/>
          </w:tcPr>
          <w:p w14:paraId="28BEC50C"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single" w:sz="4" w:space="0" w:color="auto"/>
              <w:left w:val="nil"/>
              <w:bottom w:val="nil"/>
              <w:right w:val="nil"/>
            </w:tcBorders>
            <w:vAlign w:val="center"/>
          </w:tcPr>
          <w:p w14:paraId="399A2F08"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single" w:sz="4" w:space="0" w:color="auto"/>
              <w:left w:val="nil"/>
              <w:bottom w:val="nil"/>
              <w:right w:val="nil"/>
            </w:tcBorders>
            <w:vAlign w:val="center"/>
          </w:tcPr>
          <w:p w14:paraId="6B0B1F4B"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single" w:sz="4" w:space="0" w:color="auto"/>
              <w:left w:val="nil"/>
              <w:bottom w:val="nil"/>
              <w:right w:val="nil"/>
            </w:tcBorders>
            <w:vAlign w:val="center"/>
          </w:tcPr>
          <w:p w14:paraId="24BC74D6" w14:textId="77777777" w:rsidR="0010551B" w:rsidRDefault="0010551B" w:rsidP="001D10FF">
            <w:pPr>
              <w:widowControl w:val="0"/>
              <w:autoSpaceDE w:val="0"/>
              <w:autoSpaceDN w:val="0"/>
              <w:adjustRightInd w:val="0"/>
              <w:spacing w:line="240" w:lineRule="auto"/>
              <w:jc w:val="center"/>
              <w:rPr>
                <w:szCs w:val="24"/>
                <w:lang w:val="en-US"/>
              </w:rPr>
            </w:pPr>
          </w:p>
        </w:tc>
      </w:tr>
      <w:tr w:rsidR="0010551B" w14:paraId="7DF37031" w14:textId="77777777" w:rsidTr="001D10FF">
        <w:trPr>
          <w:trHeight w:val="223"/>
        </w:trPr>
        <w:tc>
          <w:tcPr>
            <w:tcW w:w="2166" w:type="dxa"/>
            <w:tcBorders>
              <w:top w:val="nil"/>
              <w:left w:val="nil"/>
              <w:bottom w:val="nil"/>
              <w:right w:val="nil"/>
            </w:tcBorders>
            <w:vAlign w:val="center"/>
          </w:tcPr>
          <w:p w14:paraId="28D5311E" w14:textId="77777777" w:rsidR="0010551B" w:rsidRDefault="0010551B" w:rsidP="001D10FF">
            <w:pPr>
              <w:widowControl w:val="0"/>
              <w:autoSpaceDE w:val="0"/>
              <w:autoSpaceDN w:val="0"/>
              <w:adjustRightInd w:val="0"/>
              <w:spacing w:line="240" w:lineRule="auto"/>
              <w:jc w:val="center"/>
              <w:rPr>
                <w:szCs w:val="24"/>
                <w:lang w:val="en-US"/>
              </w:rPr>
            </w:pPr>
          </w:p>
        </w:tc>
        <w:tc>
          <w:tcPr>
            <w:tcW w:w="1840" w:type="dxa"/>
            <w:tcBorders>
              <w:top w:val="nil"/>
              <w:left w:val="nil"/>
              <w:bottom w:val="nil"/>
              <w:right w:val="nil"/>
            </w:tcBorders>
            <w:vAlign w:val="center"/>
          </w:tcPr>
          <w:p w14:paraId="15CA0692"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026ACB23"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55FFA4C0"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4B604BF1"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484E4680" w14:textId="77777777" w:rsidR="0010551B" w:rsidRDefault="0010551B" w:rsidP="001D10FF">
            <w:pPr>
              <w:widowControl w:val="0"/>
              <w:autoSpaceDE w:val="0"/>
              <w:autoSpaceDN w:val="0"/>
              <w:adjustRightInd w:val="0"/>
              <w:spacing w:line="240" w:lineRule="auto"/>
              <w:jc w:val="center"/>
              <w:rPr>
                <w:szCs w:val="24"/>
                <w:lang w:val="en-US"/>
              </w:rPr>
            </w:pPr>
          </w:p>
        </w:tc>
      </w:tr>
      <w:tr w:rsidR="0010551B" w14:paraId="66892F37" w14:textId="77777777" w:rsidTr="001D10FF">
        <w:trPr>
          <w:trHeight w:val="869"/>
        </w:trPr>
        <w:tc>
          <w:tcPr>
            <w:tcW w:w="2166" w:type="dxa"/>
            <w:tcBorders>
              <w:top w:val="nil"/>
              <w:left w:val="nil"/>
              <w:bottom w:val="nil"/>
              <w:right w:val="nil"/>
            </w:tcBorders>
            <w:vAlign w:val="center"/>
          </w:tcPr>
          <w:p w14:paraId="7F2403E1" w14:textId="77777777" w:rsidR="0010551B" w:rsidRPr="006C59AD" w:rsidRDefault="0010551B" w:rsidP="001D10FF">
            <w:pPr>
              <w:widowControl w:val="0"/>
              <w:autoSpaceDE w:val="0"/>
              <w:autoSpaceDN w:val="0"/>
              <w:adjustRightInd w:val="0"/>
              <w:spacing w:line="240" w:lineRule="auto"/>
              <w:jc w:val="center"/>
              <w:rPr>
                <w:rFonts w:eastAsia="Calibri"/>
                <w:szCs w:val="24"/>
                <w:lang w:val="en-US" w:eastAsia="en-US"/>
              </w:rPr>
            </w:pPr>
            <w:r w:rsidRPr="006C59AD">
              <w:rPr>
                <w:rFonts w:eastAsia="Calibri"/>
                <w:szCs w:val="24"/>
                <w:lang w:val="en-US" w:eastAsia="en-US"/>
              </w:rPr>
              <w:t>MSCI I</w:t>
            </w:r>
            <w:r>
              <w:rPr>
                <w:rFonts w:eastAsia="Calibri"/>
                <w:szCs w:val="24"/>
                <w:lang w:val="en-US" w:eastAsia="en-US"/>
              </w:rPr>
              <w:t xml:space="preserve">nformation </w:t>
            </w:r>
            <w:r w:rsidRPr="006C59AD">
              <w:rPr>
                <w:rFonts w:eastAsia="Calibri"/>
                <w:szCs w:val="24"/>
                <w:lang w:val="en-US" w:eastAsia="en-US"/>
              </w:rPr>
              <w:t>T</w:t>
            </w:r>
            <w:r>
              <w:rPr>
                <w:rFonts w:eastAsia="Calibri"/>
                <w:szCs w:val="24"/>
                <w:lang w:val="en-US" w:eastAsia="en-US"/>
              </w:rPr>
              <w:t>echnology</w:t>
            </w:r>
            <w:r w:rsidRPr="006C59AD">
              <w:rPr>
                <w:rFonts w:eastAsia="Calibri"/>
                <w:szCs w:val="24"/>
                <w:lang w:val="en-US" w:eastAsia="en-US"/>
              </w:rPr>
              <w:t xml:space="preserve"> </w:t>
            </w:r>
            <w:r>
              <w:rPr>
                <w:rFonts w:eastAsia="Calibri"/>
                <w:szCs w:val="24"/>
                <w:lang w:val="en-US" w:eastAsia="en-US"/>
              </w:rPr>
              <w:t>Return</w:t>
            </w:r>
          </w:p>
        </w:tc>
        <w:tc>
          <w:tcPr>
            <w:tcW w:w="1840" w:type="dxa"/>
            <w:tcBorders>
              <w:top w:val="nil"/>
              <w:left w:val="nil"/>
              <w:bottom w:val="nil"/>
              <w:right w:val="nil"/>
            </w:tcBorders>
            <w:vAlign w:val="center"/>
          </w:tcPr>
          <w:p w14:paraId="23B5C726"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0.0106</w:t>
            </w:r>
          </w:p>
        </w:tc>
        <w:tc>
          <w:tcPr>
            <w:tcW w:w="2200" w:type="dxa"/>
            <w:tcBorders>
              <w:top w:val="nil"/>
              <w:left w:val="nil"/>
              <w:bottom w:val="nil"/>
              <w:right w:val="nil"/>
            </w:tcBorders>
            <w:vAlign w:val="center"/>
          </w:tcPr>
          <w:p w14:paraId="0FA5D2C0"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1</w:t>
            </w:r>
          </w:p>
        </w:tc>
        <w:tc>
          <w:tcPr>
            <w:tcW w:w="2200" w:type="dxa"/>
            <w:tcBorders>
              <w:top w:val="nil"/>
              <w:left w:val="nil"/>
              <w:bottom w:val="nil"/>
              <w:right w:val="nil"/>
            </w:tcBorders>
            <w:vAlign w:val="center"/>
          </w:tcPr>
          <w:p w14:paraId="6792D056"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064F631D"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2E9A0A48" w14:textId="77777777" w:rsidR="0010551B" w:rsidRDefault="0010551B" w:rsidP="001D10FF">
            <w:pPr>
              <w:widowControl w:val="0"/>
              <w:autoSpaceDE w:val="0"/>
              <w:autoSpaceDN w:val="0"/>
              <w:adjustRightInd w:val="0"/>
              <w:spacing w:line="240" w:lineRule="auto"/>
              <w:jc w:val="center"/>
              <w:rPr>
                <w:szCs w:val="24"/>
                <w:lang w:val="en-US"/>
              </w:rPr>
            </w:pPr>
          </w:p>
        </w:tc>
      </w:tr>
      <w:tr w:rsidR="0010551B" w14:paraId="53AF43C6" w14:textId="77777777" w:rsidTr="001D10FF">
        <w:trPr>
          <w:trHeight w:val="210"/>
        </w:trPr>
        <w:tc>
          <w:tcPr>
            <w:tcW w:w="2166" w:type="dxa"/>
            <w:tcBorders>
              <w:top w:val="nil"/>
              <w:left w:val="nil"/>
              <w:bottom w:val="nil"/>
              <w:right w:val="nil"/>
            </w:tcBorders>
            <w:vAlign w:val="center"/>
          </w:tcPr>
          <w:p w14:paraId="37E540A0" w14:textId="77777777" w:rsidR="0010551B" w:rsidRPr="006C59AD" w:rsidRDefault="0010551B" w:rsidP="001D10FF">
            <w:pPr>
              <w:widowControl w:val="0"/>
              <w:autoSpaceDE w:val="0"/>
              <w:autoSpaceDN w:val="0"/>
              <w:adjustRightInd w:val="0"/>
              <w:spacing w:line="240" w:lineRule="auto"/>
              <w:jc w:val="center"/>
              <w:rPr>
                <w:rFonts w:eastAsia="Calibri"/>
                <w:szCs w:val="24"/>
                <w:lang w:val="en-US" w:eastAsia="en-US"/>
              </w:rPr>
            </w:pPr>
          </w:p>
        </w:tc>
        <w:tc>
          <w:tcPr>
            <w:tcW w:w="1840" w:type="dxa"/>
            <w:tcBorders>
              <w:top w:val="nil"/>
              <w:left w:val="nil"/>
              <w:bottom w:val="nil"/>
              <w:right w:val="nil"/>
            </w:tcBorders>
            <w:vAlign w:val="center"/>
          </w:tcPr>
          <w:p w14:paraId="70ED0653"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501893F0"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59F04CB5"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72BB9285"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20F0DF32" w14:textId="77777777" w:rsidR="0010551B" w:rsidRDefault="0010551B" w:rsidP="001D10FF">
            <w:pPr>
              <w:widowControl w:val="0"/>
              <w:autoSpaceDE w:val="0"/>
              <w:autoSpaceDN w:val="0"/>
              <w:adjustRightInd w:val="0"/>
              <w:spacing w:line="240" w:lineRule="auto"/>
              <w:jc w:val="center"/>
              <w:rPr>
                <w:szCs w:val="24"/>
                <w:lang w:val="en-US"/>
              </w:rPr>
            </w:pPr>
          </w:p>
        </w:tc>
      </w:tr>
      <w:tr w:rsidR="0010551B" w14:paraId="18EC8D54" w14:textId="77777777" w:rsidTr="001D10FF">
        <w:trPr>
          <w:trHeight w:val="435"/>
        </w:trPr>
        <w:tc>
          <w:tcPr>
            <w:tcW w:w="2166" w:type="dxa"/>
            <w:tcBorders>
              <w:top w:val="nil"/>
              <w:left w:val="nil"/>
              <w:bottom w:val="nil"/>
              <w:right w:val="nil"/>
            </w:tcBorders>
            <w:vAlign w:val="center"/>
          </w:tcPr>
          <w:p w14:paraId="05C7EF21" w14:textId="77777777" w:rsidR="0010551B" w:rsidRPr="006C59AD" w:rsidRDefault="0010551B" w:rsidP="001D10FF">
            <w:pPr>
              <w:widowControl w:val="0"/>
              <w:autoSpaceDE w:val="0"/>
              <w:autoSpaceDN w:val="0"/>
              <w:adjustRightInd w:val="0"/>
              <w:spacing w:line="240" w:lineRule="auto"/>
              <w:jc w:val="center"/>
              <w:rPr>
                <w:rFonts w:eastAsia="Calibri"/>
                <w:szCs w:val="24"/>
                <w:lang w:val="en-US" w:eastAsia="en-US"/>
              </w:rPr>
            </w:pPr>
            <w:r w:rsidRPr="006C59AD">
              <w:rPr>
                <w:rFonts w:eastAsia="Calibri"/>
                <w:szCs w:val="24"/>
                <w:lang w:val="en-US" w:eastAsia="en-US"/>
              </w:rPr>
              <w:t xml:space="preserve">MSCI World Energy </w:t>
            </w:r>
            <w:r>
              <w:rPr>
                <w:rFonts w:eastAsia="Calibri"/>
                <w:szCs w:val="24"/>
                <w:lang w:val="en-US" w:eastAsia="en-US"/>
              </w:rPr>
              <w:t>Return</w:t>
            </w:r>
          </w:p>
        </w:tc>
        <w:tc>
          <w:tcPr>
            <w:tcW w:w="1840" w:type="dxa"/>
            <w:tcBorders>
              <w:top w:val="nil"/>
              <w:left w:val="nil"/>
              <w:bottom w:val="nil"/>
              <w:right w:val="nil"/>
            </w:tcBorders>
            <w:vAlign w:val="center"/>
          </w:tcPr>
          <w:p w14:paraId="622D838D"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0.0291</w:t>
            </w:r>
          </w:p>
        </w:tc>
        <w:tc>
          <w:tcPr>
            <w:tcW w:w="2200" w:type="dxa"/>
            <w:tcBorders>
              <w:top w:val="nil"/>
              <w:left w:val="nil"/>
              <w:bottom w:val="nil"/>
              <w:right w:val="nil"/>
            </w:tcBorders>
            <w:vAlign w:val="center"/>
          </w:tcPr>
          <w:p w14:paraId="071CABC4"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0.510</w:t>
            </w:r>
            <w:r>
              <w:rPr>
                <w:szCs w:val="24"/>
                <w:vertAlign w:val="superscript"/>
                <w:lang w:val="en-US"/>
              </w:rPr>
              <w:t>***</w:t>
            </w:r>
          </w:p>
        </w:tc>
        <w:tc>
          <w:tcPr>
            <w:tcW w:w="2200" w:type="dxa"/>
            <w:tcBorders>
              <w:top w:val="nil"/>
              <w:left w:val="nil"/>
              <w:bottom w:val="nil"/>
              <w:right w:val="nil"/>
            </w:tcBorders>
            <w:vAlign w:val="center"/>
          </w:tcPr>
          <w:p w14:paraId="71F6351F"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1</w:t>
            </w:r>
          </w:p>
        </w:tc>
        <w:tc>
          <w:tcPr>
            <w:tcW w:w="2200" w:type="dxa"/>
            <w:tcBorders>
              <w:top w:val="nil"/>
              <w:left w:val="nil"/>
              <w:bottom w:val="nil"/>
              <w:right w:val="nil"/>
            </w:tcBorders>
            <w:vAlign w:val="center"/>
          </w:tcPr>
          <w:p w14:paraId="0D60EBF0"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5A480B76" w14:textId="77777777" w:rsidR="0010551B" w:rsidRDefault="0010551B" w:rsidP="001D10FF">
            <w:pPr>
              <w:widowControl w:val="0"/>
              <w:autoSpaceDE w:val="0"/>
              <w:autoSpaceDN w:val="0"/>
              <w:adjustRightInd w:val="0"/>
              <w:spacing w:line="240" w:lineRule="auto"/>
              <w:jc w:val="center"/>
              <w:rPr>
                <w:szCs w:val="24"/>
                <w:lang w:val="en-US"/>
              </w:rPr>
            </w:pPr>
          </w:p>
        </w:tc>
      </w:tr>
      <w:tr w:rsidR="0010551B" w14:paraId="384FD37D" w14:textId="77777777" w:rsidTr="001D10FF">
        <w:trPr>
          <w:trHeight w:val="210"/>
        </w:trPr>
        <w:tc>
          <w:tcPr>
            <w:tcW w:w="2166" w:type="dxa"/>
            <w:tcBorders>
              <w:top w:val="nil"/>
              <w:left w:val="nil"/>
              <w:bottom w:val="nil"/>
              <w:right w:val="nil"/>
            </w:tcBorders>
            <w:vAlign w:val="center"/>
          </w:tcPr>
          <w:p w14:paraId="45F692BA" w14:textId="77777777" w:rsidR="0010551B" w:rsidRPr="006C59AD" w:rsidRDefault="0010551B" w:rsidP="001D10FF">
            <w:pPr>
              <w:widowControl w:val="0"/>
              <w:autoSpaceDE w:val="0"/>
              <w:autoSpaceDN w:val="0"/>
              <w:adjustRightInd w:val="0"/>
              <w:spacing w:line="240" w:lineRule="auto"/>
              <w:jc w:val="center"/>
              <w:rPr>
                <w:rFonts w:eastAsia="Calibri"/>
                <w:szCs w:val="24"/>
                <w:lang w:val="en-US" w:eastAsia="en-US"/>
              </w:rPr>
            </w:pPr>
          </w:p>
        </w:tc>
        <w:tc>
          <w:tcPr>
            <w:tcW w:w="1840" w:type="dxa"/>
            <w:tcBorders>
              <w:top w:val="nil"/>
              <w:left w:val="nil"/>
              <w:bottom w:val="nil"/>
              <w:right w:val="nil"/>
            </w:tcBorders>
            <w:vAlign w:val="center"/>
          </w:tcPr>
          <w:p w14:paraId="1F67C0CA"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6A5BC957"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5E480524"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0BFA1D8F"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154CA482" w14:textId="77777777" w:rsidR="0010551B" w:rsidRDefault="0010551B" w:rsidP="001D10FF">
            <w:pPr>
              <w:widowControl w:val="0"/>
              <w:autoSpaceDE w:val="0"/>
              <w:autoSpaceDN w:val="0"/>
              <w:adjustRightInd w:val="0"/>
              <w:spacing w:line="240" w:lineRule="auto"/>
              <w:jc w:val="center"/>
              <w:rPr>
                <w:szCs w:val="24"/>
                <w:lang w:val="en-US"/>
              </w:rPr>
            </w:pPr>
          </w:p>
        </w:tc>
      </w:tr>
      <w:tr w:rsidR="0010551B" w14:paraId="71480105" w14:textId="77777777" w:rsidTr="001D10FF">
        <w:trPr>
          <w:trHeight w:val="658"/>
        </w:trPr>
        <w:tc>
          <w:tcPr>
            <w:tcW w:w="2166" w:type="dxa"/>
            <w:tcBorders>
              <w:top w:val="nil"/>
              <w:left w:val="nil"/>
              <w:bottom w:val="nil"/>
              <w:right w:val="nil"/>
            </w:tcBorders>
            <w:vAlign w:val="center"/>
          </w:tcPr>
          <w:p w14:paraId="69712817" w14:textId="77777777" w:rsidR="0010551B" w:rsidRPr="006C59AD" w:rsidRDefault="0010551B" w:rsidP="001D10FF">
            <w:pPr>
              <w:widowControl w:val="0"/>
              <w:autoSpaceDE w:val="0"/>
              <w:autoSpaceDN w:val="0"/>
              <w:adjustRightInd w:val="0"/>
              <w:spacing w:line="240" w:lineRule="auto"/>
              <w:jc w:val="center"/>
              <w:rPr>
                <w:rFonts w:eastAsia="Calibri"/>
                <w:szCs w:val="24"/>
                <w:lang w:val="en-US" w:eastAsia="en-US"/>
              </w:rPr>
            </w:pPr>
            <w:r w:rsidRPr="006C59AD">
              <w:rPr>
                <w:rFonts w:eastAsia="Calibri"/>
                <w:szCs w:val="24"/>
                <w:lang w:val="en-US" w:eastAsia="en-US"/>
              </w:rPr>
              <w:t xml:space="preserve">S&amp;P Global Clean Energy </w:t>
            </w:r>
            <w:r>
              <w:rPr>
                <w:rFonts w:eastAsia="Calibri"/>
                <w:szCs w:val="24"/>
                <w:lang w:val="en-US" w:eastAsia="en-US"/>
              </w:rPr>
              <w:t>Return</w:t>
            </w:r>
          </w:p>
        </w:tc>
        <w:tc>
          <w:tcPr>
            <w:tcW w:w="1840" w:type="dxa"/>
            <w:tcBorders>
              <w:top w:val="nil"/>
              <w:left w:val="nil"/>
              <w:bottom w:val="nil"/>
              <w:right w:val="nil"/>
            </w:tcBorders>
            <w:vAlign w:val="center"/>
          </w:tcPr>
          <w:p w14:paraId="351BF7B6"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0.0328</w:t>
            </w:r>
          </w:p>
        </w:tc>
        <w:tc>
          <w:tcPr>
            <w:tcW w:w="2200" w:type="dxa"/>
            <w:tcBorders>
              <w:top w:val="nil"/>
              <w:left w:val="nil"/>
              <w:bottom w:val="nil"/>
              <w:right w:val="nil"/>
            </w:tcBorders>
            <w:vAlign w:val="center"/>
          </w:tcPr>
          <w:p w14:paraId="0CFAD68A"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0.542</w:t>
            </w:r>
            <w:r>
              <w:rPr>
                <w:szCs w:val="24"/>
                <w:vertAlign w:val="superscript"/>
                <w:lang w:val="en-US"/>
              </w:rPr>
              <w:t>***</w:t>
            </w:r>
          </w:p>
        </w:tc>
        <w:tc>
          <w:tcPr>
            <w:tcW w:w="2200" w:type="dxa"/>
            <w:tcBorders>
              <w:top w:val="nil"/>
              <w:left w:val="nil"/>
              <w:bottom w:val="nil"/>
              <w:right w:val="nil"/>
            </w:tcBorders>
            <w:vAlign w:val="center"/>
          </w:tcPr>
          <w:p w14:paraId="0E05224F"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0.524</w:t>
            </w:r>
            <w:r>
              <w:rPr>
                <w:szCs w:val="24"/>
                <w:vertAlign w:val="superscript"/>
                <w:lang w:val="en-US"/>
              </w:rPr>
              <w:t>***</w:t>
            </w:r>
          </w:p>
        </w:tc>
        <w:tc>
          <w:tcPr>
            <w:tcW w:w="2200" w:type="dxa"/>
            <w:tcBorders>
              <w:top w:val="nil"/>
              <w:left w:val="nil"/>
              <w:bottom w:val="nil"/>
              <w:right w:val="nil"/>
            </w:tcBorders>
            <w:vAlign w:val="center"/>
          </w:tcPr>
          <w:p w14:paraId="7601F0AF"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1</w:t>
            </w:r>
          </w:p>
        </w:tc>
        <w:tc>
          <w:tcPr>
            <w:tcW w:w="2200" w:type="dxa"/>
            <w:tcBorders>
              <w:top w:val="nil"/>
              <w:left w:val="nil"/>
              <w:bottom w:val="nil"/>
              <w:right w:val="nil"/>
            </w:tcBorders>
            <w:vAlign w:val="center"/>
          </w:tcPr>
          <w:p w14:paraId="437B6E6C" w14:textId="77777777" w:rsidR="0010551B" w:rsidRDefault="0010551B" w:rsidP="001D10FF">
            <w:pPr>
              <w:widowControl w:val="0"/>
              <w:autoSpaceDE w:val="0"/>
              <w:autoSpaceDN w:val="0"/>
              <w:adjustRightInd w:val="0"/>
              <w:spacing w:line="240" w:lineRule="auto"/>
              <w:jc w:val="center"/>
              <w:rPr>
                <w:szCs w:val="24"/>
                <w:lang w:val="en-US"/>
              </w:rPr>
            </w:pPr>
          </w:p>
        </w:tc>
      </w:tr>
      <w:tr w:rsidR="0010551B" w14:paraId="174A3E35" w14:textId="77777777" w:rsidTr="001D10FF">
        <w:trPr>
          <w:trHeight w:val="210"/>
        </w:trPr>
        <w:tc>
          <w:tcPr>
            <w:tcW w:w="2166" w:type="dxa"/>
            <w:tcBorders>
              <w:top w:val="nil"/>
              <w:left w:val="nil"/>
              <w:bottom w:val="nil"/>
              <w:right w:val="nil"/>
            </w:tcBorders>
            <w:vAlign w:val="center"/>
          </w:tcPr>
          <w:p w14:paraId="725C0A35" w14:textId="77777777" w:rsidR="0010551B" w:rsidRPr="006C59AD" w:rsidRDefault="0010551B" w:rsidP="001D10FF">
            <w:pPr>
              <w:widowControl w:val="0"/>
              <w:autoSpaceDE w:val="0"/>
              <w:autoSpaceDN w:val="0"/>
              <w:adjustRightInd w:val="0"/>
              <w:spacing w:line="240" w:lineRule="auto"/>
              <w:jc w:val="center"/>
              <w:rPr>
                <w:rFonts w:eastAsia="Calibri"/>
                <w:szCs w:val="24"/>
                <w:lang w:val="en-US" w:eastAsia="en-US"/>
              </w:rPr>
            </w:pPr>
          </w:p>
        </w:tc>
        <w:tc>
          <w:tcPr>
            <w:tcW w:w="1840" w:type="dxa"/>
            <w:tcBorders>
              <w:top w:val="nil"/>
              <w:left w:val="nil"/>
              <w:bottom w:val="nil"/>
              <w:right w:val="nil"/>
            </w:tcBorders>
            <w:vAlign w:val="center"/>
          </w:tcPr>
          <w:p w14:paraId="50009AF3"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42453451"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73F4F1AC"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16E8430E" w14:textId="77777777" w:rsidR="0010551B" w:rsidRDefault="0010551B" w:rsidP="001D10FF">
            <w:pPr>
              <w:widowControl w:val="0"/>
              <w:autoSpaceDE w:val="0"/>
              <w:autoSpaceDN w:val="0"/>
              <w:adjustRightInd w:val="0"/>
              <w:spacing w:line="240" w:lineRule="auto"/>
              <w:jc w:val="center"/>
              <w:rPr>
                <w:szCs w:val="24"/>
                <w:lang w:val="en-US"/>
              </w:rPr>
            </w:pPr>
          </w:p>
        </w:tc>
        <w:tc>
          <w:tcPr>
            <w:tcW w:w="2200" w:type="dxa"/>
            <w:tcBorders>
              <w:top w:val="nil"/>
              <w:left w:val="nil"/>
              <w:bottom w:val="nil"/>
              <w:right w:val="nil"/>
            </w:tcBorders>
            <w:vAlign w:val="center"/>
          </w:tcPr>
          <w:p w14:paraId="67613564" w14:textId="77777777" w:rsidR="0010551B" w:rsidRDefault="0010551B" w:rsidP="001D10FF">
            <w:pPr>
              <w:widowControl w:val="0"/>
              <w:autoSpaceDE w:val="0"/>
              <w:autoSpaceDN w:val="0"/>
              <w:adjustRightInd w:val="0"/>
              <w:spacing w:line="240" w:lineRule="auto"/>
              <w:jc w:val="center"/>
              <w:rPr>
                <w:szCs w:val="24"/>
                <w:lang w:val="en-US"/>
              </w:rPr>
            </w:pPr>
          </w:p>
        </w:tc>
      </w:tr>
      <w:tr w:rsidR="0010551B" w14:paraId="5B9425BD" w14:textId="77777777" w:rsidTr="001D10FF">
        <w:trPr>
          <w:trHeight w:val="435"/>
        </w:trPr>
        <w:tc>
          <w:tcPr>
            <w:tcW w:w="2166" w:type="dxa"/>
            <w:tcBorders>
              <w:top w:val="nil"/>
              <w:left w:val="nil"/>
              <w:bottom w:val="single" w:sz="4" w:space="0" w:color="auto"/>
              <w:right w:val="nil"/>
            </w:tcBorders>
            <w:vAlign w:val="center"/>
          </w:tcPr>
          <w:p w14:paraId="16413AEB" w14:textId="77777777" w:rsidR="0010551B" w:rsidRPr="006C59AD" w:rsidRDefault="0010551B" w:rsidP="001D10FF">
            <w:pPr>
              <w:widowControl w:val="0"/>
              <w:autoSpaceDE w:val="0"/>
              <w:autoSpaceDN w:val="0"/>
              <w:adjustRightInd w:val="0"/>
              <w:spacing w:line="240" w:lineRule="auto"/>
              <w:jc w:val="center"/>
              <w:rPr>
                <w:rFonts w:eastAsia="Calibri"/>
                <w:szCs w:val="24"/>
                <w:lang w:val="en-US" w:eastAsia="en-US"/>
              </w:rPr>
            </w:pPr>
            <w:r>
              <w:rPr>
                <w:rFonts w:eastAsia="Calibri"/>
                <w:szCs w:val="24"/>
                <w:lang w:val="en-US" w:eastAsia="en-US"/>
              </w:rPr>
              <w:t>MSCI World</w:t>
            </w:r>
            <w:r w:rsidRPr="006C59AD">
              <w:rPr>
                <w:rFonts w:eastAsia="Calibri"/>
                <w:szCs w:val="24"/>
                <w:lang w:val="en-US" w:eastAsia="en-US"/>
              </w:rPr>
              <w:t xml:space="preserve"> Bank </w:t>
            </w:r>
            <w:r>
              <w:rPr>
                <w:rFonts w:eastAsia="Calibri"/>
                <w:szCs w:val="24"/>
                <w:lang w:val="en-US" w:eastAsia="en-US"/>
              </w:rPr>
              <w:t>Return</w:t>
            </w:r>
          </w:p>
        </w:tc>
        <w:tc>
          <w:tcPr>
            <w:tcW w:w="1840" w:type="dxa"/>
            <w:tcBorders>
              <w:top w:val="nil"/>
              <w:left w:val="nil"/>
              <w:bottom w:val="single" w:sz="4" w:space="0" w:color="auto"/>
              <w:right w:val="nil"/>
            </w:tcBorders>
            <w:vAlign w:val="center"/>
          </w:tcPr>
          <w:p w14:paraId="5F7DFDAB"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0.0237</w:t>
            </w:r>
          </w:p>
        </w:tc>
        <w:tc>
          <w:tcPr>
            <w:tcW w:w="2200" w:type="dxa"/>
            <w:tcBorders>
              <w:top w:val="nil"/>
              <w:left w:val="nil"/>
              <w:bottom w:val="single" w:sz="4" w:space="0" w:color="auto"/>
              <w:right w:val="nil"/>
            </w:tcBorders>
            <w:vAlign w:val="center"/>
          </w:tcPr>
          <w:p w14:paraId="7F798114"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0.592</w:t>
            </w:r>
            <w:r>
              <w:rPr>
                <w:szCs w:val="24"/>
                <w:vertAlign w:val="superscript"/>
                <w:lang w:val="en-US"/>
              </w:rPr>
              <w:t>***</w:t>
            </w:r>
          </w:p>
        </w:tc>
        <w:tc>
          <w:tcPr>
            <w:tcW w:w="2200" w:type="dxa"/>
            <w:tcBorders>
              <w:top w:val="nil"/>
              <w:left w:val="nil"/>
              <w:bottom w:val="single" w:sz="4" w:space="0" w:color="auto"/>
              <w:right w:val="nil"/>
            </w:tcBorders>
            <w:vAlign w:val="center"/>
          </w:tcPr>
          <w:p w14:paraId="7359D50C"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0.623</w:t>
            </w:r>
            <w:r>
              <w:rPr>
                <w:szCs w:val="24"/>
                <w:vertAlign w:val="superscript"/>
                <w:lang w:val="en-US"/>
              </w:rPr>
              <w:t>***</w:t>
            </w:r>
          </w:p>
        </w:tc>
        <w:tc>
          <w:tcPr>
            <w:tcW w:w="2200" w:type="dxa"/>
            <w:tcBorders>
              <w:top w:val="nil"/>
              <w:left w:val="nil"/>
              <w:bottom w:val="single" w:sz="4" w:space="0" w:color="auto"/>
              <w:right w:val="nil"/>
            </w:tcBorders>
            <w:vAlign w:val="center"/>
          </w:tcPr>
          <w:p w14:paraId="584F2611"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0.560</w:t>
            </w:r>
            <w:r>
              <w:rPr>
                <w:szCs w:val="24"/>
                <w:vertAlign w:val="superscript"/>
                <w:lang w:val="en-US"/>
              </w:rPr>
              <w:t>***</w:t>
            </w:r>
          </w:p>
        </w:tc>
        <w:tc>
          <w:tcPr>
            <w:tcW w:w="2200" w:type="dxa"/>
            <w:tcBorders>
              <w:top w:val="nil"/>
              <w:left w:val="nil"/>
              <w:bottom w:val="single" w:sz="4" w:space="0" w:color="auto"/>
              <w:right w:val="nil"/>
            </w:tcBorders>
            <w:vAlign w:val="center"/>
          </w:tcPr>
          <w:p w14:paraId="6F744BFD" w14:textId="77777777" w:rsidR="0010551B" w:rsidRDefault="0010551B" w:rsidP="001D10FF">
            <w:pPr>
              <w:widowControl w:val="0"/>
              <w:autoSpaceDE w:val="0"/>
              <w:autoSpaceDN w:val="0"/>
              <w:adjustRightInd w:val="0"/>
              <w:spacing w:line="240" w:lineRule="auto"/>
              <w:jc w:val="center"/>
              <w:rPr>
                <w:szCs w:val="24"/>
                <w:lang w:val="en-US"/>
              </w:rPr>
            </w:pPr>
            <w:r>
              <w:rPr>
                <w:szCs w:val="24"/>
                <w:lang w:val="en-US"/>
              </w:rPr>
              <w:t>1</w:t>
            </w:r>
          </w:p>
        </w:tc>
      </w:tr>
    </w:tbl>
    <w:p w14:paraId="5D78B52D" w14:textId="77777777" w:rsidR="0010551B" w:rsidRDefault="0010551B" w:rsidP="0010551B">
      <w:pPr>
        <w:widowControl w:val="0"/>
        <w:autoSpaceDE w:val="0"/>
        <w:autoSpaceDN w:val="0"/>
        <w:adjustRightInd w:val="0"/>
        <w:spacing w:line="240" w:lineRule="auto"/>
        <w:jc w:val="center"/>
        <w:rPr>
          <w:b/>
          <w:sz w:val="20"/>
          <w:szCs w:val="20"/>
          <w:lang w:val="en-US"/>
        </w:rPr>
      </w:pPr>
      <w:r w:rsidRPr="0010551B">
        <w:rPr>
          <w:b/>
          <w:sz w:val="20"/>
          <w:szCs w:val="20"/>
          <w:vertAlign w:val="superscript"/>
          <w:lang w:val="en-US"/>
        </w:rPr>
        <w:t>*</w:t>
      </w:r>
      <w:r w:rsidRPr="0010551B">
        <w:rPr>
          <w:b/>
          <w:sz w:val="20"/>
          <w:szCs w:val="20"/>
          <w:lang w:val="en-US"/>
        </w:rPr>
        <w:t xml:space="preserve"> </w:t>
      </w:r>
      <w:r w:rsidRPr="0010551B">
        <w:rPr>
          <w:b/>
          <w:i/>
          <w:iCs/>
          <w:sz w:val="20"/>
          <w:szCs w:val="20"/>
          <w:lang w:val="en-US"/>
        </w:rPr>
        <w:t>p</w:t>
      </w:r>
      <w:r w:rsidRPr="0010551B">
        <w:rPr>
          <w:b/>
          <w:sz w:val="20"/>
          <w:szCs w:val="20"/>
          <w:lang w:val="en-US"/>
        </w:rPr>
        <w:t xml:space="preserve"> &lt; 0.05, </w:t>
      </w:r>
      <w:r w:rsidRPr="0010551B">
        <w:rPr>
          <w:b/>
          <w:sz w:val="20"/>
          <w:szCs w:val="20"/>
          <w:vertAlign w:val="superscript"/>
          <w:lang w:val="en-US"/>
        </w:rPr>
        <w:t>**</w:t>
      </w:r>
      <w:r w:rsidRPr="0010551B">
        <w:rPr>
          <w:b/>
          <w:sz w:val="20"/>
          <w:szCs w:val="20"/>
          <w:lang w:val="en-US"/>
        </w:rPr>
        <w:t xml:space="preserve"> </w:t>
      </w:r>
      <w:r w:rsidRPr="0010551B">
        <w:rPr>
          <w:b/>
          <w:i/>
          <w:iCs/>
          <w:sz w:val="20"/>
          <w:szCs w:val="20"/>
          <w:lang w:val="en-US"/>
        </w:rPr>
        <w:t>p</w:t>
      </w:r>
      <w:r w:rsidRPr="0010551B">
        <w:rPr>
          <w:b/>
          <w:sz w:val="20"/>
          <w:szCs w:val="20"/>
          <w:lang w:val="en-US"/>
        </w:rPr>
        <w:t xml:space="preserve"> &lt; 0.01, </w:t>
      </w:r>
      <w:r w:rsidRPr="0010551B">
        <w:rPr>
          <w:b/>
          <w:sz w:val="20"/>
          <w:szCs w:val="20"/>
          <w:vertAlign w:val="superscript"/>
          <w:lang w:val="en-US"/>
        </w:rPr>
        <w:t>***</w:t>
      </w:r>
      <w:r w:rsidRPr="0010551B">
        <w:rPr>
          <w:b/>
          <w:sz w:val="20"/>
          <w:szCs w:val="20"/>
          <w:lang w:val="en-US"/>
        </w:rPr>
        <w:t xml:space="preserve"> </w:t>
      </w:r>
      <w:r w:rsidRPr="0010551B">
        <w:rPr>
          <w:b/>
          <w:i/>
          <w:iCs/>
          <w:sz w:val="20"/>
          <w:szCs w:val="20"/>
          <w:lang w:val="en-US"/>
        </w:rPr>
        <w:t>p</w:t>
      </w:r>
      <w:r w:rsidRPr="0010551B">
        <w:rPr>
          <w:b/>
          <w:sz w:val="20"/>
          <w:szCs w:val="20"/>
          <w:lang w:val="en-US"/>
        </w:rPr>
        <w:t xml:space="preserve"> &lt; 0.001</w:t>
      </w:r>
    </w:p>
    <w:p w14:paraId="7ACB604D" w14:textId="77777777" w:rsidR="0010551B" w:rsidRDefault="0010551B" w:rsidP="0010551B">
      <w:pPr>
        <w:widowControl w:val="0"/>
        <w:autoSpaceDE w:val="0"/>
        <w:autoSpaceDN w:val="0"/>
        <w:adjustRightInd w:val="0"/>
        <w:spacing w:line="240" w:lineRule="auto"/>
        <w:jc w:val="center"/>
        <w:rPr>
          <w:b/>
          <w:sz w:val="20"/>
          <w:szCs w:val="20"/>
          <w:lang w:val="en-US"/>
        </w:rPr>
      </w:pPr>
    </w:p>
    <w:p w14:paraId="673A6BD2" w14:textId="77777777" w:rsidR="0010551B" w:rsidRDefault="0010551B" w:rsidP="0010551B">
      <w:pPr>
        <w:widowControl w:val="0"/>
        <w:autoSpaceDE w:val="0"/>
        <w:autoSpaceDN w:val="0"/>
        <w:adjustRightInd w:val="0"/>
        <w:spacing w:line="240" w:lineRule="auto"/>
        <w:jc w:val="center"/>
        <w:rPr>
          <w:b/>
          <w:sz w:val="20"/>
          <w:szCs w:val="20"/>
          <w:lang w:val="en-US"/>
        </w:rPr>
      </w:pPr>
    </w:p>
    <w:p w14:paraId="47474F40" w14:textId="77777777" w:rsidR="00691A0C" w:rsidRDefault="00691A0C" w:rsidP="0010551B">
      <w:pPr>
        <w:widowControl w:val="0"/>
        <w:autoSpaceDE w:val="0"/>
        <w:autoSpaceDN w:val="0"/>
        <w:adjustRightInd w:val="0"/>
        <w:spacing w:line="240" w:lineRule="auto"/>
        <w:jc w:val="center"/>
        <w:rPr>
          <w:b/>
          <w:sz w:val="20"/>
          <w:szCs w:val="20"/>
          <w:lang w:val="en-US"/>
        </w:rPr>
      </w:pPr>
    </w:p>
    <w:p w14:paraId="15B81CAD" w14:textId="77777777" w:rsidR="00691A0C" w:rsidRDefault="00691A0C" w:rsidP="0010551B">
      <w:pPr>
        <w:widowControl w:val="0"/>
        <w:autoSpaceDE w:val="0"/>
        <w:autoSpaceDN w:val="0"/>
        <w:adjustRightInd w:val="0"/>
        <w:spacing w:line="240" w:lineRule="auto"/>
        <w:jc w:val="center"/>
        <w:rPr>
          <w:b/>
          <w:sz w:val="20"/>
          <w:szCs w:val="20"/>
          <w:lang w:val="en-US"/>
        </w:rPr>
      </w:pPr>
    </w:p>
    <w:p w14:paraId="5330C4D4" w14:textId="77777777" w:rsidR="0010551B" w:rsidRDefault="0010551B" w:rsidP="0010551B">
      <w:pPr>
        <w:widowControl w:val="0"/>
        <w:autoSpaceDE w:val="0"/>
        <w:autoSpaceDN w:val="0"/>
        <w:adjustRightInd w:val="0"/>
        <w:spacing w:line="240" w:lineRule="auto"/>
        <w:jc w:val="center"/>
        <w:rPr>
          <w:b/>
          <w:sz w:val="20"/>
          <w:szCs w:val="20"/>
          <w:lang w:val="en-US"/>
        </w:rPr>
      </w:pPr>
    </w:p>
    <w:p w14:paraId="10FBEAC3" w14:textId="77777777" w:rsidR="0010551B" w:rsidRDefault="0010551B" w:rsidP="0010551B">
      <w:pPr>
        <w:widowControl w:val="0"/>
        <w:autoSpaceDE w:val="0"/>
        <w:autoSpaceDN w:val="0"/>
        <w:adjustRightInd w:val="0"/>
        <w:spacing w:line="240" w:lineRule="auto"/>
        <w:jc w:val="center"/>
        <w:rPr>
          <w:b/>
          <w:sz w:val="20"/>
          <w:szCs w:val="20"/>
          <w:lang w:val="en-US"/>
        </w:rPr>
      </w:pPr>
    </w:p>
    <w:p w14:paraId="2B69E3FA" w14:textId="77777777" w:rsidR="0010551B" w:rsidRDefault="0010551B" w:rsidP="0010551B">
      <w:pPr>
        <w:widowControl w:val="0"/>
        <w:autoSpaceDE w:val="0"/>
        <w:autoSpaceDN w:val="0"/>
        <w:adjustRightInd w:val="0"/>
        <w:spacing w:line="240" w:lineRule="auto"/>
        <w:jc w:val="center"/>
        <w:rPr>
          <w:b/>
          <w:sz w:val="20"/>
          <w:szCs w:val="20"/>
          <w:lang w:val="en-US"/>
        </w:rPr>
      </w:pPr>
    </w:p>
    <w:p w14:paraId="185BBCF3" w14:textId="77777777" w:rsidR="0010551B" w:rsidRDefault="0010551B" w:rsidP="0010551B">
      <w:pPr>
        <w:widowControl w:val="0"/>
        <w:autoSpaceDE w:val="0"/>
        <w:autoSpaceDN w:val="0"/>
        <w:adjustRightInd w:val="0"/>
        <w:spacing w:line="240" w:lineRule="auto"/>
        <w:jc w:val="center"/>
        <w:rPr>
          <w:b/>
          <w:sz w:val="20"/>
          <w:szCs w:val="20"/>
          <w:lang w:val="en-US"/>
        </w:rPr>
      </w:pPr>
    </w:p>
    <w:p w14:paraId="126C6290" w14:textId="77777777" w:rsidR="0010551B" w:rsidRDefault="0010551B" w:rsidP="0010551B">
      <w:pPr>
        <w:widowControl w:val="0"/>
        <w:autoSpaceDE w:val="0"/>
        <w:autoSpaceDN w:val="0"/>
        <w:adjustRightInd w:val="0"/>
        <w:spacing w:line="240" w:lineRule="auto"/>
        <w:jc w:val="center"/>
        <w:rPr>
          <w:b/>
          <w:sz w:val="20"/>
          <w:szCs w:val="20"/>
          <w:lang w:val="en-US"/>
        </w:rPr>
      </w:pPr>
    </w:p>
    <w:p w14:paraId="630DEF33" w14:textId="77777777" w:rsidR="0010551B" w:rsidRDefault="0010551B" w:rsidP="0010551B">
      <w:pPr>
        <w:widowControl w:val="0"/>
        <w:autoSpaceDE w:val="0"/>
        <w:autoSpaceDN w:val="0"/>
        <w:adjustRightInd w:val="0"/>
        <w:spacing w:line="240" w:lineRule="auto"/>
        <w:jc w:val="center"/>
        <w:rPr>
          <w:b/>
          <w:sz w:val="20"/>
          <w:szCs w:val="20"/>
          <w:lang w:val="en-US"/>
        </w:rPr>
      </w:pPr>
    </w:p>
    <w:p w14:paraId="289E5CE8" w14:textId="77777777" w:rsidR="0010551B" w:rsidRPr="0010551B" w:rsidRDefault="0010551B" w:rsidP="0010551B">
      <w:pPr>
        <w:widowControl w:val="0"/>
        <w:autoSpaceDE w:val="0"/>
        <w:autoSpaceDN w:val="0"/>
        <w:adjustRightInd w:val="0"/>
        <w:spacing w:line="240" w:lineRule="auto"/>
        <w:jc w:val="center"/>
        <w:rPr>
          <w:b/>
          <w:sz w:val="20"/>
          <w:szCs w:val="20"/>
          <w:lang w:val="en-US"/>
        </w:rPr>
      </w:pPr>
    </w:p>
    <w:p w14:paraId="5E5F00E7" w14:textId="6F357287" w:rsidR="00916B26" w:rsidRDefault="00916B26" w:rsidP="00916B26">
      <w:pPr>
        <w:keepNext/>
        <w:spacing w:after="200" w:line="240" w:lineRule="auto"/>
        <w:ind w:left="-426"/>
        <w:jc w:val="left"/>
        <w:rPr>
          <w:b/>
          <w:i/>
          <w:iCs/>
          <w:color w:val="000000"/>
          <w:szCs w:val="24"/>
        </w:rPr>
      </w:pPr>
      <w:r w:rsidRPr="006C59AD">
        <w:rPr>
          <w:b/>
          <w:i/>
          <w:iCs/>
          <w:color w:val="000000"/>
          <w:szCs w:val="24"/>
        </w:rPr>
        <w:lastRenderedPageBreak/>
        <w:t xml:space="preserve">Table </w:t>
      </w:r>
      <w:r w:rsidR="00691A0C">
        <w:rPr>
          <w:b/>
          <w:i/>
          <w:iCs/>
          <w:color w:val="000000"/>
          <w:szCs w:val="24"/>
        </w:rPr>
        <w:t>2</w:t>
      </w:r>
      <w:r w:rsidRPr="006C59AD">
        <w:rPr>
          <w:b/>
          <w:i/>
          <w:iCs/>
          <w:color w:val="000000"/>
          <w:szCs w:val="24"/>
        </w:rPr>
        <w:t xml:space="preserve">: Bitcoin </w:t>
      </w:r>
      <w:r>
        <w:rPr>
          <w:b/>
          <w:i/>
          <w:iCs/>
          <w:color w:val="000000"/>
          <w:szCs w:val="24"/>
        </w:rPr>
        <w:t>return</w:t>
      </w:r>
      <w:r w:rsidRPr="006C59AD">
        <w:rPr>
          <w:b/>
          <w:i/>
          <w:iCs/>
          <w:color w:val="000000"/>
          <w:szCs w:val="24"/>
        </w:rPr>
        <w:t xml:space="preserve"> on </w:t>
      </w:r>
      <w:r w:rsidR="002508B4">
        <w:rPr>
          <w:b/>
          <w:i/>
          <w:iCs/>
          <w:color w:val="000000"/>
          <w:szCs w:val="24"/>
        </w:rPr>
        <w:t>I</w:t>
      </w:r>
      <w:r>
        <w:rPr>
          <w:b/>
          <w:i/>
          <w:iCs/>
          <w:color w:val="000000"/>
          <w:szCs w:val="24"/>
        </w:rPr>
        <w:t>ndustry</w:t>
      </w:r>
      <w:r w:rsidRPr="006C59AD">
        <w:rPr>
          <w:b/>
          <w:i/>
          <w:iCs/>
          <w:color w:val="000000"/>
          <w:szCs w:val="24"/>
        </w:rPr>
        <w:t xml:space="preserve"> </w:t>
      </w:r>
      <w:r>
        <w:rPr>
          <w:b/>
          <w:i/>
          <w:iCs/>
          <w:color w:val="000000"/>
          <w:szCs w:val="24"/>
        </w:rPr>
        <w:t>return</w:t>
      </w:r>
      <w:r w:rsidRPr="006C59AD">
        <w:rPr>
          <w:b/>
          <w:i/>
          <w:iCs/>
          <w:color w:val="000000"/>
          <w:szCs w:val="24"/>
        </w:rPr>
        <w:t xml:space="preserve"> </w:t>
      </w:r>
      <w:r>
        <w:rPr>
          <w:b/>
          <w:i/>
          <w:iCs/>
          <w:color w:val="000000"/>
          <w:szCs w:val="24"/>
        </w:rPr>
        <w:t>regressions</w:t>
      </w:r>
    </w:p>
    <w:tbl>
      <w:tblPr>
        <w:tblW w:w="13847" w:type="dxa"/>
        <w:tblInd w:w="-426" w:type="dxa"/>
        <w:tblLayout w:type="fixed"/>
        <w:tblLook w:val="0000" w:firstRow="0" w:lastRow="0" w:firstColumn="0" w:lastColumn="0" w:noHBand="0" w:noVBand="0"/>
      </w:tblPr>
      <w:tblGrid>
        <w:gridCol w:w="6640"/>
        <w:gridCol w:w="1800"/>
        <w:gridCol w:w="1938"/>
        <w:gridCol w:w="1774"/>
        <w:gridCol w:w="1695"/>
      </w:tblGrid>
      <w:tr w:rsidR="00FC40B7" w:rsidRPr="003935C0" w14:paraId="750F82C1" w14:textId="77777777" w:rsidTr="00A04B26">
        <w:trPr>
          <w:trHeight w:val="187"/>
        </w:trPr>
        <w:tc>
          <w:tcPr>
            <w:tcW w:w="6640" w:type="dxa"/>
            <w:vMerge w:val="restart"/>
            <w:tcBorders>
              <w:top w:val="single" w:sz="4" w:space="0" w:color="auto"/>
              <w:left w:val="nil"/>
              <w:right w:val="nil"/>
            </w:tcBorders>
            <w:vAlign w:val="center"/>
          </w:tcPr>
          <w:p w14:paraId="7DB288D6" w14:textId="77777777" w:rsidR="00FC40B7" w:rsidRPr="003935C0" w:rsidRDefault="00FC40B7" w:rsidP="00A04B26">
            <w:pPr>
              <w:widowControl w:val="0"/>
              <w:autoSpaceDE w:val="0"/>
              <w:autoSpaceDN w:val="0"/>
              <w:adjustRightInd w:val="0"/>
              <w:spacing w:line="240" w:lineRule="auto"/>
              <w:jc w:val="left"/>
              <w:rPr>
                <w:rFonts w:eastAsia="Calibri" w:cs="Arial"/>
                <w:b/>
                <w:szCs w:val="20"/>
                <w:lang w:val="en-US" w:eastAsia="en-US"/>
              </w:rPr>
            </w:pPr>
          </w:p>
        </w:tc>
        <w:tc>
          <w:tcPr>
            <w:tcW w:w="1800" w:type="dxa"/>
            <w:tcBorders>
              <w:top w:val="single" w:sz="4" w:space="0" w:color="auto"/>
              <w:left w:val="nil"/>
              <w:bottom w:val="nil"/>
              <w:right w:val="nil"/>
            </w:tcBorders>
          </w:tcPr>
          <w:p w14:paraId="453881AA" w14:textId="77777777" w:rsidR="00FC40B7" w:rsidRPr="003935C0" w:rsidRDefault="00FC40B7" w:rsidP="00A04B26">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(1)</w:t>
            </w:r>
          </w:p>
        </w:tc>
        <w:tc>
          <w:tcPr>
            <w:tcW w:w="1938" w:type="dxa"/>
            <w:tcBorders>
              <w:top w:val="single" w:sz="4" w:space="0" w:color="auto"/>
              <w:left w:val="nil"/>
              <w:bottom w:val="nil"/>
              <w:right w:val="nil"/>
            </w:tcBorders>
          </w:tcPr>
          <w:p w14:paraId="23D31D6B" w14:textId="77777777" w:rsidR="00FC40B7" w:rsidRPr="003935C0" w:rsidRDefault="00FC40B7" w:rsidP="00A04B26">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(2)</w:t>
            </w:r>
          </w:p>
        </w:tc>
        <w:tc>
          <w:tcPr>
            <w:tcW w:w="1774" w:type="dxa"/>
            <w:tcBorders>
              <w:top w:val="single" w:sz="4" w:space="0" w:color="auto"/>
              <w:left w:val="nil"/>
              <w:bottom w:val="nil"/>
              <w:right w:val="nil"/>
            </w:tcBorders>
          </w:tcPr>
          <w:p w14:paraId="751C505C" w14:textId="77777777" w:rsidR="00FC40B7" w:rsidRPr="003935C0" w:rsidRDefault="00FC40B7" w:rsidP="00A04B26">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(3)</w:t>
            </w:r>
          </w:p>
        </w:tc>
        <w:tc>
          <w:tcPr>
            <w:tcW w:w="1695" w:type="dxa"/>
            <w:tcBorders>
              <w:top w:val="single" w:sz="4" w:space="0" w:color="auto"/>
              <w:left w:val="nil"/>
              <w:bottom w:val="nil"/>
              <w:right w:val="nil"/>
            </w:tcBorders>
          </w:tcPr>
          <w:p w14:paraId="5A43C5FE" w14:textId="77777777" w:rsidR="00FC40B7" w:rsidRPr="003935C0" w:rsidRDefault="00FC40B7" w:rsidP="00A04B26">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(4)</w:t>
            </w:r>
          </w:p>
        </w:tc>
      </w:tr>
      <w:tr w:rsidR="00FC40B7" w:rsidRPr="003935C0" w14:paraId="4DFF7E09" w14:textId="77777777" w:rsidTr="00A04B26">
        <w:trPr>
          <w:trHeight w:val="90"/>
        </w:trPr>
        <w:tc>
          <w:tcPr>
            <w:tcW w:w="6640" w:type="dxa"/>
            <w:vMerge/>
            <w:tcBorders>
              <w:left w:val="nil"/>
              <w:bottom w:val="nil"/>
              <w:right w:val="nil"/>
            </w:tcBorders>
          </w:tcPr>
          <w:p w14:paraId="6F180C03" w14:textId="77777777" w:rsidR="00FC40B7" w:rsidRPr="003935C0" w:rsidRDefault="00FC40B7" w:rsidP="00A04B26">
            <w:pPr>
              <w:widowControl w:val="0"/>
              <w:autoSpaceDE w:val="0"/>
              <w:autoSpaceDN w:val="0"/>
              <w:adjustRightInd w:val="0"/>
              <w:spacing w:line="240" w:lineRule="auto"/>
              <w:jc w:val="left"/>
              <w:rPr>
                <w:rFonts w:eastAsia="Calibri" w:cs="Arial"/>
                <w:b/>
                <w:szCs w:val="20"/>
                <w:lang w:val="en-US" w:eastAsia="en-US"/>
              </w:rPr>
            </w:pPr>
          </w:p>
        </w:tc>
        <w:tc>
          <w:tcPr>
            <w:tcW w:w="1800" w:type="dxa"/>
            <w:tcBorders>
              <w:top w:val="nil"/>
              <w:left w:val="nil"/>
              <w:bottom w:val="nil"/>
              <w:right w:val="nil"/>
            </w:tcBorders>
          </w:tcPr>
          <w:p w14:paraId="0891D07F" w14:textId="77777777" w:rsidR="00FC40B7" w:rsidRPr="003935C0" w:rsidRDefault="00FC40B7" w:rsidP="00A04B26">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938" w:type="dxa"/>
            <w:tcBorders>
              <w:top w:val="nil"/>
              <w:left w:val="nil"/>
              <w:bottom w:val="nil"/>
              <w:right w:val="nil"/>
            </w:tcBorders>
          </w:tcPr>
          <w:p w14:paraId="5CF83FEC" w14:textId="77777777" w:rsidR="00FC40B7" w:rsidRPr="003935C0" w:rsidRDefault="00FC40B7" w:rsidP="00A04B26">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774" w:type="dxa"/>
            <w:tcBorders>
              <w:top w:val="nil"/>
              <w:left w:val="nil"/>
              <w:bottom w:val="nil"/>
              <w:right w:val="nil"/>
            </w:tcBorders>
          </w:tcPr>
          <w:p w14:paraId="3AB92BE2" w14:textId="77777777" w:rsidR="00FC40B7" w:rsidRPr="003935C0" w:rsidRDefault="00FC40B7" w:rsidP="00A04B26">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695" w:type="dxa"/>
            <w:tcBorders>
              <w:top w:val="nil"/>
              <w:left w:val="nil"/>
              <w:bottom w:val="nil"/>
              <w:right w:val="nil"/>
            </w:tcBorders>
          </w:tcPr>
          <w:p w14:paraId="6CD54D33" w14:textId="77777777" w:rsidR="00FC40B7" w:rsidRPr="003935C0" w:rsidRDefault="00FC40B7" w:rsidP="00A04B26">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r>
      <w:tr w:rsidR="00FC40B7" w:rsidRPr="003935C0" w14:paraId="10CEDE2D" w14:textId="77777777" w:rsidTr="00A04B26">
        <w:trPr>
          <w:trHeight w:val="187"/>
        </w:trPr>
        <w:tc>
          <w:tcPr>
            <w:tcW w:w="6640" w:type="dxa"/>
            <w:tcBorders>
              <w:top w:val="single" w:sz="4" w:space="0" w:color="auto"/>
              <w:left w:val="nil"/>
              <w:bottom w:val="nil"/>
              <w:right w:val="nil"/>
            </w:tcBorders>
          </w:tcPr>
          <w:p w14:paraId="5D92F74F"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Volume</w:t>
            </w:r>
          </w:p>
        </w:tc>
        <w:tc>
          <w:tcPr>
            <w:tcW w:w="1800" w:type="dxa"/>
            <w:tcBorders>
              <w:top w:val="single" w:sz="4" w:space="0" w:color="auto"/>
              <w:left w:val="nil"/>
              <w:bottom w:val="nil"/>
              <w:right w:val="nil"/>
            </w:tcBorders>
          </w:tcPr>
          <w:p w14:paraId="6A267BF2"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0.00137</w:t>
            </w:r>
            <w:r>
              <w:rPr>
                <w:szCs w:val="24"/>
                <w:vertAlign w:val="superscript"/>
                <w:lang w:val="en-US"/>
              </w:rPr>
              <w:t>***</w:t>
            </w:r>
          </w:p>
        </w:tc>
        <w:tc>
          <w:tcPr>
            <w:tcW w:w="1938" w:type="dxa"/>
            <w:tcBorders>
              <w:top w:val="single" w:sz="4" w:space="0" w:color="auto"/>
              <w:left w:val="nil"/>
              <w:bottom w:val="nil"/>
              <w:right w:val="nil"/>
            </w:tcBorders>
          </w:tcPr>
          <w:p w14:paraId="616DE27B"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0.00137</w:t>
            </w:r>
            <w:r>
              <w:rPr>
                <w:szCs w:val="24"/>
                <w:vertAlign w:val="superscript"/>
                <w:lang w:val="en-US"/>
              </w:rPr>
              <w:t>***</w:t>
            </w:r>
          </w:p>
        </w:tc>
        <w:tc>
          <w:tcPr>
            <w:tcW w:w="1774" w:type="dxa"/>
            <w:tcBorders>
              <w:top w:val="single" w:sz="4" w:space="0" w:color="auto"/>
              <w:left w:val="nil"/>
              <w:bottom w:val="nil"/>
              <w:right w:val="nil"/>
            </w:tcBorders>
          </w:tcPr>
          <w:p w14:paraId="4F967448"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0.00137</w:t>
            </w:r>
            <w:r>
              <w:rPr>
                <w:szCs w:val="24"/>
                <w:vertAlign w:val="superscript"/>
                <w:lang w:val="en-US"/>
              </w:rPr>
              <w:t>***</w:t>
            </w:r>
          </w:p>
        </w:tc>
        <w:tc>
          <w:tcPr>
            <w:tcW w:w="1695" w:type="dxa"/>
            <w:tcBorders>
              <w:top w:val="single" w:sz="4" w:space="0" w:color="auto"/>
              <w:left w:val="nil"/>
              <w:bottom w:val="nil"/>
              <w:right w:val="nil"/>
            </w:tcBorders>
          </w:tcPr>
          <w:p w14:paraId="59F7C1B3"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0.00137</w:t>
            </w:r>
            <w:r>
              <w:rPr>
                <w:szCs w:val="24"/>
                <w:vertAlign w:val="superscript"/>
                <w:lang w:val="en-US"/>
              </w:rPr>
              <w:t>***</w:t>
            </w:r>
          </w:p>
        </w:tc>
      </w:tr>
      <w:tr w:rsidR="00FC40B7" w:rsidRPr="003935C0" w14:paraId="675C4886" w14:textId="77777777" w:rsidTr="00A04B26">
        <w:trPr>
          <w:trHeight w:val="164"/>
        </w:trPr>
        <w:tc>
          <w:tcPr>
            <w:tcW w:w="6640" w:type="dxa"/>
            <w:tcBorders>
              <w:top w:val="nil"/>
              <w:left w:val="nil"/>
              <w:bottom w:val="nil"/>
              <w:right w:val="nil"/>
            </w:tcBorders>
          </w:tcPr>
          <w:p w14:paraId="6B2E1845"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62660A8C"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(0.000521)</w:t>
            </w:r>
          </w:p>
        </w:tc>
        <w:tc>
          <w:tcPr>
            <w:tcW w:w="1938" w:type="dxa"/>
            <w:tcBorders>
              <w:top w:val="nil"/>
              <w:left w:val="nil"/>
              <w:bottom w:val="nil"/>
              <w:right w:val="nil"/>
            </w:tcBorders>
          </w:tcPr>
          <w:p w14:paraId="7FAF83E2"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(0.000522)</w:t>
            </w:r>
          </w:p>
        </w:tc>
        <w:tc>
          <w:tcPr>
            <w:tcW w:w="1774" w:type="dxa"/>
            <w:tcBorders>
              <w:top w:val="nil"/>
              <w:left w:val="nil"/>
              <w:bottom w:val="nil"/>
              <w:right w:val="nil"/>
            </w:tcBorders>
          </w:tcPr>
          <w:p w14:paraId="0B636BF1"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(0.000522)</w:t>
            </w:r>
          </w:p>
        </w:tc>
        <w:tc>
          <w:tcPr>
            <w:tcW w:w="1695" w:type="dxa"/>
            <w:tcBorders>
              <w:top w:val="nil"/>
              <w:left w:val="nil"/>
              <w:bottom w:val="nil"/>
              <w:right w:val="nil"/>
            </w:tcBorders>
          </w:tcPr>
          <w:p w14:paraId="0030B354"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(0.000522)</w:t>
            </w:r>
          </w:p>
        </w:tc>
      </w:tr>
      <w:tr w:rsidR="00FC40B7" w:rsidRPr="003935C0" w14:paraId="66140671" w14:textId="77777777" w:rsidTr="00A04B26">
        <w:trPr>
          <w:trHeight w:val="202"/>
        </w:trPr>
        <w:tc>
          <w:tcPr>
            <w:tcW w:w="6640" w:type="dxa"/>
            <w:tcBorders>
              <w:top w:val="nil"/>
              <w:left w:val="nil"/>
              <w:bottom w:val="nil"/>
              <w:right w:val="nil"/>
            </w:tcBorders>
          </w:tcPr>
          <w:p w14:paraId="5A57208F"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5B88FB0B" w14:textId="77777777" w:rsidR="00FC40B7" w:rsidRDefault="00FC40B7" w:rsidP="00A04B26">
            <w:pPr>
              <w:widowControl w:val="0"/>
              <w:autoSpaceDE w:val="0"/>
              <w:autoSpaceDN w:val="0"/>
              <w:adjustRightInd w:val="0"/>
              <w:spacing w:line="240" w:lineRule="auto"/>
              <w:rPr>
                <w:szCs w:val="24"/>
                <w:lang w:val="en-US"/>
              </w:rPr>
            </w:pPr>
          </w:p>
        </w:tc>
        <w:tc>
          <w:tcPr>
            <w:tcW w:w="1938" w:type="dxa"/>
            <w:tcBorders>
              <w:top w:val="nil"/>
              <w:left w:val="nil"/>
              <w:bottom w:val="nil"/>
              <w:right w:val="nil"/>
            </w:tcBorders>
          </w:tcPr>
          <w:p w14:paraId="3113C0D2" w14:textId="77777777" w:rsidR="00FC40B7" w:rsidRDefault="00FC40B7" w:rsidP="00A04B26">
            <w:pPr>
              <w:widowControl w:val="0"/>
              <w:autoSpaceDE w:val="0"/>
              <w:autoSpaceDN w:val="0"/>
              <w:adjustRightInd w:val="0"/>
              <w:spacing w:line="240" w:lineRule="auto"/>
              <w:rPr>
                <w:szCs w:val="24"/>
                <w:lang w:val="en-US"/>
              </w:rPr>
            </w:pPr>
          </w:p>
        </w:tc>
        <w:tc>
          <w:tcPr>
            <w:tcW w:w="1774" w:type="dxa"/>
            <w:tcBorders>
              <w:top w:val="nil"/>
              <w:left w:val="nil"/>
              <w:bottom w:val="nil"/>
              <w:right w:val="nil"/>
            </w:tcBorders>
          </w:tcPr>
          <w:p w14:paraId="5DD8FA60" w14:textId="77777777" w:rsidR="00FC40B7" w:rsidRDefault="00FC40B7" w:rsidP="00A04B26">
            <w:pPr>
              <w:widowControl w:val="0"/>
              <w:autoSpaceDE w:val="0"/>
              <w:autoSpaceDN w:val="0"/>
              <w:adjustRightInd w:val="0"/>
              <w:spacing w:line="240" w:lineRule="auto"/>
              <w:rPr>
                <w:szCs w:val="24"/>
                <w:lang w:val="en-US"/>
              </w:rPr>
            </w:pPr>
          </w:p>
        </w:tc>
        <w:tc>
          <w:tcPr>
            <w:tcW w:w="1695" w:type="dxa"/>
            <w:tcBorders>
              <w:top w:val="nil"/>
              <w:left w:val="nil"/>
              <w:bottom w:val="nil"/>
              <w:right w:val="nil"/>
            </w:tcBorders>
          </w:tcPr>
          <w:p w14:paraId="680A16A8" w14:textId="77777777" w:rsidR="00FC40B7" w:rsidRDefault="00FC40B7" w:rsidP="00A04B26">
            <w:pPr>
              <w:widowControl w:val="0"/>
              <w:autoSpaceDE w:val="0"/>
              <w:autoSpaceDN w:val="0"/>
              <w:adjustRightInd w:val="0"/>
              <w:spacing w:line="240" w:lineRule="auto"/>
              <w:rPr>
                <w:szCs w:val="24"/>
                <w:lang w:val="en-US"/>
              </w:rPr>
            </w:pPr>
          </w:p>
        </w:tc>
      </w:tr>
      <w:tr w:rsidR="00FC40B7" w:rsidRPr="003935C0" w14:paraId="3C4B7545" w14:textId="77777777" w:rsidTr="00A04B26">
        <w:trPr>
          <w:trHeight w:val="202"/>
        </w:trPr>
        <w:tc>
          <w:tcPr>
            <w:tcW w:w="6640" w:type="dxa"/>
            <w:tcBorders>
              <w:top w:val="nil"/>
              <w:left w:val="nil"/>
              <w:bottom w:val="nil"/>
              <w:right w:val="nil"/>
            </w:tcBorders>
          </w:tcPr>
          <w:p w14:paraId="29480DF8"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VIX</w:t>
            </w:r>
          </w:p>
        </w:tc>
        <w:tc>
          <w:tcPr>
            <w:tcW w:w="1800" w:type="dxa"/>
            <w:tcBorders>
              <w:top w:val="nil"/>
              <w:left w:val="nil"/>
              <w:bottom w:val="nil"/>
              <w:right w:val="nil"/>
            </w:tcBorders>
          </w:tcPr>
          <w:p w14:paraId="4C4CB2AB"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-0.0119</w:t>
            </w:r>
            <w:r>
              <w:rPr>
                <w:szCs w:val="24"/>
                <w:vertAlign w:val="superscript"/>
                <w:lang w:val="en-US"/>
              </w:rPr>
              <w:t>***</w:t>
            </w:r>
          </w:p>
        </w:tc>
        <w:tc>
          <w:tcPr>
            <w:tcW w:w="1938" w:type="dxa"/>
            <w:tcBorders>
              <w:top w:val="nil"/>
              <w:left w:val="nil"/>
              <w:bottom w:val="nil"/>
              <w:right w:val="nil"/>
            </w:tcBorders>
          </w:tcPr>
          <w:p w14:paraId="356F2037"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-0.0116</w:t>
            </w:r>
            <w:r>
              <w:rPr>
                <w:szCs w:val="24"/>
                <w:vertAlign w:val="superscript"/>
                <w:lang w:val="en-US"/>
              </w:rPr>
              <w:t>***</w:t>
            </w:r>
          </w:p>
        </w:tc>
        <w:tc>
          <w:tcPr>
            <w:tcW w:w="1774" w:type="dxa"/>
            <w:tcBorders>
              <w:top w:val="nil"/>
              <w:left w:val="nil"/>
              <w:bottom w:val="nil"/>
              <w:right w:val="nil"/>
            </w:tcBorders>
          </w:tcPr>
          <w:p w14:paraId="0333AC82"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-0.0116</w:t>
            </w:r>
            <w:r>
              <w:rPr>
                <w:szCs w:val="24"/>
                <w:vertAlign w:val="superscript"/>
                <w:lang w:val="en-US"/>
              </w:rPr>
              <w:t>***</w:t>
            </w:r>
          </w:p>
        </w:tc>
        <w:tc>
          <w:tcPr>
            <w:tcW w:w="1695" w:type="dxa"/>
            <w:tcBorders>
              <w:top w:val="nil"/>
              <w:left w:val="nil"/>
              <w:bottom w:val="nil"/>
              <w:right w:val="nil"/>
            </w:tcBorders>
          </w:tcPr>
          <w:p w14:paraId="706DB87D"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-0.0115</w:t>
            </w:r>
            <w:r>
              <w:rPr>
                <w:szCs w:val="24"/>
                <w:vertAlign w:val="superscript"/>
                <w:lang w:val="en-US"/>
              </w:rPr>
              <w:t>***</w:t>
            </w:r>
          </w:p>
        </w:tc>
      </w:tr>
      <w:tr w:rsidR="00FC40B7" w:rsidRPr="003935C0" w14:paraId="26E98335" w14:textId="77777777" w:rsidTr="00A04B26">
        <w:trPr>
          <w:trHeight w:val="187"/>
        </w:trPr>
        <w:tc>
          <w:tcPr>
            <w:tcW w:w="6640" w:type="dxa"/>
            <w:tcBorders>
              <w:top w:val="nil"/>
              <w:left w:val="nil"/>
              <w:bottom w:val="nil"/>
              <w:right w:val="nil"/>
            </w:tcBorders>
          </w:tcPr>
          <w:p w14:paraId="35DEAB2A"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3A592E98"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(0.00432)</w:t>
            </w:r>
          </w:p>
        </w:tc>
        <w:tc>
          <w:tcPr>
            <w:tcW w:w="1938" w:type="dxa"/>
            <w:tcBorders>
              <w:top w:val="nil"/>
              <w:left w:val="nil"/>
              <w:bottom w:val="nil"/>
              <w:right w:val="nil"/>
            </w:tcBorders>
          </w:tcPr>
          <w:p w14:paraId="0A5D49E0"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(0.00429)</w:t>
            </w:r>
          </w:p>
        </w:tc>
        <w:tc>
          <w:tcPr>
            <w:tcW w:w="1774" w:type="dxa"/>
            <w:tcBorders>
              <w:top w:val="nil"/>
              <w:left w:val="nil"/>
              <w:bottom w:val="nil"/>
              <w:right w:val="nil"/>
            </w:tcBorders>
          </w:tcPr>
          <w:p w14:paraId="37E7C2E2"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(0.00429)</w:t>
            </w:r>
          </w:p>
        </w:tc>
        <w:tc>
          <w:tcPr>
            <w:tcW w:w="1695" w:type="dxa"/>
            <w:tcBorders>
              <w:top w:val="nil"/>
              <w:left w:val="nil"/>
              <w:bottom w:val="nil"/>
              <w:right w:val="nil"/>
            </w:tcBorders>
          </w:tcPr>
          <w:p w14:paraId="512C2DE5"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(0.00435)</w:t>
            </w:r>
          </w:p>
        </w:tc>
      </w:tr>
      <w:tr w:rsidR="00FC40B7" w:rsidRPr="003935C0" w14:paraId="622B2B53" w14:textId="77777777" w:rsidTr="00A04B26">
        <w:trPr>
          <w:trHeight w:val="202"/>
        </w:trPr>
        <w:tc>
          <w:tcPr>
            <w:tcW w:w="6640" w:type="dxa"/>
            <w:tcBorders>
              <w:top w:val="nil"/>
              <w:left w:val="nil"/>
              <w:bottom w:val="nil"/>
              <w:right w:val="nil"/>
            </w:tcBorders>
          </w:tcPr>
          <w:p w14:paraId="675B5A00"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3698925C" w14:textId="77777777" w:rsidR="00FC40B7" w:rsidRDefault="00FC40B7" w:rsidP="00A04B26">
            <w:pPr>
              <w:widowControl w:val="0"/>
              <w:autoSpaceDE w:val="0"/>
              <w:autoSpaceDN w:val="0"/>
              <w:adjustRightInd w:val="0"/>
              <w:spacing w:line="240" w:lineRule="auto"/>
              <w:rPr>
                <w:szCs w:val="24"/>
                <w:lang w:val="en-US"/>
              </w:rPr>
            </w:pPr>
          </w:p>
        </w:tc>
        <w:tc>
          <w:tcPr>
            <w:tcW w:w="1938" w:type="dxa"/>
            <w:tcBorders>
              <w:top w:val="nil"/>
              <w:left w:val="nil"/>
              <w:bottom w:val="nil"/>
              <w:right w:val="nil"/>
            </w:tcBorders>
          </w:tcPr>
          <w:p w14:paraId="16339D87" w14:textId="77777777" w:rsidR="00FC40B7" w:rsidRDefault="00FC40B7" w:rsidP="00A04B26">
            <w:pPr>
              <w:widowControl w:val="0"/>
              <w:autoSpaceDE w:val="0"/>
              <w:autoSpaceDN w:val="0"/>
              <w:adjustRightInd w:val="0"/>
              <w:spacing w:line="240" w:lineRule="auto"/>
              <w:rPr>
                <w:szCs w:val="24"/>
                <w:lang w:val="en-US"/>
              </w:rPr>
            </w:pPr>
          </w:p>
        </w:tc>
        <w:tc>
          <w:tcPr>
            <w:tcW w:w="1774" w:type="dxa"/>
            <w:tcBorders>
              <w:top w:val="nil"/>
              <w:left w:val="nil"/>
              <w:bottom w:val="nil"/>
              <w:right w:val="nil"/>
            </w:tcBorders>
          </w:tcPr>
          <w:p w14:paraId="552F102B" w14:textId="77777777" w:rsidR="00FC40B7" w:rsidRDefault="00FC40B7" w:rsidP="00A04B26">
            <w:pPr>
              <w:widowControl w:val="0"/>
              <w:autoSpaceDE w:val="0"/>
              <w:autoSpaceDN w:val="0"/>
              <w:adjustRightInd w:val="0"/>
              <w:spacing w:line="240" w:lineRule="auto"/>
              <w:rPr>
                <w:szCs w:val="24"/>
                <w:lang w:val="en-US"/>
              </w:rPr>
            </w:pPr>
          </w:p>
        </w:tc>
        <w:tc>
          <w:tcPr>
            <w:tcW w:w="1695" w:type="dxa"/>
            <w:tcBorders>
              <w:top w:val="nil"/>
              <w:left w:val="nil"/>
              <w:bottom w:val="nil"/>
              <w:right w:val="nil"/>
            </w:tcBorders>
          </w:tcPr>
          <w:p w14:paraId="098C3072" w14:textId="77777777" w:rsidR="00FC40B7" w:rsidRDefault="00FC40B7" w:rsidP="00A04B26">
            <w:pPr>
              <w:widowControl w:val="0"/>
              <w:autoSpaceDE w:val="0"/>
              <w:autoSpaceDN w:val="0"/>
              <w:adjustRightInd w:val="0"/>
              <w:spacing w:line="240" w:lineRule="auto"/>
              <w:rPr>
                <w:szCs w:val="24"/>
                <w:lang w:val="en-US"/>
              </w:rPr>
            </w:pPr>
          </w:p>
        </w:tc>
      </w:tr>
      <w:tr w:rsidR="00FC40B7" w:rsidRPr="003935C0" w14:paraId="190CFA8F" w14:textId="77777777" w:rsidTr="00A04B26">
        <w:trPr>
          <w:trHeight w:val="202"/>
        </w:trPr>
        <w:tc>
          <w:tcPr>
            <w:tcW w:w="6640" w:type="dxa"/>
            <w:tcBorders>
              <w:top w:val="nil"/>
              <w:left w:val="nil"/>
              <w:bottom w:val="nil"/>
              <w:right w:val="nil"/>
            </w:tcBorders>
          </w:tcPr>
          <w:p w14:paraId="2D2A0BE9"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EPU</w:t>
            </w:r>
          </w:p>
        </w:tc>
        <w:tc>
          <w:tcPr>
            <w:tcW w:w="1800" w:type="dxa"/>
            <w:tcBorders>
              <w:top w:val="nil"/>
              <w:left w:val="nil"/>
              <w:bottom w:val="nil"/>
              <w:right w:val="nil"/>
            </w:tcBorders>
          </w:tcPr>
          <w:p w14:paraId="4117ADAE"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0.00170</w:t>
            </w:r>
          </w:p>
        </w:tc>
        <w:tc>
          <w:tcPr>
            <w:tcW w:w="1938" w:type="dxa"/>
            <w:tcBorders>
              <w:top w:val="nil"/>
              <w:left w:val="nil"/>
              <w:bottom w:val="nil"/>
              <w:right w:val="nil"/>
            </w:tcBorders>
          </w:tcPr>
          <w:p w14:paraId="446EC35A"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0.00164</w:t>
            </w:r>
          </w:p>
        </w:tc>
        <w:tc>
          <w:tcPr>
            <w:tcW w:w="1774" w:type="dxa"/>
            <w:tcBorders>
              <w:top w:val="nil"/>
              <w:left w:val="nil"/>
              <w:bottom w:val="nil"/>
              <w:right w:val="nil"/>
            </w:tcBorders>
          </w:tcPr>
          <w:p w14:paraId="6849370C"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0.00167</w:t>
            </w:r>
          </w:p>
        </w:tc>
        <w:tc>
          <w:tcPr>
            <w:tcW w:w="1695" w:type="dxa"/>
            <w:tcBorders>
              <w:top w:val="nil"/>
              <w:left w:val="nil"/>
              <w:bottom w:val="nil"/>
              <w:right w:val="nil"/>
            </w:tcBorders>
          </w:tcPr>
          <w:p w14:paraId="5BD1C204"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0.00164</w:t>
            </w:r>
          </w:p>
        </w:tc>
      </w:tr>
      <w:tr w:rsidR="00FC40B7" w:rsidRPr="003935C0" w14:paraId="4432FFE9" w14:textId="77777777" w:rsidTr="00A04B26">
        <w:trPr>
          <w:trHeight w:val="202"/>
        </w:trPr>
        <w:tc>
          <w:tcPr>
            <w:tcW w:w="6640" w:type="dxa"/>
            <w:tcBorders>
              <w:top w:val="nil"/>
              <w:left w:val="nil"/>
              <w:bottom w:val="nil"/>
              <w:right w:val="nil"/>
            </w:tcBorders>
          </w:tcPr>
          <w:p w14:paraId="21F4F108"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4CCF7268"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(0.00198)</w:t>
            </w:r>
          </w:p>
        </w:tc>
        <w:tc>
          <w:tcPr>
            <w:tcW w:w="1938" w:type="dxa"/>
            <w:tcBorders>
              <w:top w:val="nil"/>
              <w:left w:val="nil"/>
              <w:bottom w:val="nil"/>
              <w:right w:val="nil"/>
            </w:tcBorders>
          </w:tcPr>
          <w:p w14:paraId="4D64E9F4"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(0.00197)</w:t>
            </w:r>
          </w:p>
        </w:tc>
        <w:tc>
          <w:tcPr>
            <w:tcW w:w="1774" w:type="dxa"/>
            <w:tcBorders>
              <w:top w:val="nil"/>
              <w:left w:val="nil"/>
              <w:bottom w:val="nil"/>
              <w:right w:val="nil"/>
            </w:tcBorders>
          </w:tcPr>
          <w:p w14:paraId="33701E3E"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(0.00197)</w:t>
            </w:r>
          </w:p>
        </w:tc>
        <w:tc>
          <w:tcPr>
            <w:tcW w:w="1695" w:type="dxa"/>
            <w:tcBorders>
              <w:top w:val="nil"/>
              <w:left w:val="nil"/>
              <w:bottom w:val="nil"/>
              <w:right w:val="nil"/>
            </w:tcBorders>
          </w:tcPr>
          <w:p w14:paraId="6F44F9E0"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(0.00197)</w:t>
            </w:r>
          </w:p>
        </w:tc>
      </w:tr>
      <w:tr w:rsidR="00FC40B7" w:rsidRPr="003935C0" w14:paraId="7239452B" w14:textId="77777777" w:rsidTr="00A04B26">
        <w:trPr>
          <w:trHeight w:val="202"/>
        </w:trPr>
        <w:tc>
          <w:tcPr>
            <w:tcW w:w="6640" w:type="dxa"/>
            <w:tcBorders>
              <w:top w:val="nil"/>
              <w:left w:val="nil"/>
              <w:bottom w:val="nil"/>
              <w:right w:val="nil"/>
            </w:tcBorders>
          </w:tcPr>
          <w:p w14:paraId="73905918"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03B6EA8E" w14:textId="77777777" w:rsidR="00FC40B7" w:rsidRDefault="00FC40B7" w:rsidP="00A04B26">
            <w:pPr>
              <w:widowControl w:val="0"/>
              <w:autoSpaceDE w:val="0"/>
              <w:autoSpaceDN w:val="0"/>
              <w:adjustRightInd w:val="0"/>
              <w:spacing w:line="240" w:lineRule="auto"/>
              <w:rPr>
                <w:szCs w:val="24"/>
                <w:lang w:val="en-US"/>
              </w:rPr>
            </w:pPr>
          </w:p>
        </w:tc>
        <w:tc>
          <w:tcPr>
            <w:tcW w:w="1938" w:type="dxa"/>
            <w:tcBorders>
              <w:top w:val="nil"/>
              <w:left w:val="nil"/>
              <w:bottom w:val="nil"/>
              <w:right w:val="nil"/>
            </w:tcBorders>
          </w:tcPr>
          <w:p w14:paraId="1B50EE61" w14:textId="77777777" w:rsidR="00FC40B7" w:rsidRDefault="00FC40B7" w:rsidP="00A04B26">
            <w:pPr>
              <w:widowControl w:val="0"/>
              <w:autoSpaceDE w:val="0"/>
              <w:autoSpaceDN w:val="0"/>
              <w:adjustRightInd w:val="0"/>
              <w:spacing w:line="240" w:lineRule="auto"/>
              <w:rPr>
                <w:szCs w:val="24"/>
                <w:lang w:val="en-US"/>
              </w:rPr>
            </w:pPr>
          </w:p>
        </w:tc>
        <w:tc>
          <w:tcPr>
            <w:tcW w:w="1774" w:type="dxa"/>
            <w:tcBorders>
              <w:top w:val="nil"/>
              <w:left w:val="nil"/>
              <w:bottom w:val="nil"/>
              <w:right w:val="nil"/>
            </w:tcBorders>
          </w:tcPr>
          <w:p w14:paraId="0AD5B9D6" w14:textId="77777777" w:rsidR="00FC40B7" w:rsidRDefault="00FC40B7" w:rsidP="00A04B26">
            <w:pPr>
              <w:widowControl w:val="0"/>
              <w:autoSpaceDE w:val="0"/>
              <w:autoSpaceDN w:val="0"/>
              <w:adjustRightInd w:val="0"/>
              <w:spacing w:line="240" w:lineRule="auto"/>
              <w:rPr>
                <w:szCs w:val="24"/>
                <w:lang w:val="en-US"/>
              </w:rPr>
            </w:pPr>
          </w:p>
        </w:tc>
        <w:tc>
          <w:tcPr>
            <w:tcW w:w="1695" w:type="dxa"/>
            <w:tcBorders>
              <w:top w:val="nil"/>
              <w:left w:val="nil"/>
              <w:bottom w:val="nil"/>
              <w:right w:val="nil"/>
            </w:tcBorders>
          </w:tcPr>
          <w:p w14:paraId="4446FBDE" w14:textId="77777777" w:rsidR="00FC40B7" w:rsidRDefault="00FC40B7" w:rsidP="00A04B26">
            <w:pPr>
              <w:widowControl w:val="0"/>
              <w:autoSpaceDE w:val="0"/>
              <w:autoSpaceDN w:val="0"/>
              <w:adjustRightInd w:val="0"/>
              <w:spacing w:line="240" w:lineRule="auto"/>
              <w:rPr>
                <w:szCs w:val="24"/>
                <w:lang w:val="en-US"/>
              </w:rPr>
            </w:pPr>
          </w:p>
        </w:tc>
      </w:tr>
      <w:tr w:rsidR="00FC40B7" w:rsidRPr="003935C0" w14:paraId="68F3AFAD" w14:textId="77777777" w:rsidTr="00A04B26">
        <w:trPr>
          <w:trHeight w:val="202"/>
        </w:trPr>
        <w:tc>
          <w:tcPr>
            <w:tcW w:w="6640" w:type="dxa"/>
            <w:tcBorders>
              <w:top w:val="nil"/>
              <w:left w:val="nil"/>
              <w:bottom w:val="nil"/>
              <w:right w:val="nil"/>
            </w:tcBorders>
          </w:tcPr>
          <w:p w14:paraId="1A1F7471" w14:textId="77777777" w:rsidR="00FC40B7" w:rsidRPr="006C59AD" w:rsidRDefault="00FC40B7" w:rsidP="00A04B26">
            <w:pPr>
              <w:widowControl w:val="0"/>
              <w:autoSpaceDE w:val="0"/>
              <w:autoSpaceDN w:val="0"/>
              <w:adjustRightInd w:val="0"/>
              <w:spacing w:line="240" w:lineRule="auto"/>
              <w:jc w:val="left"/>
              <w:rPr>
                <w:rFonts w:eastAsia="Calibri"/>
                <w:szCs w:val="24"/>
                <w:lang w:val="en-US" w:eastAsia="en-US"/>
              </w:rPr>
            </w:pPr>
            <w:r w:rsidRPr="006C59AD">
              <w:rPr>
                <w:rFonts w:eastAsia="Calibri"/>
                <w:szCs w:val="24"/>
                <w:lang w:val="en-US" w:eastAsia="en-US"/>
              </w:rPr>
              <w:t>MSCI I</w:t>
            </w:r>
            <w:r>
              <w:rPr>
                <w:rFonts w:eastAsia="Calibri"/>
                <w:szCs w:val="24"/>
                <w:lang w:val="en-US" w:eastAsia="en-US"/>
              </w:rPr>
              <w:t xml:space="preserve">nformation </w:t>
            </w:r>
            <w:r w:rsidRPr="006C59AD">
              <w:rPr>
                <w:rFonts w:eastAsia="Calibri"/>
                <w:szCs w:val="24"/>
                <w:lang w:val="en-US" w:eastAsia="en-US"/>
              </w:rPr>
              <w:t>T</w:t>
            </w:r>
            <w:r>
              <w:rPr>
                <w:rFonts w:eastAsia="Calibri"/>
                <w:szCs w:val="24"/>
                <w:lang w:val="en-US" w:eastAsia="en-US"/>
              </w:rPr>
              <w:t>echnology</w:t>
            </w:r>
            <w:r w:rsidRPr="006C59AD">
              <w:rPr>
                <w:rFonts w:eastAsia="Calibri"/>
                <w:szCs w:val="24"/>
                <w:lang w:val="en-US" w:eastAsia="en-US"/>
              </w:rPr>
              <w:t xml:space="preserve"> </w:t>
            </w:r>
            <w:r>
              <w:rPr>
                <w:rFonts w:eastAsia="Calibri"/>
                <w:szCs w:val="24"/>
                <w:lang w:val="en-US" w:eastAsia="en-US"/>
              </w:rPr>
              <w:t>Return</w:t>
            </w:r>
            <w:r w:rsidRPr="006C59AD">
              <w:rPr>
                <w:rFonts w:eastAsia="Calibri"/>
                <w:szCs w:val="24"/>
                <w:lang w:val="en-US" w:eastAsia="en-US"/>
              </w:rPr>
              <w:t xml:space="preserve"> </w:t>
            </w:r>
          </w:p>
        </w:tc>
        <w:tc>
          <w:tcPr>
            <w:tcW w:w="1800" w:type="dxa"/>
            <w:tcBorders>
              <w:top w:val="nil"/>
              <w:left w:val="nil"/>
              <w:bottom w:val="nil"/>
              <w:right w:val="nil"/>
            </w:tcBorders>
          </w:tcPr>
          <w:p w14:paraId="43C2C33B"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-0.00784</w:t>
            </w:r>
          </w:p>
        </w:tc>
        <w:tc>
          <w:tcPr>
            <w:tcW w:w="1938" w:type="dxa"/>
            <w:tcBorders>
              <w:top w:val="nil"/>
              <w:left w:val="nil"/>
              <w:bottom w:val="nil"/>
              <w:right w:val="nil"/>
            </w:tcBorders>
          </w:tcPr>
          <w:p w14:paraId="21C88068" w14:textId="77777777" w:rsidR="00FC40B7" w:rsidRDefault="00FC40B7" w:rsidP="00A04B26">
            <w:pPr>
              <w:widowControl w:val="0"/>
              <w:autoSpaceDE w:val="0"/>
              <w:autoSpaceDN w:val="0"/>
              <w:adjustRightInd w:val="0"/>
              <w:spacing w:line="240" w:lineRule="auto"/>
              <w:jc w:val="center"/>
              <w:rPr>
                <w:szCs w:val="24"/>
                <w:lang w:val="en-US"/>
              </w:rPr>
            </w:pPr>
          </w:p>
        </w:tc>
        <w:tc>
          <w:tcPr>
            <w:tcW w:w="1774" w:type="dxa"/>
            <w:tcBorders>
              <w:top w:val="nil"/>
              <w:left w:val="nil"/>
              <w:bottom w:val="nil"/>
              <w:right w:val="nil"/>
            </w:tcBorders>
          </w:tcPr>
          <w:p w14:paraId="23F2E4AF" w14:textId="77777777" w:rsidR="00FC40B7" w:rsidRDefault="00FC40B7" w:rsidP="00A04B26">
            <w:pPr>
              <w:widowControl w:val="0"/>
              <w:autoSpaceDE w:val="0"/>
              <w:autoSpaceDN w:val="0"/>
              <w:adjustRightInd w:val="0"/>
              <w:spacing w:line="240" w:lineRule="auto"/>
              <w:jc w:val="center"/>
              <w:rPr>
                <w:szCs w:val="24"/>
                <w:lang w:val="en-US"/>
              </w:rPr>
            </w:pPr>
          </w:p>
        </w:tc>
        <w:tc>
          <w:tcPr>
            <w:tcW w:w="1695" w:type="dxa"/>
            <w:tcBorders>
              <w:top w:val="nil"/>
              <w:left w:val="nil"/>
              <w:bottom w:val="nil"/>
              <w:right w:val="nil"/>
            </w:tcBorders>
          </w:tcPr>
          <w:p w14:paraId="383BCB51" w14:textId="77777777" w:rsidR="00FC40B7" w:rsidRDefault="00FC40B7" w:rsidP="00A04B26">
            <w:pPr>
              <w:widowControl w:val="0"/>
              <w:autoSpaceDE w:val="0"/>
              <w:autoSpaceDN w:val="0"/>
              <w:adjustRightInd w:val="0"/>
              <w:spacing w:line="240" w:lineRule="auto"/>
              <w:jc w:val="center"/>
              <w:rPr>
                <w:szCs w:val="24"/>
                <w:lang w:val="en-US"/>
              </w:rPr>
            </w:pPr>
          </w:p>
        </w:tc>
      </w:tr>
      <w:tr w:rsidR="00FC40B7" w:rsidRPr="003935C0" w14:paraId="2E5070CF" w14:textId="77777777" w:rsidTr="00A04B26">
        <w:trPr>
          <w:trHeight w:val="187"/>
        </w:trPr>
        <w:tc>
          <w:tcPr>
            <w:tcW w:w="6640" w:type="dxa"/>
            <w:tcBorders>
              <w:top w:val="nil"/>
              <w:left w:val="nil"/>
              <w:bottom w:val="nil"/>
              <w:right w:val="nil"/>
            </w:tcBorders>
          </w:tcPr>
          <w:p w14:paraId="67A7641A" w14:textId="77777777" w:rsidR="00FC40B7" w:rsidRPr="006C59AD" w:rsidRDefault="00FC40B7" w:rsidP="00A04B26">
            <w:pPr>
              <w:widowControl w:val="0"/>
              <w:autoSpaceDE w:val="0"/>
              <w:autoSpaceDN w:val="0"/>
              <w:adjustRightInd w:val="0"/>
              <w:spacing w:line="240" w:lineRule="auto"/>
              <w:jc w:val="left"/>
              <w:rPr>
                <w:rFonts w:eastAsia="Calibri"/>
                <w:szCs w:val="24"/>
                <w:lang w:val="en-US" w:eastAsia="en-US"/>
              </w:rPr>
            </w:pPr>
          </w:p>
        </w:tc>
        <w:tc>
          <w:tcPr>
            <w:tcW w:w="1800" w:type="dxa"/>
            <w:tcBorders>
              <w:top w:val="nil"/>
              <w:left w:val="nil"/>
              <w:bottom w:val="nil"/>
              <w:right w:val="nil"/>
            </w:tcBorders>
          </w:tcPr>
          <w:p w14:paraId="1BB814A3"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(0.120)</w:t>
            </w:r>
          </w:p>
        </w:tc>
        <w:tc>
          <w:tcPr>
            <w:tcW w:w="1938" w:type="dxa"/>
            <w:tcBorders>
              <w:top w:val="nil"/>
              <w:left w:val="nil"/>
              <w:bottom w:val="nil"/>
              <w:right w:val="nil"/>
            </w:tcBorders>
          </w:tcPr>
          <w:p w14:paraId="7FFC66DC" w14:textId="77777777" w:rsidR="00FC40B7" w:rsidRDefault="00FC40B7" w:rsidP="00A04B26">
            <w:pPr>
              <w:widowControl w:val="0"/>
              <w:autoSpaceDE w:val="0"/>
              <w:autoSpaceDN w:val="0"/>
              <w:adjustRightInd w:val="0"/>
              <w:spacing w:line="240" w:lineRule="auto"/>
              <w:jc w:val="center"/>
              <w:rPr>
                <w:szCs w:val="24"/>
                <w:lang w:val="en-US"/>
              </w:rPr>
            </w:pPr>
          </w:p>
        </w:tc>
        <w:tc>
          <w:tcPr>
            <w:tcW w:w="1774" w:type="dxa"/>
            <w:tcBorders>
              <w:top w:val="nil"/>
              <w:left w:val="nil"/>
              <w:bottom w:val="nil"/>
              <w:right w:val="nil"/>
            </w:tcBorders>
          </w:tcPr>
          <w:p w14:paraId="1103083A" w14:textId="77777777" w:rsidR="00FC40B7" w:rsidRDefault="00FC40B7" w:rsidP="00A04B26">
            <w:pPr>
              <w:widowControl w:val="0"/>
              <w:autoSpaceDE w:val="0"/>
              <w:autoSpaceDN w:val="0"/>
              <w:adjustRightInd w:val="0"/>
              <w:spacing w:line="240" w:lineRule="auto"/>
              <w:jc w:val="center"/>
              <w:rPr>
                <w:szCs w:val="24"/>
                <w:lang w:val="en-US"/>
              </w:rPr>
            </w:pPr>
          </w:p>
        </w:tc>
        <w:tc>
          <w:tcPr>
            <w:tcW w:w="1695" w:type="dxa"/>
            <w:tcBorders>
              <w:top w:val="nil"/>
              <w:left w:val="nil"/>
              <w:bottom w:val="nil"/>
              <w:right w:val="nil"/>
            </w:tcBorders>
          </w:tcPr>
          <w:p w14:paraId="3C5F47C0" w14:textId="77777777" w:rsidR="00FC40B7" w:rsidRDefault="00FC40B7" w:rsidP="00A04B26">
            <w:pPr>
              <w:widowControl w:val="0"/>
              <w:autoSpaceDE w:val="0"/>
              <w:autoSpaceDN w:val="0"/>
              <w:adjustRightInd w:val="0"/>
              <w:spacing w:line="240" w:lineRule="auto"/>
              <w:jc w:val="center"/>
              <w:rPr>
                <w:szCs w:val="24"/>
                <w:lang w:val="en-US"/>
              </w:rPr>
            </w:pPr>
          </w:p>
        </w:tc>
      </w:tr>
      <w:tr w:rsidR="00FC40B7" w:rsidRPr="003935C0" w14:paraId="24756DD0" w14:textId="77777777" w:rsidTr="00A04B26">
        <w:trPr>
          <w:trHeight w:val="202"/>
        </w:trPr>
        <w:tc>
          <w:tcPr>
            <w:tcW w:w="6640" w:type="dxa"/>
            <w:tcBorders>
              <w:top w:val="nil"/>
              <w:left w:val="nil"/>
              <w:bottom w:val="nil"/>
              <w:right w:val="nil"/>
            </w:tcBorders>
          </w:tcPr>
          <w:p w14:paraId="5F0489CB" w14:textId="77777777" w:rsidR="00FC40B7" w:rsidRPr="006C59AD" w:rsidRDefault="00FC40B7" w:rsidP="00A04B26">
            <w:pPr>
              <w:widowControl w:val="0"/>
              <w:autoSpaceDE w:val="0"/>
              <w:autoSpaceDN w:val="0"/>
              <w:adjustRightInd w:val="0"/>
              <w:spacing w:line="240" w:lineRule="auto"/>
              <w:jc w:val="left"/>
              <w:rPr>
                <w:rFonts w:eastAsia="Calibri"/>
                <w:szCs w:val="24"/>
                <w:lang w:val="en-US" w:eastAsia="en-US"/>
              </w:rPr>
            </w:pPr>
          </w:p>
        </w:tc>
        <w:tc>
          <w:tcPr>
            <w:tcW w:w="1800" w:type="dxa"/>
            <w:tcBorders>
              <w:top w:val="nil"/>
              <w:left w:val="nil"/>
              <w:bottom w:val="nil"/>
              <w:right w:val="nil"/>
            </w:tcBorders>
          </w:tcPr>
          <w:p w14:paraId="4C270D5B" w14:textId="77777777" w:rsidR="00FC40B7" w:rsidRDefault="00FC40B7" w:rsidP="00A04B26">
            <w:pPr>
              <w:widowControl w:val="0"/>
              <w:autoSpaceDE w:val="0"/>
              <w:autoSpaceDN w:val="0"/>
              <w:adjustRightInd w:val="0"/>
              <w:spacing w:line="240" w:lineRule="auto"/>
              <w:rPr>
                <w:szCs w:val="24"/>
                <w:lang w:val="en-US"/>
              </w:rPr>
            </w:pPr>
          </w:p>
        </w:tc>
        <w:tc>
          <w:tcPr>
            <w:tcW w:w="1938" w:type="dxa"/>
            <w:tcBorders>
              <w:top w:val="nil"/>
              <w:left w:val="nil"/>
              <w:bottom w:val="nil"/>
              <w:right w:val="nil"/>
            </w:tcBorders>
          </w:tcPr>
          <w:p w14:paraId="11384962" w14:textId="77777777" w:rsidR="00FC40B7" w:rsidRDefault="00FC40B7" w:rsidP="00A04B26">
            <w:pPr>
              <w:widowControl w:val="0"/>
              <w:autoSpaceDE w:val="0"/>
              <w:autoSpaceDN w:val="0"/>
              <w:adjustRightInd w:val="0"/>
              <w:spacing w:line="240" w:lineRule="auto"/>
              <w:rPr>
                <w:szCs w:val="24"/>
                <w:lang w:val="en-US"/>
              </w:rPr>
            </w:pPr>
          </w:p>
        </w:tc>
        <w:tc>
          <w:tcPr>
            <w:tcW w:w="1774" w:type="dxa"/>
            <w:tcBorders>
              <w:top w:val="nil"/>
              <w:left w:val="nil"/>
              <w:bottom w:val="nil"/>
              <w:right w:val="nil"/>
            </w:tcBorders>
          </w:tcPr>
          <w:p w14:paraId="3763E89A" w14:textId="77777777" w:rsidR="00FC40B7" w:rsidRDefault="00FC40B7" w:rsidP="00A04B26">
            <w:pPr>
              <w:widowControl w:val="0"/>
              <w:autoSpaceDE w:val="0"/>
              <w:autoSpaceDN w:val="0"/>
              <w:adjustRightInd w:val="0"/>
              <w:spacing w:line="240" w:lineRule="auto"/>
              <w:rPr>
                <w:szCs w:val="24"/>
                <w:lang w:val="en-US"/>
              </w:rPr>
            </w:pPr>
          </w:p>
        </w:tc>
        <w:tc>
          <w:tcPr>
            <w:tcW w:w="1695" w:type="dxa"/>
            <w:tcBorders>
              <w:top w:val="nil"/>
              <w:left w:val="nil"/>
              <w:bottom w:val="nil"/>
              <w:right w:val="nil"/>
            </w:tcBorders>
          </w:tcPr>
          <w:p w14:paraId="0EDF3809" w14:textId="77777777" w:rsidR="00FC40B7" w:rsidRDefault="00FC40B7" w:rsidP="00A04B26">
            <w:pPr>
              <w:widowControl w:val="0"/>
              <w:autoSpaceDE w:val="0"/>
              <w:autoSpaceDN w:val="0"/>
              <w:adjustRightInd w:val="0"/>
              <w:spacing w:line="240" w:lineRule="auto"/>
              <w:rPr>
                <w:szCs w:val="24"/>
                <w:lang w:val="en-US"/>
              </w:rPr>
            </w:pPr>
          </w:p>
        </w:tc>
      </w:tr>
      <w:tr w:rsidR="00FC40B7" w:rsidRPr="003935C0" w14:paraId="552EE196" w14:textId="77777777" w:rsidTr="00A04B26">
        <w:trPr>
          <w:trHeight w:val="202"/>
        </w:trPr>
        <w:tc>
          <w:tcPr>
            <w:tcW w:w="6640" w:type="dxa"/>
            <w:tcBorders>
              <w:top w:val="nil"/>
              <w:left w:val="nil"/>
              <w:bottom w:val="nil"/>
              <w:right w:val="nil"/>
            </w:tcBorders>
          </w:tcPr>
          <w:p w14:paraId="48029569" w14:textId="77777777" w:rsidR="00FC40B7" w:rsidRPr="006C59AD" w:rsidRDefault="00FC40B7" w:rsidP="00A04B26">
            <w:pPr>
              <w:widowControl w:val="0"/>
              <w:autoSpaceDE w:val="0"/>
              <w:autoSpaceDN w:val="0"/>
              <w:adjustRightInd w:val="0"/>
              <w:spacing w:line="240" w:lineRule="auto"/>
              <w:jc w:val="left"/>
              <w:rPr>
                <w:rFonts w:eastAsia="Calibri"/>
                <w:szCs w:val="24"/>
                <w:lang w:val="en-US" w:eastAsia="en-US"/>
              </w:rPr>
            </w:pPr>
            <w:r w:rsidRPr="006C59AD">
              <w:rPr>
                <w:rFonts w:eastAsia="Calibri"/>
                <w:szCs w:val="24"/>
                <w:lang w:val="en-US" w:eastAsia="en-US"/>
              </w:rPr>
              <w:t xml:space="preserve">MSCI World Energy </w:t>
            </w:r>
            <w:r>
              <w:rPr>
                <w:rFonts w:eastAsia="Calibri"/>
                <w:szCs w:val="24"/>
                <w:lang w:val="en-US" w:eastAsia="en-US"/>
              </w:rPr>
              <w:t>Return</w:t>
            </w:r>
            <w:r w:rsidRPr="006C59AD">
              <w:rPr>
                <w:rFonts w:eastAsia="Calibri"/>
                <w:szCs w:val="24"/>
                <w:lang w:val="en-US" w:eastAsia="en-US"/>
              </w:rPr>
              <w:t xml:space="preserve"> </w:t>
            </w:r>
          </w:p>
        </w:tc>
        <w:tc>
          <w:tcPr>
            <w:tcW w:w="1800" w:type="dxa"/>
            <w:tcBorders>
              <w:top w:val="nil"/>
              <w:left w:val="nil"/>
              <w:bottom w:val="nil"/>
              <w:right w:val="nil"/>
            </w:tcBorders>
          </w:tcPr>
          <w:p w14:paraId="262AB69C" w14:textId="77777777" w:rsidR="00FC40B7" w:rsidRDefault="00FC40B7" w:rsidP="00A04B26">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4FAC53DD"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0.0416</w:t>
            </w:r>
          </w:p>
        </w:tc>
        <w:tc>
          <w:tcPr>
            <w:tcW w:w="1774" w:type="dxa"/>
            <w:tcBorders>
              <w:top w:val="nil"/>
              <w:left w:val="nil"/>
              <w:bottom w:val="nil"/>
              <w:right w:val="nil"/>
            </w:tcBorders>
          </w:tcPr>
          <w:p w14:paraId="211A3348" w14:textId="77777777" w:rsidR="00FC40B7" w:rsidRDefault="00FC40B7" w:rsidP="00A04B26">
            <w:pPr>
              <w:widowControl w:val="0"/>
              <w:autoSpaceDE w:val="0"/>
              <w:autoSpaceDN w:val="0"/>
              <w:adjustRightInd w:val="0"/>
              <w:spacing w:line="240" w:lineRule="auto"/>
              <w:jc w:val="center"/>
              <w:rPr>
                <w:szCs w:val="24"/>
                <w:lang w:val="en-US"/>
              </w:rPr>
            </w:pPr>
          </w:p>
        </w:tc>
        <w:tc>
          <w:tcPr>
            <w:tcW w:w="1695" w:type="dxa"/>
            <w:tcBorders>
              <w:top w:val="nil"/>
              <w:left w:val="nil"/>
              <w:bottom w:val="nil"/>
              <w:right w:val="nil"/>
            </w:tcBorders>
          </w:tcPr>
          <w:p w14:paraId="052E1D83" w14:textId="77777777" w:rsidR="00FC40B7" w:rsidRDefault="00FC40B7" w:rsidP="00A04B26">
            <w:pPr>
              <w:widowControl w:val="0"/>
              <w:autoSpaceDE w:val="0"/>
              <w:autoSpaceDN w:val="0"/>
              <w:adjustRightInd w:val="0"/>
              <w:spacing w:line="240" w:lineRule="auto"/>
              <w:jc w:val="center"/>
              <w:rPr>
                <w:szCs w:val="24"/>
                <w:lang w:val="en-US"/>
              </w:rPr>
            </w:pPr>
          </w:p>
        </w:tc>
      </w:tr>
      <w:tr w:rsidR="00FC40B7" w:rsidRPr="003935C0" w14:paraId="53E9CB99" w14:textId="77777777" w:rsidTr="00A04B26">
        <w:trPr>
          <w:trHeight w:val="202"/>
        </w:trPr>
        <w:tc>
          <w:tcPr>
            <w:tcW w:w="6640" w:type="dxa"/>
            <w:tcBorders>
              <w:top w:val="nil"/>
              <w:left w:val="nil"/>
              <w:bottom w:val="nil"/>
              <w:right w:val="nil"/>
            </w:tcBorders>
          </w:tcPr>
          <w:p w14:paraId="02911DC6" w14:textId="77777777" w:rsidR="00FC40B7" w:rsidRPr="006C59AD" w:rsidRDefault="00FC40B7" w:rsidP="00A04B26">
            <w:pPr>
              <w:widowControl w:val="0"/>
              <w:autoSpaceDE w:val="0"/>
              <w:autoSpaceDN w:val="0"/>
              <w:adjustRightInd w:val="0"/>
              <w:spacing w:line="240" w:lineRule="auto"/>
              <w:jc w:val="left"/>
              <w:rPr>
                <w:rFonts w:eastAsia="Calibri"/>
                <w:szCs w:val="24"/>
                <w:lang w:val="en-US" w:eastAsia="en-US"/>
              </w:rPr>
            </w:pPr>
          </w:p>
        </w:tc>
        <w:tc>
          <w:tcPr>
            <w:tcW w:w="1800" w:type="dxa"/>
            <w:tcBorders>
              <w:top w:val="nil"/>
              <w:left w:val="nil"/>
              <w:bottom w:val="nil"/>
              <w:right w:val="nil"/>
            </w:tcBorders>
          </w:tcPr>
          <w:p w14:paraId="142FE616" w14:textId="77777777" w:rsidR="00FC40B7" w:rsidRDefault="00FC40B7" w:rsidP="00A04B26">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0C9A9378"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(0.0935)</w:t>
            </w:r>
          </w:p>
        </w:tc>
        <w:tc>
          <w:tcPr>
            <w:tcW w:w="1774" w:type="dxa"/>
            <w:tcBorders>
              <w:top w:val="nil"/>
              <w:left w:val="nil"/>
              <w:bottom w:val="nil"/>
              <w:right w:val="nil"/>
            </w:tcBorders>
          </w:tcPr>
          <w:p w14:paraId="211812ED" w14:textId="77777777" w:rsidR="00FC40B7" w:rsidRDefault="00FC40B7" w:rsidP="00A04B26">
            <w:pPr>
              <w:widowControl w:val="0"/>
              <w:autoSpaceDE w:val="0"/>
              <w:autoSpaceDN w:val="0"/>
              <w:adjustRightInd w:val="0"/>
              <w:spacing w:line="240" w:lineRule="auto"/>
              <w:jc w:val="center"/>
              <w:rPr>
                <w:szCs w:val="24"/>
                <w:lang w:val="en-US"/>
              </w:rPr>
            </w:pPr>
          </w:p>
        </w:tc>
        <w:tc>
          <w:tcPr>
            <w:tcW w:w="1695" w:type="dxa"/>
            <w:tcBorders>
              <w:top w:val="nil"/>
              <w:left w:val="nil"/>
              <w:bottom w:val="nil"/>
              <w:right w:val="nil"/>
            </w:tcBorders>
          </w:tcPr>
          <w:p w14:paraId="339AC7A5" w14:textId="77777777" w:rsidR="00FC40B7" w:rsidRDefault="00FC40B7" w:rsidP="00A04B26">
            <w:pPr>
              <w:widowControl w:val="0"/>
              <w:autoSpaceDE w:val="0"/>
              <w:autoSpaceDN w:val="0"/>
              <w:adjustRightInd w:val="0"/>
              <w:spacing w:line="240" w:lineRule="auto"/>
              <w:jc w:val="center"/>
              <w:rPr>
                <w:szCs w:val="24"/>
                <w:lang w:val="en-US"/>
              </w:rPr>
            </w:pPr>
          </w:p>
        </w:tc>
      </w:tr>
      <w:tr w:rsidR="00FC40B7" w:rsidRPr="003935C0" w14:paraId="6BD4223C" w14:textId="77777777" w:rsidTr="00A04B26">
        <w:trPr>
          <w:trHeight w:val="202"/>
        </w:trPr>
        <w:tc>
          <w:tcPr>
            <w:tcW w:w="6640" w:type="dxa"/>
            <w:tcBorders>
              <w:top w:val="nil"/>
              <w:left w:val="nil"/>
              <w:bottom w:val="nil"/>
              <w:right w:val="nil"/>
            </w:tcBorders>
          </w:tcPr>
          <w:p w14:paraId="4B34916F" w14:textId="77777777" w:rsidR="00FC40B7" w:rsidRPr="006C59AD" w:rsidRDefault="00FC40B7" w:rsidP="00A04B26">
            <w:pPr>
              <w:widowControl w:val="0"/>
              <w:autoSpaceDE w:val="0"/>
              <w:autoSpaceDN w:val="0"/>
              <w:adjustRightInd w:val="0"/>
              <w:spacing w:line="240" w:lineRule="auto"/>
              <w:jc w:val="left"/>
              <w:rPr>
                <w:rFonts w:eastAsia="Calibri"/>
                <w:szCs w:val="24"/>
                <w:lang w:val="en-US" w:eastAsia="en-US"/>
              </w:rPr>
            </w:pPr>
          </w:p>
        </w:tc>
        <w:tc>
          <w:tcPr>
            <w:tcW w:w="1800" w:type="dxa"/>
            <w:tcBorders>
              <w:top w:val="nil"/>
              <w:left w:val="nil"/>
              <w:bottom w:val="nil"/>
              <w:right w:val="nil"/>
            </w:tcBorders>
          </w:tcPr>
          <w:p w14:paraId="3ABC3BE5" w14:textId="77777777" w:rsidR="00FC40B7" w:rsidRDefault="00FC40B7" w:rsidP="00A04B26">
            <w:pPr>
              <w:widowControl w:val="0"/>
              <w:autoSpaceDE w:val="0"/>
              <w:autoSpaceDN w:val="0"/>
              <w:adjustRightInd w:val="0"/>
              <w:spacing w:line="240" w:lineRule="auto"/>
              <w:rPr>
                <w:szCs w:val="24"/>
                <w:lang w:val="en-US"/>
              </w:rPr>
            </w:pPr>
          </w:p>
        </w:tc>
        <w:tc>
          <w:tcPr>
            <w:tcW w:w="1938" w:type="dxa"/>
            <w:tcBorders>
              <w:top w:val="nil"/>
              <w:left w:val="nil"/>
              <w:bottom w:val="nil"/>
              <w:right w:val="nil"/>
            </w:tcBorders>
          </w:tcPr>
          <w:p w14:paraId="6252A199" w14:textId="77777777" w:rsidR="00FC40B7" w:rsidRDefault="00FC40B7" w:rsidP="00A04B26">
            <w:pPr>
              <w:widowControl w:val="0"/>
              <w:autoSpaceDE w:val="0"/>
              <w:autoSpaceDN w:val="0"/>
              <w:adjustRightInd w:val="0"/>
              <w:spacing w:line="240" w:lineRule="auto"/>
              <w:rPr>
                <w:szCs w:val="24"/>
                <w:lang w:val="en-US"/>
              </w:rPr>
            </w:pPr>
          </w:p>
        </w:tc>
        <w:tc>
          <w:tcPr>
            <w:tcW w:w="1774" w:type="dxa"/>
            <w:tcBorders>
              <w:top w:val="nil"/>
              <w:left w:val="nil"/>
              <w:bottom w:val="nil"/>
              <w:right w:val="nil"/>
            </w:tcBorders>
          </w:tcPr>
          <w:p w14:paraId="170E4985" w14:textId="77777777" w:rsidR="00FC40B7" w:rsidRDefault="00FC40B7" w:rsidP="00A04B26">
            <w:pPr>
              <w:widowControl w:val="0"/>
              <w:autoSpaceDE w:val="0"/>
              <w:autoSpaceDN w:val="0"/>
              <w:adjustRightInd w:val="0"/>
              <w:spacing w:line="240" w:lineRule="auto"/>
              <w:rPr>
                <w:szCs w:val="24"/>
                <w:lang w:val="en-US"/>
              </w:rPr>
            </w:pPr>
          </w:p>
        </w:tc>
        <w:tc>
          <w:tcPr>
            <w:tcW w:w="1695" w:type="dxa"/>
            <w:tcBorders>
              <w:top w:val="nil"/>
              <w:left w:val="nil"/>
              <w:bottom w:val="nil"/>
              <w:right w:val="nil"/>
            </w:tcBorders>
          </w:tcPr>
          <w:p w14:paraId="1A272C1D" w14:textId="77777777" w:rsidR="00FC40B7" w:rsidRDefault="00FC40B7" w:rsidP="00A04B26">
            <w:pPr>
              <w:widowControl w:val="0"/>
              <w:autoSpaceDE w:val="0"/>
              <w:autoSpaceDN w:val="0"/>
              <w:adjustRightInd w:val="0"/>
              <w:spacing w:line="240" w:lineRule="auto"/>
              <w:rPr>
                <w:szCs w:val="24"/>
                <w:lang w:val="en-US"/>
              </w:rPr>
            </w:pPr>
          </w:p>
        </w:tc>
      </w:tr>
      <w:tr w:rsidR="00FC40B7" w:rsidRPr="003935C0" w14:paraId="4DF7F699" w14:textId="77777777" w:rsidTr="00A04B26">
        <w:trPr>
          <w:trHeight w:val="202"/>
        </w:trPr>
        <w:tc>
          <w:tcPr>
            <w:tcW w:w="6640" w:type="dxa"/>
            <w:tcBorders>
              <w:top w:val="nil"/>
              <w:left w:val="nil"/>
              <w:bottom w:val="nil"/>
              <w:right w:val="nil"/>
            </w:tcBorders>
          </w:tcPr>
          <w:p w14:paraId="44323F7F" w14:textId="77777777" w:rsidR="00FC40B7" w:rsidRPr="006C59AD" w:rsidRDefault="00FC40B7" w:rsidP="00A04B26">
            <w:pPr>
              <w:widowControl w:val="0"/>
              <w:autoSpaceDE w:val="0"/>
              <w:autoSpaceDN w:val="0"/>
              <w:adjustRightInd w:val="0"/>
              <w:spacing w:line="240" w:lineRule="auto"/>
              <w:jc w:val="left"/>
              <w:rPr>
                <w:rFonts w:eastAsia="Calibri"/>
                <w:szCs w:val="24"/>
                <w:lang w:val="en-US" w:eastAsia="en-US"/>
              </w:rPr>
            </w:pPr>
            <w:r w:rsidRPr="006C59AD">
              <w:rPr>
                <w:rFonts w:eastAsia="Calibri"/>
                <w:szCs w:val="24"/>
                <w:lang w:val="en-US" w:eastAsia="en-US"/>
              </w:rPr>
              <w:t xml:space="preserve">S&amp;P Global Clean Energy </w:t>
            </w:r>
            <w:r>
              <w:rPr>
                <w:rFonts w:eastAsia="Calibri"/>
                <w:szCs w:val="24"/>
                <w:lang w:val="en-US" w:eastAsia="en-US"/>
              </w:rPr>
              <w:t>Return</w:t>
            </w:r>
            <w:r w:rsidRPr="006C59AD">
              <w:rPr>
                <w:rFonts w:eastAsia="Calibri"/>
                <w:szCs w:val="24"/>
                <w:lang w:val="en-US" w:eastAsia="en-US"/>
              </w:rPr>
              <w:t xml:space="preserve"> </w:t>
            </w:r>
          </w:p>
        </w:tc>
        <w:tc>
          <w:tcPr>
            <w:tcW w:w="1800" w:type="dxa"/>
            <w:tcBorders>
              <w:top w:val="nil"/>
              <w:left w:val="nil"/>
              <w:bottom w:val="nil"/>
              <w:right w:val="nil"/>
            </w:tcBorders>
          </w:tcPr>
          <w:p w14:paraId="56BAD3F6" w14:textId="77777777" w:rsidR="00FC40B7" w:rsidRDefault="00FC40B7" w:rsidP="00A04B26">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586262A0" w14:textId="77777777" w:rsidR="00FC40B7" w:rsidRDefault="00FC40B7" w:rsidP="00A04B26">
            <w:pPr>
              <w:widowControl w:val="0"/>
              <w:autoSpaceDE w:val="0"/>
              <w:autoSpaceDN w:val="0"/>
              <w:adjustRightInd w:val="0"/>
              <w:spacing w:line="240" w:lineRule="auto"/>
              <w:jc w:val="center"/>
              <w:rPr>
                <w:szCs w:val="24"/>
                <w:lang w:val="en-US"/>
              </w:rPr>
            </w:pPr>
          </w:p>
        </w:tc>
        <w:tc>
          <w:tcPr>
            <w:tcW w:w="1774" w:type="dxa"/>
            <w:tcBorders>
              <w:top w:val="nil"/>
              <w:left w:val="nil"/>
              <w:bottom w:val="nil"/>
              <w:right w:val="nil"/>
            </w:tcBorders>
          </w:tcPr>
          <w:p w14:paraId="516E814B"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0.0275</w:t>
            </w:r>
          </w:p>
        </w:tc>
        <w:tc>
          <w:tcPr>
            <w:tcW w:w="1695" w:type="dxa"/>
            <w:tcBorders>
              <w:top w:val="nil"/>
              <w:left w:val="nil"/>
              <w:bottom w:val="nil"/>
              <w:right w:val="nil"/>
            </w:tcBorders>
          </w:tcPr>
          <w:p w14:paraId="17630D0A" w14:textId="77777777" w:rsidR="00FC40B7" w:rsidRDefault="00FC40B7" w:rsidP="00A04B26">
            <w:pPr>
              <w:widowControl w:val="0"/>
              <w:autoSpaceDE w:val="0"/>
              <w:autoSpaceDN w:val="0"/>
              <w:adjustRightInd w:val="0"/>
              <w:spacing w:line="240" w:lineRule="auto"/>
              <w:jc w:val="center"/>
              <w:rPr>
                <w:szCs w:val="24"/>
                <w:lang w:val="en-US"/>
              </w:rPr>
            </w:pPr>
          </w:p>
        </w:tc>
      </w:tr>
      <w:tr w:rsidR="00FC40B7" w:rsidRPr="003935C0" w14:paraId="02C4EC9C" w14:textId="77777777" w:rsidTr="00A04B26">
        <w:trPr>
          <w:trHeight w:val="202"/>
        </w:trPr>
        <w:tc>
          <w:tcPr>
            <w:tcW w:w="6640" w:type="dxa"/>
            <w:tcBorders>
              <w:top w:val="nil"/>
              <w:left w:val="nil"/>
              <w:bottom w:val="nil"/>
              <w:right w:val="nil"/>
            </w:tcBorders>
          </w:tcPr>
          <w:p w14:paraId="3CBC2DBD" w14:textId="77777777" w:rsidR="00FC40B7" w:rsidRPr="006C59AD" w:rsidRDefault="00FC40B7" w:rsidP="00A04B26">
            <w:pPr>
              <w:widowControl w:val="0"/>
              <w:autoSpaceDE w:val="0"/>
              <w:autoSpaceDN w:val="0"/>
              <w:adjustRightInd w:val="0"/>
              <w:spacing w:line="240" w:lineRule="auto"/>
              <w:jc w:val="left"/>
              <w:rPr>
                <w:rFonts w:eastAsia="Calibri"/>
                <w:szCs w:val="24"/>
                <w:lang w:val="en-US" w:eastAsia="en-US"/>
              </w:rPr>
            </w:pPr>
          </w:p>
        </w:tc>
        <w:tc>
          <w:tcPr>
            <w:tcW w:w="1800" w:type="dxa"/>
            <w:tcBorders>
              <w:top w:val="nil"/>
              <w:left w:val="nil"/>
              <w:bottom w:val="nil"/>
              <w:right w:val="nil"/>
            </w:tcBorders>
          </w:tcPr>
          <w:p w14:paraId="1A33838E" w14:textId="77777777" w:rsidR="00FC40B7" w:rsidRDefault="00FC40B7" w:rsidP="00A04B26">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454A9489" w14:textId="77777777" w:rsidR="00FC40B7" w:rsidRDefault="00FC40B7" w:rsidP="00A04B26">
            <w:pPr>
              <w:widowControl w:val="0"/>
              <w:autoSpaceDE w:val="0"/>
              <w:autoSpaceDN w:val="0"/>
              <w:adjustRightInd w:val="0"/>
              <w:spacing w:line="240" w:lineRule="auto"/>
              <w:jc w:val="center"/>
              <w:rPr>
                <w:szCs w:val="24"/>
                <w:lang w:val="en-US"/>
              </w:rPr>
            </w:pPr>
          </w:p>
        </w:tc>
        <w:tc>
          <w:tcPr>
            <w:tcW w:w="1774" w:type="dxa"/>
            <w:tcBorders>
              <w:top w:val="nil"/>
              <w:left w:val="nil"/>
              <w:bottom w:val="nil"/>
              <w:right w:val="nil"/>
            </w:tcBorders>
          </w:tcPr>
          <w:p w14:paraId="59311D37"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(0.102)</w:t>
            </w:r>
          </w:p>
        </w:tc>
        <w:tc>
          <w:tcPr>
            <w:tcW w:w="1695" w:type="dxa"/>
            <w:tcBorders>
              <w:top w:val="nil"/>
              <w:left w:val="nil"/>
              <w:bottom w:val="nil"/>
              <w:right w:val="nil"/>
            </w:tcBorders>
          </w:tcPr>
          <w:p w14:paraId="4C3AB1D4" w14:textId="77777777" w:rsidR="00FC40B7" w:rsidRDefault="00FC40B7" w:rsidP="00A04B26">
            <w:pPr>
              <w:widowControl w:val="0"/>
              <w:autoSpaceDE w:val="0"/>
              <w:autoSpaceDN w:val="0"/>
              <w:adjustRightInd w:val="0"/>
              <w:spacing w:line="240" w:lineRule="auto"/>
              <w:jc w:val="center"/>
              <w:rPr>
                <w:szCs w:val="24"/>
                <w:lang w:val="en-US"/>
              </w:rPr>
            </w:pPr>
          </w:p>
        </w:tc>
      </w:tr>
      <w:tr w:rsidR="00FC40B7" w:rsidRPr="003935C0" w14:paraId="2F111A51" w14:textId="77777777" w:rsidTr="00A04B26">
        <w:trPr>
          <w:trHeight w:val="202"/>
        </w:trPr>
        <w:tc>
          <w:tcPr>
            <w:tcW w:w="6640" w:type="dxa"/>
            <w:tcBorders>
              <w:top w:val="nil"/>
              <w:left w:val="nil"/>
              <w:bottom w:val="nil"/>
              <w:right w:val="nil"/>
            </w:tcBorders>
          </w:tcPr>
          <w:p w14:paraId="57B5C0F0" w14:textId="77777777" w:rsidR="00FC40B7" w:rsidRPr="006C59AD" w:rsidRDefault="00FC40B7" w:rsidP="00A04B26">
            <w:pPr>
              <w:widowControl w:val="0"/>
              <w:autoSpaceDE w:val="0"/>
              <w:autoSpaceDN w:val="0"/>
              <w:adjustRightInd w:val="0"/>
              <w:spacing w:line="240" w:lineRule="auto"/>
              <w:jc w:val="left"/>
              <w:rPr>
                <w:rFonts w:eastAsia="Calibri"/>
                <w:szCs w:val="24"/>
                <w:lang w:val="en-US" w:eastAsia="en-US"/>
              </w:rPr>
            </w:pPr>
          </w:p>
        </w:tc>
        <w:tc>
          <w:tcPr>
            <w:tcW w:w="1800" w:type="dxa"/>
            <w:tcBorders>
              <w:top w:val="nil"/>
              <w:left w:val="nil"/>
              <w:bottom w:val="nil"/>
              <w:right w:val="nil"/>
            </w:tcBorders>
          </w:tcPr>
          <w:p w14:paraId="72B78DBB" w14:textId="77777777" w:rsidR="00FC40B7" w:rsidRDefault="00FC40B7" w:rsidP="00A04B26">
            <w:pPr>
              <w:widowControl w:val="0"/>
              <w:autoSpaceDE w:val="0"/>
              <w:autoSpaceDN w:val="0"/>
              <w:adjustRightInd w:val="0"/>
              <w:spacing w:line="240" w:lineRule="auto"/>
              <w:rPr>
                <w:szCs w:val="24"/>
                <w:lang w:val="en-US"/>
              </w:rPr>
            </w:pPr>
          </w:p>
        </w:tc>
        <w:tc>
          <w:tcPr>
            <w:tcW w:w="1938" w:type="dxa"/>
            <w:tcBorders>
              <w:top w:val="nil"/>
              <w:left w:val="nil"/>
              <w:bottom w:val="nil"/>
              <w:right w:val="nil"/>
            </w:tcBorders>
          </w:tcPr>
          <w:p w14:paraId="06C527E9" w14:textId="77777777" w:rsidR="00FC40B7" w:rsidRDefault="00FC40B7" w:rsidP="00A04B26">
            <w:pPr>
              <w:widowControl w:val="0"/>
              <w:autoSpaceDE w:val="0"/>
              <w:autoSpaceDN w:val="0"/>
              <w:adjustRightInd w:val="0"/>
              <w:spacing w:line="240" w:lineRule="auto"/>
              <w:rPr>
                <w:szCs w:val="24"/>
                <w:lang w:val="en-US"/>
              </w:rPr>
            </w:pPr>
          </w:p>
        </w:tc>
        <w:tc>
          <w:tcPr>
            <w:tcW w:w="1774" w:type="dxa"/>
            <w:tcBorders>
              <w:top w:val="nil"/>
              <w:left w:val="nil"/>
              <w:bottom w:val="nil"/>
              <w:right w:val="nil"/>
            </w:tcBorders>
          </w:tcPr>
          <w:p w14:paraId="5498DB8D" w14:textId="77777777" w:rsidR="00FC40B7" w:rsidRDefault="00FC40B7" w:rsidP="00A04B26">
            <w:pPr>
              <w:widowControl w:val="0"/>
              <w:autoSpaceDE w:val="0"/>
              <w:autoSpaceDN w:val="0"/>
              <w:adjustRightInd w:val="0"/>
              <w:spacing w:line="240" w:lineRule="auto"/>
              <w:rPr>
                <w:szCs w:val="24"/>
                <w:lang w:val="en-US"/>
              </w:rPr>
            </w:pPr>
          </w:p>
        </w:tc>
        <w:tc>
          <w:tcPr>
            <w:tcW w:w="1695" w:type="dxa"/>
            <w:tcBorders>
              <w:top w:val="nil"/>
              <w:left w:val="nil"/>
              <w:bottom w:val="nil"/>
              <w:right w:val="nil"/>
            </w:tcBorders>
          </w:tcPr>
          <w:p w14:paraId="072B9C20" w14:textId="77777777" w:rsidR="00FC40B7" w:rsidRDefault="00FC40B7" w:rsidP="00A04B26">
            <w:pPr>
              <w:widowControl w:val="0"/>
              <w:autoSpaceDE w:val="0"/>
              <w:autoSpaceDN w:val="0"/>
              <w:adjustRightInd w:val="0"/>
              <w:spacing w:line="240" w:lineRule="auto"/>
              <w:rPr>
                <w:szCs w:val="24"/>
                <w:lang w:val="en-US"/>
              </w:rPr>
            </w:pPr>
          </w:p>
        </w:tc>
      </w:tr>
      <w:tr w:rsidR="00FC40B7" w:rsidRPr="003935C0" w14:paraId="21DF3B30" w14:textId="77777777" w:rsidTr="00A04B26">
        <w:trPr>
          <w:trHeight w:val="202"/>
        </w:trPr>
        <w:tc>
          <w:tcPr>
            <w:tcW w:w="6640" w:type="dxa"/>
            <w:tcBorders>
              <w:top w:val="nil"/>
              <w:left w:val="nil"/>
              <w:bottom w:val="nil"/>
              <w:right w:val="nil"/>
            </w:tcBorders>
          </w:tcPr>
          <w:p w14:paraId="3E2B7316" w14:textId="77777777" w:rsidR="00FC40B7" w:rsidRPr="006C59AD" w:rsidRDefault="00FC40B7" w:rsidP="00A04B26">
            <w:pPr>
              <w:widowControl w:val="0"/>
              <w:autoSpaceDE w:val="0"/>
              <w:autoSpaceDN w:val="0"/>
              <w:adjustRightInd w:val="0"/>
              <w:spacing w:line="240" w:lineRule="auto"/>
              <w:jc w:val="left"/>
              <w:rPr>
                <w:rFonts w:eastAsia="Calibri"/>
                <w:szCs w:val="24"/>
                <w:lang w:val="en-US" w:eastAsia="en-US"/>
              </w:rPr>
            </w:pPr>
            <w:r>
              <w:rPr>
                <w:rFonts w:eastAsia="Calibri"/>
                <w:szCs w:val="24"/>
                <w:lang w:val="en-US" w:eastAsia="en-US"/>
              </w:rPr>
              <w:t>MSCI World</w:t>
            </w:r>
            <w:r w:rsidRPr="006C59AD">
              <w:rPr>
                <w:rFonts w:eastAsia="Calibri"/>
                <w:szCs w:val="24"/>
                <w:lang w:val="en-US" w:eastAsia="en-US"/>
              </w:rPr>
              <w:t xml:space="preserve"> Bank </w:t>
            </w:r>
            <w:r>
              <w:rPr>
                <w:rFonts w:eastAsia="Calibri"/>
                <w:szCs w:val="24"/>
                <w:lang w:val="en-US" w:eastAsia="en-US"/>
              </w:rPr>
              <w:t>Return</w:t>
            </w:r>
            <w:r w:rsidRPr="006C59AD">
              <w:rPr>
                <w:rFonts w:eastAsia="Calibri"/>
                <w:szCs w:val="24"/>
                <w:lang w:val="en-US" w:eastAsia="en-US"/>
              </w:rPr>
              <w:t xml:space="preserve"> </w:t>
            </w:r>
          </w:p>
        </w:tc>
        <w:tc>
          <w:tcPr>
            <w:tcW w:w="1800" w:type="dxa"/>
            <w:tcBorders>
              <w:top w:val="nil"/>
              <w:left w:val="nil"/>
              <w:bottom w:val="nil"/>
              <w:right w:val="nil"/>
            </w:tcBorders>
          </w:tcPr>
          <w:p w14:paraId="23EAEEC8" w14:textId="77777777" w:rsidR="00FC40B7" w:rsidRDefault="00FC40B7" w:rsidP="00A04B26">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06D735B1" w14:textId="77777777" w:rsidR="00FC40B7" w:rsidRDefault="00FC40B7" w:rsidP="00A04B26">
            <w:pPr>
              <w:widowControl w:val="0"/>
              <w:autoSpaceDE w:val="0"/>
              <w:autoSpaceDN w:val="0"/>
              <w:adjustRightInd w:val="0"/>
              <w:spacing w:line="240" w:lineRule="auto"/>
              <w:jc w:val="center"/>
              <w:rPr>
                <w:szCs w:val="24"/>
                <w:lang w:val="en-US"/>
              </w:rPr>
            </w:pPr>
          </w:p>
        </w:tc>
        <w:tc>
          <w:tcPr>
            <w:tcW w:w="1774" w:type="dxa"/>
            <w:tcBorders>
              <w:top w:val="nil"/>
              <w:left w:val="nil"/>
              <w:bottom w:val="nil"/>
              <w:right w:val="nil"/>
            </w:tcBorders>
          </w:tcPr>
          <w:p w14:paraId="09338246" w14:textId="77777777" w:rsidR="00FC40B7" w:rsidRDefault="00FC40B7" w:rsidP="00A04B26">
            <w:pPr>
              <w:widowControl w:val="0"/>
              <w:autoSpaceDE w:val="0"/>
              <w:autoSpaceDN w:val="0"/>
              <w:adjustRightInd w:val="0"/>
              <w:spacing w:line="240" w:lineRule="auto"/>
              <w:jc w:val="center"/>
              <w:rPr>
                <w:szCs w:val="24"/>
                <w:lang w:val="en-US"/>
              </w:rPr>
            </w:pPr>
          </w:p>
        </w:tc>
        <w:tc>
          <w:tcPr>
            <w:tcW w:w="1695" w:type="dxa"/>
            <w:tcBorders>
              <w:top w:val="nil"/>
              <w:left w:val="nil"/>
              <w:bottom w:val="nil"/>
              <w:right w:val="nil"/>
            </w:tcBorders>
          </w:tcPr>
          <w:p w14:paraId="18196909"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0.0438</w:t>
            </w:r>
          </w:p>
        </w:tc>
      </w:tr>
      <w:tr w:rsidR="00FC40B7" w:rsidRPr="003935C0" w14:paraId="737E873A" w14:textId="77777777" w:rsidTr="00A04B26">
        <w:trPr>
          <w:trHeight w:val="202"/>
        </w:trPr>
        <w:tc>
          <w:tcPr>
            <w:tcW w:w="6640" w:type="dxa"/>
            <w:tcBorders>
              <w:top w:val="nil"/>
              <w:left w:val="nil"/>
              <w:bottom w:val="nil"/>
              <w:right w:val="nil"/>
            </w:tcBorders>
          </w:tcPr>
          <w:p w14:paraId="0BEE6DC4" w14:textId="77777777" w:rsidR="00FC40B7" w:rsidRPr="006C59AD" w:rsidRDefault="00FC40B7" w:rsidP="00A04B26">
            <w:pPr>
              <w:widowControl w:val="0"/>
              <w:autoSpaceDE w:val="0"/>
              <w:autoSpaceDN w:val="0"/>
              <w:adjustRightInd w:val="0"/>
              <w:spacing w:line="240" w:lineRule="auto"/>
              <w:jc w:val="left"/>
              <w:rPr>
                <w:rFonts w:eastAsia="Calibri"/>
                <w:szCs w:val="24"/>
                <w:lang w:val="en-US" w:eastAsia="en-US"/>
              </w:rPr>
            </w:pPr>
          </w:p>
        </w:tc>
        <w:tc>
          <w:tcPr>
            <w:tcW w:w="1800" w:type="dxa"/>
            <w:tcBorders>
              <w:top w:val="nil"/>
              <w:left w:val="nil"/>
              <w:bottom w:val="nil"/>
              <w:right w:val="nil"/>
            </w:tcBorders>
          </w:tcPr>
          <w:p w14:paraId="54F5BD10" w14:textId="77777777" w:rsidR="00FC40B7" w:rsidRDefault="00FC40B7" w:rsidP="00A04B26">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7262E5E0" w14:textId="77777777" w:rsidR="00FC40B7" w:rsidRDefault="00FC40B7" w:rsidP="00A04B26">
            <w:pPr>
              <w:widowControl w:val="0"/>
              <w:autoSpaceDE w:val="0"/>
              <w:autoSpaceDN w:val="0"/>
              <w:adjustRightInd w:val="0"/>
              <w:spacing w:line="240" w:lineRule="auto"/>
              <w:jc w:val="center"/>
              <w:rPr>
                <w:szCs w:val="24"/>
                <w:lang w:val="en-US"/>
              </w:rPr>
            </w:pPr>
          </w:p>
        </w:tc>
        <w:tc>
          <w:tcPr>
            <w:tcW w:w="1774" w:type="dxa"/>
            <w:tcBorders>
              <w:top w:val="nil"/>
              <w:left w:val="nil"/>
              <w:bottom w:val="nil"/>
              <w:right w:val="nil"/>
            </w:tcBorders>
          </w:tcPr>
          <w:p w14:paraId="5719C520" w14:textId="77777777" w:rsidR="00FC40B7" w:rsidRDefault="00FC40B7" w:rsidP="00A04B26">
            <w:pPr>
              <w:widowControl w:val="0"/>
              <w:autoSpaceDE w:val="0"/>
              <w:autoSpaceDN w:val="0"/>
              <w:adjustRightInd w:val="0"/>
              <w:spacing w:line="240" w:lineRule="auto"/>
              <w:jc w:val="center"/>
              <w:rPr>
                <w:szCs w:val="24"/>
                <w:lang w:val="en-US"/>
              </w:rPr>
            </w:pPr>
          </w:p>
        </w:tc>
        <w:tc>
          <w:tcPr>
            <w:tcW w:w="1695" w:type="dxa"/>
            <w:tcBorders>
              <w:top w:val="nil"/>
              <w:left w:val="nil"/>
              <w:bottom w:val="nil"/>
              <w:right w:val="nil"/>
            </w:tcBorders>
          </w:tcPr>
          <w:p w14:paraId="12AC351E" w14:textId="77777777" w:rsidR="00FC40B7" w:rsidRDefault="00FC40B7" w:rsidP="00A04B26">
            <w:pPr>
              <w:widowControl w:val="0"/>
              <w:autoSpaceDE w:val="0"/>
              <w:autoSpaceDN w:val="0"/>
              <w:adjustRightInd w:val="0"/>
              <w:spacing w:line="240" w:lineRule="auto"/>
              <w:jc w:val="center"/>
              <w:rPr>
                <w:szCs w:val="24"/>
                <w:lang w:val="en-US"/>
              </w:rPr>
            </w:pPr>
            <w:r>
              <w:rPr>
                <w:szCs w:val="24"/>
                <w:lang w:val="en-US"/>
              </w:rPr>
              <w:t>(0.116)</w:t>
            </w:r>
          </w:p>
        </w:tc>
      </w:tr>
      <w:tr w:rsidR="00FC40B7" w:rsidRPr="003935C0" w14:paraId="6D72E0B3" w14:textId="77777777" w:rsidTr="00A04B26">
        <w:trPr>
          <w:trHeight w:val="202"/>
        </w:trPr>
        <w:tc>
          <w:tcPr>
            <w:tcW w:w="6640" w:type="dxa"/>
            <w:tcBorders>
              <w:top w:val="nil"/>
              <w:left w:val="nil"/>
              <w:bottom w:val="nil"/>
              <w:right w:val="nil"/>
            </w:tcBorders>
          </w:tcPr>
          <w:p w14:paraId="5816B946" w14:textId="77777777" w:rsidR="00FC40B7" w:rsidRPr="006C59AD" w:rsidRDefault="00FC40B7" w:rsidP="00A04B26">
            <w:pPr>
              <w:widowControl w:val="0"/>
              <w:autoSpaceDE w:val="0"/>
              <w:autoSpaceDN w:val="0"/>
              <w:adjustRightInd w:val="0"/>
              <w:spacing w:line="240" w:lineRule="auto"/>
              <w:jc w:val="left"/>
              <w:rPr>
                <w:rFonts w:eastAsia="Calibri"/>
                <w:szCs w:val="24"/>
                <w:lang w:val="en-US" w:eastAsia="en-US"/>
              </w:rPr>
            </w:pPr>
          </w:p>
        </w:tc>
        <w:tc>
          <w:tcPr>
            <w:tcW w:w="1800" w:type="dxa"/>
            <w:tcBorders>
              <w:top w:val="nil"/>
              <w:left w:val="nil"/>
              <w:bottom w:val="nil"/>
              <w:right w:val="nil"/>
            </w:tcBorders>
          </w:tcPr>
          <w:p w14:paraId="7ACEA059" w14:textId="77777777" w:rsidR="00FC40B7" w:rsidRDefault="00FC40B7" w:rsidP="00A04B26">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63EA6214" w14:textId="77777777" w:rsidR="00FC40B7" w:rsidRDefault="00FC40B7" w:rsidP="00A04B26">
            <w:pPr>
              <w:widowControl w:val="0"/>
              <w:autoSpaceDE w:val="0"/>
              <w:autoSpaceDN w:val="0"/>
              <w:adjustRightInd w:val="0"/>
              <w:spacing w:line="240" w:lineRule="auto"/>
              <w:jc w:val="center"/>
              <w:rPr>
                <w:szCs w:val="24"/>
                <w:lang w:val="en-US"/>
              </w:rPr>
            </w:pPr>
          </w:p>
        </w:tc>
        <w:tc>
          <w:tcPr>
            <w:tcW w:w="1774" w:type="dxa"/>
            <w:tcBorders>
              <w:top w:val="nil"/>
              <w:left w:val="nil"/>
              <w:bottom w:val="nil"/>
              <w:right w:val="nil"/>
            </w:tcBorders>
          </w:tcPr>
          <w:p w14:paraId="31C17AE6" w14:textId="77777777" w:rsidR="00FC40B7" w:rsidRDefault="00FC40B7" w:rsidP="00A04B26">
            <w:pPr>
              <w:widowControl w:val="0"/>
              <w:autoSpaceDE w:val="0"/>
              <w:autoSpaceDN w:val="0"/>
              <w:adjustRightInd w:val="0"/>
              <w:spacing w:line="240" w:lineRule="auto"/>
              <w:jc w:val="center"/>
              <w:rPr>
                <w:szCs w:val="24"/>
                <w:lang w:val="en-US"/>
              </w:rPr>
            </w:pPr>
          </w:p>
        </w:tc>
        <w:tc>
          <w:tcPr>
            <w:tcW w:w="1695" w:type="dxa"/>
            <w:tcBorders>
              <w:top w:val="nil"/>
              <w:left w:val="nil"/>
              <w:bottom w:val="nil"/>
              <w:right w:val="nil"/>
            </w:tcBorders>
          </w:tcPr>
          <w:p w14:paraId="66949707" w14:textId="77777777" w:rsidR="00FC40B7" w:rsidRDefault="00FC40B7" w:rsidP="00A04B26">
            <w:pPr>
              <w:widowControl w:val="0"/>
              <w:autoSpaceDE w:val="0"/>
              <w:autoSpaceDN w:val="0"/>
              <w:adjustRightInd w:val="0"/>
              <w:spacing w:line="240" w:lineRule="auto"/>
              <w:jc w:val="center"/>
              <w:rPr>
                <w:szCs w:val="24"/>
                <w:lang w:val="en-US"/>
              </w:rPr>
            </w:pPr>
          </w:p>
        </w:tc>
      </w:tr>
      <w:tr w:rsidR="00FC40B7" w:rsidRPr="003935C0" w14:paraId="24455B53" w14:textId="77777777" w:rsidTr="00A04B26">
        <w:trPr>
          <w:trHeight w:val="202"/>
        </w:trPr>
        <w:tc>
          <w:tcPr>
            <w:tcW w:w="6640" w:type="dxa"/>
            <w:tcBorders>
              <w:top w:val="nil"/>
              <w:left w:val="nil"/>
              <w:bottom w:val="nil"/>
              <w:right w:val="nil"/>
            </w:tcBorders>
          </w:tcPr>
          <w:p w14:paraId="6B232836"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Constant</w:t>
            </w:r>
          </w:p>
        </w:tc>
        <w:tc>
          <w:tcPr>
            <w:tcW w:w="1800" w:type="dxa"/>
            <w:tcBorders>
              <w:top w:val="nil"/>
              <w:left w:val="nil"/>
              <w:bottom w:val="nil"/>
              <w:right w:val="nil"/>
            </w:tcBorders>
          </w:tcPr>
          <w:p w14:paraId="3ECAA31E" w14:textId="77777777" w:rsidR="00FC40B7" w:rsidRDefault="00FC40B7" w:rsidP="00A04B26">
            <w:pPr>
              <w:widowControl w:val="0"/>
              <w:autoSpaceDE w:val="0"/>
              <w:autoSpaceDN w:val="0"/>
              <w:adjustRightInd w:val="0"/>
              <w:spacing w:line="240" w:lineRule="auto"/>
              <w:jc w:val="center"/>
              <w:rPr>
                <w:szCs w:val="24"/>
                <w:lang w:val="en-US"/>
              </w:rPr>
            </w:pPr>
            <w:r w:rsidRPr="00643BC4">
              <w:t>0.0307**</w:t>
            </w:r>
          </w:p>
        </w:tc>
        <w:tc>
          <w:tcPr>
            <w:tcW w:w="1938" w:type="dxa"/>
            <w:tcBorders>
              <w:top w:val="nil"/>
              <w:left w:val="nil"/>
              <w:bottom w:val="nil"/>
              <w:right w:val="nil"/>
            </w:tcBorders>
          </w:tcPr>
          <w:p w14:paraId="7EE08758" w14:textId="77777777" w:rsidR="00FC40B7" w:rsidRDefault="00FC40B7" w:rsidP="00A04B26">
            <w:pPr>
              <w:widowControl w:val="0"/>
              <w:autoSpaceDE w:val="0"/>
              <w:autoSpaceDN w:val="0"/>
              <w:adjustRightInd w:val="0"/>
              <w:spacing w:line="240" w:lineRule="auto"/>
              <w:jc w:val="center"/>
              <w:rPr>
                <w:szCs w:val="24"/>
                <w:lang w:val="en-US"/>
              </w:rPr>
            </w:pPr>
            <w:r w:rsidRPr="00643BC4">
              <w:t>0.0301**</w:t>
            </w:r>
          </w:p>
        </w:tc>
        <w:tc>
          <w:tcPr>
            <w:tcW w:w="1774" w:type="dxa"/>
            <w:tcBorders>
              <w:top w:val="nil"/>
              <w:left w:val="nil"/>
              <w:bottom w:val="nil"/>
              <w:right w:val="nil"/>
            </w:tcBorders>
          </w:tcPr>
          <w:p w14:paraId="06B525D2" w14:textId="77777777" w:rsidR="00FC40B7" w:rsidRDefault="00FC40B7" w:rsidP="00A04B26">
            <w:pPr>
              <w:widowControl w:val="0"/>
              <w:autoSpaceDE w:val="0"/>
              <w:autoSpaceDN w:val="0"/>
              <w:adjustRightInd w:val="0"/>
              <w:spacing w:line="240" w:lineRule="auto"/>
              <w:jc w:val="center"/>
              <w:rPr>
                <w:szCs w:val="24"/>
                <w:lang w:val="en-US"/>
              </w:rPr>
            </w:pPr>
            <w:r w:rsidRPr="00643BC4">
              <w:t>0.0303**</w:t>
            </w:r>
          </w:p>
        </w:tc>
        <w:tc>
          <w:tcPr>
            <w:tcW w:w="1695" w:type="dxa"/>
            <w:tcBorders>
              <w:top w:val="nil"/>
              <w:left w:val="nil"/>
              <w:bottom w:val="nil"/>
              <w:right w:val="nil"/>
            </w:tcBorders>
          </w:tcPr>
          <w:p w14:paraId="6E789DA9" w14:textId="77777777" w:rsidR="00FC40B7" w:rsidRDefault="00FC40B7" w:rsidP="00A04B26">
            <w:pPr>
              <w:widowControl w:val="0"/>
              <w:autoSpaceDE w:val="0"/>
              <w:autoSpaceDN w:val="0"/>
              <w:adjustRightInd w:val="0"/>
              <w:spacing w:line="240" w:lineRule="auto"/>
              <w:jc w:val="center"/>
              <w:rPr>
                <w:szCs w:val="24"/>
                <w:lang w:val="en-US"/>
              </w:rPr>
            </w:pPr>
            <w:r w:rsidRPr="00643BC4">
              <w:t>0.0300**</w:t>
            </w:r>
          </w:p>
        </w:tc>
      </w:tr>
      <w:tr w:rsidR="00FC40B7" w:rsidRPr="003935C0" w14:paraId="7DBE2672" w14:textId="77777777" w:rsidTr="00A04B26">
        <w:trPr>
          <w:trHeight w:val="187"/>
        </w:trPr>
        <w:tc>
          <w:tcPr>
            <w:tcW w:w="6640" w:type="dxa"/>
            <w:tcBorders>
              <w:top w:val="nil"/>
              <w:left w:val="nil"/>
              <w:bottom w:val="single" w:sz="4" w:space="0" w:color="auto"/>
              <w:right w:val="nil"/>
            </w:tcBorders>
          </w:tcPr>
          <w:p w14:paraId="13CD4D9B"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single" w:sz="4" w:space="0" w:color="auto"/>
              <w:right w:val="nil"/>
            </w:tcBorders>
          </w:tcPr>
          <w:p w14:paraId="4626ED9A" w14:textId="77777777" w:rsidR="00FC40B7" w:rsidRDefault="00FC40B7" w:rsidP="00A04B26">
            <w:pPr>
              <w:widowControl w:val="0"/>
              <w:autoSpaceDE w:val="0"/>
              <w:autoSpaceDN w:val="0"/>
              <w:adjustRightInd w:val="0"/>
              <w:spacing w:line="240" w:lineRule="auto"/>
              <w:jc w:val="center"/>
              <w:rPr>
                <w:szCs w:val="24"/>
                <w:lang w:val="en-US"/>
              </w:rPr>
            </w:pPr>
            <w:r w:rsidRPr="00643BC4">
              <w:t>(0.0144)</w:t>
            </w:r>
          </w:p>
        </w:tc>
        <w:tc>
          <w:tcPr>
            <w:tcW w:w="1938" w:type="dxa"/>
            <w:tcBorders>
              <w:top w:val="nil"/>
              <w:left w:val="nil"/>
              <w:bottom w:val="single" w:sz="4" w:space="0" w:color="auto"/>
              <w:right w:val="nil"/>
            </w:tcBorders>
          </w:tcPr>
          <w:p w14:paraId="5E7612EC" w14:textId="77777777" w:rsidR="00FC40B7" w:rsidRDefault="00FC40B7" w:rsidP="00A04B26">
            <w:pPr>
              <w:widowControl w:val="0"/>
              <w:autoSpaceDE w:val="0"/>
              <w:autoSpaceDN w:val="0"/>
              <w:adjustRightInd w:val="0"/>
              <w:spacing w:line="240" w:lineRule="auto"/>
              <w:jc w:val="center"/>
              <w:rPr>
                <w:szCs w:val="24"/>
                <w:lang w:val="en-US"/>
              </w:rPr>
            </w:pPr>
            <w:r w:rsidRPr="00643BC4">
              <w:t>(0.0144)</w:t>
            </w:r>
          </w:p>
        </w:tc>
        <w:tc>
          <w:tcPr>
            <w:tcW w:w="1774" w:type="dxa"/>
            <w:tcBorders>
              <w:top w:val="nil"/>
              <w:left w:val="nil"/>
              <w:bottom w:val="single" w:sz="4" w:space="0" w:color="auto"/>
              <w:right w:val="nil"/>
            </w:tcBorders>
          </w:tcPr>
          <w:p w14:paraId="72C0C9BD" w14:textId="77777777" w:rsidR="00FC40B7" w:rsidRDefault="00FC40B7" w:rsidP="00A04B26">
            <w:pPr>
              <w:widowControl w:val="0"/>
              <w:autoSpaceDE w:val="0"/>
              <w:autoSpaceDN w:val="0"/>
              <w:adjustRightInd w:val="0"/>
              <w:spacing w:line="240" w:lineRule="auto"/>
              <w:jc w:val="center"/>
              <w:rPr>
                <w:szCs w:val="24"/>
                <w:lang w:val="en-US"/>
              </w:rPr>
            </w:pPr>
            <w:r w:rsidRPr="00643BC4">
              <w:t>(0.0144)</w:t>
            </w:r>
          </w:p>
        </w:tc>
        <w:tc>
          <w:tcPr>
            <w:tcW w:w="1695" w:type="dxa"/>
            <w:tcBorders>
              <w:top w:val="nil"/>
              <w:left w:val="nil"/>
              <w:bottom w:val="single" w:sz="4" w:space="0" w:color="auto"/>
              <w:right w:val="nil"/>
            </w:tcBorders>
          </w:tcPr>
          <w:p w14:paraId="690847FA" w14:textId="77777777" w:rsidR="00FC40B7" w:rsidRDefault="00FC40B7" w:rsidP="00A04B26">
            <w:pPr>
              <w:widowControl w:val="0"/>
              <w:autoSpaceDE w:val="0"/>
              <w:autoSpaceDN w:val="0"/>
              <w:adjustRightInd w:val="0"/>
              <w:spacing w:line="240" w:lineRule="auto"/>
              <w:jc w:val="center"/>
              <w:rPr>
                <w:szCs w:val="24"/>
                <w:lang w:val="en-US"/>
              </w:rPr>
            </w:pPr>
            <w:r w:rsidRPr="00643BC4">
              <w:t>(0.0145)</w:t>
            </w:r>
          </w:p>
        </w:tc>
      </w:tr>
      <w:tr w:rsidR="00FC40B7" w:rsidRPr="003935C0" w14:paraId="7C08CD3C" w14:textId="77777777" w:rsidTr="00A04B26">
        <w:trPr>
          <w:trHeight w:val="202"/>
        </w:trPr>
        <w:tc>
          <w:tcPr>
            <w:tcW w:w="6640" w:type="dxa"/>
            <w:tcBorders>
              <w:top w:val="single" w:sz="4" w:space="0" w:color="auto"/>
              <w:left w:val="nil"/>
              <w:bottom w:val="nil"/>
              <w:right w:val="nil"/>
            </w:tcBorders>
          </w:tcPr>
          <w:p w14:paraId="02D5E173"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Observations</w:t>
            </w:r>
          </w:p>
        </w:tc>
        <w:tc>
          <w:tcPr>
            <w:tcW w:w="1800" w:type="dxa"/>
            <w:tcBorders>
              <w:top w:val="single" w:sz="4" w:space="0" w:color="auto"/>
              <w:left w:val="nil"/>
              <w:bottom w:val="nil"/>
              <w:right w:val="nil"/>
            </w:tcBorders>
          </w:tcPr>
          <w:p w14:paraId="623699F8" w14:textId="77777777" w:rsidR="00FC40B7" w:rsidRDefault="00FC40B7" w:rsidP="00A04B26">
            <w:pPr>
              <w:widowControl w:val="0"/>
              <w:autoSpaceDE w:val="0"/>
              <w:autoSpaceDN w:val="0"/>
              <w:adjustRightInd w:val="0"/>
              <w:spacing w:line="240" w:lineRule="auto"/>
              <w:jc w:val="center"/>
              <w:rPr>
                <w:szCs w:val="24"/>
                <w:lang w:val="en-US"/>
              </w:rPr>
            </w:pPr>
            <w:r w:rsidRPr="00643BC4">
              <w:t>1328</w:t>
            </w:r>
          </w:p>
        </w:tc>
        <w:tc>
          <w:tcPr>
            <w:tcW w:w="1938" w:type="dxa"/>
            <w:tcBorders>
              <w:top w:val="single" w:sz="4" w:space="0" w:color="auto"/>
              <w:left w:val="nil"/>
              <w:bottom w:val="nil"/>
              <w:right w:val="nil"/>
            </w:tcBorders>
          </w:tcPr>
          <w:p w14:paraId="63BDAAD7" w14:textId="77777777" w:rsidR="00FC40B7" w:rsidRDefault="00FC40B7" w:rsidP="00A04B26">
            <w:pPr>
              <w:widowControl w:val="0"/>
              <w:autoSpaceDE w:val="0"/>
              <w:autoSpaceDN w:val="0"/>
              <w:adjustRightInd w:val="0"/>
              <w:spacing w:line="240" w:lineRule="auto"/>
              <w:jc w:val="center"/>
              <w:rPr>
                <w:szCs w:val="24"/>
                <w:lang w:val="en-US"/>
              </w:rPr>
            </w:pPr>
            <w:r w:rsidRPr="00643BC4">
              <w:t>1328</w:t>
            </w:r>
          </w:p>
        </w:tc>
        <w:tc>
          <w:tcPr>
            <w:tcW w:w="1774" w:type="dxa"/>
            <w:tcBorders>
              <w:top w:val="single" w:sz="4" w:space="0" w:color="auto"/>
              <w:left w:val="nil"/>
              <w:bottom w:val="nil"/>
              <w:right w:val="nil"/>
            </w:tcBorders>
          </w:tcPr>
          <w:p w14:paraId="7E4FF296" w14:textId="77777777" w:rsidR="00FC40B7" w:rsidRDefault="00FC40B7" w:rsidP="00A04B26">
            <w:pPr>
              <w:widowControl w:val="0"/>
              <w:autoSpaceDE w:val="0"/>
              <w:autoSpaceDN w:val="0"/>
              <w:adjustRightInd w:val="0"/>
              <w:spacing w:line="240" w:lineRule="auto"/>
              <w:jc w:val="center"/>
              <w:rPr>
                <w:szCs w:val="24"/>
                <w:lang w:val="en-US"/>
              </w:rPr>
            </w:pPr>
            <w:r w:rsidRPr="00643BC4">
              <w:t>1328</w:t>
            </w:r>
          </w:p>
        </w:tc>
        <w:tc>
          <w:tcPr>
            <w:tcW w:w="1695" w:type="dxa"/>
            <w:tcBorders>
              <w:top w:val="single" w:sz="4" w:space="0" w:color="auto"/>
              <w:left w:val="nil"/>
              <w:bottom w:val="nil"/>
              <w:right w:val="nil"/>
            </w:tcBorders>
          </w:tcPr>
          <w:p w14:paraId="5C1A67B1" w14:textId="77777777" w:rsidR="00FC40B7" w:rsidRDefault="00FC40B7" w:rsidP="00A04B26">
            <w:pPr>
              <w:widowControl w:val="0"/>
              <w:autoSpaceDE w:val="0"/>
              <w:autoSpaceDN w:val="0"/>
              <w:adjustRightInd w:val="0"/>
              <w:spacing w:line="240" w:lineRule="auto"/>
              <w:jc w:val="center"/>
              <w:rPr>
                <w:szCs w:val="24"/>
                <w:lang w:val="en-US"/>
              </w:rPr>
            </w:pPr>
            <w:r w:rsidRPr="00643BC4">
              <w:t>1328</w:t>
            </w:r>
          </w:p>
        </w:tc>
      </w:tr>
      <w:tr w:rsidR="00FC40B7" w:rsidRPr="003935C0" w14:paraId="2E432207" w14:textId="77777777" w:rsidTr="00A04B26">
        <w:trPr>
          <w:trHeight w:val="187"/>
        </w:trPr>
        <w:tc>
          <w:tcPr>
            <w:tcW w:w="6640" w:type="dxa"/>
            <w:tcBorders>
              <w:top w:val="nil"/>
              <w:left w:val="nil"/>
              <w:bottom w:val="single" w:sz="4" w:space="0" w:color="auto"/>
              <w:right w:val="nil"/>
            </w:tcBorders>
          </w:tcPr>
          <w:p w14:paraId="78B67220" w14:textId="77777777" w:rsidR="00FC40B7" w:rsidRPr="003935C0" w:rsidRDefault="00FC40B7" w:rsidP="00A04B26">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Adj. R-Square</w:t>
            </w:r>
          </w:p>
        </w:tc>
        <w:tc>
          <w:tcPr>
            <w:tcW w:w="1800" w:type="dxa"/>
            <w:tcBorders>
              <w:top w:val="nil"/>
              <w:left w:val="nil"/>
              <w:bottom w:val="single" w:sz="4" w:space="0" w:color="auto"/>
              <w:right w:val="nil"/>
            </w:tcBorders>
          </w:tcPr>
          <w:p w14:paraId="0A45353B" w14:textId="77777777" w:rsidR="00FC40B7" w:rsidRDefault="00FC40B7" w:rsidP="00A04B26">
            <w:pPr>
              <w:widowControl w:val="0"/>
              <w:autoSpaceDE w:val="0"/>
              <w:autoSpaceDN w:val="0"/>
              <w:adjustRightInd w:val="0"/>
              <w:spacing w:line="240" w:lineRule="auto"/>
              <w:jc w:val="center"/>
              <w:rPr>
                <w:szCs w:val="24"/>
                <w:lang w:val="en-US"/>
              </w:rPr>
            </w:pPr>
            <w:r w:rsidRPr="00643BC4">
              <w:t>0.00880</w:t>
            </w:r>
          </w:p>
        </w:tc>
        <w:tc>
          <w:tcPr>
            <w:tcW w:w="1938" w:type="dxa"/>
            <w:tcBorders>
              <w:top w:val="nil"/>
              <w:left w:val="nil"/>
              <w:bottom w:val="single" w:sz="4" w:space="0" w:color="auto"/>
              <w:right w:val="nil"/>
            </w:tcBorders>
          </w:tcPr>
          <w:p w14:paraId="1C17D8CD" w14:textId="77777777" w:rsidR="00FC40B7" w:rsidRDefault="00FC40B7" w:rsidP="00A04B26">
            <w:pPr>
              <w:widowControl w:val="0"/>
              <w:autoSpaceDE w:val="0"/>
              <w:autoSpaceDN w:val="0"/>
              <w:adjustRightInd w:val="0"/>
              <w:spacing w:line="240" w:lineRule="auto"/>
              <w:jc w:val="center"/>
              <w:rPr>
                <w:szCs w:val="24"/>
                <w:lang w:val="en-US"/>
              </w:rPr>
            </w:pPr>
            <w:r w:rsidRPr="00643BC4">
              <w:t>0.00893</w:t>
            </w:r>
          </w:p>
        </w:tc>
        <w:tc>
          <w:tcPr>
            <w:tcW w:w="1774" w:type="dxa"/>
            <w:tcBorders>
              <w:top w:val="nil"/>
              <w:left w:val="nil"/>
              <w:bottom w:val="single" w:sz="4" w:space="0" w:color="auto"/>
              <w:right w:val="nil"/>
            </w:tcBorders>
          </w:tcPr>
          <w:p w14:paraId="59E4E512" w14:textId="77777777" w:rsidR="00FC40B7" w:rsidRDefault="00FC40B7" w:rsidP="00A04B26">
            <w:pPr>
              <w:widowControl w:val="0"/>
              <w:autoSpaceDE w:val="0"/>
              <w:autoSpaceDN w:val="0"/>
              <w:adjustRightInd w:val="0"/>
              <w:spacing w:line="240" w:lineRule="auto"/>
              <w:jc w:val="center"/>
              <w:rPr>
                <w:szCs w:val="24"/>
                <w:lang w:val="en-US"/>
              </w:rPr>
            </w:pPr>
            <w:r w:rsidRPr="00643BC4">
              <w:t>0.00885</w:t>
            </w:r>
          </w:p>
        </w:tc>
        <w:tc>
          <w:tcPr>
            <w:tcW w:w="1695" w:type="dxa"/>
            <w:tcBorders>
              <w:top w:val="nil"/>
              <w:left w:val="nil"/>
              <w:bottom w:val="single" w:sz="4" w:space="0" w:color="auto"/>
              <w:right w:val="nil"/>
            </w:tcBorders>
          </w:tcPr>
          <w:p w14:paraId="3D34D103" w14:textId="77777777" w:rsidR="00FC40B7" w:rsidRDefault="00FC40B7" w:rsidP="00A04B26">
            <w:pPr>
              <w:widowControl w:val="0"/>
              <w:autoSpaceDE w:val="0"/>
              <w:autoSpaceDN w:val="0"/>
              <w:adjustRightInd w:val="0"/>
              <w:spacing w:line="240" w:lineRule="auto"/>
              <w:jc w:val="center"/>
              <w:rPr>
                <w:szCs w:val="24"/>
                <w:lang w:val="en-US"/>
              </w:rPr>
            </w:pPr>
            <w:r w:rsidRPr="00643BC4">
              <w:t>0.00889</w:t>
            </w:r>
          </w:p>
        </w:tc>
      </w:tr>
    </w:tbl>
    <w:p w14:paraId="607D3A63" w14:textId="77777777" w:rsidR="00916B26" w:rsidRPr="00F547A1" w:rsidRDefault="00916B26" w:rsidP="00916B26">
      <w:pPr>
        <w:widowControl w:val="0"/>
        <w:autoSpaceDE w:val="0"/>
        <w:autoSpaceDN w:val="0"/>
        <w:adjustRightInd w:val="0"/>
        <w:spacing w:line="240" w:lineRule="auto"/>
        <w:jc w:val="center"/>
        <w:rPr>
          <w:rFonts w:eastAsia="Calibri" w:cs="Arial"/>
          <w:b/>
          <w:sz w:val="20"/>
          <w:szCs w:val="20"/>
          <w:lang w:val="en-US" w:eastAsia="en-US"/>
        </w:rPr>
      </w:pPr>
      <w:r w:rsidRPr="00F547A1">
        <w:rPr>
          <w:rFonts w:eastAsia="Calibri" w:cs="Arial"/>
          <w:b/>
          <w:sz w:val="20"/>
          <w:szCs w:val="20"/>
          <w:lang w:val="en-US" w:eastAsia="en-US"/>
        </w:rPr>
        <w:t>Standard errors in parentheses</w:t>
      </w:r>
    </w:p>
    <w:p w14:paraId="3F35CB9F" w14:textId="77777777" w:rsidR="00916B26" w:rsidRDefault="00916B26" w:rsidP="00916B26">
      <w:pPr>
        <w:widowControl w:val="0"/>
        <w:autoSpaceDE w:val="0"/>
        <w:autoSpaceDN w:val="0"/>
        <w:adjustRightInd w:val="0"/>
        <w:spacing w:line="240" w:lineRule="auto"/>
        <w:jc w:val="center"/>
        <w:rPr>
          <w:rFonts w:eastAsia="Calibri" w:cs="Arial"/>
          <w:b/>
          <w:sz w:val="20"/>
          <w:szCs w:val="20"/>
          <w:lang w:val="en-US" w:eastAsia="en-US"/>
        </w:rPr>
      </w:pP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sidRPr="00F547A1">
        <w:rPr>
          <w:rFonts w:eastAsia="Calibri" w:cs="Arial"/>
          <w:b/>
          <w:sz w:val="20"/>
          <w:szCs w:val="20"/>
          <w:lang w:val="en-US" w:eastAsia="en-US"/>
        </w:rPr>
        <w:t xml:space="preserve"> &lt; 0.1, </w:t>
      </w: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sidRPr="00F547A1">
        <w:rPr>
          <w:rFonts w:eastAsia="Calibri" w:cs="Arial"/>
          <w:b/>
          <w:sz w:val="20"/>
          <w:szCs w:val="20"/>
          <w:lang w:val="en-US" w:eastAsia="en-US"/>
        </w:rPr>
        <w:t xml:space="preserve"> &lt; 0.05, </w:t>
      </w: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sidRPr="00F547A1">
        <w:rPr>
          <w:rFonts w:eastAsia="Calibri" w:cs="Arial"/>
          <w:b/>
          <w:sz w:val="20"/>
          <w:szCs w:val="20"/>
          <w:lang w:val="en-US" w:eastAsia="en-US"/>
        </w:rPr>
        <w:t xml:space="preserve"> &lt; 0.01</w:t>
      </w:r>
    </w:p>
    <w:p w14:paraId="0DD15C92" w14:textId="77777777" w:rsidR="00916B26" w:rsidRPr="00B22AF4" w:rsidRDefault="00916B26" w:rsidP="00916B26">
      <w:pPr>
        <w:widowControl w:val="0"/>
        <w:autoSpaceDE w:val="0"/>
        <w:autoSpaceDN w:val="0"/>
        <w:adjustRightInd w:val="0"/>
        <w:spacing w:line="240" w:lineRule="auto"/>
        <w:jc w:val="center"/>
        <w:rPr>
          <w:rFonts w:eastAsia="Calibri" w:cs="Arial"/>
          <w:b/>
          <w:sz w:val="20"/>
          <w:szCs w:val="20"/>
          <w:lang w:val="en-US" w:eastAsia="en-US"/>
        </w:rPr>
      </w:pPr>
    </w:p>
    <w:p w14:paraId="33D8FD4B" w14:textId="77777777" w:rsidR="00916B26" w:rsidRPr="006C59AD" w:rsidRDefault="00916B26" w:rsidP="00916B26">
      <w:pPr>
        <w:keepNext/>
        <w:spacing w:after="200" w:line="240" w:lineRule="auto"/>
        <w:ind w:left="-426"/>
        <w:jc w:val="left"/>
        <w:rPr>
          <w:b/>
          <w:i/>
          <w:iCs/>
          <w:color w:val="000000"/>
          <w:szCs w:val="24"/>
        </w:rPr>
      </w:pPr>
      <w:r w:rsidRPr="006C59AD">
        <w:rPr>
          <w:b/>
          <w:i/>
          <w:iCs/>
          <w:color w:val="000000"/>
          <w:szCs w:val="24"/>
        </w:rPr>
        <w:lastRenderedPageBreak/>
        <w:t xml:space="preserve">Table </w:t>
      </w:r>
      <w:r w:rsidR="00691A0C">
        <w:rPr>
          <w:b/>
          <w:i/>
          <w:iCs/>
          <w:color w:val="000000"/>
          <w:szCs w:val="24"/>
        </w:rPr>
        <w:t>3</w:t>
      </w:r>
      <w:r w:rsidRPr="006C59AD">
        <w:rPr>
          <w:b/>
          <w:i/>
          <w:iCs/>
          <w:color w:val="000000"/>
          <w:szCs w:val="24"/>
        </w:rPr>
        <w:t xml:space="preserve">: Bitcoin </w:t>
      </w:r>
      <w:r>
        <w:rPr>
          <w:b/>
          <w:i/>
          <w:iCs/>
          <w:color w:val="000000"/>
          <w:szCs w:val="24"/>
        </w:rPr>
        <w:t>return</w:t>
      </w:r>
      <w:r w:rsidRPr="006C59AD">
        <w:rPr>
          <w:b/>
          <w:i/>
          <w:iCs/>
          <w:color w:val="000000"/>
          <w:szCs w:val="24"/>
        </w:rPr>
        <w:t xml:space="preserve"> on Sentiment </w:t>
      </w:r>
      <w:r>
        <w:rPr>
          <w:b/>
          <w:i/>
          <w:iCs/>
          <w:color w:val="000000"/>
          <w:szCs w:val="24"/>
        </w:rPr>
        <w:t>return</w:t>
      </w:r>
      <w:r w:rsidRPr="006C59AD">
        <w:rPr>
          <w:b/>
          <w:i/>
          <w:iCs/>
          <w:color w:val="000000"/>
          <w:szCs w:val="24"/>
        </w:rPr>
        <w:t xml:space="preserve"> regressions</w:t>
      </w:r>
    </w:p>
    <w:tbl>
      <w:tblPr>
        <w:tblW w:w="13847" w:type="dxa"/>
        <w:tblInd w:w="-426" w:type="dxa"/>
        <w:tblLayout w:type="fixed"/>
        <w:tblLook w:val="0000" w:firstRow="0" w:lastRow="0" w:firstColumn="0" w:lastColumn="0" w:noHBand="0" w:noVBand="0"/>
      </w:tblPr>
      <w:tblGrid>
        <w:gridCol w:w="6640"/>
        <w:gridCol w:w="1800"/>
        <w:gridCol w:w="1938"/>
        <w:gridCol w:w="1774"/>
        <w:gridCol w:w="1695"/>
      </w:tblGrid>
      <w:tr w:rsidR="00916B26" w:rsidRPr="003935C0" w14:paraId="54870E7E" w14:textId="77777777" w:rsidTr="00691A0C">
        <w:trPr>
          <w:trHeight w:val="187"/>
        </w:trPr>
        <w:tc>
          <w:tcPr>
            <w:tcW w:w="6640" w:type="dxa"/>
            <w:vMerge w:val="restart"/>
            <w:tcBorders>
              <w:top w:val="single" w:sz="4" w:space="0" w:color="auto"/>
              <w:left w:val="nil"/>
              <w:right w:val="nil"/>
            </w:tcBorders>
            <w:vAlign w:val="center"/>
          </w:tcPr>
          <w:p w14:paraId="2679FF30" w14:textId="77777777" w:rsidR="00916B26" w:rsidRPr="003935C0" w:rsidRDefault="00916B26" w:rsidP="00691A0C">
            <w:pPr>
              <w:widowControl w:val="0"/>
              <w:autoSpaceDE w:val="0"/>
              <w:autoSpaceDN w:val="0"/>
              <w:adjustRightInd w:val="0"/>
              <w:spacing w:line="240" w:lineRule="auto"/>
              <w:jc w:val="left"/>
              <w:rPr>
                <w:rFonts w:eastAsia="Calibri" w:cs="Arial"/>
                <w:b/>
                <w:szCs w:val="20"/>
                <w:lang w:val="en-US" w:eastAsia="en-US"/>
              </w:rPr>
            </w:pPr>
          </w:p>
        </w:tc>
        <w:tc>
          <w:tcPr>
            <w:tcW w:w="1800" w:type="dxa"/>
            <w:tcBorders>
              <w:top w:val="single" w:sz="4" w:space="0" w:color="auto"/>
              <w:left w:val="nil"/>
              <w:bottom w:val="nil"/>
              <w:right w:val="nil"/>
            </w:tcBorders>
          </w:tcPr>
          <w:p w14:paraId="313F9F38"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(1)</w:t>
            </w:r>
          </w:p>
        </w:tc>
        <w:tc>
          <w:tcPr>
            <w:tcW w:w="1938" w:type="dxa"/>
            <w:tcBorders>
              <w:top w:val="single" w:sz="4" w:space="0" w:color="auto"/>
              <w:left w:val="nil"/>
              <w:bottom w:val="nil"/>
              <w:right w:val="nil"/>
            </w:tcBorders>
          </w:tcPr>
          <w:p w14:paraId="70CBE575"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(2)</w:t>
            </w:r>
          </w:p>
        </w:tc>
        <w:tc>
          <w:tcPr>
            <w:tcW w:w="1774" w:type="dxa"/>
            <w:tcBorders>
              <w:top w:val="single" w:sz="4" w:space="0" w:color="auto"/>
              <w:left w:val="nil"/>
              <w:bottom w:val="nil"/>
              <w:right w:val="nil"/>
            </w:tcBorders>
          </w:tcPr>
          <w:p w14:paraId="592EA998"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(3)</w:t>
            </w:r>
          </w:p>
        </w:tc>
        <w:tc>
          <w:tcPr>
            <w:tcW w:w="1695" w:type="dxa"/>
            <w:tcBorders>
              <w:top w:val="single" w:sz="4" w:space="0" w:color="auto"/>
              <w:left w:val="nil"/>
              <w:bottom w:val="nil"/>
              <w:right w:val="nil"/>
            </w:tcBorders>
          </w:tcPr>
          <w:p w14:paraId="6E2D223A"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(4)</w:t>
            </w:r>
          </w:p>
        </w:tc>
      </w:tr>
      <w:tr w:rsidR="00916B26" w:rsidRPr="003935C0" w14:paraId="06D2CE8A" w14:textId="77777777" w:rsidTr="00691A0C">
        <w:trPr>
          <w:trHeight w:val="90"/>
        </w:trPr>
        <w:tc>
          <w:tcPr>
            <w:tcW w:w="6640" w:type="dxa"/>
            <w:vMerge/>
            <w:tcBorders>
              <w:left w:val="nil"/>
              <w:bottom w:val="nil"/>
              <w:right w:val="nil"/>
            </w:tcBorders>
          </w:tcPr>
          <w:p w14:paraId="5C43E8B0" w14:textId="77777777" w:rsidR="00916B26" w:rsidRPr="003935C0" w:rsidRDefault="00916B26" w:rsidP="00691A0C">
            <w:pPr>
              <w:widowControl w:val="0"/>
              <w:autoSpaceDE w:val="0"/>
              <w:autoSpaceDN w:val="0"/>
              <w:adjustRightInd w:val="0"/>
              <w:spacing w:line="240" w:lineRule="auto"/>
              <w:jc w:val="left"/>
              <w:rPr>
                <w:rFonts w:eastAsia="Calibri" w:cs="Arial"/>
                <w:b/>
                <w:szCs w:val="20"/>
                <w:lang w:val="en-US" w:eastAsia="en-US"/>
              </w:rPr>
            </w:pPr>
          </w:p>
        </w:tc>
        <w:tc>
          <w:tcPr>
            <w:tcW w:w="1800" w:type="dxa"/>
            <w:tcBorders>
              <w:top w:val="nil"/>
              <w:left w:val="nil"/>
              <w:bottom w:val="nil"/>
              <w:right w:val="nil"/>
            </w:tcBorders>
          </w:tcPr>
          <w:p w14:paraId="34429DE0"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938" w:type="dxa"/>
            <w:tcBorders>
              <w:top w:val="nil"/>
              <w:left w:val="nil"/>
              <w:bottom w:val="nil"/>
              <w:right w:val="nil"/>
            </w:tcBorders>
          </w:tcPr>
          <w:p w14:paraId="7AAF7077"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774" w:type="dxa"/>
            <w:tcBorders>
              <w:top w:val="nil"/>
              <w:left w:val="nil"/>
              <w:bottom w:val="nil"/>
              <w:right w:val="nil"/>
            </w:tcBorders>
          </w:tcPr>
          <w:p w14:paraId="377A7A1F"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695" w:type="dxa"/>
            <w:tcBorders>
              <w:top w:val="nil"/>
              <w:left w:val="nil"/>
              <w:bottom w:val="nil"/>
              <w:right w:val="nil"/>
            </w:tcBorders>
          </w:tcPr>
          <w:p w14:paraId="70ABB886"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r>
      <w:tr w:rsidR="00916B26" w:rsidRPr="003935C0" w14:paraId="39465193" w14:textId="77777777" w:rsidTr="00691A0C">
        <w:trPr>
          <w:trHeight w:val="187"/>
        </w:trPr>
        <w:tc>
          <w:tcPr>
            <w:tcW w:w="6640" w:type="dxa"/>
            <w:tcBorders>
              <w:top w:val="single" w:sz="4" w:space="0" w:color="auto"/>
              <w:left w:val="nil"/>
              <w:bottom w:val="nil"/>
              <w:right w:val="nil"/>
            </w:tcBorders>
          </w:tcPr>
          <w:p w14:paraId="604A404C"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Pr>
                <w:rFonts w:eastAsia="Calibri" w:cs="Arial"/>
                <w:szCs w:val="20"/>
                <w:lang w:val="en-US" w:eastAsia="en-US"/>
              </w:rPr>
              <w:t>Sentiment RTN</w:t>
            </w:r>
          </w:p>
        </w:tc>
        <w:tc>
          <w:tcPr>
            <w:tcW w:w="1800" w:type="dxa"/>
            <w:tcBorders>
              <w:top w:val="single" w:sz="4" w:space="0" w:color="auto"/>
              <w:left w:val="nil"/>
              <w:bottom w:val="nil"/>
              <w:right w:val="nil"/>
            </w:tcBorders>
          </w:tcPr>
          <w:p w14:paraId="1B919E58"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-0.00352</w:t>
            </w:r>
          </w:p>
        </w:tc>
        <w:tc>
          <w:tcPr>
            <w:tcW w:w="1938" w:type="dxa"/>
            <w:tcBorders>
              <w:top w:val="single" w:sz="4" w:space="0" w:color="auto"/>
              <w:left w:val="nil"/>
              <w:bottom w:val="nil"/>
              <w:right w:val="nil"/>
            </w:tcBorders>
          </w:tcPr>
          <w:p w14:paraId="3C745DAD"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-0.00365</w:t>
            </w:r>
          </w:p>
        </w:tc>
        <w:tc>
          <w:tcPr>
            <w:tcW w:w="1774" w:type="dxa"/>
            <w:tcBorders>
              <w:top w:val="single" w:sz="4" w:space="0" w:color="auto"/>
              <w:left w:val="nil"/>
              <w:bottom w:val="nil"/>
              <w:right w:val="nil"/>
            </w:tcBorders>
          </w:tcPr>
          <w:p w14:paraId="573A892B"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-0.00350</w:t>
            </w:r>
          </w:p>
        </w:tc>
        <w:tc>
          <w:tcPr>
            <w:tcW w:w="1695" w:type="dxa"/>
            <w:tcBorders>
              <w:top w:val="single" w:sz="4" w:space="0" w:color="auto"/>
              <w:left w:val="nil"/>
              <w:bottom w:val="nil"/>
              <w:right w:val="nil"/>
            </w:tcBorders>
          </w:tcPr>
          <w:p w14:paraId="7BAD0FDB"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-0.00323</w:t>
            </w:r>
          </w:p>
        </w:tc>
      </w:tr>
      <w:tr w:rsidR="00916B26" w:rsidRPr="003935C0" w14:paraId="2ECC7968" w14:textId="77777777" w:rsidTr="00691A0C">
        <w:trPr>
          <w:trHeight w:val="164"/>
        </w:trPr>
        <w:tc>
          <w:tcPr>
            <w:tcW w:w="6640" w:type="dxa"/>
            <w:tcBorders>
              <w:top w:val="nil"/>
              <w:left w:val="nil"/>
              <w:bottom w:val="nil"/>
              <w:right w:val="nil"/>
            </w:tcBorders>
          </w:tcPr>
          <w:p w14:paraId="59B4488C"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744FFC05"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(0.00266)</w:t>
            </w:r>
          </w:p>
        </w:tc>
        <w:tc>
          <w:tcPr>
            <w:tcW w:w="1938" w:type="dxa"/>
            <w:tcBorders>
              <w:top w:val="nil"/>
              <w:left w:val="nil"/>
              <w:bottom w:val="nil"/>
              <w:right w:val="nil"/>
            </w:tcBorders>
          </w:tcPr>
          <w:p w14:paraId="3B8451DD"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(0.00266)</w:t>
            </w:r>
          </w:p>
        </w:tc>
        <w:tc>
          <w:tcPr>
            <w:tcW w:w="1774" w:type="dxa"/>
            <w:tcBorders>
              <w:top w:val="nil"/>
              <w:left w:val="nil"/>
              <w:bottom w:val="nil"/>
              <w:right w:val="nil"/>
            </w:tcBorders>
          </w:tcPr>
          <w:p w14:paraId="5E456379"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(0.00310)</w:t>
            </w:r>
          </w:p>
        </w:tc>
        <w:tc>
          <w:tcPr>
            <w:tcW w:w="1695" w:type="dxa"/>
            <w:tcBorders>
              <w:top w:val="nil"/>
              <w:left w:val="nil"/>
              <w:bottom w:val="nil"/>
              <w:right w:val="nil"/>
            </w:tcBorders>
          </w:tcPr>
          <w:p w14:paraId="27061125"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(0.00314)</w:t>
            </w:r>
          </w:p>
        </w:tc>
      </w:tr>
      <w:tr w:rsidR="00916B26" w:rsidRPr="003935C0" w14:paraId="3872EE33" w14:textId="77777777" w:rsidTr="00691A0C">
        <w:trPr>
          <w:trHeight w:val="202"/>
        </w:trPr>
        <w:tc>
          <w:tcPr>
            <w:tcW w:w="6640" w:type="dxa"/>
            <w:tcBorders>
              <w:top w:val="nil"/>
              <w:left w:val="nil"/>
              <w:bottom w:val="nil"/>
              <w:right w:val="nil"/>
            </w:tcBorders>
          </w:tcPr>
          <w:p w14:paraId="755A50C3"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24D93BB5" w14:textId="77777777" w:rsidR="00916B26" w:rsidRDefault="00916B26" w:rsidP="00691A0C">
            <w:pPr>
              <w:widowControl w:val="0"/>
              <w:autoSpaceDE w:val="0"/>
              <w:autoSpaceDN w:val="0"/>
              <w:adjustRightInd w:val="0"/>
              <w:spacing w:line="240" w:lineRule="auto"/>
              <w:rPr>
                <w:szCs w:val="24"/>
                <w:lang w:val="en-US"/>
              </w:rPr>
            </w:pPr>
          </w:p>
        </w:tc>
        <w:tc>
          <w:tcPr>
            <w:tcW w:w="1938" w:type="dxa"/>
            <w:tcBorders>
              <w:top w:val="nil"/>
              <w:left w:val="nil"/>
              <w:bottom w:val="nil"/>
              <w:right w:val="nil"/>
            </w:tcBorders>
          </w:tcPr>
          <w:p w14:paraId="3CD453C3" w14:textId="77777777" w:rsidR="00916B26" w:rsidRDefault="00916B26" w:rsidP="00691A0C">
            <w:pPr>
              <w:widowControl w:val="0"/>
              <w:autoSpaceDE w:val="0"/>
              <w:autoSpaceDN w:val="0"/>
              <w:adjustRightInd w:val="0"/>
              <w:spacing w:line="240" w:lineRule="auto"/>
              <w:rPr>
                <w:szCs w:val="24"/>
                <w:lang w:val="en-US"/>
              </w:rPr>
            </w:pPr>
          </w:p>
        </w:tc>
        <w:tc>
          <w:tcPr>
            <w:tcW w:w="1774" w:type="dxa"/>
            <w:tcBorders>
              <w:top w:val="nil"/>
              <w:left w:val="nil"/>
              <w:bottom w:val="nil"/>
              <w:right w:val="nil"/>
            </w:tcBorders>
          </w:tcPr>
          <w:p w14:paraId="389E44D8" w14:textId="77777777" w:rsidR="00916B26" w:rsidRDefault="00916B26" w:rsidP="00691A0C">
            <w:pPr>
              <w:widowControl w:val="0"/>
              <w:autoSpaceDE w:val="0"/>
              <w:autoSpaceDN w:val="0"/>
              <w:adjustRightInd w:val="0"/>
              <w:spacing w:line="240" w:lineRule="auto"/>
              <w:rPr>
                <w:szCs w:val="24"/>
                <w:lang w:val="en-US"/>
              </w:rPr>
            </w:pPr>
          </w:p>
        </w:tc>
        <w:tc>
          <w:tcPr>
            <w:tcW w:w="1695" w:type="dxa"/>
            <w:tcBorders>
              <w:top w:val="nil"/>
              <w:left w:val="nil"/>
              <w:bottom w:val="nil"/>
              <w:right w:val="nil"/>
            </w:tcBorders>
          </w:tcPr>
          <w:p w14:paraId="2AC3E69D" w14:textId="77777777" w:rsidR="00916B26" w:rsidRDefault="00916B26" w:rsidP="00691A0C">
            <w:pPr>
              <w:widowControl w:val="0"/>
              <w:autoSpaceDE w:val="0"/>
              <w:autoSpaceDN w:val="0"/>
              <w:adjustRightInd w:val="0"/>
              <w:spacing w:line="240" w:lineRule="auto"/>
              <w:rPr>
                <w:szCs w:val="24"/>
                <w:lang w:val="en-US"/>
              </w:rPr>
            </w:pPr>
          </w:p>
        </w:tc>
      </w:tr>
      <w:tr w:rsidR="00916B26" w:rsidRPr="003935C0" w14:paraId="57CD5A78" w14:textId="77777777" w:rsidTr="00691A0C">
        <w:trPr>
          <w:trHeight w:val="202"/>
        </w:trPr>
        <w:tc>
          <w:tcPr>
            <w:tcW w:w="6640" w:type="dxa"/>
            <w:tcBorders>
              <w:top w:val="nil"/>
              <w:left w:val="nil"/>
              <w:bottom w:val="nil"/>
              <w:right w:val="nil"/>
            </w:tcBorders>
          </w:tcPr>
          <w:p w14:paraId="2C28FA36"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Volume</w:t>
            </w:r>
          </w:p>
        </w:tc>
        <w:tc>
          <w:tcPr>
            <w:tcW w:w="1800" w:type="dxa"/>
            <w:tcBorders>
              <w:top w:val="nil"/>
              <w:left w:val="nil"/>
              <w:bottom w:val="nil"/>
              <w:right w:val="nil"/>
            </w:tcBorders>
          </w:tcPr>
          <w:p w14:paraId="3B13C1BC" w14:textId="77777777" w:rsidR="00916B26" w:rsidRDefault="00916B26" w:rsidP="00691A0C">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7FFC1426"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0.000870</w:t>
            </w:r>
            <w:r>
              <w:rPr>
                <w:szCs w:val="24"/>
                <w:vertAlign w:val="superscript"/>
                <w:lang w:val="en-US"/>
              </w:rPr>
              <w:t>**</w:t>
            </w:r>
          </w:p>
        </w:tc>
        <w:tc>
          <w:tcPr>
            <w:tcW w:w="1774" w:type="dxa"/>
            <w:tcBorders>
              <w:top w:val="nil"/>
              <w:left w:val="nil"/>
              <w:bottom w:val="nil"/>
              <w:right w:val="nil"/>
            </w:tcBorders>
          </w:tcPr>
          <w:p w14:paraId="049DE141"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0.00149</w:t>
            </w:r>
            <w:r>
              <w:rPr>
                <w:szCs w:val="24"/>
                <w:vertAlign w:val="superscript"/>
                <w:lang w:val="en-US"/>
              </w:rPr>
              <w:t>***</w:t>
            </w:r>
          </w:p>
        </w:tc>
        <w:tc>
          <w:tcPr>
            <w:tcW w:w="1695" w:type="dxa"/>
            <w:tcBorders>
              <w:top w:val="nil"/>
              <w:left w:val="nil"/>
              <w:bottom w:val="nil"/>
              <w:right w:val="nil"/>
            </w:tcBorders>
          </w:tcPr>
          <w:p w14:paraId="37D7405F"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0.00151</w:t>
            </w:r>
            <w:r>
              <w:rPr>
                <w:szCs w:val="24"/>
                <w:vertAlign w:val="superscript"/>
                <w:lang w:val="en-US"/>
              </w:rPr>
              <w:t>***</w:t>
            </w:r>
          </w:p>
        </w:tc>
      </w:tr>
      <w:tr w:rsidR="00916B26" w:rsidRPr="003935C0" w14:paraId="1B40DF88" w14:textId="77777777" w:rsidTr="00691A0C">
        <w:trPr>
          <w:trHeight w:val="187"/>
        </w:trPr>
        <w:tc>
          <w:tcPr>
            <w:tcW w:w="6640" w:type="dxa"/>
            <w:tcBorders>
              <w:top w:val="nil"/>
              <w:left w:val="nil"/>
              <w:bottom w:val="nil"/>
              <w:right w:val="nil"/>
            </w:tcBorders>
          </w:tcPr>
          <w:p w14:paraId="7C14A540"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3F148B86" w14:textId="77777777" w:rsidR="00916B26" w:rsidRDefault="00916B26" w:rsidP="00691A0C">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12397683"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(0.000423)</w:t>
            </w:r>
          </w:p>
        </w:tc>
        <w:tc>
          <w:tcPr>
            <w:tcW w:w="1774" w:type="dxa"/>
            <w:tcBorders>
              <w:top w:val="nil"/>
              <w:left w:val="nil"/>
              <w:bottom w:val="nil"/>
              <w:right w:val="nil"/>
            </w:tcBorders>
          </w:tcPr>
          <w:p w14:paraId="41844978"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(0.000525)</w:t>
            </w:r>
          </w:p>
        </w:tc>
        <w:tc>
          <w:tcPr>
            <w:tcW w:w="1695" w:type="dxa"/>
            <w:tcBorders>
              <w:top w:val="nil"/>
              <w:left w:val="nil"/>
              <w:bottom w:val="nil"/>
              <w:right w:val="nil"/>
            </w:tcBorders>
          </w:tcPr>
          <w:p w14:paraId="0B035E2F"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(0.000527)</w:t>
            </w:r>
          </w:p>
        </w:tc>
      </w:tr>
      <w:tr w:rsidR="00916B26" w:rsidRPr="003935C0" w14:paraId="71AE9FAA" w14:textId="77777777" w:rsidTr="00691A0C">
        <w:trPr>
          <w:trHeight w:val="202"/>
        </w:trPr>
        <w:tc>
          <w:tcPr>
            <w:tcW w:w="6640" w:type="dxa"/>
            <w:tcBorders>
              <w:top w:val="nil"/>
              <w:left w:val="nil"/>
              <w:bottom w:val="nil"/>
              <w:right w:val="nil"/>
            </w:tcBorders>
          </w:tcPr>
          <w:p w14:paraId="22CC2F90"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0E4961E9" w14:textId="77777777" w:rsidR="00916B26" w:rsidRDefault="00916B26" w:rsidP="00691A0C">
            <w:pPr>
              <w:widowControl w:val="0"/>
              <w:autoSpaceDE w:val="0"/>
              <w:autoSpaceDN w:val="0"/>
              <w:adjustRightInd w:val="0"/>
              <w:spacing w:line="240" w:lineRule="auto"/>
              <w:rPr>
                <w:szCs w:val="24"/>
                <w:lang w:val="en-US"/>
              </w:rPr>
            </w:pPr>
          </w:p>
        </w:tc>
        <w:tc>
          <w:tcPr>
            <w:tcW w:w="1938" w:type="dxa"/>
            <w:tcBorders>
              <w:top w:val="nil"/>
              <w:left w:val="nil"/>
              <w:bottom w:val="nil"/>
              <w:right w:val="nil"/>
            </w:tcBorders>
          </w:tcPr>
          <w:p w14:paraId="303DDCC5" w14:textId="77777777" w:rsidR="00916B26" w:rsidRDefault="00916B26" w:rsidP="00691A0C">
            <w:pPr>
              <w:widowControl w:val="0"/>
              <w:autoSpaceDE w:val="0"/>
              <w:autoSpaceDN w:val="0"/>
              <w:adjustRightInd w:val="0"/>
              <w:spacing w:line="240" w:lineRule="auto"/>
              <w:rPr>
                <w:szCs w:val="24"/>
                <w:lang w:val="en-US"/>
              </w:rPr>
            </w:pPr>
          </w:p>
        </w:tc>
        <w:tc>
          <w:tcPr>
            <w:tcW w:w="1774" w:type="dxa"/>
            <w:tcBorders>
              <w:top w:val="nil"/>
              <w:left w:val="nil"/>
              <w:bottom w:val="nil"/>
              <w:right w:val="nil"/>
            </w:tcBorders>
          </w:tcPr>
          <w:p w14:paraId="504B4316" w14:textId="77777777" w:rsidR="00916B26" w:rsidRDefault="00916B26" w:rsidP="00691A0C">
            <w:pPr>
              <w:widowControl w:val="0"/>
              <w:autoSpaceDE w:val="0"/>
              <w:autoSpaceDN w:val="0"/>
              <w:adjustRightInd w:val="0"/>
              <w:spacing w:line="240" w:lineRule="auto"/>
              <w:rPr>
                <w:szCs w:val="24"/>
                <w:lang w:val="en-US"/>
              </w:rPr>
            </w:pPr>
          </w:p>
        </w:tc>
        <w:tc>
          <w:tcPr>
            <w:tcW w:w="1695" w:type="dxa"/>
            <w:tcBorders>
              <w:top w:val="nil"/>
              <w:left w:val="nil"/>
              <w:bottom w:val="nil"/>
              <w:right w:val="nil"/>
            </w:tcBorders>
          </w:tcPr>
          <w:p w14:paraId="725994CE" w14:textId="77777777" w:rsidR="00916B26" w:rsidRDefault="00916B26" w:rsidP="00691A0C">
            <w:pPr>
              <w:widowControl w:val="0"/>
              <w:autoSpaceDE w:val="0"/>
              <w:autoSpaceDN w:val="0"/>
              <w:adjustRightInd w:val="0"/>
              <w:spacing w:line="240" w:lineRule="auto"/>
              <w:rPr>
                <w:szCs w:val="24"/>
                <w:lang w:val="en-US"/>
              </w:rPr>
            </w:pPr>
          </w:p>
        </w:tc>
      </w:tr>
      <w:tr w:rsidR="00916B26" w:rsidRPr="003935C0" w14:paraId="27DF7E3D" w14:textId="77777777" w:rsidTr="00691A0C">
        <w:trPr>
          <w:trHeight w:val="202"/>
        </w:trPr>
        <w:tc>
          <w:tcPr>
            <w:tcW w:w="6640" w:type="dxa"/>
            <w:tcBorders>
              <w:top w:val="nil"/>
              <w:left w:val="nil"/>
              <w:bottom w:val="nil"/>
              <w:right w:val="nil"/>
            </w:tcBorders>
          </w:tcPr>
          <w:p w14:paraId="53302E46"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VIX</w:t>
            </w:r>
          </w:p>
        </w:tc>
        <w:tc>
          <w:tcPr>
            <w:tcW w:w="1800" w:type="dxa"/>
            <w:tcBorders>
              <w:top w:val="nil"/>
              <w:left w:val="nil"/>
              <w:bottom w:val="nil"/>
              <w:right w:val="nil"/>
            </w:tcBorders>
          </w:tcPr>
          <w:p w14:paraId="7A6C1475" w14:textId="77777777" w:rsidR="00916B26" w:rsidRDefault="00916B26" w:rsidP="00691A0C">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1F59D553" w14:textId="77777777" w:rsidR="00916B26" w:rsidRDefault="00916B26" w:rsidP="00691A0C">
            <w:pPr>
              <w:widowControl w:val="0"/>
              <w:autoSpaceDE w:val="0"/>
              <w:autoSpaceDN w:val="0"/>
              <w:adjustRightInd w:val="0"/>
              <w:spacing w:line="240" w:lineRule="auto"/>
              <w:jc w:val="center"/>
              <w:rPr>
                <w:szCs w:val="24"/>
                <w:lang w:val="en-US"/>
              </w:rPr>
            </w:pPr>
          </w:p>
        </w:tc>
        <w:tc>
          <w:tcPr>
            <w:tcW w:w="1774" w:type="dxa"/>
            <w:tcBorders>
              <w:top w:val="nil"/>
              <w:left w:val="nil"/>
              <w:bottom w:val="nil"/>
              <w:right w:val="nil"/>
            </w:tcBorders>
          </w:tcPr>
          <w:p w14:paraId="54599EB4"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-0.0123</w:t>
            </w:r>
            <w:r>
              <w:rPr>
                <w:szCs w:val="24"/>
                <w:vertAlign w:val="superscript"/>
                <w:lang w:val="en-US"/>
              </w:rPr>
              <w:t>***</w:t>
            </w:r>
          </w:p>
        </w:tc>
        <w:tc>
          <w:tcPr>
            <w:tcW w:w="1695" w:type="dxa"/>
            <w:tcBorders>
              <w:top w:val="nil"/>
              <w:left w:val="nil"/>
              <w:bottom w:val="nil"/>
              <w:right w:val="nil"/>
            </w:tcBorders>
          </w:tcPr>
          <w:p w14:paraId="0D2A3928"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-0.0123</w:t>
            </w:r>
            <w:r>
              <w:rPr>
                <w:szCs w:val="24"/>
                <w:vertAlign w:val="superscript"/>
                <w:lang w:val="en-US"/>
              </w:rPr>
              <w:t>***</w:t>
            </w:r>
          </w:p>
        </w:tc>
      </w:tr>
      <w:tr w:rsidR="00916B26" w:rsidRPr="003935C0" w14:paraId="3D39A379" w14:textId="77777777" w:rsidTr="00691A0C">
        <w:trPr>
          <w:trHeight w:val="202"/>
        </w:trPr>
        <w:tc>
          <w:tcPr>
            <w:tcW w:w="6640" w:type="dxa"/>
            <w:tcBorders>
              <w:top w:val="nil"/>
              <w:left w:val="nil"/>
              <w:bottom w:val="nil"/>
              <w:right w:val="nil"/>
            </w:tcBorders>
          </w:tcPr>
          <w:p w14:paraId="43FAA14F"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010B218E" w14:textId="77777777" w:rsidR="00916B26" w:rsidRDefault="00916B26" w:rsidP="00691A0C">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2312ED80" w14:textId="77777777" w:rsidR="00916B26" w:rsidRDefault="00916B26" w:rsidP="00691A0C">
            <w:pPr>
              <w:widowControl w:val="0"/>
              <w:autoSpaceDE w:val="0"/>
              <w:autoSpaceDN w:val="0"/>
              <w:adjustRightInd w:val="0"/>
              <w:spacing w:line="240" w:lineRule="auto"/>
              <w:jc w:val="center"/>
              <w:rPr>
                <w:szCs w:val="24"/>
                <w:lang w:val="en-US"/>
              </w:rPr>
            </w:pPr>
          </w:p>
        </w:tc>
        <w:tc>
          <w:tcPr>
            <w:tcW w:w="1774" w:type="dxa"/>
            <w:tcBorders>
              <w:top w:val="nil"/>
              <w:left w:val="nil"/>
              <w:bottom w:val="nil"/>
              <w:right w:val="nil"/>
            </w:tcBorders>
          </w:tcPr>
          <w:p w14:paraId="282E01B9"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(0.00432)</w:t>
            </w:r>
          </w:p>
        </w:tc>
        <w:tc>
          <w:tcPr>
            <w:tcW w:w="1695" w:type="dxa"/>
            <w:tcBorders>
              <w:top w:val="nil"/>
              <w:left w:val="nil"/>
              <w:bottom w:val="nil"/>
              <w:right w:val="nil"/>
            </w:tcBorders>
          </w:tcPr>
          <w:p w14:paraId="0804DA5C"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(0.00432)</w:t>
            </w:r>
          </w:p>
        </w:tc>
      </w:tr>
      <w:tr w:rsidR="00916B26" w:rsidRPr="003935C0" w14:paraId="54E11977" w14:textId="77777777" w:rsidTr="00691A0C">
        <w:trPr>
          <w:trHeight w:val="202"/>
        </w:trPr>
        <w:tc>
          <w:tcPr>
            <w:tcW w:w="6640" w:type="dxa"/>
            <w:tcBorders>
              <w:top w:val="nil"/>
              <w:left w:val="nil"/>
              <w:bottom w:val="nil"/>
              <w:right w:val="nil"/>
            </w:tcBorders>
          </w:tcPr>
          <w:p w14:paraId="674122F2"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48E69919" w14:textId="77777777" w:rsidR="00916B26" w:rsidRDefault="00916B26" w:rsidP="00691A0C">
            <w:pPr>
              <w:widowControl w:val="0"/>
              <w:autoSpaceDE w:val="0"/>
              <w:autoSpaceDN w:val="0"/>
              <w:adjustRightInd w:val="0"/>
              <w:spacing w:line="240" w:lineRule="auto"/>
              <w:rPr>
                <w:szCs w:val="24"/>
                <w:lang w:val="en-US"/>
              </w:rPr>
            </w:pPr>
          </w:p>
        </w:tc>
        <w:tc>
          <w:tcPr>
            <w:tcW w:w="1938" w:type="dxa"/>
            <w:tcBorders>
              <w:top w:val="nil"/>
              <w:left w:val="nil"/>
              <w:bottom w:val="nil"/>
              <w:right w:val="nil"/>
            </w:tcBorders>
          </w:tcPr>
          <w:p w14:paraId="518C1F3C" w14:textId="77777777" w:rsidR="00916B26" w:rsidRDefault="00916B26" w:rsidP="00691A0C">
            <w:pPr>
              <w:widowControl w:val="0"/>
              <w:autoSpaceDE w:val="0"/>
              <w:autoSpaceDN w:val="0"/>
              <w:adjustRightInd w:val="0"/>
              <w:spacing w:line="240" w:lineRule="auto"/>
              <w:rPr>
                <w:szCs w:val="24"/>
                <w:lang w:val="en-US"/>
              </w:rPr>
            </w:pPr>
          </w:p>
        </w:tc>
        <w:tc>
          <w:tcPr>
            <w:tcW w:w="1774" w:type="dxa"/>
            <w:tcBorders>
              <w:top w:val="nil"/>
              <w:left w:val="nil"/>
              <w:bottom w:val="nil"/>
              <w:right w:val="nil"/>
            </w:tcBorders>
          </w:tcPr>
          <w:p w14:paraId="079721C2" w14:textId="77777777" w:rsidR="00916B26" w:rsidRDefault="00916B26" w:rsidP="00691A0C">
            <w:pPr>
              <w:widowControl w:val="0"/>
              <w:autoSpaceDE w:val="0"/>
              <w:autoSpaceDN w:val="0"/>
              <w:adjustRightInd w:val="0"/>
              <w:spacing w:line="240" w:lineRule="auto"/>
              <w:rPr>
                <w:szCs w:val="24"/>
                <w:lang w:val="en-US"/>
              </w:rPr>
            </w:pPr>
          </w:p>
        </w:tc>
        <w:tc>
          <w:tcPr>
            <w:tcW w:w="1695" w:type="dxa"/>
            <w:tcBorders>
              <w:top w:val="nil"/>
              <w:left w:val="nil"/>
              <w:bottom w:val="nil"/>
              <w:right w:val="nil"/>
            </w:tcBorders>
          </w:tcPr>
          <w:p w14:paraId="4BF6C49A" w14:textId="77777777" w:rsidR="00916B26" w:rsidRDefault="00916B26" w:rsidP="00691A0C">
            <w:pPr>
              <w:widowControl w:val="0"/>
              <w:autoSpaceDE w:val="0"/>
              <w:autoSpaceDN w:val="0"/>
              <w:adjustRightInd w:val="0"/>
              <w:spacing w:line="240" w:lineRule="auto"/>
              <w:rPr>
                <w:szCs w:val="24"/>
                <w:lang w:val="en-US"/>
              </w:rPr>
            </w:pPr>
          </w:p>
        </w:tc>
      </w:tr>
      <w:tr w:rsidR="00916B26" w:rsidRPr="003935C0" w14:paraId="4022CC07" w14:textId="77777777" w:rsidTr="00691A0C">
        <w:trPr>
          <w:trHeight w:val="202"/>
        </w:trPr>
        <w:tc>
          <w:tcPr>
            <w:tcW w:w="6640" w:type="dxa"/>
            <w:tcBorders>
              <w:top w:val="nil"/>
              <w:left w:val="nil"/>
              <w:bottom w:val="nil"/>
              <w:right w:val="nil"/>
            </w:tcBorders>
          </w:tcPr>
          <w:p w14:paraId="5A9ADC0C"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EPU</w:t>
            </w:r>
          </w:p>
        </w:tc>
        <w:tc>
          <w:tcPr>
            <w:tcW w:w="1800" w:type="dxa"/>
            <w:tcBorders>
              <w:top w:val="nil"/>
              <w:left w:val="nil"/>
              <w:bottom w:val="nil"/>
              <w:right w:val="nil"/>
            </w:tcBorders>
          </w:tcPr>
          <w:p w14:paraId="01F88ED5" w14:textId="77777777" w:rsidR="00916B26" w:rsidRDefault="00916B26" w:rsidP="00691A0C">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378C2605" w14:textId="77777777" w:rsidR="00916B26" w:rsidRDefault="00916B26" w:rsidP="00691A0C">
            <w:pPr>
              <w:widowControl w:val="0"/>
              <w:autoSpaceDE w:val="0"/>
              <w:autoSpaceDN w:val="0"/>
              <w:adjustRightInd w:val="0"/>
              <w:spacing w:line="240" w:lineRule="auto"/>
              <w:jc w:val="center"/>
              <w:rPr>
                <w:szCs w:val="24"/>
                <w:lang w:val="en-US"/>
              </w:rPr>
            </w:pPr>
          </w:p>
        </w:tc>
        <w:tc>
          <w:tcPr>
            <w:tcW w:w="1774" w:type="dxa"/>
            <w:tcBorders>
              <w:top w:val="nil"/>
              <w:left w:val="nil"/>
              <w:bottom w:val="nil"/>
              <w:right w:val="nil"/>
            </w:tcBorders>
          </w:tcPr>
          <w:p w14:paraId="169B60D8" w14:textId="77777777" w:rsidR="00916B26" w:rsidRDefault="00916B26" w:rsidP="00691A0C">
            <w:pPr>
              <w:widowControl w:val="0"/>
              <w:autoSpaceDE w:val="0"/>
              <w:autoSpaceDN w:val="0"/>
              <w:adjustRightInd w:val="0"/>
              <w:spacing w:line="240" w:lineRule="auto"/>
              <w:jc w:val="center"/>
              <w:rPr>
                <w:szCs w:val="24"/>
                <w:lang w:val="en-US"/>
              </w:rPr>
            </w:pPr>
          </w:p>
        </w:tc>
        <w:tc>
          <w:tcPr>
            <w:tcW w:w="1695" w:type="dxa"/>
            <w:tcBorders>
              <w:top w:val="nil"/>
              <w:left w:val="nil"/>
              <w:bottom w:val="nil"/>
              <w:right w:val="nil"/>
            </w:tcBorders>
          </w:tcPr>
          <w:p w14:paraId="61DEEC79"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0.00154</w:t>
            </w:r>
          </w:p>
        </w:tc>
      </w:tr>
      <w:tr w:rsidR="00916B26" w:rsidRPr="003935C0" w14:paraId="016B64E0" w14:textId="77777777" w:rsidTr="00691A0C">
        <w:trPr>
          <w:trHeight w:val="187"/>
        </w:trPr>
        <w:tc>
          <w:tcPr>
            <w:tcW w:w="6640" w:type="dxa"/>
            <w:tcBorders>
              <w:top w:val="nil"/>
              <w:left w:val="nil"/>
              <w:bottom w:val="nil"/>
              <w:right w:val="nil"/>
            </w:tcBorders>
          </w:tcPr>
          <w:p w14:paraId="11F9FBDE"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3E402686" w14:textId="77777777" w:rsidR="00916B26" w:rsidRDefault="00916B26" w:rsidP="00691A0C">
            <w:pPr>
              <w:widowControl w:val="0"/>
              <w:autoSpaceDE w:val="0"/>
              <w:autoSpaceDN w:val="0"/>
              <w:adjustRightInd w:val="0"/>
              <w:spacing w:line="240" w:lineRule="auto"/>
              <w:jc w:val="center"/>
              <w:rPr>
                <w:szCs w:val="24"/>
                <w:lang w:val="en-US"/>
              </w:rPr>
            </w:pPr>
          </w:p>
        </w:tc>
        <w:tc>
          <w:tcPr>
            <w:tcW w:w="1938" w:type="dxa"/>
            <w:tcBorders>
              <w:top w:val="nil"/>
              <w:left w:val="nil"/>
              <w:bottom w:val="nil"/>
              <w:right w:val="nil"/>
            </w:tcBorders>
          </w:tcPr>
          <w:p w14:paraId="3E12C955" w14:textId="77777777" w:rsidR="00916B26" w:rsidRDefault="00916B26" w:rsidP="00691A0C">
            <w:pPr>
              <w:widowControl w:val="0"/>
              <w:autoSpaceDE w:val="0"/>
              <w:autoSpaceDN w:val="0"/>
              <w:adjustRightInd w:val="0"/>
              <w:spacing w:line="240" w:lineRule="auto"/>
              <w:jc w:val="center"/>
              <w:rPr>
                <w:szCs w:val="24"/>
                <w:lang w:val="en-US"/>
              </w:rPr>
            </w:pPr>
          </w:p>
        </w:tc>
        <w:tc>
          <w:tcPr>
            <w:tcW w:w="1774" w:type="dxa"/>
            <w:tcBorders>
              <w:top w:val="nil"/>
              <w:left w:val="nil"/>
              <w:bottom w:val="nil"/>
              <w:right w:val="nil"/>
            </w:tcBorders>
          </w:tcPr>
          <w:p w14:paraId="71C295DF" w14:textId="77777777" w:rsidR="00916B26" w:rsidRDefault="00916B26" w:rsidP="00691A0C">
            <w:pPr>
              <w:widowControl w:val="0"/>
              <w:autoSpaceDE w:val="0"/>
              <w:autoSpaceDN w:val="0"/>
              <w:adjustRightInd w:val="0"/>
              <w:spacing w:line="240" w:lineRule="auto"/>
              <w:jc w:val="center"/>
              <w:rPr>
                <w:szCs w:val="24"/>
                <w:lang w:val="en-US"/>
              </w:rPr>
            </w:pPr>
          </w:p>
        </w:tc>
        <w:tc>
          <w:tcPr>
            <w:tcW w:w="1695" w:type="dxa"/>
            <w:tcBorders>
              <w:top w:val="nil"/>
              <w:left w:val="nil"/>
              <w:bottom w:val="nil"/>
              <w:right w:val="nil"/>
            </w:tcBorders>
          </w:tcPr>
          <w:p w14:paraId="50FC7D9A"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(0.00203)</w:t>
            </w:r>
          </w:p>
        </w:tc>
      </w:tr>
      <w:tr w:rsidR="00916B26" w:rsidRPr="003935C0" w14:paraId="2E9AD12B" w14:textId="77777777" w:rsidTr="00691A0C">
        <w:trPr>
          <w:trHeight w:val="202"/>
        </w:trPr>
        <w:tc>
          <w:tcPr>
            <w:tcW w:w="6640" w:type="dxa"/>
            <w:tcBorders>
              <w:top w:val="nil"/>
              <w:left w:val="nil"/>
              <w:bottom w:val="nil"/>
              <w:right w:val="nil"/>
            </w:tcBorders>
          </w:tcPr>
          <w:p w14:paraId="10099662"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nil"/>
              <w:right w:val="nil"/>
            </w:tcBorders>
          </w:tcPr>
          <w:p w14:paraId="5ADAD922" w14:textId="77777777" w:rsidR="00916B26" w:rsidRDefault="00916B26" w:rsidP="00691A0C">
            <w:pPr>
              <w:widowControl w:val="0"/>
              <w:autoSpaceDE w:val="0"/>
              <w:autoSpaceDN w:val="0"/>
              <w:adjustRightInd w:val="0"/>
              <w:spacing w:line="240" w:lineRule="auto"/>
              <w:rPr>
                <w:szCs w:val="24"/>
                <w:lang w:val="en-US"/>
              </w:rPr>
            </w:pPr>
          </w:p>
        </w:tc>
        <w:tc>
          <w:tcPr>
            <w:tcW w:w="1938" w:type="dxa"/>
            <w:tcBorders>
              <w:top w:val="nil"/>
              <w:left w:val="nil"/>
              <w:bottom w:val="nil"/>
              <w:right w:val="nil"/>
            </w:tcBorders>
          </w:tcPr>
          <w:p w14:paraId="18C8E726" w14:textId="77777777" w:rsidR="00916B26" w:rsidRDefault="00916B26" w:rsidP="00691A0C">
            <w:pPr>
              <w:widowControl w:val="0"/>
              <w:autoSpaceDE w:val="0"/>
              <w:autoSpaceDN w:val="0"/>
              <w:adjustRightInd w:val="0"/>
              <w:spacing w:line="240" w:lineRule="auto"/>
              <w:rPr>
                <w:szCs w:val="24"/>
                <w:lang w:val="en-US"/>
              </w:rPr>
            </w:pPr>
          </w:p>
        </w:tc>
        <w:tc>
          <w:tcPr>
            <w:tcW w:w="1774" w:type="dxa"/>
            <w:tcBorders>
              <w:top w:val="nil"/>
              <w:left w:val="nil"/>
              <w:bottom w:val="nil"/>
              <w:right w:val="nil"/>
            </w:tcBorders>
          </w:tcPr>
          <w:p w14:paraId="6E586D46" w14:textId="77777777" w:rsidR="00916B26" w:rsidRDefault="00916B26" w:rsidP="00691A0C">
            <w:pPr>
              <w:widowControl w:val="0"/>
              <w:autoSpaceDE w:val="0"/>
              <w:autoSpaceDN w:val="0"/>
              <w:adjustRightInd w:val="0"/>
              <w:spacing w:line="240" w:lineRule="auto"/>
              <w:rPr>
                <w:szCs w:val="24"/>
                <w:lang w:val="en-US"/>
              </w:rPr>
            </w:pPr>
          </w:p>
        </w:tc>
        <w:tc>
          <w:tcPr>
            <w:tcW w:w="1695" w:type="dxa"/>
            <w:tcBorders>
              <w:top w:val="nil"/>
              <w:left w:val="nil"/>
              <w:bottom w:val="nil"/>
              <w:right w:val="nil"/>
            </w:tcBorders>
          </w:tcPr>
          <w:p w14:paraId="516519C7" w14:textId="77777777" w:rsidR="00916B26" w:rsidRDefault="00916B26" w:rsidP="00691A0C">
            <w:pPr>
              <w:widowControl w:val="0"/>
              <w:autoSpaceDE w:val="0"/>
              <w:autoSpaceDN w:val="0"/>
              <w:adjustRightInd w:val="0"/>
              <w:spacing w:line="240" w:lineRule="auto"/>
              <w:rPr>
                <w:szCs w:val="24"/>
                <w:lang w:val="en-US"/>
              </w:rPr>
            </w:pPr>
          </w:p>
        </w:tc>
      </w:tr>
      <w:tr w:rsidR="00916B26" w:rsidRPr="003935C0" w14:paraId="47DE259F" w14:textId="77777777" w:rsidTr="00691A0C">
        <w:trPr>
          <w:trHeight w:val="202"/>
        </w:trPr>
        <w:tc>
          <w:tcPr>
            <w:tcW w:w="6640" w:type="dxa"/>
            <w:tcBorders>
              <w:top w:val="nil"/>
              <w:left w:val="nil"/>
              <w:bottom w:val="nil"/>
              <w:right w:val="nil"/>
            </w:tcBorders>
          </w:tcPr>
          <w:p w14:paraId="04572B5A"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Constant</w:t>
            </w:r>
          </w:p>
        </w:tc>
        <w:tc>
          <w:tcPr>
            <w:tcW w:w="1800" w:type="dxa"/>
            <w:tcBorders>
              <w:top w:val="nil"/>
              <w:left w:val="nil"/>
              <w:bottom w:val="nil"/>
              <w:right w:val="nil"/>
            </w:tcBorders>
          </w:tcPr>
          <w:p w14:paraId="1F26CF2C"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0.00297</w:t>
            </w:r>
            <w:r>
              <w:rPr>
                <w:szCs w:val="24"/>
                <w:vertAlign w:val="superscript"/>
                <w:lang w:val="en-US"/>
              </w:rPr>
              <w:t>***</w:t>
            </w:r>
          </w:p>
        </w:tc>
        <w:tc>
          <w:tcPr>
            <w:tcW w:w="1938" w:type="dxa"/>
            <w:tcBorders>
              <w:top w:val="nil"/>
              <w:left w:val="nil"/>
              <w:bottom w:val="nil"/>
              <w:right w:val="nil"/>
            </w:tcBorders>
          </w:tcPr>
          <w:p w14:paraId="2EE69CA8"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0.00503</w:t>
            </w:r>
            <w:r>
              <w:rPr>
                <w:szCs w:val="24"/>
                <w:vertAlign w:val="superscript"/>
                <w:lang w:val="en-US"/>
              </w:rPr>
              <w:t>***</w:t>
            </w:r>
          </w:p>
        </w:tc>
        <w:tc>
          <w:tcPr>
            <w:tcW w:w="1774" w:type="dxa"/>
            <w:tcBorders>
              <w:top w:val="nil"/>
              <w:left w:val="nil"/>
              <w:bottom w:val="nil"/>
              <w:right w:val="nil"/>
            </w:tcBorders>
          </w:tcPr>
          <w:p w14:paraId="6014B26B"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0.0393</w:t>
            </w:r>
            <w:r>
              <w:rPr>
                <w:szCs w:val="24"/>
                <w:vertAlign w:val="superscript"/>
                <w:lang w:val="en-US"/>
              </w:rPr>
              <w:t>***</w:t>
            </w:r>
          </w:p>
        </w:tc>
        <w:tc>
          <w:tcPr>
            <w:tcW w:w="1695" w:type="dxa"/>
            <w:tcBorders>
              <w:top w:val="nil"/>
              <w:left w:val="nil"/>
              <w:bottom w:val="nil"/>
              <w:right w:val="nil"/>
            </w:tcBorders>
          </w:tcPr>
          <w:p w14:paraId="150DA776"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0.0328</w:t>
            </w:r>
            <w:r>
              <w:rPr>
                <w:szCs w:val="24"/>
                <w:vertAlign w:val="superscript"/>
                <w:lang w:val="en-US"/>
              </w:rPr>
              <w:t>**</w:t>
            </w:r>
          </w:p>
        </w:tc>
      </w:tr>
      <w:tr w:rsidR="00916B26" w:rsidRPr="003935C0" w14:paraId="705507E1" w14:textId="77777777" w:rsidTr="00691A0C">
        <w:trPr>
          <w:trHeight w:val="187"/>
        </w:trPr>
        <w:tc>
          <w:tcPr>
            <w:tcW w:w="6640" w:type="dxa"/>
            <w:tcBorders>
              <w:top w:val="nil"/>
              <w:left w:val="nil"/>
              <w:bottom w:val="single" w:sz="4" w:space="0" w:color="auto"/>
              <w:right w:val="nil"/>
            </w:tcBorders>
          </w:tcPr>
          <w:p w14:paraId="305610BE"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00" w:type="dxa"/>
            <w:tcBorders>
              <w:top w:val="nil"/>
              <w:left w:val="nil"/>
              <w:bottom w:val="single" w:sz="4" w:space="0" w:color="auto"/>
              <w:right w:val="nil"/>
            </w:tcBorders>
          </w:tcPr>
          <w:p w14:paraId="70CD038A"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(0.000758)</w:t>
            </w:r>
          </w:p>
        </w:tc>
        <w:tc>
          <w:tcPr>
            <w:tcW w:w="1938" w:type="dxa"/>
            <w:tcBorders>
              <w:top w:val="nil"/>
              <w:left w:val="nil"/>
              <w:bottom w:val="single" w:sz="4" w:space="0" w:color="auto"/>
              <w:right w:val="nil"/>
            </w:tcBorders>
          </w:tcPr>
          <w:p w14:paraId="040DC005"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(0.00127)</w:t>
            </w:r>
          </w:p>
        </w:tc>
        <w:tc>
          <w:tcPr>
            <w:tcW w:w="1774" w:type="dxa"/>
            <w:tcBorders>
              <w:top w:val="nil"/>
              <w:left w:val="nil"/>
              <w:bottom w:val="single" w:sz="4" w:space="0" w:color="auto"/>
              <w:right w:val="nil"/>
            </w:tcBorders>
          </w:tcPr>
          <w:p w14:paraId="1E8C2F19"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(0.0118)</w:t>
            </w:r>
          </w:p>
        </w:tc>
        <w:tc>
          <w:tcPr>
            <w:tcW w:w="1695" w:type="dxa"/>
            <w:tcBorders>
              <w:top w:val="nil"/>
              <w:left w:val="nil"/>
              <w:bottom w:val="single" w:sz="4" w:space="0" w:color="auto"/>
              <w:right w:val="nil"/>
            </w:tcBorders>
          </w:tcPr>
          <w:p w14:paraId="02F79D2A"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(0.0148)</w:t>
            </w:r>
          </w:p>
        </w:tc>
      </w:tr>
      <w:tr w:rsidR="00916B26" w:rsidRPr="003935C0" w14:paraId="7EC22790" w14:textId="77777777" w:rsidTr="00691A0C">
        <w:trPr>
          <w:trHeight w:val="202"/>
        </w:trPr>
        <w:tc>
          <w:tcPr>
            <w:tcW w:w="6640" w:type="dxa"/>
            <w:tcBorders>
              <w:top w:val="single" w:sz="4" w:space="0" w:color="auto"/>
              <w:left w:val="nil"/>
              <w:bottom w:val="nil"/>
              <w:right w:val="nil"/>
            </w:tcBorders>
          </w:tcPr>
          <w:p w14:paraId="091C48B7"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Observations</w:t>
            </w:r>
          </w:p>
        </w:tc>
        <w:tc>
          <w:tcPr>
            <w:tcW w:w="1800" w:type="dxa"/>
            <w:tcBorders>
              <w:top w:val="single" w:sz="4" w:space="0" w:color="auto"/>
              <w:left w:val="nil"/>
              <w:bottom w:val="nil"/>
              <w:right w:val="nil"/>
            </w:tcBorders>
          </w:tcPr>
          <w:p w14:paraId="1D1E5658"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1907</w:t>
            </w:r>
          </w:p>
        </w:tc>
        <w:tc>
          <w:tcPr>
            <w:tcW w:w="1938" w:type="dxa"/>
            <w:tcBorders>
              <w:top w:val="single" w:sz="4" w:space="0" w:color="auto"/>
              <w:left w:val="nil"/>
              <w:bottom w:val="nil"/>
              <w:right w:val="nil"/>
            </w:tcBorders>
          </w:tcPr>
          <w:p w14:paraId="2FE33AD9"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1904</w:t>
            </w:r>
          </w:p>
        </w:tc>
        <w:tc>
          <w:tcPr>
            <w:tcW w:w="1774" w:type="dxa"/>
            <w:tcBorders>
              <w:top w:val="single" w:sz="4" w:space="0" w:color="auto"/>
              <w:left w:val="nil"/>
              <w:bottom w:val="nil"/>
              <w:right w:val="nil"/>
            </w:tcBorders>
          </w:tcPr>
          <w:p w14:paraId="3B55583F"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1313</w:t>
            </w:r>
          </w:p>
        </w:tc>
        <w:tc>
          <w:tcPr>
            <w:tcW w:w="1695" w:type="dxa"/>
            <w:tcBorders>
              <w:top w:val="single" w:sz="4" w:space="0" w:color="auto"/>
              <w:left w:val="nil"/>
              <w:bottom w:val="nil"/>
              <w:right w:val="nil"/>
            </w:tcBorders>
          </w:tcPr>
          <w:p w14:paraId="54273251"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1313</w:t>
            </w:r>
          </w:p>
        </w:tc>
      </w:tr>
      <w:tr w:rsidR="00916B26" w:rsidRPr="003935C0" w14:paraId="5FE51D71" w14:textId="77777777" w:rsidTr="00691A0C">
        <w:trPr>
          <w:trHeight w:val="187"/>
        </w:trPr>
        <w:tc>
          <w:tcPr>
            <w:tcW w:w="6640" w:type="dxa"/>
            <w:tcBorders>
              <w:top w:val="nil"/>
              <w:left w:val="nil"/>
              <w:bottom w:val="single" w:sz="4" w:space="0" w:color="auto"/>
              <w:right w:val="nil"/>
            </w:tcBorders>
          </w:tcPr>
          <w:p w14:paraId="7974ACDB"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Adj. R-Square</w:t>
            </w:r>
          </w:p>
        </w:tc>
        <w:tc>
          <w:tcPr>
            <w:tcW w:w="1800" w:type="dxa"/>
            <w:tcBorders>
              <w:top w:val="nil"/>
              <w:left w:val="nil"/>
              <w:bottom w:val="single" w:sz="4" w:space="0" w:color="auto"/>
              <w:right w:val="nil"/>
            </w:tcBorders>
          </w:tcPr>
          <w:p w14:paraId="0C183CFB"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0.000444</w:t>
            </w:r>
          </w:p>
        </w:tc>
        <w:tc>
          <w:tcPr>
            <w:tcW w:w="1938" w:type="dxa"/>
            <w:tcBorders>
              <w:top w:val="nil"/>
              <w:left w:val="nil"/>
              <w:bottom w:val="single" w:sz="4" w:space="0" w:color="auto"/>
              <w:right w:val="nil"/>
            </w:tcBorders>
          </w:tcPr>
          <w:p w14:paraId="18E8208F"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0.00252</w:t>
            </w:r>
          </w:p>
        </w:tc>
        <w:tc>
          <w:tcPr>
            <w:tcW w:w="1774" w:type="dxa"/>
            <w:tcBorders>
              <w:top w:val="nil"/>
              <w:left w:val="nil"/>
              <w:bottom w:val="single" w:sz="4" w:space="0" w:color="auto"/>
              <w:right w:val="nil"/>
            </w:tcBorders>
          </w:tcPr>
          <w:p w14:paraId="1C35CA58"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0.0114</w:t>
            </w:r>
          </w:p>
        </w:tc>
        <w:tc>
          <w:tcPr>
            <w:tcW w:w="1695" w:type="dxa"/>
            <w:tcBorders>
              <w:top w:val="nil"/>
              <w:left w:val="nil"/>
              <w:bottom w:val="single" w:sz="4" w:space="0" w:color="auto"/>
              <w:right w:val="nil"/>
            </w:tcBorders>
          </w:tcPr>
          <w:p w14:paraId="56A054E1" w14:textId="77777777" w:rsidR="00916B26" w:rsidRDefault="00916B26" w:rsidP="00691A0C">
            <w:pPr>
              <w:widowControl w:val="0"/>
              <w:autoSpaceDE w:val="0"/>
              <w:autoSpaceDN w:val="0"/>
              <w:adjustRightInd w:val="0"/>
              <w:spacing w:line="240" w:lineRule="auto"/>
              <w:jc w:val="center"/>
              <w:rPr>
                <w:szCs w:val="24"/>
                <w:lang w:val="en-US"/>
              </w:rPr>
            </w:pPr>
            <w:r>
              <w:rPr>
                <w:szCs w:val="24"/>
                <w:lang w:val="en-US"/>
              </w:rPr>
              <w:t>0.0111</w:t>
            </w:r>
          </w:p>
        </w:tc>
      </w:tr>
    </w:tbl>
    <w:p w14:paraId="73A772DB" w14:textId="77777777" w:rsidR="00916B26" w:rsidRPr="00F547A1" w:rsidRDefault="00916B26" w:rsidP="00916B26">
      <w:pPr>
        <w:widowControl w:val="0"/>
        <w:autoSpaceDE w:val="0"/>
        <w:autoSpaceDN w:val="0"/>
        <w:adjustRightInd w:val="0"/>
        <w:spacing w:line="240" w:lineRule="auto"/>
        <w:jc w:val="center"/>
        <w:rPr>
          <w:rFonts w:eastAsia="Calibri" w:cs="Arial"/>
          <w:b/>
          <w:sz w:val="20"/>
          <w:szCs w:val="20"/>
          <w:lang w:val="en-US" w:eastAsia="en-US"/>
        </w:rPr>
      </w:pPr>
      <w:r w:rsidRPr="00F547A1">
        <w:rPr>
          <w:rFonts w:eastAsia="Calibri" w:cs="Arial"/>
          <w:b/>
          <w:sz w:val="20"/>
          <w:szCs w:val="20"/>
          <w:lang w:val="en-US" w:eastAsia="en-US"/>
        </w:rPr>
        <w:t>Standard errors in parentheses</w:t>
      </w:r>
    </w:p>
    <w:p w14:paraId="79EE3098" w14:textId="77777777" w:rsidR="007523A3" w:rsidRDefault="00916B26" w:rsidP="00916B26">
      <w:pPr>
        <w:jc w:val="center"/>
        <w:rPr>
          <w:rFonts w:eastAsia="Calibri" w:cs="Arial"/>
          <w:b/>
          <w:sz w:val="20"/>
          <w:szCs w:val="20"/>
          <w:lang w:val="en-US" w:eastAsia="en-US"/>
        </w:rPr>
      </w:pP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sidRPr="00F547A1">
        <w:rPr>
          <w:rFonts w:eastAsia="Calibri" w:cs="Arial"/>
          <w:b/>
          <w:sz w:val="20"/>
          <w:szCs w:val="20"/>
          <w:lang w:val="en-US" w:eastAsia="en-US"/>
        </w:rPr>
        <w:t xml:space="preserve"> &lt; 0.1, </w:t>
      </w: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sidRPr="00F547A1">
        <w:rPr>
          <w:rFonts w:eastAsia="Calibri" w:cs="Arial"/>
          <w:b/>
          <w:sz w:val="20"/>
          <w:szCs w:val="20"/>
          <w:lang w:val="en-US" w:eastAsia="en-US"/>
        </w:rPr>
        <w:t xml:space="preserve"> &lt; 0.05, </w:t>
      </w: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sidRPr="00F547A1">
        <w:rPr>
          <w:rFonts w:eastAsia="Calibri" w:cs="Arial"/>
          <w:b/>
          <w:sz w:val="20"/>
          <w:szCs w:val="20"/>
          <w:lang w:val="en-US" w:eastAsia="en-US"/>
        </w:rPr>
        <w:t xml:space="preserve"> &lt; 0.01</w:t>
      </w:r>
    </w:p>
    <w:p w14:paraId="41CB2CEE" w14:textId="77777777" w:rsidR="00916B26" w:rsidRDefault="00916B26" w:rsidP="00916B26">
      <w:pPr>
        <w:jc w:val="center"/>
        <w:rPr>
          <w:rFonts w:eastAsia="Calibri" w:cs="Arial"/>
          <w:b/>
          <w:sz w:val="20"/>
          <w:szCs w:val="20"/>
          <w:lang w:val="en-US" w:eastAsia="en-US"/>
        </w:rPr>
      </w:pPr>
    </w:p>
    <w:p w14:paraId="2A878E17" w14:textId="77777777" w:rsidR="00916B26" w:rsidRDefault="00916B26" w:rsidP="00916B26">
      <w:pPr>
        <w:jc w:val="center"/>
        <w:rPr>
          <w:rFonts w:eastAsia="Calibri" w:cs="Arial"/>
          <w:b/>
          <w:sz w:val="20"/>
          <w:szCs w:val="20"/>
          <w:lang w:val="en-US" w:eastAsia="en-US"/>
        </w:rPr>
      </w:pPr>
    </w:p>
    <w:p w14:paraId="2D62C3DA" w14:textId="77777777" w:rsidR="00916B26" w:rsidRDefault="00916B26" w:rsidP="00916B26">
      <w:pPr>
        <w:jc w:val="center"/>
        <w:rPr>
          <w:rFonts w:eastAsia="Calibri" w:cs="Arial"/>
          <w:b/>
          <w:sz w:val="20"/>
          <w:szCs w:val="20"/>
          <w:lang w:val="en-US" w:eastAsia="en-US"/>
        </w:rPr>
      </w:pPr>
    </w:p>
    <w:p w14:paraId="41003E37" w14:textId="77777777" w:rsidR="00916B26" w:rsidRDefault="00916B26" w:rsidP="00916B26">
      <w:pPr>
        <w:jc w:val="center"/>
        <w:rPr>
          <w:rFonts w:eastAsia="Calibri" w:cs="Arial"/>
          <w:b/>
          <w:sz w:val="20"/>
          <w:szCs w:val="20"/>
          <w:lang w:val="en-US" w:eastAsia="en-US"/>
        </w:rPr>
      </w:pPr>
    </w:p>
    <w:p w14:paraId="415F8A6A" w14:textId="77777777" w:rsidR="00916B26" w:rsidRDefault="00916B26" w:rsidP="00916B26">
      <w:pPr>
        <w:jc w:val="center"/>
        <w:rPr>
          <w:rFonts w:eastAsia="Calibri" w:cs="Arial"/>
          <w:b/>
          <w:sz w:val="20"/>
          <w:szCs w:val="20"/>
          <w:lang w:val="en-US" w:eastAsia="en-US"/>
        </w:rPr>
      </w:pPr>
    </w:p>
    <w:p w14:paraId="094DD476" w14:textId="77777777" w:rsidR="00916B26" w:rsidRDefault="00916B26" w:rsidP="00916B26">
      <w:pPr>
        <w:jc w:val="center"/>
        <w:rPr>
          <w:rFonts w:eastAsia="Calibri" w:cs="Arial"/>
          <w:b/>
          <w:sz w:val="20"/>
          <w:szCs w:val="20"/>
          <w:lang w:val="en-US" w:eastAsia="en-US"/>
        </w:rPr>
      </w:pPr>
    </w:p>
    <w:p w14:paraId="09DC5F14" w14:textId="70778E51" w:rsidR="00916B26" w:rsidRPr="00F56A3A" w:rsidRDefault="00916B26" w:rsidP="008D463E">
      <w:pPr>
        <w:keepNext/>
        <w:spacing w:line="360" w:lineRule="auto"/>
        <w:ind w:left="-284"/>
        <w:jc w:val="left"/>
        <w:rPr>
          <w:b/>
          <w:i/>
          <w:iCs/>
          <w:color w:val="000000"/>
        </w:rPr>
      </w:pPr>
      <w:r w:rsidRPr="006C59AD">
        <w:rPr>
          <w:b/>
          <w:i/>
          <w:iCs/>
          <w:color w:val="000000"/>
          <w:szCs w:val="24"/>
        </w:rPr>
        <w:lastRenderedPageBreak/>
        <w:t xml:space="preserve">Table </w:t>
      </w:r>
      <w:r w:rsidR="00691A0C">
        <w:rPr>
          <w:b/>
          <w:i/>
          <w:iCs/>
          <w:color w:val="000000"/>
          <w:szCs w:val="24"/>
        </w:rPr>
        <w:t>4</w:t>
      </w:r>
      <w:r w:rsidRPr="006C59AD">
        <w:rPr>
          <w:b/>
          <w:i/>
          <w:iCs/>
          <w:color w:val="000000"/>
          <w:szCs w:val="24"/>
        </w:rPr>
        <w:t xml:space="preserve">: Bitcoin </w:t>
      </w:r>
      <w:r w:rsidR="008D463E">
        <w:rPr>
          <w:b/>
          <w:i/>
          <w:iCs/>
          <w:color w:val="000000"/>
          <w:szCs w:val="24"/>
        </w:rPr>
        <w:t xml:space="preserve">and industry </w:t>
      </w:r>
      <w:r w:rsidRPr="006C59AD">
        <w:rPr>
          <w:b/>
          <w:i/>
          <w:iCs/>
          <w:color w:val="000000"/>
          <w:szCs w:val="24"/>
        </w:rPr>
        <w:t>sensitivity on Sentiment regressions</w:t>
      </w:r>
      <w:r w:rsidR="00F56A3A">
        <w:rPr>
          <w:b/>
          <w:i/>
          <w:iCs/>
          <w:color w:val="000000"/>
          <w:szCs w:val="24"/>
        </w:rPr>
        <w:t xml:space="preserve"> </w:t>
      </w:r>
      <w:r w:rsidR="00F56A3A">
        <w:rPr>
          <w:b/>
          <w:i/>
          <w:iCs/>
          <w:color w:val="000000"/>
        </w:rPr>
        <w:t xml:space="preserve">(Fama </w:t>
      </w:r>
      <w:r w:rsidR="002508B4">
        <w:rPr>
          <w:b/>
          <w:i/>
          <w:iCs/>
          <w:color w:val="000000"/>
        </w:rPr>
        <w:t>&amp;</w:t>
      </w:r>
      <w:r w:rsidR="00F56A3A">
        <w:rPr>
          <w:b/>
          <w:i/>
          <w:iCs/>
          <w:color w:val="000000"/>
        </w:rPr>
        <w:t xml:space="preserve">French, 1993) </w:t>
      </w:r>
    </w:p>
    <w:tbl>
      <w:tblPr>
        <w:tblW w:w="13893" w:type="dxa"/>
        <w:tblInd w:w="-426" w:type="dxa"/>
        <w:tblLayout w:type="fixed"/>
        <w:tblLook w:val="0000" w:firstRow="0" w:lastRow="0" w:firstColumn="0" w:lastColumn="0" w:noHBand="0" w:noVBand="0"/>
      </w:tblPr>
      <w:tblGrid>
        <w:gridCol w:w="8960"/>
        <w:gridCol w:w="4933"/>
      </w:tblGrid>
      <w:tr w:rsidR="00916B26" w:rsidRPr="006C59AD" w14:paraId="720D97A6" w14:textId="77777777" w:rsidTr="00691A0C">
        <w:trPr>
          <w:trHeight w:val="187"/>
        </w:trPr>
        <w:tc>
          <w:tcPr>
            <w:tcW w:w="8960" w:type="dxa"/>
            <w:tcBorders>
              <w:top w:val="single" w:sz="4" w:space="0" w:color="auto"/>
              <w:left w:val="nil"/>
              <w:bottom w:val="nil"/>
              <w:right w:val="nil"/>
            </w:tcBorders>
          </w:tcPr>
          <w:p w14:paraId="66383C2F" w14:textId="77777777" w:rsidR="00916B26" w:rsidRPr="006C59AD" w:rsidRDefault="00916B26" w:rsidP="00691A0C">
            <w:pPr>
              <w:widowControl w:val="0"/>
              <w:autoSpaceDE w:val="0"/>
              <w:autoSpaceDN w:val="0"/>
              <w:adjustRightInd w:val="0"/>
              <w:spacing w:line="276" w:lineRule="auto"/>
              <w:jc w:val="left"/>
              <w:rPr>
                <w:rFonts w:eastAsia="Calibri"/>
                <w:szCs w:val="24"/>
                <w:lang w:val="en-US" w:eastAsia="en-US"/>
              </w:rPr>
            </w:pPr>
          </w:p>
        </w:tc>
        <w:tc>
          <w:tcPr>
            <w:tcW w:w="4933" w:type="dxa"/>
            <w:tcBorders>
              <w:top w:val="single" w:sz="4" w:space="0" w:color="auto"/>
              <w:left w:val="nil"/>
              <w:bottom w:val="nil"/>
              <w:right w:val="nil"/>
            </w:tcBorders>
            <w:vAlign w:val="center"/>
          </w:tcPr>
          <w:p w14:paraId="1669C093" w14:textId="77777777" w:rsidR="00916B26" w:rsidRPr="006C59AD" w:rsidRDefault="00916B26" w:rsidP="00691A0C">
            <w:pPr>
              <w:widowControl w:val="0"/>
              <w:autoSpaceDE w:val="0"/>
              <w:autoSpaceDN w:val="0"/>
              <w:adjustRightInd w:val="0"/>
              <w:spacing w:line="276" w:lineRule="auto"/>
              <w:jc w:val="center"/>
              <w:rPr>
                <w:rFonts w:eastAsia="Calibri"/>
                <w:szCs w:val="24"/>
                <w:lang w:val="en-US" w:eastAsia="en-US"/>
              </w:rPr>
            </w:pPr>
            <w:r w:rsidRPr="006C59AD">
              <w:rPr>
                <w:rFonts w:eastAsia="Calibri"/>
                <w:szCs w:val="24"/>
                <w:lang w:val="en-US" w:eastAsia="en-US"/>
              </w:rPr>
              <w:t>(1)</w:t>
            </w:r>
          </w:p>
        </w:tc>
      </w:tr>
      <w:tr w:rsidR="00916B26" w:rsidRPr="006C59AD" w14:paraId="5E617799" w14:textId="77777777" w:rsidTr="00691A0C">
        <w:trPr>
          <w:trHeight w:val="305"/>
        </w:trPr>
        <w:tc>
          <w:tcPr>
            <w:tcW w:w="8960" w:type="dxa"/>
            <w:tcBorders>
              <w:top w:val="nil"/>
              <w:left w:val="nil"/>
              <w:bottom w:val="nil"/>
              <w:right w:val="nil"/>
            </w:tcBorders>
          </w:tcPr>
          <w:p w14:paraId="0E7FA9C1" w14:textId="77777777" w:rsidR="00916B26" w:rsidRPr="006C59AD" w:rsidRDefault="00916B26" w:rsidP="00691A0C">
            <w:pPr>
              <w:widowControl w:val="0"/>
              <w:autoSpaceDE w:val="0"/>
              <w:autoSpaceDN w:val="0"/>
              <w:adjustRightInd w:val="0"/>
              <w:spacing w:line="276" w:lineRule="auto"/>
              <w:jc w:val="left"/>
              <w:rPr>
                <w:rFonts w:eastAsia="Calibri"/>
                <w:szCs w:val="24"/>
                <w:lang w:val="en-US" w:eastAsia="en-US"/>
              </w:rPr>
            </w:pPr>
          </w:p>
        </w:tc>
        <w:tc>
          <w:tcPr>
            <w:tcW w:w="4933" w:type="dxa"/>
            <w:tcBorders>
              <w:top w:val="nil"/>
              <w:left w:val="nil"/>
              <w:bottom w:val="nil"/>
              <w:right w:val="nil"/>
            </w:tcBorders>
            <w:vAlign w:val="center"/>
          </w:tcPr>
          <w:p w14:paraId="529FFAB3" w14:textId="77777777" w:rsidR="00916B26" w:rsidRPr="006C59AD" w:rsidRDefault="00916B26" w:rsidP="00691A0C">
            <w:pPr>
              <w:widowControl w:val="0"/>
              <w:autoSpaceDE w:val="0"/>
              <w:autoSpaceDN w:val="0"/>
              <w:adjustRightInd w:val="0"/>
              <w:spacing w:line="276" w:lineRule="auto"/>
              <w:jc w:val="center"/>
              <w:rPr>
                <w:rFonts w:eastAsia="Calibri"/>
                <w:szCs w:val="24"/>
                <w:lang w:val="en-US" w:eastAsia="en-US"/>
              </w:rPr>
            </w:pPr>
            <w:r w:rsidRPr="006C59AD">
              <w:rPr>
                <w:rFonts w:eastAsia="Calibri"/>
                <w:szCs w:val="24"/>
                <w:lang w:val="en-US" w:eastAsia="en-US"/>
              </w:rPr>
              <w:t xml:space="preserve">Bitcoin Sensitivity on Sentiment </w:t>
            </w:r>
          </w:p>
        </w:tc>
      </w:tr>
      <w:tr w:rsidR="00916B26" w:rsidRPr="006C59AD" w14:paraId="1241C245" w14:textId="77777777" w:rsidTr="00691A0C">
        <w:trPr>
          <w:trHeight w:val="125"/>
        </w:trPr>
        <w:tc>
          <w:tcPr>
            <w:tcW w:w="8960" w:type="dxa"/>
            <w:tcBorders>
              <w:top w:val="single" w:sz="4" w:space="0" w:color="auto"/>
              <w:left w:val="nil"/>
              <w:bottom w:val="nil"/>
              <w:right w:val="nil"/>
            </w:tcBorders>
          </w:tcPr>
          <w:p w14:paraId="5C3608DD"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r w:rsidRPr="006C59AD">
              <w:rPr>
                <w:rFonts w:eastAsia="Calibri"/>
                <w:szCs w:val="24"/>
                <w:lang w:val="en-US" w:eastAsia="en-US"/>
              </w:rPr>
              <w:t xml:space="preserve">MSCI IT Sensitivity on Sentiment </w:t>
            </w:r>
          </w:p>
        </w:tc>
        <w:tc>
          <w:tcPr>
            <w:tcW w:w="4933" w:type="dxa"/>
            <w:tcBorders>
              <w:top w:val="single" w:sz="4" w:space="0" w:color="auto"/>
              <w:left w:val="nil"/>
              <w:bottom w:val="nil"/>
              <w:right w:val="nil"/>
            </w:tcBorders>
          </w:tcPr>
          <w:p w14:paraId="1FFEEFC9" w14:textId="77777777" w:rsidR="00916B26" w:rsidRPr="00F70B66" w:rsidRDefault="00916B26" w:rsidP="00691A0C">
            <w:pPr>
              <w:spacing w:line="240" w:lineRule="auto"/>
              <w:jc w:val="center"/>
            </w:pPr>
            <w:r w:rsidRPr="00F70B66">
              <w:t>-0.000162**</w:t>
            </w:r>
          </w:p>
        </w:tc>
      </w:tr>
      <w:tr w:rsidR="00916B26" w:rsidRPr="006C59AD" w14:paraId="48E5FD05" w14:textId="77777777" w:rsidTr="00691A0C">
        <w:trPr>
          <w:trHeight w:val="187"/>
        </w:trPr>
        <w:tc>
          <w:tcPr>
            <w:tcW w:w="8960" w:type="dxa"/>
            <w:tcBorders>
              <w:top w:val="nil"/>
              <w:left w:val="nil"/>
              <w:bottom w:val="nil"/>
              <w:right w:val="nil"/>
            </w:tcBorders>
          </w:tcPr>
          <w:p w14:paraId="7FC69925"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p>
        </w:tc>
        <w:tc>
          <w:tcPr>
            <w:tcW w:w="4933" w:type="dxa"/>
            <w:tcBorders>
              <w:top w:val="nil"/>
              <w:left w:val="nil"/>
              <w:bottom w:val="nil"/>
              <w:right w:val="nil"/>
            </w:tcBorders>
          </w:tcPr>
          <w:p w14:paraId="00EE169C" w14:textId="77777777" w:rsidR="00916B26" w:rsidRPr="00F70B66" w:rsidRDefault="00916B26" w:rsidP="00691A0C">
            <w:pPr>
              <w:spacing w:line="240" w:lineRule="auto"/>
              <w:jc w:val="center"/>
            </w:pPr>
            <w:r w:rsidRPr="00F70B66">
              <w:t>(0.0000650)</w:t>
            </w:r>
          </w:p>
        </w:tc>
      </w:tr>
      <w:tr w:rsidR="00916B26" w:rsidRPr="006C59AD" w14:paraId="1DD2B961" w14:textId="77777777" w:rsidTr="00691A0C">
        <w:trPr>
          <w:trHeight w:val="187"/>
        </w:trPr>
        <w:tc>
          <w:tcPr>
            <w:tcW w:w="8960" w:type="dxa"/>
            <w:tcBorders>
              <w:top w:val="nil"/>
              <w:left w:val="nil"/>
              <w:bottom w:val="nil"/>
              <w:right w:val="nil"/>
            </w:tcBorders>
          </w:tcPr>
          <w:p w14:paraId="3A2871F3"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p>
        </w:tc>
        <w:tc>
          <w:tcPr>
            <w:tcW w:w="4933" w:type="dxa"/>
            <w:tcBorders>
              <w:top w:val="nil"/>
              <w:left w:val="nil"/>
              <w:bottom w:val="nil"/>
              <w:right w:val="nil"/>
            </w:tcBorders>
          </w:tcPr>
          <w:p w14:paraId="3CA84102" w14:textId="77777777" w:rsidR="00916B26" w:rsidRPr="00F70B66" w:rsidRDefault="00916B26" w:rsidP="00691A0C">
            <w:pPr>
              <w:spacing w:line="240" w:lineRule="auto"/>
              <w:jc w:val="center"/>
            </w:pPr>
          </w:p>
        </w:tc>
      </w:tr>
      <w:tr w:rsidR="00916B26" w:rsidRPr="006C59AD" w14:paraId="500CB9DB" w14:textId="77777777" w:rsidTr="00691A0C">
        <w:trPr>
          <w:trHeight w:val="130"/>
        </w:trPr>
        <w:tc>
          <w:tcPr>
            <w:tcW w:w="8960" w:type="dxa"/>
            <w:tcBorders>
              <w:top w:val="nil"/>
              <w:left w:val="nil"/>
              <w:bottom w:val="nil"/>
              <w:right w:val="nil"/>
            </w:tcBorders>
          </w:tcPr>
          <w:p w14:paraId="381E74F0"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r w:rsidRPr="006C59AD">
              <w:rPr>
                <w:rFonts w:eastAsia="Calibri"/>
                <w:szCs w:val="24"/>
                <w:lang w:val="en-US" w:eastAsia="en-US"/>
              </w:rPr>
              <w:t xml:space="preserve">MSCI World Energy Sensitivity on Sentiment </w:t>
            </w:r>
          </w:p>
        </w:tc>
        <w:tc>
          <w:tcPr>
            <w:tcW w:w="4933" w:type="dxa"/>
            <w:tcBorders>
              <w:top w:val="nil"/>
              <w:left w:val="nil"/>
              <w:bottom w:val="nil"/>
              <w:right w:val="nil"/>
            </w:tcBorders>
          </w:tcPr>
          <w:p w14:paraId="0378E598" w14:textId="77777777" w:rsidR="00916B26" w:rsidRPr="00F70B66" w:rsidRDefault="00916B26" w:rsidP="00691A0C">
            <w:pPr>
              <w:spacing w:line="240" w:lineRule="auto"/>
              <w:jc w:val="center"/>
            </w:pPr>
            <w:r w:rsidRPr="00F70B66">
              <w:t>-0.000342***</w:t>
            </w:r>
          </w:p>
        </w:tc>
      </w:tr>
      <w:tr w:rsidR="00916B26" w:rsidRPr="006C59AD" w14:paraId="179CDC67" w14:textId="77777777" w:rsidTr="00691A0C">
        <w:trPr>
          <w:trHeight w:val="187"/>
        </w:trPr>
        <w:tc>
          <w:tcPr>
            <w:tcW w:w="8960" w:type="dxa"/>
            <w:tcBorders>
              <w:top w:val="nil"/>
              <w:left w:val="nil"/>
              <w:bottom w:val="nil"/>
              <w:right w:val="nil"/>
            </w:tcBorders>
          </w:tcPr>
          <w:p w14:paraId="1342E4E5"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p>
        </w:tc>
        <w:tc>
          <w:tcPr>
            <w:tcW w:w="4933" w:type="dxa"/>
            <w:tcBorders>
              <w:top w:val="nil"/>
              <w:left w:val="nil"/>
              <w:bottom w:val="nil"/>
              <w:right w:val="nil"/>
            </w:tcBorders>
          </w:tcPr>
          <w:p w14:paraId="0853F2F8" w14:textId="77777777" w:rsidR="00916B26" w:rsidRPr="00F70B66" w:rsidRDefault="00916B26" w:rsidP="00691A0C">
            <w:pPr>
              <w:spacing w:line="240" w:lineRule="auto"/>
              <w:jc w:val="center"/>
            </w:pPr>
            <w:r w:rsidRPr="00F70B66">
              <w:t>(0.0000459)</w:t>
            </w:r>
          </w:p>
        </w:tc>
      </w:tr>
      <w:tr w:rsidR="00916B26" w:rsidRPr="006C59AD" w14:paraId="325C49E6" w14:textId="77777777" w:rsidTr="00691A0C">
        <w:trPr>
          <w:trHeight w:val="187"/>
        </w:trPr>
        <w:tc>
          <w:tcPr>
            <w:tcW w:w="8960" w:type="dxa"/>
            <w:tcBorders>
              <w:top w:val="nil"/>
              <w:left w:val="nil"/>
              <w:bottom w:val="nil"/>
              <w:right w:val="nil"/>
            </w:tcBorders>
          </w:tcPr>
          <w:p w14:paraId="77C019C1"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p>
        </w:tc>
        <w:tc>
          <w:tcPr>
            <w:tcW w:w="4933" w:type="dxa"/>
            <w:tcBorders>
              <w:top w:val="nil"/>
              <w:left w:val="nil"/>
              <w:bottom w:val="nil"/>
              <w:right w:val="nil"/>
            </w:tcBorders>
          </w:tcPr>
          <w:p w14:paraId="1FA9061D" w14:textId="77777777" w:rsidR="00916B26" w:rsidRPr="00F70B66" w:rsidRDefault="00916B26" w:rsidP="00691A0C">
            <w:pPr>
              <w:spacing w:line="240" w:lineRule="auto"/>
              <w:jc w:val="center"/>
            </w:pPr>
          </w:p>
        </w:tc>
      </w:tr>
      <w:tr w:rsidR="00916B26" w:rsidRPr="006C59AD" w14:paraId="0EF820A6" w14:textId="77777777" w:rsidTr="00691A0C">
        <w:trPr>
          <w:trHeight w:val="78"/>
        </w:trPr>
        <w:tc>
          <w:tcPr>
            <w:tcW w:w="8960" w:type="dxa"/>
            <w:tcBorders>
              <w:top w:val="nil"/>
              <w:left w:val="nil"/>
              <w:bottom w:val="nil"/>
              <w:right w:val="nil"/>
            </w:tcBorders>
          </w:tcPr>
          <w:p w14:paraId="198BBB59"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r w:rsidRPr="006C59AD">
              <w:rPr>
                <w:rFonts w:eastAsia="Calibri"/>
                <w:szCs w:val="24"/>
                <w:lang w:val="en-US" w:eastAsia="en-US"/>
              </w:rPr>
              <w:t xml:space="preserve">S&amp;P Global Clean Energy Sensitivity on Sentiment </w:t>
            </w:r>
          </w:p>
        </w:tc>
        <w:tc>
          <w:tcPr>
            <w:tcW w:w="4933" w:type="dxa"/>
            <w:tcBorders>
              <w:top w:val="nil"/>
              <w:left w:val="nil"/>
              <w:bottom w:val="nil"/>
              <w:right w:val="nil"/>
            </w:tcBorders>
          </w:tcPr>
          <w:p w14:paraId="209F010D" w14:textId="77777777" w:rsidR="00916B26" w:rsidRPr="00F70B66" w:rsidRDefault="00916B26" w:rsidP="00691A0C">
            <w:pPr>
              <w:spacing w:line="240" w:lineRule="auto"/>
              <w:jc w:val="center"/>
            </w:pPr>
            <w:r w:rsidRPr="00F70B66">
              <w:t>2.055***</w:t>
            </w:r>
          </w:p>
        </w:tc>
      </w:tr>
      <w:tr w:rsidR="00916B26" w:rsidRPr="006C59AD" w14:paraId="7AB54348" w14:textId="77777777" w:rsidTr="00691A0C">
        <w:trPr>
          <w:trHeight w:val="198"/>
        </w:trPr>
        <w:tc>
          <w:tcPr>
            <w:tcW w:w="8960" w:type="dxa"/>
            <w:tcBorders>
              <w:top w:val="nil"/>
              <w:left w:val="nil"/>
              <w:bottom w:val="nil"/>
              <w:right w:val="nil"/>
            </w:tcBorders>
          </w:tcPr>
          <w:p w14:paraId="60093A5F"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p>
        </w:tc>
        <w:tc>
          <w:tcPr>
            <w:tcW w:w="4933" w:type="dxa"/>
            <w:tcBorders>
              <w:top w:val="nil"/>
              <w:left w:val="nil"/>
              <w:bottom w:val="nil"/>
              <w:right w:val="nil"/>
            </w:tcBorders>
          </w:tcPr>
          <w:p w14:paraId="5D1145F2" w14:textId="77777777" w:rsidR="00916B26" w:rsidRPr="00F70B66" w:rsidRDefault="00916B26" w:rsidP="00691A0C">
            <w:pPr>
              <w:spacing w:line="240" w:lineRule="auto"/>
              <w:jc w:val="center"/>
            </w:pPr>
            <w:r w:rsidRPr="00F70B66">
              <w:t>(0.120)</w:t>
            </w:r>
          </w:p>
        </w:tc>
      </w:tr>
      <w:tr w:rsidR="00916B26" w:rsidRPr="006C59AD" w14:paraId="64FEC4ED" w14:textId="77777777" w:rsidTr="00691A0C">
        <w:trPr>
          <w:trHeight w:val="198"/>
        </w:trPr>
        <w:tc>
          <w:tcPr>
            <w:tcW w:w="8960" w:type="dxa"/>
            <w:tcBorders>
              <w:top w:val="nil"/>
              <w:left w:val="nil"/>
              <w:bottom w:val="nil"/>
              <w:right w:val="nil"/>
            </w:tcBorders>
          </w:tcPr>
          <w:p w14:paraId="16E3105A"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p>
        </w:tc>
        <w:tc>
          <w:tcPr>
            <w:tcW w:w="4933" w:type="dxa"/>
            <w:tcBorders>
              <w:top w:val="nil"/>
              <w:left w:val="nil"/>
              <w:bottom w:val="nil"/>
              <w:right w:val="nil"/>
            </w:tcBorders>
          </w:tcPr>
          <w:p w14:paraId="1FF71574" w14:textId="77777777" w:rsidR="00916B26" w:rsidRPr="00F70B66" w:rsidRDefault="00916B26" w:rsidP="00691A0C">
            <w:pPr>
              <w:spacing w:line="240" w:lineRule="auto"/>
              <w:jc w:val="center"/>
            </w:pPr>
          </w:p>
        </w:tc>
      </w:tr>
      <w:tr w:rsidR="00916B26" w:rsidRPr="006C59AD" w14:paraId="2FFC136A" w14:textId="77777777" w:rsidTr="00691A0C">
        <w:trPr>
          <w:trHeight w:val="78"/>
        </w:trPr>
        <w:tc>
          <w:tcPr>
            <w:tcW w:w="8960" w:type="dxa"/>
            <w:tcBorders>
              <w:top w:val="nil"/>
              <w:left w:val="nil"/>
              <w:bottom w:val="nil"/>
              <w:right w:val="nil"/>
            </w:tcBorders>
          </w:tcPr>
          <w:p w14:paraId="1CD5A45F"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r>
              <w:rPr>
                <w:rFonts w:eastAsia="Calibri"/>
                <w:szCs w:val="24"/>
                <w:lang w:val="en-US" w:eastAsia="en-US"/>
              </w:rPr>
              <w:t>MSCI World</w:t>
            </w:r>
            <w:r w:rsidRPr="006C59AD">
              <w:rPr>
                <w:rFonts w:eastAsia="Calibri"/>
                <w:szCs w:val="24"/>
                <w:lang w:val="en-US" w:eastAsia="en-US"/>
              </w:rPr>
              <w:t xml:space="preserve"> Bank Sensitivity on Sentiment </w:t>
            </w:r>
          </w:p>
        </w:tc>
        <w:tc>
          <w:tcPr>
            <w:tcW w:w="4933" w:type="dxa"/>
            <w:tcBorders>
              <w:top w:val="nil"/>
              <w:left w:val="nil"/>
              <w:bottom w:val="nil"/>
              <w:right w:val="nil"/>
            </w:tcBorders>
          </w:tcPr>
          <w:p w14:paraId="4B0F960B" w14:textId="77777777" w:rsidR="00916B26" w:rsidRPr="00F70B66" w:rsidRDefault="00916B26" w:rsidP="00691A0C">
            <w:pPr>
              <w:spacing w:line="240" w:lineRule="auto"/>
              <w:jc w:val="center"/>
            </w:pPr>
            <w:r w:rsidRPr="00F70B66">
              <w:t>-7.950***</w:t>
            </w:r>
          </w:p>
        </w:tc>
      </w:tr>
      <w:tr w:rsidR="00916B26" w:rsidRPr="006C59AD" w14:paraId="19A49B41" w14:textId="77777777" w:rsidTr="00691A0C">
        <w:trPr>
          <w:trHeight w:val="198"/>
        </w:trPr>
        <w:tc>
          <w:tcPr>
            <w:tcW w:w="8960" w:type="dxa"/>
            <w:tcBorders>
              <w:top w:val="nil"/>
              <w:left w:val="nil"/>
              <w:bottom w:val="nil"/>
              <w:right w:val="nil"/>
            </w:tcBorders>
          </w:tcPr>
          <w:p w14:paraId="7481A72A"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p>
        </w:tc>
        <w:tc>
          <w:tcPr>
            <w:tcW w:w="4933" w:type="dxa"/>
            <w:tcBorders>
              <w:top w:val="nil"/>
              <w:left w:val="nil"/>
              <w:bottom w:val="nil"/>
              <w:right w:val="nil"/>
            </w:tcBorders>
          </w:tcPr>
          <w:p w14:paraId="2CF6F869" w14:textId="77777777" w:rsidR="00916B26" w:rsidRPr="00F70B66" w:rsidRDefault="00916B26" w:rsidP="00691A0C">
            <w:pPr>
              <w:spacing w:line="240" w:lineRule="auto"/>
              <w:jc w:val="center"/>
            </w:pPr>
            <w:r w:rsidRPr="00F70B66">
              <w:t>(0.305)</w:t>
            </w:r>
          </w:p>
        </w:tc>
      </w:tr>
      <w:tr w:rsidR="00916B26" w:rsidRPr="006C59AD" w14:paraId="7C7F2ED4" w14:textId="77777777" w:rsidTr="00691A0C">
        <w:trPr>
          <w:trHeight w:val="198"/>
        </w:trPr>
        <w:tc>
          <w:tcPr>
            <w:tcW w:w="8960" w:type="dxa"/>
            <w:tcBorders>
              <w:top w:val="nil"/>
              <w:left w:val="nil"/>
              <w:bottom w:val="nil"/>
              <w:right w:val="nil"/>
            </w:tcBorders>
          </w:tcPr>
          <w:p w14:paraId="5AE4CE8D"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p>
        </w:tc>
        <w:tc>
          <w:tcPr>
            <w:tcW w:w="4933" w:type="dxa"/>
            <w:tcBorders>
              <w:top w:val="nil"/>
              <w:left w:val="nil"/>
              <w:bottom w:val="nil"/>
              <w:right w:val="nil"/>
            </w:tcBorders>
          </w:tcPr>
          <w:p w14:paraId="16D4CB12" w14:textId="77777777" w:rsidR="00916B26" w:rsidRPr="00F70B66" w:rsidRDefault="00916B26" w:rsidP="00691A0C">
            <w:pPr>
              <w:spacing w:line="240" w:lineRule="auto"/>
              <w:jc w:val="center"/>
            </w:pPr>
          </w:p>
        </w:tc>
      </w:tr>
      <w:tr w:rsidR="00916B26" w:rsidRPr="006C59AD" w14:paraId="7BEFFF1C" w14:textId="77777777" w:rsidTr="00691A0C">
        <w:trPr>
          <w:trHeight w:val="198"/>
        </w:trPr>
        <w:tc>
          <w:tcPr>
            <w:tcW w:w="8960" w:type="dxa"/>
            <w:tcBorders>
              <w:top w:val="nil"/>
              <w:left w:val="nil"/>
              <w:bottom w:val="nil"/>
              <w:right w:val="nil"/>
            </w:tcBorders>
          </w:tcPr>
          <w:p w14:paraId="36346B2F"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r w:rsidRPr="006C59AD">
              <w:rPr>
                <w:rFonts w:eastAsia="Calibri"/>
                <w:szCs w:val="24"/>
                <w:lang w:val="en-US" w:eastAsia="en-US"/>
              </w:rPr>
              <w:t>Constant</w:t>
            </w:r>
          </w:p>
        </w:tc>
        <w:tc>
          <w:tcPr>
            <w:tcW w:w="4933" w:type="dxa"/>
            <w:tcBorders>
              <w:top w:val="nil"/>
              <w:left w:val="nil"/>
              <w:bottom w:val="nil"/>
              <w:right w:val="nil"/>
            </w:tcBorders>
          </w:tcPr>
          <w:p w14:paraId="1400C0C5" w14:textId="77777777" w:rsidR="00916B26" w:rsidRPr="00F70B66" w:rsidRDefault="00916B26" w:rsidP="00691A0C">
            <w:pPr>
              <w:spacing w:line="240" w:lineRule="auto"/>
              <w:jc w:val="center"/>
            </w:pPr>
            <w:r w:rsidRPr="00F70B66">
              <w:t>-0.00794***</w:t>
            </w:r>
          </w:p>
        </w:tc>
      </w:tr>
      <w:tr w:rsidR="00916B26" w:rsidRPr="006C59AD" w14:paraId="0FA6F11D" w14:textId="77777777" w:rsidTr="00691A0C">
        <w:trPr>
          <w:trHeight w:val="187"/>
        </w:trPr>
        <w:tc>
          <w:tcPr>
            <w:tcW w:w="8960" w:type="dxa"/>
            <w:tcBorders>
              <w:top w:val="nil"/>
              <w:left w:val="nil"/>
              <w:bottom w:val="single" w:sz="4" w:space="0" w:color="auto"/>
              <w:right w:val="nil"/>
            </w:tcBorders>
          </w:tcPr>
          <w:p w14:paraId="411AC231"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p>
        </w:tc>
        <w:tc>
          <w:tcPr>
            <w:tcW w:w="4933" w:type="dxa"/>
            <w:tcBorders>
              <w:top w:val="nil"/>
              <w:left w:val="nil"/>
              <w:bottom w:val="single" w:sz="4" w:space="0" w:color="auto"/>
              <w:right w:val="nil"/>
            </w:tcBorders>
          </w:tcPr>
          <w:p w14:paraId="3A98B6BB" w14:textId="77777777" w:rsidR="00916B26" w:rsidRPr="00F70B66" w:rsidRDefault="00916B26" w:rsidP="00691A0C">
            <w:pPr>
              <w:spacing w:line="240" w:lineRule="auto"/>
              <w:jc w:val="center"/>
            </w:pPr>
            <w:r w:rsidRPr="00F70B66">
              <w:t>(0.000334)</w:t>
            </w:r>
          </w:p>
        </w:tc>
      </w:tr>
      <w:tr w:rsidR="00916B26" w:rsidRPr="006C59AD" w14:paraId="5F83EE33" w14:textId="77777777" w:rsidTr="00691A0C">
        <w:trPr>
          <w:trHeight w:val="187"/>
        </w:trPr>
        <w:tc>
          <w:tcPr>
            <w:tcW w:w="8960" w:type="dxa"/>
            <w:tcBorders>
              <w:top w:val="single" w:sz="4" w:space="0" w:color="auto"/>
              <w:left w:val="nil"/>
              <w:bottom w:val="nil"/>
              <w:right w:val="nil"/>
            </w:tcBorders>
          </w:tcPr>
          <w:p w14:paraId="127C9C76"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r w:rsidRPr="006C59AD">
              <w:rPr>
                <w:rFonts w:eastAsia="Calibri"/>
                <w:szCs w:val="24"/>
                <w:lang w:val="en-US" w:eastAsia="en-US"/>
              </w:rPr>
              <w:t>Observations</w:t>
            </w:r>
          </w:p>
        </w:tc>
        <w:tc>
          <w:tcPr>
            <w:tcW w:w="4933" w:type="dxa"/>
            <w:tcBorders>
              <w:top w:val="single" w:sz="4" w:space="0" w:color="auto"/>
              <w:left w:val="nil"/>
              <w:bottom w:val="nil"/>
              <w:right w:val="nil"/>
            </w:tcBorders>
          </w:tcPr>
          <w:p w14:paraId="518B13D0" w14:textId="77777777" w:rsidR="00916B26" w:rsidRPr="00F70B66" w:rsidRDefault="00916B26" w:rsidP="00691A0C">
            <w:pPr>
              <w:spacing w:line="240" w:lineRule="auto"/>
              <w:jc w:val="center"/>
            </w:pPr>
            <w:r w:rsidRPr="00F70B66">
              <w:t>1105</w:t>
            </w:r>
          </w:p>
        </w:tc>
      </w:tr>
      <w:tr w:rsidR="00916B26" w:rsidRPr="006C59AD" w14:paraId="407DD67B" w14:textId="77777777" w:rsidTr="00691A0C">
        <w:trPr>
          <w:trHeight w:val="187"/>
        </w:trPr>
        <w:tc>
          <w:tcPr>
            <w:tcW w:w="8960" w:type="dxa"/>
            <w:tcBorders>
              <w:top w:val="nil"/>
              <w:left w:val="nil"/>
              <w:bottom w:val="single" w:sz="4" w:space="0" w:color="auto"/>
              <w:right w:val="nil"/>
            </w:tcBorders>
          </w:tcPr>
          <w:p w14:paraId="6355F9FC" w14:textId="77777777" w:rsidR="00916B26" w:rsidRPr="006C59AD" w:rsidRDefault="00916B26" w:rsidP="00691A0C">
            <w:pPr>
              <w:widowControl w:val="0"/>
              <w:autoSpaceDE w:val="0"/>
              <w:autoSpaceDN w:val="0"/>
              <w:adjustRightInd w:val="0"/>
              <w:spacing w:line="240" w:lineRule="auto"/>
              <w:jc w:val="left"/>
              <w:rPr>
                <w:rFonts w:eastAsia="Calibri"/>
                <w:szCs w:val="24"/>
                <w:lang w:val="en-US" w:eastAsia="en-US"/>
              </w:rPr>
            </w:pPr>
            <w:r w:rsidRPr="006C59AD">
              <w:rPr>
                <w:rFonts w:eastAsia="Calibri"/>
                <w:szCs w:val="24"/>
                <w:lang w:val="en-US" w:eastAsia="en-US"/>
              </w:rPr>
              <w:t>Adj. R-Square</w:t>
            </w:r>
          </w:p>
        </w:tc>
        <w:tc>
          <w:tcPr>
            <w:tcW w:w="4933" w:type="dxa"/>
            <w:tcBorders>
              <w:top w:val="nil"/>
              <w:left w:val="nil"/>
              <w:bottom w:val="single" w:sz="4" w:space="0" w:color="auto"/>
              <w:right w:val="nil"/>
            </w:tcBorders>
          </w:tcPr>
          <w:p w14:paraId="7464221E" w14:textId="77777777" w:rsidR="00916B26" w:rsidRDefault="00916B26" w:rsidP="00691A0C">
            <w:pPr>
              <w:spacing w:line="240" w:lineRule="auto"/>
              <w:jc w:val="center"/>
            </w:pPr>
            <w:r w:rsidRPr="00F70B66">
              <w:t>0.732</w:t>
            </w:r>
          </w:p>
        </w:tc>
      </w:tr>
    </w:tbl>
    <w:p w14:paraId="3699F0A5" w14:textId="77777777" w:rsidR="00916B26" w:rsidRPr="009065E8" w:rsidRDefault="00916B26" w:rsidP="00916B26">
      <w:pPr>
        <w:widowControl w:val="0"/>
        <w:autoSpaceDE w:val="0"/>
        <w:autoSpaceDN w:val="0"/>
        <w:adjustRightInd w:val="0"/>
        <w:spacing w:line="240" w:lineRule="auto"/>
        <w:jc w:val="center"/>
        <w:rPr>
          <w:rFonts w:eastAsia="Calibri"/>
          <w:b/>
          <w:sz w:val="20"/>
          <w:szCs w:val="20"/>
          <w:lang w:val="en-US" w:eastAsia="en-US"/>
        </w:rPr>
      </w:pPr>
      <w:r w:rsidRPr="009065E8">
        <w:rPr>
          <w:rFonts w:eastAsia="Calibri"/>
          <w:b/>
          <w:sz w:val="20"/>
          <w:szCs w:val="20"/>
          <w:lang w:val="en-US" w:eastAsia="en-US"/>
        </w:rPr>
        <w:t>Standard errors in parentheses</w:t>
      </w:r>
    </w:p>
    <w:p w14:paraId="4AB1BA1D" w14:textId="77777777" w:rsidR="00916B26" w:rsidRDefault="00916B26" w:rsidP="00916B26">
      <w:pPr>
        <w:widowControl w:val="0"/>
        <w:autoSpaceDE w:val="0"/>
        <w:autoSpaceDN w:val="0"/>
        <w:adjustRightInd w:val="0"/>
        <w:spacing w:line="240" w:lineRule="auto"/>
        <w:jc w:val="center"/>
        <w:rPr>
          <w:rFonts w:eastAsia="Calibri"/>
          <w:b/>
          <w:sz w:val="20"/>
          <w:szCs w:val="20"/>
          <w:lang w:val="en-US" w:eastAsia="en-US"/>
        </w:rPr>
      </w:pPr>
      <w:r w:rsidRPr="009065E8">
        <w:rPr>
          <w:rFonts w:eastAsia="Calibri"/>
          <w:b/>
          <w:sz w:val="20"/>
          <w:szCs w:val="20"/>
          <w:vertAlign w:val="superscript"/>
          <w:lang w:val="en-US" w:eastAsia="en-US"/>
        </w:rPr>
        <w:t>*</w:t>
      </w:r>
      <w:r w:rsidRPr="009065E8">
        <w:rPr>
          <w:rFonts w:eastAsia="Calibri"/>
          <w:b/>
          <w:sz w:val="20"/>
          <w:szCs w:val="20"/>
          <w:lang w:val="en-US" w:eastAsia="en-US"/>
        </w:rPr>
        <w:t xml:space="preserve"> </w:t>
      </w:r>
      <w:r w:rsidRPr="009065E8">
        <w:rPr>
          <w:rFonts w:eastAsia="Calibri"/>
          <w:b/>
          <w:i/>
          <w:iCs/>
          <w:sz w:val="20"/>
          <w:szCs w:val="20"/>
          <w:lang w:val="en-US" w:eastAsia="en-US"/>
        </w:rPr>
        <w:t>p</w:t>
      </w:r>
      <w:r w:rsidRPr="009065E8">
        <w:rPr>
          <w:rFonts w:eastAsia="Calibri"/>
          <w:b/>
          <w:sz w:val="20"/>
          <w:szCs w:val="20"/>
          <w:lang w:val="en-US" w:eastAsia="en-US"/>
        </w:rPr>
        <w:t xml:space="preserve"> &lt; 0.1, </w:t>
      </w:r>
      <w:r w:rsidRPr="009065E8">
        <w:rPr>
          <w:rFonts w:eastAsia="Calibri"/>
          <w:b/>
          <w:sz w:val="20"/>
          <w:szCs w:val="20"/>
          <w:vertAlign w:val="superscript"/>
          <w:lang w:val="en-US" w:eastAsia="en-US"/>
        </w:rPr>
        <w:t>**</w:t>
      </w:r>
      <w:r w:rsidRPr="009065E8">
        <w:rPr>
          <w:rFonts w:eastAsia="Calibri"/>
          <w:b/>
          <w:sz w:val="20"/>
          <w:szCs w:val="20"/>
          <w:lang w:val="en-US" w:eastAsia="en-US"/>
        </w:rPr>
        <w:t xml:space="preserve"> </w:t>
      </w:r>
      <w:r w:rsidRPr="009065E8">
        <w:rPr>
          <w:rFonts w:eastAsia="Calibri"/>
          <w:b/>
          <w:i/>
          <w:iCs/>
          <w:sz w:val="20"/>
          <w:szCs w:val="20"/>
          <w:lang w:val="en-US" w:eastAsia="en-US"/>
        </w:rPr>
        <w:t>p</w:t>
      </w:r>
      <w:r w:rsidRPr="009065E8">
        <w:rPr>
          <w:rFonts w:eastAsia="Calibri"/>
          <w:b/>
          <w:sz w:val="20"/>
          <w:szCs w:val="20"/>
          <w:lang w:val="en-US" w:eastAsia="en-US"/>
        </w:rPr>
        <w:t xml:space="preserve"> &lt; 0.05, </w:t>
      </w:r>
      <w:r w:rsidRPr="009065E8">
        <w:rPr>
          <w:rFonts w:eastAsia="Calibri"/>
          <w:b/>
          <w:sz w:val="20"/>
          <w:szCs w:val="20"/>
          <w:vertAlign w:val="superscript"/>
          <w:lang w:val="en-US" w:eastAsia="en-US"/>
        </w:rPr>
        <w:t>***</w:t>
      </w:r>
      <w:r w:rsidRPr="009065E8">
        <w:rPr>
          <w:rFonts w:eastAsia="Calibri"/>
          <w:b/>
          <w:sz w:val="20"/>
          <w:szCs w:val="20"/>
          <w:lang w:val="en-US" w:eastAsia="en-US"/>
        </w:rPr>
        <w:t xml:space="preserve"> </w:t>
      </w:r>
      <w:r w:rsidRPr="009065E8">
        <w:rPr>
          <w:rFonts w:eastAsia="Calibri"/>
          <w:b/>
          <w:i/>
          <w:iCs/>
          <w:sz w:val="20"/>
          <w:szCs w:val="20"/>
          <w:lang w:val="en-US" w:eastAsia="en-US"/>
        </w:rPr>
        <w:t>p</w:t>
      </w:r>
      <w:r w:rsidRPr="009065E8">
        <w:rPr>
          <w:rFonts w:eastAsia="Calibri"/>
          <w:b/>
          <w:sz w:val="20"/>
          <w:szCs w:val="20"/>
          <w:lang w:val="en-US" w:eastAsia="en-US"/>
        </w:rPr>
        <w:t xml:space="preserve"> &lt; 0.01</w:t>
      </w:r>
    </w:p>
    <w:p w14:paraId="1F3DD203" w14:textId="77777777" w:rsidR="00916B26" w:rsidRDefault="00916B26" w:rsidP="00916B26"/>
    <w:p w14:paraId="21AE9103" w14:textId="77777777" w:rsidR="00916B26" w:rsidRDefault="00916B26" w:rsidP="00916B26"/>
    <w:p w14:paraId="40FDE45A" w14:textId="77777777" w:rsidR="00916B26" w:rsidRDefault="00916B26" w:rsidP="00916B26"/>
    <w:p w14:paraId="672E1660" w14:textId="77777777" w:rsidR="00916B26" w:rsidRDefault="00916B26" w:rsidP="00916B26"/>
    <w:p w14:paraId="6E1D5E3A" w14:textId="77777777" w:rsidR="00916B26" w:rsidRDefault="00916B26" w:rsidP="00916B26"/>
    <w:p w14:paraId="77B4D2D9" w14:textId="77777777" w:rsidR="00916B26" w:rsidRDefault="00916B26" w:rsidP="00916B26">
      <w:pPr>
        <w:keepNext/>
        <w:spacing w:line="360" w:lineRule="auto"/>
        <w:jc w:val="left"/>
        <w:rPr>
          <w:b/>
          <w:i/>
          <w:iCs/>
          <w:color w:val="000000"/>
        </w:rPr>
        <w:sectPr w:rsidR="00916B26" w:rsidSect="00691A0C">
          <w:pgSz w:w="16838" w:h="11906" w:orient="landscape"/>
          <w:pgMar w:top="1440" w:right="1440" w:bottom="1440" w:left="1701" w:header="708" w:footer="708" w:gutter="0"/>
          <w:cols w:space="708"/>
          <w:docGrid w:linePitch="360"/>
        </w:sectPr>
      </w:pPr>
    </w:p>
    <w:p w14:paraId="6F09D1BB" w14:textId="359B9B35" w:rsidR="00916B26" w:rsidRPr="005127B4" w:rsidRDefault="00916B26" w:rsidP="00E95CF1">
      <w:pPr>
        <w:keepNext/>
        <w:spacing w:line="360" w:lineRule="auto"/>
        <w:ind w:left="-284"/>
        <w:jc w:val="left"/>
        <w:rPr>
          <w:b/>
          <w:i/>
          <w:iCs/>
          <w:color w:val="000000"/>
        </w:rPr>
      </w:pPr>
      <w:r w:rsidRPr="005127B4">
        <w:rPr>
          <w:b/>
          <w:i/>
          <w:iCs/>
          <w:color w:val="000000"/>
        </w:rPr>
        <w:lastRenderedPageBreak/>
        <w:t xml:space="preserve">Table </w:t>
      </w:r>
      <w:r w:rsidR="00691A0C">
        <w:rPr>
          <w:b/>
          <w:i/>
          <w:iCs/>
          <w:color w:val="000000"/>
        </w:rPr>
        <w:t>5</w:t>
      </w:r>
      <w:r w:rsidRPr="005127B4">
        <w:rPr>
          <w:b/>
          <w:i/>
          <w:iCs/>
          <w:color w:val="000000"/>
        </w:rPr>
        <w:t>: Bitcoin return on Sentiment return regressions</w:t>
      </w:r>
      <w:r w:rsidR="000C6A7A">
        <w:rPr>
          <w:b/>
          <w:i/>
          <w:iCs/>
          <w:color w:val="000000"/>
        </w:rPr>
        <w:t xml:space="preserve"> (Fama </w:t>
      </w:r>
      <w:r w:rsidR="002508B4">
        <w:rPr>
          <w:b/>
          <w:i/>
          <w:iCs/>
          <w:color w:val="000000"/>
        </w:rPr>
        <w:t xml:space="preserve">&amp; </w:t>
      </w:r>
      <w:r w:rsidR="000C6A7A">
        <w:rPr>
          <w:b/>
          <w:i/>
          <w:iCs/>
          <w:color w:val="000000"/>
        </w:rPr>
        <w:t>French, 1993)</w:t>
      </w:r>
      <w:r>
        <w:rPr>
          <w:b/>
          <w:i/>
          <w:iCs/>
          <w:color w:val="000000"/>
        </w:rPr>
        <w:t xml:space="preserve"> </w:t>
      </w:r>
    </w:p>
    <w:tbl>
      <w:tblPr>
        <w:tblW w:w="14468" w:type="dxa"/>
        <w:tblInd w:w="-284" w:type="dxa"/>
        <w:tblLayout w:type="fixed"/>
        <w:tblLook w:val="0000" w:firstRow="0" w:lastRow="0" w:firstColumn="0" w:lastColumn="0" w:noHBand="0" w:noVBand="0"/>
      </w:tblPr>
      <w:tblGrid>
        <w:gridCol w:w="7088"/>
        <w:gridCol w:w="1843"/>
        <w:gridCol w:w="1984"/>
        <w:gridCol w:w="1817"/>
        <w:gridCol w:w="1736"/>
      </w:tblGrid>
      <w:tr w:rsidR="00916B26" w:rsidRPr="003935C0" w14:paraId="559EAFF6" w14:textId="77777777" w:rsidTr="00E95CF1">
        <w:trPr>
          <w:trHeight w:val="181"/>
        </w:trPr>
        <w:tc>
          <w:tcPr>
            <w:tcW w:w="7088" w:type="dxa"/>
            <w:vMerge w:val="restart"/>
            <w:tcBorders>
              <w:top w:val="single" w:sz="4" w:space="0" w:color="auto"/>
              <w:left w:val="nil"/>
              <w:right w:val="nil"/>
            </w:tcBorders>
            <w:vAlign w:val="center"/>
          </w:tcPr>
          <w:p w14:paraId="66BFD95C" w14:textId="77777777" w:rsidR="00916B26" w:rsidRPr="003935C0" w:rsidRDefault="00916B26" w:rsidP="00691A0C">
            <w:pPr>
              <w:widowControl w:val="0"/>
              <w:autoSpaceDE w:val="0"/>
              <w:autoSpaceDN w:val="0"/>
              <w:adjustRightInd w:val="0"/>
              <w:spacing w:line="240" w:lineRule="auto"/>
              <w:jc w:val="left"/>
              <w:rPr>
                <w:rFonts w:eastAsia="Calibri" w:cs="Arial"/>
                <w:b/>
                <w:szCs w:val="20"/>
                <w:lang w:val="en-US" w:eastAsia="en-US"/>
              </w:rPr>
            </w:pPr>
          </w:p>
        </w:tc>
        <w:tc>
          <w:tcPr>
            <w:tcW w:w="1843" w:type="dxa"/>
            <w:tcBorders>
              <w:top w:val="single" w:sz="4" w:space="0" w:color="auto"/>
              <w:left w:val="nil"/>
              <w:bottom w:val="nil"/>
              <w:right w:val="nil"/>
            </w:tcBorders>
          </w:tcPr>
          <w:p w14:paraId="690283F3"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(1)</w:t>
            </w:r>
          </w:p>
        </w:tc>
        <w:tc>
          <w:tcPr>
            <w:tcW w:w="1984" w:type="dxa"/>
            <w:tcBorders>
              <w:top w:val="single" w:sz="4" w:space="0" w:color="auto"/>
              <w:left w:val="nil"/>
              <w:bottom w:val="nil"/>
              <w:right w:val="nil"/>
            </w:tcBorders>
          </w:tcPr>
          <w:p w14:paraId="208CDFD7"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(2)</w:t>
            </w:r>
          </w:p>
        </w:tc>
        <w:tc>
          <w:tcPr>
            <w:tcW w:w="1817" w:type="dxa"/>
            <w:tcBorders>
              <w:top w:val="single" w:sz="4" w:space="0" w:color="auto"/>
              <w:left w:val="nil"/>
              <w:bottom w:val="nil"/>
              <w:right w:val="nil"/>
            </w:tcBorders>
          </w:tcPr>
          <w:p w14:paraId="5773F76C"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(3)</w:t>
            </w:r>
          </w:p>
        </w:tc>
        <w:tc>
          <w:tcPr>
            <w:tcW w:w="1736" w:type="dxa"/>
            <w:tcBorders>
              <w:top w:val="single" w:sz="4" w:space="0" w:color="auto"/>
              <w:left w:val="nil"/>
              <w:bottom w:val="nil"/>
              <w:right w:val="nil"/>
            </w:tcBorders>
          </w:tcPr>
          <w:p w14:paraId="16E7CC8B"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(4)</w:t>
            </w:r>
          </w:p>
        </w:tc>
      </w:tr>
      <w:tr w:rsidR="00916B26" w:rsidRPr="003935C0" w14:paraId="76E07446" w14:textId="77777777" w:rsidTr="00E95CF1">
        <w:trPr>
          <w:trHeight w:val="87"/>
        </w:trPr>
        <w:tc>
          <w:tcPr>
            <w:tcW w:w="7088" w:type="dxa"/>
            <w:vMerge/>
            <w:tcBorders>
              <w:left w:val="nil"/>
              <w:bottom w:val="nil"/>
              <w:right w:val="nil"/>
            </w:tcBorders>
          </w:tcPr>
          <w:p w14:paraId="43D14470" w14:textId="77777777" w:rsidR="00916B26" w:rsidRPr="003935C0" w:rsidRDefault="00916B26" w:rsidP="00691A0C">
            <w:pPr>
              <w:widowControl w:val="0"/>
              <w:autoSpaceDE w:val="0"/>
              <w:autoSpaceDN w:val="0"/>
              <w:adjustRightInd w:val="0"/>
              <w:spacing w:line="240" w:lineRule="auto"/>
              <w:jc w:val="left"/>
              <w:rPr>
                <w:rFonts w:eastAsia="Calibri" w:cs="Arial"/>
                <w:b/>
                <w:szCs w:val="20"/>
                <w:lang w:val="en-US" w:eastAsia="en-US"/>
              </w:rPr>
            </w:pPr>
          </w:p>
        </w:tc>
        <w:tc>
          <w:tcPr>
            <w:tcW w:w="1843" w:type="dxa"/>
            <w:tcBorders>
              <w:top w:val="nil"/>
              <w:left w:val="nil"/>
              <w:bottom w:val="nil"/>
              <w:right w:val="nil"/>
            </w:tcBorders>
          </w:tcPr>
          <w:p w14:paraId="4E3B4EE2"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984" w:type="dxa"/>
            <w:tcBorders>
              <w:top w:val="nil"/>
              <w:left w:val="nil"/>
              <w:bottom w:val="nil"/>
              <w:right w:val="nil"/>
            </w:tcBorders>
          </w:tcPr>
          <w:p w14:paraId="544E17E8"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817" w:type="dxa"/>
            <w:tcBorders>
              <w:top w:val="nil"/>
              <w:left w:val="nil"/>
              <w:bottom w:val="nil"/>
              <w:right w:val="nil"/>
            </w:tcBorders>
          </w:tcPr>
          <w:p w14:paraId="52F7F705"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736" w:type="dxa"/>
            <w:tcBorders>
              <w:top w:val="nil"/>
              <w:left w:val="nil"/>
              <w:bottom w:val="nil"/>
              <w:right w:val="nil"/>
            </w:tcBorders>
          </w:tcPr>
          <w:p w14:paraId="0DCC6F8F" w14:textId="77777777" w:rsidR="00916B26" w:rsidRPr="003935C0" w:rsidRDefault="00916B26" w:rsidP="00691A0C">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r>
      <w:tr w:rsidR="00916B26" w:rsidRPr="003935C0" w14:paraId="08CE7696" w14:textId="77777777" w:rsidTr="00E95CF1">
        <w:trPr>
          <w:trHeight w:val="181"/>
        </w:trPr>
        <w:tc>
          <w:tcPr>
            <w:tcW w:w="7088" w:type="dxa"/>
            <w:tcBorders>
              <w:top w:val="single" w:sz="4" w:space="0" w:color="auto"/>
              <w:left w:val="nil"/>
              <w:bottom w:val="nil"/>
              <w:right w:val="nil"/>
            </w:tcBorders>
          </w:tcPr>
          <w:p w14:paraId="1BD98B88"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Volume</w:t>
            </w:r>
          </w:p>
        </w:tc>
        <w:tc>
          <w:tcPr>
            <w:tcW w:w="1843" w:type="dxa"/>
            <w:tcBorders>
              <w:top w:val="single" w:sz="4" w:space="0" w:color="auto"/>
              <w:left w:val="nil"/>
              <w:bottom w:val="nil"/>
              <w:right w:val="nil"/>
            </w:tcBorders>
          </w:tcPr>
          <w:p w14:paraId="03CA9BAE" w14:textId="77777777" w:rsidR="00916B26" w:rsidRPr="00817498" w:rsidRDefault="00916B26" w:rsidP="00691A0C">
            <w:pPr>
              <w:spacing w:line="240" w:lineRule="auto"/>
              <w:jc w:val="center"/>
            </w:pPr>
            <w:r w:rsidRPr="00817498">
              <w:t>0.00139**</w:t>
            </w:r>
          </w:p>
        </w:tc>
        <w:tc>
          <w:tcPr>
            <w:tcW w:w="1984" w:type="dxa"/>
            <w:tcBorders>
              <w:top w:val="single" w:sz="4" w:space="0" w:color="auto"/>
              <w:left w:val="nil"/>
              <w:bottom w:val="nil"/>
              <w:right w:val="nil"/>
            </w:tcBorders>
          </w:tcPr>
          <w:p w14:paraId="0EC30954" w14:textId="77777777" w:rsidR="00916B26" w:rsidRPr="00817498" w:rsidRDefault="00916B26" w:rsidP="00691A0C">
            <w:pPr>
              <w:spacing w:line="240" w:lineRule="auto"/>
              <w:jc w:val="center"/>
            </w:pPr>
            <w:r w:rsidRPr="00817498">
              <w:t>0.00138**</w:t>
            </w:r>
          </w:p>
        </w:tc>
        <w:tc>
          <w:tcPr>
            <w:tcW w:w="1817" w:type="dxa"/>
            <w:tcBorders>
              <w:top w:val="single" w:sz="4" w:space="0" w:color="auto"/>
              <w:left w:val="nil"/>
              <w:bottom w:val="nil"/>
              <w:right w:val="nil"/>
            </w:tcBorders>
          </w:tcPr>
          <w:p w14:paraId="6B4987F2" w14:textId="77777777" w:rsidR="00916B26" w:rsidRPr="00817498" w:rsidRDefault="00916B26" w:rsidP="00691A0C">
            <w:pPr>
              <w:spacing w:line="240" w:lineRule="auto"/>
              <w:jc w:val="center"/>
            </w:pPr>
            <w:r w:rsidRPr="00817498">
              <w:t>0.00131**</w:t>
            </w:r>
          </w:p>
        </w:tc>
        <w:tc>
          <w:tcPr>
            <w:tcW w:w="1736" w:type="dxa"/>
            <w:tcBorders>
              <w:top w:val="single" w:sz="4" w:space="0" w:color="auto"/>
              <w:left w:val="nil"/>
              <w:bottom w:val="nil"/>
              <w:right w:val="nil"/>
            </w:tcBorders>
          </w:tcPr>
          <w:p w14:paraId="7EF14419" w14:textId="77777777" w:rsidR="00916B26" w:rsidRPr="00817498" w:rsidRDefault="00916B26" w:rsidP="00691A0C">
            <w:pPr>
              <w:spacing w:line="240" w:lineRule="auto"/>
              <w:jc w:val="center"/>
            </w:pPr>
            <w:r w:rsidRPr="00817498">
              <w:t>0.00150**</w:t>
            </w:r>
          </w:p>
        </w:tc>
      </w:tr>
      <w:tr w:rsidR="00916B26" w:rsidRPr="003935C0" w14:paraId="4D24848F" w14:textId="77777777" w:rsidTr="00E95CF1">
        <w:trPr>
          <w:trHeight w:val="159"/>
        </w:trPr>
        <w:tc>
          <w:tcPr>
            <w:tcW w:w="7088" w:type="dxa"/>
            <w:tcBorders>
              <w:top w:val="nil"/>
              <w:left w:val="nil"/>
              <w:bottom w:val="nil"/>
              <w:right w:val="nil"/>
            </w:tcBorders>
          </w:tcPr>
          <w:p w14:paraId="73A80393"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0F9E0941" w14:textId="77777777" w:rsidR="00916B26" w:rsidRPr="00817498" w:rsidRDefault="00916B26" w:rsidP="00691A0C">
            <w:pPr>
              <w:spacing w:line="240" w:lineRule="auto"/>
              <w:jc w:val="center"/>
            </w:pPr>
            <w:r w:rsidRPr="00817498">
              <w:t>(0.000554)</w:t>
            </w:r>
          </w:p>
        </w:tc>
        <w:tc>
          <w:tcPr>
            <w:tcW w:w="1984" w:type="dxa"/>
            <w:tcBorders>
              <w:top w:val="nil"/>
              <w:left w:val="nil"/>
              <w:bottom w:val="nil"/>
              <w:right w:val="nil"/>
            </w:tcBorders>
          </w:tcPr>
          <w:p w14:paraId="3CD5B6FD" w14:textId="77777777" w:rsidR="00916B26" w:rsidRPr="00817498" w:rsidRDefault="00916B26" w:rsidP="00691A0C">
            <w:pPr>
              <w:spacing w:line="240" w:lineRule="auto"/>
              <w:jc w:val="center"/>
            </w:pPr>
            <w:r w:rsidRPr="00817498">
              <w:t>(0.000569)</w:t>
            </w:r>
          </w:p>
        </w:tc>
        <w:tc>
          <w:tcPr>
            <w:tcW w:w="1817" w:type="dxa"/>
            <w:tcBorders>
              <w:top w:val="nil"/>
              <w:left w:val="nil"/>
              <w:bottom w:val="nil"/>
              <w:right w:val="nil"/>
            </w:tcBorders>
          </w:tcPr>
          <w:p w14:paraId="6DD9E079" w14:textId="77777777" w:rsidR="00916B26" w:rsidRPr="00817498" w:rsidRDefault="00916B26" w:rsidP="00691A0C">
            <w:pPr>
              <w:spacing w:line="240" w:lineRule="auto"/>
              <w:jc w:val="center"/>
            </w:pPr>
            <w:r w:rsidRPr="00817498">
              <w:t>(0.000568)</w:t>
            </w:r>
          </w:p>
        </w:tc>
        <w:tc>
          <w:tcPr>
            <w:tcW w:w="1736" w:type="dxa"/>
            <w:tcBorders>
              <w:top w:val="nil"/>
              <w:left w:val="nil"/>
              <w:bottom w:val="nil"/>
              <w:right w:val="nil"/>
            </w:tcBorders>
          </w:tcPr>
          <w:p w14:paraId="5A85769E" w14:textId="77777777" w:rsidR="00916B26" w:rsidRPr="00817498" w:rsidRDefault="00916B26" w:rsidP="00691A0C">
            <w:pPr>
              <w:spacing w:line="240" w:lineRule="auto"/>
              <w:jc w:val="center"/>
            </w:pPr>
            <w:r w:rsidRPr="00817498">
              <w:t>(0.000584)</w:t>
            </w:r>
          </w:p>
        </w:tc>
      </w:tr>
      <w:tr w:rsidR="00916B26" w:rsidRPr="003935C0" w14:paraId="73381BA2" w14:textId="77777777" w:rsidTr="00E95CF1">
        <w:trPr>
          <w:trHeight w:val="195"/>
        </w:trPr>
        <w:tc>
          <w:tcPr>
            <w:tcW w:w="7088" w:type="dxa"/>
            <w:tcBorders>
              <w:top w:val="nil"/>
              <w:left w:val="nil"/>
              <w:bottom w:val="nil"/>
              <w:right w:val="nil"/>
            </w:tcBorders>
          </w:tcPr>
          <w:p w14:paraId="0CFE30C7"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VIX</w:t>
            </w:r>
          </w:p>
        </w:tc>
        <w:tc>
          <w:tcPr>
            <w:tcW w:w="1843" w:type="dxa"/>
            <w:tcBorders>
              <w:top w:val="nil"/>
              <w:left w:val="nil"/>
              <w:bottom w:val="nil"/>
              <w:right w:val="nil"/>
            </w:tcBorders>
          </w:tcPr>
          <w:p w14:paraId="0EA1F912" w14:textId="77777777" w:rsidR="00916B26" w:rsidRPr="00817498" w:rsidRDefault="00916B26" w:rsidP="00691A0C">
            <w:pPr>
              <w:spacing w:line="240" w:lineRule="auto"/>
              <w:jc w:val="center"/>
            </w:pPr>
            <w:r w:rsidRPr="00817498">
              <w:t>-0.0109**</w:t>
            </w:r>
          </w:p>
        </w:tc>
        <w:tc>
          <w:tcPr>
            <w:tcW w:w="1984" w:type="dxa"/>
            <w:tcBorders>
              <w:top w:val="nil"/>
              <w:left w:val="nil"/>
              <w:bottom w:val="nil"/>
              <w:right w:val="nil"/>
            </w:tcBorders>
          </w:tcPr>
          <w:p w14:paraId="76DCD28B" w14:textId="77777777" w:rsidR="00916B26" w:rsidRPr="00817498" w:rsidRDefault="00916B26" w:rsidP="00691A0C">
            <w:pPr>
              <w:spacing w:line="240" w:lineRule="auto"/>
              <w:jc w:val="center"/>
            </w:pPr>
            <w:r w:rsidRPr="00817498">
              <w:t>-0.0109**</w:t>
            </w:r>
          </w:p>
        </w:tc>
        <w:tc>
          <w:tcPr>
            <w:tcW w:w="1817" w:type="dxa"/>
            <w:tcBorders>
              <w:top w:val="nil"/>
              <w:left w:val="nil"/>
              <w:bottom w:val="nil"/>
              <w:right w:val="nil"/>
            </w:tcBorders>
          </w:tcPr>
          <w:p w14:paraId="108628BE" w14:textId="77777777" w:rsidR="00916B26" w:rsidRPr="00817498" w:rsidRDefault="00916B26" w:rsidP="00691A0C">
            <w:pPr>
              <w:spacing w:line="240" w:lineRule="auto"/>
              <w:jc w:val="center"/>
            </w:pPr>
            <w:r w:rsidRPr="00817498">
              <w:t>-0.00947**</w:t>
            </w:r>
          </w:p>
        </w:tc>
        <w:tc>
          <w:tcPr>
            <w:tcW w:w="1736" w:type="dxa"/>
            <w:tcBorders>
              <w:top w:val="nil"/>
              <w:left w:val="nil"/>
              <w:bottom w:val="nil"/>
              <w:right w:val="nil"/>
            </w:tcBorders>
          </w:tcPr>
          <w:p w14:paraId="05D5B973" w14:textId="77777777" w:rsidR="00916B26" w:rsidRPr="00817498" w:rsidRDefault="00916B26" w:rsidP="00691A0C">
            <w:pPr>
              <w:spacing w:line="240" w:lineRule="auto"/>
              <w:jc w:val="center"/>
            </w:pPr>
            <w:r w:rsidRPr="00817498">
              <w:t>-0.00840*</w:t>
            </w:r>
          </w:p>
        </w:tc>
      </w:tr>
      <w:tr w:rsidR="00916B26" w:rsidRPr="003935C0" w14:paraId="67D6E833" w14:textId="77777777" w:rsidTr="00E95CF1">
        <w:trPr>
          <w:trHeight w:val="181"/>
        </w:trPr>
        <w:tc>
          <w:tcPr>
            <w:tcW w:w="7088" w:type="dxa"/>
            <w:tcBorders>
              <w:top w:val="nil"/>
              <w:left w:val="nil"/>
              <w:bottom w:val="nil"/>
              <w:right w:val="nil"/>
            </w:tcBorders>
          </w:tcPr>
          <w:p w14:paraId="4A891228"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078A6F90" w14:textId="77777777" w:rsidR="00916B26" w:rsidRPr="00817498" w:rsidRDefault="00916B26" w:rsidP="00691A0C">
            <w:pPr>
              <w:spacing w:line="240" w:lineRule="auto"/>
              <w:jc w:val="center"/>
            </w:pPr>
            <w:r w:rsidRPr="00817498">
              <w:t>(0.00451)</w:t>
            </w:r>
          </w:p>
        </w:tc>
        <w:tc>
          <w:tcPr>
            <w:tcW w:w="1984" w:type="dxa"/>
            <w:tcBorders>
              <w:top w:val="nil"/>
              <w:left w:val="nil"/>
              <w:bottom w:val="nil"/>
              <w:right w:val="nil"/>
            </w:tcBorders>
          </w:tcPr>
          <w:p w14:paraId="64E6916C" w14:textId="77777777" w:rsidR="00916B26" w:rsidRPr="00817498" w:rsidRDefault="00916B26" w:rsidP="00691A0C">
            <w:pPr>
              <w:spacing w:line="240" w:lineRule="auto"/>
              <w:jc w:val="center"/>
            </w:pPr>
            <w:r w:rsidRPr="00817498">
              <w:t>(0.00471)</w:t>
            </w:r>
          </w:p>
        </w:tc>
        <w:tc>
          <w:tcPr>
            <w:tcW w:w="1817" w:type="dxa"/>
            <w:tcBorders>
              <w:top w:val="nil"/>
              <w:left w:val="nil"/>
              <w:bottom w:val="nil"/>
              <w:right w:val="nil"/>
            </w:tcBorders>
          </w:tcPr>
          <w:p w14:paraId="7C65B938" w14:textId="77777777" w:rsidR="00916B26" w:rsidRPr="00817498" w:rsidRDefault="00916B26" w:rsidP="00691A0C">
            <w:pPr>
              <w:spacing w:line="240" w:lineRule="auto"/>
              <w:jc w:val="center"/>
            </w:pPr>
            <w:r w:rsidRPr="00817498">
              <w:t>(0.00474)</w:t>
            </w:r>
          </w:p>
        </w:tc>
        <w:tc>
          <w:tcPr>
            <w:tcW w:w="1736" w:type="dxa"/>
            <w:tcBorders>
              <w:top w:val="nil"/>
              <w:left w:val="nil"/>
              <w:bottom w:val="nil"/>
              <w:right w:val="nil"/>
            </w:tcBorders>
          </w:tcPr>
          <w:p w14:paraId="657F8324" w14:textId="77777777" w:rsidR="00916B26" w:rsidRPr="00817498" w:rsidRDefault="00916B26" w:rsidP="00691A0C">
            <w:pPr>
              <w:spacing w:line="240" w:lineRule="auto"/>
              <w:jc w:val="center"/>
            </w:pPr>
            <w:r w:rsidRPr="00817498">
              <w:t>(0.00478)</w:t>
            </w:r>
          </w:p>
        </w:tc>
      </w:tr>
      <w:tr w:rsidR="00916B26" w:rsidRPr="003935C0" w14:paraId="147B01E3" w14:textId="77777777" w:rsidTr="00E95CF1">
        <w:trPr>
          <w:trHeight w:val="195"/>
        </w:trPr>
        <w:tc>
          <w:tcPr>
            <w:tcW w:w="7088" w:type="dxa"/>
            <w:tcBorders>
              <w:top w:val="nil"/>
              <w:left w:val="nil"/>
              <w:bottom w:val="nil"/>
              <w:right w:val="nil"/>
            </w:tcBorders>
          </w:tcPr>
          <w:p w14:paraId="3A96CA7D"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EPU</w:t>
            </w:r>
          </w:p>
        </w:tc>
        <w:tc>
          <w:tcPr>
            <w:tcW w:w="1843" w:type="dxa"/>
            <w:tcBorders>
              <w:top w:val="nil"/>
              <w:left w:val="nil"/>
              <w:bottom w:val="nil"/>
              <w:right w:val="nil"/>
            </w:tcBorders>
          </w:tcPr>
          <w:p w14:paraId="45E2EEB5" w14:textId="77777777" w:rsidR="00916B26" w:rsidRPr="00817498" w:rsidRDefault="00916B26" w:rsidP="00691A0C">
            <w:pPr>
              <w:spacing w:line="240" w:lineRule="auto"/>
              <w:jc w:val="center"/>
            </w:pPr>
            <w:r w:rsidRPr="00817498">
              <w:t>0.00148</w:t>
            </w:r>
          </w:p>
        </w:tc>
        <w:tc>
          <w:tcPr>
            <w:tcW w:w="1984" w:type="dxa"/>
            <w:tcBorders>
              <w:top w:val="nil"/>
              <w:left w:val="nil"/>
              <w:bottom w:val="nil"/>
              <w:right w:val="nil"/>
            </w:tcBorders>
          </w:tcPr>
          <w:p w14:paraId="2DEC72AB" w14:textId="77777777" w:rsidR="00916B26" w:rsidRPr="00817498" w:rsidRDefault="00916B26" w:rsidP="00691A0C">
            <w:pPr>
              <w:spacing w:line="240" w:lineRule="auto"/>
              <w:jc w:val="center"/>
            </w:pPr>
            <w:r w:rsidRPr="00817498">
              <w:t>0.00147</w:t>
            </w:r>
          </w:p>
        </w:tc>
        <w:tc>
          <w:tcPr>
            <w:tcW w:w="1817" w:type="dxa"/>
            <w:tcBorders>
              <w:top w:val="nil"/>
              <w:left w:val="nil"/>
              <w:bottom w:val="nil"/>
              <w:right w:val="nil"/>
            </w:tcBorders>
          </w:tcPr>
          <w:p w14:paraId="62F7C696" w14:textId="77777777" w:rsidR="00916B26" w:rsidRPr="00817498" w:rsidRDefault="00916B26" w:rsidP="00691A0C">
            <w:pPr>
              <w:spacing w:line="240" w:lineRule="auto"/>
              <w:jc w:val="center"/>
            </w:pPr>
            <w:r w:rsidRPr="00817498">
              <w:t>0.00133</w:t>
            </w:r>
          </w:p>
        </w:tc>
        <w:tc>
          <w:tcPr>
            <w:tcW w:w="1736" w:type="dxa"/>
            <w:tcBorders>
              <w:top w:val="nil"/>
              <w:left w:val="nil"/>
              <w:bottom w:val="nil"/>
              <w:right w:val="nil"/>
            </w:tcBorders>
          </w:tcPr>
          <w:p w14:paraId="568A58BC" w14:textId="77777777" w:rsidR="00916B26" w:rsidRPr="00817498" w:rsidRDefault="00916B26" w:rsidP="00691A0C">
            <w:pPr>
              <w:spacing w:line="240" w:lineRule="auto"/>
              <w:jc w:val="center"/>
            </w:pPr>
            <w:r w:rsidRPr="00817498">
              <w:t>0.00111</w:t>
            </w:r>
          </w:p>
        </w:tc>
      </w:tr>
      <w:tr w:rsidR="00916B26" w:rsidRPr="003935C0" w14:paraId="108ED164" w14:textId="77777777" w:rsidTr="00E95CF1">
        <w:trPr>
          <w:trHeight w:val="195"/>
        </w:trPr>
        <w:tc>
          <w:tcPr>
            <w:tcW w:w="7088" w:type="dxa"/>
            <w:tcBorders>
              <w:top w:val="nil"/>
              <w:left w:val="nil"/>
              <w:bottom w:val="nil"/>
              <w:right w:val="nil"/>
            </w:tcBorders>
          </w:tcPr>
          <w:p w14:paraId="4E040FEB"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0CE39BE4" w14:textId="77777777" w:rsidR="00916B26" w:rsidRPr="00817498" w:rsidRDefault="00916B26" w:rsidP="00691A0C">
            <w:pPr>
              <w:spacing w:line="240" w:lineRule="auto"/>
              <w:jc w:val="center"/>
            </w:pPr>
            <w:r w:rsidRPr="00817498">
              <w:t>(0.00219)</w:t>
            </w:r>
          </w:p>
        </w:tc>
        <w:tc>
          <w:tcPr>
            <w:tcW w:w="1984" w:type="dxa"/>
            <w:tcBorders>
              <w:top w:val="nil"/>
              <w:left w:val="nil"/>
              <w:bottom w:val="nil"/>
              <w:right w:val="nil"/>
            </w:tcBorders>
          </w:tcPr>
          <w:p w14:paraId="12E0346D" w14:textId="77777777" w:rsidR="00916B26" w:rsidRPr="00817498" w:rsidRDefault="00916B26" w:rsidP="00691A0C">
            <w:pPr>
              <w:spacing w:line="240" w:lineRule="auto"/>
              <w:jc w:val="center"/>
            </w:pPr>
            <w:r w:rsidRPr="00817498">
              <w:t>(0.00229)</w:t>
            </w:r>
          </w:p>
        </w:tc>
        <w:tc>
          <w:tcPr>
            <w:tcW w:w="1817" w:type="dxa"/>
            <w:tcBorders>
              <w:top w:val="nil"/>
              <w:left w:val="nil"/>
              <w:bottom w:val="nil"/>
              <w:right w:val="nil"/>
            </w:tcBorders>
          </w:tcPr>
          <w:p w14:paraId="3E47EEB9" w14:textId="77777777" w:rsidR="00916B26" w:rsidRPr="00817498" w:rsidRDefault="00916B26" w:rsidP="00691A0C">
            <w:pPr>
              <w:spacing w:line="240" w:lineRule="auto"/>
              <w:jc w:val="center"/>
            </w:pPr>
            <w:r w:rsidRPr="00817498">
              <w:t>(0.00230)</w:t>
            </w:r>
          </w:p>
        </w:tc>
        <w:tc>
          <w:tcPr>
            <w:tcW w:w="1736" w:type="dxa"/>
            <w:tcBorders>
              <w:top w:val="nil"/>
              <w:left w:val="nil"/>
              <w:bottom w:val="nil"/>
              <w:right w:val="nil"/>
            </w:tcBorders>
          </w:tcPr>
          <w:p w14:paraId="689E00BA" w14:textId="77777777" w:rsidR="00916B26" w:rsidRPr="00817498" w:rsidRDefault="00916B26" w:rsidP="00691A0C">
            <w:pPr>
              <w:spacing w:line="240" w:lineRule="auto"/>
              <w:jc w:val="center"/>
            </w:pPr>
            <w:r w:rsidRPr="00817498">
              <w:t>(0.00229)</w:t>
            </w:r>
          </w:p>
        </w:tc>
      </w:tr>
      <w:tr w:rsidR="00916B26" w:rsidRPr="003935C0" w14:paraId="19E5A4EE" w14:textId="77777777" w:rsidTr="00E95CF1">
        <w:trPr>
          <w:trHeight w:val="195"/>
        </w:trPr>
        <w:tc>
          <w:tcPr>
            <w:tcW w:w="7088" w:type="dxa"/>
            <w:tcBorders>
              <w:top w:val="nil"/>
              <w:left w:val="nil"/>
              <w:bottom w:val="nil"/>
              <w:right w:val="nil"/>
            </w:tcBorders>
          </w:tcPr>
          <w:p w14:paraId="5203996E"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Sentiment RTN</w:t>
            </w:r>
          </w:p>
        </w:tc>
        <w:tc>
          <w:tcPr>
            <w:tcW w:w="1843" w:type="dxa"/>
            <w:tcBorders>
              <w:top w:val="nil"/>
              <w:left w:val="nil"/>
              <w:bottom w:val="nil"/>
              <w:right w:val="nil"/>
            </w:tcBorders>
          </w:tcPr>
          <w:p w14:paraId="6F220253" w14:textId="77777777" w:rsidR="00916B26" w:rsidRPr="00817498" w:rsidRDefault="00916B26" w:rsidP="00691A0C">
            <w:pPr>
              <w:spacing w:line="240" w:lineRule="auto"/>
              <w:jc w:val="center"/>
            </w:pPr>
            <w:r w:rsidRPr="00817498">
              <w:t>-0.00282</w:t>
            </w:r>
          </w:p>
        </w:tc>
        <w:tc>
          <w:tcPr>
            <w:tcW w:w="1984" w:type="dxa"/>
            <w:tcBorders>
              <w:top w:val="nil"/>
              <w:left w:val="nil"/>
              <w:bottom w:val="nil"/>
              <w:right w:val="nil"/>
            </w:tcBorders>
          </w:tcPr>
          <w:p w14:paraId="06C0238A" w14:textId="77777777" w:rsidR="00916B26" w:rsidRPr="00817498" w:rsidRDefault="00916B26" w:rsidP="00691A0C">
            <w:pPr>
              <w:spacing w:line="240" w:lineRule="auto"/>
              <w:jc w:val="center"/>
            </w:pPr>
            <w:r w:rsidRPr="00817498">
              <w:t>-0.000928</w:t>
            </w:r>
          </w:p>
        </w:tc>
        <w:tc>
          <w:tcPr>
            <w:tcW w:w="1817" w:type="dxa"/>
            <w:tcBorders>
              <w:top w:val="nil"/>
              <w:left w:val="nil"/>
              <w:bottom w:val="nil"/>
              <w:right w:val="nil"/>
            </w:tcBorders>
          </w:tcPr>
          <w:p w14:paraId="14202281" w14:textId="77777777" w:rsidR="00916B26" w:rsidRPr="00817498" w:rsidRDefault="00916B26" w:rsidP="00691A0C">
            <w:pPr>
              <w:spacing w:line="240" w:lineRule="auto"/>
              <w:jc w:val="center"/>
            </w:pPr>
            <w:r w:rsidRPr="00817498">
              <w:t>0.00278</w:t>
            </w:r>
          </w:p>
        </w:tc>
        <w:tc>
          <w:tcPr>
            <w:tcW w:w="1736" w:type="dxa"/>
            <w:tcBorders>
              <w:top w:val="nil"/>
              <w:left w:val="nil"/>
              <w:bottom w:val="nil"/>
              <w:right w:val="nil"/>
            </w:tcBorders>
          </w:tcPr>
          <w:p w14:paraId="2FD85946" w14:textId="77777777" w:rsidR="00916B26" w:rsidRPr="00817498" w:rsidRDefault="00916B26" w:rsidP="00691A0C">
            <w:pPr>
              <w:spacing w:line="240" w:lineRule="auto"/>
              <w:jc w:val="center"/>
            </w:pPr>
            <w:r w:rsidRPr="00817498">
              <w:t>0.00233</w:t>
            </w:r>
          </w:p>
        </w:tc>
      </w:tr>
      <w:tr w:rsidR="00916B26" w:rsidRPr="003935C0" w14:paraId="2D205BD9" w14:textId="77777777" w:rsidTr="00E95CF1">
        <w:trPr>
          <w:trHeight w:val="181"/>
        </w:trPr>
        <w:tc>
          <w:tcPr>
            <w:tcW w:w="7088" w:type="dxa"/>
            <w:tcBorders>
              <w:top w:val="nil"/>
              <w:left w:val="nil"/>
              <w:bottom w:val="nil"/>
              <w:right w:val="nil"/>
            </w:tcBorders>
          </w:tcPr>
          <w:p w14:paraId="19F4F16A"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64DE36C3" w14:textId="77777777" w:rsidR="00916B26" w:rsidRPr="00817498" w:rsidRDefault="00916B26" w:rsidP="00691A0C">
            <w:pPr>
              <w:spacing w:line="240" w:lineRule="auto"/>
              <w:jc w:val="center"/>
            </w:pPr>
            <w:r w:rsidRPr="00817498">
              <w:t>(0.00355)</w:t>
            </w:r>
          </w:p>
        </w:tc>
        <w:tc>
          <w:tcPr>
            <w:tcW w:w="1984" w:type="dxa"/>
            <w:tcBorders>
              <w:top w:val="nil"/>
              <w:left w:val="nil"/>
              <w:bottom w:val="nil"/>
              <w:right w:val="nil"/>
            </w:tcBorders>
          </w:tcPr>
          <w:p w14:paraId="3BE7CD14" w14:textId="77777777" w:rsidR="00916B26" w:rsidRPr="00817498" w:rsidRDefault="00916B26" w:rsidP="00691A0C">
            <w:pPr>
              <w:spacing w:line="240" w:lineRule="auto"/>
              <w:jc w:val="center"/>
            </w:pPr>
            <w:r w:rsidRPr="00817498">
              <w:t>(0.00487)</w:t>
            </w:r>
          </w:p>
        </w:tc>
        <w:tc>
          <w:tcPr>
            <w:tcW w:w="1817" w:type="dxa"/>
            <w:tcBorders>
              <w:top w:val="nil"/>
              <w:left w:val="nil"/>
              <w:bottom w:val="nil"/>
              <w:right w:val="nil"/>
            </w:tcBorders>
          </w:tcPr>
          <w:p w14:paraId="46B343DE" w14:textId="77777777" w:rsidR="00916B26" w:rsidRPr="00817498" w:rsidRDefault="00916B26" w:rsidP="00691A0C">
            <w:pPr>
              <w:spacing w:line="240" w:lineRule="auto"/>
              <w:jc w:val="center"/>
            </w:pPr>
            <w:r w:rsidRPr="00817498">
              <w:t>(0.00516)</w:t>
            </w:r>
          </w:p>
        </w:tc>
        <w:tc>
          <w:tcPr>
            <w:tcW w:w="1736" w:type="dxa"/>
            <w:tcBorders>
              <w:top w:val="nil"/>
              <w:left w:val="nil"/>
              <w:bottom w:val="nil"/>
              <w:right w:val="nil"/>
            </w:tcBorders>
          </w:tcPr>
          <w:p w14:paraId="663F800D" w14:textId="77777777" w:rsidR="00916B26" w:rsidRPr="00817498" w:rsidRDefault="00916B26" w:rsidP="00691A0C">
            <w:pPr>
              <w:spacing w:line="240" w:lineRule="auto"/>
              <w:jc w:val="center"/>
            </w:pPr>
            <w:r w:rsidRPr="00817498">
              <w:t>(0.00877)</w:t>
            </w:r>
          </w:p>
        </w:tc>
      </w:tr>
      <w:tr w:rsidR="00916B26" w:rsidRPr="003935C0" w14:paraId="6D8B81AF" w14:textId="77777777" w:rsidTr="00E95CF1">
        <w:trPr>
          <w:trHeight w:val="195"/>
        </w:trPr>
        <w:tc>
          <w:tcPr>
            <w:tcW w:w="7088" w:type="dxa"/>
            <w:tcBorders>
              <w:top w:val="nil"/>
              <w:left w:val="nil"/>
              <w:bottom w:val="nil"/>
              <w:right w:val="nil"/>
            </w:tcBorders>
          </w:tcPr>
          <w:p w14:paraId="4D70679A"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r w:rsidRPr="003935C0">
              <w:rPr>
                <w:rFonts w:eastAsia="Calibri"/>
                <w:szCs w:val="20"/>
                <w:lang w:val="en-US" w:eastAsia="en-US"/>
              </w:rPr>
              <w:t xml:space="preserve">MSCI IT Sensitivity on Sentiment </w:t>
            </w:r>
          </w:p>
        </w:tc>
        <w:tc>
          <w:tcPr>
            <w:tcW w:w="1843" w:type="dxa"/>
            <w:tcBorders>
              <w:top w:val="nil"/>
              <w:left w:val="nil"/>
              <w:bottom w:val="nil"/>
              <w:right w:val="nil"/>
            </w:tcBorders>
          </w:tcPr>
          <w:p w14:paraId="6C435BA1" w14:textId="77777777" w:rsidR="00916B26" w:rsidRPr="00817498" w:rsidRDefault="00916B26" w:rsidP="00691A0C">
            <w:pPr>
              <w:spacing w:line="240" w:lineRule="auto"/>
              <w:jc w:val="center"/>
            </w:pPr>
            <w:r w:rsidRPr="00817498">
              <w:t>-0.000356</w:t>
            </w:r>
          </w:p>
        </w:tc>
        <w:tc>
          <w:tcPr>
            <w:tcW w:w="1984" w:type="dxa"/>
            <w:tcBorders>
              <w:top w:val="nil"/>
              <w:left w:val="nil"/>
              <w:bottom w:val="nil"/>
              <w:right w:val="nil"/>
            </w:tcBorders>
          </w:tcPr>
          <w:p w14:paraId="6F1F23C6" w14:textId="77777777" w:rsidR="00916B26" w:rsidRPr="00817498" w:rsidRDefault="00916B26" w:rsidP="00691A0C">
            <w:pPr>
              <w:spacing w:line="240" w:lineRule="auto"/>
              <w:jc w:val="center"/>
            </w:pPr>
            <w:r w:rsidRPr="00817498">
              <w:t>-0.000361</w:t>
            </w:r>
          </w:p>
        </w:tc>
        <w:tc>
          <w:tcPr>
            <w:tcW w:w="1817" w:type="dxa"/>
            <w:tcBorders>
              <w:top w:val="nil"/>
              <w:left w:val="nil"/>
              <w:bottom w:val="nil"/>
              <w:right w:val="nil"/>
            </w:tcBorders>
          </w:tcPr>
          <w:p w14:paraId="18AC5F8A" w14:textId="77777777" w:rsidR="00916B26" w:rsidRPr="00817498" w:rsidRDefault="00916B26" w:rsidP="00691A0C">
            <w:pPr>
              <w:spacing w:line="240" w:lineRule="auto"/>
              <w:jc w:val="center"/>
            </w:pPr>
            <w:r w:rsidRPr="00817498">
              <w:t>-0.0000473</w:t>
            </w:r>
          </w:p>
        </w:tc>
        <w:tc>
          <w:tcPr>
            <w:tcW w:w="1736" w:type="dxa"/>
            <w:tcBorders>
              <w:top w:val="nil"/>
              <w:left w:val="nil"/>
              <w:bottom w:val="nil"/>
              <w:right w:val="nil"/>
            </w:tcBorders>
          </w:tcPr>
          <w:p w14:paraId="27D9E74F" w14:textId="77777777" w:rsidR="00916B26" w:rsidRPr="00817498" w:rsidRDefault="00916B26" w:rsidP="00691A0C">
            <w:pPr>
              <w:spacing w:line="240" w:lineRule="auto"/>
              <w:jc w:val="center"/>
            </w:pPr>
            <w:r w:rsidRPr="00817498">
              <w:t>0.000143</w:t>
            </w:r>
          </w:p>
        </w:tc>
      </w:tr>
      <w:tr w:rsidR="00916B26" w:rsidRPr="003935C0" w14:paraId="3B313ACE" w14:textId="77777777" w:rsidTr="00E95CF1">
        <w:trPr>
          <w:trHeight w:val="195"/>
        </w:trPr>
        <w:tc>
          <w:tcPr>
            <w:tcW w:w="7088" w:type="dxa"/>
            <w:tcBorders>
              <w:top w:val="nil"/>
              <w:left w:val="nil"/>
              <w:bottom w:val="nil"/>
              <w:right w:val="nil"/>
            </w:tcBorders>
          </w:tcPr>
          <w:p w14:paraId="1BFB1B6D"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0B57DA06" w14:textId="77777777" w:rsidR="00916B26" w:rsidRPr="00817498" w:rsidRDefault="00916B26" w:rsidP="00691A0C">
            <w:pPr>
              <w:spacing w:line="240" w:lineRule="auto"/>
              <w:jc w:val="center"/>
            </w:pPr>
            <w:r w:rsidRPr="00817498">
              <w:t>(0.000515)</w:t>
            </w:r>
          </w:p>
        </w:tc>
        <w:tc>
          <w:tcPr>
            <w:tcW w:w="1984" w:type="dxa"/>
            <w:tcBorders>
              <w:top w:val="nil"/>
              <w:left w:val="nil"/>
              <w:bottom w:val="nil"/>
              <w:right w:val="nil"/>
            </w:tcBorders>
          </w:tcPr>
          <w:p w14:paraId="4453DF36" w14:textId="77777777" w:rsidR="00916B26" w:rsidRPr="00817498" w:rsidRDefault="00916B26" w:rsidP="00691A0C">
            <w:pPr>
              <w:spacing w:line="240" w:lineRule="auto"/>
              <w:jc w:val="center"/>
            </w:pPr>
            <w:r w:rsidRPr="00817498">
              <w:t>(0.000576)</w:t>
            </w:r>
          </w:p>
        </w:tc>
        <w:tc>
          <w:tcPr>
            <w:tcW w:w="1817" w:type="dxa"/>
            <w:tcBorders>
              <w:top w:val="nil"/>
              <w:left w:val="nil"/>
              <w:bottom w:val="nil"/>
              <w:right w:val="nil"/>
            </w:tcBorders>
          </w:tcPr>
          <w:p w14:paraId="60A6FBF3" w14:textId="77777777" w:rsidR="00916B26" w:rsidRPr="00817498" w:rsidRDefault="00916B26" w:rsidP="00691A0C">
            <w:pPr>
              <w:spacing w:line="240" w:lineRule="auto"/>
              <w:jc w:val="center"/>
            </w:pPr>
            <w:r w:rsidRPr="00817498">
              <w:t>(0.000708)</w:t>
            </w:r>
          </w:p>
        </w:tc>
        <w:tc>
          <w:tcPr>
            <w:tcW w:w="1736" w:type="dxa"/>
            <w:tcBorders>
              <w:top w:val="nil"/>
              <w:left w:val="nil"/>
              <w:bottom w:val="nil"/>
              <w:right w:val="nil"/>
            </w:tcBorders>
          </w:tcPr>
          <w:p w14:paraId="011C713F" w14:textId="77777777" w:rsidR="00916B26" w:rsidRPr="00817498" w:rsidRDefault="00916B26" w:rsidP="00691A0C">
            <w:pPr>
              <w:spacing w:line="240" w:lineRule="auto"/>
              <w:jc w:val="center"/>
            </w:pPr>
            <w:r w:rsidRPr="00817498">
              <w:t>(0.000725)</w:t>
            </w:r>
          </w:p>
        </w:tc>
      </w:tr>
      <w:tr w:rsidR="00916B26" w:rsidRPr="002157EA" w14:paraId="3764B552" w14:textId="77777777" w:rsidTr="00E95CF1">
        <w:trPr>
          <w:trHeight w:val="181"/>
        </w:trPr>
        <w:tc>
          <w:tcPr>
            <w:tcW w:w="7088" w:type="dxa"/>
            <w:tcBorders>
              <w:top w:val="nil"/>
              <w:left w:val="nil"/>
              <w:bottom w:val="nil"/>
              <w:right w:val="nil"/>
            </w:tcBorders>
          </w:tcPr>
          <w:p w14:paraId="6AA9BE29" w14:textId="77777777" w:rsidR="00916B26" w:rsidRPr="002157EA" w:rsidRDefault="00916B26" w:rsidP="00691A0C">
            <w:pPr>
              <w:widowControl w:val="0"/>
              <w:autoSpaceDE w:val="0"/>
              <w:autoSpaceDN w:val="0"/>
              <w:adjustRightInd w:val="0"/>
              <w:spacing w:line="240" w:lineRule="auto"/>
              <w:jc w:val="left"/>
              <w:rPr>
                <w:rFonts w:eastAsia="Calibri"/>
                <w:szCs w:val="20"/>
                <w:lang w:val="en-US" w:eastAsia="en-US"/>
              </w:rPr>
            </w:pPr>
            <w:r w:rsidRPr="002157EA">
              <w:rPr>
                <w:rFonts w:eastAsia="Calibri" w:cs="Arial"/>
                <w:szCs w:val="20"/>
                <w:lang w:val="en-US" w:eastAsia="en-US"/>
              </w:rPr>
              <w:t>Sentiment RTN *</w:t>
            </w:r>
            <w:r w:rsidRPr="002157EA">
              <w:rPr>
                <w:rFonts w:eastAsia="Calibri"/>
                <w:szCs w:val="20"/>
                <w:lang w:val="en-US" w:eastAsia="en-US"/>
              </w:rPr>
              <w:t xml:space="preserve"> MSCI IT Sensitivity on Sentiment</w:t>
            </w:r>
          </w:p>
        </w:tc>
        <w:tc>
          <w:tcPr>
            <w:tcW w:w="1843" w:type="dxa"/>
            <w:tcBorders>
              <w:top w:val="nil"/>
              <w:left w:val="nil"/>
              <w:bottom w:val="nil"/>
              <w:right w:val="nil"/>
            </w:tcBorders>
          </w:tcPr>
          <w:p w14:paraId="0CF12196" w14:textId="77777777" w:rsidR="00916B26" w:rsidRPr="002157EA" w:rsidRDefault="00916B26" w:rsidP="00691A0C">
            <w:pPr>
              <w:spacing w:line="240" w:lineRule="auto"/>
              <w:jc w:val="center"/>
            </w:pPr>
            <w:r w:rsidRPr="002157EA">
              <w:t>0.00148</w:t>
            </w:r>
          </w:p>
        </w:tc>
        <w:tc>
          <w:tcPr>
            <w:tcW w:w="1984" w:type="dxa"/>
            <w:tcBorders>
              <w:top w:val="nil"/>
              <w:left w:val="nil"/>
              <w:bottom w:val="nil"/>
              <w:right w:val="nil"/>
            </w:tcBorders>
          </w:tcPr>
          <w:p w14:paraId="19A2202E" w14:textId="77777777" w:rsidR="00916B26" w:rsidRPr="002157EA" w:rsidRDefault="00916B26" w:rsidP="00691A0C">
            <w:pPr>
              <w:spacing w:line="240" w:lineRule="auto"/>
              <w:jc w:val="center"/>
            </w:pPr>
            <w:r w:rsidRPr="002157EA">
              <w:t>0.00225</w:t>
            </w:r>
          </w:p>
        </w:tc>
        <w:tc>
          <w:tcPr>
            <w:tcW w:w="1817" w:type="dxa"/>
            <w:tcBorders>
              <w:top w:val="nil"/>
              <w:left w:val="nil"/>
              <w:bottom w:val="nil"/>
              <w:right w:val="nil"/>
            </w:tcBorders>
          </w:tcPr>
          <w:p w14:paraId="7BB95063" w14:textId="77777777" w:rsidR="00916B26" w:rsidRPr="002157EA" w:rsidRDefault="00916B26" w:rsidP="00691A0C">
            <w:pPr>
              <w:spacing w:line="240" w:lineRule="auto"/>
              <w:jc w:val="center"/>
            </w:pPr>
            <w:r w:rsidRPr="002157EA">
              <w:t>0.00524*</w:t>
            </w:r>
          </w:p>
        </w:tc>
        <w:tc>
          <w:tcPr>
            <w:tcW w:w="1736" w:type="dxa"/>
            <w:tcBorders>
              <w:top w:val="nil"/>
              <w:left w:val="nil"/>
              <w:bottom w:val="nil"/>
              <w:right w:val="nil"/>
            </w:tcBorders>
          </w:tcPr>
          <w:p w14:paraId="0F4DD157" w14:textId="77777777" w:rsidR="00916B26" w:rsidRPr="002157EA" w:rsidRDefault="00916B26" w:rsidP="00691A0C">
            <w:pPr>
              <w:spacing w:line="240" w:lineRule="auto"/>
              <w:jc w:val="center"/>
            </w:pPr>
            <w:r w:rsidRPr="002157EA">
              <w:t>0.00531**</w:t>
            </w:r>
          </w:p>
        </w:tc>
      </w:tr>
      <w:tr w:rsidR="00916B26" w:rsidRPr="003935C0" w14:paraId="15EA4B78" w14:textId="77777777" w:rsidTr="00E95CF1">
        <w:trPr>
          <w:trHeight w:val="195"/>
        </w:trPr>
        <w:tc>
          <w:tcPr>
            <w:tcW w:w="7088" w:type="dxa"/>
            <w:tcBorders>
              <w:top w:val="nil"/>
              <w:left w:val="nil"/>
              <w:bottom w:val="nil"/>
              <w:right w:val="nil"/>
            </w:tcBorders>
          </w:tcPr>
          <w:p w14:paraId="2D8CE5E7"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115CA3F7" w14:textId="77777777" w:rsidR="00916B26" w:rsidRPr="00817498" w:rsidRDefault="00916B26" w:rsidP="00691A0C">
            <w:pPr>
              <w:spacing w:line="240" w:lineRule="auto"/>
              <w:jc w:val="center"/>
            </w:pPr>
            <w:r w:rsidRPr="00817498">
              <w:t>(0.00227)</w:t>
            </w:r>
          </w:p>
        </w:tc>
        <w:tc>
          <w:tcPr>
            <w:tcW w:w="1984" w:type="dxa"/>
            <w:tcBorders>
              <w:top w:val="nil"/>
              <w:left w:val="nil"/>
              <w:bottom w:val="nil"/>
              <w:right w:val="nil"/>
            </w:tcBorders>
          </w:tcPr>
          <w:p w14:paraId="2A0AF46D" w14:textId="77777777" w:rsidR="00916B26" w:rsidRPr="00817498" w:rsidRDefault="00916B26" w:rsidP="00691A0C">
            <w:pPr>
              <w:spacing w:line="240" w:lineRule="auto"/>
              <w:jc w:val="center"/>
            </w:pPr>
            <w:r w:rsidRPr="00817498">
              <w:t>(0.00238)</w:t>
            </w:r>
          </w:p>
        </w:tc>
        <w:tc>
          <w:tcPr>
            <w:tcW w:w="1817" w:type="dxa"/>
            <w:tcBorders>
              <w:top w:val="nil"/>
              <w:left w:val="nil"/>
              <w:bottom w:val="nil"/>
              <w:right w:val="nil"/>
            </w:tcBorders>
          </w:tcPr>
          <w:p w14:paraId="014FCE32" w14:textId="77777777" w:rsidR="00916B26" w:rsidRPr="00817498" w:rsidRDefault="00916B26" w:rsidP="00691A0C">
            <w:pPr>
              <w:spacing w:line="240" w:lineRule="auto"/>
              <w:jc w:val="center"/>
            </w:pPr>
            <w:r w:rsidRPr="00817498">
              <w:t>(0.00267)</w:t>
            </w:r>
          </w:p>
        </w:tc>
        <w:tc>
          <w:tcPr>
            <w:tcW w:w="1736" w:type="dxa"/>
            <w:tcBorders>
              <w:top w:val="nil"/>
              <w:left w:val="nil"/>
              <w:bottom w:val="nil"/>
              <w:right w:val="nil"/>
            </w:tcBorders>
          </w:tcPr>
          <w:p w14:paraId="6DA60A69" w14:textId="77777777" w:rsidR="00916B26" w:rsidRPr="00817498" w:rsidRDefault="00916B26" w:rsidP="00691A0C">
            <w:pPr>
              <w:spacing w:line="240" w:lineRule="auto"/>
              <w:jc w:val="center"/>
            </w:pPr>
            <w:r w:rsidRPr="00817498">
              <w:t>(0.00269)</w:t>
            </w:r>
          </w:p>
        </w:tc>
      </w:tr>
      <w:tr w:rsidR="00916B26" w:rsidRPr="003935C0" w14:paraId="5A18EA83" w14:textId="77777777" w:rsidTr="00E95CF1">
        <w:trPr>
          <w:trHeight w:val="195"/>
        </w:trPr>
        <w:tc>
          <w:tcPr>
            <w:tcW w:w="7088" w:type="dxa"/>
            <w:tcBorders>
              <w:top w:val="nil"/>
              <w:left w:val="nil"/>
              <w:bottom w:val="nil"/>
              <w:right w:val="nil"/>
            </w:tcBorders>
          </w:tcPr>
          <w:p w14:paraId="585DFA35"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r w:rsidRPr="003935C0">
              <w:rPr>
                <w:rFonts w:eastAsia="Calibri"/>
                <w:szCs w:val="20"/>
                <w:lang w:val="en-US" w:eastAsia="en-US"/>
              </w:rPr>
              <w:t>MSCI World Energy Sensitivity on Sentiment</w:t>
            </w:r>
          </w:p>
        </w:tc>
        <w:tc>
          <w:tcPr>
            <w:tcW w:w="1843" w:type="dxa"/>
            <w:tcBorders>
              <w:top w:val="nil"/>
              <w:left w:val="nil"/>
              <w:bottom w:val="nil"/>
              <w:right w:val="nil"/>
            </w:tcBorders>
          </w:tcPr>
          <w:p w14:paraId="2854A543" w14:textId="77777777" w:rsidR="00916B26" w:rsidRPr="00817498" w:rsidRDefault="00916B26" w:rsidP="00691A0C">
            <w:pPr>
              <w:spacing w:line="240" w:lineRule="auto"/>
              <w:jc w:val="center"/>
            </w:pPr>
          </w:p>
        </w:tc>
        <w:tc>
          <w:tcPr>
            <w:tcW w:w="1984" w:type="dxa"/>
            <w:tcBorders>
              <w:top w:val="nil"/>
              <w:left w:val="nil"/>
              <w:bottom w:val="nil"/>
              <w:right w:val="nil"/>
            </w:tcBorders>
          </w:tcPr>
          <w:p w14:paraId="5254C54B" w14:textId="77777777" w:rsidR="00916B26" w:rsidRPr="00817498" w:rsidRDefault="00916B26" w:rsidP="00691A0C">
            <w:pPr>
              <w:spacing w:line="240" w:lineRule="auto"/>
              <w:jc w:val="center"/>
            </w:pPr>
            <w:r w:rsidRPr="00817498">
              <w:t>-0.0000134</w:t>
            </w:r>
          </w:p>
        </w:tc>
        <w:tc>
          <w:tcPr>
            <w:tcW w:w="1817" w:type="dxa"/>
            <w:tcBorders>
              <w:top w:val="nil"/>
              <w:left w:val="nil"/>
              <w:bottom w:val="nil"/>
              <w:right w:val="nil"/>
            </w:tcBorders>
          </w:tcPr>
          <w:p w14:paraId="1921B2CD" w14:textId="77777777" w:rsidR="00916B26" w:rsidRPr="00817498" w:rsidRDefault="00916B26" w:rsidP="00691A0C">
            <w:pPr>
              <w:spacing w:line="240" w:lineRule="auto"/>
              <w:jc w:val="center"/>
            </w:pPr>
            <w:r w:rsidRPr="00817498">
              <w:t>-0.000119</w:t>
            </w:r>
          </w:p>
        </w:tc>
        <w:tc>
          <w:tcPr>
            <w:tcW w:w="1736" w:type="dxa"/>
            <w:tcBorders>
              <w:top w:val="nil"/>
              <w:left w:val="nil"/>
              <w:bottom w:val="nil"/>
              <w:right w:val="nil"/>
            </w:tcBorders>
          </w:tcPr>
          <w:p w14:paraId="3CD5332C" w14:textId="77777777" w:rsidR="00916B26" w:rsidRPr="00817498" w:rsidRDefault="00916B26" w:rsidP="00691A0C">
            <w:pPr>
              <w:spacing w:line="240" w:lineRule="auto"/>
              <w:jc w:val="center"/>
            </w:pPr>
            <w:r w:rsidRPr="00817498">
              <w:t>0.000116</w:t>
            </w:r>
          </w:p>
        </w:tc>
      </w:tr>
      <w:tr w:rsidR="00916B26" w:rsidRPr="003935C0" w14:paraId="594BA37F" w14:textId="77777777" w:rsidTr="00E95CF1">
        <w:trPr>
          <w:trHeight w:val="195"/>
        </w:trPr>
        <w:tc>
          <w:tcPr>
            <w:tcW w:w="7088" w:type="dxa"/>
            <w:tcBorders>
              <w:top w:val="nil"/>
              <w:left w:val="nil"/>
              <w:bottom w:val="nil"/>
              <w:right w:val="nil"/>
            </w:tcBorders>
          </w:tcPr>
          <w:p w14:paraId="08E98107"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0107B06E" w14:textId="77777777" w:rsidR="00916B26" w:rsidRPr="00817498" w:rsidRDefault="00916B26" w:rsidP="00691A0C">
            <w:pPr>
              <w:spacing w:line="240" w:lineRule="auto"/>
              <w:jc w:val="center"/>
            </w:pPr>
          </w:p>
        </w:tc>
        <w:tc>
          <w:tcPr>
            <w:tcW w:w="1984" w:type="dxa"/>
            <w:tcBorders>
              <w:top w:val="nil"/>
              <w:left w:val="nil"/>
              <w:bottom w:val="nil"/>
              <w:right w:val="nil"/>
            </w:tcBorders>
          </w:tcPr>
          <w:p w14:paraId="1F0818FF" w14:textId="77777777" w:rsidR="00916B26" w:rsidRPr="00817498" w:rsidRDefault="00916B26" w:rsidP="00691A0C">
            <w:pPr>
              <w:spacing w:line="240" w:lineRule="auto"/>
              <w:jc w:val="center"/>
            </w:pPr>
            <w:r w:rsidRPr="00817498">
              <w:t>(0.000404)</w:t>
            </w:r>
          </w:p>
        </w:tc>
        <w:tc>
          <w:tcPr>
            <w:tcW w:w="1817" w:type="dxa"/>
            <w:tcBorders>
              <w:top w:val="nil"/>
              <w:left w:val="nil"/>
              <w:bottom w:val="nil"/>
              <w:right w:val="nil"/>
            </w:tcBorders>
          </w:tcPr>
          <w:p w14:paraId="14B3A87C" w14:textId="77777777" w:rsidR="00916B26" w:rsidRPr="00817498" w:rsidRDefault="00916B26" w:rsidP="00691A0C">
            <w:pPr>
              <w:spacing w:line="240" w:lineRule="auto"/>
              <w:jc w:val="center"/>
            </w:pPr>
            <w:r w:rsidRPr="00817498">
              <w:t>(0.000446)</w:t>
            </w:r>
          </w:p>
        </w:tc>
        <w:tc>
          <w:tcPr>
            <w:tcW w:w="1736" w:type="dxa"/>
            <w:tcBorders>
              <w:top w:val="nil"/>
              <w:left w:val="nil"/>
              <w:bottom w:val="nil"/>
              <w:right w:val="nil"/>
            </w:tcBorders>
          </w:tcPr>
          <w:p w14:paraId="4B5364B7" w14:textId="77777777" w:rsidR="00916B26" w:rsidRPr="00817498" w:rsidRDefault="00916B26" w:rsidP="00691A0C">
            <w:pPr>
              <w:spacing w:line="240" w:lineRule="auto"/>
              <w:jc w:val="center"/>
            </w:pPr>
            <w:r w:rsidRPr="00817498">
              <w:t>(0.000432)</w:t>
            </w:r>
          </w:p>
        </w:tc>
      </w:tr>
      <w:tr w:rsidR="00916B26" w:rsidRPr="003935C0" w14:paraId="176C8BE0" w14:textId="77777777" w:rsidTr="00E95CF1">
        <w:trPr>
          <w:trHeight w:val="181"/>
        </w:trPr>
        <w:tc>
          <w:tcPr>
            <w:tcW w:w="7088" w:type="dxa"/>
            <w:tcBorders>
              <w:top w:val="nil"/>
              <w:left w:val="nil"/>
              <w:bottom w:val="nil"/>
              <w:right w:val="nil"/>
            </w:tcBorders>
          </w:tcPr>
          <w:p w14:paraId="45CC2D95"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r w:rsidRPr="003935C0">
              <w:rPr>
                <w:rFonts w:eastAsia="Calibri" w:cs="Arial"/>
                <w:szCs w:val="20"/>
                <w:lang w:val="en-US" w:eastAsia="en-US"/>
              </w:rPr>
              <w:t>Sentiment RTN *</w:t>
            </w:r>
            <w:r w:rsidRPr="003935C0">
              <w:rPr>
                <w:rFonts w:eastAsia="Calibri"/>
                <w:szCs w:val="20"/>
                <w:lang w:val="en-US" w:eastAsia="en-US"/>
              </w:rPr>
              <w:t xml:space="preserve"> MSCI World Energy Sensitivity on Sentiment</w:t>
            </w:r>
          </w:p>
        </w:tc>
        <w:tc>
          <w:tcPr>
            <w:tcW w:w="1843" w:type="dxa"/>
            <w:tcBorders>
              <w:top w:val="nil"/>
              <w:left w:val="nil"/>
              <w:bottom w:val="nil"/>
              <w:right w:val="nil"/>
            </w:tcBorders>
          </w:tcPr>
          <w:p w14:paraId="44FD7CED" w14:textId="77777777" w:rsidR="00916B26" w:rsidRPr="00817498" w:rsidRDefault="00916B26" w:rsidP="00691A0C">
            <w:pPr>
              <w:spacing w:line="240" w:lineRule="auto"/>
              <w:jc w:val="center"/>
            </w:pPr>
          </w:p>
        </w:tc>
        <w:tc>
          <w:tcPr>
            <w:tcW w:w="1984" w:type="dxa"/>
            <w:tcBorders>
              <w:top w:val="nil"/>
              <w:left w:val="nil"/>
              <w:bottom w:val="nil"/>
              <w:right w:val="nil"/>
            </w:tcBorders>
          </w:tcPr>
          <w:p w14:paraId="4BAE7B18" w14:textId="77777777" w:rsidR="00916B26" w:rsidRPr="00817498" w:rsidRDefault="00916B26" w:rsidP="00691A0C">
            <w:pPr>
              <w:spacing w:line="240" w:lineRule="auto"/>
              <w:jc w:val="center"/>
            </w:pPr>
            <w:r w:rsidRPr="00817498">
              <w:t>-0.00107</w:t>
            </w:r>
          </w:p>
        </w:tc>
        <w:tc>
          <w:tcPr>
            <w:tcW w:w="1817" w:type="dxa"/>
            <w:tcBorders>
              <w:top w:val="nil"/>
              <w:left w:val="nil"/>
              <w:bottom w:val="nil"/>
              <w:right w:val="nil"/>
            </w:tcBorders>
          </w:tcPr>
          <w:p w14:paraId="7FB5303D" w14:textId="77777777" w:rsidR="00916B26" w:rsidRPr="00817498" w:rsidRDefault="00916B26" w:rsidP="00691A0C">
            <w:pPr>
              <w:spacing w:line="240" w:lineRule="auto"/>
              <w:jc w:val="center"/>
            </w:pPr>
            <w:r w:rsidRPr="00817498">
              <w:t>-0.00261*</w:t>
            </w:r>
          </w:p>
        </w:tc>
        <w:tc>
          <w:tcPr>
            <w:tcW w:w="1736" w:type="dxa"/>
            <w:tcBorders>
              <w:top w:val="nil"/>
              <w:left w:val="nil"/>
              <w:bottom w:val="nil"/>
              <w:right w:val="nil"/>
            </w:tcBorders>
          </w:tcPr>
          <w:p w14:paraId="6508A345" w14:textId="77777777" w:rsidR="00916B26" w:rsidRPr="00817498" w:rsidRDefault="00916B26" w:rsidP="00691A0C">
            <w:pPr>
              <w:spacing w:line="240" w:lineRule="auto"/>
              <w:jc w:val="center"/>
            </w:pPr>
            <w:r w:rsidRPr="00817498">
              <w:t>-0.00264*</w:t>
            </w:r>
          </w:p>
        </w:tc>
      </w:tr>
      <w:tr w:rsidR="00916B26" w:rsidRPr="003935C0" w14:paraId="2C45F831" w14:textId="77777777" w:rsidTr="00E95CF1">
        <w:trPr>
          <w:trHeight w:val="195"/>
        </w:trPr>
        <w:tc>
          <w:tcPr>
            <w:tcW w:w="7088" w:type="dxa"/>
            <w:tcBorders>
              <w:top w:val="nil"/>
              <w:left w:val="nil"/>
              <w:bottom w:val="nil"/>
              <w:right w:val="nil"/>
            </w:tcBorders>
          </w:tcPr>
          <w:p w14:paraId="3A3EC2E1"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14C6F58D" w14:textId="77777777" w:rsidR="00916B26" w:rsidRPr="00817498" w:rsidRDefault="00916B26" w:rsidP="00691A0C">
            <w:pPr>
              <w:spacing w:line="240" w:lineRule="auto"/>
              <w:jc w:val="center"/>
            </w:pPr>
          </w:p>
        </w:tc>
        <w:tc>
          <w:tcPr>
            <w:tcW w:w="1984" w:type="dxa"/>
            <w:tcBorders>
              <w:top w:val="nil"/>
              <w:left w:val="nil"/>
              <w:bottom w:val="nil"/>
              <w:right w:val="nil"/>
            </w:tcBorders>
          </w:tcPr>
          <w:p w14:paraId="2FC6E476" w14:textId="77777777" w:rsidR="00916B26" w:rsidRPr="00817498" w:rsidRDefault="00916B26" w:rsidP="00691A0C">
            <w:pPr>
              <w:spacing w:line="240" w:lineRule="auto"/>
              <w:jc w:val="center"/>
            </w:pPr>
            <w:r w:rsidRPr="00817498">
              <w:t>(0.00131)</w:t>
            </w:r>
          </w:p>
        </w:tc>
        <w:tc>
          <w:tcPr>
            <w:tcW w:w="1817" w:type="dxa"/>
            <w:tcBorders>
              <w:top w:val="nil"/>
              <w:left w:val="nil"/>
              <w:bottom w:val="nil"/>
              <w:right w:val="nil"/>
            </w:tcBorders>
          </w:tcPr>
          <w:p w14:paraId="7C374C38" w14:textId="77777777" w:rsidR="00916B26" w:rsidRPr="00817498" w:rsidRDefault="00916B26" w:rsidP="00691A0C">
            <w:pPr>
              <w:spacing w:line="240" w:lineRule="auto"/>
              <w:jc w:val="center"/>
            </w:pPr>
            <w:r w:rsidRPr="00817498">
              <w:t>(0.00145)</w:t>
            </w:r>
          </w:p>
        </w:tc>
        <w:tc>
          <w:tcPr>
            <w:tcW w:w="1736" w:type="dxa"/>
            <w:tcBorders>
              <w:top w:val="nil"/>
              <w:left w:val="nil"/>
              <w:bottom w:val="nil"/>
              <w:right w:val="nil"/>
            </w:tcBorders>
          </w:tcPr>
          <w:p w14:paraId="7073F9E0" w14:textId="77777777" w:rsidR="00916B26" w:rsidRPr="00817498" w:rsidRDefault="00916B26" w:rsidP="00691A0C">
            <w:pPr>
              <w:spacing w:line="240" w:lineRule="auto"/>
              <w:jc w:val="center"/>
            </w:pPr>
            <w:r w:rsidRPr="00817498">
              <w:t>(0.00138)</w:t>
            </w:r>
          </w:p>
        </w:tc>
      </w:tr>
      <w:tr w:rsidR="00916B26" w:rsidRPr="003935C0" w14:paraId="37BC1206" w14:textId="77777777" w:rsidTr="00E95CF1">
        <w:trPr>
          <w:trHeight w:val="195"/>
        </w:trPr>
        <w:tc>
          <w:tcPr>
            <w:tcW w:w="7088" w:type="dxa"/>
            <w:tcBorders>
              <w:top w:val="nil"/>
              <w:left w:val="nil"/>
              <w:bottom w:val="nil"/>
              <w:right w:val="nil"/>
            </w:tcBorders>
          </w:tcPr>
          <w:p w14:paraId="134F4659"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r w:rsidRPr="003935C0">
              <w:rPr>
                <w:rFonts w:eastAsia="Calibri"/>
                <w:szCs w:val="20"/>
                <w:lang w:val="en-US" w:eastAsia="en-US"/>
              </w:rPr>
              <w:t>S&amp;P Global Clean Energy Sensitivity on Sentiment</w:t>
            </w:r>
          </w:p>
        </w:tc>
        <w:tc>
          <w:tcPr>
            <w:tcW w:w="1843" w:type="dxa"/>
            <w:tcBorders>
              <w:top w:val="nil"/>
              <w:left w:val="nil"/>
              <w:bottom w:val="nil"/>
              <w:right w:val="nil"/>
            </w:tcBorders>
          </w:tcPr>
          <w:p w14:paraId="634A6FF0" w14:textId="77777777" w:rsidR="00916B26" w:rsidRPr="00817498" w:rsidRDefault="00916B26" w:rsidP="00691A0C">
            <w:pPr>
              <w:spacing w:line="240" w:lineRule="auto"/>
              <w:jc w:val="center"/>
            </w:pPr>
          </w:p>
        </w:tc>
        <w:tc>
          <w:tcPr>
            <w:tcW w:w="1984" w:type="dxa"/>
            <w:tcBorders>
              <w:top w:val="nil"/>
              <w:left w:val="nil"/>
              <w:bottom w:val="nil"/>
              <w:right w:val="nil"/>
            </w:tcBorders>
          </w:tcPr>
          <w:p w14:paraId="39B53F73" w14:textId="77777777" w:rsidR="00916B26" w:rsidRPr="00817498" w:rsidRDefault="00916B26" w:rsidP="00691A0C">
            <w:pPr>
              <w:spacing w:line="240" w:lineRule="auto"/>
              <w:jc w:val="center"/>
            </w:pPr>
          </w:p>
        </w:tc>
        <w:tc>
          <w:tcPr>
            <w:tcW w:w="1817" w:type="dxa"/>
            <w:tcBorders>
              <w:top w:val="nil"/>
              <w:left w:val="nil"/>
              <w:bottom w:val="nil"/>
              <w:right w:val="nil"/>
            </w:tcBorders>
          </w:tcPr>
          <w:p w14:paraId="795002E1" w14:textId="77777777" w:rsidR="00916B26" w:rsidRPr="00817498" w:rsidRDefault="00916B26" w:rsidP="00691A0C">
            <w:pPr>
              <w:spacing w:line="240" w:lineRule="auto"/>
              <w:jc w:val="center"/>
            </w:pPr>
            <w:r w:rsidRPr="00817498">
              <w:t>0.760</w:t>
            </w:r>
          </w:p>
        </w:tc>
        <w:tc>
          <w:tcPr>
            <w:tcW w:w="1736" w:type="dxa"/>
            <w:tcBorders>
              <w:top w:val="nil"/>
              <w:left w:val="nil"/>
              <w:bottom w:val="nil"/>
              <w:right w:val="nil"/>
            </w:tcBorders>
          </w:tcPr>
          <w:p w14:paraId="0D8B655B" w14:textId="77777777" w:rsidR="00916B26" w:rsidRPr="00817498" w:rsidRDefault="00916B26" w:rsidP="00691A0C">
            <w:pPr>
              <w:spacing w:line="240" w:lineRule="auto"/>
              <w:jc w:val="center"/>
            </w:pPr>
            <w:r w:rsidRPr="00817498">
              <w:t>0.488</w:t>
            </w:r>
          </w:p>
        </w:tc>
      </w:tr>
      <w:tr w:rsidR="00916B26" w:rsidRPr="003935C0" w14:paraId="48D52A66" w14:textId="77777777" w:rsidTr="00E95CF1">
        <w:trPr>
          <w:trHeight w:val="195"/>
        </w:trPr>
        <w:tc>
          <w:tcPr>
            <w:tcW w:w="7088" w:type="dxa"/>
            <w:tcBorders>
              <w:top w:val="nil"/>
              <w:left w:val="nil"/>
              <w:bottom w:val="nil"/>
              <w:right w:val="nil"/>
            </w:tcBorders>
          </w:tcPr>
          <w:p w14:paraId="450C5256"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04BF8523" w14:textId="77777777" w:rsidR="00916B26" w:rsidRPr="00817498" w:rsidRDefault="00916B26" w:rsidP="00691A0C">
            <w:pPr>
              <w:spacing w:line="240" w:lineRule="auto"/>
              <w:jc w:val="center"/>
            </w:pPr>
          </w:p>
        </w:tc>
        <w:tc>
          <w:tcPr>
            <w:tcW w:w="1984" w:type="dxa"/>
            <w:tcBorders>
              <w:top w:val="nil"/>
              <w:left w:val="nil"/>
              <w:bottom w:val="nil"/>
              <w:right w:val="nil"/>
            </w:tcBorders>
          </w:tcPr>
          <w:p w14:paraId="426345AA" w14:textId="77777777" w:rsidR="00916B26" w:rsidRPr="00817498" w:rsidRDefault="00916B26" w:rsidP="00691A0C">
            <w:pPr>
              <w:spacing w:line="240" w:lineRule="auto"/>
              <w:jc w:val="center"/>
            </w:pPr>
          </w:p>
        </w:tc>
        <w:tc>
          <w:tcPr>
            <w:tcW w:w="1817" w:type="dxa"/>
            <w:tcBorders>
              <w:top w:val="nil"/>
              <w:left w:val="nil"/>
              <w:bottom w:val="nil"/>
              <w:right w:val="nil"/>
            </w:tcBorders>
          </w:tcPr>
          <w:p w14:paraId="75745C34" w14:textId="77777777" w:rsidR="00916B26" w:rsidRPr="00817498" w:rsidRDefault="00916B26" w:rsidP="00691A0C">
            <w:pPr>
              <w:spacing w:line="240" w:lineRule="auto"/>
              <w:jc w:val="center"/>
            </w:pPr>
            <w:r w:rsidRPr="00817498">
              <w:t>(0.818)</w:t>
            </w:r>
          </w:p>
        </w:tc>
        <w:tc>
          <w:tcPr>
            <w:tcW w:w="1736" w:type="dxa"/>
            <w:tcBorders>
              <w:top w:val="nil"/>
              <w:left w:val="nil"/>
              <w:bottom w:val="nil"/>
              <w:right w:val="nil"/>
            </w:tcBorders>
          </w:tcPr>
          <w:p w14:paraId="0C0221BE" w14:textId="77777777" w:rsidR="00916B26" w:rsidRPr="00817498" w:rsidRDefault="00916B26" w:rsidP="00691A0C">
            <w:pPr>
              <w:spacing w:line="240" w:lineRule="auto"/>
              <w:jc w:val="center"/>
            </w:pPr>
            <w:r w:rsidRPr="00817498">
              <w:t>(0.820)</w:t>
            </w:r>
          </w:p>
        </w:tc>
      </w:tr>
      <w:tr w:rsidR="00916B26" w:rsidRPr="003935C0" w14:paraId="4ED51799" w14:textId="77777777" w:rsidTr="00E95CF1">
        <w:trPr>
          <w:trHeight w:val="217"/>
        </w:trPr>
        <w:tc>
          <w:tcPr>
            <w:tcW w:w="7088" w:type="dxa"/>
            <w:tcBorders>
              <w:top w:val="nil"/>
              <w:left w:val="nil"/>
              <w:bottom w:val="nil"/>
              <w:right w:val="nil"/>
            </w:tcBorders>
          </w:tcPr>
          <w:p w14:paraId="34C8639F"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r w:rsidRPr="003935C0">
              <w:rPr>
                <w:rFonts w:eastAsia="Calibri" w:cs="Arial"/>
                <w:szCs w:val="20"/>
                <w:lang w:val="en-US" w:eastAsia="en-US"/>
              </w:rPr>
              <w:t xml:space="preserve">Sentiment RTN * </w:t>
            </w:r>
            <w:r w:rsidRPr="003935C0">
              <w:rPr>
                <w:rFonts w:eastAsia="Calibri"/>
                <w:szCs w:val="20"/>
                <w:lang w:val="en-US" w:eastAsia="en-US"/>
              </w:rPr>
              <w:t>S&amp;P Global Clean Energy Sensitivity on Sentiment</w:t>
            </w:r>
          </w:p>
        </w:tc>
        <w:tc>
          <w:tcPr>
            <w:tcW w:w="1843" w:type="dxa"/>
            <w:tcBorders>
              <w:top w:val="nil"/>
              <w:left w:val="nil"/>
              <w:bottom w:val="nil"/>
              <w:right w:val="nil"/>
            </w:tcBorders>
          </w:tcPr>
          <w:p w14:paraId="06A29911" w14:textId="77777777" w:rsidR="00916B26" w:rsidRPr="00817498" w:rsidRDefault="00916B26" w:rsidP="00691A0C">
            <w:pPr>
              <w:spacing w:line="240" w:lineRule="auto"/>
              <w:jc w:val="center"/>
            </w:pPr>
          </w:p>
        </w:tc>
        <w:tc>
          <w:tcPr>
            <w:tcW w:w="1984" w:type="dxa"/>
            <w:tcBorders>
              <w:top w:val="nil"/>
              <w:left w:val="nil"/>
              <w:bottom w:val="nil"/>
              <w:right w:val="nil"/>
            </w:tcBorders>
          </w:tcPr>
          <w:p w14:paraId="26D6CD89" w14:textId="77777777" w:rsidR="00916B26" w:rsidRPr="00817498" w:rsidRDefault="00916B26" w:rsidP="00691A0C">
            <w:pPr>
              <w:spacing w:line="240" w:lineRule="auto"/>
              <w:jc w:val="center"/>
            </w:pPr>
          </w:p>
        </w:tc>
        <w:tc>
          <w:tcPr>
            <w:tcW w:w="1817" w:type="dxa"/>
            <w:tcBorders>
              <w:top w:val="nil"/>
              <w:left w:val="nil"/>
              <w:bottom w:val="nil"/>
              <w:right w:val="nil"/>
            </w:tcBorders>
          </w:tcPr>
          <w:p w14:paraId="1997C8A1" w14:textId="77777777" w:rsidR="00916B26" w:rsidRPr="00817498" w:rsidRDefault="00916B26" w:rsidP="00691A0C">
            <w:pPr>
              <w:spacing w:line="240" w:lineRule="auto"/>
              <w:jc w:val="center"/>
            </w:pPr>
            <w:r w:rsidRPr="00817498">
              <w:t>8.371***</w:t>
            </w:r>
          </w:p>
        </w:tc>
        <w:tc>
          <w:tcPr>
            <w:tcW w:w="1736" w:type="dxa"/>
            <w:tcBorders>
              <w:top w:val="nil"/>
              <w:left w:val="nil"/>
              <w:bottom w:val="nil"/>
              <w:right w:val="nil"/>
            </w:tcBorders>
          </w:tcPr>
          <w:p w14:paraId="6EF88361" w14:textId="77777777" w:rsidR="00916B26" w:rsidRPr="00817498" w:rsidRDefault="00916B26" w:rsidP="00691A0C">
            <w:pPr>
              <w:spacing w:line="240" w:lineRule="auto"/>
              <w:jc w:val="center"/>
            </w:pPr>
            <w:r w:rsidRPr="00817498">
              <w:t>8.716***</w:t>
            </w:r>
          </w:p>
        </w:tc>
      </w:tr>
      <w:tr w:rsidR="00916B26" w:rsidRPr="003935C0" w14:paraId="7C89B3F5" w14:textId="77777777" w:rsidTr="00E95CF1">
        <w:trPr>
          <w:trHeight w:val="195"/>
        </w:trPr>
        <w:tc>
          <w:tcPr>
            <w:tcW w:w="7088" w:type="dxa"/>
            <w:tcBorders>
              <w:top w:val="nil"/>
              <w:left w:val="nil"/>
              <w:bottom w:val="nil"/>
              <w:right w:val="nil"/>
            </w:tcBorders>
          </w:tcPr>
          <w:p w14:paraId="5FF7300E"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28FB835F" w14:textId="77777777" w:rsidR="00916B26" w:rsidRPr="00817498" w:rsidRDefault="00916B26" w:rsidP="00691A0C">
            <w:pPr>
              <w:spacing w:line="240" w:lineRule="auto"/>
              <w:jc w:val="center"/>
            </w:pPr>
          </w:p>
        </w:tc>
        <w:tc>
          <w:tcPr>
            <w:tcW w:w="1984" w:type="dxa"/>
            <w:tcBorders>
              <w:top w:val="nil"/>
              <w:left w:val="nil"/>
              <w:bottom w:val="nil"/>
              <w:right w:val="nil"/>
            </w:tcBorders>
          </w:tcPr>
          <w:p w14:paraId="53EB97C5" w14:textId="77777777" w:rsidR="00916B26" w:rsidRPr="00817498" w:rsidRDefault="00916B26" w:rsidP="00691A0C">
            <w:pPr>
              <w:spacing w:line="240" w:lineRule="auto"/>
              <w:jc w:val="center"/>
            </w:pPr>
          </w:p>
        </w:tc>
        <w:tc>
          <w:tcPr>
            <w:tcW w:w="1817" w:type="dxa"/>
            <w:tcBorders>
              <w:top w:val="nil"/>
              <w:left w:val="nil"/>
              <w:bottom w:val="nil"/>
              <w:right w:val="nil"/>
            </w:tcBorders>
          </w:tcPr>
          <w:p w14:paraId="102A4C9E" w14:textId="77777777" w:rsidR="00916B26" w:rsidRPr="00817498" w:rsidRDefault="00916B26" w:rsidP="00691A0C">
            <w:pPr>
              <w:spacing w:line="240" w:lineRule="auto"/>
              <w:jc w:val="center"/>
            </w:pPr>
            <w:r w:rsidRPr="00817498">
              <w:t>(3.044)</w:t>
            </w:r>
          </w:p>
        </w:tc>
        <w:tc>
          <w:tcPr>
            <w:tcW w:w="1736" w:type="dxa"/>
            <w:tcBorders>
              <w:top w:val="nil"/>
              <w:left w:val="nil"/>
              <w:bottom w:val="nil"/>
              <w:right w:val="nil"/>
            </w:tcBorders>
          </w:tcPr>
          <w:p w14:paraId="41C9FA07" w14:textId="77777777" w:rsidR="00916B26" w:rsidRPr="00817498" w:rsidRDefault="00916B26" w:rsidP="00691A0C">
            <w:pPr>
              <w:spacing w:line="240" w:lineRule="auto"/>
              <w:jc w:val="center"/>
            </w:pPr>
            <w:r w:rsidRPr="00817498">
              <w:t>(3.003)</w:t>
            </w:r>
          </w:p>
        </w:tc>
      </w:tr>
      <w:tr w:rsidR="00916B26" w:rsidRPr="003935C0" w14:paraId="46D83812" w14:textId="77777777" w:rsidTr="00E95CF1">
        <w:trPr>
          <w:trHeight w:val="87"/>
        </w:trPr>
        <w:tc>
          <w:tcPr>
            <w:tcW w:w="7088" w:type="dxa"/>
            <w:tcBorders>
              <w:top w:val="nil"/>
              <w:left w:val="nil"/>
              <w:bottom w:val="nil"/>
              <w:right w:val="nil"/>
            </w:tcBorders>
          </w:tcPr>
          <w:p w14:paraId="49C9C0E7"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r w:rsidRPr="003935C0">
              <w:rPr>
                <w:rFonts w:eastAsia="Calibri"/>
                <w:szCs w:val="20"/>
                <w:lang w:val="en-US" w:eastAsia="en-US"/>
              </w:rPr>
              <w:t>MSCI World Bank Sensitivity on Sentiment</w:t>
            </w:r>
          </w:p>
        </w:tc>
        <w:tc>
          <w:tcPr>
            <w:tcW w:w="1843" w:type="dxa"/>
            <w:tcBorders>
              <w:top w:val="nil"/>
              <w:left w:val="nil"/>
              <w:bottom w:val="nil"/>
              <w:right w:val="nil"/>
            </w:tcBorders>
          </w:tcPr>
          <w:p w14:paraId="5BFA4458" w14:textId="77777777" w:rsidR="00916B26" w:rsidRPr="00817498" w:rsidRDefault="00916B26" w:rsidP="00691A0C">
            <w:pPr>
              <w:spacing w:line="240" w:lineRule="auto"/>
              <w:jc w:val="center"/>
            </w:pPr>
          </w:p>
        </w:tc>
        <w:tc>
          <w:tcPr>
            <w:tcW w:w="1984" w:type="dxa"/>
            <w:tcBorders>
              <w:top w:val="nil"/>
              <w:left w:val="nil"/>
              <w:bottom w:val="nil"/>
              <w:right w:val="nil"/>
            </w:tcBorders>
          </w:tcPr>
          <w:p w14:paraId="2B1CC96C" w14:textId="77777777" w:rsidR="00916B26" w:rsidRPr="00817498" w:rsidRDefault="00916B26" w:rsidP="00691A0C">
            <w:pPr>
              <w:spacing w:line="240" w:lineRule="auto"/>
              <w:jc w:val="center"/>
            </w:pPr>
          </w:p>
        </w:tc>
        <w:tc>
          <w:tcPr>
            <w:tcW w:w="1817" w:type="dxa"/>
            <w:tcBorders>
              <w:top w:val="nil"/>
              <w:left w:val="nil"/>
              <w:bottom w:val="nil"/>
              <w:right w:val="nil"/>
            </w:tcBorders>
          </w:tcPr>
          <w:p w14:paraId="0A680BD4" w14:textId="77777777" w:rsidR="00916B26" w:rsidRPr="00817498" w:rsidRDefault="00916B26" w:rsidP="00691A0C">
            <w:pPr>
              <w:spacing w:line="240" w:lineRule="auto"/>
              <w:jc w:val="center"/>
            </w:pPr>
          </w:p>
        </w:tc>
        <w:tc>
          <w:tcPr>
            <w:tcW w:w="1736" w:type="dxa"/>
            <w:tcBorders>
              <w:top w:val="nil"/>
              <w:left w:val="nil"/>
              <w:bottom w:val="nil"/>
              <w:right w:val="nil"/>
            </w:tcBorders>
          </w:tcPr>
          <w:p w14:paraId="549A8474" w14:textId="77777777" w:rsidR="00916B26" w:rsidRPr="00817498" w:rsidRDefault="00916B26" w:rsidP="00691A0C">
            <w:pPr>
              <w:spacing w:line="240" w:lineRule="auto"/>
              <w:jc w:val="center"/>
            </w:pPr>
            <w:r w:rsidRPr="00817498">
              <w:t>-5.499**</w:t>
            </w:r>
          </w:p>
        </w:tc>
      </w:tr>
      <w:tr w:rsidR="00916B26" w:rsidRPr="003935C0" w14:paraId="1F6008A5" w14:textId="77777777" w:rsidTr="00E95CF1">
        <w:trPr>
          <w:trHeight w:val="195"/>
        </w:trPr>
        <w:tc>
          <w:tcPr>
            <w:tcW w:w="7088" w:type="dxa"/>
            <w:tcBorders>
              <w:top w:val="nil"/>
              <w:left w:val="nil"/>
              <w:bottom w:val="nil"/>
              <w:right w:val="nil"/>
            </w:tcBorders>
          </w:tcPr>
          <w:p w14:paraId="6FEBF3E3"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49F83424" w14:textId="77777777" w:rsidR="00916B26" w:rsidRPr="00817498" w:rsidRDefault="00916B26" w:rsidP="00691A0C">
            <w:pPr>
              <w:spacing w:line="240" w:lineRule="auto"/>
              <w:jc w:val="center"/>
            </w:pPr>
          </w:p>
        </w:tc>
        <w:tc>
          <w:tcPr>
            <w:tcW w:w="1984" w:type="dxa"/>
            <w:tcBorders>
              <w:top w:val="nil"/>
              <w:left w:val="nil"/>
              <w:bottom w:val="nil"/>
              <w:right w:val="nil"/>
            </w:tcBorders>
          </w:tcPr>
          <w:p w14:paraId="51F5197A" w14:textId="77777777" w:rsidR="00916B26" w:rsidRPr="00817498" w:rsidRDefault="00916B26" w:rsidP="00691A0C">
            <w:pPr>
              <w:spacing w:line="240" w:lineRule="auto"/>
              <w:jc w:val="center"/>
            </w:pPr>
          </w:p>
        </w:tc>
        <w:tc>
          <w:tcPr>
            <w:tcW w:w="1817" w:type="dxa"/>
            <w:tcBorders>
              <w:top w:val="nil"/>
              <w:left w:val="nil"/>
              <w:bottom w:val="nil"/>
              <w:right w:val="nil"/>
            </w:tcBorders>
          </w:tcPr>
          <w:p w14:paraId="42DF3357" w14:textId="77777777" w:rsidR="00916B26" w:rsidRPr="00817498" w:rsidRDefault="00916B26" w:rsidP="00691A0C">
            <w:pPr>
              <w:spacing w:line="240" w:lineRule="auto"/>
              <w:jc w:val="center"/>
            </w:pPr>
          </w:p>
        </w:tc>
        <w:tc>
          <w:tcPr>
            <w:tcW w:w="1736" w:type="dxa"/>
            <w:tcBorders>
              <w:top w:val="nil"/>
              <w:left w:val="nil"/>
              <w:bottom w:val="nil"/>
              <w:right w:val="nil"/>
            </w:tcBorders>
          </w:tcPr>
          <w:p w14:paraId="07C1582A" w14:textId="77777777" w:rsidR="00916B26" w:rsidRPr="00817498" w:rsidRDefault="00916B26" w:rsidP="00691A0C">
            <w:pPr>
              <w:spacing w:line="240" w:lineRule="auto"/>
              <w:jc w:val="center"/>
            </w:pPr>
            <w:r w:rsidRPr="00817498">
              <w:t>(2.647)</w:t>
            </w:r>
          </w:p>
        </w:tc>
      </w:tr>
      <w:tr w:rsidR="00916B26" w:rsidRPr="003935C0" w14:paraId="1CB64586" w14:textId="77777777" w:rsidTr="00E95CF1">
        <w:trPr>
          <w:trHeight w:val="87"/>
        </w:trPr>
        <w:tc>
          <w:tcPr>
            <w:tcW w:w="7088" w:type="dxa"/>
            <w:tcBorders>
              <w:top w:val="nil"/>
              <w:left w:val="nil"/>
              <w:bottom w:val="nil"/>
              <w:right w:val="nil"/>
            </w:tcBorders>
          </w:tcPr>
          <w:p w14:paraId="42385D0F" w14:textId="77777777" w:rsidR="00916B26" w:rsidRPr="003935C0" w:rsidRDefault="00916B26" w:rsidP="00691A0C">
            <w:pPr>
              <w:widowControl w:val="0"/>
              <w:autoSpaceDE w:val="0"/>
              <w:autoSpaceDN w:val="0"/>
              <w:adjustRightInd w:val="0"/>
              <w:spacing w:line="240" w:lineRule="auto"/>
              <w:jc w:val="left"/>
              <w:rPr>
                <w:rFonts w:eastAsia="Calibri"/>
                <w:szCs w:val="20"/>
                <w:lang w:val="en-US" w:eastAsia="en-US"/>
              </w:rPr>
            </w:pPr>
            <w:r w:rsidRPr="003935C0">
              <w:rPr>
                <w:rFonts w:eastAsia="Calibri" w:cs="Arial"/>
                <w:szCs w:val="20"/>
                <w:lang w:val="en-US" w:eastAsia="en-US"/>
              </w:rPr>
              <w:t xml:space="preserve">Sentiment RTN * </w:t>
            </w:r>
            <w:r w:rsidRPr="003935C0">
              <w:rPr>
                <w:rFonts w:eastAsia="Calibri"/>
                <w:szCs w:val="20"/>
                <w:lang w:val="en-US" w:eastAsia="en-US"/>
              </w:rPr>
              <w:t xml:space="preserve">MSCI World Bank Sensitivity on Sentiment </w:t>
            </w:r>
          </w:p>
        </w:tc>
        <w:tc>
          <w:tcPr>
            <w:tcW w:w="1843" w:type="dxa"/>
            <w:tcBorders>
              <w:top w:val="nil"/>
              <w:left w:val="nil"/>
              <w:bottom w:val="nil"/>
              <w:right w:val="nil"/>
            </w:tcBorders>
          </w:tcPr>
          <w:p w14:paraId="0756EE5B" w14:textId="77777777" w:rsidR="00916B26" w:rsidRPr="00817498" w:rsidRDefault="00916B26" w:rsidP="00691A0C">
            <w:pPr>
              <w:spacing w:line="240" w:lineRule="auto"/>
              <w:jc w:val="center"/>
            </w:pPr>
          </w:p>
        </w:tc>
        <w:tc>
          <w:tcPr>
            <w:tcW w:w="1984" w:type="dxa"/>
            <w:tcBorders>
              <w:top w:val="nil"/>
              <w:left w:val="nil"/>
              <w:bottom w:val="nil"/>
              <w:right w:val="nil"/>
            </w:tcBorders>
          </w:tcPr>
          <w:p w14:paraId="2D02CDBC" w14:textId="77777777" w:rsidR="00916B26" w:rsidRPr="00817498" w:rsidRDefault="00916B26" w:rsidP="00691A0C">
            <w:pPr>
              <w:spacing w:line="240" w:lineRule="auto"/>
              <w:jc w:val="center"/>
            </w:pPr>
          </w:p>
        </w:tc>
        <w:tc>
          <w:tcPr>
            <w:tcW w:w="1817" w:type="dxa"/>
            <w:tcBorders>
              <w:top w:val="nil"/>
              <w:left w:val="nil"/>
              <w:bottom w:val="nil"/>
              <w:right w:val="nil"/>
            </w:tcBorders>
          </w:tcPr>
          <w:p w14:paraId="5F9B735F" w14:textId="77777777" w:rsidR="00916B26" w:rsidRPr="00817498" w:rsidRDefault="00916B26" w:rsidP="00691A0C">
            <w:pPr>
              <w:spacing w:line="240" w:lineRule="auto"/>
              <w:jc w:val="center"/>
            </w:pPr>
          </w:p>
        </w:tc>
        <w:tc>
          <w:tcPr>
            <w:tcW w:w="1736" w:type="dxa"/>
            <w:tcBorders>
              <w:top w:val="nil"/>
              <w:left w:val="nil"/>
              <w:bottom w:val="nil"/>
              <w:right w:val="nil"/>
            </w:tcBorders>
          </w:tcPr>
          <w:p w14:paraId="69A5E7B0" w14:textId="77777777" w:rsidR="00916B26" w:rsidRPr="00817498" w:rsidRDefault="00916B26" w:rsidP="00691A0C">
            <w:pPr>
              <w:spacing w:line="240" w:lineRule="auto"/>
              <w:jc w:val="center"/>
            </w:pPr>
            <w:r w:rsidRPr="00817498">
              <w:t>-0.708</w:t>
            </w:r>
          </w:p>
        </w:tc>
      </w:tr>
      <w:tr w:rsidR="00916B26" w:rsidRPr="003935C0" w14:paraId="2F969CF1" w14:textId="77777777" w:rsidTr="00E95CF1">
        <w:trPr>
          <w:trHeight w:val="87"/>
        </w:trPr>
        <w:tc>
          <w:tcPr>
            <w:tcW w:w="7088" w:type="dxa"/>
            <w:tcBorders>
              <w:top w:val="nil"/>
              <w:left w:val="nil"/>
              <w:bottom w:val="nil"/>
              <w:right w:val="nil"/>
            </w:tcBorders>
          </w:tcPr>
          <w:p w14:paraId="1795DF74"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6BAA1A56" w14:textId="77777777" w:rsidR="00916B26" w:rsidRPr="00817498" w:rsidRDefault="00916B26" w:rsidP="00691A0C">
            <w:pPr>
              <w:spacing w:line="240" w:lineRule="auto"/>
              <w:jc w:val="center"/>
            </w:pPr>
          </w:p>
        </w:tc>
        <w:tc>
          <w:tcPr>
            <w:tcW w:w="1984" w:type="dxa"/>
            <w:tcBorders>
              <w:top w:val="nil"/>
              <w:left w:val="nil"/>
              <w:bottom w:val="nil"/>
              <w:right w:val="nil"/>
            </w:tcBorders>
          </w:tcPr>
          <w:p w14:paraId="77C15418" w14:textId="77777777" w:rsidR="00916B26" w:rsidRPr="00817498" w:rsidRDefault="00916B26" w:rsidP="00691A0C">
            <w:pPr>
              <w:spacing w:line="240" w:lineRule="auto"/>
              <w:jc w:val="center"/>
            </w:pPr>
          </w:p>
        </w:tc>
        <w:tc>
          <w:tcPr>
            <w:tcW w:w="1817" w:type="dxa"/>
            <w:tcBorders>
              <w:top w:val="nil"/>
              <w:left w:val="nil"/>
              <w:bottom w:val="nil"/>
              <w:right w:val="nil"/>
            </w:tcBorders>
          </w:tcPr>
          <w:p w14:paraId="4EC40A7D" w14:textId="77777777" w:rsidR="00916B26" w:rsidRPr="00817498" w:rsidRDefault="00916B26" w:rsidP="00691A0C">
            <w:pPr>
              <w:spacing w:line="240" w:lineRule="auto"/>
              <w:jc w:val="center"/>
            </w:pPr>
          </w:p>
        </w:tc>
        <w:tc>
          <w:tcPr>
            <w:tcW w:w="1736" w:type="dxa"/>
            <w:tcBorders>
              <w:top w:val="nil"/>
              <w:left w:val="nil"/>
              <w:bottom w:val="nil"/>
              <w:right w:val="nil"/>
            </w:tcBorders>
          </w:tcPr>
          <w:p w14:paraId="51D33B4B" w14:textId="77777777" w:rsidR="00916B26" w:rsidRPr="00817498" w:rsidRDefault="00916B26" w:rsidP="00691A0C">
            <w:pPr>
              <w:spacing w:line="240" w:lineRule="auto"/>
              <w:jc w:val="center"/>
            </w:pPr>
            <w:r w:rsidRPr="00817498">
              <w:t>(9.814)</w:t>
            </w:r>
          </w:p>
        </w:tc>
      </w:tr>
      <w:tr w:rsidR="00916B26" w:rsidRPr="003935C0" w14:paraId="739EEF80" w14:textId="77777777" w:rsidTr="00E95CF1">
        <w:trPr>
          <w:trHeight w:val="195"/>
        </w:trPr>
        <w:tc>
          <w:tcPr>
            <w:tcW w:w="7088" w:type="dxa"/>
            <w:tcBorders>
              <w:top w:val="nil"/>
              <w:left w:val="nil"/>
              <w:bottom w:val="nil"/>
              <w:right w:val="nil"/>
            </w:tcBorders>
          </w:tcPr>
          <w:p w14:paraId="400F8438"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Constant</w:t>
            </w:r>
          </w:p>
        </w:tc>
        <w:tc>
          <w:tcPr>
            <w:tcW w:w="1843" w:type="dxa"/>
            <w:tcBorders>
              <w:top w:val="nil"/>
              <w:left w:val="nil"/>
              <w:bottom w:val="nil"/>
              <w:right w:val="nil"/>
            </w:tcBorders>
          </w:tcPr>
          <w:p w14:paraId="2E503ACD" w14:textId="77777777" w:rsidR="00916B26" w:rsidRPr="00817498" w:rsidRDefault="00916B26" w:rsidP="00691A0C">
            <w:pPr>
              <w:spacing w:line="240" w:lineRule="auto"/>
              <w:jc w:val="center"/>
            </w:pPr>
            <w:r w:rsidRPr="00817498">
              <w:t>0.0290*</w:t>
            </w:r>
          </w:p>
        </w:tc>
        <w:tc>
          <w:tcPr>
            <w:tcW w:w="1984" w:type="dxa"/>
            <w:tcBorders>
              <w:top w:val="nil"/>
              <w:left w:val="nil"/>
              <w:bottom w:val="nil"/>
              <w:right w:val="nil"/>
            </w:tcBorders>
          </w:tcPr>
          <w:p w14:paraId="56EC97DF" w14:textId="77777777" w:rsidR="00916B26" w:rsidRPr="00817498" w:rsidRDefault="00916B26" w:rsidP="00691A0C">
            <w:pPr>
              <w:spacing w:line="240" w:lineRule="auto"/>
              <w:jc w:val="center"/>
            </w:pPr>
            <w:r w:rsidRPr="00817498">
              <w:t>0.0290*</w:t>
            </w:r>
          </w:p>
        </w:tc>
        <w:tc>
          <w:tcPr>
            <w:tcW w:w="1817" w:type="dxa"/>
            <w:tcBorders>
              <w:top w:val="nil"/>
              <w:left w:val="nil"/>
              <w:bottom w:val="nil"/>
              <w:right w:val="nil"/>
            </w:tcBorders>
          </w:tcPr>
          <w:p w14:paraId="4D8B3834" w14:textId="77777777" w:rsidR="00916B26" w:rsidRPr="00817498" w:rsidRDefault="00916B26" w:rsidP="00691A0C">
            <w:pPr>
              <w:spacing w:line="240" w:lineRule="auto"/>
              <w:jc w:val="center"/>
            </w:pPr>
            <w:r w:rsidRPr="00817498">
              <w:t>0.0260*</w:t>
            </w:r>
          </w:p>
        </w:tc>
        <w:tc>
          <w:tcPr>
            <w:tcW w:w="1736" w:type="dxa"/>
            <w:tcBorders>
              <w:top w:val="nil"/>
              <w:left w:val="nil"/>
              <w:bottom w:val="nil"/>
              <w:right w:val="nil"/>
            </w:tcBorders>
          </w:tcPr>
          <w:p w14:paraId="70F7F5D5" w14:textId="77777777" w:rsidR="00916B26" w:rsidRPr="00817498" w:rsidRDefault="00916B26" w:rsidP="00691A0C">
            <w:pPr>
              <w:spacing w:line="240" w:lineRule="auto"/>
              <w:jc w:val="center"/>
            </w:pPr>
            <w:r w:rsidRPr="00817498">
              <w:t>0.0191</w:t>
            </w:r>
          </w:p>
        </w:tc>
      </w:tr>
      <w:tr w:rsidR="00916B26" w:rsidRPr="003935C0" w14:paraId="1390D601" w14:textId="77777777" w:rsidTr="00E95CF1">
        <w:trPr>
          <w:trHeight w:val="181"/>
        </w:trPr>
        <w:tc>
          <w:tcPr>
            <w:tcW w:w="7088" w:type="dxa"/>
            <w:tcBorders>
              <w:top w:val="nil"/>
              <w:left w:val="nil"/>
              <w:bottom w:val="single" w:sz="4" w:space="0" w:color="auto"/>
              <w:right w:val="nil"/>
            </w:tcBorders>
          </w:tcPr>
          <w:p w14:paraId="3356FCE8"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single" w:sz="4" w:space="0" w:color="auto"/>
              <w:right w:val="nil"/>
            </w:tcBorders>
          </w:tcPr>
          <w:p w14:paraId="2B31306A" w14:textId="77777777" w:rsidR="00916B26" w:rsidRPr="00817498" w:rsidRDefault="00916B26" w:rsidP="00691A0C">
            <w:pPr>
              <w:spacing w:line="240" w:lineRule="auto"/>
              <w:jc w:val="center"/>
            </w:pPr>
            <w:r w:rsidRPr="00817498">
              <w:t>(0.0160)</w:t>
            </w:r>
          </w:p>
        </w:tc>
        <w:tc>
          <w:tcPr>
            <w:tcW w:w="1984" w:type="dxa"/>
            <w:tcBorders>
              <w:top w:val="nil"/>
              <w:left w:val="nil"/>
              <w:bottom w:val="single" w:sz="4" w:space="0" w:color="auto"/>
              <w:right w:val="nil"/>
            </w:tcBorders>
          </w:tcPr>
          <w:p w14:paraId="191B2E13" w14:textId="77777777" w:rsidR="00916B26" w:rsidRPr="00817498" w:rsidRDefault="00916B26" w:rsidP="00691A0C">
            <w:pPr>
              <w:spacing w:line="240" w:lineRule="auto"/>
              <w:jc w:val="center"/>
            </w:pPr>
            <w:r w:rsidRPr="00817498">
              <w:t>(0.0161)</w:t>
            </w:r>
          </w:p>
        </w:tc>
        <w:tc>
          <w:tcPr>
            <w:tcW w:w="1817" w:type="dxa"/>
            <w:tcBorders>
              <w:top w:val="nil"/>
              <w:left w:val="nil"/>
              <w:bottom w:val="single" w:sz="4" w:space="0" w:color="auto"/>
              <w:right w:val="nil"/>
            </w:tcBorders>
          </w:tcPr>
          <w:p w14:paraId="42C34108" w14:textId="77777777" w:rsidR="00916B26" w:rsidRPr="00817498" w:rsidRDefault="00916B26" w:rsidP="00691A0C">
            <w:pPr>
              <w:spacing w:line="240" w:lineRule="auto"/>
              <w:jc w:val="center"/>
            </w:pPr>
            <w:r w:rsidRPr="00817498">
              <w:t>(0.0158)</w:t>
            </w:r>
          </w:p>
        </w:tc>
        <w:tc>
          <w:tcPr>
            <w:tcW w:w="1736" w:type="dxa"/>
            <w:tcBorders>
              <w:top w:val="nil"/>
              <w:left w:val="nil"/>
              <w:bottom w:val="single" w:sz="4" w:space="0" w:color="auto"/>
              <w:right w:val="nil"/>
            </w:tcBorders>
          </w:tcPr>
          <w:p w14:paraId="57A2973D" w14:textId="77777777" w:rsidR="00916B26" w:rsidRPr="00817498" w:rsidRDefault="00916B26" w:rsidP="00691A0C">
            <w:pPr>
              <w:spacing w:line="240" w:lineRule="auto"/>
              <w:jc w:val="center"/>
            </w:pPr>
            <w:r w:rsidRPr="00817498">
              <w:t>(0.0160)</w:t>
            </w:r>
          </w:p>
        </w:tc>
      </w:tr>
      <w:tr w:rsidR="00916B26" w:rsidRPr="003935C0" w14:paraId="470A3338" w14:textId="77777777" w:rsidTr="00E95CF1">
        <w:trPr>
          <w:trHeight w:val="195"/>
        </w:trPr>
        <w:tc>
          <w:tcPr>
            <w:tcW w:w="7088" w:type="dxa"/>
            <w:tcBorders>
              <w:top w:val="single" w:sz="4" w:space="0" w:color="auto"/>
              <w:left w:val="nil"/>
              <w:bottom w:val="nil"/>
              <w:right w:val="nil"/>
            </w:tcBorders>
          </w:tcPr>
          <w:p w14:paraId="366EABD9"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Observations</w:t>
            </w:r>
          </w:p>
        </w:tc>
        <w:tc>
          <w:tcPr>
            <w:tcW w:w="1843" w:type="dxa"/>
            <w:tcBorders>
              <w:top w:val="single" w:sz="4" w:space="0" w:color="auto"/>
              <w:left w:val="nil"/>
              <w:bottom w:val="nil"/>
              <w:right w:val="nil"/>
            </w:tcBorders>
          </w:tcPr>
          <w:p w14:paraId="4EC3623F" w14:textId="77777777" w:rsidR="00916B26" w:rsidRPr="00817498" w:rsidRDefault="00916B26" w:rsidP="00691A0C">
            <w:pPr>
              <w:spacing w:line="240" w:lineRule="auto"/>
              <w:jc w:val="center"/>
            </w:pPr>
            <w:r w:rsidRPr="00817498">
              <w:t>1063</w:t>
            </w:r>
          </w:p>
        </w:tc>
        <w:tc>
          <w:tcPr>
            <w:tcW w:w="1984" w:type="dxa"/>
            <w:tcBorders>
              <w:top w:val="single" w:sz="4" w:space="0" w:color="auto"/>
              <w:left w:val="nil"/>
              <w:bottom w:val="nil"/>
              <w:right w:val="nil"/>
            </w:tcBorders>
          </w:tcPr>
          <w:p w14:paraId="389CF07E" w14:textId="77777777" w:rsidR="00916B26" w:rsidRPr="00817498" w:rsidRDefault="00916B26" w:rsidP="00691A0C">
            <w:pPr>
              <w:spacing w:line="240" w:lineRule="auto"/>
              <w:jc w:val="center"/>
            </w:pPr>
            <w:r w:rsidRPr="00817498">
              <w:t>1063</w:t>
            </w:r>
          </w:p>
        </w:tc>
        <w:tc>
          <w:tcPr>
            <w:tcW w:w="1817" w:type="dxa"/>
            <w:tcBorders>
              <w:top w:val="single" w:sz="4" w:space="0" w:color="auto"/>
              <w:left w:val="nil"/>
              <w:bottom w:val="nil"/>
              <w:right w:val="nil"/>
            </w:tcBorders>
          </w:tcPr>
          <w:p w14:paraId="77C2D0EF" w14:textId="77777777" w:rsidR="00916B26" w:rsidRPr="00817498" w:rsidRDefault="00916B26" w:rsidP="00691A0C">
            <w:pPr>
              <w:spacing w:line="240" w:lineRule="auto"/>
              <w:jc w:val="center"/>
            </w:pPr>
            <w:r w:rsidRPr="00817498">
              <w:t>1063</w:t>
            </w:r>
          </w:p>
        </w:tc>
        <w:tc>
          <w:tcPr>
            <w:tcW w:w="1736" w:type="dxa"/>
            <w:tcBorders>
              <w:top w:val="single" w:sz="4" w:space="0" w:color="auto"/>
              <w:left w:val="nil"/>
              <w:bottom w:val="nil"/>
              <w:right w:val="nil"/>
            </w:tcBorders>
          </w:tcPr>
          <w:p w14:paraId="07D665C0" w14:textId="77777777" w:rsidR="00916B26" w:rsidRPr="00817498" w:rsidRDefault="00916B26" w:rsidP="00691A0C">
            <w:pPr>
              <w:spacing w:line="240" w:lineRule="auto"/>
              <w:jc w:val="center"/>
            </w:pPr>
            <w:r w:rsidRPr="00817498">
              <w:t>1063</w:t>
            </w:r>
          </w:p>
        </w:tc>
      </w:tr>
      <w:tr w:rsidR="00916B26" w:rsidRPr="003935C0" w14:paraId="298F148A" w14:textId="77777777" w:rsidTr="00E95CF1">
        <w:trPr>
          <w:trHeight w:val="181"/>
        </w:trPr>
        <w:tc>
          <w:tcPr>
            <w:tcW w:w="7088" w:type="dxa"/>
            <w:tcBorders>
              <w:top w:val="nil"/>
              <w:left w:val="nil"/>
              <w:bottom w:val="single" w:sz="4" w:space="0" w:color="auto"/>
              <w:right w:val="nil"/>
            </w:tcBorders>
          </w:tcPr>
          <w:p w14:paraId="6D5BB538" w14:textId="77777777" w:rsidR="00916B26" w:rsidRPr="003935C0" w:rsidRDefault="00916B26" w:rsidP="00691A0C">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Adj. R-Square</w:t>
            </w:r>
          </w:p>
        </w:tc>
        <w:tc>
          <w:tcPr>
            <w:tcW w:w="1843" w:type="dxa"/>
            <w:tcBorders>
              <w:top w:val="nil"/>
              <w:left w:val="nil"/>
              <w:bottom w:val="single" w:sz="4" w:space="0" w:color="auto"/>
              <w:right w:val="nil"/>
            </w:tcBorders>
          </w:tcPr>
          <w:p w14:paraId="7244294A" w14:textId="77777777" w:rsidR="00916B26" w:rsidRPr="00817498" w:rsidRDefault="00916B26" w:rsidP="00691A0C">
            <w:pPr>
              <w:spacing w:line="240" w:lineRule="auto"/>
              <w:jc w:val="center"/>
            </w:pPr>
            <w:r w:rsidRPr="00817498">
              <w:t>0.00847</w:t>
            </w:r>
          </w:p>
        </w:tc>
        <w:tc>
          <w:tcPr>
            <w:tcW w:w="1984" w:type="dxa"/>
            <w:tcBorders>
              <w:top w:val="nil"/>
              <w:left w:val="nil"/>
              <w:bottom w:val="single" w:sz="4" w:space="0" w:color="auto"/>
              <w:right w:val="nil"/>
            </w:tcBorders>
          </w:tcPr>
          <w:p w14:paraId="3BF0F724" w14:textId="77777777" w:rsidR="00916B26" w:rsidRPr="00817498" w:rsidRDefault="00916B26" w:rsidP="00691A0C">
            <w:pPr>
              <w:spacing w:line="240" w:lineRule="auto"/>
              <w:jc w:val="center"/>
            </w:pPr>
            <w:r w:rsidRPr="00817498">
              <w:t>0.00706</w:t>
            </w:r>
          </w:p>
        </w:tc>
        <w:tc>
          <w:tcPr>
            <w:tcW w:w="1817" w:type="dxa"/>
            <w:tcBorders>
              <w:top w:val="nil"/>
              <w:left w:val="nil"/>
              <w:bottom w:val="single" w:sz="4" w:space="0" w:color="auto"/>
              <w:right w:val="nil"/>
            </w:tcBorders>
          </w:tcPr>
          <w:p w14:paraId="2645F247" w14:textId="77777777" w:rsidR="00916B26" w:rsidRPr="00817498" w:rsidRDefault="00916B26" w:rsidP="00691A0C">
            <w:pPr>
              <w:spacing w:line="240" w:lineRule="auto"/>
              <w:jc w:val="center"/>
            </w:pPr>
            <w:r w:rsidRPr="00817498">
              <w:t>0.0108</w:t>
            </w:r>
          </w:p>
        </w:tc>
        <w:tc>
          <w:tcPr>
            <w:tcW w:w="1736" w:type="dxa"/>
            <w:tcBorders>
              <w:top w:val="nil"/>
              <w:left w:val="nil"/>
              <w:bottom w:val="single" w:sz="4" w:space="0" w:color="auto"/>
              <w:right w:val="nil"/>
            </w:tcBorders>
          </w:tcPr>
          <w:p w14:paraId="646C4B3B" w14:textId="77777777" w:rsidR="00916B26" w:rsidRDefault="00916B26" w:rsidP="00691A0C">
            <w:pPr>
              <w:spacing w:line="240" w:lineRule="auto"/>
              <w:jc w:val="center"/>
            </w:pPr>
            <w:r w:rsidRPr="00817498">
              <w:t>0.0135</w:t>
            </w:r>
          </w:p>
        </w:tc>
      </w:tr>
    </w:tbl>
    <w:p w14:paraId="7113C081" w14:textId="77777777" w:rsidR="00916B26" w:rsidRPr="00F547A1" w:rsidRDefault="00916B26" w:rsidP="00916B26">
      <w:pPr>
        <w:widowControl w:val="0"/>
        <w:autoSpaceDE w:val="0"/>
        <w:autoSpaceDN w:val="0"/>
        <w:adjustRightInd w:val="0"/>
        <w:spacing w:line="240" w:lineRule="auto"/>
        <w:jc w:val="center"/>
        <w:rPr>
          <w:rFonts w:eastAsia="Calibri" w:cs="Arial"/>
          <w:b/>
          <w:sz w:val="20"/>
          <w:szCs w:val="20"/>
          <w:lang w:val="en-US" w:eastAsia="en-US"/>
        </w:rPr>
      </w:pPr>
      <w:r w:rsidRPr="00F547A1">
        <w:rPr>
          <w:rFonts w:eastAsia="Calibri" w:cs="Arial"/>
          <w:b/>
          <w:sz w:val="20"/>
          <w:szCs w:val="20"/>
          <w:lang w:val="en-US" w:eastAsia="en-US"/>
        </w:rPr>
        <w:t>Standard errors in parentheses</w:t>
      </w:r>
    </w:p>
    <w:p w14:paraId="1DCD14EB" w14:textId="77777777" w:rsidR="00916B26" w:rsidRDefault="00916B26" w:rsidP="00916B26">
      <w:pPr>
        <w:widowControl w:val="0"/>
        <w:autoSpaceDE w:val="0"/>
        <w:autoSpaceDN w:val="0"/>
        <w:adjustRightInd w:val="0"/>
        <w:spacing w:line="240" w:lineRule="auto"/>
        <w:jc w:val="center"/>
        <w:rPr>
          <w:rFonts w:eastAsia="Calibri" w:cs="Arial"/>
          <w:b/>
          <w:sz w:val="20"/>
          <w:szCs w:val="20"/>
          <w:lang w:val="en-US" w:eastAsia="en-US"/>
        </w:rPr>
      </w:pP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sidRPr="00F547A1">
        <w:rPr>
          <w:rFonts w:eastAsia="Calibri" w:cs="Arial"/>
          <w:b/>
          <w:sz w:val="20"/>
          <w:szCs w:val="20"/>
          <w:lang w:val="en-US" w:eastAsia="en-US"/>
        </w:rPr>
        <w:t xml:space="preserve"> &lt; 0.1, </w:t>
      </w: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sidRPr="00F547A1">
        <w:rPr>
          <w:rFonts w:eastAsia="Calibri" w:cs="Arial"/>
          <w:b/>
          <w:sz w:val="20"/>
          <w:szCs w:val="20"/>
          <w:lang w:val="en-US" w:eastAsia="en-US"/>
        </w:rPr>
        <w:t xml:space="preserve"> &lt; 0.05, </w:t>
      </w: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Pr>
          <w:rFonts w:eastAsia="Calibri" w:cs="Arial"/>
          <w:b/>
          <w:sz w:val="20"/>
          <w:szCs w:val="20"/>
          <w:lang w:val="en-US" w:eastAsia="en-US"/>
        </w:rPr>
        <w:t xml:space="preserve"> &lt; 0.01</w:t>
      </w:r>
    </w:p>
    <w:p w14:paraId="5FA83F2E" w14:textId="77777777" w:rsidR="000C6A7A" w:rsidRPr="005127B4" w:rsidRDefault="000C6A7A" w:rsidP="000C6A7A">
      <w:pPr>
        <w:keepNext/>
        <w:spacing w:line="360" w:lineRule="auto"/>
        <w:ind w:left="-284"/>
        <w:jc w:val="left"/>
        <w:rPr>
          <w:b/>
          <w:i/>
          <w:iCs/>
          <w:color w:val="000000"/>
        </w:rPr>
      </w:pPr>
      <w:r w:rsidRPr="005127B4">
        <w:rPr>
          <w:b/>
          <w:i/>
          <w:iCs/>
          <w:color w:val="000000"/>
        </w:rPr>
        <w:lastRenderedPageBreak/>
        <w:t xml:space="preserve">Table </w:t>
      </w:r>
      <w:r w:rsidR="004B596D">
        <w:rPr>
          <w:b/>
          <w:i/>
          <w:iCs/>
          <w:color w:val="000000"/>
        </w:rPr>
        <w:t>6</w:t>
      </w:r>
      <w:r w:rsidRPr="005127B4">
        <w:rPr>
          <w:b/>
          <w:i/>
          <w:iCs/>
          <w:color w:val="000000"/>
        </w:rPr>
        <w:t>: Bitcoin return on Sentiment return regressions</w:t>
      </w:r>
      <w:r>
        <w:rPr>
          <w:b/>
          <w:i/>
          <w:iCs/>
          <w:color w:val="000000"/>
        </w:rPr>
        <w:t xml:space="preserve"> (Carhart, 1997) </w:t>
      </w:r>
    </w:p>
    <w:tbl>
      <w:tblPr>
        <w:tblW w:w="14468" w:type="dxa"/>
        <w:tblInd w:w="-284" w:type="dxa"/>
        <w:tblLayout w:type="fixed"/>
        <w:tblLook w:val="0000" w:firstRow="0" w:lastRow="0" w:firstColumn="0" w:lastColumn="0" w:noHBand="0" w:noVBand="0"/>
      </w:tblPr>
      <w:tblGrid>
        <w:gridCol w:w="7088"/>
        <w:gridCol w:w="1843"/>
        <w:gridCol w:w="1984"/>
        <w:gridCol w:w="1817"/>
        <w:gridCol w:w="1736"/>
      </w:tblGrid>
      <w:tr w:rsidR="000C6A7A" w:rsidRPr="003935C0" w14:paraId="3BB88D1C" w14:textId="77777777" w:rsidTr="00522D7D">
        <w:trPr>
          <w:trHeight w:val="181"/>
        </w:trPr>
        <w:tc>
          <w:tcPr>
            <w:tcW w:w="7088" w:type="dxa"/>
            <w:vMerge w:val="restart"/>
            <w:tcBorders>
              <w:top w:val="single" w:sz="4" w:space="0" w:color="auto"/>
              <w:left w:val="nil"/>
              <w:right w:val="nil"/>
            </w:tcBorders>
            <w:vAlign w:val="center"/>
          </w:tcPr>
          <w:p w14:paraId="548CB04F" w14:textId="77777777" w:rsidR="000C6A7A" w:rsidRPr="003935C0" w:rsidRDefault="000C6A7A" w:rsidP="00522D7D">
            <w:pPr>
              <w:widowControl w:val="0"/>
              <w:autoSpaceDE w:val="0"/>
              <w:autoSpaceDN w:val="0"/>
              <w:adjustRightInd w:val="0"/>
              <w:spacing w:line="240" w:lineRule="auto"/>
              <w:jc w:val="left"/>
              <w:rPr>
                <w:rFonts w:eastAsia="Calibri" w:cs="Arial"/>
                <w:b/>
                <w:szCs w:val="20"/>
                <w:lang w:val="en-US" w:eastAsia="en-US"/>
              </w:rPr>
            </w:pPr>
          </w:p>
        </w:tc>
        <w:tc>
          <w:tcPr>
            <w:tcW w:w="1843" w:type="dxa"/>
            <w:tcBorders>
              <w:top w:val="single" w:sz="4" w:space="0" w:color="auto"/>
              <w:left w:val="nil"/>
              <w:bottom w:val="nil"/>
              <w:right w:val="nil"/>
            </w:tcBorders>
          </w:tcPr>
          <w:p w14:paraId="3454B66B"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(1)</w:t>
            </w:r>
          </w:p>
        </w:tc>
        <w:tc>
          <w:tcPr>
            <w:tcW w:w="1984" w:type="dxa"/>
            <w:tcBorders>
              <w:top w:val="single" w:sz="4" w:space="0" w:color="auto"/>
              <w:left w:val="nil"/>
              <w:bottom w:val="nil"/>
              <w:right w:val="nil"/>
            </w:tcBorders>
          </w:tcPr>
          <w:p w14:paraId="30E6FA0B"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(2)</w:t>
            </w:r>
          </w:p>
        </w:tc>
        <w:tc>
          <w:tcPr>
            <w:tcW w:w="1817" w:type="dxa"/>
            <w:tcBorders>
              <w:top w:val="single" w:sz="4" w:space="0" w:color="auto"/>
              <w:left w:val="nil"/>
              <w:bottom w:val="nil"/>
              <w:right w:val="nil"/>
            </w:tcBorders>
          </w:tcPr>
          <w:p w14:paraId="2813434D"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(3)</w:t>
            </w:r>
          </w:p>
        </w:tc>
        <w:tc>
          <w:tcPr>
            <w:tcW w:w="1736" w:type="dxa"/>
            <w:tcBorders>
              <w:top w:val="single" w:sz="4" w:space="0" w:color="auto"/>
              <w:left w:val="nil"/>
              <w:bottom w:val="nil"/>
              <w:right w:val="nil"/>
            </w:tcBorders>
          </w:tcPr>
          <w:p w14:paraId="0609A982"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(4)</w:t>
            </w:r>
          </w:p>
        </w:tc>
      </w:tr>
      <w:tr w:rsidR="000C6A7A" w:rsidRPr="003935C0" w14:paraId="563DA73B" w14:textId="77777777" w:rsidTr="00522D7D">
        <w:trPr>
          <w:trHeight w:val="87"/>
        </w:trPr>
        <w:tc>
          <w:tcPr>
            <w:tcW w:w="7088" w:type="dxa"/>
            <w:vMerge/>
            <w:tcBorders>
              <w:left w:val="nil"/>
              <w:bottom w:val="nil"/>
              <w:right w:val="nil"/>
            </w:tcBorders>
          </w:tcPr>
          <w:p w14:paraId="320A3D72" w14:textId="77777777" w:rsidR="000C6A7A" w:rsidRPr="003935C0" w:rsidRDefault="000C6A7A" w:rsidP="00522D7D">
            <w:pPr>
              <w:widowControl w:val="0"/>
              <w:autoSpaceDE w:val="0"/>
              <w:autoSpaceDN w:val="0"/>
              <w:adjustRightInd w:val="0"/>
              <w:spacing w:line="240" w:lineRule="auto"/>
              <w:jc w:val="left"/>
              <w:rPr>
                <w:rFonts w:eastAsia="Calibri" w:cs="Arial"/>
                <w:b/>
                <w:szCs w:val="20"/>
                <w:lang w:val="en-US" w:eastAsia="en-US"/>
              </w:rPr>
            </w:pPr>
          </w:p>
        </w:tc>
        <w:tc>
          <w:tcPr>
            <w:tcW w:w="1843" w:type="dxa"/>
            <w:tcBorders>
              <w:top w:val="nil"/>
              <w:left w:val="nil"/>
              <w:bottom w:val="nil"/>
              <w:right w:val="nil"/>
            </w:tcBorders>
          </w:tcPr>
          <w:p w14:paraId="4DE402D3"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984" w:type="dxa"/>
            <w:tcBorders>
              <w:top w:val="nil"/>
              <w:left w:val="nil"/>
              <w:bottom w:val="nil"/>
              <w:right w:val="nil"/>
            </w:tcBorders>
          </w:tcPr>
          <w:p w14:paraId="3F4D2C46"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817" w:type="dxa"/>
            <w:tcBorders>
              <w:top w:val="nil"/>
              <w:left w:val="nil"/>
              <w:bottom w:val="nil"/>
              <w:right w:val="nil"/>
            </w:tcBorders>
          </w:tcPr>
          <w:p w14:paraId="0EA8482F"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736" w:type="dxa"/>
            <w:tcBorders>
              <w:top w:val="nil"/>
              <w:left w:val="nil"/>
              <w:bottom w:val="nil"/>
              <w:right w:val="nil"/>
            </w:tcBorders>
          </w:tcPr>
          <w:p w14:paraId="68E5E2E0"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r>
      <w:tr w:rsidR="00352401" w:rsidRPr="003935C0" w14:paraId="40FE54AC" w14:textId="77777777" w:rsidTr="00522D7D">
        <w:trPr>
          <w:trHeight w:val="181"/>
        </w:trPr>
        <w:tc>
          <w:tcPr>
            <w:tcW w:w="7088" w:type="dxa"/>
            <w:tcBorders>
              <w:top w:val="single" w:sz="4" w:space="0" w:color="auto"/>
              <w:left w:val="nil"/>
              <w:bottom w:val="nil"/>
              <w:right w:val="nil"/>
            </w:tcBorders>
          </w:tcPr>
          <w:p w14:paraId="164565F1"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Volume</w:t>
            </w:r>
          </w:p>
        </w:tc>
        <w:tc>
          <w:tcPr>
            <w:tcW w:w="1843" w:type="dxa"/>
            <w:tcBorders>
              <w:top w:val="single" w:sz="4" w:space="0" w:color="auto"/>
              <w:left w:val="nil"/>
              <w:bottom w:val="nil"/>
              <w:right w:val="nil"/>
            </w:tcBorders>
          </w:tcPr>
          <w:p w14:paraId="7F648A6A" w14:textId="77777777" w:rsidR="00352401" w:rsidRPr="004E4C63" w:rsidRDefault="00352401" w:rsidP="00352401">
            <w:pPr>
              <w:spacing w:line="240" w:lineRule="auto"/>
              <w:jc w:val="center"/>
            </w:pPr>
            <w:r w:rsidRPr="004E4C63">
              <w:t>0.00138**</w:t>
            </w:r>
          </w:p>
        </w:tc>
        <w:tc>
          <w:tcPr>
            <w:tcW w:w="1984" w:type="dxa"/>
            <w:tcBorders>
              <w:top w:val="single" w:sz="4" w:space="0" w:color="auto"/>
              <w:left w:val="nil"/>
              <w:bottom w:val="nil"/>
              <w:right w:val="nil"/>
            </w:tcBorders>
          </w:tcPr>
          <w:p w14:paraId="4F1F09BB" w14:textId="77777777" w:rsidR="00352401" w:rsidRPr="004E4C63" w:rsidRDefault="00352401" w:rsidP="00352401">
            <w:pPr>
              <w:spacing w:line="240" w:lineRule="auto"/>
              <w:jc w:val="center"/>
            </w:pPr>
            <w:r w:rsidRPr="004E4C63">
              <w:t>0.00138**</w:t>
            </w:r>
          </w:p>
        </w:tc>
        <w:tc>
          <w:tcPr>
            <w:tcW w:w="1817" w:type="dxa"/>
            <w:tcBorders>
              <w:top w:val="single" w:sz="4" w:space="0" w:color="auto"/>
              <w:left w:val="nil"/>
              <w:bottom w:val="nil"/>
              <w:right w:val="nil"/>
            </w:tcBorders>
          </w:tcPr>
          <w:p w14:paraId="74C52345" w14:textId="77777777" w:rsidR="00352401" w:rsidRPr="004E4C63" w:rsidRDefault="00352401" w:rsidP="00352401">
            <w:pPr>
              <w:spacing w:line="240" w:lineRule="auto"/>
              <w:jc w:val="center"/>
            </w:pPr>
            <w:r w:rsidRPr="004E4C63">
              <w:t>0.00132**</w:t>
            </w:r>
          </w:p>
        </w:tc>
        <w:tc>
          <w:tcPr>
            <w:tcW w:w="1736" w:type="dxa"/>
            <w:tcBorders>
              <w:top w:val="single" w:sz="4" w:space="0" w:color="auto"/>
              <w:left w:val="nil"/>
              <w:bottom w:val="nil"/>
              <w:right w:val="nil"/>
            </w:tcBorders>
          </w:tcPr>
          <w:p w14:paraId="49E71430" w14:textId="77777777" w:rsidR="00352401" w:rsidRPr="004E4C63" w:rsidRDefault="00352401" w:rsidP="00352401">
            <w:pPr>
              <w:spacing w:line="240" w:lineRule="auto"/>
              <w:jc w:val="center"/>
            </w:pPr>
            <w:r w:rsidRPr="004E4C63">
              <w:t>0.00150**</w:t>
            </w:r>
          </w:p>
        </w:tc>
      </w:tr>
      <w:tr w:rsidR="00352401" w:rsidRPr="003935C0" w14:paraId="0A17D182" w14:textId="77777777" w:rsidTr="00522D7D">
        <w:trPr>
          <w:trHeight w:val="159"/>
        </w:trPr>
        <w:tc>
          <w:tcPr>
            <w:tcW w:w="7088" w:type="dxa"/>
            <w:tcBorders>
              <w:top w:val="nil"/>
              <w:left w:val="nil"/>
              <w:bottom w:val="nil"/>
              <w:right w:val="nil"/>
            </w:tcBorders>
          </w:tcPr>
          <w:p w14:paraId="78031F26"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2ACEFEC0" w14:textId="77777777" w:rsidR="00352401" w:rsidRPr="004E4C63" w:rsidRDefault="00352401" w:rsidP="00352401">
            <w:pPr>
              <w:spacing w:line="240" w:lineRule="auto"/>
              <w:jc w:val="center"/>
            </w:pPr>
            <w:r w:rsidRPr="004E4C63">
              <w:t>(0.000554)</w:t>
            </w:r>
          </w:p>
        </w:tc>
        <w:tc>
          <w:tcPr>
            <w:tcW w:w="1984" w:type="dxa"/>
            <w:tcBorders>
              <w:top w:val="nil"/>
              <w:left w:val="nil"/>
              <w:bottom w:val="nil"/>
              <w:right w:val="nil"/>
            </w:tcBorders>
          </w:tcPr>
          <w:p w14:paraId="620FCEA9" w14:textId="77777777" w:rsidR="00352401" w:rsidRPr="004E4C63" w:rsidRDefault="00352401" w:rsidP="00352401">
            <w:pPr>
              <w:spacing w:line="240" w:lineRule="auto"/>
              <w:jc w:val="center"/>
            </w:pPr>
            <w:r w:rsidRPr="004E4C63">
              <w:t>(0.000567)</w:t>
            </w:r>
          </w:p>
        </w:tc>
        <w:tc>
          <w:tcPr>
            <w:tcW w:w="1817" w:type="dxa"/>
            <w:tcBorders>
              <w:top w:val="nil"/>
              <w:left w:val="nil"/>
              <w:bottom w:val="nil"/>
              <w:right w:val="nil"/>
            </w:tcBorders>
          </w:tcPr>
          <w:p w14:paraId="13780B1B" w14:textId="77777777" w:rsidR="00352401" w:rsidRPr="004E4C63" w:rsidRDefault="00352401" w:rsidP="00352401">
            <w:pPr>
              <w:spacing w:line="240" w:lineRule="auto"/>
              <w:jc w:val="center"/>
            </w:pPr>
            <w:r w:rsidRPr="004E4C63">
              <w:t>(0.000566)</w:t>
            </w:r>
          </w:p>
        </w:tc>
        <w:tc>
          <w:tcPr>
            <w:tcW w:w="1736" w:type="dxa"/>
            <w:tcBorders>
              <w:top w:val="nil"/>
              <w:left w:val="nil"/>
              <w:bottom w:val="nil"/>
              <w:right w:val="nil"/>
            </w:tcBorders>
          </w:tcPr>
          <w:p w14:paraId="7F4EB8E3" w14:textId="77777777" w:rsidR="00352401" w:rsidRPr="004E4C63" w:rsidRDefault="00352401" w:rsidP="00352401">
            <w:pPr>
              <w:spacing w:line="240" w:lineRule="auto"/>
              <w:jc w:val="center"/>
            </w:pPr>
            <w:r w:rsidRPr="004E4C63">
              <w:t>(0.000584)</w:t>
            </w:r>
          </w:p>
        </w:tc>
      </w:tr>
      <w:tr w:rsidR="00352401" w:rsidRPr="003935C0" w14:paraId="62024ABF" w14:textId="77777777" w:rsidTr="00522D7D">
        <w:trPr>
          <w:trHeight w:val="195"/>
        </w:trPr>
        <w:tc>
          <w:tcPr>
            <w:tcW w:w="7088" w:type="dxa"/>
            <w:tcBorders>
              <w:top w:val="nil"/>
              <w:left w:val="nil"/>
              <w:bottom w:val="nil"/>
              <w:right w:val="nil"/>
            </w:tcBorders>
          </w:tcPr>
          <w:p w14:paraId="4ECD1136"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VIX</w:t>
            </w:r>
          </w:p>
        </w:tc>
        <w:tc>
          <w:tcPr>
            <w:tcW w:w="1843" w:type="dxa"/>
            <w:tcBorders>
              <w:top w:val="nil"/>
              <w:left w:val="nil"/>
              <w:bottom w:val="nil"/>
              <w:right w:val="nil"/>
            </w:tcBorders>
          </w:tcPr>
          <w:p w14:paraId="2C1A2C2B" w14:textId="77777777" w:rsidR="00352401" w:rsidRPr="004E4C63" w:rsidRDefault="00352401" w:rsidP="00352401">
            <w:pPr>
              <w:spacing w:line="240" w:lineRule="auto"/>
              <w:jc w:val="center"/>
            </w:pPr>
            <w:r w:rsidRPr="004E4C63">
              <w:t>-0.0109**</w:t>
            </w:r>
          </w:p>
        </w:tc>
        <w:tc>
          <w:tcPr>
            <w:tcW w:w="1984" w:type="dxa"/>
            <w:tcBorders>
              <w:top w:val="nil"/>
              <w:left w:val="nil"/>
              <w:bottom w:val="nil"/>
              <w:right w:val="nil"/>
            </w:tcBorders>
          </w:tcPr>
          <w:p w14:paraId="031D4883" w14:textId="77777777" w:rsidR="00352401" w:rsidRPr="004E4C63" w:rsidRDefault="00352401" w:rsidP="00352401">
            <w:pPr>
              <w:spacing w:line="240" w:lineRule="auto"/>
              <w:jc w:val="center"/>
            </w:pPr>
            <w:r w:rsidRPr="004E4C63">
              <w:t>-0.0109**</w:t>
            </w:r>
          </w:p>
        </w:tc>
        <w:tc>
          <w:tcPr>
            <w:tcW w:w="1817" w:type="dxa"/>
            <w:tcBorders>
              <w:top w:val="nil"/>
              <w:left w:val="nil"/>
              <w:bottom w:val="nil"/>
              <w:right w:val="nil"/>
            </w:tcBorders>
          </w:tcPr>
          <w:p w14:paraId="157389BB" w14:textId="77777777" w:rsidR="00352401" w:rsidRPr="004E4C63" w:rsidRDefault="00352401" w:rsidP="00352401">
            <w:pPr>
              <w:spacing w:line="240" w:lineRule="auto"/>
              <w:jc w:val="center"/>
            </w:pPr>
            <w:r w:rsidRPr="004E4C63">
              <w:t>-0.00966**</w:t>
            </w:r>
          </w:p>
        </w:tc>
        <w:tc>
          <w:tcPr>
            <w:tcW w:w="1736" w:type="dxa"/>
            <w:tcBorders>
              <w:top w:val="nil"/>
              <w:left w:val="nil"/>
              <w:bottom w:val="nil"/>
              <w:right w:val="nil"/>
            </w:tcBorders>
          </w:tcPr>
          <w:p w14:paraId="0C7790FF" w14:textId="77777777" w:rsidR="00352401" w:rsidRPr="004E4C63" w:rsidRDefault="00352401" w:rsidP="00352401">
            <w:pPr>
              <w:spacing w:line="240" w:lineRule="auto"/>
              <w:jc w:val="center"/>
            </w:pPr>
            <w:r w:rsidRPr="004E4C63">
              <w:t>-0.00848*</w:t>
            </w:r>
          </w:p>
        </w:tc>
      </w:tr>
      <w:tr w:rsidR="00352401" w:rsidRPr="003935C0" w14:paraId="72DEBB25" w14:textId="77777777" w:rsidTr="00522D7D">
        <w:trPr>
          <w:trHeight w:val="181"/>
        </w:trPr>
        <w:tc>
          <w:tcPr>
            <w:tcW w:w="7088" w:type="dxa"/>
            <w:tcBorders>
              <w:top w:val="nil"/>
              <w:left w:val="nil"/>
              <w:bottom w:val="nil"/>
              <w:right w:val="nil"/>
            </w:tcBorders>
          </w:tcPr>
          <w:p w14:paraId="0CFA5F80"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7C2E6A5E" w14:textId="77777777" w:rsidR="00352401" w:rsidRPr="004E4C63" w:rsidRDefault="00352401" w:rsidP="00352401">
            <w:pPr>
              <w:spacing w:line="240" w:lineRule="auto"/>
              <w:jc w:val="center"/>
            </w:pPr>
            <w:r w:rsidRPr="004E4C63">
              <w:t>(0.00451)</w:t>
            </w:r>
          </w:p>
        </w:tc>
        <w:tc>
          <w:tcPr>
            <w:tcW w:w="1984" w:type="dxa"/>
            <w:tcBorders>
              <w:top w:val="nil"/>
              <w:left w:val="nil"/>
              <w:bottom w:val="nil"/>
              <w:right w:val="nil"/>
            </w:tcBorders>
          </w:tcPr>
          <w:p w14:paraId="1BB3932F" w14:textId="77777777" w:rsidR="00352401" w:rsidRPr="004E4C63" w:rsidRDefault="00352401" w:rsidP="00352401">
            <w:pPr>
              <w:spacing w:line="240" w:lineRule="auto"/>
              <w:jc w:val="center"/>
            </w:pPr>
            <w:r w:rsidRPr="004E4C63">
              <w:t>(0.00468)</w:t>
            </w:r>
          </w:p>
        </w:tc>
        <w:tc>
          <w:tcPr>
            <w:tcW w:w="1817" w:type="dxa"/>
            <w:tcBorders>
              <w:top w:val="nil"/>
              <w:left w:val="nil"/>
              <w:bottom w:val="nil"/>
              <w:right w:val="nil"/>
            </w:tcBorders>
          </w:tcPr>
          <w:p w14:paraId="53222F71" w14:textId="77777777" w:rsidR="00352401" w:rsidRPr="004E4C63" w:rsidRDefault="00352401" w:rsidP="00352401">
            <w:pPr>
              <w:spacing w:line="240" w:lineRule="auto"/>
              <w:jc w:val="center"/>
            </w:pPr>
            <w:r w:rsidRPr="004E4C63">
              <w:t>(0.00471)</w:t>
            </w:r>
          </w:p>
        </w:tc>
        <w:tc>
          <w:tcPr>
            <w:tcW w:w="1736" w:type="dxa"/>
            <w:tcBorders>
              <w:top w:val="nil"/>
              <w:left w:val="nil"/>
              <w:bottom w:val="nil"/>
              <w:right w:val="nil"/>
            </w:tcBorders>
          </w:tcPr>
          <w:p w14:paraId="6182D2D2" w14:textId="77777777" w:rsidR="00352401" w:rsidRPr="004E4C63" w:rsidRDefault="00352401" w:rsidP="00352401">
            <w:pPr>
              <w:spacing w:line="240" w:lineRule="auto"/>
              <w:jc w:val="center"/>
            </w:pPr>
            <w:r w:rsidRPr="004E4C63">
              <w:t>(0.00476)</w:t>
            </w:r>
          </w:p>
        </w:tc>
      </w:tr>
      <w:tr w:rsidR="00352401" w:rsidRPr="003935C0" w14:paraId="371ED76A" w14:textId="77777777" w:rsidTr="00522D7D">
        <w:trPr>
          <w:trHeight w:val="195"/>
        </w:trPr>
        <w:tc>
          <w:tcPr>
            <w:tcW w:w="7088" w:type="dxa"/>
            <w:tcBorders>
              <w:top w:val="nil"/>
              <w:left w:val="nil"/>
              <w:bottom w:val="nil"/>
              <w:right w:val="nil"/>
            </w:tcBorders>
          </w:tcPr>
          <w:p w14:paraId="65BE7A1E"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EPU</w:t>
            </w:r>
          </w:p>
        </w:tc>
        <w:tc>
          <w:tcPr>
            <w:tcW w:w="1843" w:type="dxa"/>
            <w:tcBorders>
              <w:top w:val="nil"/>
              <w:left w:val="nil"/>
              <w:bottom w:val="nil"/>
              <w:right w:val="nil"/>
            </w:tcBorders>
          </w:tcPr>
          <w:p w14:paraId="575FBE84" w14:textId="77777777" w:rsidR="00352401" w:rsidRPr="004E4C63" w:rsidRDefault="00352401" w:rsidP="00352401">
            <w:pPr>
              <w:spacing w:line="240" w:lineRule="auto"/>
              <w:jc w:val="center"/>
            </w:pPr>
            <w:r w:rsidRPr="004E4C63">
              <w:t>0.00145</w:t>
            </w:r>
          </w:p>
        </w:tc>
        <w:tc>
          <w:tcPr>
            <w:tcW w:w="1984" w:type="dxa"/>
            <w:tcBorders>
              <w:top w:val="nil"/>
              <w:left w:val="nil"/>
              <w:bottom w:val="nil"/>
              <w:right w:val="nil"/>
            </w:tcBorders>
          </w:tcPr>
          <w:p w14:paraId="0F1CC431" w14:textId="77777777" w:rsidR="00352401" w:rsidRPr="004E4C63" w:rsidRDefault="00352401" w:rsidP="00352401">
            <w:pPr>
              <w:spacing w:line="240" w:lineRule="auto"/>
              <w:jc w:val="center"/>
            </w:pPr>
            <w:r w:rsidRPr="004E4C63">
              <w:t>0.00148</w:t>
            </w:r>
          </w:p>
        </w:tc>
        <w:tc>
          <w:tcPr>
            <w:tcW w:w="1817" w:type="dxa"/>
            <w:tcBorders>
              <w:top w:val="nil"/>
              <w:left w:val="nil"/>
              <w:bottom w:val="nil"/>
              <w:right w:val="nil"/>
            </w:tcBorders>
          </w:tcPr>
          <w:p w14:paraId="5D9F5767" w14:textId="77777777" w:rsidR="00352401" w:rsidRPr="004E4C63" w:rsidRDefault="00352401" w:rsidP="00352401">
            <w:pPr>
              <w:spacing w:line="240" w:lineRule="auto"/>
              <w:jc w:val="center"/>
            </w:pPr>
            <w:r w:rsidRPr="004E4C63">
              <w:t>0.00136</w:t>
            </w:r>
          </w:p>
        </w:tc>
        <w:tc>
          <w:tcPr>
            <w:tcW w:w="1736" w:type="dxa"/>
            <w:tcBorders>
              <w:top w:val="nil"/>
              <w:left w:val="nil"/>
              <w:bottom w:val="nil"/>
              <w:right w:val="nil"/>
            </w:tcBorders>
          </w:tcPr>
          <w:p w14:paraId="44E8EED2" w14:textId="77777777" w:rsidR="00352401" w:rsidRPr="004E4C63" w:rsidRDefault="00352401" w:rsidP="00352401">
            <w:pPr>
              <w:spacing w:line="240" w:lineRule="auto"/>
              <w:jc w:val="center"/>
            </w:pPr>
            <w:r w:rsidRPr="004E4C63">
              <w:t>0.00111</w:t>
            </w:r>
          </w:p>
        </w:tc>
      </w:tr>
      <w:tr w:rsidR="00352401" w:rsidRPr="003935C0" w14:paraId="6A1D8320" w14:textId="77777777" w:rsidTr="00522D7D">
        <w:trPr>
          <w:trHeight w:val="195"/>
        </w:trPr>
        <w:tc>
          <w:tcPr>
            <w:tcW w:w="7088" w:type="dxa"/>
            <w:tcBorders>
              <w:top w:val="nil"/>
              <w:left w:val="nil"/>
              <w:bottom w:val="nil"/>
              <w:right w:val="nil"/>
            </w:tcBorders>
          </w:tcPr>
          <w:p w14:paraId="353AD147"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2C7B6D7B" w14:textId="77777777" w:rsidR="00352401" w:rsidRPr="004E4C63" w:rsidRDefault="00352401" w:rsidP="00352401">
            <w:pPr>
              <w:spacing w:line="240" w:lineRule="auto"/>
              <w:jc w:val="center"/>
            </w:pPr>
            <w:r w:rsidRPr="004E4C63">
              <w:t>(0.00219)</w:t>
            </w:r>
          </w:p>
        </w:tc>
        <w:tc>
          <w:tcPr>
            <w:tcW w:w="1984" w:type="dxa"/>
            <w:tcBorders>
              <w:top w:val="nil"/>
              <w:left w:val="nil"/>
              <w:bottom w:val="nil"/>
              <w:right w:val="nil"/>
            </w:tcBorders>
          </w:tcPr>
          <w:p w14:paraId="1623D59D" w14:textId="77777777" w:rsidR="00352401" w:rsidRPr="004E4C63" w:rsidRDefault="00352401" w:rsidP="00352401">
            <w:pPr>
              <w:spacing w:line="240" w:lineRule="auto"/>
              <w:jc w:val="center"/>
            </w:pPr>
            <w:r w:rsidRPr="004E4C63">
              <w:t>(0.00228)</w:t>
            </w:r>
          </w:p>
        </w:tc>
        <w:tc>
          <w:tcPr>
            <w:tcW w:w="1817" w:type="dxa"/>
            <w:tcBorders>
              <w:top w:val="nil"/>
              <w:left w:val="nil"/>
              <w:bottom w:val="nil"/>
              <w:right w:val="nil"/>
            </w:tcBorders>
          </w:tcPr>
          <w:p w14:paraId="77C697E9" w14:textId="77777777" w:rsidR="00352401" w:rsidRPr="004E4C63" w:rsidRDefault="00352401" w:rsidP="00352401">
            <w:pPr>
              <w:spacing w:line="240" w:lineRule="auto"/>
              <w:jc w:val="center"/>
            </w:pPr>
            <w:r w:rsidRPr="004E4C63">
              <w:t>(0.00229)</w:t>
            </w:r>
          </w:p>
        </w:tc>
        <w:tc>
          <w:tcPr>
            <w:tcW w:w="1736" w:type="dxa"/>
            <w:tcBorders>
              <w:top w:val="nil"/>
              <w:left w:val="nil"/>
              <w:bottom w:val="nil"/>
              <w:right w:val="nil"/>
            </w:tcBorders>
          </w:tcPr>
          <w:p w14:paraId="18BEC879" w14:textId="77777777" w:rsidR="00352401" w:rsidRPr="004E4C63" w:rsidRDefault="00352401" w:rsidP="00352401">
            <w:pPr>
              <w:spacing w:line="240" w:lineRule="auto"/>
              <w:jc w:val="center"/>
            </w:pPr>
            <w:r w:rsidRPr="004E4C63">
              <w:t>(0.00228)</w:t>
            </w:r>
          </w:p>
        </w:tc>
      </w:tr>
      <w:tr w:rsidR="00352401" w:rsidRPr="003935C0" w14:paraId="277283D3" w14:textId="77777777" w:rsidTr="00522D7D">
        <w:trPr>
          <w:trHeight w:val="195"/>
        </w:trPr>
        <w:tc>
          <w:tcPr>
            <w:tcW w:w="7088" w:type="dxa"/>
            <w:tcBorders>
              <w:top w:val="nil"/>
              <w:left w:val="nil"/>
              <w:bottom w:val="nil"/>
              <w:right w:val="nil"/>
            </w:tcBorders>
          </w:tcPr>
          <w:p w14:paraId="093C532C"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Sentiment RTN</w:t>
            </w:r>
          </w:p>
        </w:tc>
        <w:tc>
          <w:tcPr>
            <w:tcW w:w="1843" w:type="dxa"/>
            <w:tcBorders>
              <w:top w:val="nil"/>
              <w:left w:val="nil"/>
              <w:bottom w:val="nil"/>
              <w:right w:val="nil"/>
            </w:tcBorders>
          </w:tcPr>
          <w:p w14:paraId="6A4F6BB7" w14:textId="77777777" w:rsidR="00352401" w:rsidRPr="004E4C63" w:rsidRDefault="00352401" w:rsidP="00352401">
            <w:pPr>
              <w:spacing w:line="240" w:lineRule="auto"/>
              <w:jc w:val="center"/>
            </w:pPr>
            <w:r w:rsidRPr="004E4C63">
              <w:t>-0.00295</w:t>
            </w:r>
          </w:p>
        </w:tc>
        <w:tc>
          <w:tcPr>
            <w:tcW w:w="1984" w:type="dxa"/>
            <w:tcBorders>
              <w:top w:val="nil"/>
              <w:left w:val="nil"/>
              <w:bottom w:val="nil"/>
              <w:right w:val="nil"/>
            </w:tcBorders>
          </w:tcPr>
          <w:p w14:paraId="03E4362F" w14:textId="77777777" w:rsidR="00352401" w:rsidRPr="004E4C63" w:rsidRDefault="00352401" w:rsidP="00352401">
            <w:pPr>
              <w:spacing w:line="240" w:lineRule="auto"/>
              <w:jc w:val="center"/>
            </w:pPr>
            <w:r w:rsidRPr="004E4C63">
              <w:t>-0.00137</w:t>
            </w:r>
          </w:p>
        </w:tc>
        <w:tc>
          <w:tcPr>
            <w:tcW w:w="1817" w:type="dxa"/>
            <w:tcBorders>
              <w:top w:val="nil"/>
              <w:left w:val="nil"/>
              <w:bottom w:val="nil"/>
              <w:right w:val="nil"/>
            </w:tcBorders>
          </w:tcPr>
          <w:p w14:paraId="64FF4F5C" w14:textId="77777777" w:rsidR="00352401" w:rsidRPr="004E4C63" w:rsidRDefault="00352401" w:rsidP="00352401">
            <w:pPr>
              <w:spacing w:line="240" w:lineRule="auto"/>
              <w:jc w:val="center"/>
            </w:pPr>
            <w:r w:rsidRPr="004E4C63">
              <w:t>0.00105</w:t>
            </w:r>
          </w:p>
        </w:tc>
        <w:tc>
          <w:tcPr>
            <w:tcW w:w="1736" w:type="dxa"/>
            <w:tcBorders>
              <w:top w:val="nil"/>
              <w:left w:val="nil"/>
              <w:bottom w:val="nil"/>
              <w:right w:val="nil"/>
            </w:tcBorders>
          </w:tcPr>
          <w:p w14:paraId="319475A8" w14:textId="77777777" w:rsidR="00352401" w:rsidRPr="004E4C63" w:rsidRDefault="00352401" w:rsidP="00352401">
            <w:pPr>
              <w:spacing w:line="240" w:lineRule="auto"/>
              <w:jc w:val="center"/>
            </w:pPr>
            <w:r w:rsidRPr="004E4C63">
              <w:t>0.000475</w:t>
            </w:r>
          </w:p>
        </w:tc>
      </w:tr>
      <w:tr w:rsidR="00352401" w:rsidRPr="003935C0" w14:paraId="6C2E44E2" w14:textId="77777777" w:rsidTr="00522D7D">
        <w:trPr>
          <w:trHeight w:val="181"/>
        </w:trPr>
        <w:tc>
          <w:tcPr>
            <w:tcW w:w="7088" w:type="dxa"/>
            <w:tcBorders>
              <w:top w:val="nil"/>
              <w:left w:val="nil"/>
              <w:bottom w:val="nil"/>
              <w:right w:val="nil"/>
            </w:tcBorders>
          </w:tcPr>
          <w:p w14:paraId="6F380EAA"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549787DE" w14:textId="77777777" w:rsidR="00352401" w:rsidRPr="004E4C63" w:rsidRDefault="00352401" w:rsidP="00352401">
            <w:pPr>
              <w:spacing w:line="240" w:lineRule="auto"/>
              <w:jc w:val="center"/>
            </w:pPr>
            <w:r w:rsidRPr="004E4C63">
              <w:t>(0.00358)</w:t>
            </w:r>
          </w:p>
        </w:tc>
        <w:tc>
          <w:tcPr>
            <w:tcW w:w="1984" w:type="dxa"/>
            <w:tcBorders>
              <w:top w:val="nil"/>
              <w:left w:val="nil"/>
              <w:bottom w:val="nil"/>
              <w:right w:val="nil"/>
            </w:tcBorders>
          </w:tcPr>
          <w:p w14:paraId="54443015" w14:textId="77777777" w:rsidR="00352401" w:rsidRPr="004E4C63" w:rsidRDefault="00352401" w:rsidP="00352401">
            <w:pPr>
              <w:spacing w:line="240" w:lineRule="auto"/>
              <w:jc w:val="center"/>
            </w:pPr>
            <w:r w:rsidRPr="004E4C63">
              <w:t>(0.00470)</w:t>
            </w:r>
          </w:p>
        </w:tc>
        <w:tc>
          <w:tcPr>
            <w:tcW w:w="1817" w:type="dxa"/>
            <w:tcBorders>
              <w:top w:val="nil"/>
              <w:left w:val="nil"/>
              <w:bottom w:val="nil"/>
              <w:right w:val="nil"/>
            </w:tcBorders>
          </w:tcPr>
          <w:p w14:paraId="56F566B3" w14:textId="77777777" w:rsidR="00352401" w:rsidRPr="004E4C63" w:rsidRDefault="00352401" w:rsidP="00352401">
            <w:pPr>
              <w:spacing w:line="240" w:lineRule="auto"/>
              <w:jc w:val="center"/>
            </w:pPr>
            <w:r w:rsidRPr="004E4C63">
              <w:t>(0.00490)</w:t>
            </w:r>
          </w:p>
        </w:tc>
        <w:tc>
          <w:tcPr>
            <w:tcW w:w="1736" w:type="dxa"/>
            <w:tcBorders>
              <w:top w:val="nil"/>
              <w:left w:val="nil"/>
              <w:bottom w:val="nil"/>
              <w:right w:val="nil"/>
            </w:tcBorders>
          </w:tcPr>
          <w:p w14:paraId="1F71CF66" w14:textId="77777777" w:rsidR="00352401" w:rsidRPr="004E4C63" w:rsidRDefault="00352401" w:rsidP="00352401">
            <w:pPr>
              <w:spacing w:line="240" w:lineRule="auto"/>
              <w:jc w:val="center"/>
            </w:pPr>
            <w:r w:rsidRPr="004E4C63">
              <w:t>(0.00780)</w:t>
            </w:r>
          </w:p>
        </w:tc>
      </w:tr>
      <w:tr w:rsidR="00352401" w:rsidRPr="003935C0" w14:paraId="6156EFEA" w14:textId="77777777" w:rsidTr="00522D7D">
        <w:trPr>
          <w:trHeight w:val="195"/>
        </w:trPr>
        <w:tc>
          <w:tcPr>
            <w:tcW w:w="7088" w:type="dxa"/>
            <w:tcBorders>
              <w:top w:val="nil"/>
              <w:left w:val="nil"/>
              <w:bottom w:val="nil"/>
              <w:right w:val="nil"/>
            </w:tcBorders>
          </w:tcPr>
          <w:p w14:paraId="46158138"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r w:rsidRPr="003935C0">
              <w:rPr>
                <w:rFonts w:eastAsia="Calibri"/>
                <w:szCs w:val="20"/>
                <w:lang w:val="en-US" w:eastAsia="en-US"/>
              </w:rPr>
              <w:t xml:space="preserve">MSCI IT Sensitivity on Sentiment </w:t>
            </w:r>
          </w:p>
        </w:tc>
        <w:tc>
          <w:tcPr>
            <w:tcW w:w="1843" w:type="dxa"/>
            <w:tcBorders>
              <w:top w:val="nil"/>
              <w:left w:val="nil"/>
              <w:bottom w:val="nil"/>
              <w:right w:val="nil"/>
            </w:tcBorders>
          </w:tcPr>
          <w:p w14:paraId="420B2992" w14:textId="77777777" w:rsidR="00352401" w:rsidRPr="004E4C63" w:rsidRDefault="00352401" w:rsidP="00352401">
            <w:pPr>
              <w:spacing w:line="240" w:lineRule="auto"/>
              <w:jc w:val="center"/>
            </w:pPr>
            <w:r w:rsidRPr="004E4C63">
              <w:t>-0.000337</w:t>
            </w:r>
          </w:p>
        </w:tc>
        <w:tc>
          <w:tcPr>
            <w:tcW w:w="1984" w:type="dxa"/>
            <w:tcBorders>
              <w:top w:val="nil"/>
              <w:left w:val="nil"/>
              <w:bottom w:val="nil"/>
              <w:right w:val="nil"/>
            </w:tcBorders>
          </w:tcPr>
          <w:p w14:paraId="414692EA" w14:textId="77777777" w:rsidR="00352401" w:rsidRPr="004E4C63" w:rsidRDefault="00352401" w:rsidP="00352401">
            <w:pPr>
              <w:spacing w:line="240" w:lineRule="auto"/>
              <w:jc w:val="center"/>
            </w:pPr>
            <w:r w:rsidRPr="004E4C63">
              <w:t>-0.000362</w:t>
            </w:r>
          </w:p>
        </w:tc>
        <w:tc>
          <w:tcPr>
            <w:tcW w:w="1817" w:type="dxa"/>
            <w:tcBorders>
              <w:top w:val="nil"/>
              <w:left w:val="nil"/>
              <w:bottom w:val="nil"/>
              <w:right w:val="nil"/>
            </w:tcBorders>
          </w:tcPr>
          <w:p w14:paraId="4B7F02C8" w14:textId="77777777" w:rsidR="00352401" w:rsidRPr="004E4C63" w:rsidRDefault="00352401" w:rsidP="00352401">
            <w:pPr>
              <w:spacing w:line="240" w:lineRule="auto"/>
              <w:jc w:val="center"/>
            </w:pPr>
            <w:r w:rsidRPr="004E4C63">
              <w:t>-0.0000765</w:t>
            </w:r>
          </w:p>
        </w:tc>
        <w:tc>
          <w:tcPr>
            <w:tcW w:w="1736" w:type="dxa"/>
            <w:tcBorders>
              <w:top w:val="nil"/>
              <w:left w:val="nil"/>
              <w:bottom w:val="nil"/>
              <w:right w:val="nil"/>
            </w:tcBorders>
          </w:tcPr>
          <w:p w14:paraId="629AA273" w14:textId="77777777" w:rsidR="00352401" w:rsidRPr="004E4C63" w:rsidRDefault="00352401" w:rsidP="00352401">
            <w:pPr>
              <w:spacing w:line="240" w:lineRule="auto"/>
              <w:jc w:val="center"/>
            </w:pPr>
            <w:r w:rsidRPr="004E4C63">
              <w:t>-0.0000147</w:t>
            </w:r>
          </w:p>
        </w:tc>
      </w:tr>
      <w:tr w:rsidR="00352401" w:rsidRPr="003935C0" w14:paraId="2169CF4C" w14:textId="77777777" w:rsidTr="00522D7D">
        <w:trPr>
          <w:trHeight w:val="195"/>
        </w:trPr>
        <w:tc>
          <w:tcPr>
            <w:tcW w:w="7088" w:type="dxa"/>
            <w:tcBorders>
              <w:top w:val="nil"/>
              <w:left w:val="nil"/>
              <w:bottom w:val="nil"/>
              <w:right w:val="nil"/>
            </w:tcBorders>
          </w:tcPr>
          <w:p w14:paraId="5F3ED18D"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07F9FD7F" w14:textId="77777777" w:rsidR="00352401" w:rsidRPr="004E4C63" w:rsidRDefault="00352401" w:rsidP="00352401">
            <w:pPr>
              <w:spacing w:line="240" w:lineRule="auto"/>
              <w:jc w:val="center"/>
            </w:pPr>
            <w:r w:rsidRPr="004E4C63">
              <w:t>(0.000526)</w:t>
            </w:r>
          </w:p>
        </w:tc>
        <w:tc>
          <w:tcPr>
            <w:tcW w:w="1984" w:type="dxa"/>
            <w:tcBorders>
              <w:top w:val="nil"/>
              <w:left w:val="nil"/>
              <w:bottom w:val="nil"/>
              <w:right w:val="nil"/>
            </w:tcBorders>
          </w:tcPr>
          <w:p w14:paraId="1C7E9A80" w14:textId="77777777" w:rsidR="00352401" w:rsidRPr="004E4C63" w:rsidRDefault="00352401" w:rsidP="00352401">
            <w:pPr>
              <w:spacing w:line="240" w:lineRule="auto"/>
              <w:jc w:val="center"/>
            </w:pPr>
            <w:r w:rsidRPr="004E4C63">
              <w:t>(0.000587)</w:t>
            </w:r>
          </w:p>
        </w:tc>
        <w:tc>
          <w:tcPr>
            <w:tcW w:w="1817" w:type="dxa"/>
            <w:tcBorders>
              <w:top w:val="nil"/>
              <w:left w:val="nil"/>
              <w:bottom w:val="nil"/>
              <w:right w:val="nil"/>
            </w:tcBorders>
          </w:tcPr>
          <w:p w14:paraId="3FF9DE2B" w14:textId="77777777" w:rsidR="00352401" w:rsidRPr="004E4C63" w:rsidRDefault="00352401" w:rsidP="00352401">
            <w:pPr>
              <w:spacing w:line="240" w:lineRule="auto"/>
              <w:jc w:val="center"/>
            </w:pPr>
            <w:r w:rsidRPr="004E4C63">
              <w:t>(0.000703)</w:t>
            </w:r>
          </w:p>
        </w:tc>
        <w:tc>
          <w:tcPr>
            <w:tcW w:w="1736" w:type="dxa"/>
            <w:tcBorders>
              <w:top w:val="nil"/>
              <w:left w:val="nil"/>
              <w:bottom w:val="nil"/>
              <w:right w:val="nil"/>
            </w:tcBorders>
          </w:tcPr>
          <w:p w14:paraId="6FCCDDE7" w14:textId="77777777" w:rsidR="00352401" w:rsidRPr="004E4C63" w:rsidRDefault="00352401" w:rsidP="00352401">
            <w:pPr>
              <w:spacing w:line="240" w:lineRule="auto"/>
              <w:jc w:val="center"/>
            </w:pPr>
            <w:r w:rsidRPr="004E4C63">
              <w:t>(0.000706)</w:t>
            </w:r>
          </w:p>
        </w:tc>
      </w:tr>
      <w:tr w:rsidR="00352401" w:rsidRPr="003935C0" w14:paraId="26AE7311" w14:textId="77777777" w:rsidTr="00522D7D">
        <w:trPr>
          <w:trHeight w:val="181"/>
        </w:trPr>
        <w:tc>
          <w:tcPr>
            <w:tcW w:w="7088" w:type="dxa"/>
            <w:tcBorders>
              <w:top w:val="nil"/>
              <w:left w:val="nil"/>
              <w:bottom w:val="nil"/>
              <w:right w:val="nil"/>
            </w:tcBorders>
          </w:tcPr>
          <w:p w14:paraId="73424B22"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r w:rsidRPr="003935C0">
              <w:rPr>
                <w:rFonts w:eastAsia="Calibri" w:cs="Arial"/>
                <w:szCs w:val="20"/>
                <w:lang w:val="en-US" w:eastAsia="en-US"/>
              </w:rPr>
              <w:t>Sentiment RTN *</w:t>
            </w:r>
            <w:r w:rsidRPr="003935C0">
              <w:rPr>
                <w:rFonts w:eastAsia="Calibri"/>
                <w:szCs w:val="20"/>
                <w:lang w:val="en-US" w:eastAsia="en-US"/>
              </w:rPr>
              <w:t xml:space="preserve"> MSCI IT Sensitivity on Sentiment</w:t>
            </w:r>
          </w:p>
        </w:tc>
        <w:tc>
          <w:tcPr>
            <w:tcW w:w="1843" w:type="dxa"/>
            <w:tcBorders>
              <w:top w:val="nil"/>
              <w:left w:val="nil"/>
              <w:bottom w:val="nil"/>
              <w:right w:val="nil"/>
            </w:tcBorders>
          </w:tcPr>
          <w:p w14:paraId="51493DDA" w14:textId="77777777" w:rsidR="00352401" w:rsidRPr="004E4C63" w:rsidRDefault="00352401" w:rsidP="00352401">
            <w:pPr>
              <w:spacing w:line="240" w:lineRule="auto"/>
              <w:jc w:val="center"/>
            </w:pPr>
            <w:r w:rsidRPr="004E4C63">
              <w:t>0.00156</w:t>
            </w:r>
          </w:p>
        </w:tc>
        <w:tc>
          <w:tcPr>
            <w:tcW w:w="1984" w:type="dxa"/>
            <w:tcBorders>
              <w:top w:val="nil"/>
              <w:left w:val="nil"/>
              <w:bottom w:val="nil"/>
              <w:right w:val="nil"/>
            </w:tcBorders>
          </w:tcPr>
          <w:p w14:paraId="01D6C09F" w14:textId="77777777" w:rsidR="00352401" w:rsidRPr="004E4C63" w:rsidRDefault="00352401" w:rsidP="00352401">
            <w:pPr>
              <w:spacing w:line="240" w:lineRule="auto"/>
              <w:jc w:val="center"/>
            </w:pPr>
            <w:r w:rsidRPr="004E4C63">
              <w:t>0.00230</w:t>
            </w:r>
          </w:p>
        </w:tc>
        <w:tc>
          <w:tcPr>
            <w:tcW w:w="1817" w:type="dxa"/>
            <w:tcBorders>
              <w:top w:val="nil"/>
              <w:left w:val="nil"/>
              <w:bottom w:val="nil"/>
              <w:right w:val="nil"/>
            </w:tcBorders>
          </w:tcPr>
          <w:p w14:paraId="26A840DF" w14:textId="77777777" w:rsidR="00352401" w:rsidRPr="004E4C63" w:rsidRDefault="00352401" w:rsidP="00352401">
            <w:pPr>
              <w:spacing w:line="240" w:lineRule="auto"/>
              <w:jc w:val="center"/>
            </w:pPr>
            <w:r w:rsidRPr="004E4C63">
              <w:t>0.00491*</w:t>
            </w:r>
          </w:p>
        </w:tc>
        <w:tc>
          <w:tcPr>
            <w:tcW w:w="1736" w:type="dxa"/>
            <w:tcBorders>
              <w:top w:val="nil"/>
              <w:left w:val="nil"/>
              <w:bottom w:val="nil"/>
              <w:right w:val="nil"/>
            </w:tcBorders>
          </w:tcPr>
          <w:p w14:paraId="1FCD6BD4" w14:textId="77777777" w:rsidR="00352401" w:rsidRPr="004E4C63" w:rsidRDefault="00352401" w:rsidP="00352401">
            <w:pPr>
              <w:spacing w:line="240" w:lineRule="auto"/>
              <w:jc w:val="center"/>
            </w:pPr>
            <w:r w:rsidRPr="004E4C63">
              <w:t>0.00494*</w:t>
            </w:r>
          </w:p>
        </w:tc>
      </w:tr>
      <w:tr w:rsidR="00352401" w:rsidRPr="003935C0" w14:paraId="643A2C63" w14:textId="77777777" w:rsidTr="00522D7D">
        <w:trPr>
          <w:trHeight w:val="195"/>
        </w:trPr>
        <w:tc>
          <w:tcPr>
            <w:tcW w:w="7088" w:type="dxa"/>
            <w:tcBorders>
              <w:top w:val="nil"/>
              <w:left w:val="nil"/>
              <w:bottom w:val="nil"/>
              <w:right w:val="nil"/>
            </w:tcBorders>
          </w:tcPr>
          <w:p w14:paraId="0D811EDB"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2D897C92" w14:textId="77777777" w:rsidR="00352401" w:rsidRPr="004E4C63" w:rsidRDefault="00352401" w:rsidP="00352401">
            <w:pPr>
              <w:spacing w:line="240" w:lineRule="auto"/>
              <w:jc w:val="center"/>
            </w:pPr>
            <w:r w:rsidRPr="004E4C63">
              <w:t>(0.00232)</w:t>
            </w:r>
          </w:p>
        </w:tc>
        <w:tc>
          <w:tcPr>
            <w:tcW w:w="1984" w:type="dxa"/>
            <w:tcBorders>
              <w:top w:val="nil"/>
              <w:left w:val="nil"/>
              <w:bottom w:val="nil"/>
              <w:right w:val="nil"/>
            </w:tcBorders>
          </w:tcPr>
          <w:p w14:paraId="0E7CABAF" w14:textId="77777777" w:rsidR="00352401" w:rsidRPr="004E4C63" w:rsidRDefault="00352401" w:rsidP="00352401">
            <w:pPr>
              <w:spacing w:line="240" w:lineRule="auto"/>
              <w:jc w:val="center"/>
            </w:pPr>
            <w:r w:rsidRPr="004E4C63">
              <w:t>(0.00243)</w:t>
            </w:r>
          </w:p>
        </w:tc>
        <w:tc>
          <w:tcPr>
            <w:tcW w:w="1817" w:type="dxa"/>
            <w:tcBorders>
              <w:top w:val="nil"/>
              <w:left w:val="nil"/>
              <w:bottom w:val="nil"/>
              <w:right w:val="nil"/>
            </w:tcBorders>
          </w:tcPr>
          <w:p w14:paraId="5FD3065B" w14:textId="77777777" w:rsidR="00352401" w:rsidRPr="004E4C63" w:rsidRDefault="00352401" w:rsidP="00352401">
            <w:pPr>
              <w:spacing w:line="240" w:lineRule="auto"/>
              <w:jc w:val="center"/>
            </w:pPr>
            <w:r w:rsidRPr="004E4C63">
              <w:t>(0.00268)</w:t>
            </w:r>
          </w:p>
        </w:tc>
        <w:tc>
          <w:tcPr>
            <w:tcW w:w="1736" w:type="dxa"/>
            <w:tcBorders>
              <w:top w:val="nil"/>
              <w:left w:val="nil"/>
              <w:bottom w:val="nil"/>
              <w:right w:val="nil"/>
            </w:tcBorders>
          </w:tcPr>
          <w:p w14:paraId="3DA7AA39" w14:textId="77777777" w:rsidR="00352401" w:rsidRPr="004E4C63" w:rsidRDefault="00352401" w:rsidP="00352401">
            <w:pPr>
              <w:spacing w:line="240" w:lineRule="auto"/>
              <w:jc w:val="center"/>
            </w:pPr>
            <w:r w:rsidRPr="004E4C63">
              <w:t>(0.00265)</w:t>
            </w:r>
          </w:p>
        </w:tc>
      </w:tr>
      <w:tr w:rsidR="00352401" w:rsidRPr="003935C0" w14:paraId="4BE117F7" w14:textId="77777777" w:rsidTr="00522D7D">
        <w:trPr>
          <w:trHeight w:val="195"/>
        </w:trPr>
        <w:tc>
          <w:tcPr>
            <w:tcW w:w="7088" w:type="dxa"/>
            <w:tcBorders>
              <w:top w:val="nil"/>
              <w:left w:val="nil"/>
              <w:bottom w:val="nil"/>
              <w:right w:val="nil"/>
            </w:tcBorders>
          </w:tcPr>
          <w:p w14:paraId="26C5D072"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r w:rsidRPr="003935C0">
              <w:rPr>
                <w:rFonts w:eastAsia="Calibri"/>
                <w:szCs w:val="20"/>
                <w:lang w:val="en-US" w:eastAsia="en-US"/>
              </w:rPr>
              <w:t>MSCI World Energy Sensitivity on Sentiment</w:t>
            </w:r>
          </w:p>
        </w:tc>
        <w:tc>
          <w:tcPr>
            <w:tcW w:w="1843" w:type="dxa"/>
            <w:tcBorders>
              <w:top w:val="nil"/>
              <w:left w:val="nil"/>
              <w:bottom w:val="nil"/>
              <w:right w:val="nil"/>
            </w:tcBorders>
          </w:tcPr>
          <w:p w14:paraId="0DDA7045" w14:textId="77777777" w:rsidR="00352401" w:rsidRPr="004E4C63" w:rsidRDefault="00352401" w:rsidP="00352401">
            <w:pPr>
              <w:spacing w:line="240" w:lineRule="auto"/>
              <w:jc w:val="center"/>
            </w:pPr>
          </w:p>
        </w:tc>
        <w:tc>
          <w:tcPr>
            <w:tcW w:w="1984" w:type="dxa"/>
            <w:tcBorders>
              <w:top w:val="nil"/>
              <w:left w:val="nil"/>
              <w:bottom w:val="nil"/>
              <w:right w:val="nil"/>
            </w:tcBorders>
          </w:tcPr>
          <w:p w14:paraId="1011CC27" w14:textId="77777777" w:rsidR="00352401" w:rsidRPr="004E4C63" w:rsidRDefault="00352401" w:rsidP="00352401">
            <w:pPr>
              <w:spacing w:line="240" w:lineRule="auto"/>
              <w:jc w:val="center"/>
            </w:pPr>
            <w:r w:rsidRPr="004E4C63">
              <w:t>0.0000145</w:t>
            </w:r>
          </w:p>
        </w:tc>
        <w:tc>
          <w:tcPr>
            <w:tcW w:w="1817" w:type="dxa"/>
            <w:tcBorders>
              <w:top w:val="nil"/>
              <w:left w:val="nil"/>
              <w:bottom w:val="nil"/>
              <w:right w:val="nil"/>
            </w:tcBorders>
          </w:tcPr>
          <w:p w14:paraId="15D1B9C7" w14:textId="77777777" w:rsidR="00352401" w:rsidRPr="004E4C63" w:rsidRDefault="00352401" w:rsidP="00352401">
            <w:pPr>
              <w:spacing w:line="240" w:lineRule="auto"/>
              <w:jc w:val="center"/>
            </w:pPr>
            <w:r w:rsidRPr="004E4C63">
              <w:t>-0.0000649</w:t>
            </w:r>
          </w:p>
        </w:tc>
        <w:tc>
          <w:tcPr>
            <w:tcW w:w="1736" w:type="dxa"/>
            <w:tcBorders>
              <w:top w:val="nil"/>
              <w:left w:val="nil"/>
              <w:bottom w:val="nil"/>
              <w:right w:val="nil"/>
            </w:tcBorders>
          </w:tcPr>
          <w:p w14:paraId="29D0D751" w14:textId="77777777" w:rsidR="00352401" w:rsidRPr="004E4C63" w:rsidRDefault="00352401" w:rsidP="00352401">
            <w:pPr>
              <w:spacing w:line="240" w:lineRule="auto"/>
              <w:jc w:val="center"/>
            </w:pPr>
            <w:r w:rsidRPr="004E4C63">
              <w:t>0.000113</w:t>
            </w:r>
          </w:p>
        </w:tc>
      </w:tr>
      <w:tr w:rsidR="00352401" w:rsidRPr="003935C0" w14:paraId="5786A644" w14:textId="77777777" w:rsidTr="00522D7D">
        <w:trPr>
          <w:trHeight w:val="195"/>
        </w:trPr>
        <w:tc>
          <w:tcPr>
            <w:tcW w:w="7088" w:type="dxa"/>
            <w:tcBorders>
              <w:top w:val="nil"/>
              <w:left w:val="nil"/>
              <w:bottom w:val="nil"/>
              <w:right w:val="nil"/>
            </w:tcBorders>
          </w:tcPr>
          <w:p w14:paraId="15613AE5"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4E1D26B4" w14:textId="77777777" w:rsidR="00352401" w:rsidRPr="004E4C63" w:rsidRDefault="00352401" w:rsidP="00352401">
            <w:pPr>
              <w:spacing w:line="240" w:lineRule="auto"/>
              <w:jc w:val="center"/>
            </w:pPr>
          </w:p>
        </w:tc>
        <w:tc>
          <w:tcPr>
            <w:tcW w:w="1984" w:type="dxa"/>
            <w:tcBorders>
              <w:top w:val="nil"/>
              <w:left w:val="nil"/>
              <w:bottom w:val="nil"/>
              <w:right w:val="nil"/>
            </w:tcBorders>
          </w:tcPr>
          <w:p w14:paraId="4F62941E" w14:textId="77777777" w:rsidR="00352401" w:rsidRPr="004E4C63" w:rsidRDefault="00352401" w:rsidP="00352401">
            <w:pPr>
              <w:spacing w:line="240" w:lineRule="auto"/>
              <w:jc w:val="center"/>
            </w:pPr>
            <w:r w:rsidRPr="004E4C63">
              <w:t>(0.000384)</w:t>
            </w:r>
          </w:p>
        </w:tc>
        <w:tc>
          <w:tcPr>
            <w:tcW w:w="1817" w:type="dxa"/>
            <w:tcBorders>
              <w:top w:val="nil"/>
              <w:left w:val="nil"/>
              <w:bottom w:val="nil"/>
              <w:right w:val="nil"/>
            </w:tcBorders>
          </w:tcPr>
          <w:p w14:paraId="13D91CBE" w14:textId="77777777" w:rsidR="00352401" w:rsidRPr="004E4C63" w:rsidRDefault="00352401" w:rsidP="00352401">
            <w:pPr>
              <w:spacing w:line="240" w:lineRule="auto"/>
              <w:jc w:val="center"/>
            </w:pPr>
            <w:r w:rsidRPr="004E4C63">
              <w:t>(0.000415)</w:t>
            </w:r>
          </w:p>
        </w:tc>
        <w:tc>
          <w:tcPr>
            <w:tcW w:w="1736" w:type="dxa"/>
            <w:tcBorders>
              <w:top w:val="nil"/>
              <w:left w:val="nil"/>
              <w:bottom w:val="nil"/>
              <w:right w:val="nil"/>
            </w:tcBorders>
          </w:tcPr>
          <w:p w14:paraId="0B305056" w14:textId="77777777" w:rsidR="00352401" w:rsidRPr="004E4C63" w:rsidRDefault="00352401" w:rsidP="00352401">
            <w:pPr>
              <w:spacing w:line="240" w:lineRule="auto"/>
              <w:jc w:val="center"/>
            </w:pPr>
            <w:r w:rsidRPr="004E4C63">
              <w:t>(0.000398)</w:t>
            </w:r>
          </w:p>
        </w:tc>
      </w:tr>
      <w:tr w:rsidR="00352401" w:rsidRPr="003935C0" w14:paraId="7A8A4F49" w14:textId="77777777" w:rsidTr="00522D7D">
        <w:trPr>
          <w:trHeight w:val="181"/>
        </w:trPr>
        <w:tc>
          <w:tcPr>
            <w:tcW w:w="7088" w:type="dxa"/>
            <w:tcBorders>
              <w:top w:val="nil"/>
              <w:left w:val="nil"/>
              <w:bottom w:val="nil"/>
              <w:right w:val="nil"/>
            </w:tcBorders>
          </w:tcPr>
          <w:p w14:paraId="63A5734A"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r w:rsidRPr="003935C0">
              <w:rPr>
                <w:rFonts w:eastAsia="Calibri" w:cs="Arial"/>
                <w:szCs w:val="20"/>
                <w:lang w:val="en-US" w:eastAsia="en-US"/>
              </w:rPr>
              <w:t>Sentiment RTN *</w:t>
            </w:r>
            <w:r w:rsidRPr="003935C0">
              <w:rPr>
                <w:rFonts w:eastAsia="Calibri"/>
                <w:szCs w:val="20"/>
                <w:lang w:val="en-US" w:eastAsia="en-US"/>
              </w:rPr>
              <w:t xml:space="preserve"> MSCI World Energy Sensitivity on Sentiment</w:t>
            </w:r>
          </w:p>
        </w:tc>
        <w:tc>
          <w:tcPr>
            <w:tcW w:w="1843" w:type="dxa"/>
            <w:tcBorders>
              <w:top w:val="nil"/>
              <w:left w:val="nil"/>
              <w:bottom w:val="nil"/>
              <w:right w:val="nil"/>
            </w:tcBorders>
          </w:tcPr>
          <w:p w14:paraId="5D44CFFF" w14:textId="77777777" w:rsidR="00352401" w:rsidRPr="004E4C63" w:rsidRDefault="00352401" w:rsidP="00352401">
            <w:pPr>
              <w:spacing w:line="240" w:lineRule="auto"/>
              <w:jc w:val="center"/>
            </w:pPr>
          </w:p>
        </w:tc>
        <w:tc>
          <w:tcPr>
            <w:tcW w:w="1984" w:type="dxa"/>
            <w:tcBorders>
              <w:top w:val="nil"/>
              <w:left w:val="nil"/>
              <w:bottom w:val="nil"/>
              <w:right w:val="nil"/>
            </w:tcBorders>
          </w:tcPr>
          <w:p w14:paraId="33EC5BFA" w14:textId="77777777" w:rsidR="00352401" w:rsidRPr="004E4C63" w:rsidRDefault="00352401" w:rsidP="00352401">
            <w:pPr>
              <w:spacing w:line="240" w:lineRule="auto"/>
              <w:jc w:val="center"/>
            </w:pPr>
            <w:r w:rsidRPr="004E4C63">
              <w:t>-0.000986</w:t>
            </w:r>
          </w:p>
        </w:tc>
        <w:tc>
          <w:tcPr>
            <w:tcW w:w="1817" w:type="dxa"/>
            <w:tcBorders>
              <w:top w:val="nil"/>
              <w:left w:val="nil"/>
              <w:bottom w:val="nil"/>
              <w:right w:val="nil"/>
            </w:tcBorders>
          </w:tcPr>
          <w:p w14:paraId="0D9166B5" w14:textId="77777777" w:rsidR="00352401" w:rsidRPr="004E4C63" w:rsidRDefault="00352401" w:rsidP="00352401">
            <w:pPr>
              <w:spacing w:line="240" w:lineRule="auto"/>
              <w:jc w:val="center"/>
            </w:pPr>
            <w:r w:rsidRPr="004E4C63">
              <w:t>-0.00221</w:t>
            </w:r>
          </w:p>
        </w:tc>
        <w:tc>
          <w:tcPr>
            <w:tcW w:w="1736" w:type="dxa"/>
            <w:tcBorders>
              <w:top w:val="nil"/>
              <w:left w:val="nil"/>
              <w:bottom w:val="nil"/>
              <w:right w:val="nil"/>
            </w:tcBorders>
          </w:tcPr>
          <w:p w14:paraId="1E1DDBEA" w14:textId="77777777" w:rsidR="00352401" w:rsidRPr="004E4C63" w:rsidRDefault="00352401" w:rsidP="00352401">
            <w:pPr>
              <w:spacing w:line="240" w:lineRule="auto"/>
              <w:jc w:val="center"/>
            </w:pPr>
            <w:r w:rsidRPr="004E4C63">
              <w:t>-0.00222*</w:t>
            </w:r>
          </w:p>
        </w:tc>
      </w:tr>
      <w:tr w:rsidR="00352401" w:rsidRPr="003935C0" w14:paraId="574D9571" w14:textId="77777777" w:rsidTr="00522D7D">
        <w:trPr>
          <w:trHeight w:val="195"/>
        </w:trPr>
        <w:tc>
          <w:tcPr>
            <w:tcW w:w="7088" w:type="dxa"/>
            <w:tcBorders>
              <w:top w:val="nil"/>
              <w:left w:val="nil"/>
              <w:bottom w:val="nil"/>
              <w:right w:val="nil"/>
            </w:tcBorders>
          </w:tcPr>
          <w:p w14:paraId="271094F6"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422F7B82" w14:textId="77777777" w:rsidR="00352401" w:rsidRPr="004E4C63" w:rsidRDefault="00352401" w:rsidP="00352401">
            <w:pPr>
              <w:spacing w:line="240" w:lineRule="auto"/>
              <w:jc w:val="center"/>
            </w:pPr>
          </w:p>
        </w:tc>
        <w:tc>
          <w:tcPr>
            <w:tcW w:w="1984" w:type="dxa"/>
            <w:tcBorders>
              <w:top w:val="nil"/>
              <w:left w:val="nil"/>
              <w:bottom w:val="nil"/>
              <w:right w:val="nil"/>
            </w:tcBorders>
          </w:tcPr>
          <w:p w14:paraId="32A1F169" w14:textId="77777777" w:rsidR="00352401" w:rsidRPr="004E4C63" w:rsidRDefault="00352401" w:rsidP="00352401">
            <w:pPr>
              <w:spacing w:line="240" w:lineRule="auto"/>
              <w:jc w:val="center"/>
            </w:pPr>
            <w:r w:rsidRPr="004E4C63">
              <w:t>(0.00126)</w:t>
            </w:r>
          </w:p>
        </w:tc>
        <w:tc>
          <w:tcPr>
            <w:tcW w:w="1817" w:type="dxa"/>
            <w:tcBorders>
              <w:top w:val="nil"/>
              <w:left w:val="nil"/>
              <w:bottom w:val="nil"/>
              <w:right w:val="nil"/>
            </w:tcBorders>
          </w:tcPr>
          <w:p w14:paraId="09B7120E" w14:textId="77777777" w:rsidR="00352401" w:rsidRPr="004E4C63" w:rsidRDefault="00352401" w:rsidP="00352401">
            <w:pPr>
              <w:spacing w:line="240" w:lineRule="auto"/>
              <w:jc w:val="center"/>
            </w:pPr>
            <w:r w:rsidRPr="004E4C63">
              <w:t>(0.00138)</w:t>
            </w:r>
          </w:p>
        </w:tc>
        <w:tc>
          <w:tcPr>
            <w:tcW w:w="1736" w:type="dxa"/>
            <w:tcBorders>
              <w:top w:val="nil"/>
              <w:left w:val="nil"/>
              <w:bottom w:val="nil"/>
              <w:right w:val="nil"/>
            </w:tcBorders>
          </w:tcPr>
          <w:p w14:paraId="4F3C4C72" w14:textId="77777777" w:rsidR="00352401" w:rsidRPr="004E4C63" w:rsidRDefault="00352401" w:rsidP="00352401">
            <w:pPr>
              <w:spacing w:line="240" w:lineRule="auto"/>
              <w:jc w:val="center"/>
            </w:pPr>
            <w:r w:rsidRPr="004E4C63">
              <w:t>(0.00128)</w:t>
            </w:r>
          </w:p>
        </w:tc>
      </w:tr>
      <w:tr w:rsidR="00352401" w:rsidRPr="003935C0" w14:paraId="3B55869A" w14:textId="77777777" w:rsidTr="00522D7D">
        <w:trPr>
          <w:trHeight w:val="195"/>
        </w:trPr>
        <w:tc>
          <w:tcPr>
            <w:tcW w:w="7088" w:type="dxa"/>
            <w:tcBorders>
              <w:top w:val="nil"/>
              <w:left w:val="nil"/>
              <w:bottom w:val="nil"/>
              <w:right w:val="nil"/>
            </w:tcBorders>
          </w:tcPr>
          <w:p w14:paraId="566AFCB2"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r w:rsidRPr="003935C0">
              <w:rPr>
                <w:rFonts w:eastAsia="Calibri"/>
                <w:szCs w:val="20"/>
                <w:lang w:val="en-US" w:eastAsia="en-US"/>
              </w:rPr>
              <w:t>S&amp;P Global Clean Energy Sensitivity on Sentiment</w:t>
            </w:r>
          </w:p>
        </w:tc>
        <w:tc>
          <w:tcPr>
            <w:tcW w:w="1843" w:type="dxa"/>
            <w:tcBorders>
              <w:top w:val="nil"/>
              <w:left w:val="nil"/>
              <w:bottom w:val="nil"/>
              <w:right w:val="nil"/>
            </w:tcBorders>
          </w:tcPr>
          <w:p w14:paraId="616D210A" w14:textId="77777777" w:rsidR="00352401" w:rsidRPr="004E4C63" w:rsidRDefault="00352401" w:rsidP="00352401">
            <w:pPr>
              <w:spacing w:line="240" w:lineRule="auto"/>
              <w:jc w:val="center"/>
            </w:pPr>
          </w:p>
        </w:tc>
        <w:tc>
          <w:tcPr>
            <w:tcW w:w="1984" w:type="dxa"/>
            <w:tcBorders>
              <w:top w:val="nil"/>
              <w:left w:val="nil"/>
              <w:bottom w:val="nil"/>
              <w:right w:val="nil"/>
            </w:tcBorders>
          </w:tcPr>
          <w:p w14:paraId="32995772" w14:textId="77777777" w:rsidR="00352401" w:rsidRPr="004E4C63" w:rsidRDefault="00352401" w:rsidP="00352401">
            <w:pPr>
              <w:spacing w:line="240" w:lineRule="auto"/>
              <w:jc w:val="center"/>
            </w:pPr>
          </w:p>
        </w:tc>
        <w:tc>
          <w:tcPr>
            <w:tcW w:w="1817" w:type="dxa"/>
            <w:tcBorders>
              <w:top w:val="nil"/>
              <w:left w:val="nil"/>
              <w:bottom w:val="nil"/>
              <w:right w:val="nil"/>
            </w:tcBorders>
          </w:tcPr>
          <w:p w14:paraId="3FBC8FF3" w14:textId="77777777" w:rsidR="00352401" w:rsidRPr="004E4C63" w:rsidRDefault="00352401" w:rsidP="00352401">
            <w:pPr>
              <w:spacing w:line="240" w:lineRule="auto"/>
              <w:jc w:val="center"/>
            </w:pPr>
            <w:r w:rsidRPr="004E4C63">
              <w:t>0.697</w:t>
            </w:r>
          </w:p>
        </w:tc>
        <w:tc>
          <w:tcPr>
            <w:tcW w:w="1736" w:type="dxa"/>
            <w:tcBorders>
              <w:top w:val="nil"/>
              <w:left w:val="nil"/>
              <w:bottom w:val="nil"/>
              <w:right w:val="nil"/>
            </w:tcBorders>
          </w:tcPr>
          <w:p w14:paraId="3FEB2775" w14:textId="77777777" w:rsidR="00352401" w:rsidRPr="004E4C63" w:rsidRDefault="00352401" w:rsidP="00352401">
            <w:pPr>
              <w:spacing w:line="240" w:lineRule="auto"/>
              <w:jc w:val="center"/>
            </w:pPr>
            <w:r w:rsidRPr="004E4C63">
              <w:t>0.289</w:t>
            </w:r>
          </w:p>
        </w:tc>
      </w:tr>
      <w:tr w:rsidR="00352401" w:rsidRPr="003935C0" w14:paraId="1FFE9BB9" w14:textId="77777777" w:rsidTr="00522D7D">
        <w:trPr>
          <w:trHeight w:val="195"/>
        </w:trPr>
        <w:tc>
          <w:tcPr>
            <w:tcW w:w="7088" w:type="dxa"/>
            <w:tcBorders>
              <w:top w:val="nil"/>
              <w:left w:val="nil"/>
              <w:bottom w:val="nil"/>
              <w:right w:val="nil"/>
            </w:tcBorders>
          </w:tcPr>
          <w:p w14:paraId="5B198647"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7D4144CE" w14:textId="77777777" w:rsidR="00352401" w:rsidRPr="004E4C63" w:rsidRDefault="00352401" w:rsidP="00352401">
            <w:pPr>
              <w:spacing w:line="240" w:lineRule="auto"/>
              <w:jc w:val="center"/>
            </w:pPr>
          </w:p>
        </w:tc>
        <w:tc>
          <w:tcPr>
            <w:tcW w:w="1984" w:type="dxa"/>
            <w:tcBorders>
              <w:top w:val="nil"/>
              <w:left w:val="nil"/>
              <w:bottom w:val="nil"/>
              <w:right w:val="nil"/>
            </w:tcBorders>
          </w:tcPr>
          <w:p w14:paraId="4BF98C12" w14:textId="77777777" w:rsidR="00352401" w:rsidRPr="004E4C63" w:rsidRDefault="00352401" w:rsidP="00352401">
            <w:pPr>
              <w:spacing w:line="240" w:lineRule="auto"/>
              <w:jc w:val="center"/>
            </w:pPr>
          </w:p>
        </w:tc>
        <w:tc>
          <w:tcPr>
            <w:tcW w:w="1817" w:type="dxa"/>
            <w:tcBorders>
              <w:top w:val="nil"/>
              <w:left w:val="nil"/>
              <w:bottom w:val="nil"/>
              <w:right w:val="nil"/>
            </w:tcBorders>
          </w:tcPr>
          <w:p w14:paraId="3F7F647B" w14:textId="77777777" w:rsidR="00352401" w:rsidRPr="004E4C63" w:rsidRDefault="00352401" w:rsidP="00352401">
            <w:pPr>
              <w:spacing w:line="240" w:lineRule="auto"/>
              <w:jc w:val="center"/>
            </w:pPr>
            <w:r w:rsidRPr="004E4C63">
              <w:t>(0.796)</w:t>
            </w:r>
          </w:p>
        </w:tc>
        <w:tc>
          <w:tcPr>
            <w:tcW w:w="1736" w:type="dxa"/>
            <w:tcBorders>
              <w:top w:val="nil"/>
              <w:left w:val="nil"/>
              <w:bottom w:val="nil"/>
              <w:right w:val="nil"/>
            </w:tcBorders>
          </w:tcPr>
          <w:p w14:paraId="153EA9A3" w14:textId="77777777" w:rsidR="00352401" w:rsidRPr="004E4C63" w:rsidRDefault="00352401" w:rsidP="00352401">
            <w:pPr>
              <w:spacing w:line="240" w:lineRule="auto"/>
              <w:jc w:val="center"/>
            </w:pPr>
            <w:r w:rsidRPr="004E4C63">
              <w:t>(0.807)</w:t>
            </w:r>
          </w:p>
        </w:tc>
      </w:tr>
      <w:tr w:rsidR="00352401" w:rsidRPr="003935C0" w14:paraId="731793F0" w14:textId="77777777" w:rsidTr="00522D7D">
        <w:trPr>
          <w:trHeight w:val="217"/>
        </w:trPr>
        <w:tc>
          <w:tcPr>
            <w:tcW w:w="7088" w:type="dxa"/>
            <w:tcBorders>
              <w:top w:val="nil"/>
              <w:left w:val="nil"/>
              <w:bottom w:val="nil"/>
              <w:right w:val="nil"/>
            </w:tcBorders>
          </w:tcPr>
          <w:p w14:paraId="05A8C2F4"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r w:rsidRPr="003935C0">
              <w:rPr>
                <w:rFonts w:eastAsia="Calibri" w:cs="Arial"/>
                <w:szCs w:val="20"/>
                <w:lang w:val="en-US" w:eastAsia="en-US"/>
              </w:rPr>
              <w:t xml:space="preserve">Sentiment RTN * </w:t>
            </w:r>
            <w:r w:rsidRPr="003935C0">
              <w:rPr>
                <w:rFonts w:eastAsia="Calibri"/>
                <w:szCs w:val="20"/>
                <w:lang w:val="en-US" w:eastAsia="en-US"/>
              </w:rPr>
              <w:t>S&amp;P Global Clean Energy Sensitivity on Sentiment</w:t>
            </w:r>
          </w:p>
        </w:tc>
        <w:tc>
          <w:tcPr>
            <w:tcW w:w="1843" w:type="dxa"/>
            <w:tcBorders>
              <w:top w:val="nil"/>
              <w:left w:val="nil"/>
              <w:bottom w:val="nil"/>
              <w:right w:val="nil"/>
            </w:tcBorders>
          </w:tcPr>
          <w:p w14:paraId="364BCDB4" w14:textId="77777777" w:rsidR="00352401" w:rsidRPr="004E4C63" w:rsidRDefault="00352401" w:rsidP="00352401">
            <w:pPr>
              <w:spacing w:line="240" w:lineRule="auto"/>
              <w:jc w:val="center"/>
            </w:pPr>
          </w:p>
        </w:tc>
        <w:tc>
          <w:tcPr>
            <w:tcW w:w="1984" w:type="dxa"/>
            <w:tcBorders>
              <w:top w:val="nil"/>
              <w:left w:val="nil"/>
              <w:bottom w:val="nil"/>
              <w:right w:val="nil"/>
            </w:tcBorders>
          </w:tcPr>
          <w:p w14:paraId="151F3BAC" w14:textId="77777777" w:rsidR="00352401" w:rsidRPr="004E4C63" w:rsidRDefault="00352401" w:rsidP="00352401">
            <w:pPr>
              <w:spacing w:line="240" w:lineRule="auto"/>
              <w:jc w:val="center"/>
            </w:pPr>
          </w:p>
        </w:tc>
        <w:tc>
          <w:tcPr>
            <w:tcW w:w="1817" w:type="dxa"/>
            <w:tcBorders>
              <w:top w:val="nil"/>
              <w:left w:val="nil"/>
              <w:bottom w:val="nil"/>
              <w:right w:val="nil"/>
            </w:tcBorders>
          </w:tcPr>
          <w:p w14:paraId="6A4101AF" w14:textId="77777777" w:rsidR="00352401" w:rsidRPr="004E4C63" w:rsidRDefault="00352401" w:rsidP="00352401">
            <w:pPr>
              <w:spacing w:line="240" w:lineRule="auto"/>
              <w:jc w:val="center"/>
            </w:pPr>
            <w:r w:rsidRPr="004E4C63">
              <w:t>7.394**</w:t>
            </w:r>
          </w:p>
        </w:tc>
        <w:tc>
          <w:tcPr>
            <w:tcW w:w="1736" w:type="dxa"/>
            <w:tcBorders>
              <w:top w:val="nil"/>
              <w:left w:val="nil"/>
              <w:bottom w:val="nil"/>
              <w:right w:val="nil"/>
            </w:tcBorders>
          </w:tcPr>
          <w:p w14:paraId="5AEA8C5C" w14:textId="77777777" w:rsidR="00352401" w:rsidRPr="004E4C63" w:rsidRDefault="00352401" w:rsidP="00352401">
            <w:pPr>
              <w:spacing w:line="240" w:lineRule="auto"/>
              <w:jc w:val="center"/>
            </w:pPr>
            <w:r w:rsidRPr="004E4C63">
              <w:t>7.656***</w:t>
            </w:r>
          </w:p>
        </w:tc>
      </w:tr>
      <w:tr w:rsidR="00352401" w:rsidRPr="003935C0" w14:paraId="41F4BF28" w14:textId="77777777" w:rsidTr="00522D7D">
        <w:trPr>
          <w:trHeight w:val="195"/>
        </w:trPr>
        <w:tc>
          <w:tcPr>
            <w:tcW w:w="7088" w:type="dxa"/>
            <w:tcBorders>
              <w:top w:val="nil"/>
              <w:left w:val="nil"/>
              <w:bottom w:val="nil"/>
              <w:right w:val="nil"/>
            </w:tcBorders>
          </w:tcPr>
          <w:p w14:paraId="6A935B51"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32231974" w14:textId="77777777" w:rsidR="00352401" w:rsidRPr="004E4C63" w:rsidRDefault="00352401" w:rsidP="00352401">
            <w:pPr>
              <w:spacing w:line="240" w:lineRule="auto"/>
              <w:jc w:val="center"/>
            </w:pPr>
          </w:p>
        </w:tc>
        <w:tc>
          <w:tcPr>
            <w:tcW w:w="1984" w:type="dxa"/>
            <w:tcBorders>
              <w:top w:val="nil"/>
              <w:left w:val="nil"/>
              <w:bottom w:val="nil"/>
              <w:right w:val="nil"/>
            </w:tcBorders>
          </w:tcPr>
          <w:p w14:paraId="0794479E" w14:textId="77777777" w:rsidR="00352401" w:rsidRPr="004E4C63" w:rsidRDefault="00352401" w:rsidP="00352401">
            <w:pPr>
              <w:spacing w:line="240" w:lineRule="auto"/>
              <w:jc w:val="center"/>
            </w:pPr>
          </w:p>
        </w:tc>
        <w:tc>
          <w:tcPr>
            <w:tcW w:w="1817" w:type="dxa"/>
            <w:tcBorders>
              <w:top w:val="nil"/>
              <w:left w:val="nil"/>
              <w:bottom w:val="nil"/>
              <w:right w:val="nil"/>
            </w:tcBorders>
          </w:tcPr>
          <w:p w14:paraId="5E8C2F05" w14:textId="77777777" w:rsidR="00352401" w:rsidRPr="004E4C63" w:rsidRDefault="00352401" w:rsidP="00352401">
            <w:pPr>
              <w:spacing w:line="240" w:lineRule="auto"/>
              <w:jc w:val="center"/>
            </w:pPr>
            <w:r w:rsidRPr="004E4C63">
              <w:t>(2.982)</w:t>
            </w:r>
          </w:p>
        </w:tc>
        <w:tc>
          <w:tcPr>
            <w:tcW w:w="1736" w:type="dxa"/>
            <w:tcBorders>
              <w:top w:val="nil"/>
              <w:left w:val="nil"/>
              <w:bottom w:val="nil"/>
              <w:right w:val="nil"/>
            </w:tcBorders>
          </w:tcPr>
          <w:p w14:paraId="42F4BC9E" w14:textId="77777777" w:rsidR="00352401" w:rsidRPr="004E4C63" w:rsidRDefault="00352401" w:rsidP="00352401">
            <w:pPr>
              <w:spacing w:line="240" w:lineRule="auto"/>
              <w:jc w:val="center"/>
            </w:pPr>
            <w:r w:rsidRPr="004E4C63">
              <w:t>(2.932)</w:t>
            </w:r>
          </w:p>
        </w:tc>
      </w:tr>
      <w:tr w:rsidR="00352401" w:rsidRPr="003935C0" w14:paraId="09550FD0" w14:textId="77777777" w:rsidTr="00522D7D">
        <w:trPr>
          <w:trHeight w:val="87"/>
        </w:trPr>
        <w:tc>
          <w:tcPr>
            <w:tcW w:w="7088" w:type="dxa"/>
            <w:tcBorders>
              <w:top w:val="nil"/>
              <w:left w:val="nil"/>
              <w:bottom w:val="nil"/>
              <w:right w:val="nil"/>
            </w:tcBorders>
          </w:tcPr>
          <w:p w14:paraId="65563F7D"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r w:rsidRPr="003935C0">
              <w:rPr>
                <w:rFonts w:eastAsia="Calibri"/>
                <w:szCs w:val="20"/>
                <w:lang w:val="en-US" w:eastAsia="en-US"/>
              </w:rPr>
              <w:t>MSCI World Bank Sensitivity on Sentiment</w:t>
            </w:r>
          </w:p>
        </w:tc>
        <w:tc>
          <w:tcPr>
            <w:tcW w:w="1843" w:type="dxa"/>
            <w:tcBorders>
              <w:top w:val="nil"/>
              <w:left w:val="nil"/>
              <w:bottom w:val="nil"/>
              <w:right w:val="nil"/>
            </w:tcBorders>
          </w:tcPr>
          <w:p w14:paraId="38CE9612" w14:textId="77777777" w:rsidR="00352401" w:rsidRPr="004E4C63" w:rsidRDefault="00352401" w:rsidP="00352401">
            <w:pPr>
              <w:spacing w:line="240" w:lineRule="auto"/>
              <w:jc w:val="center"/>
            </w:pPr>
          </w:p>
        </w:tc>
        <w:tc>
          <w:tcPr>
            <w:tcW w:w="1984" w:type="dxa"/>
            <w:tcBorders>
              <w:top w:val="nil"/>
              <w:left w:val="nil"/>
              <w:bottom w:val="nil"/>
              <w:right w:val="nil"/>
            </w:tcBorders>
          </w:tcPr>
          <w:p w14:paraId="68600D73" w14:textId="77777777" w:rsidR="00352401" w:rsidRPr="004E4C63" w:rsidRDefault="00352401" w:rsidP="00352401">
            <w:pPr>
              <w:spacing w:line="240" w:lineRule="auto"/>
              <w:jc w:val="center"/>
            </w:pPr>
          </w:p>
        </w:tc>
        <w:tc>
          <w:tcPr>
            <w:tcW w:w="1817" w:type="dxa"/>
            <w:tcBorders>
              <w:top w:val="nil"/>
              <w:left w:val="nil"/>
              <w:bottom w:val="nil"/>
              <w:right w:val="nil"/>
            </w:tcBorders>
          </w:tcPr>
          <w:p w14:paraId="47F0D79C" w14:textId="77777777" w:rsidR="00352401" w:rsidRPr="004E4C63" w:rsidRDefault="00352401" w:rsidP="00352401">
            <w:pPr>
              <w:spacing w:line="240" w:lineRule="auto"/>
              <w:jc w:val="center"/>
            </w:pPr>
          </w:p>
        </w:tc>
        <w:tc>
          <w:tcPr>
            <w:tcW w:w="1736" w:type="dxa"/>
            <w:tcBorders>
              <w:top w:val="nil"/>
              <w:left w:val="nil"/>
              <w:bottom w:val="nil"/>
              <w:right w:val="nil"/>
            </w:tcBorders>
          </w:tcPr>
          <w:p w14:paraId="7D8C458C" w14:textId="77777777" w:rsidR="00352401" w:rsidRPr="004E4C63" w:rsidRDefault="00352401" w:rsidP="00352401">
            <w:pPr>
              <w:spacing w:line="240" w:lineRule="auto"/>
              <w:jc w:val="center"/>
            </w:pPr>
            <w:r w:rsidRPr="004E4C63">
              <w:t>-5.165**</w:t>
            </w:r>
          </w:p>
        </w:tc>
      </w:tr>
      <w:tr w:rsidR="00352401" w:rsidRPr="003935C0" w14:paraId="05B20071" w14:textId="77777777" w:rsidTr="00522D7D">
        <w:trPr>
          <w:trHeight w:val="195"/>
        </w:trPr>
        <w:tc>
          <w:tcPr>
            <w:tcW w:w="7088" w:type="dxa"/>
            <w:tcBorders>
              <w:top w:val="nil"/>
              <w:left w:val="nil"/>
              <w:bottom w:val="nil"/>
              <w:right w:val="nil"/>
            </w:tcBorders>
          </w:tcPr>
          <w:p w14:paraId="1F4C4D18"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4D3663D7" w14:textId="77777777" w:rsidR="00352401" w:rsidRPr="004E4C63" w:rsidRDefault="00352401" w:rsidP="00352401">
            <w:pPr>
              <w:spacing w:line="240" w:lineRule="auto"/>
              <w:jc w:val="center"/>
            </w:pPr>
          </w:p>
        </w:tc>
        <w:tc>
          <w:tcPr>
            <w:tcW w:w="1984" w:type="dxa"/>
            <w:tcBorders>
              <w:top w:val="nil"/>
              <w:left w:val="nil"/>
              <w:bottom w:val="nil"/>
              <w:right w:val="nil"/>
            </w:tcBorders>
          </w:tcPr>
          <w:p w14:paraId="3AA10BF1" w14:textId="77777777" w:rsidR="00352401" w:rsidRPr="004E4C63" w:rsidRDefault="00352401" w:rsidP="00352401">
            <w:pPr>
              <w:spacing w:line="240" w:lineRule="auto"/>
              <w:jc w:val="center"/>
            </w:pPr>
          </w:p>
        </w:tc>
        <w:tc>
          <w:tcPr>
            <w:tcW w:w="1817" w:type="dxa"/>
            <w:tcBorders>
              <w:top w:val="nil"/>
              <w:left w:val="nil"/>
              <w:bottom w:val="nil"/>
              <w:right w:val="nil"/>
            </w:tcBorders>
          </w:tcPr>
          <w:p w14:paraId="4F53F86A" w14:textId="77777777" w:rsidR="00352401" w:rsidRPr="004E4C63" w:rsidRDefault="00352401" w:rsidP="00352401">
            <w:pPr>
              <w:spacing w:line="240" w:lineRule="auto"/>
              <w:jc w:val="center"/>
            </w:pPr>
          </w:p>
        </w:tc>
        <w:tc>
          <w:tcPr>
            <w:tcW w:w="1736" w:type="dxa"/>
            <w:tcBorders>
              <w:top w:val="nil"/>
              <w:left w:val="nil"/>
              <w:bottom w:val="nil"/>
              <w:right w:val="nil"/>
            </w:tcBorders>
          </w:tcPr>
          <w:p w14:paraId="636DC882" w14:textId="77777777" w:rsidR="00352401" w:rsidRPr="004E4C63" w:rsidRDefault="00352401" w:rsidP="00352401">
            <w:pPr>
              <w:spacing w:line="240" w:lineRule="auto"/>
              <w:jc w:val="center"/>
            </w:pPr>
            <w:r w:rsidRPr="004E4C63">
              <w:t>(2.535)</w:t>
            </w:r>
          </w:p>
        </w:tc>
      </w:tr>
      <w:tr w:rsidR="00352401" w:rsidRPr="003935C0" w14:paraId="004D55DC" w14:textId="77777777" w:rsidTr="00522D7D">
        <w:trPr>
          <w:trHeight w:val="87"/>
        </w:trPr>
        <w:tc>
          <w:tcPr>
            <w:tcW w:w="7088" w:type="dxa"/>
            <w:tcBorders>
              <w:top w:val="nil"/>
              <w:left w:val="nil"/>
              <w:bottom w:val="nil"/>
              <w:right w:val="nil"/>
            </w:tcBorders>
          </w:tcPr>
          <w:p w14:paraId="18C7A108" w14:textId="77777777" w:rsidR="00352401" w:rsidRPr="003935C0" w:rsidRDefault="00352401" w:rsidP="00352401">
            <w:pPr>
              <w:widowControl w:val="0"/>
              <w:autoSpaceDE w:val="0"/>
              <w:autoSpaceDN w:val="0"/>
              <w:adjustRightInd w:val="0"/>
              <w:spacing w:line="240" w:lineRule="auto"/>
              <w:jc w:val="left"/>
              <w:rPr>
                <w:rFonts w:eastAsia="Calibri"/>
                <w:szCs w:val="20"/>
                <w:lang w:val="en-US" w:eastAsia="en-US"/>
              </w:rPr>
            </w:pPr>
            <w:r w:rsidRPr="003935C0">
              <w:rPr>
                <w:rFonts w:eastAsia="Calibri" w:cs="Arial"/>
                <w:szCs w:val="20"/>
                <w:lang w:val="en-US" w:eastAsia="en-US"/>
              </w:rPr>
              <w:t xml:space="preserve">Sentiment RTN * </w:t>
            </w:r>
            <w:r w:rsidRPr="003935C0">
              <w:rPr>
                <w:rFonts w:eastAsia="Calibri"/>
                <w:szCs w:val="20"/>
                <w:lang w:val="en-US" w:eastAsia="en-US"/>
              </w:rPr>
              <w:t xml:space="preserve">MSCI World Bank Sensitivity on Sentiment </w:t>
            </w:r>
          </w:p>
        </w:tc>
        <w:tc>
          <w:tcPr>
            <w:tcW w:w="1843" w:type="dxa"/>
            <w:tcBorders>
              <w:top w:val="nil"/>
              <w:left w:val="nil"/>
              <w:bottom w:val="nil"/>
              <w:right w:val="nil"/>
            </w:tcBorders>
          </w:tcPr>
          <w:p w14:paraId="3D79694D" w14:textId="77777777" w:rsidR="00352401" w:rsidRPr="004E4C63" w:rsidRDefault="00352401" w:rsidP="00352401">
            <w:pPr>
              <w:spacing w:line="240" w:lineRule="auto"/>
              <w:jc w:val="center"/>
            </w:pPr>
          </w:p>
        </w:tc>
        <w:tc>
          <w:tcPr>
            <w:tcW w:w="1984" w:type="dxa"/>
            <w:tcBorders>
              <w:top w:val="nil"/>
              <w:left w:val="nil"/>
              <w:bottom w:val="nil"/>
              <w:right w:val="nil"/>
            </w:tcBorders>
          </w:tcPr>
          <w:p w14:paraId="75C98E0E" w14:textId="77777777" w:rsidR="00352401" w:rsidRPr="004E4C63" w:rsidRDefault="00352401" w:rsidP="00352401">
            <w:pPr>
              <w:spacing w:line="240" w:lineRule="auto"/>
              <w:jc w:val="center"/>
            </w:pPr>
          </w:p>
        </w:tc>
        <w:tc>
          <w:tcPr>
            <w:tcW w:w="1817" w:type="dxa"/>
            <w:tcBorders>
              <w:top w:val="nil"/>
              <w:left w:val="nil"/>
              <w:bottom w:val="nil"/>
              <w:right w:val="nil"/>
            </w:tcBorders>
          </w:tcPr>
          <w:p w14:paraId="505B9C2E" w14:textId="77777777" w:rsidR="00352401" w:rsidRPr="004E4C63" w:rsidRDefault="00352401" w:rsidP="00352401">
            <w:pPr>
              <w:spacing w:line="240" w:lineRule="auto"/>
              <w:jc w:val="center"/>
            </w:pPr>
          </w:p>
        </w:tc>
        <w:tc>
          <w:tcPr>
            <w:tcW w:w="1736" w:type="dxa"/>
            <w:tcBorders>
              <w:top w:val="nil"/>
              <w:left w:val="nil"/>
              <w:bottom w:val="nil"/>
              <w:right w:val="nil"/>
            </w:tcBorders>
          </w:tcPr>
          <w:p w14:paraId="65837C88" w14:textId="77777777" w:rsidR="00352401" w:rsidRPr="004E4C63" w:rsidRDefault="00352401" w:rsidP="00352401">
            <w:pPr>
              <w:spacing w:line="240" w:lineRule="auto"/>
              <w:jc w:val="center"/>
            </w:pPr>
            <w:r w:rsidRPr="004E4C63">
              <w:t>-0.860</w:t>
            </w:r>
          </w:p>
        </w:tc>
      </w:tr>
      <w:tr w:rsidR="00352401" w:rsidRPr="003935C0" w14:paraId="727A2ABE" w14:textId="77777777" w:rsidTr="00522D7D">
        <w:trPr>
          <w:trHeight w:val="87"/>
        </w:trPr>
        <w:tc>
          <w:tcPr>
            <w:tcW w:w="7088" w:type="dxa"/>
            <w:tcBorders>
              <w:top w:val="nil"/>
              <w:left w:val="nil"/>
              <w:bottom w:val="nil"/>
              <w:right w:val="nil"/>
            </w:tcBorders>
          </w:tcPr>
          <w:p w14:paraId="31E39457"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02BEA906" w14:textId="77777777" w:rsidR="00352401" w:rsidRPr="004E4C63" w:rsidRDefault="00352401" w:rsidP="00352401">
            <w:pPr>
              <w:spacing w:line="240" w:lineRule="auto"/>
              <w:jc w:val="center"/>
            </w:pPr>
          </w:p>
        </w:tc>
        <w:tc>
          <w:tcPr>
            <w:tcW w:w="1984" w:type="dxa"/>
            <w:tcBorders>
              <w:top w:val="nil"/>
              <w:left w:val="nil"/>
              <w:bottom w:val="nil"/>
              <w:right w:val="nil"/>
            </w:tcBorders>
          </w:tcPr>
          <w:p w14:paraId="6766FDC1" w14:textId="77777777" w:rsidR="00352401" w:rsidRPr="004E4C63" w:rsidRDefault="00352401" w:rsidP="00352401">
            <w:pPr>
              <w:spacing w:line="240" w:lineRule="auto"/>
              <w:jc w:val="center"/>
            </w:pPr>
          </w:p>
        </w:tc>
        <w:tc>
          <w:tcPr>
            <w:tcW w:w="1817" w:type="dxa"/>
            <w:tcBorders>
              <w:top w:val="nil"/>
              <w:left w:val="nil"/>
              <w:bottom w:val="nil"/>
              <w:right w:val="nil"/>
            </w:tcBorders>
          </w:tcPr>
          <w:p w14:paraId="7521C641" w14:textId="77777777" w:rsidR="00352401" w:rsidRPr="004E4C63" w:rsidRDefault="00352401" w:rsidP="00352401">
            <w:pPr>
              <w:spacing w:line="240" w:lineRule="auto"/>
              <w:jc w:val="center"/>
            </w:pPr>
          </w:p>
        </w:tc>
        <w:tc>
          <w:tcPr>
            <w:tcW w:w="1736" w:type="dxa"/>
            <w:tcBorders>
              <w:top w:val="nil"/>
              <w:left w:val="nil"/>
              <w:bottom w:val="nil"/>
              <w:right w:val="nil"/>
            </w:tcBorders>
          </w:tcPr>
          <w:p w14:paraId="2BBFA719" w14:textId="77777777" w:rsidR="00352401" w:rsidRPr="004E4C63" w:rsidRDefault="00352401" w:rsidP="00352401">
            <w:pPr>
              <w:spacing w:line="240" w:lineRule="auto"/>
              <w:jc w:val="center"/>
            </w:pPr>
            <w:r w:rsidRPr="004E4C63">
              <w:t>(9.552)</w:t>
            </w:r>
          </w:p>
        </w:tc>
      </w:tr>
      <w:tr w:rsidR="00352401" w:rsidRPr="003935C0" w14:paraId="0C94E523" w14:textId="77777777" w:rsidTr="00522D7D">
        <w:trPr>
          <w:trHeight w:val="195"/>
        </w:trPr>
        <w:tc>
          <w:tcPr>
            <w:tcW w:w="7088" w:type="dxa"/>
            <w:tcBorders>
              <w:top w:val="nil"/>
              <w:left w:val="nil"/>
              <w:bottom w:val="nil"/>
              <w:right w:val="nil"/>
            </w:tcBorders>
          </w:tcPr>
          <w:p w14:paraId="53C6B1DC"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Constant</w:t>
            </w:r>
          </w:p>
        </w:tc>
        <w:tc>
          <w:tcPr>
            <w:tcW w:w="1843" w:type="dxa"/>
            <w:tcBorders>
              <w:top w:val="nil"/>
              <w:left w:val="nil"/>
              <w:bottom w:val="nil"/>
              <w:right w:val="nil"/>
            </w:tcBorders>
          </w:tcPr>
          <w:p w14:paraId="08A22210" w14:textId="77777777" w:rsidR="00352401" w:rsidRPr="004E4C63" w:rsidRDefault="00352401" w:rsidP="00352401">
            <w:pPr>
              <w:spacing w:line="240" w:lineRule="auto"/>
              <w:jc w:val="center"/>
            </w:pPr>
            <w:r w:rsidRPr="004E4C63">
              <w:t>0.0291*</w:t>
            </w:r>
          </w:p>
        </w:tc>
        <w:tc>
          <w:tcPr>
            <w:tcW w:w="1984" w:type="dxa"/>
            <w:tcBorders>
              <w:top w:val="nil"/>
              <w:left w:val="nil"/>
              <w:bottom w:val="nil"/>
              <w:right w:val="nil"/>
            </w:tcBorders>
          </w:tcPr>
          <w:p w14:paraId="4F016AD2" w14:textId="77777777" w:rsidR="00352401" w:rsidRPr="004E4C63" w:rsidRDefault="00352401" w:rsidP="00352401">
            <w:pPr>
              <w:spacing w:line="240" w:lineRule="auto"/>
              <w:jc w:val="center"/>
            </w:pPr>
            <w:r w:rsidRPr="004E4C63">
              <w:t>0.0290*</w:t>
            </w:r>
          </w:p>
        </w:tc>
        <w:tc>
          <w:tcPr>
            <w:tcW w:w="1817" w:type="dxa"/>
            <w:tcBorders>
              <w:top w:val="nil"/>
              <w:left w:val="nil"/>
              <w:bottom w:val="nil"/>
              <w:right w:val="nil"/>
            </w:tcBorders>
          </w:tcPr>
          <w:p w14:paraId="046BDE2C" w14:textId="77777777" w:rsidR="00352401" w:rsidRPr="004E4C63" w:rsidRDefault="00352401" w:rsidP="00352401">
            <w:pPr>
              <w:spacing w:line="240" w:lineRule="auto"/>
              <w:jc w:val="center"/>
            </w:pPr>
            <w:r w:rsidRPr="004E4C63">
              <w:t>0.0263*</w:t>
            </w:r>
          </w:p>
        </w:tc>
        <w:tc>
          <w:tcPr>
            <w:tcW w:w="1736" w:type="dxa"/>
            <w:tcBorders>
              <w:top w:val="nil"/>
              <w:left w:val="nil"/>
              <w:bottom w:val="nil"/>
              <w:right w:val="nil"/>
            </w:tcBorders>
          </w:tcPr>
          <w:p w14:paraId="3936F655" w14:textId="77777777" w:rsidR="00352401" w:rsidRPr="004E4C63" w:rsidRDefault="00352401" w:rsidP="00352401">
            <w:pPr>
              <w:spacing w:line="240" w:lineRule="auto"/>
              <w:jc w:val="center"/>
            </w:pPr>
            <w:r w:rsidRPr="004E4C63">
              <w:t>0.0199</w:t>
            </w:r>
          </w:p>
        </w:tc>
      </w:tr>
      <w:tr w:rsidR="00352401" w:rsidRPr="003935C0" w14:paraId="2FF04E17" w14:textId="77777777" w:rsidTr="00522D7D">
        <w:trPr>
          <w:trHeight w:val="181"/>
        </w:trPr>
        <w:tc>
          <w:tcPr>
            <w:tcW w:w="7088" w:type="dxa"/>
            <w:tcBorders>
              <w:top w:val="nil"/>
              <w:left w:val="nil"/>
              <w:bottom w:val="single" w:sz="4" w:space="0" w:color="auto"/>
              <w:right w:val="nil"/>
            </w:tcBorders>
          </w:tcPr>
          <w:p w14:paraId="4727236A"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single" w:sz="4" w:space="0" w:color="auto"/>
              <w:right w:val="nil"/>
            </w:tcBorders>
          </w:tcPr>
          <w:p w14:paraId="43868016" w14:textId="77777777" w:rsidR="00352401" w:rsidRPr="004E4C63" w:rsidRDefault="00352401" w:rsidP="00352401">
            <w:pPr>
              <w:spacing w:line="240" w:lineRule="auto"/>
              <w:jc w:val="center"/>
            </w:pPr>
            <w:r w:rsidRPr="004E4C63">
              <w:t>(0.0160)</w:t>
            </w:r>
          </w:p>
        </w:tc>
        <w:tc>
          <w:tcPr>
            <w:tcW w:w="1984" w:type="dxa"/>
            <w:tcBorders>
              <w:top w:val="nil"/>
              <w:left w:val="nil"/>
              <w:bottom w:val="single" w:sz="4" w:space="0" w:color="auto"/>
              <w:right w:val="nil"/>
            </w:tcBorders>
          </w:tcPr>
          <w:p w14:paraId="19EC9905" w14:textId="77777777" w:rsidR="00352401" w:rsidRPr="004E4C63" w:rsidRDefault="00352401" w:rsidP="00352401">
            <w:pPr>
              <w:spacing w:line="240" w:lineRule="auto"/>
              <w:jc w:val="center"/>
            </w:pPr>
            <w:r w:rsidRPr="004E4C63">
              <w:t>(0.0161)</w:t>
            </w:r>
          </w:p>
        </w:tc>
        <w:tc>
          <w:tcPr>
            <w:tcW w:w="1817" w:type="dxa"/>
            <w:tcBorders>
              <w:top w:val="nil"/>
              <w:left w:val="nil"/>
              <w:bottom w:val="single" w:sz="4" w:space="0" w:color="auto"/>
              <w:right w:val="nil"/>
            </w:tcBorders>
          </w:tcPr>
          <w:p w14:paraId="24B7242B" w14:textId="77777777" w:rsidR="00352401" w:rsidRPr="004E4C63" w:rsidRDefault="00352401" w:rsidP="00352401">
            <w:pPr>
              <w:spacing w:line="240" w:lineRule="auto"/>
              <w:jc w:val="center"/>
            </w:pPr>
            <w:r w:rsidRPr="004E4C63">
              <w:t>(0.0158)</w:t>
            </w:r>
          </w:p>
        </w:tc>
        <w:tc>
          <w:tcPr>
            <w:tcW w:w="1736" w:type="dxa"/>
            <w:tcBorders>
              <w:top w:val="nil"/>
              <w:left w:val="nil"/>
              <w:bottom w:val="single" w:sz="4" w:space="0" w:color="auto"/>
              <w:right w:val="nil"/>
            </w:tcBorders>
          </w:tcPr>
          <w:p w14:paraId="20F346D0" w14:textId="77777777" w:rsidR="00352401" w:rsidRPr="004E4C63" w:rsidRDefault="00352401" w:rsidP="00352401">
            <w:pPr>
              <w:spacing w:line="240" w:lineRule="auto"/>
              <w:jc w:val="center"/>
            </w:pPr>
            <w:r w:rsidRPr="004E4C63">
              <w:t>(0.0160)</w:t>
            </w:r>
          </w:p>
        </w:tc>
      </w:tr>
      <w:tr w:rsidR="00352401" w:rsidRPr="003935C0" w14:paraId="52373062" w14:textId="77777777" w:rsidTr="00522D7D">
        <w:trPr>
          <w:trHeight w:val="195"/>
        </w:trPr>
        <w:tc>
          <w:tcPr>
            <w:tcW w:w="7088" w:type="dxa"/>
            <w:tcBorders>
              <w:top w:val="single" w:sz="4" w:space="0" w:color="auto"/>
              <w:left w:val="nil"/>
              <w:bottom w:val="nil"/>
              <w:right w:val="nil"/>
            </w:tcBorders>
          </w:tcPr>
          <w:p w14:paraId="30F0887F"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Observations</w:t>
            </w:r>
          </w:p>
        </w:tc>
        <w:tc>
          <w:tcPr>
            <w:tcW w:w="1843" w:type="dxa"/>
            <w:tcBorders>
              <w:top w:val="single" w:sz="4" w:space="0" w:color="auto"/>
              <w:left w:val="nil"/>
              <w:bottom w:val="nil"/>
              <w:right w:val="nil"/>
            </w:tcBorders>
          </w:tcPr>
          <w:p w14:paraId="16B13633" w14:textId="77777777" w:rsidR="00352401" w:rsidRPr="004E4C63" w:rsidRDefault="00352401" w:rsidP="00352401">
            <w:pPr>
              <w:spacing w:line="240" w:lineRule="auto"/>
              <w:jc w:val="center"/>
            </w:pPr>
            <w:r w:rsidRPr="004E4C63">
              <w:t>1063</w:t>
            </w:r>
          </w:p>
        </w:tc>
        <w:tc>
          <w:tcPr>
            <w:tcW w:w="1984" w:type="dxa"/>
            <w:tcBorders>
              <w:top w:val="single" w:sz="4" w:space="0" w:color="auto"/>
              <w:left w:val="nil"/>
              <w:bottom w:val="nil"/>
              <w:right w:val="nil"/>
            </w:tcBorders>
          </w:tcPr>
          <w:p w14:paraId="2778EFA3" w14:textId="77777777" w:rsidR="00352401" w:rsidRPr="004E4C63" w:rsidRDefault="00352401" w:rsidP="00352401">
            <w:pPr>
              <w:spacing w:line="240" w:lineRule="auto"/>
              <w:jc w:val="center"/>
            </w:pPr>
            <w:r w:rsidRPr="004E4C63">
              <w:t>1063</w:t>
            </w:r>
          </w:p>
        </w:tc>
        <w:tc>
          <w:tcPr>
            <w:tcW w:w="1817" w:type="dxa"/>
            <w:tcBorders>
              <w:top w:val="single" w:sz="4" w:space="0" w:color="auto"/>
              <w:left w:val="nil"/>
              <w:bottom w:val="nil"/>
              <w:right w:val="nil"/>
            </w:tcBorders>
          </w:tcPr>
          <w:p w14:paraId="658E0107" w14:textId="77777777" w:rsidR="00352401" w:rsidRPr="004E4C63" w:rsidRDefault="00352401" w:rsidP="00352401">
            <w:pPr>
              <w:spacing w:line="240" w:lineRule="auto"/>
              <w:jc w:val="center"/>
            </w:pPr>
            <w:r w:rsidRPr="004E4C63">
              <w:t>1063</w:t>
            </w:r>
          </w:p>
        </w:tc>
        <w:tc>
          <w:tcPr>
            <w:tcW w:w="1736" w:type="dxa"/>
            <w:tcBorders>
              <w:top w:val="single" w:sz="4" w:space="0" w:color="auto"/>
              <w:left w:val="nil"/>
              <w:bottom w:val="nil"/>
              <w:right w:val="nil"/>
            </w:tcBorders>
          </w:tcPr>
          <w:p w14:paraId="13CA47F5" w14:textId="77777777" w:rsidR="00352401" w:rsidRPr="004E4C63" w:rsidRDefault="00352401" w:rsidP="00352401">
            <w:pPr>
              <w:spacing w:line="240" w:lineRule="auto"/>
              <w:jc w:val="center"/>
            </w:pPr>
            <w:r w:rsidRPr="004E4C63">
              <w:t>1063</w:t>
            </w:r>
          </w:p>
        </w:tc>
      </w:tr>
      <w:tr w:rsidR="00352401" w:rsidRPr="003935C0" w14:paraId="2A0F26C2" w14:textId="77777777" w:rsidTr="00522D7D">
        <w:trPr>
          <w:trHeight w:val="181"/>
        </w:trPr>
        <w:tc>
          <w:tcPr>
            <w:tcW w:w="7088" w:type="dxa"/>
            <w:tcBorders>
              <w:top w:val="nil"/>
              <w:left w:val="nil"/>
              <w:bottom w:val="single" w:sz="4" w:space="0" w:color="auto"/>
              <w:right w:val="nil"/>
            </w:tcBorders>
          </w:tcPr>
          <w:p w14:paraId="2A480A27" w14:textId="77777777" w:rsidR="00352401" w:rsidRPr="003935C0" w:rsidRDefault="00352401" w:rsidP="00352401">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Adj. R-Square</w:t>
            </w:r>
          </w:p>
        </w:tc>
        <w:tc>
          <w:tcPr>
            <w:tcW w:w="1843" w:type="dxa"/>
            <w:tcBorders>
              <w:top w:val="nil"/>
              <w:left w:val="nil"/>
              <w:bottom w:val="single" w:sz="4" w:space="0" w:color="auto"/>
              <w:right w:val="nil"/>
            </w:tcBorders>
          </w:tcPr>
          <w:p w14:paraId="28BA38E2" w14:textId="77777777" w:rsidR="00352401" w:rsidRPr="004E4C63" w:rsidRDefault="00352401" w:rsidP="00352401">
            <w:pPr>
              <w:spacing w:line="240" w:lineRule="auto"/>
              <w:jc w:val="center"/>
            </w:pPr>
            <w:r w:rsidRPr="004E4C63">
              <w:t>0.00841</w:t>
            </w:r>
          </w:p>
        </w:tc>
        <w:tc>
          <w:tcPr>
            <w:tcW w:w="1984" w:type="dxa"/>
            <w:tcBorders>
              <w:top w:val="nil"/>
              <w:left w:val="nil"/>
              <w:bottom w:val="single" w:sz="4" w:space="0" w:color="auto"/>
              <w:right w:val="nil"/>
            </w:tcBorders>
          </w:tcPr>
          <w:p w14:paraId="0B251138" w14:textId="77777777" w:rsidR="00352401" w:rsidRPr="004E4C63" w:rsidRDefault="00352401" w:rsidP="00352401">
            <w:pPr>
              <w:spacing w:line="240" w:lineRule="auto"/>
              <w:jc w:val="center"/>
            </w:pPr>
            <w:r w:rsidRPr="004E4C63">
              <w:t>0.00694</w:t>
            </w:r>
          </w:p>
        </w:tc>
        <w:tc>
          <w:tcPr>
            <w:tcW w:w="1817" w:type="dxa"/>
            <w:tcBorders>
              <w:top w:val="nil"/>
              <w:left w:val="nil"/>
              <w:bottom w:val="single" w:sz="4" w:space="0" w:color="auto"/>
              <w:right w:val="nil"/>
            </w:tcBorders>
          </w:tcPr>
          <w:p w14:paraId="28124007" w14:textId="77777777" w:rsidR="00352401" w:rsidRPr="004E4C63" w:rsidRDefault="00352401" w:rsidP="00352401">
            <w:pPr>
              <w:spacing w:line="240" w:lineRule="auto"/>
              <w:jc w:val="center"/>
            </w:pPr>
            <w:r w:rsidRPr="004E4C63">
              <w:t>0.00975</w:t>
            </w:r>
          </w:p>
        </w:tc>
        <w:tc>
          <w:tcPr>
            <w:tcW w:w="1736" w:type="dxa"/>
            <w:tcBorders>
              <w:top w:val="nil"/>
              <w:left w:val="nil"/>
              <w:bottom w:val="single" w:sz="4" w:space="0" w:color="auto"/>
              <w:right w:val="nil"/>
            </w:tcBorders>
          </w:tcPr>
          <w:p w14:paraId="5F2F063C" w14:textId="77777777" w:rsidR="00352401" w:rsidRDefault="00352401" w:rsidP="00352401">
            <w:pPr>
              <w:spacing w:line="240" w:lineRule="auto"/>
              <w:jc w:val="center"/>
            </w:pPr>
            <w:r w:rsidRPr="004E4C63">
              <w:t>0.0122</w:t>
            </w:r>
          </w:p>
        </w:tc>
      </w:tr>
    </w:tbl>
    <w:p w14:paraId="224E96BA" w14:textId="77777777" w:rsidR="000C6A7A" w:rsidRPr="00F547A1" w:rsidRDefault="000C6A7A" w:rsidP="000C6A7A">
      <w:pPr>
        <w:widowControl w:val="0"/>
        <w:autoSpaceDE w:val="0"/>
        <w:autoSpaceDN w:val="0"/>
        <w:adjustRightInd w:val="0"/>
        <w:spacing w:line="240" w:lineRule="auto"/>
        <w:jc w:val="center"/>
        <w:rPr>
          <w:rFonts w:eastAsia="Calibri" w:cs="Arial"/>
          <w:b/>
          <w:sz w:val="20"/>
          <w:szCs w:val="20"/>
          <w:lang w:val="en-US" w:eastAsia="en-US"/>
        </w:rPr>
      </w:pPr>
      <w:r w:rsidRPr="00F547A1">
        <w:rPr>
          <w:rFonts w:eastAsia="Calibri" w:cs="Arial"/>
          <w:b/>
          <w:sz w:val="20"/>
          <w:szCs w:val="20"/>
          <w:lang w:val="en-US" w:eastAsia="en-US"/>
        </w:rPr>
        <w:t>Standard errors in parentheses</w:t>
      </w:r>
    </w:p>
    <w:p w14:paraId="3BF92487" w14:textId="77777777" w:rsidR="000C6A7A" w:rsidRDefault="000C6A7A" w:rsidP="000C6A7A">
      <w:pPr>
        <w:widowControl w:val="0"/>
        <w:autoSpaceDE w:val="0"/>
        <w:autoSpaceDN w:val="0"/>
        <w:adjustRightInd w:val="0"/>
        <w:spacing w:line="240" w:lineRule="auto"/>
        <w:jc w:val="center"/>
        <w:rPr>
          <w:rFonts w:eastAsia="Calibri" w:cs="Arial"/>
          <w:b/>
          <w:sz w:val="20"/>
          <w:szCs w:val="20"/>
          <w:lang w:val="en-US" w:eastAsia="en-US"/>
        </w:rPr>
      </w:pP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sidRPr="00F547A1">
        <w:rPr>
          <w:rFonts w:eastAsia="Calibri" w:cs="Arial"/>
          <w:b/>
          <w:sz w:val="20"/>
          <w:szCs w:val="20"/>
          <w:lang w:val="en-US" w:eastAsia="en-US"/>
        </w:rPr>
        <w:t xml:space="preserve"> &lt; 0.1, </w:t>
      </w: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sidRPr="00F547A1">
        <w:rPr>
          <w:rFonts w:eastAsia="Calibri" w:cs="Arial"/>
          <w:b/>
          <w:sz w:val="20"/>
          <w:szCs w:val="20"/>
          <w:lang w:val="en-US" w:eastAsia="en-US"/>
        </w:rPr>
        <w:t xml:space="preserve"> &lt; 0.05, </w:t>
      </w: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Pr>
          <w:rFonts w:eastAsia="Calibri" w:cs="Arial"/>
          <w:b/>
          <w:sz w:val="20"/>
          <w:szCs w:val="20"/>
          <w:lang w:val="en-US" w:eastAsia="en-US"/>
        </w:rPr>
        <w:t xml:space="preserve"> &lt; 0.01</w:t>
      </w:r>
    </w:p>
    <w:p w14:paraId="5FFB2968" w14:textId="2D9E1BBE" w:rsidR="000C6A7A" w:rsidRPr="005127B4" w:rsidRDefault="000C6A7A" w:rsidP="000C6A7A">
      <w:pPr>
        <w:keepNext/>
        <w:spacing w:line="360" w:lineRule="auto"/>
        <w:ind w:left="-284"/>
        <w:jc w:val="left"/>
        <w:rPr>
          <w:b/>
          <w:i/>
          <w:iCs/>
          <w:color w:val="000000"/>
        </w:rPr>
      </w:pPr>
      <w:r w:rsidRPr="005127B4">
        <w:rPr>
          <w:b/>
          <w:i/>
          <w:iCs/>
          <w:color w:val="000000"/>
        </w:rPr>
        <w:lastRenderedPageBreak/>
        <w:t xml:space="preserve">Table </w:t>
      </w:r>
      <w:r w:rsidR="004B596D">
        <w:rPr>
          <w:b/>
          <w:i/>
          <w:iCs/>
          <w:color w:val="000000"/>
        </w:rPr>
        <w:t>7</w:t>
      </w:r>
      <w:r w:rsidRPr="005127B4">
        <w:rPr>
          <w:b/>
          <w:i/>
          <w:iCs/>
          <w:color w:val="000000"/>
        </w:rPr>
        <w:t>: Bitcoin return on Sentiment return regressions</w:t>
      </w:r>
      <w:r>
        <w:rPr>
          <w:b/>
          <w:i/>
          <w:iCs/>
          <w:color w:val="000000"/>
        </w:rPr>
        <w:t xml:space="preserve"> (Fama </w:t>
      </w:r>
      <w:r w:rsidR="002508B4">
        <w:rPr>
          <w:b/>
          <w:i/>
          <w:iCs/>
          <w:color w:val="000000"/>
        </w:rPr>
        <w:t xml:space="preserve">&amp; </w:t>
      </w:r>
      <w:r>
        <w:rPr>
          <w:b/>
          <w:i/>
          <w:iCs/>
          <w:color w:val="000000"/>
        </w:rPr>
        <w:t xml:space="preserve">French, 2015) </w:t>
      </w:r>
    </w:p>
    <w:tbl>
      <w:tblPr>
        <w:tblW w:w="14468" w:type="dxa"/>
        <w:tblInd w:w="-284" w:type="dxa"/>
        <w:tblLayout w:type="fixed"/>
        <w:tblLook w:val="0000" w:firstRow="0" w:lastRow="0" w:firstColumn="0" w:lastColumn="0" w:noHBand="0" w:noVBand="0"/>
      </w:tblPr>
      <w:tblGrid>
        <w:gridCol w:w="7088"/>
        <w:gridCol w:w="1843"/>
        <w:gridCol w:w="1984"/>
        <w:gridCol w:w="1817"/>
        <w:gridCol w:w="1736"/>
      </w:tblGrid>
      <w:tr w:rsidR="000C6A7A" w:rsidRPr="003935C0" w14:paraId="4F8CE779" w14:textId="77777777" w:rsidTr="00522D7D">
        <w:trPr>
          <w:trHeight w:val="181"/>
        </w:trPr>
        <w:tc>
          <w:tcPr>
            <w:tcW w:w="7088" w:type="dxa"/>
            <w:vMerge w:val="restart"/>
            <w:tcBorders>
              <w:top w:val="single" w:sz="4" w:space="0" w:color="auto"/>
              <w:left w:val="nil"/>
              <w:right w:val="nil"/>
            </w:tcBorders>
            <w:vAlign w:val="center"/>
          </w:tcPr>
          <w:p w14:paraId="417056DE" w14:textId="77777777" w:rsidR="000C6A7A" w:rsidRPr="003935C0" w:rsidRDefault="000C6A7A" w:rsidP="00522D7D">
            <w:pPr>
              <w:widowControl w:val="0"/>
              <w:autoSpaceDE w:val="0"/>
              <w:autoSpaceDN w:val="0"/>
              <w:adjustRightInd w:val="0"/>
              <w:spacing w:line="240" w:lineRule="auto"/>
              <w:jc w:val="left"/>
              <w:rPr>
                <w:rFonts w:eastAsia="Calibri" w:cs="Arial"/>
                <w:b/>
                <w:szCs w:val="20"/>
                <w:lang w:val="en-US" w:eastAsia="en-US"/>
              </w:rPr>
            </w:pPr>
          </w:p>
        </w:tc>
        <w:tc>
          <w:tcPr>
            <w:tcW w:w="1843" w:type="dxa"/>
            <w:tcBorders>
              <w:top w:val="single" w:sz="4" w:space="0" w:color="auto"/>
              <w:left w:val="nil"/>
              <w:bottom w:val="nil"/>
              <w:right w:val="nil"/>
            </w:tcBorders>
          </w:tcPr>
          <w:p w14:paraId="0DC1658F"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(1)</w:t>
            </w:r>
          </w:p>
        </w:tc>
        <w:tc>
          <w:tcPr>
            <w:tcW w:w="1984" w:type="dxa"/>
            <w:tcBorders>
              <w:top w:val="single" w:sz="4" w:space="0" w:color="auto"/>
              <w:left w:val="nil"/>
              <w:bottom w:val="nil"/>
              <w:right w:val="nil"/>
            </w:tcBorders>
          </w:tcPr>
          <w:p w14:paraId="4F61C96F"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(2)</w:t>
            </w:r>
          </w:p>
        </w:tc>
        <w:tc>
          <w:tcPr>
            <w:tcW w:w="1817" w:type="dxa"/>
            <w:tcBorders>
              <w:top w:val="single" w:sz="4" w:space="0" w:color="auto"/>
              <w:left w:val="nil"/>
              <w:bottom w:val="nil"/>
              <w:right w:val="nil"/>
            </w:tcBorders>
          </w:tcPr>
          <w:p w14:paraId="757980C9"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(3)</w:t>
            </w:r>
          </w:p>
        </w:tc>
        <w:tc>
          <w:tcPr>
            <w:tcW w:w="1736" w:type="dxa"/>
            <w:tcBorders>
              <w:top w:val="single" w:sz="4" w:space="0" w:color="auto"/>
              <w:left w:val="nil"/>
              <w:bottom w:val="nil"/>
              <w:right w:val="nil"/>
            </w:tcBorders>
          </w:tcPr>
          <w:p w14:paraId="514E9A93"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(4)</w:t>
            </w:r>
          </w:p>
        </w:tc>
      </w:tr>
      <w:tr w:rsidR="000C6A7A" w:rsidRPr="003935C0" w14:paraId="569B0335" w14:textId="77777777" w:rsidTr="00522D7D">
        <w:trPr>
          <w:trHeight w:val="87"/>
        </w:trPr>
        <w:tc>
          <w:tcPr>
            <w:tcW w:w="7088" w:type="dxa"/>
            <w:vMerge/>
            <w:tcBorders>
              <w:left w:val="nil"/>
              <w:bottom w:val="nil"/>
              <w:right w:val="nil"/>
            </w:tcBorders>
          </w:tcPr>
          <w:p w14:paraId="6B98E046" w14:textId="77777777" w:rsidR="000C6A7A" w:rsidRPr="003935C0" w:rsidRDefault="000C6A7A" w:rsidP="00522D7D">
            <w:pPr>
              <w:widowControl w:val="0"/>
              <w:autoSpaceDE w:val="0"/>
              <w:autoSpaceDN w:val="0"/>
              <w:adjustRightInd w:val="0"/>
              <w:spacing w:line="240" w:lineRule="auto"/>
              <w:jc w:val="left"/>
              <w:rPr>
                <w:rFonts w:eastAsia="Calibri" w:cs="Arial"/>
                <w:b/>
                <w:szCs w:val="20"/>
                <w:lang w:val="en-US" w:eastAsia="en-US"/>
              </w:rPr>
            </w:pPr>
          </w:p>
        </w:tc>
        <w:tc>
          <w:tcPr>
            <w:tcW w:w="1843" w:type="dxa"/>
            <w:tcBorders>
              <w:top w:val="nil"/>
              <w:left w:val="nil"/>
              <w:bottom w:val="nil"/>
              <w:right w:val="nil"/>
            </w:tcBorders>
          </w:tcPr>
          <w:p w14:paraId="62E0DD08"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984" w:type="dxa"/>
            <w:tcBorders>
              <w:top w:val="nil"/>
              <w:left w:val="nil"/>
              <w:bottom w:val="nil"/>
              <w:right w:val="nil"/>
            </w:tcBorders>
          </w:tcPr>
          <w:p w14:paraId="678C62A1"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817" w:type="dxa"/>
            <w:tcBorders>
              <w:top w:val="nil"/>
              <w:left w:val="nil"/>
              <w:bottom w:val="nil"/>
              <w:right w:val="nil"/>
            </w:tcBorders>
          </w:tcPr>
          <w:p w14:paraId="0FB0BBD1"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c>
          <w:tcPr>
            <w:tcW w:w="1736" w:type="dxa"/>
            <w:tcBorders>
              <w:top w:val="nil"/>
              <w:left w:val="nil"/>
              <w:bottom w:val="nil"/>
              <w:right w:val="nil"/>
            </w:tcBorders>
          </w:tcPr>
          <w:p w14:paraId="0A220809" w14:textId="77777777" w:rsidR="000C6A7A" w:rsidRPr="003935C0" w:rsidRDefault="000C6A7A" w:rsidP="00522D7D">
            <w:pPr>
              <w:widowControl w:val="0"/>
              <w:autoSpaceDE w:val="0"/>
              <w:autoSpaceDN w:val="0"/>
              <w:adjustRightInd w:val="0"/>
              <w:spacing w:line="240" w:lineRule="auto"/>
              <w:jc w:val="center"/>
              <w:rPr>
                <w:rFonts w:eastAsia="Calibri" w:cs="Arial"/>
                <w:szCs w:val="20"/>
                <w:lang w:val="en-US" w:eastAsia="en-US"/>
              </w:rPr>
            </w:pPr>
            <w:r w:rsidRPr="003935C0">
              <w:rPr>
                <w:rFonts w:eastAsia="Calibri" w:cs="Arial"/>
                <w:szCs w:val="20"/>
                <w:lang w:val="en-US" w:eastAsia="en-US"/>
              </w:rPr>
              <w:t>Bitcoin Return</w:t>
            </w:r>
          </w:p>
        </w:tc>
      </w:tr>
      <w:tr w:rsidR="004B596D" w:rsidRPr="003935C0" w14:paraId="2DAFFCB6" w14:textId="77777777" w:rsidTr="00522D7D">
        <w:trPr>
          <w:trHeight w:val="181"/>
        </w:trPr>
        <w:tc>
          <w:tcPr>
            <w:tcW w:w="7088" w:type="dxa"/>
            <w:tcBorders>
              <w:top w:val="single" w:sz="4" w:space="0" w:color="auto"/>
              <w:left w:val="nil"/>
              <w:bottom w:val="nil"/>
              <w:right w:val="nil"/>
            </w:tcBorders>
          </w:tcPr>
          <w:p w14:paraId="13D6DC1A"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Volume</w:t>
            </w:r>
          </w:p>
        </w:tc>
        <w:tc>
          <w:tcPr>
            <w:tcW w:w="1843" w:type="dxa"/>
            <w:tcBorders>
              <w:top w:val="single" w:sz="4" w:space="0" w:color="auto"/>
              <w:left w:val="nil"/>
              <w:bottom w:val="nil"/>
              <w:right w:val="nil"/>
            </w:tcBorders>
          </w:tcPr>
          <w:p w14:paraId="34C68EBD" w14:textId="77777777" w:rsidR="004B596D" w:rsidRPr="00D72EF5" w:rsidRDefault="004B596D" w:rsidP="004B596D">
            <w:pPr>
              <w:spacing w:line="240" w:lineRule="auto"/>
              <w:jc w:val="center"/>
            </w:pPr>
            <w:r w:rsidRPr="00D72EF5">
              <w:t>0.00137**</w:t>
            </w:r>
          </w:p>
        </w:tc>
        <w:tc>
          <w:tcPr>
            <w:tcW w:w="1984" w:type="dxa"/>
            <w:tcBorders>
              <w:top w:val="single" w:sz="4" w:space="0" w:color="auto"/>
              <w:left w:val="nil"/>
              <w:bottom w:val="nil"/>
              <w:right w:val="nil"/>
            </w:tcBorders>
          </w:tcPr>
          <w:p w14:paraId="405EB277" w14:textId="77777777" w:rsidR="004B596D" w:rsidRPr="00D72EF5" w:rsidRDefault="004B596D" w:rsidP="004B596D">
            <w:pPr>
              <w:spacing w:line="240" w:lineRule="auto"/>
              <w:jc w:val="center"/>
            </w:pPr>
            <w:r w:rsidRPr="00D72EF5">
              <w:t>0.00135**</w:t>
            </w:r>
          </w:p>
        </w:tc>
        <w:tc>
          <w:tcPr>
            <w:tcW w:w="1817" w:type="dxa"/>
            <w:tcBorders>
              <w:top w:val="single" w:sz="4" w:space="0" w:color="auto"/>
              <w:left w:val="nil"/>
              <w:bottom w:val="nil"/>
              <w:right w:val="nil"/>
            </w:tcBorders>
          </w:tcPr>
          <w:p w14:paraId="0BF155DA" w14:textId="77777777" w:rsidR="004B596D" w:rsidRPr="00D72EF5" w:rsidRDefault="004B596D" w:rsidP="004B596D">
            <w:pPr>
              <w:spacing w:line="240" w:lineRule="auto"/>
              <w:jc w:val="center"/>
            </w:pPr>
            <w:r w:rsidRPr="00D72EF5">
              <w:t>0.00129**</w:t>
            </w:r>
          </w:p>
        </w:tc>
        <w:tc>
          <w:tcPr>
            <w:tcW w:w="1736" w:type="dxa"/>
            <w:tcBorders>
              <w:top w:val="single" w:sz="4" w:space="0" w:color="auto"/>
              <w:left w:val="nil"/>
              <w:bottom w:val="nil"/>
              <w:right w:val="nil"/>
            </w:tcBorders>
          </w:tcPr>
          <w:p w14:paraId="44773EC6" w14:textId="77777777" w:rsidR="004B596D" w:rsidRPr="00D72EF5" w:rsidRDefault="004B596D" w:rsidP="004B596D">
            <w:pPr>
              <w:spacing w:line="240" w:lineRule="auto"/>
              <w:jc w:val="center"/>
            </w:pPr>
            <w:r w:rsidRPr="00D72EF5">
              <w:t>0.00127**</w:t>
            </w:r>
          </w:p>
        </w:tc>
      </w:tr>
      <w:tr w:rsidR="004B596D" w:rsidRPr="003935C0" w14:paraId="21A25F71" w14:textId="77777777" w:rsidTr="00522D7D">
        <w:trPr>
          <w:trHeight w:val="159"/>
        </w:trPr>
        <w:tc>
          <w:tcPr>
            <w:tcW w:w="7088" w:type="dxa"/>
            <w:tcBorders>
              <w:top w:val="nil"/>
              <w:left w:val="nil"/>
              <w:bottom w:val="nil"/>
              <w:right w:val="nil"/>
            </w:tcBorders>
          </w:tcPr>
          <w:p w14:paraId="537E903B"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39701787" w14:textId="77777777" w:rsidR="004B596D" w:rsidRPr="00D72EF5" w:rsidRDefault="004B596D" w:rsidP="004B596D">
            <w:pPr>
              <w:spacing w:line="240" w:lineRule="auto"/>
              <w:jc w:val="center"/>
            </w:pPr>
            <w:r w:rsidRPr="00D72EF5">
              <w:t>(0.000555)</w:t>
            </w:r>
          </w:p>
        </w:tc>
        <w:tc>
          <w:tcPr>
            <w:tcW w:w="1984" w:type="dxa"/>
            <w:tcBorders>
              <w:top w:val="nil"/>
              <w:left w:val="nil"/>
              <w:bottom w:val="nil"/>
              <w:right w:val="nil"/>
            </w:tcBorders>
          </w:tcPr>
          <w:p w14:paraId="1C4365B2" w14:textId="77777777" w:rsidR="004B596D" w:rsidRPr="00D72EF5" w:rsidRDefault="004B596D" w:rsidP="004B596D">
            <w:pPr>
              <w:spacing w:line="240" w:lineRule="auto"/>
              <w:jc w:val="center"/>
            </w:pPr>
            <w:r w:rsidRPr="00D72EF5">
              <w:t>(0.000569)</w:t>
            </w:r>
          </w:p>
        </w:tc>
        <w:tc>
          <w:tcPr>
            <w:tcW w:w="1817" w:type="dxa"/>
            <w:tcBorders>
              <w:top w:val="nil"/>
              <w:left w:val="nil"/>
              <w:bottom w:val="nil"/>
              <w:right w:val="nil"/>
            </w:tcBorders>
          </w:tcPr>
          <w:p w14:paraId="60A1145C" w14:textId="77777777" w:rsidR="004B596D" w:rsidRPr="00D72EF5" w:rsidRDefault="004B596D" w:rsidP="004B596D">
            <w:pPr>
              <w:spacing w:line="240" w:lineRule="auto"/>
              <w:jc w:val="center"/>
            </w:pPr>
            <w:r w:rsidRPr="00D72EF5">
              <w:t>(0.000568)</w:t>
            </w:r>
          </w:p>
        </w:tc>
        <w:tc>
          <w:tcPr>
            <w:tcW w:w="1736" w:type="dxa"/>
            <w:tcBorders>
              <w:top w:val="nil"/>
              <w:left w:val="nil"/>
              <w:bottom w:val="nil"/>
              <w:right w:val="nil"/>
            </w:tcBorders>
          </w:tcPr>
          <w:p w14:paraId="1E96FE31" w14:textId="77777777" w:rsidR="004B596D" w:rsidRPr="00D72EF5" w:rsidRDefault="004B596D" w:rsidP="004B596D">
            <w:pPr>
              <w:spacing w:line="240" w:lineRule="auto"/>
              <w:jc w:val="center"/>
            </w:pPr>
            <w:r w:rsidRPr="00D72EF5">
              <w:t>(0.000567)</w:t>
            </w:r>
          </w:p>
        </w:tc>
      </w:tr>
      <w:tr w:rsidR="004B596D" w:rsidRPr="003935C0" w14:paraId="098425C8" w14:textId="77777777" w:rsidTr="00522D7D">
        <w:trPr>
          <w:trHeight w:val="195"/>
        </w:trPr>
        <w:tc>
          <w:tcPr>
            <w:tcW w:w="7088" w:type="dxa"/>
            <w:tcBorders>
              <w:top w:val="nil"/>
              <w:left w:val="nil"/>
              <w:bottom w:val="nil"/>
              <w:right w:val="nil"/>
            </w:tcBorders>
          </w:tcPr>
          <w:p w14:paraId="6D342A05"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VIX</w:t>
            </w:r>
          </w:p>
        </w:tc>
        <w:tc>
          <w:tcPr>
            <w:tcW w:w="1843" w:type="dxa"/>
            <w:tcBorders>
              <w:top w:val="nil"/>
              <w:left w:val="nil"/>
              <w:bottom w:val="nil"/>
              <w:right w:val="nil"/>
            </w:tcBorders>
          </w:tcPr>
          <w:p w14:paraId="053CF5F6" w14:textId="77777777" w:rsidR="004B596D" w:rsidRPr="00D72EF5" w:rsidRDefault="004B596D" w:rsidP="004B596D">
            <w:pPr>
              <w:spacing w:line="240" w:lineRule="auto"/>
              <w:jc w:val="center"/>
            </w:pPr>
            <w:r w:rsidRPr="00D72EF5">
              <w:t>-0.0108**</w:t>
            </w:r>
          </w:p>
        </w:tc>
        <w:tc>
          <w:tcPr>
            <w:tcW w:w="1984" w:type="dxa"/>
            <w:tcBorders>
              <w:top w:val="nil"/>
              <w:left w:val="nil"/>
              <w:bottom w:val="nil"/>
              <w:right w:val="nil"/>
            </w:tcBorders>
          </w:tcPr>
          <w:p w14:paraId="0EB48077" w14:textId="77777777" w:rsidR="004B596D" w:rsidRPr="00D72EF5" w:rsidRDefault="004B596D" w:rsidP="004B596D">
            <w:pPr>
              <w:spacing w:line="240" w:lineRule="auto"/>
              <w:jc w:val="center"/>
            </w:pPr>
            <w:r w:rsidRPr="00D72EF5">
              <w:t>-0.0110**</w:t>
            </w:r>
          </w:p>
        </w:tc>
        <w:tc>
          <w:tcPr>
            <w:tcW w:w="1817" w:type="dxa"/>
            <w:tcBorders>
              <w:top w:val="nil"/>
              <w:left w:val="nil"/>
              <w:bottom w:val="nil"/>
              <w:right w:val="nil"/>
            </w:tcBorders>
          </w:tcPr>
          <w:p w14:paraId="3DB0FB25" w14:textId="77777777" w:rsidR="004B596D" w:rsidRPr="00D72EF5" w:rsidRDefault="004B596D" w:rsidP="004B596D">
            <w:pPr>
              <w:spacing w:line="240" w:lineRule="auto"/>
              <w:jc w:val="center"/>
            </w:pPr>
            <w:r w:rsidRPr="00D72EF5">
              <w:t>-0.00945**</w:t>
            </w:r>
          </w:p>
        </w:tc>
        <w:tc>
          <w:tcPr>
            <w:tcW w:w="1736" w:type="dxa"/>
            <w:tcBorders>
              <w:top w:val="nil"/>
              <w:left w:val="nil"/>
              <w:bottom w:val="nil"/>
              <w:right w:val="nil"/>
            </w:tcBorders>
          </w:tcPr>
          <w:p w14:paraId="499F90D5" w14:textId="77777777" w:rsidR="004B596D" w:rsidRPr="00D72EF5" w:rsidRDefault="004B596D" w:rsidP="004B596D">
            <w:pPr>
              <w:spacing w:line="240" w:lineRule="auto"/>
              <w:jc w:val="center"/>
            </w:pPr>
            <w:r w:rsidRPr="00D72EF5">
              <w:t>-0.00922*</w:t>
            </w:r>
          </w:p>
        </w:tc>
      </w:tr>
      <w:tr w:rsidR="004B596D" w:rsidRPr="003935C0" w14:paraId="403EE6BE" w14:textId="77777777" w:rsidTr="00522D7D">
        <w:trPr>
          <w:trHeight w:val="181"/>
        </w:trPr>
        <w:tc>
          <w:tcPr>
            <w:tcW w:w="7088" w:type="dxa"/>
            <w:tcBorders>
              <w:top w:val="nil"/>
              <w:left w:val="nil"/>
              <w:bottom w:val="nil"/>
              <w:right w:val="nil"/>
            </w:tcBorders>
          </w:tcPr>
          <w:p w14:paraId="2DAA1A70"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71C4F7AD" w14:textId="77777777" w:rsidR="004B596D" w:rsidRPr="00D72EF5" w:rsidRDefault="004B596D" w:rsidP="004B596D">
            <w:pPr>
              <w:spacing w:line="240" w:lineRule="auto"/>
              <w:jc w:val="center"/>
            </w:pPr>
            <w:r w:rsidRPr="00D72EF5">
              <w:t>(0.00451)</w:t>
            </w:r>
          </w:p>
        </w:tc>
        <w:tc>
          <w:tcPr>
            <w:tcW w:w="1984" w:type="dxa"/>
            <w:tcBorders>
              <w:top w:val="nil"/>
              <w:left w:val="nil"/>
              <w:bottom w:val="nil"/>
              <w:right w:val="nil"/>
            </w:tcBorders>
          </w:tcPr>
          <w:p w14:paraId="2C5EA282" w14:textId="77777777" w:rsidR="004B596D" w:rsidRPr="00D72EF5" w:rsidRDefault="004B596D" w:rsidP="004B596D">
            <w:pPr>
              <w:spacing w:line="240" w:lineRule="auto"/>
              <w:jc w:val="center"/>
            </w:pPr>
            <w:r w:rsidRPr="00D72EF5">
              <w:t>(0.00459)</w:t>
            </w:r>
          </w:p>
        </w:tc>
        <w:tc>
          <w:tcPr>
            <w:tcW w:w="1817" w:type="dxa"/>
            <w:tcBorders>
              <w:top w:val="nil"/>
              <w:left w:val="nil"/>
              <w:bottom w:val="nil"/>
              <w:right w:val="nil"/>
            </w:tcBorders>
          </w:tcPr>
          <w:p w14:paraId="458D160A" w14:textId="77777777" w:rsidR="004B596D" w:rsidRPr="00D72EF5" w:rsidRDefault="004B596D" w:rsidP="004B596D">
            <w:pPr>
              <w:spacing w:line="240" w:lineRule="auto"/>
              <w:jc w:val="center"/>
            </w:pPr>
            <w:r w:rsidRPr="00D72EF5">
              <w:t>(0.00468)</w:t>
            </w:r>
          </w:p>
        </w:tc>
        <w:tc>
          <w:tcPr>
            <w:tcW w:w="1736" w:type="dxa"/>
            <w:tcBorders>
              <w:top w:val="nil"/>
              <w:left w:val="nil"/>
              <w:bottom w:val="nil"/>
              <w:right w:val="nil"/>
            </w:tcBorders>
          </w:tcPr>
          <w:p w14:paraId="50935C0B" w14:textId="77777777" w:rsidR="004B596D" w:rsidRPr="00D72EF5" w:rsidRDefault="004B596D" w:rsidP="004B596D">
            <w:pPr>
              <w:spacing w:line="240" w:lineRule="auto"/>
              <w:jc w:val="center"/>
            </w:pPr>
            <w:r w:rsidRPr="00D72EF5">
              <w:t>(0.00470)</w:t>
            </w:r>
          </w:p>
        </w:tc>
      </w:tr>
      <w:tr w:rsidR="004B596D" w:rsidRPr="003935C0" w14:paraId="6E40E5A3" w14:textId="77777777" w:rsidTr="00522D7D">
        <w:trPr>
          <w:trHeight w:val="195"/>
        </w:trPr>
        <w:tc>
          <w:tcPr>
            <w:tcW w:w="7088" w:type="dxa"/>
            <w:tcBorders>
              <w:top w:val="nil"/>
              <w:left w:val="nil"/>
              <w:bottom w:val="nil"/>
              <w:right w:val="nil"/>
            </w:tcBorders>
          </w:tcPr>
          <w:p w14:paraId="4826CB35"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Log EPU</w:t>
            </w:r>
          </w:p>
        </w:tc>
        <w:tc>
          <w:tcPr>
            <w:tcW w:w="1843" w:type="dxa"/>
            <w:tcBorders>
              <w:top w:val="nil"/>
              <w:left w:val="nil"/>
              <w:bottom w:val="nil"/>
              <w:right w:val="nil"/>
            </w:tcBorders>
          </w:tcPr>
          <w:p w14:paraId="134E9556" w14:textId="77777777" w:rsidR="004B596D" w:rsidRPr="00D72EF5" w:rsidRDefault="004B596D" w:rsidP="004B596D">
            <w:pPr>
              <w:spacing w:line="240" w:lineRule="auto"/>
              <w:jc w:val="center"/>
            </w:pPr>
            <w:r w:rsidRPr="00D72EF5">
              <w:t>0.00147</w:t>
            </w:r>
          </w:p>
        </w:tc>
        <w:tc>
          <w:tcPr>
            <w:tcW w:w="1984" w:type="dxa"/>
            <w:tcBorders>
              <w:top w:val="nil"/>
              <w:left w:val="nil"/>
              <w:bottom w:val="nil"/>
              <w:right w:val="nil"/>
            </w:tcBorders>
          </w:tcPr>
          <w:p w14:paraId="48C3B8FE" w14:textId="77777777" w:rsidR="004B596D" w:rsidRPr="00D72EF5" w:rsidRDefault="004B596D" w:rsidP="004B596D">
            <w:pPr>
              <w:spacing w:line="240" w:lineRule="auto"/>
              <w:jc w:val="center"/>
            </w:pPr>
            <w:r w:rsidRPr="00D72EF5">
              <w:t>0.00159</w:t>
            </w:r>
          </w:p>
        </w:tc>
        <w:tc>
          <w:tcPr>
            <w:tcW w:w="1817" w:type="dxa"/>
            <w:tcBorders>
              <w:top w:val="nil"/>
              <w:left w:val="nil"/>
              <w:bottom w:val="nil"/>
              <w:right w:val="nil"/>
            </w:tcBorders>
          </w:tcPr>
          <w:p w14:paraId="179CBD52" w14:textId="77777777" w:rsidR="004B596D" w:rsidRPr="00D72EF5" w:rsidRDefault="004B596D" w:rsidP="004B596D">
            <w:pPr>
              <w:spacing w:line="240" w:lineRule="auto"/>
              <w:jc w:val="center"/>
            </w:pPr>
            <w:r w:rsidRPr="00D72EF5">
              <w:t>0.00140</w:t>
            </w:r>
          </w:p>
        </w:tc>
        <w:tc>
          <w:tcPr>
            <w:tcW w:w="1736" w:type="dxa"/>
            <w:tcBorders>
              <w:top w:val="nil"/>
              <w:left w:val="nil"/>
              <w:bottom w:val="nil"/>
              <w:right w:val="nil"/>
            </w:tcBorders>
          </w:tcPr>
          <w:p w14:paraId="7317AC7B" w14:textId="77777777" w:rsidR="004B596D" w:rsidRPr="00D72EF5" w:rsidRDefault="004B596D" w:rsidP="004B596D">
            <w:pPr>
              <w:spacing w:line="240" w:lineRule="auto"/>
              <w:jc w:val="center"/>
            </w:pPr>
            <w:r w:rsidRPr="00D72EF5">
              <w:t>0.00157</w:t>
            </w:r>
          </w:p>
        </w:tc>
      </w:tr>
      <w:tr w:rsidR="004B596D" w:rsidRPr="003935C0" w14:paraId="424ED7D3" w14:textId="77777777" w:rsidTr="00522D7D">
        <w:trPr>
          <w:trHeight w:val="195"/>
        </w:trPr>
        <w:tc>
          <w:tcPr>
            <w:tcW w:w="7088" w:type="dxa"/>
            <w:tcBorders>
              <w:top w:val="nil"/>
              <w:left w:val="nil"/>
              <w:bottom w:val="nil"/>
              <w:right w:val="nil"/>
            </w:tcBorders>
          </w:tcPr>
          <w:p w14:paraId="4AB6A144"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5B557BB4" w14:textId="77777777" w:rsidR="004B596D" w:rsidRPr="00D72EF5" w:rsidRDefault="004B596D" w:rsidP="004B596D">
            <w:pPr>
              <w:spacing w:line="240" w:lineRule="auto"/>
              <w:jc w:val="center"/>
            </w:pPr>
            <w:r w:rsidRPr="00D72EF5">
              <w:t>(0.00219)</w:t>
            </w:r>
          </w:p>
        </w:tc>
        <w:tc>
          <w:tcPr>
            <w:tcW w:w="1984" w:type="dxa"/>
            <w:tcBorders>
              <w:top w:val="nil"/>
              <w:left w:val="nil"/>
              <w:bottom w:val="nil"/>
              <w:right w:val="nil"/>
            </w:tcBorders>
          </w:tcPr>
          <w:p w14:paraId="79778599" w14:textId="77777777" w:rsidR="004B596D" w:rsidRPr="00D72EF5" w:rsidRDefault="004B596D" w:rsidP="004B596D">
            <w:pPr>
              <w:spacing w:line="240" w:lineRule="auto"/>
              <w:jc w:val="center"/>
            </w:pPr>
            <w:r w:rsidRPr="00D72EF5">
              <w:t>(0.00227)</w:t>
            </w:r>
          </w:p>
        </w:tc>
        <w:tc>
          <w:tcPr>
            <w:tcW w:w="1817" w:type="dxa"/>
            <w:tcBorders>
              <w:top w:val="nil"/>
              <w:left w:val="nil"/>
              <w:bottom w:val="nil"/>
              <w:right w:val="nil"/>
            </w:tcBorders>
          </w:tcPr>
          <w:p w14:paraId="794D3D48" w14:textId="77777777" w:rsidR="004B596D" w:rsidRPr="00D72EF5" w:rsidRDefault="004B596D" w:rsidP="004B596D">
            <w:pPr>
              <w:spacing w:line="240" w:lineRule="auto"/>
              <w:jc w:val="center"/>
            </w:pPr>
            <w:r w:rsidRPr="00D72EF5">
              <w:t>(0.00230)</w:t>
            </w:r>
          </w:p>
        </w:tc>
        <w:tc>
          <w:tcPr>
            <w:tcW w:w="1736" w:type="dxa"/>
            <w:tcBorders>
              <w:top w:val="nil"/>
              <w:left w:val="nil"/>
              <w:bottom w:val="nil"/>
              <w:right w:val="nil"/>
            </w:tcBorders>
          </w:tcPr>
          <w:p w14:paraId="2334F95B" w14:textId="77777777" w:rsidR="004B596D" w:rsidRPr="00D72EF5" w:rsidRDefault="004B596D" w:rsidP="004B596D">
            <w:pPr>
              <w:spacing w:line="240" w:lineRule="auto"/>
              <w:jc w:val="center"/>
            </w:pPr>
            <w:r w:rsidRPr="00D72EF5">
              <w:t>(0.00232)</w:t>
            </w:r>
          </w:p>
        </w:tc>
      </w:tr>
      <w:tr w:rsidR="004B596D" w:rsidRPr="003935C0" w14:paraId="6E5F31D3" w14:textId="77777777" w:rsidTr="00522D7D">
        <w:trPr>
          <w:trHeight w:val="195"/>
        </w:trPr>
        <w:tc>
          <w:tcPr>
            <w:tcW w:w="7088" w:type="dxa"/>
            <w:tcBorders>
              <w:top w:val="nil"/>
              <w:left w:val="nil"/>
              <w:bottom w:val="nil"/>
              <w:right w:val="nil"/>
            </w:tcBorders>
          </w:tcPr>
          <w:p w14:paraId="65BA833B"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Sentiment RTN</w:t>
            </w:r>
          </w:p>
        </w:tc>
        <w:tc>
          <w:tcPr>
            <w:tcW w:w="1843" w:type="dxa"/>
            <w:tcBorders>
              <w:top w:val="nil"/>
              <w:left w:val="nil"/>
              <w:bottom w:val="nil"/>
              <w:right w:val="nil"/>
            </w:tcBorders>
          </w:tcPr>
          <w:p w14:paraId="3F495682" w14:textId="77777777" w:rsidR="004B596D" w:rsidRPr="00D72EF5" w:rsidRDefault="004B596D" w:rsidP="004B596D">
            <w:pPr>
              <w:spacing w:line="240" w:lineRule="auto"/>
              <w:jc w:val="center"/>
            </w:pPr>
            <w:r w:rsidRPr="00D72EF5">
              <w:t>-0.00268</w:t>
            </w:r>
          </w:p>
        </w:tc>
        <w:tc>
          <w:tcPr>
            <w:tcW w:w="1984" w:type="dxa"/>
            <w:tcBorders>
              <w:top w:val="nil"/>
              <w:left w:val="nil"/>
              <w:bottom w:val="nil"/>
              <w:right w:val="nil"/>
            </w:tcBorders>
          </w:tcPr>
          <w:p w14:paraId="7B889E87" w14:textId="77777777" w:rsidR="004B596D" w:rsidRPr="00D72EF5" w:rsidRDefault="004B596D" w:rsidP="004B596D">
            <w:pPr>
              <w:spacing w:line="240" w:lineRule="auto"/>
              <w:jc w:val="center"/>
            </w:pPr>
            <w:r w:rsidRPr="00D72EF5">
              <w:t>-0.00143</w:t>
            </w:r>
          </w:p>
        </w:tc>
        <w:tc>
          <w:tcPr>
            <w:tcW w:w="1817" w:type="dxa"/>
            <w:tcBorders>
              <w:top w:val="nil"/>
              <w:left w:val="nil"/>
              <w:bottom w:val="nil"/>
              <w:right w:val="nil"/>
            </w:tcBorders>
          </w:tcPr>
          <w:p w14:paraId="43369110" w14:textId="77777777" w:rsidR="004B596D" w:rsidRPr="00D72EF5" w:rsidRDefault="004B596D" w:rsidP="004B596D">
            <w:pPr>
              <w:spacing w:line="240" w:lineRule="auto"/>
              <w:jc w:val="center"/>
            </w:pPr>
            <w:r w:rsidRPr="00D72EF5">
              <w:t>0.00383</w:t>
            </w:r>
          </w:p>
        </w:tc>
        <w:tc>
          <w:tcPr>
            <w:tcW w:w="1736" w:type="dxa"/>
            <w:tcBorders>
              <w:top w:val="nil"/>
              <w:left w:val="nil"/>
              <w:bottom w:val="nil"/>
              <w:right w:val="nil"/>
            </w:tcBorders>
          </w:tcPr>
          <w:p w14:paraId="1F67DB92" w14:textId="77777777" w:rsidR="004B596D" w:rsidRPr="00D72EF5" w:rsidRDefault="004B596D" w:rsidP="004B596D">
            <w:pPr>
              <w:spacing w:line="240" w:lineRule="auto"/>
              <w:jc w:val="center"/>
            </w:pPr>
            <w:r w:rsidRPr="00D72EF5">
              <w:t>-0.00291</w:t>
            </w:r>
          </w:p>
        </w:tc>
      </w:tr>
      <w:tr w:rsidR="004B596D" w:rsidRPr="003935C0" w14:paraId="3EA8F528" w14:textId="77777777" w:rsidTr="00522D7D">
        <w:trPr>
          <w:trHeight w:val="181"/>
        </w:trPr>
        <w:tc>
          <w:tcPr>
            <w:tcW w:w="7088" w:type="dxa"/>
            <w:tcBorders>
              <w:top w:val="nil"/>
              <w:left w:val="nil"/>
              <w:bottom w:val="nil"/>
              <w:right w:val="nil"/>
            </w:tcBorders>
          </w:tcPr>
          <w:p w14:paraId="550757EC"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15C4E4B5" w14:textId="77777777" w:rsidR="004B596D" w:rsidRPr="00D72EF5" w:rsidRDefault="004B596D" w:rsidP="004B596D">
            <w:pPr>
              <w:spacing w:line="240" w:lineRule="auto"/>
              <w:jc w:val="center"/>
            </w:pPr>
            <w:r w:rsidRPr="00D72EF5">
              <w:t>(0.00353)</w:t>
            </w:r>
          </w:p>
        </w:tc>
        <w:tc>
          <w:tcPr>
            <w:tcW w:w="1984" w:type="dxa"/>
            <w:tcBorders>
              <w:top w:val="nil"/>
              <w:left w:val="nil"/>
              <w:bottom w:val="nil"/>
              <w:right w:val="nil"/>
            </w:tcBorders>
          </w:tcPr>
          <w:p w14:paraId="3D86C3C7" w14:textId="77777777" w:rsidR="004B596D" w:rsidRPr="00D72EF5" w:rsidRDefault="004B596D" w:rsidP="004B596D">
            <w:pPr>
              <w:spacing w:line="240" w:lineRule="auto"/>
              <w:jc w:val="center"/>
            </w:pPr>
            <w:r w:rsidRPr="00D72EF5">
              <w:t>(0.00446)</w:t>
            </w:r>
          </w:p>
        </w:tc>
        <w:tc>
          <w:tcPr>
            <w:tcW w:w="1817" w:type="dxa"/>
            <w:tcBorders>
              <w:top w:val="nil"/>
              <w:left w:val="nil"/>
              <w:bottom w:val="nil"/>
              <w:right w:val="nil"/>
            </w:tcBorders>
          </w:tcPr>
          <w:p w14:paraId="761182D4" w14:textId="77777777" w:rsidR="004B596D" w:rsidRPr="00D72EF5" w:rsidRDefault="004B596D" w:rsidP="004B596D">
            <w:pPr>
              <w:spacing w:line="240" w:lineRule="auto"/>
              <w:jc w:val="center"/>
            </w:pPr>
            <w:r w:rsidRPr="00D72EF5">
              <w:t>(0.00522)</w:t>
            </w:r>
          </w:p>
        </w:tc>
        <w:tc>
          <w:tcPr>
            <w:tcW w:w="1736" w:type="dxa"/>
            <w:tcBorders>
              <w:top w:val="nil"/>
              <w:left w:val="nil"/>
              <w:bottom w:val="nil"/>
              <w:right w:val="nil"/>
            </w:tcBorders>
          </w:tcPr>
          <w:p w14:paraId="18D5018B" w14:textId="77777777" w:rsidR="004B596D" w:rsidRPr="00D72EF5" w:rsidRDefault="004B596D" w:rsidP="004B596D">
            <w:pPr>
              <w:spacing w:line="240" w:lineRule="auto"/>
              <w:jc w:val="center"/>
            </w:pPr>
            <w:r w:rsidRPr="00D72EF5">
              <w:t>(0.00745)</w:t>
            </w:r>
          </w:p>
        </w:tc>
      </w:tr>
      <w:tr w:rsidR="004B596D" w:rsidRPr="003935C0" w14:paraId="30CD9005" w14:textId="77777777" w:rsidTr="00522D7D">
        <w:trPr>
          <w:trHeight w:val="195"/>
        </w:trPr>
        <w:tc>
          <w:tcPr>
            <w:tcW w:w="7088" w:type="dxa"/>
            <w:tcBorders>
              <w:top w:val="nil"/>
              <w:left w:val="nil"/>
              <w:bottom w:val="nil"/>
              <w:right w:val="nil"/>
            </w:tcBorders>
          </w:tcPr>
          <w:p w14:paraId="72D1DA31"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r w:rsidRPr="003935C0">
              <w:rPr>
                <w:rFonts w:eastAsia="Calibri"/>
                <w:szCs w:val="20"/>
                <w:lang w:val="en-US" w:eastAsia="en-US"/>
              </w:rPr>
              <w:t xml:space="preserve">MSCI IT Sensitivity on Sentiment </w:t>
            </w:r>
          </w:p>
        </w:tc>
        <w:tc>
          <w:tcPr>
            <w:tcW w:w="1843" w:type="dxa"/>
            <w:tcBorders>
              <w:top w:val="nil"/>
              <w:left w:val="nil"/>
              <w:bottom w:val="nil"/>
              <w:right w:val="nil"/>
            </w:tcBorders>
          </w:tcPr>
          <w:p w14:paraId="77AC81C2" w14:textId="77777777" w:rsidR="004B596D" w:rsidRPr="00D72EF5" w:rsidRDefault="004B596D" w:rsidP="004B596D">
            <w:pPr>
              <w:spacing w:line="240" w:lineRule="auto"/>
              <w:jc w:val="center"/>
            </w:pPr>
            <w:r w:rsidRPr="00D72EF5">
              <w:t>-0.000285</w:t>
            </w:r>
          </w:p>
        </w:tc>
        <w:tc>
          <w:tcPr>
            <w:tcW w:w="1984" w:type="dxa"/>
            <w:tcBorders>
              <w:top w:val="nil"/>
              <w:left w:val="nil"/>
              <w:bottom w:val="nil"/>
              <w:right w:val="nil"/>
            </w:tcBorders>
          </w:tcPr>
          <w:p w14:paraId="2FFAE856" w14:textId="77777777" w:rsidR="004B596D" w:rsidRPr="00D72EF5" w:rsidRDefault="004B596D" w:rsidP="004B596D">
            <w:pPr>
              <w:spacing w:line="240" w:lineRule="auto"/>
              <w:jc w:val="center"/>
            </w:pPr>
            <w:r w:rsidRPr="00D72EF5">
              <w:t>-0.000360</w:t>
            </w:r>
          </w:p>
        </w:tc>
        <w:tc>
          <w:tcPr>
            <w:tcW w:w="1817" w:type="dxa"/>
            <w:tcBorders>
              <w:top w:val="nil"/>
              <w:left w:val="nil"/>
              <w:bottom w:val="nil"/>
              <w:right w:val="nil"/>
            </w:tcBorders>
          </w:tcPr>
          <w:p w14:paraId="47B004A2" w14:textId="77777777" w:rsidR="004B596D" w:rsidRPr="00D72EF5" w:rsidRDefault="004B596D" w:rsidP="004B596D">
            <w:pPr>
              <w:spacing w:line="240" w:lineRule="auto"/>
              <w:jc w:val="center"/>
            </w:pPr>
            <w:r w:rsidRPr="00D72EF5">
              <w:t>0.000000727</w:t>
            </w:r>
          </w:p>
        </w:tc>
        <w:tc>
          <w:tcPr>
            <w:tcW w:w="1736" w:type="dxa"/>
            <w:tcBorders>
              <w:top w:val="nil"/>
              <w:left w:val="nil"/>
              <w:bottom w:val="nil"/>
              <w:right w:val="nil"/>
            </w:tcBorders>
          </w:tcPr>
          <w:p w14:paraId="46AE8914" w14:textId="77777777" w:rsidR="004B596D" w:rsidRPr="00D72EF5" w:rsidRDefault="004B596D" w:rsidP="004B596D">
            <w:pPr>
              <w:spacing w:line="240" w:lineRule="auto"/>
              <w:jc w:val="center"/>
            </w:pPr>
            <w:r w:rsidRPr="00D72EF5">
              <w:t>0.000238</w:t>
            </w:r>
          </w:p>
        </w:tc>
      </w:tr>
      <w:tr w:rsidR="004B596D" w:rsidRPr="003935C0" w14:paraId="45274BD8" w14:textId="77777777" w:rsidTr="00522D7D">
        <w:trPr>
          <w:trHeight w:val="195"/>
        </w:trPr>
        <w:tc>
          <w:tcPr>
            <w:tcW w:w="7088" w:type="dxa"/>
            <w:tcBorders>
              <w:top w:val="nil"/>
              <w:left w:val="nil"/>
              <w:bottom w:val="nil"/>
              <w:right w:val="nil"/>
            </w:tcBorders>
          </w:tcPr>
          <w:p w14:paraId="591ADBCB"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766EDBA0" w14:textId="77777777" w:rsidR="004B596D" w:rsidRPr="00D72EF5" w:rsidRDefault="004B596D" w:rsidP="004B596D">
            <w:pPr>
              <w:spacing w:line="240" w:lineRule="auto"/>
              <w:jc w:val="center"/>
            </w:pPr>
            <w:r w:rsidRPr="00D72EF5">
              <w:t>(0.000536)</w:t>
            </w:r>
          </w:p>
        </w:tc>
        <w:tc>
          <w:tcPr>
            <w:tcW w:w="1984" w:type="dxa"/>
            <w:tcBorders>
              <w:top w:val="nil"/>
              <w:left w:val="nil"/>
              <w:bottom w:val="nil"/>
              <w:right w:val="nil"/>
            </w:tcBorders>
          </w:tcPr>
          <w:p w14:paraId="15EC8403" w14:textId="77777777" w:rsidR="004B596D" w:rsidRPr="00D72EF5" w:rsidRDefault="004B596D" w:rsidP="004B596D">
            <w:pPr>
              <w:spacing w:line="240" w:lineRule="auto"/>
              <w:jc w:val="center"/>
            </w:pPr>
            <w:r w:rsidRPr="00D72EF5">
              <w:t>(0.000612)</w:t>
            </w:r>
          </w:p>
        </w:tc>
        <w:tc>
          <w:tcPr>
            <w:tcW w:w="1817" w:type="dxa"/>
            <w:tcBorders>
              <w:top w:val="nil"/>
              <w:left w:val="nil"/>
              <w:bottom w:val="nil"/>
              <w:right w:val="nil"/>
            </w:tcBorders>
          </w:tcPr>
          <w:p w14:paraId="2D91165F" w14:textId="77777777" w:rsidR="004B596D" w:rsidRPr="00D72EF5" w:rsidRDefault="004B596D" w:rsidP="004B596D">
            <w:pPr>
              <w:spacing w:line="240" w:lineRule="auto"/>
              <w:jc w:val="center"/>
            </w:pPr>
            <w:r w:rsidRPr="00D72EF5">
              <w:t>(0.000761)</w:t>
            </w:r>
          </w:p>
        </w:tc>
        <w:tc>
          <w:tcPr>
            <w:tcW w:w="1736" w:type="dxa"/>
            <w:tcBorders>
              <w:top w:val="nil"/>
              <w:left w:val="nil"/>
              <w:bottom w:val="nil"/>
              <w:right w:val="nil"/>
            </w:tcBorders>
          </w:tcPr>
          <w:p w14:paraId="32140597" w14:textId="77777777" w:rsidR="004B596D" w:rsidRPr="00D72EF5" w:rsidRDefault="004B596D" w:rsidP="004B596D">
            <w:pPr>
              <w:spacing w:line="240" w:lineRule="auto"/>
              <w:jc w:val="center"/>
            </w:pPr>
            <w:r w:rsidRPr="00D72EF5">
              <w:t>(0.000862)</w:t>
            </w:r>
          </w:p>
        </w:tc>
      </w:tr>
      <w:tr w:rsidR="004B596D" w:rsidRPr="003935C0" w14:paraId="585A60DE" w14:textId="77777777" w:rsidTr="00522D7D">
        <w:trPr>
          <w:trHeight w:val="181"/>
        </w:trPr>
        <w:tc>
          <w:tcPr>
            <w:tcW w:w="7088" w:type="dxa"/>
            <w:tcBorders>
              <w:top w:val="nil"/>
              <w:left w:val="nil"/>
              <w:bottom w:val="nil"/>
              <w:right w:val="nil"/>
            </w:tcBorders>
          </w:tcPr>
          <w:p w14:paraId="0F957D15"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r w:rsidRPr="003935C0">
              <w:rPr>
                <w:rFonts w:eastAsia="Calibri" w:cs="Arial"/>
                <w:szCs w:val="20"/>
                <w:lang w:val="en-US" w:eastAsia="en-US"/>
              </w:rPr>
              <w:t>Sentiment RTN *</w:t>
            </w:r>
            <w:r w:rsidRPr="003935C0">
              <w:rPr>
                <w:rFonts w:eastAsia="Calibri"/>
                <w:szCs w:val="20"/>
                <w:lang w:val="en-US" w:eastAsia="en-US"/>
              </w:rPr>
              <w:t xml:space="preserve"> MSCI IT Sensitivity on Sentiment</w:t>
            </w:r>
          </w:p>
        </w:tc>
        <w:tc>
          <w:tcPr>
            <w:tcW w:w="1843" w:type="dxa"/>
            <w:tcBorders>
              <w:top w:val="nil"/>
              <w:left w:val="nil"/>
              <w:bottom w:val="nil"/>
              <w:right w:val="nil"/>
            </w:tcBorders>
          </w:tcPr>
          <w:p w14:paraId="74EC3969" w14:textId="77777777" w:rsidR="004B596D" w:rsidRPr="00D72EF5" w:rsidRDefault="004B596D" w:rsidP="004B596D">
            <w:pPr>
              <w:spacing w:line="240" w:lineRule="auto"/>
              <w:jc w:val="center"/>
            </w:pPr>
            <w:r w:rsidRPr="00D72EF5">
              <w:t>0.00151</w:t>
            </w:r>
          </w:p>
        </w:tc>
        <w:tc>
          <w:tcPr>
            <w:tcW w:w="1984" w:type="dxa"/>
            <w:tcBorders>
              <w:top w:val="nil"/>
              <w:left w:val="nil"/>
              <w:bottom w:val="nil"/>
              <w:right w:val="nil"/>
            </w:tcBorders>
          </w:tcPr>
          <w:p w14:paraId="2563667C" w14:textId="77777777" w:rsidR="004B596D" w:rsidRPr="00D72EF5" w:rsidRDefault="004B596D" w:rsidP="004B596D">
            <w:pPr>
              <w:spacing w:line="240" w:lineRule="auto"/>
              <w:jc w:val="center"/>
            </w:pPr>
            <w:r w:rsidRPr="00D72EF5">
              <w:t>0.00223</w:t>
            </w:r>
          </w:p>
        </w:tc>
        <w:tc>
          <w:tcPr>
            <w:tcW w:w="1817" w:type="dxa"/>
            <w:tcBorders>
              <w:top w:val="nil"/>
              <w:left w:val="nil"/>
              <w:bottom w:val="nil"/>
              <w:right w:val="nil"/>
            </w:tcBorders>
          </w:tcPr>
          <w:p w14:paraId="715F67E7" w14:textId="77777777" w:rsidR="004B596D" w:rsidRPr="00D72EF5" w:rsidRDefault="004B596D" w:rsidP="004B596D">
            <w:pPr>
              <w:spacing w:line="240" w:lineRule="auto"/>
              <w:jc w:val="center"/>
            </w:pPr>
            <w:r w:rsidRPr="00D72EF5">
              <w:t>0.00557**</w:t>
            </w:r>
          </w:p>
        </w:tc>
        <w:tc>
          <w:tcPr>
            <w:tcW w:w="1736" w:type="dxa"/>
            <w:tcBorders>
              <w:top w:val="nil"/>
              <w:left w:val="nil"/>
              <w:bottom w:val="nil"/>
              <w:right w:val="nil"/>
            </w:tcBorders>
          </w:tcPr>
          <w:p w14:paraId="74220658" w14:textId="77777777" w:rsidR="004B596D" w:rsidRPr="00D72EF5" w:rsidRDefault="004B596D" w:rsidP="004B596D">
            <w:pPr>
              <w:spacing w:line="240" w:lineRule="auto"/>
              <w:jc w:val="center"/>
            </w:pPr>
            <w:r w:rsidRPr="00D72EF5">
              <w:t>0.00650**</w:t>
            </w:r>
          </w:p>
        </w:tc>
      </w:tr>
      <w:tr w:rsidR="004B596D" w:rsidRPr="003935C0" w14:paraId="4D574302" w14:textId="77777777" w:rsidTr="00522D7D">
        <w:trPr>
          <w:trHeight w:val="195"/>
        </w:trPr>
        <w:tc>
          <w:tcPr>
            <w:tcW w:w="7088" w:type="dxa"/>
            <w:tcBorders>
              <w:top w:val="nil"/>
              <w:left w:val="nil"/>
              <w:bottom w:val="nil"/>
              <w:right w:val="nil"/>
            </w:tcBorders>
          </w:tcPr>
          <w:p w14:paraId="1E430B14"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0D0CBD5C" w14:textId="77777777" w:rsidR="004B596D" w:rsidRPr="00D72EF5" w:rsidRDefault="004B596D" w:rsidP="004B596D">
            <w:pPr>
              <w:spacing w:line="240" w:lineRule="auto"/>
              <w:jc w:val="center"/>
            </w:pPr>
            <w:r w:rsidRPr="00D72EF5">
              <w:t>(0.00234)</w:t>
            </w:r>
          </w:p>
        </w:tc>
        <w:tc>
          <w:tcPr>
            <w:tcW w:w="1984" w:type="dxa"/>
            <w:tcBorders>
              <w:top w:val="nil"/>
              <w:left w:val="nil"/>
              <w:bottom w:val="nil"/>
              <w:right w:val="nil"/>
            </w:tcBorders>
          </w:tcPr>
          <w:p w14:paraId="3CC923A6" w14:textId="77777777" w:rsidR="004B596D" w:rsidRPr="00D72EF5" w:rsidRDefault="004B596D" w:rsidP="004B596D">
            <w:pPr>
              <w:spacing w:line="240" w:lineRule="auto"/>
              <w:jc w:val="center"/>
            </w:pPr>
            <w:r w:rsidRPr="00D72EF5">
              <w:t>(0.00249)</w:t>
            </w:r>
          </w:p>
        </w:tc>
        <w:tc>
          <w:tcPr>
            <w:tcW w:w="1817" w:type="dxa"/>
            <w:tcBorders>
              <w:top w:val="nil"/>
              <w:left w:val="nil"/>
              <w:bottom w:val="nil"/>
              <w:right w:val="nil"/>
            </w:tcBorders>
          </w:tcPr>
          <w:p w14:paraId="0B697E1C" w14:textId="77777777" w:rsidR="004B596D" w:rsidRPr="00D72EF5" w:rsidRDefault="004B596D" w:rsidP="004B596D">
            <w:pPr>
              <w:spacing w:line="240" w:lineRule="auto"/>
              <w:jc w:val="center"/>
            </w:pPr>
            <w:r w:rsidRPr="00D72EF5">
              <w:t>(0.00278)</w:t>
            </w:r>
          </w:p>
        </w:tc>
        <w:tc>
          <w:tcPr>
            <w:tcW w:w="1736" w:type="dxa"/>
            <w:tcBorders>
              <w:top w:val="nil"/>
              <w:left w:val="nil"/>
              <w:bottom w:val="nil"/>
              <w:right w:val="nil"/>
            </w:tcBorders>
          </w:tcPr>
          <w:p w14:paraId="6917B3BD" w14:textId="77777777" w:rsidR="004B596D" w:rsidRPr="00D72EF5" w:rsidRDefault="004B596D" w:rsidP="004B596D">
            <w:pPr>
              <w:spacing w:line="240" w:lineRule="auto"/>
              <w:jc w:val="center"/>
            </w:pPr>
            <w:r w:rsidRPr="00D72EF5">
              <w:t>(0.00307)</w:t>
            </w:r>
          </w:p>
        </w:tc>
      </w:tr>
      <w:tr w:rsidR="004B596D" w:rsidRPr="003935C0" w14:paraId="5A766FB8" w14:textId="77777777" w:rsidTr="00522D7D">
        <w:trPr>
          <w:trHeight w:val="195"/>
        </w:trPr>
        <w:tc>
          <w:tcPr>
            <w:tcW w:w="7088" w:type="dxa"/>
            <w:tcBorders>
              <w:top w:val="nil"/>
              <w:left w:val="nil"/>
              <w:bottom w:val="nil"/>
              <w:right w:val="nil"/>
            </w:tcBorders>
          </w:tcPr>
          <w:p w14:paraId="27B28C67"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r w:rsidRPr="003935C0">
              <w:rPr>
                <w:rFonts w:eastAsia="Calibri"/>
                <w:szCs w:val="20"/>
                <w:lang w:val="en-US" w:eastAsia="en-US"/>
              </w:rPr>
              <w:t>MSCI World Energy Sensitivity on Sentiment</w:t>
            </w:r>
          </w:p>
        </w:tc>
        <w:tc>
          <w:tcPr>
            <w:tcW w:w="1843" w:type="dxa"/>
            <w:tcBorders>
              <w:top w:val="nil"/>
              <w:left w:val="nil"/>
              <w:bottom w:val="nil"/>
              <w:right w:val="nil"/>
            </w:tcBorders>
          </w:tcPr>
          <w:p w14:paraId="07C11BBF" w14:textId="77777777" w:rsidR="004B596D" w:rsidRPr="00D72EF5" w:rsidRDefault="004B596D" w:rsidP="004B596D">
            <w:pPr>
              <w:spacing w:line="240" w:lineRule="auto"/>
              <w:jc w:val="center"/>
            </w:pPr>
          </w:p>
        </w:tc>
        <w:tc>
          <w:tcPr>
            <w:tcW w:w="1984" w:type="dxa"/>
            <w:tcBorders>
              <w:top w:val="nil"/>
              <w:left w:val="nil"/>
              <w:bottom w:val="nil"/>
              <w:right w:val="nil"/>
            </w:tcBorders>
          </w:tcPr>
          <w:p w14:paraId="16521713" w14:textId="77777777" w:rsidR="004B596D" w:rsidRPr="00D72EF5" w:rsidRDefault="004B596D" w:rsidP="004B596D">
            <w:pPr>
              <w:spacing w:line="240" w:lineRule="auto"/>
              <w:jc w:val="center"/>
            </w:pPr>
            <w:r w:rsidRPr="00D72EF5">
              <w:t>0.0000869</w:t>
            </w:r>
          </w:p>
        </w:tc>
        <w:tc>
          <w:tcPr>
            <w:tcW w:w="1817" w:type="dxa"/>
            <w:tcBorders>
              <w:top w:val="nil"/>
              <w:left w:val="nil"/>
              <w:bottom w:val="nil"/>
              <w:right w:val="nil"/>
            </w:tcBorders>
          </w:tcPr>
          <w:p w14:paraId="664BFF94" w14:textId="77777777" w:rsidR="004B596D" w:rsidRPr="00D72EF5" w:rsidRDefault="004B596D" w:rsidP="004B596D">
            <w:pPr>
              <w:spacing w:line="240" w:lineRule="auto"/>
              <w:jc w:val="center"/>
            </w:pPr>
            <w:r w:rsidRPr="00D72EF5">
              <w:t>-0.0000619</w:t>
            </w:r>
          </w:p>
        </w:tc>
        <w:tc>
          <w:tcPr>
            <w:tcW w:w="1736" w:type="dxa"/>
            <w:tcBorders>
              <w:top w:val="nil"/>
              <w:left w:val="nil"/>
              <w:bottom w:val="nil"/>
              <w:right w:val="nil"/>
            </w:tcBorders>
          </w:tcPr>
          <w:p w14:paraId="0C98BC24" w14:textId="77777777" w:rsidR="004B596D" w:rsidRPr="00D72EF5" w:rsidRDefault="004B596D" w:rsidP="004B596D">
            <w:pPr>
              <w:spacing w:line="240" w:lineRule="auto"/>
              <w:jc w:val="center"/>
            </w:pPr>
            <w:r w:rsidRPr="00D72EF5">
              <w:t>-0.000106</w:t>
            </w:r>
          </w:p>
        </w:tc>
      </w:tr>
      <w:tr w:rsidR="004B596D" w:rsidRPr="003935C0" w14:paraId="3BF01121" w14:textId="77777777" w:rsidTr="00522D7D">
        <w:trPr>
          <w:trHeight w:val="195"/>
        </w:trPr>
        <w:tc>
          <w:tcPr>
            <w:tcW w:w="7088" w:type="dxa"/>
            <w:tcBorders>
              <w:top w:val="nil"/>
              <w:left w:val="nil"/>
              <w:bottom w:val="nil"/>
              <w:right w:val="nil"/>
            </w:tcBorders>
          </w:tcPr>
          <w:p w14:paraId="0CA8B9FE"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3FF3F813" w14:textId="77777777" w:rsidR="004B596D" w:rsidRPr="00D72EF5" w:rsidRDefault="004B596D" w:rsidP="004B596D">
            <w:pPr>
              <w:spacing w:line="240" w:lineRule="auto"/>
              <w:jc w:val="center"/>
            </w:pPr>
          </w:p>
        </w:tc>
        <w:tc>
          <w:tcPr>
            <w:tcW w:w="1984" w:type="dxa"/>
            <w:tcBorders>
              <w:top w:val="nil"/>
              <w:left w:val="nil"/>
              <w:bottom w:val="nil"/>
              <w:right w:val="nil"/>
            </w:tcBorders>
          </w:tcPr>
          <w:p w14:paraId="0D80D097" w14:textId="77777777" w:rsidR="004B596D" w:rsidRPr="00D72EF5" w:rsidRDefault="004B596D" w:rsidP="004B596D">
            <w:pPr>
              <w:spacing w:line="240" w:lineRule="auto"/>
              <w:jc w:val="center"/>
            </w:pPr>
            <w:r w:rsidRPr="00D72EF5">
              <w:t>(0.000462)</w:t>
            </w:r>
          </w:p>
        </w:tc>
        <w:tc>
          <w:tcPr>
            <w:tcW w:w="1817" w:type="dxa"/>
            <w:tcBorders>
              <w:top w:val="nil"/>
              <w:left w:val="nil"/>
              <w:bottom w:val="nil"/>
              <w:right w:val="nil"/>
            </w:tcBorders>
          </w:tcPr>
          <w:p w14:paraId="21CEE29C" w14:textId="77777777" w:rsidR="004B596D" w:rsidRPr="00D72EF5" w:rsidRDefault="004B596D" w:rsidP="004B596D">
            <w:pPr>
              <w:spacing w:line="240" w:lineRule="auto"/>
              <w:jc w:val="center"/>
            </w:pPr>
            <w:r w:rsidRPr="00D72EF5">
              <w:t>(0.000530)</w:t>
            </w:r>
          </w:p>
        </w:tc>
        <w:tc>
          <w:tcPr>
            <w:tcW w:w="1736" w:type="dxa"/>
            <w:tcBorders>
              <w:top w:val="nil"/>
              <w:left w:val="nil"/>
              <w:bottom w:val="nil"/>
              <w:right w:val="nil"/>
            </w:tcBorders>
          </w:tcPr>
          <w:p w14:paraId="18D84587" w14:textId="77777777" w:rsidR="004B596D" w:rsidRPr="00D72EF5" w:rsidRDefault="004B596D" w:rsidP="004B596D">
            <w:pPr>
              <w:spacing w:line="240" w:lineRule="auto"/>
              <w:jc w:val="center"/>
            </w:pPr>
            <w:r w:rsidRPr="00D72EF5">
              <w:t>(0.000537)</w:t>
            </w:r>
          </w:p>
        </w:tc>
      </w:tr>
      <w:tr w:rsidR="004B596D" w:rsidRPr="003935C0" w14:paraId="3E047088" w14:textId="77777777" w:rsidTr="00522D7D">
        <w:trPr>
          <w:trHeight w:val="181"/>
        </w:trPr>
        <w:tc>
          <w:tcPr>
            <w:tcW w:w="7088" w:type="dxa"/>
            <w:tcBorders>
              <w:top w:val="nil"/>
              <w:left w:val="nil"/>
              <w:bottom w:val="nil"/>
              <w:right w:val="nil"/>
            </w:tcBorders>
          </w:tcPr>
          <w:p w14:paraId="03CDE49A"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r w:rsidRPr="003935C0">
              <w:rPr>
                <w:rFonts w:eastAsia="Calibri" w:cs="Arial"/>
                <w:szCs w:val="20"/>
                <w:lang w:val="en-US" w:eastAsia="en-US"/>
              </w:rPr>
              <w:t>Sentiment RTN *</w:t>
            </w:r>
            <w:r w:rsidRPr="003935C0">
              <w:rPr>
                <w:rFonts w:eastAsia="Calibri"/>
                <w:szCs w:val="20"/>
                <w:lang w:val="en-US" w:eastAsia="en-US"/>
              </w:rPr>
              <w:t xml:space="preserve"> MSCI World Energy Sensitivity on Sentiment</w:t>
            </w:r>
          </w:p>
        </w:tc>
        <w:tc>
          <w:tcPr>
            <w:tcW w:w="1843" w:type="dxa"/>
            <w:tcBorders>
              <w:top w:val="nil"/>
              <w:left w:val="nil"/>
              <w:bottom w:val="nil"/>
              <w:right w:val="nil"/>
            </w:tcBorders>
          </w:tcPr>
          <w:p w14:paraId="0CC7919C" w14:textId="77777777" w:rsidR="004B596D" w:rsidRPr="00D72EF5" w:rsidRDefault="004B596D" w:rsidP="004B596D">
            <w:pPr>
              <w:spacing w:line="240" w:lineRule="auto"/>
              <w:jc w:val="center"/>
            </w:pPr>
          </w:p>
        </w:tc>
        <w:tc>
          <w:tcPr>
            <w:tcW w:w="1984" w:type="dxa"/>
            <w:tcBorders>
              <w:top w:val="nil"/>
              <w:left w:val="nil"/>
              <w:bottom w:val="nil"/>
              <w:right w:val="nil"/>
            </w:tcBorders>
          </w:tcPr>
          <w:p w14:paraId="5F29C0D9" w14:textId="77777777" w:rsidR="004B596D" w:rsidRPr="00D72EF5" w:rsidRDefault="004B596D" w:rsidP="004B596D">
            <w:pPr>
              <w:spacing w:line="240" w:lineRule="auto"/>
              <w:jc w:val="center"/>
            </w:pPr>
            <w:r w:rsidRPr="00D72EF5">
              <w:t>-0.000984</w:t>
            </w:r>
          </w:p>
        </w:tc>
        <w:tc>
          <w:tcPr>
            <w:tcW w:w="1817" w:type="dxa"/>
            <w:tcBorders>
              <w:top w:val="nil"/>
              <w:left w:val="nil"/>
              <w:bottom w:val="nil"/>
              <w:right w:val="nil"/>
            </w:tcBorders>
          </w:tcPr>
          <w:p w14:paraId="5FD820FE" w14:textId="77777777" w:rsidR="004B596D" w:rsidRPr="00D72EF5" w:rsidRDefault="004B596D" w:rsidP="004B596D">
            <w:pPr>
              <w:spacing w:line="240" w:lineRule="auto"/>
              <w:jc w:val="center"/>
            </w:pPr>
            <w:r w:rsidRPr="00D72EF5">
              <w:t>-0.00289*</w:t>
            </w:r>
          </w:p>
        </w:tc>
        <w:tc>
          <w:tcPr>
            <w:tcW w:w="1736" w:type="dxa"/>
            <w:tcBorders>
              <w:top w:val="nil"/>
              <w:left w:val="nil"/>
              <w:bottom w:val="nil"/>
              <w:right w:val="nil"/>
            </w:tcBorders>
          </w:tcPr>
          <w:p w14:paraId="01769A27" w14:textId="77777777" w:rsidR="004B596D" w:rsidRPr="00D72EF5" w:rsidRDefault="004B596D" w:rsidP="004B596D">
            <w:pPr>
              <w:spacing w:line="240" w:lineRule="auto"/>
              <w:jc w:val="center"/>
            </w:pPr>
            <w:r w:rsidRPr="00D72EF5">
              <w:t>-0.00299*</w:t>
            </w:r>
          </w:p>
        </w:tc>
      </w:tr>
      <w:tr w:rsidR="004B596D" w:rsidRPr="003935C0" w14:paraId="52908DB7" w14:textId="77777777" w:rsidTr="00522D7D">
        <w:trPr>
          <w:trHeight w:val="195"/>
        </w:trPr>
        <w:tc>
          <w:tcPr>
            <w:tcW w:w="7088" w:type="dxa"/>
            <w:tcBorders>
              <w:top w:val="nil"/>
              <w:left w:val="nil"/>
              <w:bottom w:val="nil"/>
              <w:right w:val="nil"/>
            </w:tcBorders>
          </w:tcPr>
          <w:p w14:paraId="4B5DEB3F"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6D16AD05" w14:textId="77777777" w:rsidR="004B596D" w:rsidRPr="00D72EF5" w:rsidRDefault="004B596D" w:rsidP="004B596D">
            <w:pPr>
              <w:spacing w:line="240" w:lineRule="auto"/>
              <w:jc w:val="center"/>
            </w:pPr>
          </w:p>
        </w:tc>
        <w:tc>
          <w:tcPr>
            <w:tcW w:w="1984" w:type="dxa"/>
            <w:tcBorders>
              <w:top w:val="nil"/>
              <w:left w:val="nil"/>
              <w:bottom w:val="nil"/>
              <w:right w:val="nil"/>
            </w:tcBorders>
          </w:tcPr>
          <w:p w14:paraId="19F8908E" w14:textId="77777777" w:rsidR="004B596D" w:rsidRPr="00D72EF5" w:rsidRDefault="004B596D" w:rsidP="004B596D">
            <w:pPr>
              <w:spacing w:line="240" w:lineRule="auto"/>
              <w:jc w:val="center"/>
            </w:pPr>
            <w:r w:rsidRPr="00D72EF5">
              <w:t>(0.00148)</w:t>
            </w:r>
          </w:p>
        </w:tc>
        <w:tc>
          <w:tcPr>
            <w:tcW w:w="1817" w:type="dxa"/>
            <w:tcBorders>
              <w:top w:val="nil"/>
              <w:left w:val="nil"/>
              <w:bottom w:val="nil"/>
              <w:right w:val="nil"/>
            </w:tcBorders>
          </w:tcPr>
          <w:p w14:paraId="6FCE5540" w14:textId="77777777" w:rsidR="004B596D" w:rsidRPr="00D72EF5" w:rsidRDefault="004B596D" w:rsidP="004B596D">
            <w:pPr>
              <w:spacing w:line="240" w:lineRule="auto"/>
              <w:jc w:val="center"/>
            </w:pPr>
            <w:r w:rsidRPr="00D72EF5">
              <w:t>(0.00170)</w:t>
            </w:r>
          </w:p>
        </w:tc>
        <w:tc>
          <w:tcPr>
            <w:tcW w:w="1736" w:type="dxa"/>
            <w:tcBorders>
              <w:top w:val="nil"/>
              <w:left w:val="nil"/>
              <w:bottom w:val="nil"/>
              <w:right w:val="nil"/>
            </w:tcBorders>
          </w:tcPr>
          <w:p w14:paraId="59A964E5" w14:textId="77777777" w:rsidR="004B596D" w:rsidRPr="00D72EF5" w:rsidRDefault="004B596D" w:rsidP="004B596D">
            <w:pPr>
              <w:spacing w:line="240" w:lineRule="auto"/>
              <w:jc w:val="center"/>
            </w:pPr>
            <w:r w:rsidRPr="00D72EF5">
              <w:t>(0.00170)</w:t>
            </w:r>
          </w:p>
        </w:tc>
      </w:tr>
      <w:tr w:rsidR="004B596D" w:rsidRPr="003935C0" w14:paraId="3E33EE2C" w14:textId="77777777" w:rsidTr="00522D7D">
        <w:trPr>
          <w:trHeight w:val="195"/>
        </w:trPr>
        <w:tc>
          <w:tcPr>
            <w:tcW w:w="7088" w:type="dxa"/>
            <w:tcBorders>
              <w:top w:val="nil"/>
              <w:left w:val="nil"/>
              <w:bottom w:val="nil"/>
              <w:right w:val="nil"/>
            </w:tcBorders>
          </w:tcPr>
          <w:p w14:paraId="0E998E3C"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r w:rsidRPr="003935C0">
              <w:rPr>
                <w:rFonts w:eastAsia="Calibri"/>
                <w:szCs w:val="20"/>
                <w:lang w:val="en-US" w:eastAsia="en-US"/>
              </w:rPr>
              <w:t>S&amp;P Global Clean Energy Sensitivity on Sentiment</w:t>
            </w:r>
          </w:p>
        </w:tc>
        <w:tc>
          <w:tcPr>
            <w:tcW w:w="1843" w:type="dxa"/>
            <w:tcBorders>
              <w:top w:val="nil"/>
              <w:left w:val="nil"/>
              <w:bottom w:val="nil"/>
              <w:right w:val="nil"/>
            </w:tcBorders>
          </w:tcPr>
          <w:p w14:paraId="33F244BA" w14:textId="77777777" w:rsidR="004B596D" w:rsidRPr="00D72EF5" w:rsidRDefault="004B596D" w:rsidP="004B596D">
            <w:pPr>
              <w:spacing w:line="240" w:lineRule="auto"/>
              <w:jc w:val="center"/>
            </w:pPr>
          </w:p>
        </w:tc>
        <w:tc>
          <w:tcPr>
            <w:tcW w:w="1984" w:type="dxa"/>
            <w:tcBorders>
              <w:top w:val="nil"/>
              <w:left w:val="nil"/>
              <w:bottom w:val="nil"/>
              <w:right w:val="nil"/>
            </w:tcBorders>
          </w:tcPr>
          <w:p w14:paraId="70435E7F" w14:textId="77777777" w:rsidR="004B596D" w:rsidRPr="00D72EF5" w:rsidRDefault="004B596D" w:rsidP="004B596D">
            <w:pPr>
              <w:spacing w:line="240" w:lineRule="auto"/>
              <w:jc w:val="center"/>
            </w:pPr>
          </w:p>
        </w:tc>
        <w:tc>
          <w:tcPr>
            <w:tcW w:w="1817" w:type="dxa"/>
            <w:tcBorders>
              <w:top w:val="nil"/>
              <w:left w:val="nil"/>
              <w:bottom w:val="nil"/>
              <w:right w:val="nil"/>
            </w:tcBorders>
          </w:tcPr>
          <w:p w14:paraId="638D208D" w14:textId="77777777" w:rsidR="004B596D" w:rsidRPr="00D72EF5" w:rsidRDefault="004B596D" w:rsidP="004B596D">
            <w:pPr>
              <w:spacing w:line="240" w:lineRule="auto"/>
              <w:jc w:val="center"/>
            </w:pPr>
            <w:r w:rsidRPr="00D72EF5">
              <w:t>0.775</w:t>
            </w:r>
          </w:p>
        </w:tc>
        <w:tc>
          <w:tcPr>
            <w:tcW w:w="1736" w:type="dxa"/>
            <w:tcBorders>
              <w:top w:val="nil"/>
              <w:left w:val="nil"/>
              <w:bottom w:val="nil"/>
              <w:right w:val="nil"/>
            </w:tcBorders>
          </w:tcPr>
          <w:p w14:paraId="3826A926" w14:textId="77777777" w:rsidR="004B596D" w:rsidRPr="00D72EF5" w:rsidRDefault="004B596D" w:rsidP="004B596D">
            <w:pPr>
              <w:spacing w:line="240" w:lineRule="auto"/>
              <w:jc w:val="center"/>
            </w:pPr>
            <w:r w:rsidRPr="00D72EF5">
              <w:t>1.009</w:t>
            </w:r>
          </w:p>
        </w:tc>
      </w:tr>
      <w:tr w:rsidR="004B596D" w:rsidRPr="003935C0" w14:paraId="1677D344" w14:textId="77777777" w:rsidTr="00522D7D">
        <w:trPr>
          <w:trHeight w:val="195"/>
        </w:trPr>
        <w:tc>
          <w:tcPr>
            <w:tcW w:w="7088" w:type="dxa"/>
            <w:tcBorders>
              <w:top w:val="nil"/>
              <w:left w:val="nil"/>
              <w:bottom w:val="nil"/>
              <w:right w:val="nil"/>
            </w:tcBorders>
          </w:tcPr>
          <w:p w14:paraId="6944DFE1"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124DA909" w14:textId="77777777" w:rsidR="004B596D" w:rsidRPr="00D72EF5" w:rsidRDefault="004B596D" w:rsidP="004B596D">
            <w:pPr>
              <w:spacing w:line="240" w:lineRule="auto"/>
              <w:jc w:val="center"/>
            </w:pPr>
          </w:p>
        </w:tc>
        <w:tc>
          <w:tcPr>
            <w:tcW w:w="1984" w:type="dxa"/>
            <w:tcBorders>
              <w:top w:val="nil"/>
              <w:left w:val="nil"/>
              <w:bottom w:val="nil"/>
              <w:right w:val="nil"/>
            </w:tcBorders>
          </w:tcPr>
          <w:p w14:paraId="485A8022" w14:textId="77777777" w:rsidR="004B596D" w:rsidRPr="00D72EF5" w:rsidRDefault="004B596D" w:rsidP="004B596D">
            <w:pPr>
              <w:spacing w:line="240" w:lineRule="auto"/>
              <w:jc w:val="center"/>
            </w:pPr>
          </w:p>
        </w:tc>
        <w:tc>
          <w:tcPr>
            <w:tcW w:w="1817" w:type="dxa"/>
            <w:tcBorders>
              <w:top w:val="nil"/>
              <w:left w:val="nil"/>
              <w:bottom w:val="nil"/>
              <w:right w:val="nil"/>
            </w:tcBorders>
          </w:tcPr>
          <w:p w14:paraId="52F2653A" w14:textId="77777777" w:rsidR="004B596D" w:rsidRPr="00D72EF5" w:rsidRDefault="004B596D" w:rsidP="004B596D">
            <w:pPr>
              <w:spacing w:line="240" w:lineRule="auto"/>
              <w:jc w:val="center"/>
            </w:pPr>
            <w:r w:rsidRPr="00D72EF5">
              <w:t>(0.827)</w:t>
            </w:r>
          </w:p>
        </w:tc>
        <w:tc>
          <w:tcPr>
            <w:tcW w:w="1736" w:type="dxa"/>
            <w:tcBorders>
              <w:top w:val="nil"/>
              <w:left w:val="nil"/>
              <w:bottom w:val="nil"/>
              <w:right w:val="nil"/>
            </w:tcBorders>
          </w:tcPr>
          <w:p w14:paraId="382249D9" w14:textId="77777777" w:rsidR="004B596D" w:rsidRPr="00D72EF5" w:rsidRDefault="004B596D" w:rsidP="004B596D">
            <w:pPr>
              <w:spacing w:line="240" w:lineRule="auto"/>
              <w:jc w:val="center"/>
            </w:pPr>
            <w:r w:rsidRPr="00D72EF5">
              <w:t>(0.897)</w:t>
            </w:r>
          </w:p>
        </w:tc>
      </w:tr>
      <w:tr w:rsidR="004B596D" w:rsidRPr="003935C0" w14:paraId="541FA24A" w14:textId="77777777" w:rsidTr="00522D7D">
        <w:trPr>
          <w:trHeight w:val="217"/>
        </w:trPr>
        <w:tc>
          <w:tcPr>
            <w:tcW w:w="7088" w:type="dxa"/>
            <w:tcBorders>
              <w:top w:val="nil"/>
              <w:left w:val="nil"/>
              <w:bottom w:val="nil"/>
              <w:right w:val="nil"/>
            </w:tcBorders>
          </w:tcPr>
          <w:p w14:paraId="0DF08B7B"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r w:rsidRPr="003935C0">
              <w:rPr>
                <w:rFonts w:eastAsia="Calibri" w:cs="Arial"/>
                <w:szCs w:val="20"/>
                <w:lang w:val="en-US" w:eastAsia="en-US"/>
              </w:rPr>
              <w:t xml:space="preserve">Sentiment RTN * </w:t>
            </w:r>
            <w:r w:rsidRPr="003935C0">
              <w:rPr>
                <w:rFonts w:eastAsia="Calibri"/>
                <w:szCs w:val="20"/>
                <w:lang w:val="en-US" w:eastAsia="en-US"/>
              </w:rPr>
              <w:t>S&amp;P Global Clean Energy Sensitivity on Sentiment</w:t>
            </w:r>
          </w:p>
        </w:tc>
        <w:tc>
          <w:tcPr>
            <w:tcW w:w="1843" w:type="dxa"/>
            <w:tcBorders>
              <w:top w:val="nil"/>
              <w:left w:val="nil"/>
              <w:bottom w:val="nil"/>
              <w:right w:val="nil"/>
            </w:tcBorders>
          </w:tcPr>
          <w:p w14:paraId="6023B4DD" w14:textId="77777777" w:rsidR="004B596D" w:rsidRPr="00D72EF5" w:rsidRDefault="004B596D" w:rsidP="004B596D">
            <w:pPr>
              <w:spacing w:line="240" w:lineRule="auto"/>
              <w:jc w:val="center"/>
            </w:pPr>
          </w:p>
        </w:tc>
        <w:tc>
          <w:tcPr>
            <w:tcW w:w="1984" w:type="dxa"/>
            <w:tcBorders>
              <w:top w:val="nil"/>
              <w:left w:val="nil"/>
              <w:bottom w:val="nil"/>
              <w:right w:val="nil"/>
            </w:tcBorders>
          </w:tcPr>
          <w:p w14:paraId="54DE718D" w14:textId="77777777" w:rsidR="004B596D" w:rsidRPr="00D72EF5" w:rsidRDefault="004B596D" w:rsidP="004B596D">
            <w:pPr>
              <w:spacing w:line="240" w:lineRule="auto"/>
              <w:jc w:val="center"/>
            </w:pPr>
          </w:p>
        </w:tc>
        <w:tc>
          <w:tcPr>
            <w:tcW w:w="1817" w:type="dxa"/>
            <w:tcBorders>
              <w:top w:val="nil"/>
              <w:left w:val="nil"/>
              <w:bottom w:val="nil"/>
              <w:right w:val="nil"/>
            </w:tcBorders>
          </w:tcPr>
          <w:p w14:paraId="74B7244F" w14:textId="77777777" w:rsidR="004B596D" w:rsidRPr="00D72EF5" w:rsidRDefault="004B596D" w:rsidP="004B596D">
            <w:pPr>
              <w:spacing w:line="240" w:lineRule="auto"/>
              <w:jc w:val="center"/>
            </w:pPr>
            <w:r w:rsidRPr="00D72EF5">
              <w:t>8.337***</w:t>
            </w:r>
          </w:p>
        </w:tc>
        <w:tc>
          <w:tcPr>
            <w:tcW w:w="1736" w:type="dxa"/>
            <w:tcBorders>
              <w:top w:val="nil"/>
              <w:left w:val="nil"/>
              <w:bottom w:val="nil"/>
              <w:right w:val="nil"/>
            </w:tcBorders>
          </w:tcPr>
          <w:p w14:paraId="30F8CEBB" w14:textId="77777777" w:rsidR="004B596D" w:rsidRPr="00D72EF5" w:rsidRDefault="004B596D" w:rsidP="004B596D">
            <w:pPr>
              <w:spacing w:line="240" w:lineRule="auto"/>
              <w:jc w:val="center"/>
            </w:pPr>
            <w:r w:rsidRPr="00D72EF5">
              <w:t>9.775***</w:t>
            </w:r>
          </w:p>
        </w:tc>
      </w:tr>
      <w:tr w:rsidR="004B596D" w:rsidRPr="003935C0" w14:paraId="5D678BEC" w14:textId="77777777" w:rsidTr="00522D7D">
        <w:trPr>
          <w:trHeight w:val="195"/>
        </w:trPr>
        <w:tc>
          <w:tcPr>
            <w:tcW w:w="7088" w:type="dxa"/>
            <w:tcBorders>
              <w:top w:val="nil"/>
              <w:left w:val="nil"/>
              <w:bottom w:val="nil"/>
              <w:right w:val="nil"/>
            </w:tcBorders>
          </w:tcPr>
          <w:p w14:paraId="5CA1E03A"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4923E7C3" w14:textId="77777777" w:rsidR="004B596D" w:rsidRPr="00D72EF5" w:rsidRDefault="004B596D" w:rsidP="004B596D">
            <w:pPr>
              <w:spacing w:line="240" w:lineRule="auto"/>
              <w:jc w:val="center"/>
            </w:pPr>
          </w:p>
        </w:tc>
        <w:tc>
          <w:tcPr>
            <w:tcW w:w="1984" w:type="dxa"/>
            <w:tcBorders>
              <w:top w:val="nil"/>
              <w:left w:val="nil"/>
              <w:bottom w:val="nil"/>
              <w:right w:val="nil"/>
            </w:tcBorders>
          </w:tcPr>
          <w:p w14:paraId="017F03C1" w14:textId="77777777" w:rsidR="004B596D" w:rsidRPr="00D72EF5" w:rsidRDefault="004B596D" w:rsidP="004B596D">
            <w:pPr>
              <w:spacing w:line="240" w:lineRule="auto"/>
              <w:jc w:val="center"/>
            </w:pPr>
          </w:p>
        </w:tc>
        <w:tc>
          <w:tcPr>
            <w:tcW w:w="1817" w:type="dxa"/>
            <w:tcBorders>
              <w:top w:val="nil"/>
              <w:left w:val="nil"/>
              <w:bottom w:val="nil"/>
              <w:right w:val="nil"/>
            </w:tcBorders>
          </w:tcPr>
          <w:p w14:paraId="00BFA369" w14:textId="77777777" w:rsidR="004B596D" w:rsidRPr="00D72EF5" w:rsidRDefault="004B596D" w:rsidP="004B596D">
            <w:pPr>
              <w:spacing w:line="240" w:lineRule="auto"/>
              <w:jc w:val="center"/>
            </w:pPr>
            <w:r w:rsidRPr="00D72EF5">
              <w:t>(3.127)</w:t>
            </w:r>
          </w:p>
        </w:tc>
        <w:tc>
          <w:tcPr>
            <w:tcW w:w="1736" w:type="dxa"/>
            <w:tcBorders>
              <w:top w:val="nil"/>
              <w:left w:val="nil"/>
              <w:bottom w:val="nil"/>
              <w:right w:val="nil"/>
            </w:tcBorders>
          </w:tcPr>
          <w:p w14:paraId="52ECB1A3" w14:textId="77777777" w:rsidR="004B596D" w:rsidRPr="00D72EF5" w:rsidRDefault="004B596D" w:rsidP="004B596D">
            <w:pPr>
              <w:spacing w:line="240" w:lineRule="auto"/>
              <w:jc w:val="center"/>
            </w:pPr>
            <w:r w:rsidRPr="00D72EF5">
              <w:t>(3.569)</w:t>
            </w:r>
          </w:p>
        </w:tc>
      </w:tr>
      <w:tr w:rsidR="004B596D" w:rsidRPr="003935C0" w14:paraId="2DC75208" w14:textId="77777777" w:rsidTr="00522D7D">
        <w:trPr>
          <w:trHeight w:val="87"/>
        </w:trPr>
        <w:tc>
          <w:tcPr>
            <w:tcW w:w="7088" w:type="dxa"/>
            <w:tcBorders>
              <w:top w:val="nil"/>
              <w:left w:val="nil"/>
              <w:bottom w:val="nil"/>
              <w:right w:val="nil"/>
            </w:tcBorders>
          </w:tcPr>
          <w:p w14:paraId="686FB5D2"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r w:rsidRPr="003935C0">
              <w:rPr>
                <w:rFonts w:eastAsia="Calibri"/>
                <w:szCs w:val="20"/>
                <w:lang w:val="en-US" w:eastAsia="en-US"/>
              </w:rPr>
              <w:t>MSCI World Bank Sensitivity on Sentiment</w:t>
            </w:r>
          </w:p>
        </w:tc>
        <w:tc>
          <w:tcPr>
            <w:tcW w:w="1843" w:type="dxa"/>
            <w:tcBorders>
              <w:top w:val="nil"/>
              <w:left w:val="nil"/>
              <w:bottom w:val="nil"/>
              <w:right w:val="nil"/>
            </w:tcBorders>
          </w:tcPr>
          <w:p w14:paraId="209F385F" w14:textId="77777777" w:rsidR="004B596D" w:rsidRPr="00D72EF5" w:rsidRDefault="004B596D" w:rsidP="004B596D">
            <w:pPr>
              <w:spacing w:line="240" w:lineRule="auto"/>
              <w:jc w:val="center"/>
            </w:pPr>
          </w:p>
        </w:tc>
        <w:tc>
          <w:tcPr>
            <w:tcW w:w="1984" w:type="dxa"/>
            <w:tcBorders>
              <w:top w:val="nil"/>
              <w:left w:val="nil"/>
              <w:bottom w:val="nil"/>
              <w:right w:val="nil"/>
            </w:tcBorders>
          </w:tcPr>
          <w:p w14:paraId="17424A63" w14:textId="77777777" w:rsidR="004B596D" w:rsidRPr="00D72EF5" w:rsidRDefault="004B596D" w:rsidP="004B596D">
            <w:pPr>
              <w:spacing w:line="240" w:lineRule="auto"/>
              <w:jc w:val="center"/>
            </w:pPr>
          </w:p>
        </w:tc>
        <w:tc>
          <w:tcPr>
            <w:tcW w:w="1817" w:type="dxa"/>
            <w:tcBorders>
              <w:top w:val="nil"/>
              <w:left w:val="nil"/>
              <w:bottom w:val="nil"/>
              <w:right w:val="nil"/>
            </w:tcBorders>
          </w:tcPr>
          <w:p w14:paraId="652C8271" w14:textId="77777777" w:rsidR="004B596D" w:rsidRPr="00D72EF5" w:rsidRDefault="004B596D" w:rsidP="004B596D">
            <w:pPr>
              <w:spacing w:line="240" w:lineRule="auto"/>
              <w:jc w:val="center"/>
            </w:pPr>
          </w:p>
        </w:tc>
        <w:tc>
          <w:tcPr>
            <w:tcW w:w="1736" w:type="dxa"/>
            <w:tcBorders>
              <w:top w:val="nil"/>
              <w:left w:val="nil"/>
              <w:bottom w:val="nil"/>
              <w:right w:val="nil"/>
            </w:tcBorders>
          </w:tcPr>
          <w:p w14:paraId="77951804" w14:textId="77777777" w:rsidR="004B596D" w:rsidRPr="00D72EF5" w:rsidRDefault="004B596D" w:rsidP="004B596D">
            <w:pPr>
              <w:spacing w:line="240" w:lineRule="auto"/>
              <w:jc w:val="center"/>
            </w:pPr>
            <w:r w:rsidRPr="00D72EF5">
              <w:t>-1.605</w:t>
            </w:r>
          </w:p>
        </w:tc>
      </w:tr>
      <w:tr w:rsidR="004B596D" w:rsidRPr="003935C0" w14:paraId="4A52426C" w14:textId="77777777" w:rsidTr="00522D7D">
        <w:trPr>
          <w:trHeight w:val="195"/>
        </w:trPr>
        <w:tc>
          <w:tcPr>
            <w:tcW w:w="7088" w:type="dxa"/>
            <w:tcBorders>
              <w:top w:val="nil"/>
              <w:left w:val="nil"/>
              <w:bottom w:val="nil"/>
              <w:right w:val="nil"/>
            </w:tcBorders>
          </w:tcPr>
          <w:p w14:paraId="52A2CB0E"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p>
        </w:tc>
        <w:tc>
          <w:tcPr>
            <w:tcW w:w="1843" w:type="dxa"/>
            <w:tcBorders>
              <w:top w:val="nil"/>
              <w:left w:val="nil"/>
              <w:bottom w:val="nil"/>
              <w:right w:val="nil"/>
            </w:tcBorders>
          </w:tcPr>
          <w:p w14:paraId="4A54C33C" w14:textId="77777777" w:rsidR="004B596D" w:rsidRPr="00D72EF5" w:rsidRDefault="004B596D" w:rsidP="004B596D">
            <w:pPr>
              <w:spacing w:line="240" w:lineRule="auto"/>
              <w:jc w:val="center"/>
            </w:pPr>
          </w:p>
        </w:tc>
        <w:tc>
          <w:tcPr>
            <w:tcW w:w="1984" w:type="dxa"/>
            <w:tcBorders>
              <w:top w:val="nil"/>
              <w:left w:val="nil"/>
              <w:bottom w:val="nil"/>
              <w:right w:val="nil"/>
            </w:tcBorders>
          </w:tcPr>
          <w:p w14:paraId="30D2A4E5" w14:textId="77777777" w:rsidR="004B596D" w:rsidRPr="00D72EF5" w:rsidRDefault="004B596D" w:rsidP="004B596D">
            <w:pPr>
              <w:spacing w:line="240" w:lineRule="auto"/>
              <w:jc w:val="center"/>
            </w:pPr>
          </w:p>
        </w:tc>
        <w:tc>
          <w:tcPr>
            <w:tcW w:w="1817" w:type="dxa"/>
            <w:tcBorders>
              <w:top w:val="nil"/>
              <w:left w:val="nil"/>
              <w:bottom w:val="nil"/>
              <w:right w:val="nil"/>
            </w:tcBorders>
          </w:tcPr>
          <w:p w14:paraId="1C0CC5B4" w14:textId="77777777" w:rsidR="004B596D" w:rsidRPr="00D72EF5" w:rsidRDefault="004B596D" w:rsidP="004B596D">
            <w:pPr>
              <w:spacing w:line="240" w:lineRule="auto"/>
              <w:jc w:val="center"/>
            </w:pPr>
          </w:p>
        </w:tc>
        <w:tc>
          <w:tcPr>
            <w:tcW w:w="1736" w:type="dxa"/>
            <w:tcBorders>
              <w:top w:val="nil"/>
              <w:left w:val="nil"/>
              <w:bottom w:val="nil"/>
              <w:right w:val="nil"/>
            </w:tcBorders>
          </w:tcPr>
          <w:p w14:paraId="31093C12" w14:textId="77777777" w:rsidR="004B596D" w:rsidRPr="00D72EF5" w:rsidRDefault="004B596D" w:rsidP="004B596D">
            <w:pPr>
              <w:spacing w:line="240" w:lineRule="auto"/>
              <w:jc w:val="center"/>
            </w:pPr>
            <w:r w:rsidRPr="00D72EF5">
              <w:t>(1.825)</w:t>
            </w:r>
          </w:p>
        </w:tc>
      </w:tr>
      <w:tr w:rsidR="004B596D" w:rsidRPr="003935C0" w14:paraId="2D518C77" w14:textId="77777777" w:rsidTr="00522D7D">
        <w:trPr>
          <w:trHeight w:val="87"/>
        </w:trPr>
        <w:tc>
          <w:tcPr>
            <w:tcW w:w="7088" w:type="dxa"/>
            <w:tcBorders>
              <w:top w:val="nil"/>
              <w:left w:val="nil"/>
              <w:bottom w:val="nil"/>
              <w:right w:val="nil"/>
            </w:tcBorders>
          </w:tcPr>
          <w:p w14:paraId="50CB18CD" w14:textId="77777777" w:rsidR="004B596D" w:rsidRPr="003935C0" w:rsidRDefault="004B596D" w:rsidP="004B596D">
            <w:pPr>
              <w:widowControl w:val="0"/>
              <w:autoSpaceDE w:val="0"/>
              <w:autoSpaceDN w:val="0"/>
              <w:adjustRightInd w:val="0"/>
              <w:spacing w:line="240" w:lineRule="auto"/>
              <w:jc w:val="left"/>
              <w:rPr>
                <w:rFonts w:eastAsia="Calibri"/>
                <w:szCs w:val="20"/>
                <w:lang w:val="en-US" w:eastAsia="en-US"/>
              </w:rPr>
            </w:pPr>
            <w:r w:rsidRPr="003935C0">
              <w:rPr>
                <w:rFonts w:eastAsia="Calibri" w:cs="Arial"/>
                <w:szCs w:val="20"/>
                <w:lang w:val="en-US" w:eastAsia="en-US"/>
              </w:rPr>
              <w:t xml:space="preserve">Sentiment RTN * </w:t>
            </w:r>
            <w:r w:rsidRPr="003935C0">
              <w:rPr>
                <w:rFonts w:eastAsia="Calibri"/>
                <w:szCs w:val="20"/>
                <w:lang w:val="en-US" w:eastAsia="en-US"/>
              </w:rPr>
              <w:t xml:space="preserve">MSCI World Bank Sensitivity on Sentiment </w:t>
            </w:r>
          </w:p>
        </w:tc>
        <w:tc>
          <w:tcPr>
            <w:tcW w:w="1843" w:type="dxa"/>
            <w:tcBorders>
              <w:top w:val="nil"/>
              <w:left w:val="nil"/>
              <w:bottom w:val="nil"/>
              <w:right w:val="nil"/>
            </w:tcBorders>
          </w:tcPr>
          <w:p w14:paraId="1A835C13" w14:textId="77777777" w:rsidR="004B596D" w:rsidRPr="00D72EF5" w:rsidRDefault="004B596D" w:rsidP="004B596D">
            <w:pPr>
              <w:spacing w:line="240" w:lineRule="auto"/>
              <w:jc w:val="center"/>
            </w:pPr>
          </w:p>
        </w:tc>
        <w:tc>
          <w:tcPr>
            <w:tcW w:w="1984" w:type="dxa"/>
            <w:tcBorders>
              <w:top w:val="nil"/>
              <w:left w:val="nil"/>
              <w:bottom w:val="nil"/>
              <w:right w:val="nil"/>
            </w:tcBorders>
          </w:tcPr>
          <w:p w14:paraId="3C6FF216" w14:textId="77777777" w:rsidR="004B596D" w:rsidRPr="00D72EF5" w:rsidRDefault="004B596D" w:rsidP="004B596D">
            <w:pPr>
              <w:spacing w:line="240" w:lineRule="auto"/>
              <w:jc w:val="center"/>
            </w:pPr>
          </w:p>
        </w:tc>
        <w:tc>
          <w:tcPr>
            <w:tcW w:w="1817" w:type="dxa"/>
            <w:tcBorders>
              <w:top w:val="nil"/>
              <w:left w:val="nil"/>
              <w:bottom w:val="nil"/>
              <w:right w:val="nil"/>
            </w:tcBorders>
          </w:tcPr>
          <w:p w14:paraId="2DA6FDC6" w14:textId="77777777" w:rsidR="004B596D" w:rsidRPr="00D72EF5" w:rsidRDefault="004B596D" w:rsidP="004B596D">
            <w:pPr>
              <w:spacing w:line="240" w:lineRule="auto"/>
              <w:jc w:val="center"/>
            </w:pPr>
          </w:p>
        </w:tc>
        <w:tc>
          <w:tcPr>
            <w:tcW w:w="1736" w:type="dxa"/>
            <w:tcBorders>
              <w:top w:val="nil"/>
              <w:left w:val="nil"/>
              <w:bottom w:val="nil"/>
              <w:right w:val="nil"/>
            </w:tcBorders>
          </w:tcPr>
          <w:p w14:paraId="7A626F37" w14:textId="77777777" w:rsidR="004B596D" w:rsidRPr="00D72EF5" w:rsidRDefault="004B596D" w:rsidP="004B596D">
            <w:pPr>
              <w:spacing w:line="240" w:lineRule="auto"/>
              <w:jc w:val="center"/>
            </w:pPr>
            <w:r w:rsidRPr="00D72EF5">
              <w:t>-7.540</w:t>
            </w:r>
          </w:p>
        </w:tc>
      </w:tr>
      <w:tr w:rsidR="004B596D" w:rsidRPr="003935C0" w14:paraId="76102A90" w14:textId="77777777" w:rsidTr="00522D7D">
        <w:trPr>
          <w:trHeight w:val="87"/>
        </w:trPr>
        <w:tc>
          <w:tcPr>
            <w:tcW w:w="7088" w:type="dxa"/>
            <w:tcBorders>
              <w:top w:val="nil"/>
              <w:left w:val="nil"/>
              <w:bottom w:val="nil"/>
              <w:right w:val="nil"/>
            </w:tcBorders>
          </w:tcPr>
          <w:p w14:paraId="2C8671E5"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nil"/>
              <w:right w:val="nil"/>
            </w:tcBorders>
          </w:tcPr>
          <w:p w14:paraId="3CCC2EAA" w14:textId="77777777" w:rsidR="004B596D" w:rsidRPr="00D72EF5" w:rsidRDefault="004B596D" w:rsidP="004B596D">
            <w:pPr>
              <w:spacing w:line="240" w:lineRule="auto"/>
              <w:jc w:val="center"/>
            </w:pPr>
          </w:p>
        </w:tc>
        <w:tc>
          <w:tcPr>
            <w:tcW w:w="1984" w:type="dxa"/>
            <w:tcBorders>
              <w:top w:val="nil"/>
              <w:left w:val="nil"/>
              <w:bottom w:val="nil"/>
              <w:right w:val="nil"/>
            </w:tcBorders>
          </w:tcPr>
          <w:p w14:paraId="00270CBF" w14:textId="77777777" w:rsidR="004B596D" w:rsidRPr="00D72EF5" w:rsidRDefault="004B596D" w:rsidP="004B596D">
            <w:pPr>
              <w:spacing w:line="240" w:lineRule="auto"/>
              <w:jc w:val="center"/>
            </w:pPr>
          </w:p>
        </w:tc>
        <w:tc>
          <w:tcPr>
            <w:tcW w:w="1817" w:type="dxa"/>
            <w:tcBorders>
              <w:top w:val="nil"/>
              <w:left w:val="nil"/>
              <w:bottom w:val="nil"/>
              <w:right w:val="nil"/>
            </w:tcBorders>
          </w:tcPr>
          <w:p w14:paraId="7520BED2" w14:textId="77777777" w:rsidR="004B596D" w:rsidRPr="00D72EF5" w:rsidRDefault="004B596D" w:rsidP="004B596D">
            <w:pPr>
              <w:spacing w:line="240" w:lineRule="auto"/>
              <w:jc w:val="center"/>
            </w:pPr>
          </w:p>
        </w:tc>
        <w:tc>
          <w:tcPr>
            <w:tcW w:w="1736" w:type="dxa"/>
            <w:tcBorders>
              <w:top w:val="nil"/>
              <w:left w:val="nil"/>
              <w:bottom w:val="nil"/>
              <w:right w:val="nil"/>
            </w:tcBorders>
          </w:tcPr>
          <w:p w14:paraId="04456A6B" w14:textId="77777777" w:rsidR="004B596D" w:rsidRPr="00D72EF5" w:rsidRDefault="004B596D" w:rsidP="004B596D">
            <w:pPr>
              <w:spacing w:line="240" w:lineRule="auto"/>
              <w:jc w:val="center"/>
            </w:pPr>
            <w:r w:rsidRPr="00D72EF5">
              <w:t>(6.957)</w:t>
            </w:r>
          </w:p>
        </w:tc>
      </w:tr>
      <w:tr w:rsidR="004B596D" w:rsidRPr="003935C0" w14:paraId="562CD4C5" w14:textId="77777777" w:rsidTr="00522D7D">
        <w:trPr>
          <w:trHeight w:val="195"/>
        </w:trPr>
        <w:tc>
          <w:tcPr>
            <w:tcW w:w="7088" w:type="dxa"/>
            <w:tcBorders>
              <w:top w:val="nil"/>
              <w:left w:val="nil"/>
              <w:bottom w:val="nil"/>
              <w:right w:val="nil"/>
            </w:tcBorders>
          </w:tcPr>
          <w:p w14:paraId="653DD025"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Constant</w:t>
            </w:r>
          </w:p>
        </w:tc>
        <w:tc>
          <w:tcPr>
            <w:tcW w:w="1843" w:type="dxa"/>
            <w:tcBorders>
              <w:top w:val="nil"/>
              <w:left w:val="nil"/>
              <w:bottom w:val="nil"/>
              <w:right w:val="nil"/>
            </w:tcBorders>
          </w:tcPr>
          <w:p w14:paraId="0F6702C5" w14:textId="77777777" w:rsidR="004B596D" w:rsidRPr="00D72EF5" w:rsidRDefault="004B596D" w:rsidP="004B596D">
            <w:pPr>
              <w:spacing w:line="240" w:lineRule="auto"/>
              <w:jc w:val="center"/>
            </w:pPr>
            <w:r w:rsidRPr="00D72EF5">
              <w:t>0.0288*</w:t>
            </w:r>
          </w:p>
        </w:tc>
        <w:tc>
          <w:tcPr>
            <w:tcW w:w="1984" w:type="dxa"/>
            <w:tcBorders>
              <w:top w:val="nil"/>
              <w:left w:val="nil"/>
              <w:bottom w:val="nil"/>
              <w:right w:val="nil"/>
            </w:tcBorders>
          </w:tcPr>
          <w:p w14:paraId="7DE2058C" w14:textId="77777777" w:rsidR="004B596D" w:rsidRPr="00D72EF5" w:rsidRDefault="004B596D" w:rsidP="004B596D">
            <w:pPr>
              <w:spacing w:line="240" w:lineRule="auto"/>
              <w:jc w:val="center"/>
            </w:pPr>
            <w:r w:rsidRPr="00D72EF5">
              <w:t>0.0286*</w:t>
            </w:r>
          </w:p>
        </w:tc>
        <w:tc>
          <w:tcPr>
            <w:tcW w:w="1817" w:type="dxa"/>
            <w:tcBorders>
              <w:top w:val="nil"/>
              <w:left w:val="nil"/>
              <w:bottom w:val="nil"/>
              <w:right w:val="nil"/>
            </w:tcBorders>
          </w:tcPr>
          <w:p w14:paraId="62FBBEB9" w14:textId="77777777" w:rsidR="004B596D" w:rsidRPr="00D72EF5" w:rsidRDefault="004B596D" w:rsidP="004B596D">
            <w:pPr>
              <w:spacing w:line="240" w:lineRule="auto"/>
              <w:jc w:val="center"/>
            </w:pPr>
            <w:r w:rsidRPr="00D72EF5">
              <w:t>0.0256</w:t>
            </w:r>
          </w:p>
        </w:tc>
        <w:tc>
          <w:tcPr>
            <w:tcW w:w="1736" w:type="dxa"/>
            <w:tcBorders>
              <w:top w:val="nil"/>
              <w:left w:val="nil"/>
              <w:bottom w:val="nil"/>
              <w:right w:val="nil"/>
            </w:tcBorders>
          </w:tcPr>
          <w:p w14:paraId="6ED0AA94" w14:textId="77777777" w:rsidR="004B596D" w:rsidRPr="00D72EF5" w:rsidRDefault="004B596D" w:rsidP="004B596D">
            <w:pPr>
              <w:spacing w:line="240" w:lineRule="auto"/>
              <w:jc w:val="center"/>
            </w:pPr>
            <w:r w:rsidRPr="00D72EF5">
              <w:t>0.0227</w:t>
            </w:r>
          </w:p>
        </w:tc>
      </w:tr>
      <w:tr w:rsidR="004B596D" w:rsidRPr="003935C0" w14:paraId="5E9B7F65" w14:textId="77777777" w:rsidTr="00522D7D">
        <w:trPr>
          <w:trHeight w:val="181"/>
        </w:trPr>
        <w:tc>
          <w:tcPr>
            <w:tcW w:w="7088" w:type="dxa"/>
            <w:tcBorders>
              <w:top w:val="nil"/>
              <w:left w:val="nil"/>
              <w:bottom w:val="single" w:sz="4" w:space="0" w:color="auto"/>
              <w:right w:val="nil"/>
            </w:tcBorders>
          </w:tcPr>
          <w:p w14:paraId="10EB5DB7"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p>
        </w:tc>
        <w:tc>
          <w:tcPr>
            <w:tcW w:w="1843" w:type="dxa"/>
            <w:tcBorders>
              <w:top w:val="nil"/>
              <w:left w:val="nil"/>
              <w:bottom w:val="single" w:sz="4" w:space="0" w:color="auto"/>
              <w:right w:val="nil"/>
            </w:tcBorders>
          </w:tcPr>
          <w:p w14:paraId="3076E848" w14:textId="77777777" w:rsidR="004B596D" w:rsidRPr="00D72EF5" w:rsidRDefault="004B596D" w:rsidP="004B596D">
            <w:pPr>
              <w:spacing w:line="240" w:lineRule="auto"/>
              <w:jc w:val="center"/>
            </w:pPr>
            <w:r w:rsidRPr="00D72EF5">
              <w:t>(0.0160)</w:t>
            </w:r>
          </w:p>
        </w:tc>
        <w:tc>
          <w:tcPr>
            <w:tcW w:w="1984" w:type="dxa"/>
            <w:tcBorders>
              <w:top w:val="nil"/>
              <w:left w:val="nil"/>
              <w:bottom w:val="single" w:sz="4" w:space="0" w:color="auto"/>
              <w:right w:val="nil"/>
            </w:tcBorders>
          </w:tcPr>
          <w:p w14:paraId="5CB9F1D7" w14:textId="77777777" w:rsidR="004B596D" w:rsidRPr="00D72EF5" w:rsidRDefault="004B596D" w:rsidP="004B596D">
            <w:pPr>
              <w:spacing w:line="240" w:lineRule="auto"/>
              <w:jc w:val="center"/>
            </w:pPr>
            <w:r w:rsidRPr="00D72EF5">
              <w:t>(0.0161)</w:t>
            </w:r>
          </w:p>
        </w:tc>
        <w:tc>
          <w:tcPr>
            <w:tcW w:w="1817" w:type="dxa"/>
            <w:tcBorders>
              <w:top w:val="nil"/>
              <w:left w:val="nil"/>
              <w:bottom w:val="single" w:sz="4" w:space="0" w:color="auto"/>
              <w:right w:val="nil"/>
            </w:tcBorders>
          </w:tcPr>
          <w:p w14:paraId="647F9D38" w14:textId="77777777" w:rsidR="004B596D" w:rsidRPr="00D72EF5" w:rsidRDefault="004B596D" w:rsidP="004B596D">
            <w:pPr>
              <w:spacing w:line="240" w:lineRule="auto"/>
              <w:jc w:val="center"/>
            </w:pPr>
            <w:r w:rsidRPr="00D72EF5">
              <w:t>(0.0158)</w:t>
            </w:r>
          </w:p>
        </w:tc>
        <w:tc>
          <w:tcPr>
            <w:tcW w:w="1736" w:type="dxa"/>
            <w:tcBorders>
              <w:top w:val="nil"/>
              <w:left w:val="nil"/>
              <w:bottom w:val="single" w:sz="4" w:space="0" w:color="auto"/>
              <w:right w:val="nil"/>
            </w:tcBorders>
          </w:tcPr>
          <w:p w14:paraId="0EBF5E90" w14:textId="77777777" w:rsidR="004B596D" w:rsidRPr="00D72EF5" w:rsidRDefault="004B596D" w:rsidP="004B596D">
            <w:pPr>
              <w:spacing w:line="240" w:lineRule="auto"/>
              <w:jc w:val="center"/>
            </w:pPr>
            <w:r w:rsidRPr="00D72EF5">
              <w:t>(0.0163)</w:t>
            </w:r>
          </w:p>
        </w:tc>
      </w:tr>
      <w:tr w:rsidR="004B596D" w:rsidRPr="003935C0" w14:paraId="1E79AF2A" w14:textId="77777777" w:rsidTr="00522D7D">
        <w:trPr>
          <w:trHeight w:val="195"/>
        </w:trPr>
        <w:tc>
          <w:tcPr>
            <w:tcW w:w="7088" w:type="dxa"/>
            <w:tcBorders>
              <w:top w:val="single" w:sz="4" w:space="0" w:color="auto"/>
              <w:left w:val="nil"/>
              <w:bottom w:val="nil"/>
              <w:right w:val="nil"/>
            </w:tcBorders>
          </w:tcPr>
          <w:p w14:paraId="0E7331AB"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Observations</w:t>
            </w:r>
          </w:p>
        </w:tc>
        <w:tc>
          <w:tcPr>
            <w:tcW w:w="1843" w:type="dxa"/>
            <w:tcBorders>
              <w:top w:val="single" w:sz="4" w:space="0" w:color="auto"/>
              <w:left w:val="nil"/>
              <w:bottom w:val="nil"/>
              <w:right w:val="nil"/>
            </w:tcBorders>
          </w:tcPr>
          <w:p w14:paraId="744516C7" w14:textId="77777777" w:rsidR="004B596D" w:rsidRPr="00D72EF5" w:rsidRDefault="004B596D" w:rsidP="004B596D">
            <w:pPr>
              <w:spacing w:line="240" w:lineRule="auto"/>
              <w:jc w:val="center"/>
            </w:pPr>
            <w:r w:rsidRPr="00D72EF5">
              <w:t>1063</w:t>
            </w:r>
          </w:p>
        </w:tc>
        <w:tc>
          <w:tcPr>
            <w:tcW w:w="1984" w:type="dxa"/>
            <w:tcBorders>
              <w:top w:val="single" w:sz="4" w:space="0" w:color="auto"/>
              <w:left w:val="nil"/>
              <w:bottom w:val="nil"/>
              <w:right w:val="nil"/>
            </w:tcBorders>
          </w:tcPr>
          <w:p w14:paraId="1987D033" w14:textId="77777777" w:rsidR="004B596D" w:rsidRPr="00D72EF5" w:rsidRDefault="004B596D" w:rsidP="004B596D">
            <w:pPr>
              <w:spacing w:line="240" w:lineRule="auto"/>
              <w:jc w:val="center"/>
            </w:pPr>
            <w:r w:rsidRPr="00D72EF5">
              <w:t>1063</w:t>
            </w:r>
          </w:p>
        </w:tc>
        <w:tc>
          <w:tcPr>
            <w:tcW w:w="1817" w:type="dxa"/>
            <w:tcBorders>
              <w:top w:val="single" w:sz="4" w:space="0" w:color="auto"/>
              <w:left w:val="nil"/>
              <w:bottom w:val="nil"/>
              <w:right w:val="nil"/>
            </w:tcBorders>
          </w:tcPr>
          <w:p w14:paraId="0A4AEA68" w14:textId="77777777" w:rsidR="004B596D" w:rsidRPr="00D72EF5" w:rsidRDefault="004B596D" w:rsidP="004B596D">
            <w:pPr>
              <w:spacing w:line="240" w:lineRule="auto"/>
              <w:jc w:val="center"/>
            </w:pPr>
            <w:r w:rsidRPr="00D72EF5">
              <w:t>1063</w:t>
            </w:r>
          </w:p>
        </w:tc>
        <w:tc>
          <w:tcPr>
            <w:tcW w:w="1736" w:type="dxa"/>
            <w:tcBorders>
              <w:top w:val="single" w:sz="4" w:space="0" w:color="auto"/>
              <w:left w:val="nil"/>
              <w:bottom w:val="nil"/>
              <w:right w:val="nil"/>
            </w:tcBorders>
          </w:tcPr>
          <w:p w14:paraId="770F3BE5" w14:textId="77777777" w:rsidR="004B596D" w:rsidRPr="00D72EF5" w:rsidRDefault="004B596D" w:rsidP="004B596D">
            <w:pPr>
              <w:spacing w:line="240" w:lineRule="auto"/>
              <w:jc w:val="center"/>
            </w:pPr>
            <w:r w:rsidRPr="00D72EF5">
              <w:t>1063</w:t>
            </w:r>
          </w:p>
        </w:tc>
      </w:tr>
      <w:tr w:rsidR="004B596D" w:rsidRPr="003935C0" w14:paraId="3643817E" w14:textId="77777777" w:rsidTr="00522D7D">
        <w:trPr>
          <w:trHeight w:val="181"/>
        </w:trPr>
        <w:tc>
          <w:tcPr>
            <w:tcW w:w="7088" w:type="dxa"/>
            <w:tcBorders>
              <w:top w:val="nil"/>
              <w:left w:val="nil"/>
              <w:bottom w:val="single" w:sz="4" w:space="0" w:color="auto"/>
              <w:right w:val="nil"/>
            </w:tcBorders>
          </w:tcPr>
          <w:p w14:paraId="3D41922F" w14:textId="77777777" w:rsidR="004B596D" w:rsidRPr="003935C0" w:rsidRDefault="004B596D" w:rsidP="004B596D">
            <w:pPr>
              <w:widowControl w:val="0"/>
              <w:autoSpaceDE w:val="0"/>
              <w:autoSpaceDN w:val="0"/>
              <w:adjustRightInd w:val="0"/>
              <w:spacing w:line="240" w:lineRule="auto"/>
              <w:jc w:val="left"/>
              <w:rPr>
                <w:rFonts w:eastAsia="Calibri" w:cs="Arial"/>
                <w:szCs w:val="20"/>
                <w:lang w:val="en-US" w:eastAsia="en-US"/>
              </w:rPr>
            </w:pPr>
            <w:r w:rsidRPr="003935C0">
              <w:rPr>
                <w:rFonts w:eastAsia="Calibri" w:cs="Arial"/>
                <w:szCs w:val="20"/>
                <w:lang w:val="en-US" w:eastAsia="en-US"/>
              </w:rPr>
              <w:t>Adj. R-Square</w:t>
            </w:r>
          </w:p>
        </w:tc>
        <w:tc>
          <w:tcPr>
            <w:tcW w:w="1843" w:type="dxa"/>
            <w:tcBorders>
              <w:top w:val="nil"/>
              <w:left w:val="nil"/>
              <w:bottom w:val="single" w:sz="4" w:space="0" w:color="auto"/>
              <w:right w:val="nil"/>
            </w:tcBorders>
          </w:tcPr>
          <w:p w14:paraId="1791EA32" w14:textId="77777777" w:rsidR="004B596D" w:rsidRPr="00D72EF5" w:rsidRDefault="004B596D" w:rsidP="004B596D">
            <w:pPr>
              <w:spacing w:line="240" w:lineRule="auto"/>
              <w:jc w:val="center"/>
            </w:pPr>
            <w:r w:rsidRPr="00D72EF5">
              <w:t>0.00819</w:t>
            </w:r>
          </w:p>
        </w:tc>
        <w:tc>
          <w:tcPr>
            <w:tcW w:w="1984" w:type="dxa"/>
            <w:tcBorders>
              <w:top w:val="nil"/>
              <w:left w:val="nil"/>
              <w:bottom w:val="single" w:sz="4" w:space="0" w:color="auto"/>
              <w:right w:val="nil"/>
            </w:tcBorders>
          </w:tcPr>
          <w:p w14:paraId="53D240D4" w14:textId="77777777" w:rsidR="004B596D" w:rsidRPr="00D72EF5" w:rsidRDefault="004B596D" w:rsidP="004B596D">
            <w:pPr>
              <w:spacing w:line="240" w:lineRule="auto"/>
              <w:jc w:val="center"/>
            </w:pPr>
            <w:r w:rsidRPr="00D72EF5">
              <w:t>0.00667</w:t>
            </w:r>
          </w:p>
        </w:tc>
        <w:tc>
          <w:tcPr>
            <w:tcW w:w="1817" w:type="dxa"/>
            <w:tcBorders>
              <w:top w:val="nil"/>
              <w:left w:val="nil"/>
              <w:bottom w:val="single" w:sz="4" w:space="0" w:color="auto"/>
              <w:right w:val="nil"/>
            </w:tcBorders>
          </w:tcPr>
          <w:p w14:paraId="440DD57D" w14:textId="77777777" w:rsidR="004B596D" w:rsidRPr="00D72EF5" w:rsidRDefault="004B596D" w:rsidP="004B596D">
            <w:pPr>
              <w:spacing w:line="240" w:lineRule="auto"/>
              <w:jc w:val="center"/>
            </w:pPr>
            <w:r w:rsidRPr="00D72EF5">
              <w:t>0.0105</w:t>
            </w:r>
          </w:p>
        </w:tc>
        <w:tc>
          <w:tcPr>
            <w:tcW w:w="1736" w:type="dxa"/>
            <w:tcBorders>
              <w:top w:val="nil"/>
              <w:left w:val="nil"/>
              <w:bottom w:val="single" w:sz="4" w:space="0" w:color="auto"/>
              <w:right w:val="nil"/>
            </w:tcBorders>
          </w:tcPr>
          <w:p w14:paraId="61C3F965" w14:textId="77777777" w:rsidR="004B596D" w:rsidRDefault="004B596D" w:rsidP="004B596D">
            <w:pPr>
              <w:spacing w:line="240" w:lineRule="auto"/>
              <w:jc w:val="center"/>
            </w:pPr>
            <w:r w:rsidRPr="00D72EF5">
              <w:t>0.0100</w:t>
            </w:r>
          </w:p>
        </w:tc>
      </w:tr>
    </w:tbl>
    <w:p w14:paraId="56CB8488" w14:textId="77777777" w:rsidR="000C6A7A" w:rsidRPr="00F547A1" w:rsidRDefault="000C6A7A" w:rsidP="000C6A7A">
      <w:pPr>
        <w:widowControl w:val="0"/>
        <w:autoSpaceDE w:val="0"/>
        <w:autoSpaceDN w:val="0"/>
        <w:adjustRightInd w:val="0"/>
        <w:spacing w:line="240" w:lineRule="auto"/>
        <w:jc w:val="center"/>
        <w:rPr>
          <w:rFonts w:eastAsia="Calibri" w:cs="Arial"/>
          <w:b/>
          <w:sz w:val="20"/>
          <w:szCs w:val="20"/>
          <w:lang w:val="en-US" w:eastAsia="en-US"/>
        </w:rPr>
      </w:pPr>
      <w:r w:rsidRPr="00F547A1">
        <w:rPr>
          <w:rFonts w:eastAsia="Calibri" w:cs="Arial"/>
          <w:b/>
          <w:sz w:val="20"/>
          <w:szCs w:val="20"/>
          <w:lang w:val="en-US" w:eastAsia="en-US"/>
        </w:rPr>
        <w:t>Standard errors in parentheses</w:t>
      </w:r>
    </w:p>
    <w:p w14:paraId="58A8335D" w14:textId="1A0A309D" w:rsidR="000C6A7A" w:rsidRDefault="000C6A7A" w:rsidP="000C6A7A">
      <w:pPr>
        <w:widowControl w:val="0"/>
        <w:autoSpaceDE w:val="0"/>
        <w:autoSpaceDN w:val="0"/>
        <w:adjustRightInd w:val="0"/>
        <w:spacing w:line="240" w:lineRule="auto"/>
        <w:jc w:val="center"/>
        <w:rPr>
          <w:rFonts w:eastAsia="Calibri" w:cs="Arial"/>
          <w:b/>
          <w:sz w:val="20"/>
          <w:szCs w:val="20"/>
          <w:lang w:val="en-US" w:eastAsia="en-US"/>
        </w:rPr>
      </w:pP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sidRPr="00F547A1">
        <w:rPr>
          <w:rFonts w:eastAsia="Calibri" w:cs="Arial"/>
          <w:b/>
          <w:sz w:val="20"/>
          <w:szCs w:val="20"/>
          <w:lang w:val="en-US" w:eastAsia="en-US"/>
        </w:rPr>
        <w:t xml:space="preserve"> &lt; 0.1, </w:t>
      </w: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sidRPr="00F547A1">
        <w:rPr>
          <w:rFonts w:eastAsia="Calibri" w:cs="Arial"/>
          <w:b/>
          <w:sz w:val="20"/>
          <w:szCs w:val="20"/>
          <w:lang w:val="en-US" w:eastAsia="en-US"/>
        </w:rPr>
        <w:t xml:space="preserve"> &lt; 0.05, </w:t>
      </w:r>
      <w:r w:rsidRPr="00F547A1">
        <w:rPr>
          <w:rFonts w:eastAsia="Calibri" w:cs="Arial"/>
          <w:b/>
          <w:sz w:val="20"/>
          <w:szCs w:val="20"/>
          <w:vertAlign w:val="superscript"/>
          <w:lang w:val="en-US" w:eastAsia="en-US"/>
        </w:rPr>
        <w:t>***</w:t>
      </w:r>
      <w:r w:rsidRPr="00F547A1">
        <w:rPr>
          <w:rFonts w:eastAsia="Calibri" w:cs="Arial"/>
          <w:b/>
          <w:sz w:val="20"/>
          <w:szCs w:val="20"/>
          <w:lang w:val="en-US" w:eastAsia="en-US"/>
        </w:rPr>
        <w:t xml:space="preserve"> </w:t>
      </w:r>
      <w:r w:rsidRPr="00F547A1">
        <w:rPr>
          <w:rFonts w:eastAsia="Calibri" w:cs="Arial"/>
          <w:b/>
          <w:i/>
          <w:iCs/>
          <w:sz w:val="20"/>
          <w:szCs w:val="20"/>
          <w:lang w:val="en-US" w:eastAsia="en-US"/>
        </w:rPr>
        <w:t>p</w:t>
      </w:r>
      <w:r>
        <w:rPr>
          <w:rFonts w:eastAsia="Calibri" w:cs="Arial"/>
          <w:b/>
          <w:sz w:val="20"/>
          <w:szCs w:val="20"/>
          <w:lang w:val="en-US" w:eastAsia="en-US"/>
        </w:rPr>
        <w:t xml:space="preserve"> &lt; 0.01</w:t>
      </w:r>
    </w:p>
    <w:sectPr w:rsidR="000C6A7A" w:rsidSect="0016695A">
      <w:pgSz w:w="16838" w:h="11906"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C143" w14:textId="77777777" w:rsidR="00F26C22" w:rsidRDefault="00F26C22" w:rsidP="00916B26">
      <w:pPr>
        <w:spacing w:line="240" w:lineRule="auto"/>
      </w:pPr>
      <w:r>
        <w:separator/>
      </w:r>
    </w:p>
  </w:endnote>
  <w:endnote w:type="continuationSeparator" w:id="0">
    <w:p w14:paraId="4300D84C" w14:textId="77777777" w:rsidR="00F26C22" w:rsidRDefault="00F26C22" w:rsidP="00916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ACFFCFA" w:usb2="00000016" w:usb3="00000000" w:csb0="00100001"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C1F6" w14:textId="3F7F4F9B" w:rsidR="00E7132F" w:rsidRDefault="00E7132F">
    <w:pPr>
      <w:pStyle w:val="Footer"/>
      <w:jc w:val="center"/>
    </w:pPr>
    <w:r>
      <w:fldChar w:fldCharType="begin"/>
    </w:r>
    <w:r>
      <w:instrText xml:space="preserve"> PAGE   \* MERGEFORMAT </w:instrText>
    </w:r>
    <w:r>
      <w:fldChar w:fldCharType="separate"/>
    </w:r>
    <w:r w:rsidR="00A63A3E">
      <w:rPr>
        <w:noProof/>
      </w:rPr>
      <w:t>9</w:t>
    </w:r>
    <w:r>
      <w:rPr>
        <w:noProof/>
      </w:rPr>
      <w:fldChar w:fldCharType="end"/>
    </w:r>
  </w:p>
  <w:p w14:paraId="7437F386" w14:textId="77777777" w:rsidR="00E7132F" w:rsidRDefault="00E71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D673" w14:textId="77777777" w:rsidR="00F26C22" w:rsidRDefault="00F26C22" w:rsidP="00916B26">
      <w:pPr>
        <w:spacing w:line="240" w:lineRule="auto"/>
      </w:pPr>
      <w:r>
        <w:separator/>
      </w:r>
    </w:p>
  </w:footnote>
  <w:footnote w:type="continuationSeparator" w:id="0">
    <w:p w14:paraId="1B4AADD5" w14:textId="77777777" w:rsidR="00F26C22" w:rsidRDefault="00F26C22" w:rsidP="00916B26">
      <w:pPr>
        <w:spacing w:line="240" w:lineRule="auto"/>
      </w:pPr>
      <w:r>
        <w:continuationSeparator/>
      </w:r>
    </w:p>
  </w:footnote>
  <w:footnote w:id="1">
    <w:p w14:paraId="05FA50FC" w14:textId="77777777" w:rsidR="005B62C2" w:rsidRDefault="005B62C2" w:rsidP="005B62C2">
      <w:pPr>
        <w:pStyle w:val="FootnoteText"/>
        <w:spacing w:line="240" w:lineRule="auto"/>
        <w:ind w:right="-45"/>
      </w:pPr>
      <w:r>
        <w:rPr>
          <w:rStyle w:val="FootnoteReference"/>
          <w:rFonts w:cs="Arial"/>
        </w:rPr>
        <w:footnoteRef/>
      </w:r>
      <w:r>
        <w:rPr>
          <w:rFonts w:cs="Arial"/>
        </w:rPr>
        <w:t xml:space="preserve"> </w:t>
      </w:r>
      <w:r>
        <w:t>Contact address: Department of Banking and Finance, Southampton Business School, University of Southampton, Southampton SO17 1BJ, UK. Tel.: + 44 23 8059 6979.</w:t>
      </w:r>
      <w:r w:rsidRPr="008D3162">
        <w:t xml:space="preserve"> </w:t>
      </w:r>
      <w:r>
        <w:t xml:space="preserve">Email: </w:t>
      </w:r>
      <w:hyperlink r:id="rId1" w:history="1">
        <w:r w:rsidRPr="0059236D">
          <w:rPr>
            <w:rStyle w:val="Hyperlink"/>
          </w:rPr>
          <w:t>n.a.kalyvas@soton.ac.uk</w:t>
        </w:r>
      </w:hyperlink>
      <w:r>
        <w:t xml:space="preserve"> </w:t>
      </w:r>
    </w:p>
  </w:footnote>
  <w:footnote w:id="2">
    <w:p w14:paraId="24361ACC" w14:textId="77777777" w:rsidR="0096212B" w:rsidRPr="00024E07" w:rsidRDefault="0096212B" w:rsidP="0096212B">
      <w:pPr>
        <w:pStyle w:val="FootnoteText"/>
        <w:spacing w:line="240" w:lineRule="auto"/>
        <w:ind w:right="-45"/>
        <w:rPr>
          <w:color w:val="0000FF"/>
          <w:u w:val="single"/>
          <w:lang w:eastAsia="zh-CN"/>
        </w:rPr>
      </w:pPr>
      <w:r>
        <w:rPr>
          <w:rStyle w:val="FootnoteReference"/>
          <w:rFonts w:cs="Arial"/>
        </w:rPr>
        <w:footnoteRef/>
      </w:r>
      <w:r>
        <w:rPr>
          <w:rFonts w:cs="Arial"/>
        </w:rPr>
        <w:t xml:space="preserve"> </w:t>
      </w:r>
      <w:r>
        <w:t xml:space="preserve">Contact address: Michael Smurfit Business School, University College Dublin, </w:t>
      </w:r>
      <w:proofErr w:type="spellStart"/>
      <w:r>
        <w:t>Carysfort</w:t>
      </w:r>
      <w:proofErr w:type="spellEnd"/>
      <w:r>
        <w:t xml:space="preserve"> Avenue, Blackrock, </w:t>
      </w:r>
      <w:proofErr w:type="spellStart"/>
      <w:proofErr w:type="gramStart"/>
      <w:r>
        <w:t>Co.Dublin</w:t>
      </w:r>
      <w:proofErr w:type="spellEnd"/>
      <w:proofErr w:type="gramEnd"/>
      <w:r>
        <w:t xml:space="preserve">. Ireland. Email: </w:t>
      </w:r>
      <w:hyperlink r:id="rId2" w:history="1">
        <w:r w:rsidRPr="00520D03">
          <w:rPr>
            <w:rStyle w:val="Hyperlink"/>
          </w:rPr>
          <w:t>zeming.li@ucd.ie</w:t>
        </w:r>
      </w:hyperlink>
      <w:r>
        <w:t xml:space="preserve"> </w:t>
      </w:r>
    </w:p>
  </w:footnote>
  <w:footnote w:id="3">
    <w:p w14:paraId="274432C3" w14:textId="77777777" w:rsidR="005B62C2" w:rsidRDefault="005B62C2" w:rsidP="005B62C2">
      <w:pPr>
        <w:pStyle w:val="FootnoteText"/>
        <w:spacing w:line="240" w:lineRule="auto"/>
        <w:ind w:right="-45"/>
      </w:pPr>
      <w:r>
        <w:rPr>
          <w:rStyle w:val="FootnoteReference"/>
          <w:rFonts w:cs="Arial"/>
        </w:rPr>
        <w:footnoteRef/>
      </w:r>
      <w:r>
        <w:rPr>
          <w:rFonts w:cs="Arial"/>
        </w:rPr>
        <w:t xml:space="preserve"> </w:t>
      </w:r>
      <w:r>
        <w:t>Contact address: Department of Banking and Finance, Southampton Business School, University of Southampton, Southampton SO17 1BJ, UK. Tel.: + 44 23</w:t>
      </w:r>
      <w:r w:rsidRPr="008D3162">
        <w:t xml:space="preserve"> 8059 2476</w:t>
      </w:r>
      <w:r>
        <w:t>.</w:t>
      </w:r>
      <w:r w:rsidRPr="008D3162">
        <w:t xml:space="preserve"> </w:t>
      </w:r>
      <w:r>
        <w:t xml:space="preserve">Email: </w:t>
      </w:r>
      <w:hyperlink r:id="rId3" w:history="1">
        <w:r>
          <w:rPr>
            <w:rStyle w:val="Hyperlink"/>
          </w:rPr>
          <w:t>p.papakyriakou@soton.ac.uk</w:t>
        </w:r>
      </w:hyperlink>
      <w:r>
        <w:rPr>
          <w:rStyle w:val="Hyperlink"/>
        </w:rPr>
        <w:t xml:space="preserve"> </w:t>
      </w:r>
    </w:p>
  </w:footnote>
  <w:footnote w:id="4">
    <w:p w14:paraId="7E5C1E1B" w14:textId="77777777" w:rsidR="005B62C2" w:rsidRDefault="005B62C2" w:rsidP="005B62C2">
      <w:pPr>
        <w:pStyle w:val="FootnoteText"/>
        <w:spacing w:line="240" w:lineRule="auto"/>
        <w:ind w:right="-45"/>
        <w:rPr>
          <w:rStyle w:val="Hyperlink"/>
        </w:rPr>
      </w:pPr>
      <w:r>
        <w:rPr>
          <w:rStyle w:val="FootnoteReference"/>
          <w:rFonts w:cs="Arial"/>
        </w:rPr>
        <w:footnoteRef/>
      </w:r>
      <w:r>
        <w:rPr>
          <w:rFonts w:cs="Arial"/>
        </w:rPr>
        <w:t xml:space="preserve"> </w:t>
      </w:r>
      <w:r>
        <w:t xml:space="preserve">Contact address: Division of </w:t>
      </w:r>
      <w:r w:rsidRPr="00BC5B37">
        <w:t>Finance, Risk and Banking</w:t>
      </w:r>
      <w:r>
        <w:t xml:space="preserve">, </w:t>
      </w:r>
      <w:r w:rsidRPr="00BC5B37">
        <w:t>Nottingham University Business School</w:t>
      </w:r>
      <w:r>
        <w:t xml:space="preserve">, University of Nottingham, Nottingham </w:t>
      </w:r>
      <w:r w:rsidRPr="00BC5B37">
        <w:t>NG8 1BB</w:t>
      </w:r>
      <w:r>
        <w:t>, UK. Tel.: + 44 11 5</w:t>
      </w:r>
      <w:r w:rsidRPr="00BC5B37">
        <w:t>951</w:t>
      </w:r>
      <w:r>
        <w:t xml:space="preserve"> </w:t>
      </w:r>
      <w:r w:rsidRPr="00BC5B37">
        <w:t>5264</w:t>
      </w:r>
      <w:r>
        <w:t xml:space="preserve">. Email: </w:t>
      </w:r>
      <w:hyperlink r:id="rId4" w:history="1">
        <w:r w:rsidRPr="005F1F59">
          <w:rPr>
            <w:rStyle w:val="Hyperlink"/>
          </w:rPr>
          <w:t>athanasios.sakkas@nottingham.ac.uk</w:t>
        </w:r>
      </w:hyperlink>
      <w:r w:rsidRPr="00266D2A">
        <w:rPr>
          <w:rStyle w:val="Hyperlink"/>
        </w:rPr>
        <w:t xml:space="preserve"> </w:t>
      </w:r>
    </w:p>
    <w:p w14:paraId="2EFBE5A6" w14:textId="77777777" w:rsidR="005B62C2" w:rsidRDefault="005B62C2" w:rsidP="005B62C2">
      <w:pPr>
        <w:pStyle w:val="FootnoteText"/>
        <w:spacing w:line="240" w:lineRule="auto"/>
        <w:ind w:right="-45"/>
      </w:pPr>
      <w:r w:rsidRPr="00597543">
        <w:rPr>
          <w:rFonts w:cs="Arial"/>
          <w:vertAlign w:val="superscript"/>
        </w:rPr>
        <w:t>*</w:t>
      </w:r>
      <w:r>
        <w:rPr>
          <w:rFonts w:cs="Arial"/>
        </w:rPr>
        <w:t xml:space="preserve"> Corresponding author.</w:t>
      </w:r>
    </w:p>
  </w:footnote>
  <w:footnote w:id="5">
    <w:p w14:paraId="43FCBA51" w14:textId="77777777" w:rsidR="00E7132F" w:rsidRDefault="00E7132F" w:rsidP="009E64CE">
      <w:pPr>
        <w:pStyle w:val="FootnoteText"/>
        <w:spacing w:line="240" w:lineRule="auto"/>
      </w:pPr>
      <w:r>
        <w:rPr>
          <w:rStyle w:val="FootnoteReference"/>
        </w:rPr>
        <w:footnoteRef/>
      </w:r>
      <w:r>
        <w:t xml:space="preserve"> S</w:t>
      </w:r>
      <w:r w:rsidRPr="009E64CE">
        <w:t>ourced from www.bitcoincharts.com.</w:t>
      </w:r>
    </w:p>
  </w:footnote>
  <w:footnote w:id="6">
    <w:p w14:paraId="63904B5C" w14:textId="4E681F7E" w:rsidR="00E7132F" w:rsidRPr="001A7394" w:rsidRDefault="00E7132F" w:rsidP="004F0490">
      <w:pPr>
        <w:pStyle w:val="FootnoteText"/>
        <w:spacing w:line="240" w:lineRule="auto"/>
      </w:pPr>
      <w:r>
        <w:rPr>
          <w:rStyle w:val="FootnoteReference"/>
        </w:rPr>
        <w:footnoteRef/>
      </w:r>
      <w:r>
        <w:t xml:space="preserve"> </w:t>
      </w:r>
      <w:r w:rsidRPr="001A7394">
        <w:t xml:space="preserve">For further information on the TRMI </w:t>
      </w:r>
      <w:r>
        <w:t>i</w:t>
      </w:r>
      <w:r w:rsidRPr="001A7394">
        <w:t>ndice</w:t>
      </w:r>
      <w:r>
        <w:t>s visit https://www.marketpsych.com</w:t>
      </w:r>
    </w:p>
  </w:footnote>
  <w:footnote w:id="7">
    <w:p w14:paraId="31A7EBDA" w14:textId="77777777" w:rsidR="00E7132F" w:rsidRDefault="00E7132F" w:rsidP="00916B26">
      <w:pPr>
        <w:pStyle w:val="FootnoteText"/>
        <w:spacing w:line="240" w:lineRule="auto"/>
      </w:pPr>
      <w:r>
        <w:rPr>
          <w:rStyle w:val="FootnoteReference"/>
        </w:rPr>
        <w:footnoteRef/>
      </w:r>
      <w:r>
        <w:t xml:space="preserve"> </w:t>
      </w:r>
      <w:r w:rsidRPr="000A500E">
        <w:t>Our results are based on the combined dataset</w:t>
      </w:r>
      <w:r>
        <w:t>. Results for the other two datasets can be provided upon request.</w:t>
      </w:r>
    </w:p>
  </w:footnote>
  <w:footnote w:id="8">
    <w:p w14:paraId="120FE576" w14:textId="77777777" w:rsidR="00E7132F" w:rsidRDefault="00E7132F">
      <w:pPr>
        <w:pStyle w:val="FootnoteText"/>
      </w:pPr>
      <w:r>
        <w:rPr>
          <w:rStyle w:val="FootnoteReference"/>
        </w:rPr>
        <w:footnoteRef/>
      </w:r>
      <w:r>
        <w:t xml:space="preserve"> </w:t>
      </w:r>
      <w:r w:rsidRPr="00EF3FB5">
        <w:t>We source the EPU index from www.policyuncertainty.com.</w:t>
      </w:r>
    </w:p>
  </w:footnote>
  <w:footnote w:id="9">
    <w:p w14:paraId="06E29C7D" w14:textId="7AA0D530" w:rsidR="00E7132F" w:rsidRPr="00A30624" w:rsidRDefault="00E7132F" w:rsidP="00011720">
      <w:pPr>
        <w:pStyle w:val="FootnoteText"/>
        <w:spacing w:line="240" w:lineRule="auto"/>
      </w:pPr>
      <w:r>
        <w:rPr>
          <w:rStyle w:val="FootnoteReference"/>
        </w:rPr>
        <w:footnoteRef/>
      </w:r>
      <w:r>
        <w:t xml:space="preserve"> We attribute the absence of statistical significance in our results to the use of control variables that prior literature identifies as relevant to Bitcoin. </w:t>
      </w:r>
      <w:r w:rsidRPr="00011720">
        <w:t>Such factors</w:t>
      </w:r>
      <w:r>
        <w:t xml:space="preserve"> </w:t>
      </w:r>
      <w:r w:rsidRPr="00011720">
        <w:t>include the US Implied Volatility Index (VIX), the Bitcoin trading volume (Volume) and the US Economic Policy</w:t>
      </w:r>
      <w:r>
        <w:t xml:space="preserve"> Uncertainty</w:t>
      </w:r>
      <w:r w:rsidRPr="00011720">
        <w:t xml:space="preserve"> Index (EPU).</w:t>
      </w:r>
      <w:r>
        <w:t xml:space="preserve"> F</w:t>
      </w:r>
      <w:r w:rsidRPr="00011720">
        <w:t xml:space="preserve">or more information see </w:t>
      </w:r>
      <w:r w:rsidRPr="00121FC2">
        <w:t>Kalyvas et al., 2020; Mueller et al., 2017 and Wu et al., 2019</w:t>
      </w:r>
      <w:r w:rsidRPr="00011720">
        <w:t>, among others.</w:t>
      </w:r>
    </w:p>
  </w:footnote>
  <w:footnote w:id="10">
    <w:p w14:paraId="3E9A18DD" w14:textId="77777777" w:rsidR="00E7132F" w:rsidRPr="00D85F2B" w:rsidRDefault="00E7132F" w:rsidP="00D85F2B">
      <w:pPr>
        <w:pStyle w:val="FootnoteText"/>
        <w:spacing w:line="240" w:lineRule="auto"/>
      </w:pPr>
      <w:r>
        <w:rPr>
          <w:rStyle w:val="FootnoteReference"/>
        </w:rPr>
        <w:footnoteRef/>
      </w:r>
      <w:r>
        <w:t xml:space="preserve"> </w:t>
      </w:r>
      <w:r w:rsidRPr="00D85F2B">
        <w:t>https://www.forbes.com/sites/greatspeculations/2021/07/06/bitcoin-mining-uses-a-higher-mix-of-sustainable-energy-than-any-major-country-or-industry/?sh=3630b17b4cc9</w:t>
      </w:r>
      <w:r>
        <w:t>.</w:t>
      </w:r>
    </w:p>
  </w:footnote>
  <w:footnote w:id="11">
    <w:p w14:paraId="38B8ABA1" w14:textId="77777777" w:rsidR="00E7132F" w:rsidRPr="007A583C" w:rsidRDefault="00E7132F" w:rsidP="00D85F2B">
      <w:pPr>
        <w:pStyle w:val="FootnoteText"/>
        <w:spacing w:line="240" w:lineRule="auto"/>
      </w:pPr>
      <w:r>
        <w:rPr>
          <w:rStyle w:val="FootnoteReference"/>
        </w:rPr>
        <w:footnoteRef/>
      </w:r>
      <w:r>
        <w:t xml:space="preserve"> </w:t>
      </w:r>
      <w:r w:rsidRPr="007A583C">
        <w:t>https://www.economist.com/china/2021/07/10/deep-in-rural-china-bitcoin-miners-are-packing-up</w:t>
      </w:r>
      <w:r>
        <w:t>.</w:t>
      </w:r>
    </w:p>
  </w:footnote>
  <w:footnote w:id="12">
    <w:p w14:paraId="65221E07" w14:textId="4C9EE203" w:rsidR="00CD7D0D" w:rsidRPr="00CD7D0D" w:rsidRDefault="00CD7D0D" w:rsidP="00CD7D0D">
      <w:pPr>
        <w:pStyle w:val="FootnoteText"/>
        <w:spacing w:line="240" w:lineRule="auto"/>
      </w:pPr>
      <w:r>
        <w:rPr>
          <w:rStyle w:val="FootnoteReference"/>
        </w:rPr>
        <w:footnoteRef/>
      </w:r>
      <w:r>
        <w:t xml:space="preserve"> For each of Sentiment, information technology and clean energy sensitivities we split the sample in two subsamples based on the respective estimated median value. In the case of Sentiment, the two subsamples depict periods of low and high Sentiment. In the case of information technology and clean energy sensitivities, the two subsamples depict periods of low and high sensitivity of those industries to Sentiment.</w:t>
      </w:r>
    </w:p>
  </w:footnote>
  <w:footnote w:id="13">
    <w:p w14:paraId="5A9EDBBD" w14:textId="37B34BA9" w:rsidR="009630E0" w:rsidRPr="009630E0" w:rsidRDefault="009630E0" w:rsidP="009630E0">
      <w:pPr>
        <w:pStyle w:val="FootnoteText"/>
        <w:spacing w:line="240" w:lineRule="auto"/>
      </w:pPr>
      <w:r>
        <w:rPr>
          <w:rStyle w:val="FootnoteReference"/>
        </w:rPr>
        <w:footnoteRef/>
      </w:r>
      <w:r>
        <w:t xml:space="preserve"> W</w:t>
      </w:r>
      <w:r w:rsidRPr="009630E0">
        <w:t xml:space="preserve">e test the hypothesis that the Sharpe ratios of the Bitcoin and the two industries are equal, using the methodology of </w:t>
      </w:r>
      <w:proofErr w:type="spellStart"/>
      <w:r w:rsidRPr="009630E0">
        <w:t>Ledoit</w:t>
      </w:r>
      <w:proofErr w:type="spellEnd"/>
      <w:r w:rsidRPr="009630E0">
        <w:t xml:space="preserve"> and Wolf (2008) with 5000 bootstrap resamples and a block size equal to b = 5. We find that the differences in the Sharpe </w:t>
      </w:r>
      <w:r>
        <w:t>r</w:t>
      </w:r>
      <w:r w:rsidRPr="009630E0">
        <w:t xml:space="preserve">atios of the </w:t>
      </w:r>
      <w:r>
        <w:t>B</w:t>
      </w:r>
      <w:r w:rsidRPr="009630E0">
        <w:t>itcoin and the two industries are statistically significant at 5%.</w:t>
      </w:r>
    </w:p>
  </w:footnote>
  <w:footnote w:id="14">
    <w:p w14:paraId="2C908895" w14:textId="156F292A" w:rsidR="0070544D" w:rsidRPr="0070544D" w:rsidRDefault="0070544D" w:rsidP="0070544D">
      <w:pPr>
        <w:pStyle w:val="FootnoteText"/>
        <w:spacing w:line="240" w:lineRule="auto"/>
      </w:pPr>
      <w:r>
        <w:rPr>
          <w:rStyle w:val="FootnoteReference"/>
        </w:rPr>
        <w:footnoteRef/>
      </w:r>
      <w:r>
        <w:t xml:space="preserve"> For more information refer to Section 4.4.</w:t>
      </w:r>
    </w:p>
  </w:footnote>
  <w:footnote w:id="15">
    <w:p w14:paraId="1F9D150F" w14:textId="413A493E" w:rsidR="00E7132F" w:rsidRPr="003A5454" w:rsidRDefault="00E7132F" w:rsidP="003A5454">
      <w:pPr>
        <w:pStyle w:val="FootnoteText"/>
        <w:spacing w:line="240" w:lineRule="auto"/>
        <w:rPr>
          <w:lang w:val="en-US"/>
        </w:rPr>
      </w:pPr>
      <w:r>
        <w:rPr>
          <w:rStyle w:val="FootnoteReference"/>
        </w:rPr>
        <w:footnoteRef/>
      </w:r>
      <w:r>
        <w:t xml:space="preserve"> </w:t>
      </w:r>
      <w:r>
        <w:rPr>
          <w:lang w:val="en-US"/>
        </w:rPr>
        <w:t xml:space="preserve">Our sample of data spans </w:t>
      </w:r>
      <w:r w:rsidRPr="003A5454">
        <w:rPr>
          <w:lang w:val="en-US"/>
        </w:rPr>
        <w:t>1</w:t>
      </w:r>
      <w:r w:rsidR="00081C55" w:rsidRPr="00081C55">
        <w:rPr>
          <w:vertAlign w:val="superscript"/>
          <w:lang w:val="en-US"/>
        </w:rPr>
        <w:t>st</w:t>
      </w:r>
      <w:r w:rsidRPr="003A5454">
        <w:rPr>
          <w:lang w:val="en-US"/>
        </w:rPr>
        <w:t xml:space="preserve"> October 2013 – 31</w:t>
      </w:r>
      <w:r w:rsidR="00081C55" w:rsidRPr="00081C55">
        <w:rPr>
          <w:vertAlign w:val="superscript"/>
          <w:lang w:val="en-US"/>
        </w:rPr>
        <w:t>st</w:t>
      </w:r>
      <w:r w:rsidR="00081C55">
        <w:rPr>
          <w:lang w:val="en-US"/>
        </w:rPr>
        <w:t xml:space="preserve"> </w:t>
      </w:r>
      <w:r w:rsidRPr="003A5454">
        <w:rPr>
          <w:lang w:val="en-US"/>
        </w:rPr>
        <w:t>December 2018</w:t>
      </w:r>
      <w:r>
        <w:rPr>
          <w:lang w:val="en-US"/>
        </w:rPr>
        <w:t xml:space="preserve"> due to a limitation of our TRMI data that end on 31 of December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23910"/>
    <w:multiLevelType w:val="hybridMultilevel"/>
    <w:tmpl w:val="BE6A6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0944F7"/>
    <w:multiLevelType w:val="hybridMultilevel"/>
    <w:tmpl w:val="EC729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A007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YwMTY2NrA0NzazNDNX0lEKTi0uzszPAykwqgUAGZYRvCwAAAA="/>
  </w:docVars>
  <w:rsids>
    <w:rsidRoot w:val="00916B26"/>
    <w:rsid w:val="00007E8B"/>
    <w:rsid w:val="00011720"/>
    <w:rsid w:val="0001407C"/>
    <w:rsid w:val="00020445"/>
    <w:rsid w:val="00032D63"/>
    <w:rsid w:val="000358E2"/>
    <w:rsid w:val="00050CCB"/>
    <w:rsid w:val="000513C3"/>
    <w:rsid w:val="000629BD"/>
    <w:rsid w:val="00065F3A"/>
    <w:rsid w:val="000665C9"/>
    <w:rsid w:val="00081C55"/>
    <w:rsid w:val="000972E2"/>
    <w:rsid w:val="00097316"/>
    <w:rsid w:val="000A3704"/>
    <w:rsid w:val="000B0E0A"/>
    <w:rsid w:val="000B1CAD"/>
    <w:rsid w:val="000B44FB"/>
    <w:rsid w:val="000B5528"/>
    <w:rsid w:val="000B563D"/>
    <w:rsid w:val="000B7C62"/>
    <w:rsid w:val="000C5391"/>
    <w:rsid w:val="000C6A7A"/>
    <w:rsid w:val="000D131D"/>
    <w:rsid w:val="000D34A3"/>
    <w:rsid w:val="000D6483"/>
    <w:rsid w:val="000D6A0A"/>
    <w:rsid w:val="000D7A5C"/>
    <w:rsid w:val="000F0D1D"/>
    <w:rsid w:val="000F2890"/>
    <w:rsid w:val="000F4819"/>
    <w:rsid w:val="0010551B"/>
    <w:rsid w:val="00113C69"/>
    <w:rsid w:val="00121FC2"/>
    <w:rsid w:val="00131C7F"/>
    <w:rsid w:val="0013427C"/>
    <w:rsid w:val="0013642D"/>
    <w:rsid w:val="00150599"/>
    <w:rsid w:val="0016695A"/>
    <w:rsid w:val="00176855"/>
    <w:rsid w:val="00185B9F"/>
    <w:rsid w:val="00193FF4"/>
    <w:rsid w:val="00195690"/>
    <w:rsid w:val="00195ABB"/>
    <w:rsid w:val="001B05FC"/>
    <w:rsid w:val="001B21B3"/>
    <w:rsid w:val="001C096A"/>
    <w:rsid w:val="001C37F7"/>
    <w:rsid w:val="001D10FF"/>
    <w:rsid w:val="001D3FAC"/>
    <w:rsid w:val="001E14E5"/>
    <w:rsid w:val="001E1FD0"/>
    <w:rsid w:val="00201E2F"/>
    <w:rsid w:val="0020692B"/>
    <w:rsid w:val="00214571"/>
    <w:rsid w:val="002157EA"/>
    <w:rsid w:val="0021755E"/>
    <w:rsid w:val="00223D57"/>
    <w:rsid w:val="0022700B"/>
    <w:rsid w:val="00233A2E"/>
    <w:rsid w:val="00237795"/>
    <w:rsid w:val="002508B4"/>
    <w:rsid w:val="00267793"/>
    <w:rsid w:val="00273194"/>
    <w:rsid w:val="00274A88"/>
    <w:rsid w:val="00282411"/>
    <w:rsid w:val="00290471"/>
    <w:rsid w:val="002B281F"/>
    <w:rsid w:val="002B5373"/>
    <w:rsid w:val="002C6FCD"/>
    <w:rsid w:val="002D0EDA"/>
    <w:rsid w:val="002D34AE"/>
    <w:rsid w:val="002E6D94"/>
    <w:rsid w:val="002F1B1F"/>
    <w:rsid w:val="00320247"/>
    <w:rsid w:val="00322105"/>
    <w:rsid w:val="0033153F"/>
    <w:rsid w:val="00332D46"/>
    <w:rsid w:val="00345851"/>
    <w:rsid w:val="00347FD3"/>
    <w:rsid w:val="0035002F"/>
    <w:rsid w:val="00352091"/>
    <w:rsid w:val="00352401"/>
    <w:rsid w:val="00352A23"/>
    <w:rsid w:val="00363A4B"/>
    <w:rsid w:val="00391A56"/>
    <w:rsid w:val="00394BDC"/>
    <w:rsid w:val="00395F19"/>
    <w:rsid w:val="003A5454"/>
    <w:rsid w:val="003B351F"/>
    <w:rsid w:val="003B3564"/>
    <w:rsid w:val="003D55D1"/>
    <w:rsid w:val="003D6062"/>
    <w:rsid w:val="003D63C4"/>
    <w:rsid w:val="003E3BDA"/>
    <w:rsid w:val="003E52AB"/>
    <w:rsid w:val="003E5B8B"/>
    <w:rsid w:val="003F00D9"/>
    <w:rsid w:val="0042111F"/>
    <w:rsid w:val="004245AD"/>
    <w:rsid w:val="004370A1"/>
    <w:rsid w:val="004456B8"/>
    <w:rsid w:val="0046634D"/>
    <w:rsid w:val="0047395B"/>
    <w:rsid w:val="00477D81"/>
    <w:rsid w:val="004844EE"/>
    <w:rsid w:val="004910CC"/>
    <w:rsid w:val="004A4E4A"/>
    <w:rsid w:val="004B38C9"/>
    <w:rsid w:val="004B3DB1"/>
    <w:rsid w:val="004B596D"/>
    <w:rsid w:val="004C0F4F"/>
    <w:rsid w:val="004D0DBC"/>
    <w:rsid w:val="004D45C8"/>
    <w:rsid w:val="004D72B1"/>
    <w:rsid w:val="004E08C5"/>
    <w:rsid w:val="004E53E7"/>
    <w:rsid w:val="004E63E5"/>
    <w:rsid w:val="004F0490"/>
    <w:rsid w:val="004F0A0D"/>
    <w:rsid w:val="004F3654"/>
    <w:rsid w:val="0050317A"/>
    <w:rsid w:val="00505ED1"/>
    <w:rsid w:val="00517990"/>
    <w:rsid w:val="005220F6"/>
    <w:rsid w:val="00522D7D"/>
    <w:rsid w:val="00537166"/>
    <w:rsid w:val="0053736D"/>
    <w:rsid w:val="00547874"/>
    <w:rsid w:val="00552839"/>
    <w:rsid w:val="00554AC0"/>
    <w:rsid w:val="00567409"/>
    <w:rsid w:val="005702AD"/>
    <w:rsid w:val="00584152"/>
    <w:rsid w:val="005932CD"/>
    <w:rsid w:val="0059413E"/>
    <w:rsid w:val="005B62C2"/>
    <w:rsid w:val="005D4CA0"/>
    <w:rsid w:val="005F4847"/>
    <w:rsid w:val="005F6472"/>
    <w:rsid w:val="005F7488"/>
    <w:rsid w:val="00610074"/>
    <w:rsid w:val="006100A3"/>
    <w:rsid w:val="00610550"/>
    <w:rsid w:val="0062223B"/>
    <w:rsid w:val="00630EC9"/>
    <w:rsid w:val="0064216B"/>
    <w:rsid w:val="0065154C"/>
    <w:rsid w:val="00653418"/>
    <w:rsid w:val="00653B36"/>
    <w:rsid w:val="0067201A"/>
    <w:rsid w:val="0067385E"/>
    <w:rsid w:val="006875E9"/>
    <w:rsid w:val="00691A0C"/>
    <w:rsid w:val="0069448F"/>
    <w:rsid w:val="006A5C21"/>
    <w:rsid w:val="006B4325"/>
    <w:rsid w:val="006C6A8D"/>
    <w:rsid w:val="006C745D"/>
    <w:rsid w:val="006D5A8B"/>
    <w:rsid w:val="006E2B32"/>
    <w:rsid w:val="0070544D"/>
    <w:rsid w:val="00714528"/>
    <w:rsid w:val="00717A55"/>
    <w:rsid w:val="0072479D"/>
    <w:rsid w:val="00732BCA"/>
    <w:rsid w:val="00734AE6"/>
    <w:rsid w:val="00736486"/>
    <w:rsid w:val="00743510"/>
    <w:rsid w:val="00744319"/>
    <w:rsid w:val="007523A3"/>
    <w:rsid w:val="00753254"/>
    <w:rsid w:val="0075541D"/>
    <w:rsid w:val="00792D44"/>
    <w:rsid w:val="007A149E"/>
    <w:rsid w:val="007A583C"/>
    <w:rsid w:val="007B5638"/>
    <w:rsid w:val="007B6FF4"/>
    <w:rsid w:val="007D2EF9"/>
    <w:rsid w:val="007D4F06"/>
    <w:rsid w:val="007E0F2B"/>
    <w:rsid w:val="007F5A1B"/>
    <w:rsid w:val="00812924"/>
    <w:rsid w:val="00816069"/>
    <w:rsid w:val="00821B20"/>
    <w:rsid w:val="00830691"/>
    <w:rsid w:val="008325EB"/>
    <w:rsid w:val="0084286F"/>
    <w:rsid w:val="00843F75"/>
    <w:rsid w:val="00845053"/>
    <w:rsid w:val="00871B6D"/>
    <w:rsid w:val="00880B96"/>
    <w:rsid w:val="0088619A"/>
    <w:rsid w:val="00891583"/>
    <w:rsid w:val="008969F8"/>
    <w:rsid w:val="008A42F2"/>
    <w:rsid w:val="008B0AB6"/>
    <w:rsid w:val="008B46DE"/>
    <w:rsid w:val="008B72CB"/>
    <w:rsid w:val="008D463E"/>
    <w:rsid w:val="008D48D2"/>
    <w:rsid w:val="008D6E11"/>
    <w:rsid w:val="008E191B"/>
    <w:rsid w:val="008F2FCB"/>
    <w:rsid w:val="008F7C64"/>
    <w:rsid w:val="00906D33"/>
    <w:rsid w:val="00907004"/>
    <w:rsid w:val="00916B26"/>
    <w:rsid w:val="009370F8"/>
    <w:rsid w:val="0096212B"/>
    <w:rsid w:val="009630E0"/>
    <w:rsid w:val="00964875"/>
    <w:rsid w:val="00980ECD"/>
    <w:rsid w:val="00986412"/>
    <w:rsid w:val="0098684C"/>
    <w:rsid w:val="009B01FB"/>
    <w:rsid w:val="009B2CF8"/>
    <w:rsid w:val="009C0936"/>
    <w:rsid w:val="009C4256"/>
    <w:rsid w:val="009D4D8A"/>
    <w:rsid w:val="009E4B42"/>
    <w:rsid w:val="009E64CE"/>
    <w:rsid w:val="00A04B26"/>
    <w:rsid w:val="00A14CB5"/>
    <w:rsid w:val="00A30624"/>
    <w:rsid w:val="00A3177D"/>
    <w:rsid w:val="00A32985"/>
    <w:rsid w:val="00A40C13"/>
    <w:rsid w:val="00A46EA4"/>
    <w:rsid w:val="00A52502"/>
    <w:rsid w:val="00A52F3A"/>
    <w:rsid w:val="00A5433B"/>
    <w:rsid w:val="00A63A3E"/>
    <w:rsid w:val="00A72476"/>
    <w:rsid w:val="00A91C89"/>
    <w:rsid w:val="00A91D08"/>
    <w:rsid w:val="00AA07AF"/>
    <w:rsid w:val="00AB0C81"/>
    <w:rsid w:val="00AB61F8"/>
    <w:rsid w:val="00AD1D95"/>
    <w:rsid w:val="00AD4A58"/>
    <w:rsid w:val="00AD651D"/>
    <w:rsid w:val="00AE108B"/>
    <w:rsid w:val="00AE2217"/>
    <w:rsid w:val="00AE6967"/>
    <w:rsid w:val="00AF151A"/>
    <w:rsid w:val="00AF5F81"/>
    <w:rsid w:val="00B042FE"/>
    <w:rsid w:val="00B06C8B"/>
    <w:rsid w:val="00B06CFE"/>
    <w:rsid w:val="00B1280F"/>
    <w:rsid w:val="00B20B73"/>
    <w:rsid w:val="00B3426F"/>
    <w:rsid w:val="00B42A36"/>
    <w:rsid w:val="00B436F7"/>
    <w:rsid w:val="00B51516"/>
    <w:rsid w:val="00B54A01"/>
    <w:rsid w:val="00B56FE7"/>
    <w:rsid w:val="00B60E30"/>
    <w:rsid w:val="00B75B70"/>
    <w:rsid w:val="00B75EAB"/>
    <w:rsid w:val="00B770C6"/>
    <w:rsid w:val="00B80BE3"/>
    <w:rsid w:val="00B81631"/>
    <w:rsid w:val="00B9220A"/>
    <w:rsid w:val="00B94D48"/>
    <w:rsid w:val="00BA0060"/>
    <w:rsid w:val="00BA5D2F"/>
    <w:rsid w:val="00BB2B45"/>
    <w:rsid w:val="00BC31DD"/>
    <w:rsid w:val="00C0386D"/>
    <w:rsid w:val="00C07FC8"/>
    <w:rsid w:val="00C101F4"/>
    <w:rsid w:val="00C15C2D"/>
    <w:rsid w:val="00C41D08"/>
    <w:rsid w:val="00C45051"/>
    <w:rsid w:val="00C45817"/>
    <w:rsid w:val="00C45F5D"/>
    <w:rsid w:val="00C460E6"/>
    <w:rsid w:val="00C510AB"/>
    <w:rsid w:val="00C65C21"/>
    <w:rsid w:val="00C67A92"/>
    <w:rsid w:val="00C867FF"/>
    <w:rsid w:val="00C87E7F"/>
    <w:rsid w:val="00C93185"/>
    <w:rsid w:val="00CB0042"/>
    <w:rsid w:val="00CB0A07"/>
    <w:rsid w:val="00CB71CC"/>
    <w:rsid w:val="00CC2756"/>
    <w:rsid w:val="00CC752C"/>
    <w:rsid w:val="00CD7D0D"/>
    <w:rsid w:val="00CE0E6E"/>
    <w:rsid w:val="00CE47A9"/>
    <w:rsid w:val="00CF1AAF"/>
    <w:rsid w:val="00CF6B95"/>
    <w:rsid w:val="00CF6EF8"/>
    <w:rsid w:val="00D07927"/>
    <w:rsid w:val="00D16FC0"/>
    <w:rsid w:val="00D20139"/>
    <w:rsid w:val="00D227C6"/>
    <w:rsid w:val="00D30520"/>
    <w:rsid w:val="00D3389E"/>
    <w:rsid w:val="00D46EB0"/>
    <w:rsid w:val="00D473C2"/>
    <w:rsid w:val="00D54311"/>
    <w:rsid w:val="00D61381"/>
    <w:rsid w:val="00D67C04"/>
    <w:rsid w:val="00D85F2B"/>
    <w:rsid w:val="00DA337F"/>
    <w:rsid w:val="00DC47A2"/>
    <w:rsid w:val="00DD0D3D"/>
    <w:rsid w:val="00E036D6"/>
    <w:rsid w:val="00E20A1F"/>
    <w:rsid w:val="00E20FFB"/>
    <w:rsid w:val="00E22560"/>
    <w:rsid w:val="00E33873"/>
    <w:rsid w:val="00E46039"/>
    <w:rsid w:val="00E46546"/>
    <w:rsid w:val="00E6070B"/>
    <w:rsid w:val="00E635A4"/>
    <w:rsid w:val="00E70226"/>
    <w:rsid w:val="00E7132F"/>
    <w:rsid w:val="00E93703"/>
    <w:rsid w:val="00E95CF1"/>
    <w:rsid w:val="00EA549D"/>
    <w:rsid w:val="00EA5CA1"/>
    <w:rsid w:val="00EB163F"/>
    <w:rsid w:val="00EB1D21"/>
    <w:rsid w:val="00EE58B7"/>
    <w:rsid w:val="00EE5EA0"/>
    <w:rsid w:val="00EE61EA"/>
    <w:rsid w:val="00EE7CA4"/>
    <w:rsid w:val="00EF1DF6"/>
    <w:rsid w:val="00EF3FB5"/>
    <w:rsid w:val="00F07E6B"/>
    <w:rsid w:val="00F10822"/>
    <w:rsid w:val="00F26C22"/>
    <w:rsid w:val="00F27B1B"/>
    <w:rsid w:val="00F36A93"/>
    <w:rsid w:val="00F41341"/>
    <w:rsid w:val="00F427E0"/>
    <w:rsid w:val="00F47ABE"/>
    <w:rsid w:val="00F5086C"/>
    <w:rsid w:val="00F50FCC"/>
    <w:rsid w:val="00F56793"/>
    <w:rsid w:val="00F56A3A"/>
    <w:rsid w:val="00F573B4"/>
    <w:rsid w:val="00F63FA7"/>
    <w:rsid w:val="00F71800"/>
    <w:rsid w:val="00F7497E"/>
    <w:rsid w:val="00F9088F"/>
    <w:rsid w:val="00F94A42"/>
    <w:rsid w:val="00F96FB8"/>
    <w:rsid w:val="00FA33AD"/>
    <w:rsid w:val="00FB3BBA"/>
    <w:rsid w:val="00FC215C"/>
    <w:rsid w:val="00FC3127"/>
    <w:rsid w:val="00FC31FB"/>
    <w:rsid w:val="00FC40B7"/>
    <w:rsid w:val="00FC5DC9"/>
    <w:rsid w:val="00FC7CA7"/>
    <w:rsid w:val="00FD3173"/>
    <w:rsid w:val="00FD7D70"/>
    <w:rsid w:val="00FE03B8"/>
    <w:rsid w:val="00FE233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7EAF"/>
  <w15:chartTrackingRefBased/>
  <w15:docId w15:val="{AC6CE6BE-B357-40B3-9153-B9638605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B26"/>
    <w:pPr>
      <w:spacing w:line="480" w:lineRule="auto"/>
      <w:jc w:val="both"/>
    </w:pPr>
    <w:rPr>
      <w:rFonts w:ascii="Times New Roman" w:eastAsia="SimSun" w:hAnsi="Times New Roman" w:cs="Times New Roman"/>
      <w:sz w:val="24"/>
      <w:szCs w:val="22"/>
    </w:rPr>
  </w:style>
  <w:style w:type="paragraph" w:styleId="Heading1">
    <w:name w:val="heading 1"/>
    <w:basedOn w:val="Normal"/>
    <w:next w:val="Normal"/>
    <w:link w:val="Heading1Char"/>
    <w:uiPriority w:val="9"/>
    <w:qFormat/>
    <w:rsid w:val="00916B26"/>
    <w:pPr>
      <w:keepNext/>
      <w:keepLines/>
      <w:outlineLvl w:val="0"/>
    </w:pPr>
    <w:rPr>
      <w:rFonts w:eastAsia="PMingLiU"/>
      <w:b/>
      <w:color w:val="000000"/>
      <w:szCs w:val="32"/>
    </w:rPr>
  </w:style>
  <w:style w:type="paragraph" w:styleId="Heading2">
    <w:name w:val="heading 2"/>
    <w:basedOn w:val="Normal"/>
    <w:next w:val="Normal"/>
    <w:link w:val="Heading2Char"/>
    <w:uiPriority w:val="9"/>
    <w:unhideWhenUsed/>
    <w:qFormat/>
    <w:rsid w:val="00916B26"/>
    <w:pPr>
      <w:keepNext/>
      <w:keepLines/>
      <w:spacing w:before="40"/>
      <w:outlineLvl w:val="1"/>
    </w:pPr>
    <w:rPr>
      <w:rFonts w:eastAsia="PMingLiU"/>
      <w:b/>
      <w:szCs w:val="26"/>
    </w:rPr>
  </w:style>
  <w:style w:type="paragraph" w:styleId="Heading3">
    <w:name w:val="heading 3"/>
    <w:basedOn w:val="Normal"/>
    <w:next w:val="Normal"/>
    <w:link w:val="Heading3Char"/>
    <w:uiPriority w:val="9"/>
    <w:unhideWhenUsed/>
    <w:qFormat/>
    <w:rsid w:val="00FC31FB"/>
    <w:pPr>
      <w:keepNext/>
      <w:keepLines/>
      <w:spacing w:before="40"/>
      <w:outlineLvl w:val="2"/>
    </w:pPr>
    <w:rPr>
      <w:rFonts w:eastAsia="PMingLiU"/>
      <w:b/>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6B26"/>
    <w:rPr>
      <w:rFonts w:ascii="Times New Roman" w:eastAsia="PMingLiU" w:hAnsi="Times New Roman" w:cs="Times New Roman"/>
      <w:b/>
      <w:color w:val="000000"/>
      <w:sz w:val="24"/>
      <w:szCs w:val="32"/>
      <w:lang w:eastAsia="en-GB"/>
    </w:rPr>
  </w:style>
  <w:style w:type="character" w:customStyle="1" w:styleId="Heading2Char">
    <w:name w:val="Heading 2 Char"/>
    <w:link w:val="Heading2"/>
    <w:uiPriority w:val="9"/>
    <w:rsid w:val="00916B26"/>
    <w:rPr>
      <w:rFonts w:ascii="Times New Roman" w:eastAsia="PMingLiU" w:hAnsi="Times New Roman" w:cs="Times New Roman"/>
      <w:b/>
      <w:sz w:val="24"/>
      <w:szCs w:val="26"/>
      <w:lang w:eastAsia="en-GB"/>
    </w:rPr>
  </w:style>
  <w:style w:type="paragraph" w:styleId="FootnoteText">
    <w:name w:val="footnote text"/>
    <w:basedOn w:val="Normal"/>
    <w:link w:val="FootnoteTextChar"/>
    <w:uiPriority w:val="99"/>
    <w:semiHidden/>
    <w:unhideWhenUsed/>
    <w:rsid w:val="00916B26"/>
    <w:rPr>
      <w:sz w:val="20"/>
      <w:szCs w:val="20"/>
    </w:rPr>
  </w:style>
  <w:style w:type="character" w:customStyle="1" w:styleId="FootnoteTextChar">
    <w:name w:val="Footnote Text Char"/>
    <w:link w:val="FootnoteText"/>
    <w:uiPriority w:val="99"/>
    <w:semiHidden/>
    <w:rsid w:val="00916B26"/>
    <w:rPr>
      <w:rFonts w:ascii="Times New Roman" w:eastAsia="SimSun" w:hAnsi="Times New Roman" w:cs="Times New Roman"/>
      <w:sz w:val="20"/>
      <w:szCs w:val="20"/>
      <w:lang w:eastAsia="en-GB"/>
    </w:rPr>
  </w:style>
  <w:style w:type="character" w:styleId="FootnoteReference">
    <w:name w:val="footnote reference"/>
    <w:uiPriority w:val="99"/>
    <w:semiHidden/>
    <w:unhideWhenUsed/>
    <w:rsid w:val="00916B26"/>
    <w:rPr>
      <w:vertAlign w:val="superscript"/>
    </w:rPr>
  </w:style>
  <w:style w:type="character" w:styleId="Hyperlink">
    <w:name w:val="Hyperlink"/>
    <w:uiPriority w:val="99"/>
    <w:unhideWhenUsed/>
    <w:rsid w:val="00916B26"/>
    <w:rPr>
      <w:color w:val="0000FF"/>
      <w:u w:val="single"/>
    </w:rPr>
  </w:style>
  <w:style w:type="paragraph" w:styleId="Footer">
    <w:name w:val="footer"/>
    <w:basedOn w:val="Normal"/>
    <w:link w:val="FooterChar"/>
    <w:uiPriority w:val="99"/>
    <w:unhideWhenUsed/>
    <w:rsid w:val="00916B26"/>
    <w:pPr>
      <w:tabs>
        <w:tab w:val="center" w:pos="4513"/>
        <w:tab w:val="right" w:pos="9026"/>
      </w:tabs>
      <w:spacing w:line="240" w:lineRule="auto"/>
    </w:pPr>
  </w:style>
  <w:style w:type="character" w:customStyle="1" w:styleId="FooterChar">
    <w:name w:val="Footer Char"/>
    <w:link w:val="Footer"/>
    <w:uiPriority w:val="99"/>
    <w:rsid w:val="00916B26"/>
    <w:rPr>
      <w:rFonts w:ascii="Times New Roman" w:eastAsia="SimSun" w:hAnsi="Times New Roman" w:cs="Times New Roman"/>
      <w:sz w:val="24"/>
      <w:lang w:eastAsia="en-GB"/>
    </w:rPr>
  </w:style>
  <w:style w:type="table" w:styleId="TableGrid">
    <w:name w:val="Table Grid"/>
    <w:basedOn w:val="TableNormal"/>
    <w:uiPriority w:val="39"/>
    <w:rsid w:val="00916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7395B"/>
  </w:style>
  <w:style w:type="character" w:styleId="FollowedHyperlink">
    <w:name w:val="FollowedHyperlink"/>
    <w:uiPriority w:val="99"/>
    <w:semiHidden/>
    <w:unhideWhenUsed/>
    <w:rsid w:val="009E64CE"/>
    <w:rPr>
      <w:color w:val="954F72"/>
      <w:u w:val="single"/>
    </w:rPr>
  </w:style>
  <w:style w:type="character" w:styleId="CommentReference">
    <w:name w:val="annotation reference"/>
    <w:uiPriority w:val="99"/>
    <w:semiHidden/>
    <w:unhideWhenUsed/>
    <w:rsid w:val="00F56A3A"/>
    <w:rPr>
      <w:sz w:val="16"/>
      <w:szCs w:val="16"/>
    </w:rPr>
  </w:style>
  <w:style w:type="paragraph" w:styleId="CommentText">
    <w:name w:val="annotation text"/>
    <w:basedOn w:val="Normal"/>
    <w:link w:val="CommentTextChar"/>
    <w:uiPriority w:val="99"/>
    <w:semiHidden/>
    <w:unhideWhenUsed/>
    <w:rsid w:val="00F56A3A"/>
    <w:pPr>
      <w:spacing w:line="240" w:lineRule="auto"/>
    </w:pPr>
    <w:rPr>
      <w:sz w:val="20"/>
      <w:szCs w:val="20"/>
    </w:rPr>
  </w:style>
  <w:style w:type="character" w:customStyle="1" w:styleId="CommentTextChar">
    <w:name w:val="Comment Text Char"/>
    <w:link w:val="CommentText"/>
    <w:uiPriority w:val="99"/>
    <w:semiHidden/>
    <w:rsid w:val="00F56A3A"/>
    <w:rPr>
      <w:rFonts w:ascii="Times New Roman" w:eastAsia="SimSu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6A3A"/>
    <w:rPr>
      <w:b/>
      <w:bCs/>
    </w:rPr>
  </w:style>
  <w:style w:type="character" w:customStyle="1" w:styleId="CommentSubjectChar">
    <w:name w:val="Comment Subject Char"/>
    <w:link w:val="CommentSubject"/>
    <w:uiPriority w:val="99"/>
    <w:semiHidden/>
    <w:rsid w:val="00F56A3A"/>
    <w:rPr>
      <w:rFonts w:ascii="Times New Roman" w:eastAsia="SimSun" w:hAnsi="Times New Roman" w:cs="Times New Roman"/>
      <w:b/>
      <w:bCs/>
      <w:sz w:val="20"/>
      <w:szCs w:val="20"/>
      <w:lang w:eastAsia="en-GB"/>
    </w:rPr>
  </w:style>
  <w:style w:type="paragraph" w:styleId="BalloonText">
    <w:name w:val="Balloon Text"/>
    <w:basedOn w:val="Normal"/>
    <w:link w:val="BalloonTextChar"/>
    <w:uiPriority w:val="99"/>
    <w:semiHidden/>
    <w:unhideWhenUsed/>
    <w:rsid w:val="00F56A3A"/>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F56A3A"/>
    <w:rPr>
      <w:rFonts w:ascii="Segoe UI" w:eastAsia="SimSun" w:hAnsi="Segoe UI" w:cs="Segoe UI"/>
      <w:sz w:val="18"/>
      <w:szCs w:val="18"/>
      <w:lang w:eastAsia="en-GB"/>
    </w:rPr>
  </w:style>
  <w:style w:type="character" w:customStyle="1" w:styleId="Heading3Char">
    <w:name w:val="Heading 3 Char"/>
    <w:link w:val="Heading3"/>
    <w:uiPriority w:val="9"/>
    <w:rsid w:val="00FC31FB"/>
    <w:rPr>
      <w:rFonts w:ascii="Times New Roman" w:eastAsia="PMingLiU" w:hAnsi="Times New Roman" w:cs="Times New Roman"/>
      <w:b/>
      <w:color w:val="000000"/>
      <w:sz w:val="24"/>
      <w:szCs w:val="24"/>
      <w:lang w:eastAsia="en-GB"/>
    </w:rPr>
  </w:style>
  <w:style w:type="paragraph" w:styleId="ListParagraph">
    <w:name w:val="List Paragraph"/>
    <w:basedOn w:val="Normal"/>
    <w:uiPriority w:val="34"/>
    <w:qFormat/>
    <w:rsid w:val="00906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4700">
      <w:bodyDiv w:val="1"/>
      <w:marLeft w:val="0"/>
      <w:marRight w:val="0"/>
      <w:marTop w:val="0"/>
      <w:marBottom w:val="0"/>
      <w:divBdr>
        <w:top w:val="none" w:sz="0" w:space="0" w:color="auto"/>
        <w:left w:val="none" w:sz="0" w:space="0" w:color="auto"/>
        <w:bottom w:val="none" w:sz="0" w:space="0" w:color="auto"/>
        <w:right w:val="none" w:sz="0" w:space="0" w:color="auto"/>
      </w:divBdr>
    </w:div>
    <w:div w:id="473327855">
      <w:bodyDiv w:val="1"/>
      <w:marLeft w:val="0"/>
      <w:marRight w:val="0"/>
      <w:marTop w:val="0"/>
      <w:marBottom w:val="0"/>
      <w:divBdr>
        <w:top w:val="none" w:sz="0" w:space="0" w:color="auto"/>
        <w:left w:val="none" w:sz="0" w:space="0" w:color="auto"/>
        <w:bottom w:val="none" w:sz="0" w:space="0" w:color="auto"/>
        <w:right w:val="none" w:sz="0" w:space="0" w:color="auto"/>
      </w:divBdr>
    </w:div>
    <w:div w:id="818766993">
      <w:bodyDiv w:val="1"/>
      <w:marLeft w:val="0"/>
      <w:marRight w:val="0"/>
      <w:marTop w:val="0"/>
      <w:marBottom w:val="0"/>
      <w:divBdr>
        <w:top w:val="none" w:sz="0" w:space="0" w:color="auto"/>
        <w:left w:val="none" w:sz="0" w:space="0" w:color="auto"/>
        <w:bottom w:val="none" w:sz="0" w:space="0" w:color="auto"/>
        <w:right w:val="none" w:sz="0" w:space="0" w:color="auto"/>
      </w:divBdr>
    </w:div>
    <w:div w:id="1198935793">
      <w:bodyDiv w:val="1"/>
      <w:marLeft w:val="0"/>
      <w:marRight w:val="0"/>
      <w:marTop w:val="0"/>
      <w:marBottom w:val="0"/>
      <w:divBdr>
        <w:top w:val="none" w:sz="0" w:space="0" w:color="auto"/>
        <w:left w:val="none" w:sz="0" w:space="0" w:color="auto"/>
        <w:bottom w:val="none" w:sz="0" w:space="0" w:color="auto"/>
        <w:right w:val="none" w:sz="0" w:space="0" w:color="auto"/>
      </w:divBdr>
    </w:div>
    <w:div w:id="1200817928">
      <w:bodyDiv w:val="1"/>
      <w:marLeft w:val="0"/>
      <w:marRight w:val="0"/>
      <w:marTop w:val="0"/>
      <w:marBottom w:val="0"/>
      <w:divBdr>
        <w:top w:val="none" w:sz="0" w:space="0" w:color="auto"/>
        <w:left w:val="none" w:sz="0" w:space="0" w:color="auto"/>
        <w:bottom w:val="none" w:sz="0" w:space="0" w:color="auto"/>
        <w:right w:val="none" w:sz="0" w:space="0" w:color="auto"/>
      </w:divBdr>
    </w:div>
    <w:div w:id="1369992569">
      <w:bodyDiv w:val="1"/>
      <w:marLeft w:val="0"/>
      <w:marRight w:val="0"/>
      <w:marTop w:val="0"/>
      <w:marBottom w:val="0"/>
      <w:divBdr>
        <w:top w:val="none" w:sz="0" w:space="0" w:color="auto"/>
        <w:left w:val="none" w:sz="0" w:space="0" w:color="auto"/>
        <w:bottom w:val="none" w:sz="0" w:space="0" w:color="auto"/>
        <w:right w:val="none" w:sz="0" w:space="0" w:color="auto"/>
      </w:divBdr>
    </w:div>
    <w:div w:id="1689481562">
      <w:bodyDiv w:val="1"/>
      <w:marLeft w:val="0"/>
      <w:marRight w:val="0"/>
      <w:marTop w:val="0"/>
      <w:marBottom w:val="0"/>
      <w:divBdr>
        <w:top w:val="none" w:sz="0" w:space="0" w:color="auto"/>
        <w:left w:val="none" w:sz="0" w:space="0" w:color="auto"/>
        <w:bottom w:val="none" w:sz="0" w:space="0" w:color="auto"/>
        <w:right w:val="none" w:sz="0" w:space="0" w:color="auto"/>
      </w:divBdr>
    </w:div>
    <w:div w:id="1716271365">
      <w:bodyDiv w:val="1"/>
      <w:marLeft w:val="0"/>
      <w:marRight w:val="0"/>
      <w:marTop w:val="0"/>
      <w:marBottom w:val="0"/>
      <w:divBdr>
        <w:top w:val="none" w:sz="0" w:space="0" w:color="auto"/>
        <w:left w:val="none" w:sz="0" w:space="0" w:color="auto"/>
        <w:bottom w:val="none" w:sz="0" w:space="0" w:color="auto"/>
        <w:right w:val="none" w:sz="0" w:space="0" w:color="auto"/>
      </w:divBdr>
    </w:div>
    <w:div w:id="18154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p.papakyriakou@soton.ac.uk" TargetMode="External"/><Relationship Id="rId2" Type="http://schemas.openxmlformats.org/officeDocument/2006/relationships/hyperlink" Target="mailto:zeming.li@ucd.ie" TargetMode="External"/><Relationship Id="rId1" Type="http://schemas.openxmlformats.org/officeDocument/2006/relationships/hyperlink" Target="mailto:n.a.kalyvas@soton.ac.uk" TargetMode="External"/><Relationship Id="rId4" Type="http://schemas.openxmlformats.org/officeDocument/2006/relationships/hyperlink" Target="mailto:athanasios.sakkas@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Zar19</b:Tag>
    <b:SourceType>JournalArticle</b:SourceType>
    <b:Guid>{BF2DBA11-1A39-4BE7-833A-0FDCFFB5DE0E}</b:Guid>
    <b:Title>Informational inefficiency of Bitcoin: A study based on high-frequency data</b:Title>
    <b:JournalName>Research in International Business and Finance</b:JournalName>
    <b:Year>2019</b:Year>
    <b:Pages>344-353</b:Pages>
    <b:Volume>47</b:Volume>
    <b:Author>
      <b:Author>
        <b:NameList>
          <b:Person>
            <b:Last>Zargar</b:Last>
            <b:Middle>Nazir</b:Middle>
            <b:First>Faisal</b:First>
          </b:Person>
          <b:Person>
            <b:Last>Kumar</b:Last>
            <b:First>Dilip</b:First>
          </b:Person>
        </b:NameList>
      </b:Author>
    </b:Author>
    <b:RefOrder>1</b:RefOrder>
  </b:Source>
  <b:Source>
    <b:Tag>YuJ11</b:Tag>
    <b:SourceType>JournalArticle</b:SourceType>
    <b:Guid>{075A376C-6585-4D46-839B-AA7BF6368989}</b:Guid>
    <b:Title>Investor sentiment and the mean–variance relation</b:Title>
    <b:JournalName>Journal of Financial Economics</b:JournalName>
    <b:Year>2011</b:Year>
    <b:Pages>367-381</b:Pages>
    <b:Author>
      <b:Author>
        <b:NameList>
          <b:Person>
            <b:Last>Yu</b:Last>
            <b:First>Jianfeng</b:First>
          </b:Person>
          <b:Person>
            <b:Last>Yuan</b:Last>
            <b:First>Yu</b:First>
          </b:Person>
        </b:NameList>
      </b:Author>
    </b:Author>
    <b:Volume>100</b:Volume>
    <b:Issue>2</b:Issue>
    <b:RefOrder>2</b:RefOrder>
  </b:Source>
  <b:Source>
    <b:Tag>WuS19</b:Tag>
    <b:SourceType>JournalArticle</b:SourceType>
    <b:Guid>{B91B0A2E-6348-4D45-9DB6-81BE91A96111}</b:Guid>
    <b:Title>Does gold or Bitcoin hedge economic policy uncertainty?</b:Title>
    <b:JournalName>Finance Research Letters</b:JournalName>
    <b:Year>2019</b:Year>
    <b:Pages>171-178</b:Pages>
    <b:Volume>31</b:Volume>
    <b:Author>
      <b:Author>
        <b:NameList>
          <b:Person>
            <b:Last>Wu</b:Last>
            <b:First>Shan</b:First>
          </b:Person>
          <b:Person>
            <b:Last>Tong</b:Last>
            <b:First>Mu</b:First>
          </b:Person>
          <b:Person>
            <b:Last>Yang</b:Last>
            <b:First>Zhongyi</b:First>
          </b:Person>
          <b:Person>
            <b:Last>Derbali</b:Last>
            <b:First>Abdelkader</b:First>
          </b:Person>
        </b:NameList>
      </b:Author>
    </b:Author>
    <b:RefOrder>3</b:RefOrder>
  </b:Source>
  <b:Source>
    <b:Tag>Wan19</b:Tag>
    <b:SourceType>JournalArticle</b:SourceType>
    <b:Guid>{DB8C5772-2CF5-433F-BCD4-BC87B5951EA9}</b:Guid>
    <b:Title>When Bitcoin meets economic policy uncertainty (EPU): Measuring risk spillover effect from EPU to Bitcoin</b:Title>
    <b:JournalName>Finance Research Letters</b:JournalName>
    <b:Year>2019</b:Year>
    <b:Author>
      <b:Author>
        <b:NameList>
          <b:Person>
            <b:Last>Wang</b:Last>
            <b:Middle>Jin</b:Middle>
            <b:First>Gang</b:First>
          </b:Person>
          <b:Person>
            <b:Last>Xie</b:Last>
            <b:First>Chi</b:First>
          </b:Person>
          <b:Person>
            <b:Last>Wen</b:Last>
            <b:First>Danyan</b:First>
          </b:Person>
          <b:Person>
            <b:Last>Zhao</b:Last>
            <b:First>Longfeng</b:First>
          </b:Person>
        </b:NameList>
      </b:Author>
    </b:Author>
    <b:Volume>31</b:Volume>
    <b:RefOrder>4</b:RefOrder>
  </b:Source>
  <b:Source>
    <b:Tag>Urq16</b:Tag>
    <b:SourceType>JournalArticle</b:SourceType>
    <b:Guid>{DA9381D8-481B-4A32-900F-F144530EC15E}</b:Guid>
    <b:Title>The inefficiency of Bitcoin.</b:Title>
    <b:JournalName>Economics Letters</b:JournalName>
    <b:Year>2016</b:Year>
    <b:Pages>80-82</b:Pages>
    <b:Author>
      <b:Author>
        <b:NameList>
          <b:Person>
            <b:Last>Urquhart</b:Last>
            <b:First>Andrew</b:First>
          </b:Person>
        </b:NameList>
      </b:Author>
    </b:Author>
    <b:Volume>148</b:Volume>
    <b:RefOrder>5</b:RefOrder>
  </b:Source>
  <b:Source>
    <b:Tag>Tet07</b:Tag>
    <b:SourceType>JournalArticle</b:SourceType>
    <b:Guid>{4EFD7604-FD28-4185-B5E0-A14FCAF6C441}</b:Guid>
    <b:Title>Giving Content to Investor Sentiment: The Role of Media in the Stock Market</b:Title>
    <b:JournalName>Journal of Finance</b:JournalName>
    <b:Year>2007</b:Year>
    <b:Pages>1139-1168</b:Pages>
    <b:Author>
      <b:Author>
        <b:NameList>
          <b:Person>
            <b:Last>Tetlock</b:Last>
            <b:Middle>C</b:Middle>
            <b:First>Paul</b:First>
          </b:Person>
        </b:NameList>
      </b:Author>
    </b:Author>
    <b:Volume>62</b:Volume>
    <b:Issue>3</b:Issue>
    <b:RefOrder>6</b:RefOrder>
  </b:Source>
  <b:Source>
    <b:Tag>Sym18</b:Tag>
    <b:SourceType>JournalArticle</b:SourceType>
    <b:Guid>{360B7DB9-A1F4-4F5D-899D-6C169898D00B}</b:Guid>
    <b:Title>Return, volatility and shock spillovers of Bitcoin with energy and technology companies</b:Title>
    <b:JournalName>Economics Letters</b:JournalName>
    <b:Year>2018</b:Year>
    <b:Pages>127-130</b:Pages>
    <b:Volume>170</b:Volume>
    <b:Author>
      <b:Author>
        <b:NameList>
          <b:Person>
            <b:Last>Symitsi</b:Last>
            <b:First>Efthymia</b:First>
          </b:Person>
          <b:Person>
            <b:Last>Chalvatzis</b:Last>
            <b:Middle>J</b:Middle>
            <b:First>Konstantinos</b:First>
          </b:Person>
        </b:NameList>
      </b:Author>
    </b:Author>
    <b:RefOrder>7</b:RefOrder>
  </b:Source>
  <b:Source>
    <b:Tag>She19</b:Tag>
    <b:SourceType>JournalArticle</b:SourceType>
    <b:Guid>{2EC04720-7FF8-404F-8AEE-8ED5ED3FB01D}</b:Guid>
    <b:Title>Does twitter predict Bitcoin?</b:Title>
    <b:JournalName>Economics Letters</b:JournalName>
    <b:Year>2019</b:Year>
    <b:Pages>118-122</b:Pages>
    <b:Author>
      <b:Author>
        <b:NameList>
          <b:Person>
            <b:Last>Shen</b:Last>
            <b:First>Dehua</b:First>
          </b:Person>
          <b:Person>
            <b:Last>Urquhart</b:Last>
            <b:First>Andrew</b:First>
          </b:Person>
          <b:Person>
            <b:Last>Wang</b:Last>
            <b:First>Pengfei</b:First>
          </b:Person>
        </b:NameList>
      </b:Author>
    </b:Author>
    <b:Volume>174</b:Volume>
    <b:RefOrder>8</b:RefOrder>
  </b:Source>
  <b:Source>
    <b:Tag>Sel18</b:Tag>
    <b:SourceType>JournalArticle</b:SourceType>
    <b:Guid>{2881F4D7-0CDF-4965-B9E9-87E687496F9B}</b:Guid>
    <b:Title>Is Bitcoin a hedge, a safe haven or a diversifier for oil price movements? A comparison with gold</b:Title>
    <b:JournalName>Energy Economics</b:JournalName>
    <b:Year>2018</b:Year>
    <b:Pages>787-801</b:Pages>
    <b:Volume>74</b:Volume>
    <b:Author>
      <b:Author>
        <b:NameList>
          <b:Person>
            <b:Last>Selmi</b:Last>
            <b:First>Refk</b:First>
          </b:Person>
          <b:Person>
            <b:Last>Mensi</b:Last>
            <b:First>Walid</b:First>
          </b:Person>
          <b:Person>
            <b:Last>Hammoudeh</b:Last>
            <b:First>Shawkat</b:First>
          </b:Person>
          <b:Person>
            <b:Last>Bouoiyour</b:Last>
            <b:First>Jamal</b:First>
          </b:Person>
        </b:NameList>
      </b:Author>
    </b:Author>
    <b:RefOrder>9</b:RefOrder>
  </b:Source>
  <b:Source>
    <b:Tag>Say13</b:Tag>
    <b:SourceType>JournalArticle</b:SourceType>
    <b:Guid>{F95089C9-7A9B-4C92-AF97-E947D74507F4}</b:Guid>
    <b:Title>The effect of US individual investor sentiment on industry‐specific stock returns and volatility</b:Title>
    <b:JournalName>Review of Behavioral Finance</b:JournalName>
    <b:Year>2013</b:Year>
    <b:Pages>58-76</b:Pages>
    <b:Author>
      <b:Author>
        <b:NameList>
          <b:Person>
            <b:Last>Sayim</b:Last>
            <b:First>Mustafa</b:First>
          </b:Person>
          <b:Person>
            <b:Last>Morris</b:Last>
            <b:Middle>D</b:Middle>
            <b:First>Pamela</b:First>
          </b:Person>
          <b:Person>
            <b:Last>Rahman</b:Last>
            <b:First>Hamid</b:First>
          </b:Person>
        </b:NameList>
      </b:Author>
    </b:Author>
    <b:Volume>5</b:Volume>
    <b:Issue>1</b:Issue>
    <b:RefOrder>10</b:RefOrder>
  </b:Source>
  <b:Source>
    <b:Tag>Nad17</b:Tag>
    <b:SourceType>JournalArticle</b:SourceType>
    <b:Guid>{42113BAF-11D3-4033-93F6-BFDABFDCD676}</b:Guid>
    <b:Title>On the inefficiency of Bitcoin</b:Title>
    <b:JournalName>Economics Letters</b:JournalName>
    <b:Year>2017</b:Year>
    <b:Pages>6-9</b:Pages>
    <b:Author>
      <b:Author>
        <b:NameList>
          <b:Person>
            <b:Last>Nadarajah</b:Last>
            <b:First>Saralees</b:First>
          </b:Person>
          <b:Person>
            <b:Last>Chu</b:Last>
            <b:First>Jeffrey</b:First>
          </b:Person>
        </b:NameList>
      </b:Author>
    </b:Author>
    <b:Volume>150</b:Volume>
    <b:RefOrder>11</b:RefOrder>
  </b:Source>
  <b:Source>
    <b:Tag>Mue17</b:Tag>
    <b:SourceType>JournalArticle</b:SourceType>
    <b:Guid>{DF1557E8-75C3-4AD6-A2B2-96524A075AB3}</b:Guid>
    <b:Title>International correlation risk</b:Title>
    <b:JournalName>Journal of Financial Economics</b:JournalName>
    <b:Year>2017</b:Year>
    <b:Pages>270-299</b:Pages>
    <b:Volume>126</b:Volume>
    <b:Issue>2</b:Issue>
    <b:Author>
      <b:Author>
        <b:NameList>
          <b:Person>
            <b:Last>Mueller</b:Last>
            <b:First>Philippe</b:First>
          </b:Person>
          <b:Person>
            <b:Last>Stathopoulos</b:Last>
            <b:First>Andreas</b:First>
          </b:Person>
          <b:Person>
            <b:Last>Vedolin</b:Last>
            <b:First>Andrea</b:First>
          </b:Person>
        </b:NameList>
      </b:Author>
    </b:Author>
    <b:RefOrder>12</b:RefOrder>
  </b:Source>
  <b:Source>
    <b:Tag>Kum06</b:Tag>
    <b:SourceType>JournalArticle</b:SourceType>
    <b:Guid>{6F7CC20F-C6F4-4AF2-8C25-DFB50FF0CFD4}</b:Guid>
    <b:Title>Retail Investor Sentiment and Return Comovements</b:Title>
    <b:JournalName>Journal of Finance</b:JournalName>
    <b:Year>2006</b:Year>
    <b:Pages>2451-2486</b:Pages>
    <b:Author>
      <b:Author>
        <b:NameList>
          <b:Person>
            <b:Last>Kumar</b:Last>
            <b:First>Alok</b:First>
          </b:Person>
          <b:Person>
            <b:Last>Lee</b:Last>
            <b:Middle>M.C.</b:Middle>
            <b:First>Charles</b:First>
          </b:Person>
        </b:NameList>
      </b:Author>
    </b:Author>
    <b:Volume>61</b:Volume>
    <b:Issue>5</b:Issue>
    <b:RefOrder>13</b:RefOrder>
  </b:Source>
  <b:Source>
    <b:Tag>Kal20</b:Tag>
    <b:SourceType>JournalArticle</b:SourceType>
    <b:Guid>{B560E699-432E-48EB-AD12-504F934C141D}</b:Guid>
    <b:Title>What drives Bitcoin’s price crash risk?</b:Title>
    <b:JournalName>Economics Letters</b:JournalName>
    <b:Year>2020</b:Year>
    <b:Pages>108777</b:Pages>
    <b:Author>
      <b:Author>
        <b:NameList>
          <b:Person>
            <b:Last>Kalyvas</b:Last>
            <b:First>Antonios</b:First>
          </b:Person>
          <b:Person>
            <b:Last>Papakyriakou</b:Last>
            <b:First>Panayiotis</b:First>
          </b:Person>
          <b:Person>
            <b:Last>Sakkas</b:Last>
            <b:First>Athanasios</b:First>
          </b:Person>
          <b:Person>
            <b:Last>Urquhart</b:Last>
            <b:First>Andrew</b:First>
          </b:Person>
        </b:NameList>
      </b:Author>
    </b:Author>
    <b:Volume>191</b:Volume>
    <b:RefOrder>14</b:RefOrder>
  </b:Source>
  <b:Source>
    <b:Tag>Jai19</b:Tag>
    <b:SourceType>JournalArticle</b:SourceType>
    <b:Guid>{7C55F2D6-F28B-4687-AA3E-F60C3C12FA7A}</b:Guid>
    <b:Title>Insights from bitcoin trading</b:Title>
    <b:JournalName>Financial Management</b:JournalName>
    <b:Year>2019</b:Year>
    <b:Pages>1031-1048</b:Pages>
    <b:Author>
      <b:Author>
        <b:NameList>
          <b:Person>
            <b:Last>Jain</b:Last>
            <b:Middle>K</b:Middle>
            <b:First>Pankaj</b:First>
          </b:Person>
          <b:Person>
            <b:Last>McInish</b:Last>
            <b:Middle>H</b:Middle>
            <b:First>Thomas</b:First>
          </b:Person>
          <b:Person>
            <b:Last>Miller</b:Last>
            <b:Middle>L</b:Middle>
            <b:First>Jonathan</b:First>
          </b:Person>
        </b:NameList>
      </b:Author>
    </b:Author>
    <b:Volume>48</b:Volume>
    <b:Issue>4</b:Issue>
    <b:RefOrder>15</b:RefOrder>
  </b:Source>
  <b:Source>
    <b:Tag>Hua15</b:Tag>
    <b:SourceType>JournalArticle</b:SourceType>
    <b:Guid>{B5998ADC-26D9-464B-B23D-554619E0C979}</b:Guid>
    <b:Title>Investor Sentiment Aligned: A Powerful Predictor of Stock Returns</b:Title>
    <b:JournalName>Review of Financial Studies</b:JournalName>
    <b:Year>2015</b:Year>
    <b:Pages>791-837</b:Pages>
    <b:Author>
      <b:Author>
        <b:NameList>
          <b:Person>
            <b:Last>Huang</b:Last>
            <b:First>Dashan</b:First>
          </b:Person>
          <b:Person>
            <b:Last>Jiang</b:Last>
            <b:First>Fuwei</b:First>
          </b:Person>
          <b:Person>
            <b:Last>Tu</b:Last>
            <b:First>Jun</b:First>
          </b:Person>
          <b:Person>
            <b:Last>Zhou</b:Last>
            <b:First>Guofu</b:First>
          </b:Person>
        </b:NameList>
      </b:Author>
    </b:Author>
    <b:Volume>28</b:Volume>
    <b:Issue>3</b:Issue>
    <b:RefOrder>16</b:RefOrder>
  </b:Source>
  <b:Source>
    <b:Tag>Gur20</b:Tag>
    <b:SourceType>JournalArticle</b:SourceType>
    <b:Guid>{51B5D8B9-FD04-4968-8487-A28AE7D0C9F6}</b:Guid>
    <b:Title>Herding and anchoring in cryptocurrency markets: Investor reaction to fear and uncertainty</b:Title>
    <b:JournalName>Journal of Behavioral and Experimental Finance</b:JournalName>
    <b:Year>2020</b:Year>
    <b:Pages>100271</b:Pages>
    <b:Volume>25</b:Volume>
    <b:Author>
      <b:Author>
        <b:NameList>
          <b:Person>
            <b:Last>Gurdgiev</b:Last>
            <b:First>Constantin</b:First>
          </b:Person>
          <b:Person>
            <b:Last>O'Loughlin</b:Last>
            <b:First>Daniel</b:First>
          </b:Person>
        </b:NameList>
      </b:Author>
    </b:Author>
    <b:RefOrder>17</b:RefOrder>
  </b:Source>
  <b:Source>
    <b:Tag>Gki20</b:Tag>
    <b:SourceType>JournalArticle</b:SourceType>
    <b:Guid>{DBF20552-FBF8-4891-8B4A-5F55443A3F4C}</b:Guid>
    <b:Title>Spillovers in Higher-Order Moments of Crude Oil, Gold, and Bitcoin</b:Title>
    <b:JournalName>The Quarterly Review of Economics and Finance</b:JournalName>
    <b:Year>2020</b:Year>
    <b:Pages>Forthcoming</b:Pages>
    <b:Author>
      <b:Author>
        <b:NameList>
          <b:Person>
            <b:Last>Gkillas</b:Last>
            <b:First>Konstantinos</b:First>
          </b:Person>
          <b:Person>
            <b:Last>Bouri</b:Last>
            <b:First>Elie</b:First>
          </b:Person>
          <b:Person>
            <b:Last>Gupta</b:Last>
            <b:First>Rangan</b:First>
          </b:Person>
          <b:Person>
            <b:Last>Roubaud</b:Last>
            <b:First>David</b:First>
          </b:Person>
        </b:NameList>
      </b:Author>
    </b:Author>
    <b:RefOrder>18</b:RefOrder>
  </b:Source>
  <b:Source>
    <b:Tag>Gil19</b:Tag>
    <b:SourceType>JournalArticle</b:SourceType>
    <b:Guid>{A4F5E0BB-F777-4BF9-A766-30BC4B5434FE}</b:Guid>
    <b:Title>Giver and the receiver: Understanding spillover effects and predictive power in cross-market Bitcoin prices</b:Title>
    <b:JournalName>International Review of Financial Analysis</b:JournalName>
    <b:Year>2019</b:Year>
    <b:Pages>86-104</b:Pages>
    <b:Author>
      <b:Author>
        <b:NameList>
          <b:Person>
            <b:Last>Gillaizeau</b:Last>
            <b:First>Marc</b:First>
          </b:Person>
          <b:Person>
            <b:Last>Jayasekera</b:Last>
            <b:First>Ranadeva</b:First>
          </b:Person>
          <b:Person>
            <b:Last>Maaitah</b:Last>
            <b:First>Ahmad</b:First>
          </b:Person>
          <b:Person>
            <b:Last>Mishra</b:Last>
            <b:First>Tapas</b:First>
          </b:Person>
          <b:Person>
            <b:Last>Parhi</b:Last>
            <b:First>Mamata</b:First>
          </b:Person>
          <b:Person>
            <b:Last>Volokitina</b:Last>
            <b:First>Evgeniia</b:First>
          </b:Person>
        </b:NameList>
      </b:Author>
    </b:Author>
    <b:Volume>63</b:Volume>
    <b:RefOrder>19</b:RefOrder>
  </b:Source>
  <b:Source>
    <b:Tag>Ger20</b:Tag>
    <b:SourceType>JournalArticle</b:SourceType>
    <b:Guid>{43F9FAF2-AD7A-4570-9C83-F592156B389C}</b:Guid>
    <b:Title>The profitability of technical trading rules in the Bitcoin market</b:Title>
    <b:JournalName>Finance Research Letters</b:JournalName>
    <b:Year>2020</b:Year>
    <b:Pages>101263</b:Pages>
    <b:Author>
      <b:Author>
        <b:NameList>
          <b:Person>
            <b:Last>Gerritsen</b:Last>
            <b:Middle>F</b:Middle>
            <b:First>Dirk</b:First>
          </b:Person>
          <b:Person>
            <b:Last>Bouri</b:Last>
            <b:First>Elie</b:First>
          </b:Person>
          <b:Person>
            <b:Last>Ramezanifar</b:Last>
            <b:First>Ehsan</b:First>
          </b:Person>
          <b:Person>
            <b:Last>Roubaud</b:Last>
            <b:First>David</b:First>
          </b:Person>
        </b:NameList>
      </b:Author>
    </b:Author>
    <b:Volume>34</b:Volume>
    <b:RefOrder>20</b:RefOrder>
  </b:Source>
  <b:Source>
    <b:Tag>Fra14</b:Tag>
    <b:SourceType>JournalArticle</b:SourceType>
    <b:Guid>{07EA56ED-10DD-41F6-8478-CCEAE717D8AA}</b:Guid>
    <b:Title>Political uncertainty and bank loan contracting</b:Title>
    <b:JournalName>Journal of Empirical Finance</b:JournalName>
    <b:Year>2014</b:Year>
    <b:Pages>281-286</b:Pages>
    <b:Volume>29</b:Volume>
    <b:Author>
      <b:Author>
        <b:NameList>
          <b:Person>
            <b:Last>Francis</b:Last>
            <b:Middle>B</b:Middle>
            <b:First>Bill</b:First>
          </b:Person>
          <b:Person>
            <b:Last>Hasan</b:Last>
            <b:First>Iftekhar</b:First>
          </b:Person>
          <b:Person>
            <b:Last>Zhu</b:Last>
            <b:First>Yun</b:First>
          </b:Person>
        </b:NameList>
      </b:Author>
    </b:Author>
    <b:RefOrder>21</b:RefOrder>
  </b:Source>
  <b:Source>
    <b:Tag>Fam93</b:Tag>
    <b:SourceType>JournalArticle</b:SourceType>
    <b:Guid>{4C082C38-851D-43B7-BBC0-F9492EF2315C}</b:Guid>
    <b:Title>Common risk factors in the returns on stocks and bonds</b:Title>
    <b:JournalName>Journal of Financial Economics</b:JournalName>
    <b:Year>1993</b:Year>
    <b:Pages>3-56</b:Pages>
    <b:Author>
      <b:Author>
        <b:NameList>
          <b:Person>
            <b:Last>Fama</b:Last>
            <b:Middle>F</b:Middle>
            <b:First>Eugene</b:First>
          </b:Person>
          <b:Person>
            <b:Last>French</b:Last>
            <b:Middle>R</b:Middle>
            <b:First>Kenneth</b:First>
          </b:Person>
        </b:NameList>
      </b:Author>
    </b:Author>
    <b:Volume>33</b:Volume>
    <b:Issue>1</b:Issue>
    <b:RefOrder>22</b:RefOrder>
  </b:Source>
  <b:Source>
    <b:Tag>Fam15</b:Tag>
    <b:SourceType>JournalArticle</b:SourceType>
    <b:Guid>{40D5F4D6-2C3D-49BA-AC44-5A479ABEC70B}</b:Guid>
    <b:Title>A five-factor asset pricing model</b:Title>
    <b:JournalName>Journal of Financial Economics</b:JournalName>
    <b:Year>2015</b:Year>
    <b:Pages>1-22</b:Pages>
    <b:Author>
      <b:Author>
        <b:NameList>
          <b:Person>
            <b:Last>Fama</b:Last>
            <b:Middle>F</b:Middle>
            <b:First>Eugene</b:First>
          </b:Person>
          <b:Person>
            <b:Last>French</b:Last>
            <b:Middle>R</b:Middle>
            <b:First>Kenneth</b:First>
          </b:Person>
        </b:NameList>
      </b:Author>
    </b:Author>
    <b:Volume>116</b:Volume>
    <b:Issue>1</b:Issue>
    <b:RefOrder>23</b:RefOrder>
  </b:Source>
  <b:Source>
    <b:Tag>deV20</b:Tag>
    <b:SourceType>JournalArticle</b:SourceType>
    <b:Guid>{450B3AF3-AD31-4E8E-876C-574FFA5F18B5}</b:Guid>
    <b:Title>Bitcoin’s energy consumption is underestimated: A market dynamics approach</b:Title>
    <b:JournalName>Energy Research &amp; Social Science</b:JournalName>
    <b:Year>2020</b:Year>
    <b:Pages>101721</b:Pages>
    <b:Author>
      <b:Author>
        <b:NameList>
          <b:Person>
            <b:Last>de Vries</b:Last>
            <b:First>Alex</b:First>
          </b:Person>
        </b:NameList>
      </b:Author>
    </b:Author>
    <b:Volume>70</b:Volume>
    <b:RefOrder>24</b:RefOrder>
  </b:Source>
  <b:Source>
    <b:Tag>deG19</b:Tag>
    <b:SourceType>JournalArticle</b:SourceType>
    <b:Guid>{8E2FEBB7-18DF-4692-9CBF-EEE2F01DAD1C}</b:Guid>
    <b:Title>Herding behavior and contagion in the cryptocurrency market</b:Title>
    <b:JournalName>Journal of Behavioral and Experimental Finance</b:JournalName>
    <b:Year>2019</b:Year>
    <b:Pages>41-50</b:Pages>
    <b:Author>
      <b:Author>
        <b:NameList>
          <b:Person>
            <b:Last>de Gama Silva</b:Last>
            <b:First>Paulo,</b:First>
            <b:Middle>Vitor, Jordão</b:Middle>
          </b:Person>
          <b:Person>
            <b:Last>Klotzle</b:Last>
            <b:First>Marcelo,</b:First>
            <b:Middle>Cabus</b:Middle>
          </b:Person>
          <b:Person>
            <b:Last>Pinto</b:Last>
            <b:First>Antonio,</b:First>
            <b:Middle>Carlos, Figueiredo</b:Middle>
          </b:Person>
          <b:Person>
            <b:Last>Gomes</b:Last>
            <b:First>Leonardo,</b:First>
            <b:Middle>Lima</b:Middle>
          </b:Person>
        </b:NameList>
      </b:Author>
    </b:Author>
    <b:Volume>22</b:Volume>
    <b:RefOrder>25</b:RefOrder>
  </b:Source>
  <b:Source>
    <b:Tag>Doe20</b:Tag>
    <b:SourceType>JournalArticle</b:SourceType>
    <b:Guid>{535A9D47-F009-4280-A05B-0F17CCE26425}</b:Guid>
    <b:Title>Does Bitcoin add value to global industry portfolios?</b:Title>
    <b:JournalName>Economics Letters</b:JournalName>
    <b:Year>2020</b:Year>
    <b:Pages>108935</b:Pages>
    <b:Volume>191</b:Volume>
    <b:Author>
      <b:Author>
        <b:NameList>
          <b:Person>
            <b:Last>Damianov</b:Last>
            <b:Middle>S</b:Middle>
            <b:First>Damian</b:First>
          </b:Person>
          <b:Person>
            <b:Last>Elsayed</b:Last>
            <b:Middle>H</b:Middle>
            <b:First>Ahmed</b:First>
          </b:Person>
        </b:NameList>
      </b:Author>
    </b:Author>
    <b:RefOrder>26</b:RefOrder>
  </b:Source>
  <b:Source>
    <b:Tag>Cor19</b:Tag>
    <b:SourceType>JournalArticle</b:SourceType>
    <b:Guid>{8CEC487E-9FB6-4E23-9435-07969B56C82F}</b:Guid>
    <b:Title>The effectiveness of technical trading rules in cryptocurrency markets</b:Title>
    <b:JournalName>Finance Research Letters</b:JournalName>
    <b:Year>2019</b:Year>
    <b:Pages>32-37</b:Pages>
    <b:Author>
      <b:Author>
        <b:NameList>
          <b:Person>
            <b:Last>Corbet</b:Last>
            <b:First>Shaen</b:First>
          </b:Person>
          <b:Person>
            <b:Last>Eraslan</b:Last>
            <b:First>Veysel</b:First>
          </b:Person>
          <b:Person>
            <b:Last>Lucey</b:Last>
            <b:First>Brian</b:First>
          </b:Person>
          <b:Person>
            <b:Last>Sensoy</b:Last>
            <b:First>Ahmet</b:First>
          </b:Person>
        </b:NameList>
      </b:Author>
    </b:Author>
    <b:Volume>31</b:Volume>
    <b:RefOrder>27</b:RefOrder>
  </b:Source>
  <b:Source>
    <b:Tag>Con19</b:Tag>
    <b:SourceType>JournalArticle</b:SourceType>
    <b:Guid>{C687030A-1684-4829-94D8-8D283BFE8F30}</b:Guid>
    <b:Title>Blockchain Disruption and Smart Contracts</b:Title>
    <b:JournalName>Review of Financial Studies</b:JournalName>
    <b:Year>2019</b:Year>
    <b:Pages>1754–1797</b:Pages>
    <b:Author>
      <b:Author>
        <b:NameList>
          <b:Person>
            <b:Last>Cong</b:Last>
            <b:Middle>William</b:Middle>
            <b:First>Lin</b:First>
          </b:Person>
          <b:Person>
            <b:Last>He</b:Last>
            <b:First>Zhiguo</b:First>
          </b:Person>
        </b:NameList>
      </b:Author>
    </b:Author>
    <b:Volume>32</b:Volume>
    <b:Issue>5</b:Issue>
    <b:RefOrder>28</b:RefOrder>
  </b:Source>
  <b:Source>
    <b:Tag>Chu20</b:Tag>
    <b:SourceType>JournalArticle</b:SourceType>
    <b:Guid>{62936950-D482-49D0-A0B7-3E7FB8FBB51B}</b:Guid>
    <b:Title>High frequency momentum trading with cryptocurrencies</b:Title>
    <b:JournalName>Research in International Business and Finance</b:JournalName>
    <b:Year>2020</b:Year>
    <b:Pages>101176</b:Pages>
    <b:Author>
      <b:Author>
        <b:NameList>
          <b:Person>
            <b:Last>Chu</b:Last>
            <b:First>Jeffrey</b:First>
          </b:Person>
          <b:Person>
            <b:Last>Chan</b:Last>
            <b:First>Stephen</b:First>
          </b:Person>
          <b:Person>
            <b:Last>Zhang</b:Last>
            <b:First>Yuanyuan</b:First>
          </b:Person>
        </b:NameList>
      </b:Author>
    </b:Author>
    <b:Volume>52</b:Volume>
    <b:RefOrder>29</b:RefOrder>
  </b:Source>
  <b:Source>
    <b:Tag>Car97</b:Tag>
    <b:SourceType>JournalArticle</b:SourceType>
    <b:Guid>{B90BF0E0-8E75-41E8-8B83-E333A16F4D00}</b:Guid>
    <b:Title>On Persistence in Mutual Fund Performance</b:Title>
    <b:JournalName>Journal of Finance</b:JournalName>
    <b:Year>1997</b:Year>
    <b:Pages>57-82</b:Pages>
    <b:Author>
      <b:Author>
        <b:NameList>
          <b:Person>
            <b:Last>Carhart</b:Last>
            <b:Middle>M</b:Middle>
            <b:First>Mark</b:First>
          </b:Person>
        </b:NameList>
      </b:Author>
    </b:Author>
    <b:Volume>52</b:Volume>
    <b:Issue>1</b:Issue>
    <b:RefOrder>30</b:RefOrder>
  </b:Source>
  <b:Source>
    <b:Tag>Bou18</b:Tag>
    <b:SourceType>JournalArticle</b:SourceType>
    <b:Guid>{C16FEF13-A417-44C9-9FE0-5E8496303C8D}</b:Guid>
    <b:Title>Spillovers between Bitcoin and other assets during bear and bull markets</b:Title>
    <b:JournalName>Applied Economics</b:JournalName>
    <b:Year>2018</b:Year>
    <b:Pages>5935-5949</b:Pages>
    <b:Author>
      <b:Author>
        <b:NameList>
          <b:Person>
            <b:Last>Bouri</b:Last>
            <b:First>Elie</b:First>
          </b:Person>
          <b:Person>
            <b:Last>Das</b:Last>
            <b:First>Mahamitra</b:First>
          </b:Person>
          <b:Person>
            <b:Last>Gupta</b:Last>
            <b:First>Rangan</b:First>
          </b:Person>
          <b:Person>
            <b:Last>Roubaud</b:Last>
            <b:First>David</b:First>
          </b:Person>
        </b:NameList>
      </b:Author>
    </b:Author>
    <b:Volume>50</b:Volume>
    <b:Issue>55</b:Issue>
    <b:RefOrder>31</b:RefOrder>
  </b:Source>
  <b:Source>
    <b:Tag>Bor19</b:Tag>
    <b:SourceType>JournalArticle</b:SourceType>
    <b:Guid>{8255572B-3B33-4CA4-A9B5-EEDD08A2B2A5}</b:Guid>
    <b:Title>Conditional tail-risk in cryptocurrency markets</b:Title>
    <b:JournalName>Journal of Empirical Finance</b:JournalName>
    <b:Year>2019</b:Year>
    <b:Pages>1-19</b:Pages>
    <b:Author>
      <b:Author>
        <b:NameList>
          <b:Person>
            <b:Last>Borri</b:Last>
            <b:First>Nicola</b:First>
          </b:Person>
        </b:NameList>
      </b:Author>
    </b:Author>
    <b:Volume>50</b:Volume>
    <b:RefOrder>32</b:RefOrder>
  </b:Source>
  <b:Source>
    <b:Tag>Bla17</b:Tag>
    <b:SourceType>JournalArticle</b:SourceType>
    <b:Guid>{5AF3548C-9643-4314-A7BA-E34A03B50F13}</b:Guid>
    <b:Title>Price dynamics and speculative trading in bitcoin</b:Title>
    <b:JournalName>Research in International Business and Finance</b:JournalName>
    <b:Year>2017</b:Year>
    <b:Pages>493-499</b:Pages>
    <b:Author>
      <b:Author>
        <b:NameList>
          <b:Person>
            <b:Last>Blau</b:Last>
            <b:Middle>M</b:Middle>
            <b:First>Benjamin</b:First>
          </b:Person>
        </b:NameList>
      </b:Author>
    </b:Author>
    <b:Volume>41</b:Volume>
    <b:RefOrder>33</b:RefOrder>
  </b:Source>
  <b:Source>
    <b:Tag>Bar17</b:Tag>
    <b:SourceType>JournalArticle</b:SourceType>
    <b:Guid>{AD4D8A33-1E81-459F-BE7F-28D62321213A}</b:Guid>
    <b:Title>The inefficiency of Bitcoin revisited: A dynamic approach</b:Title>
    <b:JournalName>Economics Letters</b:JournalName>
    <b:Year>2017</b:Year>
    <b:Pages>1-4</b:Pages>
    <b:Volume>161</b:Volume>
    <b:Author>
      <b:Author>
        <b:NameList>
          <b:Person>
            <b:Last>Bariviera</b:Last>
            <b:Middle>F</b:Middle>
            <b:First>Aurelio</b:First>
          </b:Person>
        </b:NameList>
      </b:Author>
    </b:Author>
    <b:RefOrder>34</b:RefOrder>
  </b:Source>
  <b:Source>
    <b:Tag>Bak06</b:Tag>
    <b:SourceType>JournalArticle</b:SourceType>
    <b:Guid>{80F04575-A254-44A5-B34B-9751FC2B9550}</b:Guid>
    <b:Title>Investor Sentiment and the Cross-Section of Stock Returns</b:Title>
    <b:JournalName>Journal of Finance</b:JournalName>
    <b:Year>2006</b:Year>
    <b:Pages>1645-1680</b:Pages>
    <b:Volume>61</b:Volume>
    <b:Issue>4</b:Issue>
    <b:Author>
      <b:Author>
        <b:NameList>
          <b:Person>
            <b:Last>Baker</b:Last>
            <b:First>Malcolm</b:First>
          </b:Person>
          <b:Person>
            <b:Last>Wurgler</b:Last>
            <b:First>Jeffrey</b:First>
          </b:Person>
        </b:NameList>
      </b:Author>
    </b:Author>
    <b:RefOrder>35</b:RefOrder>
  </b:Source>
  <b:Source>
    <b:Tag>Dat19</b:Tag>
    <b:SourceType>JournalArticle</b:SourceType>
    <b:Guid>{BC65E467-4477-4962-AD97-BFBC53695F52}</b:Guid>
    <b:Title>Policy uncertainty and the maturity structure of corporate debt</b:Title>
    <b:JournalName>Journal of Financial Stability</b:JournalName>
    <b:Year>2019</b:Year>
    <b:Pages>100694</b:Pages>
    <b:Author>
      <b:Author>
        <b:NameList>
          <b:Person>
            <b:Last>Datta</b:Last>
            <b:First>Sudip</b:First>
          </b:Person>
          <b:Person>
            <b:Last>Doan</b:Last>
            <b:First>Trang</b:First>
          </b:Person>
          <b:Person>
            <b:Last>Iskandar-Datta</b:Last>
            <b:First>Mai</b:First>
          </b:Person>
        </b:NameList>
      </b:Author>
    </b:Author>
    <b:Volume>44</b:Volume>
    <b:RefOrder>36</b:RefOrder>
  </b:Source>
  <b:Source>
    <b:Tag>Cui20</b:Tag>
    <b:SourceType>JournalArticle</b:SourceType>
    <b:Guid>{B1CA909B-F9CA-4F77-9FDA-4CBF1A45BEB6}</b:Guid>
    <b:Title>Economic policy uncertainty exposure and earnings management: evidence from China</b:Title>
    <b:JournalName>Accounting &amp; Finance</b:JournalName>
    <b:Year>2020</b:Year>
    <b:Pages>Forthcoming</b:Pages>
    <b:Author>
      <b:Author>
        <b:NameList>
          <b:Person>
            <b:Last>Cui</b:Last>
            <b:First>Xin</b:First>
          </b:Person>
          <b:Person>
            <b:Last>Yao</b:Last>
            <b:First>Shouyu</b:First>
          </b:Person>
          <b:Person>
            <b:Last>Fang</b:Last>
            <b:First>Zhenming</b:First>
          </b:Person>
          <b:Person>
            <b:Last>Wang</b:Last>
            <b:First>Hua</b:First>
          </b:Person>
        </b:NameList>
      </b:Author>
    </b:Author>
    <b:RefOrder>37</b:RefOrder>
  </b:Source>
  <b:Source>
    <b:Tag>Yan19</b:Tag>
    <b:SourceType>JournalArticle</b:SourceType>
    <b:Guid>{A41D26A5-7182-4A63-88DB-BF2B862AE305}</b:Guid>
    <b:Title>Policy uncertainty exposure and market value: Evidence from China</b:Title>
    <b:JournalName>Pacific-Basin Finance Journal</b:JournalName>
    <b:Year>2019</b:Year>
    <b:Pages>101178</b:Pages>
    <b:Author>
      <b:Author>
        <b:NameList>
          <b:Person>
            <b:Last>Yang</b:Last>
            <b:First>Zhenyi</b:First>
          </b:Person>
          <b:Person>
            <b:Last>Yu</b:Last>
            <b:First>Yiwei</b:First>
          </b:Person>
          <b:Person>
            <b:Last>Zhang</b:Last>
            <b:First>Yubing</b:First>
          </b:Person>
          <b:Person>
            <b:Last>Zhou</b:Last>
            <b:First>Sili</b:First>
          </b:Person>
        </b:NameList>
      </b:Author>
    </b:Author>
    <b:Volume>57</b:Volume>
    <b:RefOrder>38</b:RefOrder>
  </b:Source>
  <b:Source>
    <b:Tag>Tha20</b:Tag>
    <b:SourceType>JournalArticle</b:SourceType>
    <b:Guid>{0B7D00E7-E4CB-42CE-9B2A-33DFA2A9EC12}</b:Guid>
    <b:Title>Fintech and banking: What do we know?</b:Title>
    <b:JournalName>Journal of Financial Intermediation</b:JournalName>
    <b:Year>2020</b:Year>
    <b:Pages>100833</b:Pages>
    <b:Author>
      <b:Author>
        <b:NameList>
          <b:Person>
            <b:Last>Thakor</b:Last>
            <b:Middle>V</b:Middle>
            <b:First>Anjan</b:First>
          </b:Person>
        </b:NameList>
      </b:Author>
    </b:Author>
    <b:Volume>41</b:Volume>
    <b:RefOrder>39</b:RefOrder>
  </b:Source>
  <b:Source>
    <b:Tag>Cor</b:Tag>
    <b:SourceType>JournalArticle</b:SourceType>
    <b:Guid>{AC2870B3-A24C-4A52-8812-96D0C4D67129}</b:Guid>
    <b:Author>
      <b:Author>
        <b:NameList>
          <b:Person>
            <b:Last>Corbet</b:Last>
            <b:First>Shaen</b:First>
          </b:Person>
          <b:Person>
            <b:Last>Meegan</b:Last>
            <b:First>Andrew</b:First>
          </b:Person>
          <b:Person>
            <b:Last>Larkin</b:Last>
            <b:First>Charles</b:First>
          </b:Person>
          <b:Person>
            <b:Last>Lucey</b:Last>
            <b:First>Brian</b:First>
          </b:Person>
          <b:Person>
            <b:Last>Yarovaya</b:Last>
            <b:First>Larisa</b:First>
          </b:Person>
        </b:NameList>
      </b:Author>
    </b:Author>
    <b:Title>Exploring the dynamic relationships between cryptocurrencies and other financial assets</b:Title>
    <b:JournalName>Economics Letters</b:JournalName>
    <b:Year>2018b</b:Year>
    <b:Pages>28-34</b:Pages>
    <b:Volume>165</b:Volume>
    <b:RefOrder>40</b:RefOrder>
  </b:Source>
  <b:Source>
    <b:Tag>Cor18</b:Tag>
    <b:SourceType>JournalArticle</b:SourceType>
    <b:Guid>{72FD4AE3-8107-4B49-BAAA-71913E101A61}</b:Guid>
    <b:Title>Datestamping the Bitcoin and Ethereum bubbles</b:Title>
    <b:JournalName>Finance Research Letters</b:JournalName>
    <b:Year>2018a</b:Year>
    <b:Pages>81-88</b:Pages>
    <b:Author>
      <b:Author>
        <b:NameList>
          <b:Person>
            <b:Last>Corbet</b:Last>
            <b:First>Shaen</b:First>
          </b:Person>
          <b:Person>
            <b:Last>Lucey</b:Last>
            <b:First>Brian</b:First>
          </b:Person>
          <b:Person>
            <b:Last>Yarovaya</b:Last>
            <b:First>Larisa</b:First>
          </b:Person>
        </b:NameList>
      </b:Author>
    </b:Author>
    <b:Volume>26</b:Volume>
    <b:RefOrder>41</b:RefOrder>
  </b:Source>
  <b:Source>
    <b:Tag>Led08</b:Tag>
    <b:SourceType>JournalArticle</b:SourceType>
    <b:Guid>{DE398A38-52F8-4480-BA90-B4B88145D247}</b:Guid>
    <b:Title>Robust performance hypothesis testing with the Sharpe ratio</b:Title>
    <b:JournalName>Journal of Empirical Finance</b:JournalName>
    <b:Year>2008</b:Year>
    <b:Pages>850-859</b:Pages>
    <b:Author>
      <b:Author>
        <b:NameList>
          <b:Person>
            <b:Last>Ledoit</b:Last>
            <b:First>Oliver</b:First>
          </b:Person>
          <b:Person>
            <b:Last>Wolf</b:Last>
            <b:First>Michael</b:First>
          </b:Person>
        </b:NameList>
      </b:Author>
    </b:Author>
    <b:Volume>15</b:Volume>
    <b:Issue>5</b:Issue>
    <b:RefOrder>42</b:RefOrder>
  </b:Source>
  <b:Source>
    <b:Tag>Bro15</b:Tag>
    <b:SourceType>JournalArticle</b:SourceType>
    <b:Guid>{69993F28-B1FC-46EA-994B-244986130F1B}</b:Guid>
    <b:Title>The Asset-Pricing Implications of Government Economic Policy Uncertainty</b:Title>
    <b:JournalName>Management Science</b:JournalName>
    <b:Year>2015</b:Year>
    <b:Pages>3-18</b:Pages>
    <b:Author>
      <b:Author>
        <b:NameList>
          <b:Person>
            <b:Last>Brogaard</b:Last>
            <b:First>Jonathan</b:First>
          </b:Person>
          <b:Person>
            <b:Last>Detzel</b:Last>
            <b:First>Andrew</b:First>
          </b:Person>
        </b:NameList>
      </b:Author>
    </b:Author>
    <b:Volume>61</b:Volume>
    <b:Issue>1</b:Issue>
    <b:RefOrder>43</b:RefOrder>
  </b:Source>
  <b:Source>
    <b:Tag>Bia20</b:Tag>
    <b:SourceType>JournalArticle</b:SourceType>
    <b:Guid>{A208519C-1B43-4E97-9568-7FBD4B0AE9FC}</b:Guid>
    <b:Title>Equilibrium Bitcoin Pricing</b:Title>
    <b:Year>2020</b:Year>
    <b:Author>
      <b:Author>
        <b:NameList>
          <b:Person>
            <b:Last>Biais</b:Last>
            <b:First>Bruno</b:First>
          </b:Person>
          <b:Person>
            <b:Last>Bisiere</b:Last>
            <b:First>Christophe</b:First>
          </b:Person>
          <b:Person>
            <b:Last>Bouvard</b:Last>
            <b:First>Matthieu</b:First>
          </b:Person>
          <b:Person>
            <b:Last>Casamatta</b:Last>
            <b:First>Catherine</b:First>
          </b:Person>
          <b:Person>
            <b:Last>Menkverd</b:Last>
            <b:Middle>J</b:Middle>
            <b:First>Albert</b:First>
          </b:Person>
        </b:NameList>
      </b:Author>
    </b:Author>
    <b:JournalName>Working Paper</b:JournalName>
    <b:RefOrder>44</b:RefOrder>
  </b:Source>
  <b:Source>
    <b:Tag>Hua18</b:Tag>
    <b:SourceType>JournalArticle</b:SourceType>
    <b:Guid>{6D43ABDE-087A-4681-A909-2582096D8BDB}</b:Guid>
    <b:Title>Sentiment Across Asset Markets</b:Title>
    <b:JournalName>Working Paper</b:JournalName>
    <b:Year>2018</b:Year>
    <b:Author>
      <b:Author>
        <b:NameList>
          <b:Person>
            <b:Last>Huang</b:Last>
            <b:First>Dashan</b:First>
          </b:Person>
          <b:Person>
            <b:Last>Lehkonen</b:Last>
            <b:First>Heikki</b:First>
          </b:Person>
          <b:Person>
            <b:Last>Pukthuanthong</b:Last>
            <b:First>Kuntara</b:First>
          </b:Person>
          <b:Person>
            <b:Last>Zhou</b:Last>
            <b:First>Guofu</b:First>
          </b:Person>
        </b:NameList>
      </b:Author>
    </b:Author>
    <b:RefOrder>45</b:RefOrder>
  </b:Source>
  <b:Source>
    <b:Tag>Pag18</b:Tag>
    <b:SourceType>JournalArticle</b:SourceType>
    <b:Guid>{88833D63-E7A2-4B9F-B081-E1AAF2086F64}</b:Guid>
    <b:Title>An Equilibrium Valuation of Bitcoin and Decentralized Network Assets</b:Title>
    <b:Year>2018</b:Year>
    <b:Author>
      <b:Author>
        <b:NameList>
          <b:Person>
            <b:Last>Pagnotta</b:Last>
            <b:First>Emiliano</b:First>
          </b:Person>
          <b:Person>
            <b:Last>Buraschi</b:Last>
            <b:First>Andrea</b:First>
          </b:Person>
        </b:NameList>
      </b:Author>
    </b:Author>
    <b:JournalName>Working Paper</b:JournalName>
    <b:RefOrder>46</b:RefOrder>
  </b:Source>
  <b:Source>
    <b:Tag>Soc20</b:Tag>
    <b:SourceType>JournalArticle</b:SourceType>
    <b:Guid>{688692E5-22F2-43C1-9664-F6E86F7E989D}</b:Guid>
    <b:Title>A Model of Cryptocurrencies</b:Title>
    <b:Year>2020</b:Year>
    <b:Author>
      <b:Author>
        <b:NameList>
          <b:Person>
            <b:Last>Sockin</b:Last>
            <b:First>Michael</b:First>
          </b:Person>
          <b:Person>
            <b:Last>Xiong</b:Last>
            <b:First>Wei</b:First>
          </b:Person>
        </b:NameList>
      </b:Author>
    </b:Author>
    <b:JournalName>Working Paper</b:JournalName>
    <b:RefOrder>47</b:RefOrder>
  </b:Source>
</b:Sources>
</file>

<file path=customXml/itemProps1.xml><?xml version="1.0" encoding="utf-8"?>
<ds:datastoreItem xmlns:ds="http://schemas.openxmlformats.org/officeDocument/2006/customXml" ds:itemID="{F5D40F76-CE5E-4F2A-8CD0-F9F96F65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9170</Words>
  <Characters>52270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Panayiotis Papakyriakou</dc:creator>
  <cp:keywords/>
  <dc:description/>
  <cp:lastModifiedBy>Panayiotis Papakyriakou</cp:lastModifiedBy>
  <cp:revision>8</cp:revision>
  <dcterms:created xsi:type="dcterms:W3CDTF">2021-08-25T15:33:00Z</dcterms:created>
  <dcterms:modified xsi:type="dcterms:W3CDTF">2021-08-25T18:53:00Z</dcterms:modified>
</cp:coreProperties>
</file>