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D915" w14:textId="421F12C2" w:rsidR="00931E93" w:rsidRPr="008E43AC" w:rsidRDefault="00931E93" w:rsidP="008E43AC">
      <w:pPr>
        <w:spacing w:after="0" w:line="240" w:lineRule="auto"/>
        <w:jc w:val="center"/>
        <w:rPr>
          <w:rFonts w:asciiTheme="minorBidi" w:hAnsiTheme="minorBidi"/>
          <w:b/>
          <w:bCs/>
          <w:sz w:val="24"/>
          <w:szCs w:val="24"/>
        </w:rPr>
      </w:pPr>
      <w:r w:rsidRPr="008E43AC">
        <w:rPr>
          <w:rFonts w:asciiTheme="minorBidi" w:hAnsiTheme="minorBidi"/>
          <w:b/>
          <w:bCs/>
          <w:sz w:val="24"/>
          <w:szCs w:val="24"/>
        </w:rPr>
        <w:t>Completion of annual diabetes care processes and mortality</w:t>
      </w:r>
      <w:r w:rsidR="0021391C">
        <w:rPr>
          <w:rFonts w:asciiTheme="minorBidi" w:hAnsiTheme="minorBidi"/>
          <w:b/>
          <w:bCs/>
          <w:sz w:val="24"/>
          <w:szCs w:val="24"/>
        </w:rPr>
        <w:t>: A cohort study using the National Diabetes Audit for England and Wales</w:t>
      </w:r>
    </w:p>
    <w:p w14:paraId="39CDB107" w14:textId="77777777" w:rsidR="00931E93" w:rsidRPr="008E43AC" w:rsidRDefault="00931E93" w:rsidP="00931E93">
      <w:pPr>
        <w:spacing w:after="0" w:line="240" w:lineRule="auto"/>
        <w:rPr>
          <w:rFonts w:asciiTheme="minorBidi" w:hAnsiTheme="minorBidi"/>
          <w:sz w:val="24"/>
          <w:szCs w:val="24"/>
        </w:rPr>
      </w:pPr>
    </w:p>
    <w:p w14:paraId="4BBB5C46" w14:textId="41C588AB" w:rsidR="00931E93" w:rsidRPr="004B18CD" w:rsidRDefault="004B18CD" w:rsidP="00931E93">
      <w:pPr>
        <w:spacing w:after="0" w:line="240" w:lineRule="auto"/>
        <w:rPr>
          <w:rFonts w:asciiTheme="minorBidi" w:hAnsiTheme="minorBidi"/>
          <w:b/>
          <w:bCs/>
          <w:sz w:val="24"/>
          <w:szCs w:val="24"/>
        </w:rPr>
      </w:pPr>
      <w:r w:rsidRPr="004B18CD">
        <w:rPr>
          <w:rFonts w:asciiTheme="minorBidi" w:hAnsiTheme="minorBidi"/>
          <w:b/>
          <w:bCs/>
          <w:sz w:val="24"/>
          <w:szCs w:val="24"/>
        </w:rPr>
        <w:t>Short running title:</w:t>
      </w:r>
      <w:r w:rsidR="00BB2456">
        <w:rPr>
          <w:rFonts w:asciiTheme="minorBidi" w:hAnsiTheme="minorBidi"/>
          <w:b/>
          <w:bCs/>
          <w:sz w:val="24"/>
          <w:szCs w:val="24"/>
        </w:rPr>
        <w:t xml:space="preserve"> C</w:t>
      </w:r>
      <w:r w:rsidR="004963CC">
        <w:rPr>
          <w:rFonts w:asciiTheme="minorBidi" w:hAnsiTheme="minorBidi"/>
          <w:b/>
          <w:bCs/>
          <w:sz w:val="24"/>
          <w:szCs w:val="24"/>
        </w:rPr>
        <w:t>are processes and mortality</w:t>
      </w:r>
    </w:p>
    <w:p w14:paraId="53597616" w14:textId="77777777" w:rsidR="004B18CD" w:rsidRPr="008E43AC" w:rsidRDefault="004B18CD" w:rsidP="00931E93">
      <w:pPr>
        <w:spacing w:after="0" w:line="240" w:lineRule="auto"/>
        <w:rPr>
          <w:rFonts w:asciiTheme="minorBidi" w:hAnsiTheme="minorBidi"/>
          <w:sz w:val="24"/>
          <w:szCs w:val="24"/>
        </w:rPr>
      </w:pPr>
    </w:p>
    <w:p w14:paraId="6DCFBE3F" w14:textId="3DAFBA4A" w:rsidR="00931E93" w:rsidRPr="008E43AC" w:rsidRDefault="00931E93" w:rsidP="00931E93">
      <w:pPr>
        <w:spacing w:after="0" w:line="240" w:lineRule="auto"/>
        <w:rPr>
          <w:rFonts w:asciiTheme="minorBidi" w:hAnsiTheme="minorBidi"/>
          <w:sz w:val="24"/>
          <w:szCs w:val="24"/>
        </w:rPr>
      </w:pPr>
      <w:r w:rsidRPr="008E43AC">
        <w:rPr>
          <w:rFonts w:asciiTheme="minorBidi" w:hAnsiTheme="minorBidi"/>
          <w:sz w:val="24"/>
          <w:szCs w:val="24"/>
        </w:rPr>
        <w:t>Naomi Holman PhD</w:t>
      </w:r>
      <w:r w:rsidRPr="004F7145">
        <w:rPr>
          <w:rFonts w:asciiTheme="minorBidi" w:hAnsiTheme="minorBidi"/>
          <w:sz w:val="24"/>
          <w:szCs w:val="24"/>
          <w:vertAlign w:val="superscript"/>
        </w:rPr>
        <w:t>1</w:t>
      </w:r>
      <w:r w:rsidRPr="008E43AC">
        <w:rPr>
          <w:rFonts w:asciiTheme="minorBidi" w:hAnsiTheme="minorBidi"/>
          <w:sz w:val="24"/>
          <w:szCs w:val="24"/>
        </w:rPr>
        <w:t>, Peter Knighton MPhys</w:t>
      </w:r>
      <w:r w:rsidRPr="004F7145">
        <w:rPr>
          <w:rFonts w:asciiTheme="minorBidi" w:hAnsiTheme="minorBidi"/>
          <w:sz w:val="24"/>
          <w:szCs w:val="24"/>
          <w:vertAlign w:val="superscript"/>
        </w:rPr>
        <w:t>2</w:t>
      </w:r>
      <w:r w:rsidRPr="008E43AC">
        <w:rPr>
          <w:rFonts w:asciiTheme="minorBidi" w:hAnsiTheme="minorBidi"/>
          <w:sz w:val="24"/>
          <w:szCs w:val="24"/>
        </w:rPr>
        <w:t>, Jackie O’Keefe MSc</w:t>
      </w:r>
      <w:r w:rsidRPr="004F7145">
        <w:rPr>
          <w:rFonts w:asciiTheme="minorBidi" w:hAnsiTheme="minorBidi"/>
          <w:sz w:val="24"/>
          <w:szCs w:val="24"/>
          <w:vertAlign w:val="superscript"/>
        </w:rPr>
        <w:t>2</w:t>
      </w:r>
      <w:r w:rsidRPr="008E43AC">
        <w:rPr>
          <w:rFonts w:asciiTheme="minorBidi" w:hAnsiTheme="minorBidi"/>
          <w:sz w:val="24"/>
          <w:szCs w:val="24"/>
        </w:rPr>
        <w:t>, Sarah H Wild PhD</w:t>
      </w:r>
      <w:r w:rsidRPr="004F7145">
        <w:rPr>
          <w:rFonts w:asciiTheme="minorBidi" w:hAnsiTheme="minorBidi"/>
          <w:sz w:val="24"/>
          <w:szCs w:val="24"/>
          <w:vertAlign w:val="superscript"/>
        </w:rPr>
        <w:t>3</w:t>
      </w:r>
      <w:r w:rsidRPr="008E43AC">
        <w:rPr>
          <w:rFonts w:asciiTheme="minorBidi" w:hAnsiTheme="minorBidi"/>
          <w:sz w:val="24"/>
          <w:szCs w:val="24"/>
        </w:rPr>
        <w:t>, Sarah Brewster MRCP</w:t>
      </w:r>
      <w:r w:rsidRPr="004F7145">
        <w:rPr>
          <w:rFonts w:asciiTheme="minorBidi" w:hAnsiTheme="minorBidi"/>
          <w:sz w:val="24"/>
          <w:szCs w:val="24"/>
          <w:vertAlign w:val="superscript"/>
        </w:rPr>
        <w:t>4</w:t>
      </w:r>
      <w:r w:rsidRPr="008E43AC">
        <w:rPr>
          <w:rFonts w:asciiTheme="minorBidi" w:hAnsiTheme="minorBidi"/>
          <w:sz w:val="24"/>
          <w:szCs w:val="24"/>
        </w:rPr>
        <w:t>, Hermione Price FRCP</w:t>
      </w:r>
      <w:r w:rsidRPr="004F7145">
        <w:rPr>
          <w:rFonts w:asciiTheme="minorBidi" w:hAnsiTheme="minorBidi"/>
          <w:sz w:val="24"/>
          <w:szCs w:val="24"/>
          <w:vertAlign w:val="superscript"/>
        </w:rPr>
        <w:t>4</w:t>
      </w:r>
      <w:r w:rsidRPr="008E43AC">
        <w:rPr>
          <w:rFonts w:asciiTheme="minorBidi" w:hAnsiTheme="minorBidi"/>
          <w:sz w:val="24"/>
          <w:szCs w:val="24"/>
        </w:rPr>
        <w:t>, Kiran Patel PhD</w:t>
      </w:r>
      <w:r w:rsidRPr="004F7145">
        <w:rPr>
          <w:rFonts w:asciiTheme="minorBidi" w:hAnsiTheme="minorBidi"/>
          <w:sz w:val="24"/>
          <w:szCs w:val="24"/>
          <w:vertAlign w:val="superscript"/>
        </w:rPr>
        <w:t>5,6,7</w:t>
      </w:r>
      <w:r w:rsidRPr="008E43AC">
        <w:rPr>
          <w:rFonts w:asciiTheme="minorBidi" w:hAnsiTheme="minorBidi"/>
          <w:sz w:val="24"/>
          <w:szCs w:val="24"/>
        </w:rPr>
        <w:t>, Wasim Hanif MD</w:t>
      </w:r>
      <w:r w:rsidRPr="004F7145">
        <w:rPr>
          <w:rFonts w:asciiTheme="minorBidi" w:hAnsiTheme="minorBidi"/>
          <w:sz w:val="24"/>
          <w:szCs w:val="24"/>
          <w:vertAlign w:val="superscript"/>
        </w:rPr>
        <w:t>8</w:t>
      </w:r>
      <w:r w:rsidRPr="008E43AC">
        <w:rPr>
          <w:rFonts w:asciiTheme="minorBidi" w:hAnsiTheme="minorBidi"/>
          <w:sz w:val="24"/>
          <w:szCs w:val="24"/>
        </w:rPr>
        <w:t>, Vinod Patel MD</w:t>
      </w:r>
      <w:r w:rsidR="004456CF">
        <w:rPr>
          <w:rFonts w:asciiTheme="minorBidi" w:hAnsiTheme="minorBidi"/>
          <w:sz w:val="24"/>
          <w:szCs w:val="24"/>
          <w:vertAlign w:val="superscript"/>
        </w:rPr>
        <w:t>6,</w:t>
      </w:r>
      <w:r w:rsidRPr="004F7145">
        <w:rPr>
          <w:rFonts w:asciiTheme="minorBidi" w:hAnsiTheme="minorBidi"/>
          <w:sz w:val="24"/>
          <w:szCs w:val="24"/>
          <w:vertAlign w:val="superscript"/>
        </w:rPr>
        <w:t>9</w:t>
      </w:r>
      <w:r w:rsidR="00BD1AD8">
        <w:rPr>
          <w:rFonts w:asciiTheme="minorBidi" w:hAnsiTheme="minorBidi"/>
          <w:sz w:val="24"/>
          <w:szCs w:val="24"/>
          <w:vertAlign w:val="superscript"/>
        </w:rPr>
        <w:t>,10</w:t>
      </w:r>
      <w:r w:rsidRPr="008E43AC">
        <w:rPr>
          <w:rFonts w:asciiTheme="minorBidi" w:hAnsiTheme="minorBidi"/>
          <w:sz w:val="24"/>
          <w:szCs w:val="24"/>
        </w:rPr>
        <w:t>, Edward W Gregg PhD</w:t>
      </w:r>
      <w:r w:rsidR="004456CF" w:rsidRPr="004456CF">
        <w:rPr>
          <w:rFonts w:asciiTheme="minorBidi" w:hAnsiTheme="minorBidi"/>
          <w:sz w:val="24"/>
          <w:szCs w:val="24"/>
          <w:vertAlign w:val="superscript"/>
        </w:rPr>
        <w:t>11</w:t>
      </w:r>
      <w:r w:rsidRPr="008E43AC">
        <w:rPr>
          <w:rFonts w:asciiTheme="minorBidi" w:hAnsiTheme="minorBidi"/>
          <w:sz w:val="24"/>
          <w:szCs w:val="24"/>
        </w:rPr>
        <w:t>, Richard IG Holt PhD</w:t>
      </w:r>
      <w:r w:rsidR="004456CF">
        <w:rPr>
          <w:rFonts w:asciiTheme="minorBidi" w:hAnsiTheme="minorBidi"/>
          <w:sz w:val="24"/>
          <w:szCs w:val="24"/>
          <w:vertAlign w:val="superscript"/>
        </w:rPr>
        <w:t>12</w:t>
      </w:r>
      <w:r w:rsidRPr="008E43AC">
        <w:rPr>
          <w:rFonts w:asciiTheme="minorBidi" w:hAnsiTheme="minorBidi"/>
          <w:sz w:val="24"/>
          <w:szCs w:val="24"/>
        </w:rPr>
        <w:t>, Roger Gadsby MB</w:t>
      </w:r>
      <w:r w:rsidRPr="004F7145">
        <w:rPr>
          <w:rFonts w:asciiTheme="minorBidi" w:hAnsiTheme="minorBidi"/>
          <w:sz w:val="24"/>
          <w:szCs w:val="24"/>
          <w:vertAlign w:val="superscript"/>
        </w:rPr>
        <w:t>6</w:t>
      </w:r>
      <w:r w:rsidRPr="008E43AC">
        <w:rPr>
          <w:rFonts w:asciiTheme="minorBidi" w:hAnsiTheme="minorBidi"/>
          <w:sz w:val="24"/>
          <w:szCs w:val="24"/>
        </w:rPr>
        <w:t>, Kamlesh Khunti MD</w:t>
      </w:r>
      <w:r w:rsidR="004456CF">
        <w:rPr>
          <w:rFonts w:asciiTheme="minorBidi" w:hAnsiTheme="minorBidi"/>
          <w:sz w:val="24"/>
          <w:szCs w:val="24"/>
          <w:vertAlign w:val="superscript"/>
        </w:rPr>
        <w:t>13</w:t>
      </w:r>
      <w:r w:rsidRPr="008E43AC">
        <w:rPr>
          <w:rFonts w:asciiTheme="minorBidi" w:hAnsiTheme="minorBidi"/>
          <w:sz w:val="24"/>
          <w:szCs w:val="24"/>
        </w:rPr>
        <w:t>, Jonathan Valabhji MD</w:t>
      </w:r>
      <w:r w:rsidR="004456CF">
        <w:rPr>
          <w:rFonts w:asciiTheme="minorBidi" w:hAnsiTheme="minorBidi"/>
          <w:sz w:val="24"/>
          <w:szCs w:val="24"/>
          <w:vertAlign w:val="superscript"/>
        </w:rPr>
        <w:t>14,15,16</w:t>
      </w:r>
      <w:r w:rsidRPr="008E43AC">
        <w:rPr>
          <w:rFonts w:asciiTheme="minorBidi" w:hAnsiTheme="minorBidi"/>
          <w:sz w:val="24"/>
          <w:szCs w:val="24"/>
        </w:rPr>
        <w:t>, Bob Young MD</w:t>
      </w:r>
      <w:r w:rsidR="004456CF">
        <w:rPr>
          <w:rFonts w:asciiTheme="minorBidi" w:hAnsiTheme="minorBidi"/>
          <w:sz w:val="24"/>
          <w:szCs w:val="24"/>
          <w:vertAlign w:val="superscript"/>
        </w:rPr>
        <w:t>17</w:t>
      </w:r>
      <w:r w:rsidRPr="008E43AC">
        <w:rPr>
          <w:rFonts w:asciiTheme="minorBidi" w:hAnsiTheme="minorBidi"/>
          <w:sz w:val="24"/>
          <w:szCs w:val="24"/>
        </w:rPr>
        <w:t>, Naveed Sattar MD</w:t>
      </w:r>
      <w:r w:rsidRPr="004F7145">
        <w:rPr>
          <w:rFonts w:asciiTheme="minorBidi" w:hAnsiTheme="minorBidi"/>
          <w:sz w:val="24"/>
          <w:szCs w:val="24"/>
          <w:vertAlign w:val="superscript"/>
        </w:rPr>
        <w:t>1</w:t>
      </w:r>
    </w:p>
    <w:p w14:paraId="55C26867" w14:textId="77777777" w:rsidR="00931E93" w:rsidRPr="008E43AC" w:rsidRDefault="00931E93" w:rsidP="00931E93">
      <w:pPr>
        <w:spacing w:after="0" w:line="240" w:lineRule="auto"/>
        <w:rPr>
          <w:rFonts w:asciiTheme="minorBidi" w:hAnsiTheme="minorBidi"/>
          <w:sz w:val="24"/>
          <w:szCs w:val="24"/>
        </w:rPr>
      </w:pPr>
    </w:p>
    <w:p w14:paraId="1E2C1874" w14:textId="77777777" w:rsidR="00931E93" w:rsidRPr="008E43AC" w:rsidRDefault="00931E93" w:rsidP="00931E93">
      <w:pPr>
        <w:spacing w:after="0" w:line="240" w:lineRule="auto"/>
        <w:rPr>
          <w:rFonts w:asciiTheme="minorBidi" w:hAnsiTheme="minorBidi"/>
          <w:sz w:val="24"/>
          <w:szCs w:val="24"/>
        </w:rPr>
      </w:pPr>
      <w:r w:rsidRPr="004F7145">
        <w:rPr>
          <w:rFonts w:asciiTheme="minorBidi" w:hAnsiTheme="minorBidi"/>
          <w:sz w:val="24"/>
          <w:szCs w:val="24"/>
          <w:vertAlign w:val="superscript"/>
        </w:rPr>
        <w:t>1</w:t>
      </w:r>
      <w:r w:rsidRPr="008E43AC">
        <w:rPr>
          <w:rFonts w:asciiTheme="minorBidi" w:hAnsiTheme="minorBidi"/>
          <w:sz w:val="24"/>
          <w:szCs w:val="24"/>
        </w:rPr>
        <w:t xml:space="preserve"> Institute of Cardiovascular and Medical Sciences, University of Glasgow, Glasgow, UK</w:t>
      </w:r>
    </w:p>
    <w:p w14:paraId="1CB2D63C" w14:textId="77777777" w:rsidR="00931E93" w:rsidRPr="008E43AC" w:rsidRDefault="00931E93" w:rsidP="00931E93">
      <w:pPr>
        <w:spacing w:after="0" w:line="240" w:lineRule="auto"/>
        <w:rPr>
          <w:rFonts w:asciiTheme="minorBidi" w:hAnsiTheme="minorBidi"/>
          <w:sz w:val="24"/>
          <w:szCs w:val="24"/>
        </w:rPr>
      </w:pPr>
      <w:r w:rsidRPr="004F7145">
        <w:rPr>
          <w:rFonts w:asciiTheme="minorBidi" w:hAnsiTheme="minorBidi"/>
          <w:sz w:val="24"/>
          <w:szCs w:val="24"/>
          <w:vertAlign w:val="superscript"/>
        </w:rPr>
        <w:t>2</w:t>
      </w:r>
      <w:r w:rsidRPr="008E43AC">
        <w:rPr>
          <w:rFonts w:asciiTheme="minorBidi" w:hAnsiTheme="minorBidi"/>
          <w:sz w:val="24"/>
          <w:szCs w:val="24"/>
        </w:rPr>
        <w:t xml:space="preserve"> Analytical Services – Population Health, Clinical Audit and Specialist Care, NHS Digital, Leeds, UK</w:t>
      </w:r>
    </w:p>
    <w:p w14:paraId="13D18933" w14:textId="77777777" w:rsidR="00931E93" w:rsidRPr="008E43AC" w:rsidRDefault="00931E93" w:rsidP="00931E93">
      <w:pPr>
        <w:spacing w:after="0" w:line="240" w:lineRule="auto"/>
        <w:rPr>
          <w:rFonts w:asciiTheme="minorBidi" w:hAnsiTheme="minorBidi"/>
          <w:sz w:val="24"/>
          <w:szCs w:val="24"/>
        </w:rPr>
      </w:pPr>
      <w:r w:rsidRPr="004F7145">
        <w:rPr>
          <w:rFonts w:asciiTheme="minorBidi" w:hAnsiTheme="minorBidi"/>
          <w:sz w:val="24"/>
          <w:szCs w:val="24"/>
          <w:vertAlign w:val="superscript"/>
        </w:rPr>
        <w:t>3</w:t>
      </w:r>
      <w:r w:rsidRPr="008E43AC">
        <w:rPr>
          <w:rFonts w:asciiTheme="minorBidi" w:hAnsiTheme="minorBidi"/>
          <w:sz w:val="24"/>
          <w:szCs w:val="24"/>
        </w:rPr>
        <w:t xml:space="preserve"> Usher Institute, College of Medicine and Veterinary Medicine, University of Edinburgh, Edinburgh, UK</w:t>
      </w:r>
    </w:p>
    <w:p w14:paraId="6889355A" w14:textId="77777777" w:rsidR="00931E93" w:rsidRPr="008E43AC" w:rsidRDefault="00931E93" w:rsidP="00931E93">
      <w:pPr>
        <w:spacing w:after="0" w:line="240" w:lineRule="auto"/>
        <w:rPr>
          <w:rFonts w:asciiTheme="minorBidi" w:hAnsiTheme="minorBidi"/>
          <w:sz w:val="24"/>
          <w:szCs w:val="24"/>
        </w:rPr>
      </w:pPr>
      <w:r w:rsidRPr="004F7145">
        <w:rPr>
          <w:rFonts w:asciiTheme="minorBidi" w:hAnsiTheme="minorBidi"/>
          <w:sz w:val="24"/>
          <w:szCs w:val="24"/>
          <w:vertAlign w:val="superscript"/>
        </w:rPr>
        <w:t>4</w:t>
      </w:r>
      <w:r w:rsidRPr="008E43AC">
        <w:rPr>
          <w:rFonts w:asciiTheme="minorBidi" w:hAnsiTheme="minorBidi"/>
          <w:sz w:val="24"/>
          <w:szCs w:val="24"/>
        </w:rPr>
        <w:t xml:space="preserve"> West Hampshire Community Diabetes Service, Southern Health NHS Foundation Trust, Lyndhurst, UK</w:t>
      </w:r>
    </w:p>
    <w:p w14:paraId="72D0B700" w14:textId="77777777" w:rsidR="00931E93" w:rsidRPr="008E43AC" w:rsidRDefault="00931E93" w:rsidP="00931E93">
      <w:pPr>
        <w:spacing w:after="0" w:line="240" w:lineRule="auto"/>
        <w:rPr>
          <w:rFonts w:asciiTheme="minorBidi" w:hAnsiTheme="minorBidi"/>
          <w:sz w:val="24"/>
          <w:szCs w:val="24"/>
        </w:rPr>
      </w:pPr>
      <w:r w:rsidRPr="004F7145">
        <w:rPr>
          <w:rFonts w:asciiTheme="minorBidi" w:hAnsiTheme="minorBidi"/>
          <w:sz w:val="24"/>
          <w:szCs w:val="24"/>
          <w:vertAlign w:val="superscript"/>
        </w:rPr>
        <w:t>5</w:t>
      </w:r>
      <w:r w:rsidRPr="008E43AC">
        <w:rPr>
          <w:rFonts w:asciiTheme="minorBidi" w:hAnsiTheme="minorBidi"/>
          <w:sz w:val="24"/>
          <w:szCs w:val="24"/>
        </w:rPr>
        <w:t xml:space="preserve"> University Hospitals Coventry &amp; Warwickshire NHS Trust, Coventry, UK</w:t>
      </w:r>
    </w:p>
    <w:p w14:paraId="4C097E20" w14:textId="77777777" w:rsidR="00931E93" w:rsidRPr="008E43AC" w:rsidRDefault="00931E93" w:rsidP="00931E93">
      <w:pPr>
        <w:spacing w:after="0" w:line="240" w:lineRule="auto"/>
        <w:rPr>
          <w:rFonts w:asciiTheme="minorBidi" w:hAnsiTheme="minorBidi"/>
          <w:sz w:val="24"/>
          <w:szCs w:val="24"/>
        </w:rPr>
      </w:pPr>
      <w:r w:rsidRPr="004F7145">
        <w:rPr>
          <w:rFonts w:asciiTheme="minorBidi" w:hAnsiTheme="minorBidi"/>
          <w:sz w:val="24"/>
          <w:szCs w:val="24"/>
          <w:vertAlign w:val="superscript"/>
        </w:rPr>
        <w:t>6</w:t>
      </w:r>
      <w:r w:rsidRPr="008E43AC">
        <w:rPr>
          <w:rFonts w:asciiTheme="minorBidi" w:hAnsiTheme="minorBidi"/>
          <w:sz w:val="24"/>
          <w:szCs w:val="24"/>
        </w:rPr>
        <w:t xml:space="preserve"> Warwick Medical School, University of Warwick, Warwick, UK</w:t>
      </w:r>
    </w:p>
    <w:p w14:paraId="233866AC" w14:textId="77777777" w:rsidR="00931E93" w:rsidRPr="008E43AC" w:rsidRDefault="00931E93" w:rsidP="00931E93">
      <w:pPr>
        <w:spacing w:after="0" w:line="240" w:lineRule="auto"/>
        <w:rPr>
          <w:rFonts w:asciiTheme="minorBidi" w:hAnsiTheme="minorBidi"/>
          <w:sz w:val="24"/>
          <w:szCs w:val="24"/>
        </w:rPr>
      </w:pPr>
      <w:r w:rsidRPr="004F7145">
        <w:rPr>
          <w:rFonts w:asciiTheme="minorBidi" w:hAnsiTheme="minorBidi"/>
          <w:sz w:val="24"/>
          <w:szCs w:val="24"/>
          <w:vertAlign w:val="superscript"/>
        </w:rPr>
        <w:t>7</w:t>
      </w:r>
      <w:r w:rsidRPr="008E43AC">
        <w:rPr>
          <w:rFonts w:asciiTheme="minorBidi" w:hAnsiTheme="minorBidi"/>
          <w:sz w:val="24"/>
          <w:szCs w:val="24"/>
        </w:rPr>
        <w:t xml:space="preserve"> Coventry University, Coventry, UK</w:t>
      </w:r>
    </w:p>
    <w:p w14:paraId="45C78E2E" w14:textId="77777777" w:rsidR="00931E93" w:rsidRPr="008E43AC" w:rsidRDefault="00931E93" w:rsidP="00931E93">
      <w:pPr>
        <w:spacing w:after="0" w:line="240" w:lineRule="auto"/>
        <w:rPr>
          <w:rFonts w:asciiTheme="minorBidi" w:hAnsiTheme="minorBidi"/>
          <w:sz w:val="24"/>
          <w:szCs w:val="24"/>
        </w:rPr>
      </w:pPr>
      <w:r w:rsidRPr="004F7145">
        <w:rPr>
          <w:rFonts w:asciiTheme="minorBidi" w:hAnsiTheme="minorBidi"/>
          <w:sz w:val="24"/>
          <w:szCs w:val="24"/>
          <w:vertAlign w:val="superscript"/>
        </w:rPr>
        <w:t>8</w:t>
      </w:r>
      <w:r w:rsidRPr="008E43AC">
        <w:rPr>
          <w:rFonts w:asciiTheme="minorBidi" w:hAnsiTheme="minorBidi"/>
          <w:sz w:val="24"/>
          <w:szCs w:val="24"/>
        </w:rPr>
        <w:t xml:space="preserve"> University Hospitals Birmingham NHS Foundation Trust, Birmingham, UK</w:t>
      </w:r>
    </w:p>
    <w:p w14:paraId="0906EC0E" w14:textId="2E777559" w:rsidR="000D7FEA" w:rsidRDefault="00931E93" w:rsidP="00931E93">
      <w:pPr>
        <w:spacing w:after="0" w:line="240" w:lineRule="auto"/>
        <w:rPr>
          <w:rFonts w:asciiTheme="minorBidi" w:hAnsiTheme="minorBidi"/>
          <w:sz w:val="24"/>
          <w:szCs w:val="24"/>
        </w:rPr>
      </w:pPr>
      <w:r w:rsidRPr="004F7145">
        <w:rPr>
          <w:rFonts w:asciiTheme="minorBidi" w:hAnsiTheme="minorBidi"/>
          <w:sz w:val="24"/>
          <w:szCs w:val="24"/>
          <w:vertAlign w:val="superscript"/>
        </w:rPr>
        <w:t>9</w:t>
      </w:r>
      <w:r w:rsidR="000D7FEA">
        <w:rPr>
          <w:rFonts w:asciiTheme="minorBidi" w:hAnsiTheme="minorBidi"/>
          <w:sz w:val="24"/>
          <w:szCs w:val="24"/>
          <w:vertAlign w:val="superscript"/>
        </w:rPr>
        <w:t xml:space="preserve"> </w:t>
      </w:r>
      <w:r w:rsidR="000D7FEA" w:rsidRPr="000D7FEA">
        <w:rPr>
          <w:rFonts w:asciiTheme="minorBidi" w:hAnsiTheme="minorBidi"/>
          <w:sz w:val="24"/>
          <w:szCs w:val="24"/>
        </w:rPr>
        <w:t>Diabetes and Endocrinology Centre, George Eliot Hospital NHS Trust, Nuneaton</w:t>
      </w:r>
      <w:r w:rsidR="000D7FEA">
        <w:rPr>
          <w:rFonts w:asciiTheme="minorBidi" w:hAnsiTheme="minorBidi"/>
          <w:sz w:val="24"/>
          <w:szCs w:val="24"/>
        </w:rPr>
        <w:t>, UK</w:t>
      </w:r>
    </w:p>
    <w:p w14:paraId="41ED97D0" w14:textId="0866D2E1" w:rsidR="00BD1AD8" w:rsidRPr="000D7FEA" w:rsidRDefault="004456CF" w:rsidP="00931E93">
      <w:pPr>
        <w:spacing w:after="0" w:line="240" w:lineRule="auto"/>
        <w:rPr>
          <w:rFonts w:asciiTheme="minorBidi" w:hAnsiTheme="minorBidi"/>
          <w:sz w:val="24"/>
          <w:szCs w:val="24"/>
        </w:rPr>
      </w:pPr>
      <w:r>
        <w:rPr>
          <w:rFonts w:asciiTheme="minorBidi" w:hAnsiTheme="minorBidi"/>
          <w:sz w:val="24"/>
          <w:szCs w:val="24"/>
          <w:vertAlign w:val="superscript"/>
        </w:rPr>
        <w:t>10</w:t>
      </w:r>
      <w:r w:rsidR="000D7FEA">
        <w:rPr>
          <w:rFonts w:asciiTheme="minorBidi" w:hAnsiTheme="minorBidi"/>
          <w:sz w:val="24"/>
          <w:szCs w:val="24"/>
          <w:vertAlign w:val="superscript"/>
        </w:rPr>
        <w:t xml:space="preserve"> </w:t>
      </w:r>
      <w:r w:rsidR="000D7FEA" w:rsidRPr="000D7FEA">
        <w:rPr>
          <w:rFonts w:asciiTheme="minorBidi" w:hAnsiTheme="minorBidi"/>
          <w:sz w:val="24"/>
          <w:szCs w:val="24"/>
        </w:rPr>
        <w:t>West Midlands Clinical Networks &amp; Clinical Senate, NHS England and NHS Improvement – Midlands</w:t>
      </w:r>
      <w:r w:rsidR="000D7FEA">
        <w:rPr>
          <w:rFonts w:asciiTheme="minorBidi" w:hAnsiTheme="minorBidi"/>
          <w:sz w:val="24"/>
          <w:szCs w:val="24"/>
        </w:rPr>
        <w:t>, UK</w:t>
      </w:r>
    </w:p>
    <w:p w14:paraId="13A64F4F" w14:textId="5BDB057A" w:rsidR="00931E93" w:rsidRPr="008E43AC" w:rsidRDefault="004456CF" w:rsidP="00931E93">
      <w:pPr>
        <w:spacing w:after="0" w:line="240" w:lineRule="auto"/>
        <w:rPr>
          <w:rFonts w:asciiTheme="minorBidi" w:hAnsiTheme="minorBidi"/>
          <w:sz w:val="24"/>
          <w:szCs w:val="24"/>
        </w:rPr>
      </w:pPr>
      <w:r w:rsidRPr="004456CF">
        <w:rPr>
          <w:rFonts w:asciiTheme="minorBidi" w:hAnsiTheme="minorBidi"/>
          <w:sz w:val="24"/>
          <w:szCs w:val="24"/>
          <w:vertAlign w:val="superscript"/>
        </w:rPr>
        <w:t>11</w:t>
      </w:r>
      <w:r w:rsidR="00BD1AD8" w:rsidRPr="004456CF">
        <w:rPr>
          <w:rFonts w:asciiTheme="minorBidi" w:hAnsiTheme="minorBidi"/>
          <w:sz w:val="24"/>
          <w:szCs w:val="24"/>
          <w:vertAlign w:val="superscript"/>
        </w:rPr>
        <w:t xml:space="preserve"> </w:t>
      </w:r>
      <w:r w:rsidR="00931E93" w:rsidRPr="008E43AC">
        <w:rPr>
          <w:rFonts w:asciiTheme="minorBidi" w:hAnsiTheme="minorBidi"/>
          <w:sz w:val="24"/>
          <w:szCs w:val="24"/>
        </w:rPr>
        <w:t>School of Public Health, Imperial College, London, UK</w:t>
      </w:r>
    </w:p>
    <w:p w14:paraId="6E3D3FF2" w14:textId="63748AE4" w:rsidR="00931E93" w:rsidRPr="008E43AC" w:rsidRDefault="004456CF" w:rsidP="00931E93">
      <w:pPr>
        <w:spacing w:after="0" w:line="240" w:lineRule="auto"/>
        <w:rPr>
          <w:rFonts w:asciiTheme="minorBidi" w:hAnsiTheme="minorBidi"/>
          <w:sz w:val="24"/>
          <w:szCs w:val="24"/>
        </w:rPr>
      </w:pPr>
      <w:r>
        <w:rPr>
          <w:rFonts w:asciiTheme="minorBidi" w:hAnsiTheme="minorBidi"/>
          <w:sz w:val="24"/>
          <w:szCs w:val="24"/>
          <w:vertAlign w:val="superscript"/>
        </w:rPr>
        <w:t>12</w:t>
      </w:r>
      <w:r w:rsidR="00BD1AD8" w:rsidRPr="008E43AC">
        <w:rPr>
          <w:rFonts w:asciiTheme="minorBidi" w:hAnsiTheme="minorBidi"/>
          <w:sz w:val="24"/>
          <w:szCs w:val="24"/>
        </w:rPr>
        <w:t xml:space="preserve"> </w:t>
      </w:r>
      <w:r w:rsidR="00931E93" w:rsidRPr="008E43AC">
        <w:rPr>
          <w:rFonts w:asciiTheme="minorBidi" w:hAnsiTheme="minorBidi"/>
          <w:sz w:val="24"/>
          <w:szCs w:val="24"/>
        </w:rPr>
        <w:t>Human Development and Health , Faculty of Medicine, University of Southampton and Southampton National Institute for Health Research Biomedical Research Centre, University Hospital Southampton NHS Foundation Trust, Southampton, UK</w:t>
      </w:r>
    </w:p>
    <w:p w14:paraId="3ECB143C" w14:textId="17B63DB7" w:rsidR="00931E93" w:rsidRPr="008E43AC" w:rsidRDefault="004456CF" w:rsidP="00931E93">
      <w:pPr>
        <w:spacing w:after="0" w:line="240" w:lineRule="auto"/>
        <w:rPr>
          <w:rFonts w:asciiTheme="minorBidi" w:hAnsiTheme="minorBidi"/>
          <w:sz w:val="24"/>
          <w:szCs w:val="24"/>
        </w:rPr>
      </w:pPr>
      <w:r>
        <w:rPr>
          <w:rFonts w:asciiTheme="minorBidi" w:hAnsiTheme="minorBidi"/>
          <w:sz w:val="24"/>
          <w:szCs w:val="24"/>
          <w:vertAlign w:val="superscript"/>
        </w:rPr>
        <w:t>13</w:t>
      </w:r>
      <w:r w:rsidR="00BD1AD8" w:rsidRPr="008E43AC">
        <w:rPr>
          <w:rFonts w:asciiTheme="minorBidi" w:hAnsiTheme="minorBidi"/>
          <w:sz w:val="24"/>
          <w:szCs w:val="24"/>
        </w:rPr>
        <w:t xml:space="preserve"> </w:t>
      </w:r>
      <w:r w:rsidR="00931E93" w:rsidRPr="008E43AC">
        <w:rPr>
          <w:rFonts w:asciiTheme="minorBidi" w:hAnsiTheme="minorBidi"/>
          <w:sz w:val="24"/>
          <w:szCs w:val="24"/>
        </w:rPr>
        <w:t>Diabetes Research Centre, University of Leicester, Leicester, UK</w:t>
      </w:r>
    </w:p>
    <w:p w14:paraId="0FD41C3D" w14:textId="1A3B6825" w:rsidR="00931E93" w:rsidRPr="008E43AC" w:rsidRDefault="004456CF" w:rsidP="00931E93">
      <w:pPr>
        <w:spacing w:after="0" w:line="240" w:lineRule="auto"/>
        <w:rPr>
          <w:rFonts w:asciiTheme="minorBidi" w:hAnsiTheme="minorBidi"/>
          <w:sz w:val="24"/>
          <w:szCs w:val="24"/>
        </w:rPr>
      </w:pPr>
      <w:r>
        <w:rPr>
          <w:rFonts w:asciiTheme="minorBidi" w:hAnsiTheme="minorBidi"/>
          <w:sz w:val="24"/>
          <w:szCs w:val="24"/>
          <w:vertAlign w:val="superscript"/>
        </w:rPr>
        <w:t>14</w:t>
      </w:r>
      <w:r w:rsidR="00BD1AD8" w:rsidRPr="008E43AC">
        <w:rPr>
          <w:rFonts w:asciiTheme="minorBidi" w:hAnsiTheme="minorBidi"/>
          <w:sz w:val="24"/>
          <w:szCs w:val="24"/>
        </w:rPr>
        <w:t xml:space="preserve"> </w:t>
      </w:r>
      <w:r w:rsidR="00931E93" w:rsidRPr="008E43AC">
        <w:rPr>
          <w:rFonts w:asciiTheme="minorBidi" w:hAnsiTheme="minorBidi"/>
          <w:sz w:val="24"/>
          <w:szCs w:val="24"/>
        </w:rPr>
        <w:t>NHS England and NHS Improvement, London, UK</w:t>
      </w:r>
    </w:p>
    <w:p w14:paraId="574C0CDA" w14:textId="31DBBDC5" w:rsidR="00931E93" w:rsidRPr="008E43AC" w:rsidRDefault="004456CF" w:rsidP="00931E93">
      <w:pPr>
        <w:spacing w:after="0" w:line="240" w:lineRule="auto"/>
        <w:rPr>
          <w:rFonts w:asciiTheme="minorBidi" w:hAnsiTheme="minorBidi"/>
          <w:sz w:val="24"/>
          <w:szCs w:val="24"/>
        </w:rPr>
      </w:pPr>
      <w:r>
        <w:rPr>
          <w:rFonts w:asciiTheme="minorBidi" w:hAnsiTheme="minorBidi"/>
          <w:sz w:val="24"/>
          <w:szCs w:val="24"/>
          <w:vertAlign w:val="superscript"/>
        </w:rPr>
        <w:t>15</w:t>
      </w:r>
      <w:r w:rsidR="00BD1AD8" w:rsidRPr="008E43AC">
        <w:rPr>
          <w:rFonts w:asciiTheme="minorBidi" w:hAnsiTheme="minorBidi"/>
          <w:sz w:val="24"/>
          <w:szCs w:val="24"/>
        </w:rPr>
        <w:t xml:space="preserve"> </w:t>
      </w:r>
      <w:r w:rsidR="00931E93" w:rsidRPr="008E43AC">
        <w:rPr>
          <w:rFonts w:asciiTheme="minorBidi" w:hAnsiTheme="minorBidi"/>
          <w:sz w:val="24"/>
          <w:szCs w:val="24"/>
        </w:rPr>
        <w:t>Department of Diabetes and Endocrinology, St Mary's Hospital, Imperial College Healthcare NHS Trust, London, UK</w:t>
      </w:r>
    </w:p>
    <w:p w14:paraId="1B95E5FB" w14:textId="243E6B64" w:rsidR="00931E93" w:rsidRPr="008E43AC" w:rsidRDefault="004456CF" w:rsidP="00931E93">
      <w:pPr>
        <w:spacing w:after="0" w:line="240" w:lineRule="auto"/>
        <w:rPr>
          <w:rFonts w:asciiTheme="minorBidi" w:hAnsiTheme="minorBidi"/>
          <w:sz w:val="24"/>
          <w:szCs w:val="24"/>
        </w:rPr>
      </w:pPr>
      <w:r>
        <w:rPr>
          <w:rFonts w:asciiTheme="minorBidi" w:hAnsiTheme="minorBidi"/>
          <w:sz w:val="24"/>
          <w:szCs w:val="24"/>
          <w:vertAlign w:val="superscript"/>
        </w:rPr>
        <w:t>16</w:t>
      </w:r>
      <w:r w:rsidR="00BD1AD8" w:rsidRPr="008E43AC">
        <w:rPr>
          <w:rFonts w:asciiTheme="minorBidi" w:hAnsiTheme="minorBidi"/>
          <w:sz w:val="24"/>
          <w:szCs w:val="24"/>
        </w:rPr>
        <w:t xml:space="preserve"> </w:t>
      </w:r>
      <w:r w:rsidR="00931E93" w:rsidRPr="008E43AC">
        <w:rPr>
          <w:rFonts w:asciiTheme="minorBidi" w:hAnsiTheme="minorBidi"/>
          <w:sz w:val="24"/>
          <w:szCs w:val="24"/>
        </w:rPr>
        <w:t>Division of Metabolism, Digestion and Reproduction, Imperial College London, London, UK</w:t>
      </w:r>
    </w:p>
    <w:p w14:paraId="60A49F67" w14:textId="704EF9D5" w:rsidR="00931E93" w:rsidRPr="008E43AC" w:rsidRDefault="004456CF" w:rsidP="00931E93">
      <w:pPr>
        <w:spacing w:after="0" w:line="240" w:lineRule="auto"/>
        <w:rPr>
          <w:rFonts w:asciiTheme="minorBidi" w:hAnsiTheme="minorBidi"/>
          <w:sz w:val="24"/>
          <w:szCs w:val="24"/>
        </w:rPr>
      </w:pPr>
      <w:r>
        <w:rPr>
          <w:rFonts w:asciiTheme="minorBidi" w:hAnsiTheme="minorBidi"/>
          <w:sz w:val="24"/>
          <w:szCs w:val="24"/>
          <w:vertAlign w:val="superscript"/>
        </w:rPr>
        <w:t>17</w:t>
      </w:r>
      <w:r w:rsidR="00BD1AD8" w:rsidRPr="008E43AC">
        <w:rPr>
          <w:rFonts w:asciiTheme="minorBidi" w:hAnsiTheme="minorBidi"/>
          <w:sz w:val="24"/>
          <w:szCs w:val="24"/>
        </w:rPr>
        <w:t xml:space="preserve"> </w:t>
      </w:r>
      <w:r w:rsidR="00931E93" w:rsidRPr="008E43AC">
        <w:rPr>
          <w:rFonts w:asciiTheme="minorBidi" w:hAnsiTheme="minorBidi"/>
          <w:sz w:val="24"/>
          <w:szCs w:val="24"/>
        </w:rPr>
        <w:t>Diabetes UK, London, UK</w:t>
      </w:r>
    </w:p>
    <w:p w14:paraId="26842EBA" w14:textId="77777777" w:rsidR="00931E93" w:rsidRPr="008E43AC" w:rsidRDefault="00931E93" w:rsidP="00931E93">
      <w:pPr>
        <w:spacing w:after="0" w:line="240" w:lineRule="auto"/>
        <w:rPr>
          <w:rFonts w:asciiTheme="minorBidi" w:hAnsiTheme="minorBidi"/>
          <w:sz w:val="24"/>
          <w:szCs w:val="24"/>
        </w:rPr>
      </w:pPr>
    </w:p>
    <w:p w14:paraId="38015629" w14:textId="77777777" w:rsidR="00931E93" w:rsidRPr="00DD154D" w:rsidRDefault="00931E93" w:rsidP="00931E93">
      <w:pPr>
        <w:spacing w:after="0" w:line="240" w:lineRule="auto"/>
        <w:rPr>
          <w:rFonts w:asciiTheme="minorBidi" w:hAnsiTheme="minorBidi"/>
          <w:b/>
          <w:bCs/>
          <w:sz w:val="24"/>
          <w:szCs w:val="24"/>
        </w:rPr>
      </w:pPr>
      <w:r w:rsidRPr="00DD154D">
        <w:rPr>
          <w:rFonts w:asciiTheme="minorBidi" w:hAnsiTheme="minorBidi"/>
          <w:b/>
          <w:bCs/>
          <w:sz w:val="24"/>
          <w:szCs w:val="24"/>
        </w:rPr>
        <w:t xml:space="preserve">Corresponding author: </w:t>
      </w:r>
    </w:p>
    <w:p w14:paraId="26532C67" w14:textId="77777777" w:rsidR="00931E93" w:rsidRPr="008E43AC" w:rsidRDefault="00931E93" w:rsidP="00931E93">
      <w:pPr>
        <w:spacing w:after="0" w:line="240" w:lineRule="auto"/>
        <w:rPr>
          <w:rFonts w:asciiTheme="minorBidi" w:hAnsiTheme="minorBidi"/>
          <w:sz w:val="24"/>
          <w:szCs w:val="24"/>
        </w:rPr>
      </w:pPr>
      <w:r w:rsidRPr="008E43AC">
        <w:rPr>
          <w:rFonts w:asciiTheme="minorBidi" w:hAnsiTheme="minorBidi"/>
          <w:sz w:val="24"/>
          <w:szCs w:val="24"/>
        </w:rPr>
        <w:t>Naomi Holman</w:t>
      </w:r>
    </w:p>
    <w:p w14:paraId="5FDB2629" w14:textId="77777777" w:rsidR="00931E93" w:rsidRPr="008E43AC" w:rsidRDefault="00931E93" w:rsidP="00931E93">
      <w:pPr>
        <w:spacing w:after="0" w:line="240" w:lineRule="auto"/>
        <w:rPr>
          <w:rFonts w:asciiTheme="minorBidi" w:hAnsiTheme="minorBidi"/>
          <w:sz w:val="24"/>
          <w:szCs w:val="24"/>
        </w:rPr>
      </w:pPr>
      <w:r w:rsidRPr="008E43AC">
        <w:rPr>
          <w:rFonts w:asciiTheme="minorBidi" w:hAnsiTheme="minorBidi"/>
          <w:sz w:val="24"/>
          <w:szCs w:val="24"/>
        </w:rPr>
        <w:t>c/o RC214 Level C2, Institute of Cardiovascular &amp; Medical Sciences, BHF Glasgow Cardiovascular Research Centre, University of Glasgow, 126 University Place, Glasgow G12 8TA, United Kingdom</w:t>
      </w:r>
    </w:p>
    <w:p w14:paraId="7553DC51" w14:textId="77777777" w:rsidR="00931E93" w:rsidRPr="008E43AC" w:rsidRDefault="00931E93" w:rsidP="00931E93">
      <w:pPr>
        <w:spacing w:after="0" w:line="240" w:lineRule="auto"/>
        <w:rPr>
          <w:rFonts w:asciiTheme="minorBidi" w:hAnsiTheme="minorBidi"/>
          <w:sz w:val="24"/>
          <w:szCs w:val="24"/>
        </w:rPr>
      </w:pPr>
      <w:r w:rsidRPr="008E43AC">
        <w:rPr>
          <w:rFonts w:asciiTheme="minorBidi" w:hAnsiTheme="minorBidi"/>
          <w:sz w:val="24"/>
          <w:szCs w:val="24"/>
        </w:rPr>
        <w:t>Tel: 07986563124</w:t>
      </w:r>
    </w:p>
    <w:p w14:paraId="2D37FF12" w14:textId="77777777" w:rsidR="00931E93" w:rsidRPr="008E43AC" w:rsidRDefault="00931E93" w:rsidP="00931E93">
      <w:pPr>
        <w:spacing w:after="0" w:line="240" w:lineRule="auto"/>
        <w:rPr>
          <w:rFonts w:asciiTheme="minorBidi" w:hAnsiTheme="minorBidi"/>
          <w:sz w:val="24"/>
          <w:szCs w:val="24"/>
        </w:rPr>
      </w:pPr>
      <w:r w:rsidRPr="008E43AC">
        <w:rPr>
          <w:rFonts w:asciiTheme="minorBidi" w:hAnsiTheme="minorBidi"/>
          <w:sz w:val="24"/>
          <w:szCs w:val="24"/>
        </w:rPr>
        <w:t>Email: naomi.holman@glasgow.ac.uk</w:t>
      </w:r>
    </w:p>
    <w:p w14:paraId="584121E4" w14:textId="77777777" w:rsidR="00931E93" w:rsidRPr="008E43AC" w:rsidRDefault="00931E93" w:rsidP="00931E93">
      <w:pPr>
        <w:spacing w:after="0" w:line="240" w:lineRule="auto"/>
        <w:rPr>
          <w:rFonts w:asciiTheme="minorBidi" w:hAnsiTheme="minorBidi"/>
          <w:sz w:val="24"/>
          <w:szCs w:val="24"/>
        </w:rPr>
      </w:pPr>
    </w:p>
    <w:p w14:paraId="43E2CEA6" w14:textId="7162FA1F" w:rsidR="0099466A" w:rsidRDefault="00931E93" w:rsidP="009E76D8">
      <w:pPr>
        <w:spacing w:after="0" w:line="240" w:lineRule="auto"/>
        <w:rPr>
          <w:rFonts w:asciiTheme="minorBidi" w:hAnsiTheme="minorBidi"/>
          <w:sz w:val="24"/>
          <w:szCs w:val="24"/>
        </w:rPr>
      </w:pPr>
      <w:r w:rsidRPr="008E43AC">
        <w:rPr>
          <w:rFonts w:asciiTheme="minorBidi" w:hAnsiTheme="minorBidi"/>
          <w:sz w:val="24"/>
          <w:szCs w:val="24"/>
        </w:rPr>
        <w:t xml:space="preserve">Abstract word count: </w:t>
      </w:r>
      <w:r w:rsidR="004B18CD">
        <w:rPr>
          <w:rFonts w:asciiTheme="minorBidi" w:hAnsiTheme="minorBidi"/>
          <w:sz w:val="24"/>
          <w:szCs w:val="24"/>
        </w:rPr>
        <w:t>250</w:t>
      </w:r>
    </w:p>
    <w:p w14:paraId="75D9E8B6" w14:textId="10C92FE1" w:rsidR="00931E93" w:rsidRDefault="00931E93" w:rsidP="009E76D8">
      <w:pPr>
        <w:spacing w:after="0" w:line="240" w:lineRule="auto"/>
        <w:rPr>
          <w:rFonts w:asciiTheme="minorBidi" w:hAnsiTheme="minorBidi"/>
          <w:sz w:val="24"/>
          <w:szCs w:val="24"/>
        </w:rPr>
      </w:pPr>
      <w:r w:rsidRPr="008E43AC">
        <w:rPr>
          <w:rFonts w:asciiTheme="minorBidi" w:hAnsiTheme="minorBidi"/>
          <w:sz w:val="24"/>
          <w:szCs w:val="24"/>
        </w:rPr>
        <w:t>Main text word count: 3</w:t>
      </w:r>
      <w:r w:rsidR="009E76D8">
        <w:rPr>
          <w:rFonts w:asciiTheme="minorBidi" w:hAnsiTheme="minorBidi"/>
          <w:sz w:val="24"/>
          <w:szCs w:val="24"/>
        </w:rPr>
        <w:t>7</w:t>
      </w:r>
      <w:r w:rsidR="00583A4D">
        <w:rPr>
          <w:rFonts w:asciiTheme="minorBidi" w:hAnsiTheme="minorBidi"/>
          <w:sz w:val="24"/>
          <w:szCs w:val="24"/>
        </w:rPr>
        <w:t>27</w:t>
      </w:r>
    </w:p>
    <w:p w14:paraId="1A176108" w14:textId="0901411F" w:rsidR="004B18CD" w:rsidRPr="008E43AC" w:rsidRDefault="004B18CD" w:rsidP="009E76D8">
      <w:pPr>
        <w:spacing w:after="0" w:line="240" w:lineRule="auto"/>
        <w:rPr>
          <w:rFonts w:asciiTheme="minorBidi" w:hAnsiTheme="minorBidi"/>
          <w:sz w:val="24"/>
          <w:szCs w:val="24"/>
        </w:rPr>
      </w:pPr>
      <w:r>
        <w:rPr>
          <w:rFonts w:asciiTheme="minorBidi" w:hAnsiTheme="minorBidi"/>
          <w:sz w:val="24"/>
          <w:szCs w:val="24"/>
        </w:rPr>
        <w:lastRenderedPageBreak/>
        <w:t xml:space="preserve">References: </w:t>
      </w:r>
      <w:r w:rsidR="002B4A09">
        <w:rPr>
          <w:rFonts w:asciiTheme="minorBidi" w:hAnsiTheme="minorBidi"/>
          <w:sz w:val="24"/>
          <w:szCs w:val="24"/>
        </w:rPr>
        <w:t>20</w:t>
      </w:r>
    </w:p>
    <w:p w14:paraId="2EFA073B" w14:textId="3AAFFC69" w:rsidR="004B18CD" w:rsidRDefault="00931E93" w:rsidP="005C1491">
      <w:pPr>
        <w:spacing w:after="0" w:line="240" w:lineRule="auto"/>
        <w:rPr>
          <w:rFonts w:asciiTheme="minorBidi" w:hAnsiTheme="minorBidi"/>
          <w:sz w:val="24"/>
          <w:szCs w:val="24"/>
        </w:rPr>
      </w:pPr>
      <w:r w:rsidRPr="008E43AC">
        <w:rPr>
          <w:rFonts w:asciiTheme="minorBidi" w:hAnsiTheme="minorBidi"/>
          <w:sz w:val="24"/>
          <w:szCs w:val="24"/>
        </w:rPr>
        <w:t>Figures: 1</w:t>
      </w:r>
    </w:p>
    <w:p w14:paraId="2FE4B7D9" w14:textId="50141F1A" w:rsidR="005C1491" w:rsidRDefault="00931E93" w:rsidP="005C1491">
      <w:pPr>
        <w:spacing w:after="0" w:line="240" w:lineRule="auto"/>
        <w:rPr>
          <w:rFonts w:asciiTheme="minorBidi" w:hAnsiTheme="minorBidi"/>
          <w:sz w:val="24"/>
          <w:szCs w:val="24"/>
        </w:rPr>
      </w:pPr>
      <w:r w:rsidRPr="008E43AC">
        <w:rPr>
          <w:rFonts w:asciiTheme="minorBidi" w:hAnsiTheme="minorBidi"/>
          <w:sz w:val="24"/>
          <w:szCs w:val="24"/>
        </w:rPr>
        <w:t>Tables: 3</w:t>
      </w:r>
    </w:p>
    <w:p w14:paraId="3578EE6A" w14:textId="77777777" w:rsidR="004B18CD" w:rsidRDefault="004B18CD" w:rsidP="005C1491">
      <w:pPr>
        <w:spacing w:after="0" w:line="240" w:lineRule="auto"/>
        <w:rPr>
          <w:rFonts w:asciiTheme="minorBidi" w:hAnsiTheme="minorBidi"/>
          <w:b/>
          <w:bCs/>
          <w:sz w:val="24"/>
          <w:szCs w:val="24"/>
        </w:rPr>
      </w:pPr>
    </w:p>
    <w:p w14:paraId="0AB17953" w14:textId="77777777" w:rsidR="004B18CD" w:rsidRDefault="004B18CD">
      <w:pPr>
        <w:rPr>
          <w:rFonts w:asciiTheme="minorBidi" w:hAnsiTheme="minorBidi"/>
          <w:b/>
          <w:bCs/>
          <w:sz w:val="24"/>
          <w:szCs w:val="24"/>
        </w:rPr>
      </w:pPr>
      <w:r>
        <w:rPr>
          <w:rFonts w:asciiTheme="minorBidi" w:hAnsiTheme="minorBidi"/>
          <w:b/>
          <w:bCs/>
          <w:sz w:val="24"/>
          <w:szCs w:val="24"/>
        </w:rPr>
        <w:br w:type="page"/>
      </w:r>
    </w:p>
    <w:p w14:paraId="38AA3656" w14:textId="7D227750" w:rsidR="00931E93" w:rsidRDefault="00931E93" w:rsidP="004B18CD">
      <w:pPr>
        <w:spacing w:after="0" w:line="480" w:lineRule="auto"/>
        <w:rPr>
          <w:rFonts w:asciiTheme="minorBidi" w:hAnsiTheme="minorBidi"/>
          <w:b/>
          <w:bCs/>
          <w:sz w:val="24"/>
          <w:szCs w:val="24"/>
        </w:rPr>
      </w:pPr>
      <w:r w:rsidRPr="008E43AC">
        <w:rPr>
          <w:rFonts w:asciiTheme="minorBidi" w:hAnsiTheme="minorBidi"/>
          <w:b/>
          <w:bCs/>
          <w:sz w:val="24"/>
          <w:szCs w:val="24"/>
        </w:rPr>
        <w:lastRenderedPageBreak/>
        <w:t>Abstract</w:t>
      </w:r>
    </w:p>
    <w:p w14:paraId="2E48223D" w14:textId="77777777" w:rsidR="004B18CD" w:rsidRPr="008E43AC" w:rsidRDefault="004B18CD" w:rsidP="004B18CD">
      <w:pPr>
        <w:spacing w:after="0" w:line="480" w:lineRule="auto"/>
        <w:rPr>
          <w:rFonts w:asciiTheme="minorBidi" w:hAnsiTheme="minorBidi"/>
          <w:b/>
          <w:bCs/>
          <w:sz w:val="24"/>
          <w:szCs w:val="24"/>
        </w:rPr>
      </w:pPr>
    </w:p>
    <w:p w14:paraId="74F34280" w14:textId="547AB3CC" w:rsidR="00931E93" w:rsidRPr="008E43AC" w:rsidRDefault="00F4220A" w:rsidP="004B18CD">
      <w:pPr>
        <w:spacing w:after="0" w:line="480" w:lineRule="auto"/>
        <w:rPr>
          <w:rFonts w:asciiTheme="minorBidi" w:hAnsiTheme="minorBidi"/>
          <w:sz w:val="24"/>
          <w:szCs w:val="24"/>
        </w:rPr>
      </w:pPr>
      <w:r>
        <w:rPr>
          <w:rFonts w:asciiTheme="minorBidi" w:hAnsiTheme="minorBidi"/>
          <w:b/>
          <w:bCs/>
          <w:sz w:val="24"/>
          <w:szCs w:val="24"/>
        </w:rPr>
        <w:t>Aims</w:t>
      </w:r>
      <w:r w:rsidR="00931E93" w:rsidRPr="008E43AC">
        <w:rPr>
          <w:rFonts w:asciiTheme="minorBidi" w:hAnsiTheme="minorBidi"/>
          <w:sz w:val="24"/>
          <w:szCs w:val="24"/>
        </w:rPr>
        <w:t>: Guidelines recommend that diabetes care processes (HbA</w:t>
      </w:r>
      <w:r w:rsidR="00931E93" w:rsidRPr="001F6EFC">
        <w:rPr>
          <w:rFonts w:asciiTheme="minorBidi" w:hAnsiTheme="minorBidi"/>
          <w:sz w:val="24"/>
          <w:szCs w:val="24"/>
          <w:vertAlign w:val="subscript"/>
        </w:rPr>
        <w:t>1c</w:t>
      </w:r>
      <w:r w:rsidR="00931E93" w:rsidRPr="008E43AC">
        <w:rPr>
          <w:rFonts w:asciiTheme="minorBidi" w:hAnsiTheme="minorBidi"/>
          <w:sz w:val="24"/>
          <w:szCs w:val="24"/>
        </w:rPr>
        <w:t xml:space="preserve">, creatinine, cholesterol, BP, BMI, smoking habit, urinary albumin, retinal and foot examinations) are performed at least annually. This analysis assesses if their completion is associated with </w:t>
      </w:r>
      <w:r w:rsidR="003770C0">
        <w:rPr>
          <w:rFonts w:asciiTheme="minorBidi" w:hAnsiTheme="minorBidi"/>
          <w:sz w:val="24"/>
          <w:szCs w:val="24"/>
        </w:rPr>
        <w:t>mortality</w:t>
      </w:r>
      <w:r w:rsidR="00931E93" w:rsidRPr="008E43AC">
        <w:rPr>
          <w:rFonts w:asciiTheme="minorBidi" w:hAnsiTheme="minorBidi"/>
          <w:sz w:val="24"/>
          <w:szCs w:val="24"/>
        </w:rPr>
        <w:t>.</w:t>
      </w:r>
    </w:p>
    <w:p w14:paraId="334B30B9" w14:textId="77777777" w:rsidR="00931E93" w:rsidRPr="008E43AC" w:rsidRDefault="00931E93" w:rsidP="004B18CD">
      <w:pPr>
        <w:spacing w:after="0" w:line="480" w:lineRule="auto"/>
        <w:rPr>
          <w:rFonts w:asciiTheme="minorBidi" w:hAnsiTheme="minorBidi"/>
          <w:sz w:val="24"/>
          <w:szCs w:val="24"/>
        </w:rPr>
      </w:pPr>
    </w:p>
    <w:p w14:paraId="6698E55F" w14:textId="0C5C3FD2" w:rsidR="00931E93" w:rsidRPr="008E43AC" w:rsidRDefault="004B18CD" w:rsidP="004B18CD">
      <w:pPr>
        <w:spacing w:after="0" w:line="480" w:lineRule="auto"/>
        <w:rPr>
          <w:rFonts w:asciiTheme="minorBidi" w:hAnsiTheme="minorBidi"/>
          <w:sz w:val="24"/>
          <w:szCs w:val="24"/>
        </w:rPr>
      </w:pPr>
      <w:r>
        <w:rPr>
          <w:rFonts w:asciiTheme="minorBidi" w:hAnsiTheme="minorBidi"/>
          <w:b/>
          <w:bCs/>
          <w:sz w:val="24"/>
          <w:szCs w:val="24"/>
        </w:rPr>
        <w:t xml:space="preserve">Materials and </w:t>
      </w:r>
      <w:r w:rsidR="00931E93" w:rsidRPr="00DD154D">
        <w:rPr>
          <w:rFonts w:asciiTheme="minorBidi" w:hAnsiTheme="minorBidi"/>
          <w:b/>
          <w:bCs/>
          <w:sz w:val="24"/>
          <w:szCs w:val="24"/>
        </w:rPr>
        <w:t>Methods</w:t>
      </w:r>
      <w:r w:rsidR="00931E93" w:rsidRPr="008E43AC">
        <w:rPr>
          <w:rFonts w:asciiTheme="minorBidi" w:hAnsiTheme="minorBidi"/>
          <w:sz w:val="24"/>
          <w:szCs w:val="24"/>
        </w:rPr>
        <w:t>: A cohort from the National Diabetes Audit of England and Wales comprising 179,105 people with type 1 and 1,397,790 with type 2 diabetes, aged 17-99 years on 1</w:t>
      </w:r>
      <w:r w:rsidR="00931E93" w:rsidRPr="001F6EFC">
        <w:rPr>
          <w:rFonts w:asciiTheme="minorBidi" w:hAnsiTheme="minorBidi"/>
          <w:sz w:val="24"/>
          <w:szCs w:val="24"/>
          <w:vertAlign w:val="superscript"/>
        </w:rPr>
        <w:t>st</w:t>
      </w:r>
      <w:r w:rsidR="00931E93" w:rsidRPr="008E43AC">
        <w:rPr>
          <w:rFonts w:asciiTheme="minorBidi" w:hAnsiTheme="minorBidi"/>
          <w:sz w:val="24"/>
          <w:szCs w:val="24"/>
        </w:rPr>
        <w:t xml:space="preserve"> January 2009, diagnosed before 1</w:t>
      </w:r>
      <w:r w:rsidR="00931E93" w:rsidRPr="001F6EFC">
        <w:rPr>
          <w:rFonts w:asciiTheme="minorBidi" w:hAnsiTheme="minorBidi"/>
          <w:sz w:val="24"/>
          <w:szCs w:val="24"/>
          <w:vertAlign w:val="superscript"/>
        </w:rPr>
        <w:t>st</w:t>
      </w:r>
      <w:r w:rsidR="00931E93" w:rsidRPr="008E43AC">
        <w:rPr>
          <w:rFonts w:asciiTheme="minorBidi" w:hAnsiTheme="minorBidi"/>
          <w:sz w:val="24"/>
          <w:szCs w:val="24"/>
        </w:rPr>
        <w:t xml:space="preserve"> January 2009 and alive on 1</w:t>
      </w:r>
      <w:r w:rsidR="00931E93" w:rsidRPr="001F6EFC">
        <w:rPr>
          <w:rFonts w:asciiTheme="minorBidi" w:hAnsiTheme="minorBidi"/>
          <w:sz w:val="24"/>
          <w:szCs w:val="24"/>
          <w:vertAlign w:val="superscript"/>
        </w:rPr>
        <w:t>st</w:t>
      </w:r>
      <w:r w:rsidR="00931E93" w:rsidRPr="008E43AC">
        <w:rPr>
          <w:rFonts w:asciiTheme="minorBidi" w:hAnsiTheme="minorBidi"/>
          <w:sz w:val="24"/>
          <w:szCs w:val="24"/>
        </w:rPr>
        <w:t xml:space="preserve"> April 2013 was followed to 31</w:t>
      </w:r>
      <w:r w:rsidR="00931E93" w:rsidRPr="001F6EFC">
        <w:rPr>
          <w:rFonts w:asciiTheme="minorBidi" w:hAnsiTheme="minorBidi"/>
          <w:sz w:val="24"/>
          <w:szCs w:val="24"/>
          <w:vertAlign w:val="superscript"/>
        </w:rPr>
        <w:t>st</w:t>
      </w:r>
      <w:r w:rsidR="00931E93" w:rsidRPr="008E43AC">
        <w:rPr>
          <w:rFonts w:asciiTheme="minorBidi" w:hAnsiTheme="minorBidi"/>
          <w:sz w:val="24"/>
          <w:szCs w:val="24"/>
        </w:rPr>
        <w:t xml:space="preserve"> December 2019. Cox proportional hazards models adjusting for demographic characteristics, smoking, HbA</w:t>
      </w:r>
      <w:r w:rsidR="00931E93" w:rsidRPr="001F6EFC">
        <w:rPr>
          <w:rFonts w:asciiTheme="minorBidi" w:hAnsiTheme="minorBidi"/>
          <w:sz w:val="24"/>
          <w:szCs w:val="24"/>
          <w:vertAlign w:val="subscript"/>
        </w:rPr>
        <w:t>1c</w:t>
      </w:r>
      <w:r w:rsidR="00931E93" w:rsidRPr="008E43AC">
        <w:rPr>
          <w:rFonts w:asciiTheme="minorBidi" w:hAnsiTheme="minorBidi"/>
          <w:sz w:val="24"/>
          <w:szCs w:val="24"/>
        </w:rPr>
        <w:t>, BP, serum cholesterol, BMI, duration of diagnosis, eGFR, prior myocardial infarction, stroke, heart failure, respiratory disease and cancer, investigated whether care processes recorded 1</w:t>
      </w:r>
      <w:r w:rsidR="00931E93" w:rsidRPr="001F6EFC">
        <w:rPr>
          <w:rFonts w:asciiTheme="minorBidi" w:hAnsiTheme="minorBidi"/>
          <w:sz w:val="24"/>
          <w:szCs w:val="24"/>
          <w:vertAlign w:val="superscript"/>
        </w:rPr>
        <w:t>st</w:t>
      </w:r>
      <w:r w:rsidR="00931E93" w:rsidRPr="008E43AC">
        <w:rPr>
          <w:rFonts w:asciiTheme="minorBidi" w:hAnsiTheme="minorBidi"/>
          <w:sz w:val="24"/>
          <w:szCs w:val="24"/>
        </w:rPr>
        <w:t xml:space="preserve"> January 2009 to 31</w:t>
      </w:r>
      <w:r w:rsidR="00931E93" w:rsidRPr="001F6EFC">
        <w:rPr>
          <w:rFonts w:asciiTheme="minorBidi" w:hAnsiTheme="minorBidi"/>
          <w:sz w:val="24"/>
          <w:szCs w:val="24"/>
          <w:vertAlign w:val="superscript"/>
        </w:rPr>
        <w:t>st</w:t>
      </w:r>
      <w:r w:rsidR="00931E93" w:rsidRPr="008E43AC">
        <w:rPr>
          <w:rFonts w:asciiTheme="minorBidi" w:hAnsiTheme="minorBidi"/>
          <w:sz w:val="24"/>
          <w:szCs w:val="24"/>
        </w:rPr>
        <w:t xml:space="preserve"> March 2010 were associated with subsequent mortality.</w:t>
      </w:r>
    </w:p>
    <w:p w14:paraId="12A4683F" w14:textId="77777777" w:rsidR="00931E93" w:rsidRPr="008E43AC" w:rsidRDefault="00931E93" w:rsidP="004B18CD">
      <w:pPr>
        <w:spacing w:after="0" w:line="480" w:lineRule="auto"/>
        <w:rPr>
          <w:rFonts w:asciiTheme="minorBidi" w:hAnsiTheme="minorBidi"/>
          <w:sz w:val="24"/>
          <w:szCs w:val="24"/>
        </w:rPr>
      </w:pPr>
    </w:p>
    <w:p w14:paraId="48400098" w14:textId="77777777" w:rsidR="00931E93" w:rsidRPr="008E43AC" w:rsidRDefault="00931E93" w:rsidP="004B18CD">
      <w:pPr>
        <w:spacing w:after="0" w:line="480" w:lineRule="auto"/>
        <w:rPr>
          <w:rFonts w:asciiTheme="minorBidi" w:hAnsiTheme="minorBidi"/>
          <w:sz w:val="24"/>
          <w:szCs w:val="24"/>
        </w:rPr>
      </w:pPr>
      <w:r w:rsidRPr="00DD154D">
        <w:rPr>
          <w:rFonts w:asciiTheme="minorBidi" w:hAnsiTheme="minorBidi"/>
          <w:b/>
          <w:bCs/>
          <w:sz w:val="24"/>
          <w:szCs w:val="24"/>
        </w:rPr>
        <w:t>Results</w:t>
      </w:r>
      <w:r w:rsidRPr="008E43AC">
        <w:rPr>
          <w:rFonts w:asciiTheme="minorBidi" w:hAnsiTheme="minorBidi"/>
          <w:sz w:val="24"/>
          <w:szCs w:val="24"/>
        </w:rPr>
        <w:t xml:space="preserve">: Over a mean follow-up of 7.5 and 7.0 years there were 26,915 and 388,093 deaths in people with type 1 and type 2 diabetes respectively. Completion of five or less, compared to eight, care processes (retinal screening not included as data not reliable) had a mortality hazard ratio of 1.37 (95% CI 1.28 - 1.46) in people with type 1 and 1.32 (95% CI 1.30 - 1.35) in people with type 2 diabetes. The hazard ratio was higher for respiratory disease deaths and lower in South Asian ethnic groups. </w:t>
      </w:r>
    </w:p>
    <w:p w14:paraId="5A639A8A" w14:textId="77777777" w:rsidR="00931E93" w:rsidRPr="008E43AC" w:rsidRDefault="00931E93" w:rsidP="004B18CD">
      <w:pPr>
        <w:spacing w:after="0" w:line="480" w:lineRule="auto"/>
        <w:rPr>
          <w:rFonts w:asciiTheme="minorBidi" w:hAnsiTheme="minorBidi"/>
          <w:sz w:val="24"/>
          <w:szCs w:val="24"/>
        </w:rPr>
      </w:pPr>
    </w:p>
    <w:p w14:paraId="3A2C7960" w14:textId="6F82D7DD" w:rsidR="004B18CD" w:rsidRDefault="00931E93" w:rsidP="004B18CD">
      <w:pPr>
        <w:spacing w:after="0" w:line="480" w:lineRule="auto"/>
        <w:rPr>
          <w:rFonts w:asciiTheme="minorBidi" w:hAnsiTheme="minorBidi"/>
          <w:sz w:val="24"/>
          <w:szCs w:val="24"/>
        </w:rPr>
      </w:pPr>
      <w:r w:rsidRPr="00DD154D">
        <w:rPr>
          <w:rFonts w:asciiTheme="minorBidi" w:hAnsiTheme="minorBidi"/>
          <w:b/>
          <w:bCs/>
          <w:sz w:val="24"/>
          <w:szCs w:val="24"/>
        </w:rPr>
        <w:t>Conclusion</w:t>
      </w:r>
      <w:r w:rsidR="004B18CD">
        <w:rPr>
          <w:rFonts w:asciiTheme="minorBidi" w:hAnsiTheme="minorBidi"/>
          <w:b/>
          <w:bCs/>
          <w:sz w:val="24"/>
          <w:szCs w:val="24"/>
        </w:rPr>
        <w:t>s</w:t>
      </w:r>
      <w:r w:rsidRPr="008E43AC">
        <w:rPr>
          <w:rFonts w:asciiTheme="minorBidi" w:hAnsiTheme="minorBidi"/>
          <w:sz w:val="24"/>
          <w:szCs w:val="24"/>
        </w:rPr>
        <w:t>: People with diabetes who have fewer routine care processes have higher mortality. Further research is required into whether different approaches to care</w:t>
      </w:r>
      <w:r w:rsidR="00407E6B">
        <w:rPr>
          <w:rFonts w:asciiTheme="minorBidi" w:hAnsiTheme="minorBidi"/>
          <w:sz w:val="24"/>
          <w:szCs w:val="24"/>
        </w:rPr>
        <w:t xml:space="preserve"> might</w:t>
      </w:r>
      <w:r w:rsidRPr="008E43AC">
        <w:rPr>
          <w:rFonts w:asciiTheme="minorBidi" w:hAnsiTheme="minorBidi"/>
          <w:sz w:val="24"/>
          <w:szCs w:val="24"/>
        </w:rPr>
        <w:t xml:space="preserve"> improve outcomes for this high-risk group.</w:t>
      </w:r>
    </w:p>
    <w:p w14:paraId="6CB322D5" w14:textId="77777777" w:rsidR="004B18CD" w:rsidRDefault="004B18CD">
      <w:pPr>
        <w:rPr>
          <w:rFonts w:asciiTheme="minorBidi" w:hAnsiTheme="minorBidi"/>
          <w:sz w:val="24"/>
          <w:szCs w:val="24"/>
        </w:rPr>
      </w:pPr>
      <w:r>
        <w:rPr>
          <w:rFonts w:asciiTheme="minorBidi" w:hAnsiTheme="minorBidi"/>
          <w:sz w:val="24"/>
          <w:szCs w:val="24"/>
        </w:rPr>
        <w:br w:type="page"/>
      </w:r>
    </w:p>
    <w:p w14:paraId="522EA3D7" w14:textId="54A63FE8" w:rsidR="00931E93" w:rsidRPr="008E43AC" w:rsidRDefault="00931E93" w:rsidP="00CD134B">
      <w:pPr>
        <w:spacing w:line="480" w:lineRule="auto"/>
        <w:rPr>
          <w:rFonts w:asciiTheme="minorBidi" w:hAnsiTheme="minorBidi"/>
          <w:b/>
          <w:bCs/>
          <w:sz w:val="24"/>
          <w:szCs w:val="24"/>
        </w:rPr>
      </w:pPr>
      <w:r w:rsidRPr="008E43AC">
        <w:rPr>
          <w:rFonts w:asciiTheme="minorBidi" w:hAnsiTheme="minorBidi"/>
          <w:b/>
          <w:bCs/>
          <w:sz w:val="24"/>
          <w:szCs w:val="24"/>
        </w:rPr>
        <w:t>Introduction</w:t>
      </w:r>
    </w:p>
    <w:p w14:paraId="3F27A546" w14:textId="3CDAB3E0"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Optimal management of blood glucose, lipids and blood pressure reduces microvascular and macrovascular complications of diabetes</w:t>
      </w:r>
      <w:r w:rsidR="00054A9A">
        <w:rPr>
          <w:rFonts w:asciiTheme="minorBidi" w:hAnsiTheme="minorBidi"/>
          <w:sz w:val="24"/>
          <w:szCs w:val="24"/>
        </w:rPr>
        <w:t>.</w:t>
      </w:r>
      <w:r w:rsidR="00300456">
        <w:rPr>
          <w:rFonts w:asciiTheme="minorBidi" w:hAnsiTheme="minorBidi"/>
          <w:sz w:val="24"/>
          <w:szCs w:val="24"/>
        </w:rPr>
        <w:fldChar w:fldCharType="begin" w:fldLock="1"/>
      </w:r>
      <w:r w:rsidR="004B18CD">
        <w:rPr>
          <w:rFonts w:asciiTheme="minorBidi" w:hAnsiTheme="minorBidi"/>
          <w:sz w:val="24"/>
          <w:szCs w:val="24"/>
        </w:rPr>
        <w:instrText>ADDIN CSL_CITATION {"citationItems":[{"id":"ITEM-1","itemData":{"DOI":"10.1016/S0140-6736(98)07037-8","ISSN":"0140-6736","PMID":"9742977","abstract":"BACKGROUND In patients with type 2 diabetes, intensive blood-glucose control with insulin or sulphonylurea therapy decreases progression of microvascular disease and may also reduce the risk of heart attacks. This study investigated whether intensive glucose control with metformin has any specific advantage or disadvantage. METHODS Of 4075 patients recruited to UKPDS in 15 centres, 1704 overweight (&gt;120% ideal bodyweight) patients with newly diagnosed type 2 diabetes, mean age 53 years, had raised fasting plasma glucose (FPG; 6.1-15.0 mmol/L) without hyperglycaemic symptoms after 3 months' initial diet. 753 were included in a randomised controlled trial, median duration 10.7 years, of conventional policy, primarily with diet alone (n=411) versus intensive blood-glucose control policy with metformin, aiming for FPG below 6 mmol/L (n=342). A secondary analysis compared the 342 patients allocated metformin with 951 overweight patients allocated intensive blood-glucose control with chlorpropamide (n=265), glibenclamide (n=277), or insulin (n=409). The primary outcome measures were aggregates of any diabetes-related clinical endpoint, diabetes-related death, and all-cause mortality. In a supplementary randomised controlled trial, 537 non-overweight and overweight patients, mean age 59 years, who were already on maximum sulphonylurea therapy but had raised FPG (6.1-15.0 mmol/L) were allocated continuing sulphonylurea therapy alone (n=269) or addition of metformin (n=268). FINDINGS Median glycated haemoglobin (HbA1c) was 7.4% in the metformin group compared with 8.0% in the conventional group. Patients allocated metformin, compared with the conventional group, had risk reductions of 32% (95% CI 13-47, p=0.002) for any diabetes-related endpoint, 42% for diabetes-related death (9-63, p=0.017), and 36% for all-cause mortality (9-55, p=0.011). Among patients allocated intensive blood-glucose control, metformin showed a greater effect than chlorpropamide, glibenclamide, or insulin for any diabetes-related endpoint (p=0.0034), all-cause mortality (p=0.021), and stroke (p=0.032). Early addition of metformin in sulphonylurea-treated patients was associated with an increased risk of diabetes-related death (96% increased risk [95% CI 2-275], p=0.039) compared with continued sulphonylurea alone. A combined analysis of the main and supplementary studies showed fewer metformin-allocated patients having diabetes-related endpoints (risk reduction 19% [2-33], p=0.033). Epidem…","author":[{"dropping-particle":"","family":"UK Prospective Diabetes Study (UKPDS) Group","given":"","non-dropping-particle":"","parse-names":false,"suffix":""}],"container-title":"Lancet (London, England)","id":"ITEM-1","issue":"9131","issued":{"date-parts":[["1998","9","12"]]},"page":"854-865","publisher":"Elsevier Limited","title":"Effect of intensive blood-glucose control with metformin on complications in overweight patients with type 2 diabetes (UKPDS 34). UK Prospective Diabetes Study (UKPDS) Group.","type":"article-journal","volume":"352"},"uris":["http://www.mendeley.com/documents/?uuid=8c1415e4-50f4-37fe-9bc4-7bd690f792a9"]},{"id":"ITEM-2","itemData":{"DOI":"10.1016/S0140-6736(12)60367-5","ISSN":"1474-547X","PMID":"22607822","abstract":"BACKGROUND Statins reduce LDL cholesterol and prevent vascular events, but their net effects in people at low risk of vascular events remain uncertain. METHODS This meta-analysis included individual participant data from 22 trials of statin versus control (n=134,537; mean LDL cholesterol difference 1·08 mmol/L; median follow-up 4·8 years) and five trials of more versus less statin (n=39,612; difference 0·51 mmol/L; 5·1 years). Major vascular events were major coronary events (ie, non-fatal myocardial infarction or coronary death), strokes, or coronary revascularisations. Participants were separated into five categories of baseline 5-year major vascular event risk on</w:instrText>
      </w:r>
      <w:r w:rsidR="004B18CD">
        <w:rPr>
          <w:rFonts w:asciiTheme="minorBidi" w:hAnsiTheme="minorBidi" w:hint="eastAsia"/>
          <w:sz w:val="24"/>
          <w:szCs w:val="24"/>
        </w:rPr>
        <w:instrText xml:space="preserve"> control therapy (no statin or low-intensity statin) (&lt;5%, </w:instrText>
      </w:r>
      <w:r w:rsidR="004B18CD">
        <w:rPr>
          <w:rFonts w:asciiTheme="minorBidi" w:hAnsiTheme="minorBidi" w:hint="eastAsia"/>
          <w:sz w:val="24"/>
          <w:szCs w:val="24"/>
        </w:rPr>
        <w:instrText>≥</w:instrText>
      </w:r>
      <w:r w:rsidR="004B18CD">
        <w:rPr>
          <w:rFonts w:asciiTheme="minorBidi" w:hAnsiTheme="minorBidi" w:hint="eastAsia"/>
          <w:sz w:val="24"/>
          <w:szCs w:val="24"/>
        </w:rPr>
        <w:instrText xml:space="preserve">5% to &lt;10%, </w:instrText>
      </w:r>
      <w:r w:rsidR="004B18CD">
        <w:rPr>
          <w:rFonts w:asciiTheme="minorBidi" w:hAnsiTheme="minorBidi" w:hint="eastAsia"/>
          <w:sz w:val="24"/>
          <w:szCs w:val="24"/>
        </w:rPr>
        <w:instrText>≥</w:instrText>
      </w:r>
      <w:r w:rsidR="004B18CD">
        <w:rPr>
          <w:rFonts w:asciiTheme="minorBidi" w:hAnsiTheme="minorBidi" w:hint="eastAsia"/>
          <w:sz w:val="24"/>
          <w:szCs w:val="24"/>
        </w:rPr>
        <w:instrText xml:space="preserve">10% to &lt;20%, </w:instrText>
      </w:r>
      <w:r w:rsidR="004B18CD">
        <w:rPr>
          <w:rFonts w:asciiTheme="minorBidi" w:hAnsiTheme="minorBidi" w:hint="eastAsia"/>
          <w:sz w:val="24"/>
          <w:szCs w:val="24"/>
        </w:rPr>
        <w:instrText>≥</w:instrText>
      </w:r>
      <w:r w:rsidR="004B18CD">
        <w:rPr>
          <w:rFonts w:asciiTheme="minorBidi" w:hAnsiTheme="minorBidi" w:hint="eastAsia"/>
          <w:sz w:val="24"/>
          <w:szCs w:val="24"/>
        </w:rPr>
        <w:instrText xml:space="preserve">20% to &lt;30%, </w:instrText>
      </w:r>
      <w:r w:rsidR="004B18CD">
        <w:rPr>
          <w:rFonts w:asciiTheme="minorBidi" w:hAnsiTheme="minorBidi" w:hint="eastAsia"/>
          <w:sz w:val="24"/>
          <w:szCs w:val="24"/>
        </w:rPr>
        <w:instrText>≥</w:instrText>
      </w:r>
      <w:r w:rsidR="004B18CD">
        <w:rPr>
          <w:rFonts w:asciiTheme="minorBidi" w:hAnsiTheme="minorBidi" w:hint="eastAsia"/>
          <w:sz w:val="24"/>
          <w:szCs w:val="24"/>
        </w:rPr>
        <w:instrText>30%); in each, the rate ratio (RR) per 1</w:instrText>
      </w:r>
      <w:r w:rsidR="004B18CD">
        <w:rPr>
          <w:rFonts w:asciiTheme="minorBidi" w:hAnsiTheme="minorBidi" w:hint="eastAsia"/>
          <w:sz w:val="24"/>
          <w:szCs w:val="24"/>
        </w:rPr>
        <w:instrText>·</w:instrText>
      </w:r>
      <w:r w:rsidR="004B18CD">
        <w:rPr>
          <w:rFonts w:asciiTheme="minorBidi" w:hAnsiTheme="minorBidi" w:hint="eastAsia"/>
          <w:sz w:val="24"/>
          <w:szCs w:val="24"/>
        </w:rPr>
        <w:instrText>0 mmol/L LDL cholesterol reduction was estimated. FINDINGS Reduction of LDL cholesterol with a statin reduced the</w:instrText>
      </w:r>
      <w:r w:rsidR="004B18CD">
        <w:rPr>
          <w:rFonts w:asciiTheme="minorBidi" w:hAnsiTheme="minorBidi"/>
          <w:sz w:val="24"/>
          <w:szCs w:val="24"/>
        </w:rPr>
        <w:instrText xml:space="preserve"> risk of major vascular events (RR 0·79, 95% CI 0·77-0·81, per 1·0 mmol/L reduction), largely irrespective of age, sex, baseline LDL cholesterol or previous vascular disease, and of vascular and all-cause mortality. The proportional reduction in major vascular events was at least as big in the two lowest risk categories as in the higher risk categories (RR per 1·0 mmol/L reduction from lowest to highest risk: 0·62 [99% CI 0·47-0·81], 0·69 [99% CI 0·60-0·79], 0·79 [99% CI 0·74-0·85], 0·81 [99% CI 0·77-0·86], and 0·79 [99% CI 0·74-0·84]; trend p=0·04), which reflected significant reductions in these two lowest risk categories in major coronary events (RR 0·57, 99% CI 0·36-0·89, p=0·0012, and 0·61, 99% CI 0·50-0·74, p&lt;0·0001) and in coronary revascularisations (RR 0·52, 99% CI 0·35-0·75, and 0·63, 99% CI 0·51-0·79; both p&lt;0·0001). For stroke, the reduction in risk in participants with 5-year risk of major vascular events lower than 10% (RR per 1·0 mmol/L LDL cholesterol reduction 0·76, 99% CI 0·61-0·95, p=0·0012) was also similar to that seen in higher risk categories (trend p=0·3). In participants without a history of vascular disease, statins reduced the risks of vascular (RR per 1·0 mmol/L LDL cholesterol reduction 0·85, 95% CI 0·77-0·95) and all-cause mortality (RR 0·91, 95% CI 0·85-0·97), and the proportional reductions were similar by baseline risk. There was no evidence that reduction of LDL cholesterol with a statin increased cancer incidence (RR per 1·0 mmol/L LDL cholesterol reduction 1·00, 95% CI 0·96-1·04), cancer mortality (RR 0·99,…","author":[{"dropping-particle":"","family":"Cholesterol Treatment Trialists' (CTT) Collaborators","given":"","non-dropping-particle":"","parse-names":false,"suffix":""},{"dropping-particle":"","family":"Mihaylova","given":"B","non-dropping-particle":"","parse-names":false,"suffix":""},{"dropping-particle":"","family":"Emberson","given":"J","non-dropping-particle":"","parse-names":false,"suffix":""},{"dropping-particle":"","family":"Blackwell","given":"L","non-dropping-particle":"","parse-names":false,"suffix":""},{"dropping-particle":"","family":"Keech","given":"A","non-dropping-particle":"","parse-names":false,"suffix":""},{"dropping-particle":"","family":"Simes","given":"J","non-dropping-particle":"","parse-names":false,"suffix":""},{"dropping-particle":"","family":"Barnes","given":"E H","non-dropping-particle":"","parse-names":false,"suffix":""},{"dropping-particle":"","family":"Voysey","given":"M","non-dropping-particle":"","parse-names":false,"suffix":""},{"dropping-particle":"","family":"Gray","given":"A","non-dropping-particle":"","parse-names":false,"suffix":""},{"dropping-particle":"","family":"Collins","given":"R","non-dropping-particle":"","parse-names":false,"suffix":""},{"dropping-particle":"","family":"Baigent","given":"C","non-dropping-particle":"","parse-names":false,"suffix":""}],"container-title":"Lancet (London, England)","id":"ITEM-2","issue":"9841","issued":{"date-parts":[["2012","8","11"]]},"page":"581-590","title":"The effects of lowering LDL cholesterol with statin therapy in people at low risk of vascular disease: meta-analysis of individual data from 27 randomised trials.","type":"article-journal","volume":"380"},"uris":["http://www.mendeley.com/documents/?uuid=bc816595-73ef-30b5-b82d-f16493a290a6"]},{"id":"ITEM-3","itemData":{"DOI":"10.2337/dci17-0026","ISSN":"0149-5992","PMID":"28830958","author":[{"dropping-particle":"","family":"Boer","given":"Ian H.","non-dropping-particle":"de","parse-names":false,"suffix":""},{"dropping-particle":"","family":"Bangalore","given":"Sripal","non-dropping-particle":"","parse-names":false,"suffix":""},{"dropping-particle":"","family":"Benetos","given":"Athanase","non-dropping-particle":"","parse-names":false,"suffix":""},{"dropping-particle":"","family":"Davis","given":"Andrew M.","non-dropping-particle":"","parse-names":false,"suffix":""},{"dropping-particle":"","family":"Michos","given":"Erin D.","non-dropping-particle":"","parse-names":false,"suffix":""},{"dropping-particle":"","family":"Muntner","given":"Paul","non-dropping-particle":"","parse-names":false,"suffix":""},{"dropping-particle":"","family":"Rossing","given":"Peter","non-dropping-particle":"","parse-names":false,"suffix":""},{"dropping-particle":"","family":"Zoungas","given":"Sophia","non-dropping-particle":"","parse-names":false,"suffix":""},{"dropping-particle":"","family":"Bakris","given":"George","non-dropping-particle":"","parse-names":false,"suffix":""}],"container-title":"Diabetes Care","id":"ITEM-3","issue":"9","issued":{"date-parts":[["2017","9","22"]]},"page":"1273-1284","publisher":"American Diabetes Association Inc.","title":"Diabetes and Hypertension: A Position Statement by the American Diabetes Association","type":"article-journal","volume":"40"},"uris":["http://www.mendeley.com/documents/?uuid=cc9648e0-d816-303c-a74a-88672736ecfe"]}],"mendeley":{"formattedCitation":"&lt;sup&gt;1–3&lt;/sup&gt;","plainTextFormattedCitation":"1–3","previouslyFormattedCitation":"&lt;sup&gt;1–3&lt;/sup&gt;"},"properties":{"noteIndex":0},"schema":"https://github.com/citation-style-language/schema/raw/master/csl-citation.json"}</w:instrText>
      </w:r>
      <w:r w:rsidR="00300456">
        <w:rPr>
          <w:rFonts w:asciiTheme="minorBidi" w:hAnsiTheme="minorBidi"/>
          <w:sz w:val="24"/>
          <w:szCs w:val="24"/>
        </w:rPr>
        <w:fldChar w:fldCharType="separate"/>
      </w:r>
      <w:r w:rsidR="004B18CD" w:rsidRPr="004B18CD">
        <w:rPr>
          <w:rFonts w:asciiTheme="minorBidi" w:hAnsiTheme="minorBidi"/>
          <w:noProof/>
          <w:sz w:val="24"/>
          <w:szCs w:val="24"/>
          <w:vertAlign w:val="superscript"/>
        </w:rPr>
        <w:t>1–3</w:t>
      </w:r>
      <w:r w:rsidR="00300456">
        <w:rPr>
          <w:rFonts w:asciiTheme="minorBidi" w:hAnsiTheme="minorBidi"/>
          <w:sz w:val="24"/>
          <w:szCs w:val="24"/>
        </w:rPr>
        <w:fldChar w:fldCharType="end"/>
      </w:r>
      <w:r w:rsidRPr="008E43AC">
        <w:rPr>
          <w:rFonts w:asciiTheme="minorBidi" w:hAnsiTheme="minorBidi"/>
          <w:sz w:val="24"/>
          <w:szCs w:val="24"/>
        </w:rPr>
        <w:t xml:space="preserve"> Accordingly, measurement and management of HbA</w:t>
      </w:r>
      <w:r w:rsidRPr="00B62A1E">
        <w:rPr>
          <w:rFonts w:asciiTheme="minorBidi" w:hAnsiTheme="minorBidi"/>
          <w:sz w:val="24"/>
          <w:szCs w:val="24"/>
          <w:vertAlign w:val="subscript"/>
        </w:rPr>
        <w:t>1c</w:t>
      </w:r>
      <w:r w:rsidRPr="008E43AC">
        <w:rPr>
          <w:rFonts w:asciiTheme="minorBidi" w:hAnsiTheme="minorBidi"/>
          <w:sz w:val="24"/>
          <w:szCs w:val="24"/>
        </w:rPr>
        <w:t>, blood pressure and lipid profile are at the centre of national and international diabetes care guidelines</w:t>
      </w:r>
      <w:r w:rsidR="00054A9A">
        <w:rPr>
          <w:rFonts w:asciiTheme="minorBidi" w:hAnsiTheme="minorBidi"/>
          <w:sz w:val="24"/>
          <w:szCs w:val="24"/>
        </w:rPr>
        <w:t>.</w:t>
      </w:r>
      <w:r w:rsidR="00D06CB1">
        <w:rPr>
          <w:rFonts w:asciiTheme="minorBidi" w:hAnsiTheme="minorBidi"/>
          <w:sz w:val="24"/>
          <w:szCs w:val="24"/>
        </w:rPr>
        <w:fldChar w:fldCharType="begin" w:fldLock="1"/>
      </w:r>
      <w:r w:rsidR="004B18CD">
        <w:rPr>
          <w:rFonts w:asciiTheme="minorBidi" w:hAnsiTheme="minorBidi"/>
          <w:sz w:val="24"/>
          <w:szCs w:val="24"/>
        </w:rPr>
        <w:instrText>ADDIN CSL_CITATION {"citationItems":[{"id":"ITEM-1","itemData":{"URL":"https://www.nice.org.uk/guidance/ng17","accessed":{"date-parts":[["2019","3","20"]]},"id":"ITEM-1","issued":{"date-parts":[["0"]]},"publisher":"NICE","title":"Type 1 diabetes in adults: diagnosis and management, NICE guideline (NG17)","type":"webpage"},"uris":["http://www.mendeley.com/documents/?uuid=90dffade-6a82-3558-812d-44a2c2fa93a5"]},{"id":"ITEM-2","itemData":{"URL":"https://www.nice.org.uk/guidance/ng28","accessed":{"date-parts":[["2019","8","16"]]},"id":"ITEM-2","issued":{"date-parts":[["0"]]},"publisher":"NICE","title":"Type 2 diabetes in adults: management NICE guideline","type":"webpage"},"uris":["http://www.mendeley.com/documents/?uuid=f17da8df-ea4f-3a42-8dd8-1b844553c674"]},{"id":"ITEM-3","itemData":{"URL":"https://www.idf.org/e-library/guidelines/79-global-guideline-for-type-2-diabetes","accessed":{"date-parts":[["2019","3","25"]]},"id":"ITEM-3","issued":{"date-parts":[["2017"]]},"title":"IDF Global Guideline for Type 2 Diabetes","type":"webpage"},"uris":["http://www.mendeley.com/documents/?uuid=af30a7c2-5aa4-3ba7-af79-d0eea0e8757f"]},{"id":"ITEM-4","itemData":{"DOI":"10.2337/dc17-S006","ISSN":"0149-5992","PMID":"27979890","abstract":"Recommendation A patient-centered communication style that uses active listening, elicits patient preferences and beliefs, and assesses literacy, numeracy, and potential barriers to care should be used to optimize patient health outcomes and health-related quality of life. B","author":[{"dropping-particle":"","family":"American Diabetes Association","given":"","non-dropping-particle":"","parse-names":false,"suffix":""}],"container-title":"Diabetes Care","id":"ITEM-4","issue":"Supplement 1","issued":{"date-parts":[["2017","1","1"]]},"page":"S25-S32","publisher":"American Diabetes Association Inc.","title":"3. Comprehensive Medical Evaluation and Assessment of Comorbidities","type":"article-journal","volume":"40"},"uris":["http://www.mendeley.com/documents/?uuid=03586ac8-793b-339d-a1ca-4b1b27e7936c"]}],"mendeley":{"formattedCitation":"&lt;sup&gt;4–7&lt;/sup&gt;","plainTextFormattedCitation":"4–7","previouslyFormattedCitation":"&lt;sup&gt;4–7&lt;/sup&gt;"},"properties":{"noteIndex":0},"schema":"https://github.com/citation-style-language/schema/raw/master/csl-citation.json"}</w:instrText>
      </w:r>
      <w:r w:rsidR="00D06CB1">
        <w:rPr>
          <w:rFonts w:asciiTheme="minorBidi" w:hAnsiTheme="minorBidi"/>
          <w:sz w:val="24"/>
          <w:szCs w:val="24"/>
        </w:rPr>
        <w:fldChar w:fldCharType="separate"/>
      </w:r>
      <w:r w:rsidR="004B18CD" w:rsidRPr="004B18CD">
        <w:rPr>
          <w:rFonts w:asciiTheme="minorBidi" w:hAnsiTheme="minorBidi"/>
          <w:noProof/>
          <w:sz w:val="24"/>
          <w:szCs w:val="24"/>
          <w:vertAlign w:val="superscript"/>
        </w:rPr>
        <w:t>4–7</w:t>
      </w:r>
      <w:r w:rsidR="00D06CB1">
        <w:rPr>
          <w:rFonts w:asciiTheme="minorBidi" w:hAnsiTheme="minorBidi"/>
          <w:sz w:val="24"/>
          <w:szCs w:val="24"/>
        </w:rPr>
        <w:fldChar w:fldCharType="end"/>
      </w:r>
      <w:r w:rsidRPr="008E43AC">
        <w:rPr>
          <w:rFonts w:asciiTheme="minorBidi" w:hAnsiTheme="minorBidi"/>
          <w:sz w:val="24"/>
          <w:szCs w:val="24"/>
        </w:rPr>
        <w:t xml:space="preserve"> Regular review of these and other risk factors for complications, including weight and smoking habit are recommended, as are early detection of kidney, foot and eye disease.</w:t>
      </w:r>
    </w:p>
    <w:p w14:paraId="6EFC4053" w14:textId="77777777" w:rsidR="00931E93" w:rsidRPr="008E43AC" w:rsidRDefault="00931E93" w:rsidP="008E43AC">
      <w:pPr>
        <w:spacing w:after="0" w:line="480" w:lineRule="auto"/>
        <w:rPr>
          <w:rFonts w:asciiTheme="minorBidi" w:hAnsiTheme="minorBidi"/>
          <w:sz w:val="24"/>
          <w:szCs w:val="24"/>
        </w:rPr>
      </w:pPr>
    </w:p>
    <w:p w14:paraId="5E3C9E72" w14:textId="5CB15D8F"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In England the National Institute for Health and Clinical Excellence (NICE) recommends that people with type 1 diabetes</w:t>
      </w:r>
      <w:r w:rsidR="00D06CB1">
        <w:rPr>
          <w:rFonts w:asciiTheme="minorBidi" w:hAnsiTheme="minorBidi"/>
          <w:sz w:val="24"/>
          <w:szCs w:val="24"/>
        </w:rPr>
        <w:fldChar w:fldCharType="begin" w:fldLock="1"/>
      </w:r>
      <w:r w:rsidR="004B18CD">
        <w:rPr>
          <w:rFonts w:asciiTheme="minorBidi" w:hAnsiTheme="minorBidi"/>
          <w:sz w:val="24"/>
          <w:szCs w:val="24"/>
        </w:rPr>
        <w:instrText>ADDIN CSL_CITATION {"citationItems":[{"id":"ITEM-1","itemData":{"URL":"https://www.nice.org.uk/guidance/ng17","accessed":{"date-parts":[["2019","3","20"]]},"id":"ITEM-1","issued":{"date-parts":[["0"]]},"publisher":"NICE","title":"Type 1 diabetes in adults: diagnosis and management, NICE guideline (NG17)","type":"webpage"},"uris":["http://www.mendeley.com/documents/?uuid=90dffade-6a82-3558-812d-44a2c2fa93a5"]}],"mendeley":{"formattedCitation":"&lt;sup&gt;4&lt;/sup&gt;","plainTextFormattedCitation":"4","previouslyFormattedCitation":"&lt;sup&gt;4&lt;/sup&gt;"},"properties":{"noteIndex":0},"schema":"https://github.com/citation-style-language/schema/raw/master/csl-citation.json"}</w:instrText>
      </w:r>
      <w:r w:rsidR="00D06CB1">
        <w:rPr>
          <w:rFonts w:asciiTheme="minorBidi" w:hAnsiTheme="minorBidi"/>
          <w:sz w:val="24"/>
          <w:szCs w:val="24"/>
        </w:rPr>
        <w:fldChar w:fldCharType="separate"/>
      </w:r>
      <w:r w:rsidR="004B18CD" w:rsidRPr="004B18CD">
        <w:rPr>
          <w:rFonts w:asciiTheme="minorBidi" w:hAnsiTheme="minorBidi"/>
          <w:noProof/>
          <w:sz w:val="24"/>
          <w:szCs w:val="24"/>
          <w:vertAlign w:val="superscript"/>
        </w:rPr>
        <w:t>4</w:t>
      </w:r>
      <w:r w:rsidR="00D06CB1">
        <w:rPr>
          <w:rFonts w:asciiTheme="minorBidi" w:hAnsiTheme="minorBidi"/>
          <w:sz w:val="24"/>
          <w:szCs w:val="24"/>
        </w:rPr>
        <w:fldChar w:fldCharType="end"/>
      </w:r>
      <w:r w:rsidRPr="008E43AC">
        <w:rPr>
          <w:rFonts w:asciiTheme="minorBidi" w:hAnsiTheme="minorBidi"/>
          <w:sz w:val="24"/>
          <w:szCs w:val="24"/>
        </w:rPr>
        <w:t xml:space="preserve"> and type 2 diabetes</w:t>
      </w:r>
      <w:r w:rsidR="00D06CB1">
        <w:rPr>
          <w:rFonts w:asciiTheme="minorBidi" w:hAnsiTheme="minorBidi"/>
          <w:sz w:val="24"/>
          <w:szCs w:val="24"/>
        </w:rPr>
        <w:fldChar w:fldCharType="begin" w:fldLock="1"/>
      </w:r>
      <w:r w:rsidR="004B18CD">
        <w:rPr>
          <w:rFonts w:asciiTheme="minorBidi" w:hAnsiTheme="minorBidi"/>
          <w:sz w:val="24"/>
          <w:szCs w:val="24"/>
        </w:rPr>
        <w:instrText>ADDIN CSL_CITATION {"citationItems":[{"id":"ITEM-1","itemData":{"URL":"https://www.nice.org.uk/guidance/ng28","accessed":{"date-parts":[["2019","8","16"]]},"id":"ITEM-1","issued":{"date-parts":[["0"]]},"publisher":"NICE","title":"Type 2 diabetes in adults: management NICE guideline","type":"webpage"},"uris":["http://www.mendeley.com/documents/?uuid=f17da8df-ea4f-3a42-8dd8-1b844553c674"]}],"mendeley":{"formattedCitation":"&lt;sup&gt;5&lt;/sup&gt;","plainTextFormattedCitation":"5","previouslyFormattedCitation":"&lt;sup&gt;5&lt;/sup&gt;"},"properties":{"noteIndex":0},"schema":"https://github.com/citation-style-language/schema/raw/master/csl-citation.json"}</w:instrText>
      </w:r>
      <w:r w:rsidR="00D06CB1">
        <w:rPr>
          <w:rFonts w:asciiTheme="minorBidi" w:hAnsiTheme="minorBidi"/>
          <w:sz w:val="24"/>
          <w:szCs w:val="24"/>
        </w:rPr>
        <w:fldChar w:fldCharType="separate"/>
      </w:r>
      <w:r w:rsidR="004B18CD" w:rsidRPr="004B18CD">
        <w:rPr>
          <w:rFonts w:asciiTheme="minorBidi" w:hAnsiTheme="minorBidi"/>
          <w:noProof/>
          <w:sz w:val="24"/>
          <w:szCs w:val="24"/>
          <w:vertAlign w:val="superscript"/>
        </w:rPr>
        <w:t>5</w:t>
      </w:r>
      <w:r w:rsidR="00D06CB1">
        <w:rPr>
          <w:rFonts w:asciiTheme="minorBidi" w:hAnsiTheme="minorBidi"/>
          <w:sz w:val="24"/>
          <w:szCs w:val="24"/>
        </w:rPr>
        <w:fldChar w:fldCharType="end"/>
      </w:r>
      <w:r w:rsidRPr="008E43AC">
        <w:rPr>
          <w:rFonts w:asciiTheme="minorBidi" w:hAnsiTheme="minorBidi"/>
          <w:sz w:val="24"/>
          <w:szCs w:val="24"/>
        </w:rPr>
        <w:t xml:space="preserve"> are offered nine annual processes (measurement of HbA</w:t>
      </w:r>
      <w:r w:rsidRPr="00B62A1E">
        <w:rPr>
          <w:rFonts w:asciiTheme="minorBidi" w:hAnsiTheme="minorBidi"/>
          <w:sz w:val="24"/>
          <w:szCs w:val="24"/>
          <w:vertAlign w:val="subscript"/>
        </w:rPr>
        <w:t>1c</w:t>
      </w:r>
      <w:r w:rsidRPr="008E43AC">
        <w:rPr>
          <w:rFonts w:asciiTheme="minorBidi" w:hAnsiTheme="minorBidi"/>
          <w:sz w:val="24"/>
          <w:szCs w:val="24"/>
        </w:rPr>
        <w:t>, lipids, creatinine, albuminuria, blood pressure and body mass index, ascertainment of smoking status, and examination of the feet and retinae) and their completion has been incentivised in primary care</w:t>
      </w:r>
      <w:r w:rsidR="00054A9A">
        <w:rPr>
          <w:rFonts w:asciiTheme="minorBidi" w:hAnsiTheme="minorBidi"/>
          <w:sz w:val="24"/>
          <w:szCs w:val="24"/>
        </w:rPr>
        <w:t>.</w:t>
      </w:r>
      <w:r w:rsidR="00D06CB1">
        <w:rPr>
          <w:rFonts w:asciiTheme="minorBidi" w:hAnsiTheme="minorBidi"/>
          <w:sz w:val="24"/>
          <w:szCs w:val="24"/>
        </w:rPr>
        <w:fldChar w:fldCharType="begin" w:fldLock="1"/>
      </w:r>
      <w:r w:rsidR="004B18CD">
        <w:rPr>
          <w:rFonts w:asciiTheme="minorBidi" w:hAnsiTheme="minorBidi"/>
          <w:sz w:val="24"/>
          <w:szCs w:val="24"/>
        </w:rPr>
        <w:instrText>ADDIN CSL_CITATION {"citationItems":[{"id":"ITEM-1","itemData":{"URL":"https://digital.nhs.uk/data-and-information/data-tools-and-services/data-services/general-practice-data-hub/quality-outcomes-framework-qof","accessed":{"date-parts":[["2020","1","17"]]},"container-title":"2020","id":"ITEM-1","issued":{"date-parts":[["0"]]},"title":"Quality Outcomes Framework (QOF) - NHS Digital","type":"webpage"},"uris":["http://www.mendeley.com/documents/?uuid=d9e08756-3458-3817-bd7d-a97e51dd0bba"]}],"mendeley":{"formattedCitation":"&lt;sup&gt;8&lt;/sup&gt;","plainTextFormattedCitation":"8","previouslyFormattedCitation":"&lt;sup&gt;8&lt;/sup&gt;"},"properties":{"noteIndex":0},"schema":"https://github.com/citation-style-language/schema/raw/master/csl-citation.json"}</w:instrText>
      </w:r>
      <w:r w:rsidR="00D06CB1">
        <w:rPr>
          <w:rFonts w:asciiTheme="minorBidi" w:hAnsiTheme="minorBidi"/>
          <w:sz w:val="24"/>
          <w:szCs w:val="24"/>
        </w:rPr>
        <w:fldChar w:fldCharType="separate"/>
      </w:r>
      <w:r w:rsidR="004B18CD" w:rsidRPr="004B18CD">
        <w:rPr>
          <w:rFonts w:asciiTheme="minorBidi" w:hAnsiTheme="minorBidi"/>
          <w:noProof/>
          <w:sz w:val="24"/>
          <w:szCs w:val="24"/>
          <w:vertAlign w:val="superscript"/>
        </w:rPr>
        <w:t>8</w:t>
      </w:r>
      <w:r w:rsidR="00D06CB1">
        <w:rPr>
          <w:rFonts w:asciiTheme="minorBidi" w:hAnsiTheme="minorBidi"/>
          <w:sz w:val="24"/>
          <w:szCs w:val="24"/>
        </w:rPr>
        <w:fldChar w:fldCharType="end"/>
      </w:r>
      <w:r w:rsidRPr="008E43AC">
        <w:rPr>
          <w:rFonts w:asciiTheme="minorBidi" w:hAnsiTheme="minorBidi"/>
          <w:sz w:val="24"/>
          <w:szCs w:val="24"/>
        </w:rPr>
        <w:t xml:space="preserve"> Most international guidelines also stress the importance of these care processes. However, </w:t>
      </w:r>
      <w:r w:rsidR="007C3083">
        <w:rPr>
          <w:rFonts w:asciiTheme="minorBidi" w:hAnsiTheme="minorBidi"/>
          <w:sz w:val="24"/>
          <w:szCs w:val="24"/>
        </w:rPr>
        <w:t>whilst</w:t>
      </w:r>
      <w:r w:rsidRPr="008E43AC">
        <w:rPr>
          <w:rFonts w:asciiTheme="minorBidi" w:hAnsiTheme="minorBidi"/>
          <w:sz w:val="24"/>
          <w:szCs w:val="24"/>
        </w:rPr>
        <w:t xml:space="preserve"> their regular completion might seem intuitively sensible, the level of evidence to support the guidelines, including their effect on clinical outcomes, is usually not known or rated at the lowest standard of evidence </w:t>
      </w:r>
      <w:r w:rsidR="004129E7">
        <w:rPr>
          <w:rFonts w:asciiTheme="minorBidi" w:hAnsiTheme="minorBidi"/>
          <w:sz w:val="24"/>
          <w:szCs w:val="24"/>
        </w:rPr>
        <w:t>(</w:t>
      </w:r>
      <w:r w:rsidRPr="008E43AC">
        <w:rPr>
          <w:rFonts w:asciiTheme="minorBidi" w:hAnsiTheme="minorBidi"/>
          <w:sz w:val="24"/>
          <w:szCs w:val="24"/>
        </w:rPr>
        <w:t>“expert consensus” or “clinical experience”</w:t>
      </w:r>
      <w:r w:rsidR="004129E7">
        <w:rPr>
          <w:rFonts w:asciiTheme="minorBidi" w:hAnsiTheme="minorBidi"/>
          <w:sz w:val="24"/>
          <w:szCs w:val="24"/>
        </w:rPr>
        <w:t>)</w:t>
      </w:r>
      <w:r w:rsidR="00054A9A">
        <w:rPr>
          <w:rFonts w:asciiTheme="minorBidi" w:hAnsiTheme="minorBidi"/>
          <w:sz w:val="24"/>
          <w:szCs w:val="24"/>
        </w:rPr>
        <w:t>.</w:t>
      </w:r>
      <w:r w:rsidR="00D06CB1">
        <w:rPr>
          <w:rFonts w:asciiTheme="minorBidi" w:hAnsiTheme="minorBidi"/>
          <w:sz w:val="24"/>
          <w:szCs w:val="24"/>
        </w:rPr>
        <w:fldChar w:fldCharType="begin" w:fldLock="1"/>
      </w:r>
      <w:r w:rsidR="004B18CD">
        <w:rPr>
          <w:rFonts w:asciiTheme="minorBidi" w:hAnsiTheme="minorBidi"/>
          <w:sz w:val="24"/>
          <w:szCs w:val="24"/>
        </w:rPr>
        <w:instrText>ADDIN CSL_CITATION {"citationItems":[{"id":"ITEM-1","itemData":{"DOI":"10.2337/dc17-S006","ISSN":"0149-5992","PMID":"27979890","abstract":"Recommendation A patient-centered communication style that uses active listening, elicits patient preferences and beliefs, and assesses literacy, numeracy, and potential barriers to care should be used to optimize patient health outcomes and health-related quality of life. B","author":[{"dropping-particle":"","family":"American Diabetes Association","given":"","non-dropping-particle":"","parse-names":false,"suffix":""}],"container-title":"Diabetes Care","id":"ITEM-1","issue":"Supplement 1","issued":{"date-parts":[["2017","1","1"]]},"page":"S25-S32","publisher":"American Diabetes Association Inc.","title":"3. Comprehensive Medical Evaluation and Assessment of Comorbidities","type":"article-journal","volume":"40"},"uris":["http://www.mendeley.com/documents/?uuid=03586ac8-793b-339d-a1ca-4b1b27e7936c"]}],"mendeley":{"formattedCitation":"&lt;sup&gt;7&lt;/sup&gt;","plainTextFormattedCitation":"7","previouslyFormattedCitation":"&lt;sup&gt;7&lt;/sup&gt;"},"properties":{"noteIndex":0},"schema":"https://github.com/citation-style-language/schema/raw/master/csl-citation.json"}</w:instrText>
      </w:r>
      <w:r w:rsidR="00D06CB1">
        <w:rPr>
          <w:rFonts w:asciiTheme="minorBidi" w:hAnsiTheme="minorBidi"/>
          <w:sz w:val="24"/>
          <w:szCs w:val="24"/>
        </w:rPr>
        <w:fldChar w:fldCharType="separate"/>
      </w:r>
      <w:r w:rsidR="004B18CD" w:rsidRPr="004B18CD">
        <w:rPr>
          <w:rFonts w:asciiTheme="minorBidi" w:hAnsiTheme="minorBidi"/>
          <w:noProof/>
          <w:sz w:val="24"/>
          <w:szCs w:val="24"/>
          <w:vertAlign w:val="superscript"/>
        </w:rPr>
        <w:t>7</w:t>
      </w:r>
      <w:r w:rsidR="00D06CB1">
        <w:rPr>
          <w:rFonts w:asciiTheme="minorBidi" w:hAnsiTheme="minorBidi"/>
          <w:sz w:val="24"/>
          <w:szCs w:val="24"/>
        </w:rPr>
        <w:fldChar w:fldCharType="end"/>
      </w:r>
    </w:p>
    <w:p w14:paraId="569763A3" w14:textId="77777777" w:rsidR="00931E93" w:rsidRPr="008E43AC" w:rsidRDefault="00931E93" w:rsidP="008E43AC">
      <w:pPr>
        <w:spacing w:after="0" w:line="480" w:lineRule="auto"/>
        <w:rPr>
          <w:rFonts w:asciiTheme="minorBidi" w:hAnsiTheme="minorBidi"/>
          <w:sz w:val="24"/>
          <w:szCs w:val="24"/>
        </w:rPr>
      </w:pPr>
    </w:p>
    <w:p w14:paraId="08D65775" w14:textId="2332C6DE"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 xml:space="preserve">In England and Wales, the National Diabetes Audit (NDA) collects patient level </w:t>
      </w:r>
      <w:r w:rsidR="00727B68">
        <w:rPr>
          <w:rFonts w:asciiTheme="minorBidi" w:hAnsiTheme="minorBidi"/>
          <w:sz w:val="24"/>
          <w:szCs w:val="24"/>
        </w:rPr>
        <w:t>data</w:t>
      </w:r>
      <w:r w:rsidRPr="008E43AC">
        <w:rPr>
          <w:rFonts w:asciiTheme="minorBidi" w:hAnsiTheme="minorBidi"/>
          <w:sz w:val="24"/>
          <w:szCs w:val="24"/>
        </w:rPr>
        <w:t xml:space="preserve"> </w:t>
      </w:r>
      <w:r w:rsidR="007902B3">
        <w:rPr>
          <w:rFonts w:asciiTheme="minorBidi" w:hAnsiTheme="minorBidi"/>
          <w:sz w:val="24"/>
          <w:szCs w:val="24"/>
        </w:rPr>
        <w:t xml:space="preserve">on people with diagnosed diabetes.  </w:t>
      </w:r>
      <w:r w:rsidRPr="008E43AC">
        <w:rPr>
          <w:rFonts w:asciiTheme="minorBidi" w:hAnsiTheme="minorBidi"/>
          <w:sz w:val="24"/>
          <w:szCs w:val="24"/>
        </w:rPr>
        <w:t xml:space="preserve">This study </w:t>
      </w:r>
      <w:r w:rsidR="00091A1E">
        <w:rPr>
          <w:rFonts w:asciiTheme="minorBidi" w:hAnsiTheme="minorBidi"/>
          <w:sz w:val="24"/>
          <w:szCs w:val="24"/>
        </w:rPr>
        <w:t>assesses</w:t>
      </w:r>
      <w:r w:rsidRPr="008E43AC">
        <w:rPr>
          <w:rFonts w:asciiTheme="minorBidi" w:hAnsiTheme="minorBidi"/>
          <w:sz w:val="24"/>
          <w:szCs w:val="24"/>
        </w:rPr>
        <w:t xml:space="preserve"> whether recorded care processes completion w</w:t>
      </w:r>
      <w:r w:rsidR="007902B3">
        <w:rPr>
          <w:rFonts w:asciiTheme="minorBidi" w:hAnsiTheme="minorBidi"/>
          <w:sz w:val="24"/>
          <w:szCs w:val="24"/>
        </w:rPr>
        <w:t>as</w:t>
      </w:r>
      <w:r w:rsidRPr="008E43AC">
        <w:rPr>
          <w:rFonts w:asciiTheme="minorBidi" w:hAnsiTheme="minorBidi"/>
          <w:sz w:val="24"/>
          <w:szCs w:val="24"/>
        </w:rPr>
        <w:t xml:space="preserve"> associated with mortality over the subsequent decade after adjustment for </w:t>
      </w:r>
      <w:r w:rsidR="00E35639">
        <w:rPr>
          <w:rFonts w:asciiTheme="minorBidi" w:hAnsiTheme="minorBidi"/>
          <w:sz w:val="24"/>
          <w:szCs w:val="24"/>
        </w:rPr>
        <w:t>the</w:t>
      </w:r>
      <w:r w:rsidRPr="008E43AC">
        <w:rPr>
          <w:rFonts w:asciiTheme="minorBidi" w:hAnsiTheme="minorBidi"/>
          <w:sz w:val="24"/>
          <w:szCs w:val="24"/>
        </w:rPr>
        <w:t xml:space="preserve"> risk factors that the care processes uncover, individual demographic characteristics and co-morbidities.</w:t>
      </w:r>
    </w:p>
    <w:p w14:paraId="21E5E4EB" w14:textId="77777777" w:rsidR="00931E93" w:rsidRPr="008E43AC" w:rsidRDefault="00931E93" w:rsidP="008E43AC">
      <w:pPr>
        <w:spacing w:after="0" w:line="480" w:lineRule="auto"/>
        <w:rPr>
          <w:rFonts w:asciiTheme="minorBidi" w:hAnsiTheme="minorBidi"/>
          <w:sz w:val="24"/>
          <w:szCs w:val="24"/>
        </w:rPr>
      </w:pPr>
    </w:p>
    <w:p w14:paraId="0B8BD4CE" w14:textId="52063B91" w:rsidR="00931E93" w:rsidRPr="008E43AC" w:rsidRDefault="004D14F3" w:rsidP="008E43AC">
      <w:pPr>
        <w:spacing w:after="0" w:line="480" w:lineRule="auto"/>
        <w:rPr>
          <w:rFonts w:asciiTheme="minorBidi" w:hAnsiTheme="minorBidi"/>
          <w:b/>
          <w:bCs/>
          <w:sz w:val="24"/>
          <w:szCs w:val="24"/>
        </w:rPr>
      </w:pPr>
      <w:r>
        <w:rPr>
          <w:rFonts w:asciiTheme="minorBidi" w:hAnsiTheme="minorBidi"/>
          <w:b/>
          <w:bCs/>
          <w:sz w:val="24"/>
          <w:szCs w:val="24"/>
        </w:rPr>
        <w:t xml:space="preserve">Materials and </w:t>
      </w:r>
      <w:r w:rsidR="00931E93" w:rsidRPr="008E43AC">
        <w:rPr>
          <w:rFonts w:asciiTheme="minorBidi" w:hAnsiTheme="minorBidi"/>
          <w:b/>
          <w:bCs/>
          <w:sz w:val="24"/>
          <w:szCs w:val="24"/>
        </w:rPr>
        <w:t>Methods</w:t>
      </w:r>
    </w:p>
    <w:p w14:paraId="69F1CC37" w14:textId="77777777" w:rsidR="00931E93" w:rsidRPr="00B53E9F" w:rsidRDefault="00931E93" w:rsidP="008E43AC">
      <w:pPr>
        <w:spacing w:after="0" w:line="480" w:lineRule="auto"/>
        <w:rPr>
          <w:rFonts w:asciiTheme="minorBidi" w:hAnsiTheme="minorBidi"/>
          <w:sz w:val="24"/>
          <w:szCs w:val="24"/>
          <w:u w:val="single"/>
        </w:rPr>
      </w:pPr>
      <w:r w:rsidRPr="00B53E9F">
        <w:rPr>
          <w:rFonts w:asciiTheme="minorBidi" w:hAnsiTheme="minorBidi"/>
          <w:sz w:val="24"/>
          <w:szCs w:val="24"/>
          <w:u w:val="single"/>
        </w:rPr>
        <w:t>Data sources</w:t>
      </w:r>
    </w:p>
    <w:p w14:paraId="7C34493F" w14:textId="51DE037F"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 xml:space="preserve">The NDA has collated data on people with diagnosed diabetes registered with a primary or specialist healthcare provider in England since 2003. Individuals </w:t>
      </w:r>
      <w:r w:rsidR="006725C6">
        <w:rPr>
          <w:rFonts w:asciiTheme="minorBidi" w:hAnsiTheme="minorBidi"/>
          <w:sz w:val="24"/>
          <w:szCs w:val="24"/>
        </w:rPr>
        <w:t xml:space="preserve">receiving care from </w:t>
      </w:r>
      <w:r w:rsidR="00C647E4">
        <w:rPr>
          <w:rFonts w:asciiTheme="minorBidi" w:hAnsiTheme="minorBidi"/>
          <w:sz w:val="24"/>
          <w:szCs w:val="24"/>
        </w:rPr>
        <w:t xml:space="preserve">general practice and specialist outpatient services based in acute and community trusts </w:t>
      </w:r>
      <w:r w:rsidRPr="008E43AC">
        <w:rPr>
          <w:rFonts w:asciiTheme="minorBidi" w:hAnsiTheme="minorBidi"/>
          <w:sz w:val="24"/>
          <w:szCs w:val="24"/>
        </w:rPr>
        <w:t>are included if they have a valid code for diabetes mellitus (excluding gestational diabetes) in their electronic health record.</w:t>
      </w:r>
      <w:r w:rsidR="000B76E9">
        <w:rPr>
          <w:rFonts w:asciiTheme="minorBidi" w:hAnsiTheme="minorBidi"/>
          <w:sz w:val="24"/>
          <w:szCs w:val="24"/>
        </w:rPr>
        <w:fldChar w:fldCharType="begin" w:fldLock="1"/>
      </w:r>
      <w:r w:rsidR="000B76E9">
        <w:rPr>
          <w:rFonts w:asciiTheme="minorBidi" w:hAnsiTheme="minorBidi"/>
          <w:sz w:val="24"/>
          <w:szCs w:val="24"/>
        </w:rPr>
        <w:instrText>ADDIN CSL_CITATION {"citationItems":[{"id":"ITEM-1","itemData":{"DOI":"10.1111/dme.14616","ISSN":"14645491","PMID":"34062007","abstract":"The National Diabetes Audit (NDA) collates and analyses data on the quality and variation in clinical care and outcomes for people with diabetes. It also provides opportunities to assess trends, determinants, and outcomes of diabetes to help guide clinical and public health priorities. Cohort: Between 1 January 2003 and 31 March 2020, a total of 5,280,885 people diagnosed with diabetes were included in at least one NDA data collection. To this date, median follow-up was 12 and 8 years for people with type 1 diabetes and type 2 diabetes respectively. Comparisons with the 2019/20 Quality and Outcomes Framework show it included 98% of adults in England and Wales with diagnosed type 1 and type 2 diabetes. Data include demographic characteristics (age, sex, ethnicity, age at diagnosis, deprivation), risk factors (HbA1c, blood pressure, cholesterol, body mass index, smoking status) diabetic and cardiovascular complications and deaths. Secondary analysis: Secondary analyses have included comparisons of HbA1c and blood pressure measurements in cohorts with similar characteristics to the Epidemiology of Diabetes Interventions and Complications study and the UK Prospective Diabetes Study; COVID-19 related mortality in people with type 1 and type 2 diabetes and incidence of type 2 diabetes following admission to intensive care units. Future plans: Commissioned NDA reports will continue to inform service development in England and Wales. The same data, with or without linkages to other external datasets, are also a rich resource for clinically orientated research.","author":[{"dropping-particle":"","family":"Holman","given":"Naomi","non-dropping-particle":"","parse-names":false,"suffix":""},{"dropping-particle":"","family":"Knighton","given":"Peter","non-dropping-particle":"","parse-names":false,"suffix":""},{"dropping-particle":"","family":"Wild","given":"Sarah H","non-dropping-particle":"","parse-names":false,"suffix":""},{"dropping-particle":"","family":"Sattar","given":"Naveed","non-dropping-particle":"","parse-names":false,"suffix":""},{"dropping-particle":"","family":"Dew","given":"Chris","non-dropping-particle":"","parse-names":false,"suffix":""},{"dropping-particle":"","family":"Gregg","given":"Edward W","non-dropping-particle":"","parse-names":false,"suffix":""},{"dropping-particle":"","family":"Khunti","given":"Kamlesh","non-dropping-particle":"","parse-names":false,"suffix":""},{"dropping-particle":"","family":"Valabhji","given":"Jonathan","non-dropping-particle":"","parse-names":false,"suffix":""},{"dropping-particle":"","family":"Young","given":"Bob","non-dropping-particle":"","parse-names":false,"suffix":""}],"container-title":"Diabetic Medicine","id":"ITEM-1","issued":{"date-parts":[["2021","6","14"]]},"page":"e14616","publisher":"Diabet Med","title":"Cohort profile: National Diabetes Audit for England and Wales","type":"article-journal"},"uris":["http://www.mendeley.com/documents/?uuid=7da0cdb8-c1fe-3531-bff5-87d9e81097ad"]}],"mendeley":{"formattedCitation":"&lt;sup&gt;9&lt;/sup&gt;","plainTextFormattedCitation":"9","previouslyFormattedCitation":"&lt;sup&gt;9&lt;/sup&gt;"},"properties":{"noteIndex":0},"schema":"https://github.com/citation-style-language/schema/raw/master/csl-citation.json"}</w:instrText>
      </w:r>
      <w:r w:rsidR="000B76E9">
        <w:rPr>
          <w:rFonts w:asciiTheme="minorBidi" w:hAnsiTheme="minorBidi"/>
          <w:sz w:val="24"/>
          <w:szCs w:val="24"/>
        </w:rPr>
        <w:fldChar w:fldCharType="separate"/>
      </w:r>
      <w:r w:rsidR="000B76E9" w:rsidRPr="000B76E9">
        <w:rPr>
          <w:rFonts w:asciiTheme="minorBidi" w:hAnsiTheme="minorBidi"/>
          <w:noProof/>
          <w:sz w:val="24"/>
          <w:szCs w:val="24"/>
          <w:vertAlign w:val="superscript"/>
        </w:rPr>
        <w:t>9</w:t>
      </w:r>
      <w:r w:rsidR="000B76E9">
        <w:rPr>
          <w:rFonts w:asciiTheme="minorBidi" w:hAnsiTheme="minorBidi"/>
          <w:sz w:val="24"/>
          <w:szCs w:val="24"/>
        </w:rPr>
        <w:fldChar w:fldCharType="end"/>
      </w:r>
      <w:r w:rsidR="00C647E4">
        <w:t xml:space="preserve"> </w:t>
      </w:r>
      <w:r w:rsidRPr="008E43AC">
        <w:rPr>
          <w:rFonts w:asciiTheme="minorBidi" w:hAnsiTheme="minorBidi"/>
          <w:sz w:val="24"/>
          <w:szCs w:val="24"/>
        </w:rPr>
        <w:t>The 2009/10 NDA data collection included data from 6700 (76%) general practices and was estimated to include data on 81.1% people aged 17 years and older with diagnosed diabetes in England and Wales</w:t>
      </w:r>
      <w:r w:rsidR="000B76E9">
        <w:rPr>
          <w:rFonts w:asciiTheme="minorBidi" w:hAnsiTheme="minorBidi"/>
          <w:sz w:val="24"/>
          <w:szCs w:val="24"/>
        </w:rPr>
        <w:t>.</w:t>
      </w:r>
      <w:r w:rsidR="000B76E9">
        <w:rPr>
          <w:rFonts w:asciiTheme="minorBidi" w:hAnsiTheme="minorBidi"/>
          <w:sz w:val="24"/>
          <w:szCs w:val="24"/>
        </w:rPr>
        <w:fldChar w:fldCharType="begin" w:fldLock="1"/>
      </w:r>
      <w:r w:rsidR="003E7326">
        <w:rPr>
          <w:rFonts w:asciiTheme="minorBidi" w:hAnsiTheme="minorBidi"/>
          <w:sz w:val="24"/>
          <w:szCs w:val="24"/>
        </w:rPr>
        <w:instrText>ADDIN CSL_CITATION {"citationItems":[{"id":"ITEM-1","itemData":{"URL":"https://digital.nhs.uk/data-and-information/publications/statistical/national-diabetes-audit/national-diabetes-audit-2009-10-audit-analysis","accessed":{"date-parts":[["2021","8","5"]]},"id":"ITEM-1","issued":{"date-parts":[["0"]]},"title":"National Diabetes Audit - 2009-10, Audit analysis - NHS Digital","type":"webpage"},"uris":["http://www.mendeley.com/documents/?uuid=d85d49da-8087-36ab-890f-900b7457a2bc"]}],"mendeley":{"formattedCitation":"&lt;sup&gt;10&lt;/sup&gt;","plainTextFormattedCitation":"10","previouslyFormattedCitation":"&lt;sup&gt;10&lt;/sup&gt;"},"properties":{"noteIndex":0},"schema":"https://github.com/citation-style-language/schema/raw/master/csl-citation.json"}</w:instrText>
      </w:r>
      <w:r w:rsidR="000B76E9">
        <w:rPr>
          <w:rFonts w:asciiTheme="minorBidi" w:hAnsiTheme="minorBidi"/>
          <w:sz w:val="24"/>
          <w:szCs w:val="24"/>
        </w:rPr>
        <w:fldChar w:fldCharType="separate"/>
      </w:r>
      <w:r w:rsidR="000B76E9" w:rsidRPr="000B76E9">
        <w:rPr>
          <w:rFonts w:asciiTheme="minorBidi" w:hAnsiTheme="minorBidi"/>
          <w:noProof/>
          <w:sz w:val="24"/>
          <w:szCs w:val="24"/>
          <w:vertAlign w:val="superscript"/>
        </w:rPr>
        <w:t>10</w:t>
      </w:r>
      <w:r w:rsidR="000B76E9">
        <w:rPr>
          <w:rFonts w:asciiTheme="minorBidi" w:hAnsiTheme="minorBidi"/>
          <w:sz w:val="24"/>
          <w:szCs w:val="24"/>
        </w:rPr>
        <w:fldChar w:fldCharType="end"/>
      </w:r>
    </w:p>
    <w:p w14:paraId="7CEAEBF8" w14:textId="77777777" w:rsidR="00931E93" w:rsidRPr="008E43AC" w:rsidRDefault="00931E93" w:rsidP="008E43AC">
      <w:pPr>
        <w:spacing w:after="0" w:line="480" w:lineRule="auto"/>
        <w:rPr>
          <w:rFonts w:asciiTheme="minorBidi" w:hAnsiTheme="minorBidi"/>
          <w:sz w:val="24"/>
          <w:szCs w:val="24"/>
        </w:rPr>
      </w:pPr>
    </w:p>
    <w:p w14:paraId="5B6B937C" w14:textId="1822D447"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 xml:space="preserve">These data were linked </w:t>
      </w:r>
      <w:r w:rsidR="00A30547">
        <w:rPr>
          <w:rFonts w:asciiTheme="minorBidi" w:hAnsiTheme="minorBidi"/>
          <w:sz w:val="24"/>
          <w:szCs w:val="24"/>
        </w:rPr>
        <w:t>to</w:t>
      </w:r>
      <w:r w:rsidRPr="008E43AC">
        <w:rPr>
          <w:rFonts w:asciiTheme="minorBidi" w:hAnsiTheme="minorBidi"/>
          <w:sz w:val="24"/>
          <w:szCs w:val="24"/>
        </w:rPr>
        <w:t xml:space="preserve"> Hospital Episode Statistics (HES) and Patient Episode Database for Wales (PEDW) which record all hospital admissions in England and Wales respectively, and to civil death registrations in both countries collated by the Office for National Statistics.</w:t>
      </w:r>
    </w:p>
    <w:p w14:paraId="4905E8C5" w14:textId="77777777" w:rsidR="00931E93" w:rsidRPr="008E43AC" w:rsidRDefault="00931E93" w:rsidP="008E43AC">
      <w:pPr>
        <w:spacing w:after="0" w:line="480" w:lineRule="auto"/>
        <w:rPr>
          <w:rFonts w:asciiTheme="minorBidi" w:hAnsiTheme="minorBidi"/>
          <w:sz w:val="24"/>
          <w:szCs w:val="24"/>
        </w:rPr>
      </w:pPr>
    </w:p>
    <w:p w14:paraId="02BF968D" w14:textId="37E76C6B" w:rsidR="00931E93" w:rsidRPr="008E43AC" w:rsidRDefault="00931E93" w:rsidP="00D92BD6">
      <w:pPr>
        <w:spacing w:after="0" w:line="480" w:lineRule="auto"/>
        <w:rPr>
          <w:rFonts w:asciiTheme="minorBidi" w:hAnsiTheme="minorBidi"/>
          <w:sz w:val="24"/>
          <w:szCs w:val="24"/>
        </w:rPr>
      </w:pPr>
      <w:r w:rsidRPr="008E43AC">
        <w:rPr>
          <w:rFonts w:asciiTheme="minorBidi" w:hAnsiTheme="minorBidi"/>
          <w:sz w:val="24"/>
          <w:szCs w:val="24"/>
        </w:rPr>
        <w:t xml:space="preserve">The legal basis for the NDA data collection and linkage is a ‘direction’ from NHS England to NHS Digital according to section 254 of the Health and Social Care Act for England 2012; in Wales it is granted under section 270 of the Health and Social Care Act. </w:t>
      </w:r>
      <w:r w:rsidR="00D92BD6">
        <w:rPr>
          <w:rFonts w:asciiTheme="minorBidi" w:hAnsiTheme="minorBidi"/>
          <w:sz w:val="24"/>
          <w:szCs w:val="24"/>
        </w:rPr>
        <w:t>To protect confidentiality a</w:t>
      </w:r>
      <w:r w:rsidRPr="008E43AC">
        <w:rPr>
          <w:rFonts w:asciiTheme="minorBidi" w:hAnsiTheme="minorBidi"/>
          <w:sz w:val="24"/>
          <w:szCs w:val="24"/>
        </w:rPr>
        <w:t xml:space="preserve">ll data </w:t>
      </w:r>
      <w:r w:rsidR="00290108">
        <w:rPr>
          <w:rFonts w:asciiTheme="minorBidi" w:hAnsiTheme="minorBidi"/>
          <w:sz w:val="24"/>
          <w:szCs w:val="24"/>
        </w:rPr>
        <w:t>with a</w:t>
      </w:r>
      <w:r w:rsidRPr="008E43AC">
        <w:rPr>
          <w:rFonts w:asciiTheme="minorBidi" w:hAnsiTheme="minorBidi"/>
          <w:sz w:val="24"/>
          <w:szCs w:val="24"/>
        </w:rPr>
        <w:t xml:space="preserve"> final digit </w:t>
      </w:r>
      <w:r w:rsidR="00290108">
        <w:rPr>
          <w:rFonts w:asciiTheme="minorBidi" w:hAnsiTheme="minorBidi"/>
          <w:sz w:val="24"/>
          <w:szCs w:val="24"/>
        </w:rPr>
        <w:t>of</w:t>
      </w:r>
      <w:r w:rsidRPr="008E43AC">
        <w:rPr>
          <w:rFonts w:asciiTheme="minorBidi" w:hAnsiTheme="minorBidi"/>
          <w:sz w:val="24"/>
          <w:szCs w:val="24"/>
        </w:rPr>
        <w:t xml:space="preserve"> 1, 2, 8 or 9 are rounded to 0 and 3, 4, 6 or 7 </w:t>
      </w:r>
      <w:r w:rsidR="00290108">
        <w:rPr>
          <w:rFonts w:asciiTheme="minorBidi" w:hAnsiTheme="minorBidi"/>
          <w:sz w:val="24"/>
          <w:szCs w:val="24"/>
        </w:rPr>
        <w:t>are</w:t>
      </w:r>
      <w:r w:rsidRPr="008E43AC">
        <w:rPr>
          <w:rFonts w:asciiTheme="minorBidi" w:hAnsiTheme="minorBidi"/>
          <w:sz w:val="24"/>
          <w:szCs w:val="24"/>
        </w:rPr>
        <w:t xml:space="preserve"> rounded to 5. Numbers with a final digit of 0 or 5 are unchanged. </w:t>
      </w:r>
    </w:p>
    <w:p w14:paraId="0AFF4F8E" w14:textId="77777777" w:rsidR="00931E93" w:rsidRPr="008E43AC" w:rsidRDefault="00931E93" w:rsidP="008E43AC">
      <w:pPr>
        <w:spacing w:after="0" w:line="480" w:lineRule="auto"/>
        <w:rPr>
          <w:rFonts w:asciiTheme="minorBidi" w:hAnsiTheme="minorBidi"/>
          <w:sz w:val="24"/>
          <w:szCs w:val="24"/>
        </w:rPr>
      </w:pPr>
    </w:p>
    <w:p w14:paraId="7F9BB421" w14:textId="17FAC9B9" w:rsidR="00931E93" w:rsidRPr="00B53E9F" w:rsidRDefault="00931E93" w:rsidP="008E43AC">
      <w:pPr>
        <w:spacing w:after="0" w:line="480" w:lineRule="auto"/>
        <w:rPr>
          <w:rFonts w:asciiTheme="minorBidi" w:hAnsiTheme="minorBidi"/>
          <w:sz w:val="24"/>
          <w:szCs w:val="24"/>
          <w:u w:val="single"/>
        </w:rPr>
      </w:pPr>
      <w:r w:rsidRPr="00B53E9F">
        <w:rPr>
          <w:rFonts w:asciiTheme="minorBidi" w:hAnsiTheme="minorBidi"/>
          <w:sz w:val="24"/>
          <w:szCs w:val="24"/>
          <w:u w:val="single"/>
        </w:rPr>
        <w:t>Study population and observation period</w:t>
      </w:r>
    </w:p>
    <w:p w14:paraId="135A5A01" w14:textId="32739DFA"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The study population was people aged between 17 and 99 years old on 1</w:t>
      </w:r>
      <w:r w:rsidRPr="00B62A1E">
        <w:rPr>
          <w:rFonts w:asciiTheme="minorBidi" w:hAnsiTheme="minorBidi"/>
          <w:sz w:val="24"/>
          <w:szCs w:val="24"/>
          <w:vertAlign w:val="superscript"/>
        </w:rPr>
        <w:t>st</w:t>
      </w:r>
      <w:r w:rsidRPr="008E43AC">
        <w:rPr>
          <w:rFonts w:asciiTheme="minorBidi" w:hAnsiTheme="minorBidi"/>
          <w:sz w:val="24"/>
          <w:szCs w:val="24"/>
        </w:rPr>
        <w:t xml:space="preserve"> January 2009</w:t>
      </w:r>
      <w:r w:rsidR="00ED3F17">
        <w:rPr>
          <w:rFonts w:asciiTheme="minorBidi" w:hAnsiTheme="minorBidi"/>
          <w:sz w:val="24"/>
          <w:szCs w:val="24"/>
        </w:rPr>
        <w:t xml:space="preserve">, </w:t>
      </w:r>
      <w:r w:rsidRPr="008E43AC">
        <w:rPr>
          <w:rFonts w:asciiTheme="minorBidi" w:hAnsiTheme="minorBidi"/>
          <w:sz w:val="24"/>
          <w:szCs w:val="24"/>
        </w:rPr>
        <w:t xml:space="preserve">diagnosed with type 1 diabetes and type 2 diabetes before </w:t>
      </w:r>
      <w:r w:rsidR="00ED3F17">
        <w:rPr>
          <w:rFonts w:asciiTheme="minorBidi" w:hAnsiTheme="minorBidi"/>
          <w:sz w:val="24"/>
          <w:szCs w:val="24"/>
        </w:rPr>
        <w:t>1</w:t>
      </w:r>
      <w:r w:rsidR="00ED3F17" w:rsidRPr="00ED3F17">
        <w:rPr>
          <w:rFonts w:asciiTheme="minorBidi" w:hAnsiTheme="minorBidi"/>
          <w:sz w:val="24"/>
          <w:szCs w:val="24"/>
          <w:vertAlign w:val="superscript"/>
        </w:rPr>
        <w:t>st</w:t>
      </w:r>
      <w:r w:rsidR="00ED3F17">
        <w:rPr>
          <w:rFonts w:asciiTheme="minorBidi" w:hAnsiTheme="minorBidi"/>
          <w:sz w:val="24"/>
          <w:szCs w:val="24"/>
        </w:rPr>
        <w:t xml:space="preserve"> January 2009 </w:t>
      </w:r>
      <w:r w:rsidRPr="008E43AC">
        <w:rPr>
          <w:rFonts w:asciiTheme="minorBidi" w:hAnsiTheme="minorBidi"/>
          <w:sz w:val="24"/>
          <w:szCs w:val="24"/>
        </w:rPr>
        <w:t>who were included in the 2009/10 NDA data collection and still alive on 1</w:t>
      </w:r>
      <w:r w:rsidRPr="00B62A1E">
        <w:rPr>
          <w:rFonts w:asciiTheme="minorBidi" w:hAnsiTheme="minorBidi"/>
          <w:sz w:val="24"/>
          <w:szCs w:val="24"/>
          <w:vertAlign w:val="superscript"/>
        </w:rPr>
        <w:t>st</w:t>
      </w:r>
      <w:r w:rsidRPr="008E43AC">
        <w:rPr>
          <w:rFonts w:asciiTheme="minorBidi" w:hAnsiTheme="minorBidi"/>
          <w:sz w:val="24"/>
          <w:szCs w:val="24"/>
        </w:rPr>
        <w:t xml:space="preserve"> April 2013. </w:t>
      </w:r>
      <w:r w:rsidR="00B70A69">
        <w:rPr>
          <w:rFonts w:asciiTheme="minorBidi" w:hAnsiTheme="minorBidi"/>
          <w:sz w:val="24"/>
          <w:szCs w:val="24"/>
        </w:rPr>
        <w:t>A</w:t>
      </w:r>
      <w:r w:rsidRPr="008E43AC">
        <w:rPr>
          <w:rFonts w:asciiTheme="minorBidi" w:hAnsiTheme="minorBidi"/>
          <w:sz w:val="24"/>
          <w:szCs w:val="24"/>
        </w:rPr>
        <w:t xml:space="preserve">nalysis was restricted to </w:t>
      </w:r>
      <w:r w:rsidR="00BB3F44">
        <w:rPr>
          <w:rFonts w:asciiTheme="minorBidi" w:hAnsiTheme="minorBidi"/>
          <w:sz w:val="24"/>
          <w:szCs w:val="24"/>
        </w:rPr>
        <w:t>individuals</w:t>
      </w:r>
      <w:r w:rsidRPr="008E43AC">
        <w:rPr>
          <w:rFonts w:asciiTheme="minorBidi" w:hAnsiTheme="minorBidi"/>
          <w:sz w:val="24"/>
          <w:szCs w:val="24"/>
        </w:rPr>
        <w:t xml:space="preserve"> that survived three years after </w:t>
      </w:r>
      <w:r w:rsidR="00766E46">
        <w:rPr>
          <w:rFonts w:asciiTheme="minorBidi" w:hAnsiTheme="minorBidi"/>
          <w:sz w:val="24"/>
          <w:szCs w:val="24"/>
        </w:rPr>
        <w:t>the</w:t>
      </w:r>
      <w:r w:rsidRPr="008E43AC">
        <w:rPr>
          <w:rFonts w:asciiTheme="minorBidi" w:hAnsiTheme="minorBidi"/>
          <w:sz w:val="24"/>
          <w:szCs w:val="24"/>
        </w:rPr>
        <w:t xml:space="preserve"> exposure period to reduce potential bias </w:t>
      </w:r>
      <w:r w:rsidR="008D0631">
        <w:rPr>
          <w:rFonts w:asciiTheme="minorBidi" w:hAnsiTheme="minorBidi"/>
          <w:sz w:val="24"/>
          <w:szCs w:val="24"/>
        </w:rPr>
        <w:t>from the</w:t>
      </w:r>
      <w:r w:rsidRPr="008E43AC">
        <w:rPr>
          <w:rFonts w:asciiTheme="minorBidi" w:hAnsiTheme="minorBidi"/>
          <w:sz w:val="24"/>
          <w:szCs w:val="24"/>
        </w:rPr>
        <w:t xml:space="preserve"> clinically appropriate suspension of</w:t>
      </w:r>
      <w:r w:rsidR="008D0631">
        <w:rPr>
          <w:rFonts w:asciiTheme="minorBidi" w:hAnsiTheme="minorBidi"/>
          <w:sz w:val="24"/>
          <w:szCs w:val="24"/>
        </w:rPr>
        <w:t xml:space="preserve"> </w:t>
      </w:r>
      <w:r w:rsidRPr="008E43AC">
        <w:rPr>
          <w:rFonts w:asciiTheme="minorBidi" w:hAnsiTheme="minorBidi"/>
          <w:sz w:val="24"/>
          <w:szCs w:val="24"/>
        </w:rPr>
        <w:t>diabetes care processes for people in end of life care. Individuals were followed up from 1</w:t>
      </w:r>
      <w:r w:rsidRPr="00B62A1E">
        <w:rPr>
          <w:rFonts w:asciiTheme="minorBidi" w:hAnsiTheme="minorBidi"/>
          <w:sz w:val="24"/>
          <w:szCs w:val="24"/>
          <w:vertAlign w:val="superscript"/>
        </w:rPr>
        <w:t>st</w:t>
      </w:r>
      <w:r w:rsidRPr="008E43AC">
        <w:rPr>
          <w:rFonts w:asciiTheme="minorBidi" w:hAnsiTheme="minorBidi"/>
          <w:sz w:val="24"/>
          <w:szCs w:val="24"/>
        </w:rPr>
        <w:t xml:space="preserve"> April 2013 until death or 31</w:t>
      </w:r>
      <w:r w:rsidRPr="00B62A1E">
        <w:rPr>
          <w:rFonts w:asciiTheme="minorBidi" w:hAnsiTheme="minorBidi"/>
          <w:sz w:val="24"/>
          <w:szCs w:val="24"/>
          <w:vertAlign w:val="superscript"/>
        </w:rPr>
        <w:t>st</w:t>
      </w:r>
      <w:r w:rsidRPr="008E43AC">
        <w:rPr>
          <w:rFonts w:asciiTheme="minorBidi" w:hAnsiTheme="minorBidi"/>
          <w:sz w:val="24"/>
          <w:szCs w:val="24"/>
        </w:rPr>
        <w:t xml:space="preserve"> December 2019.</w:t>
      </w:r>
    </w:p>
    <w:p w14:paraId="0C3BA505" w14:textId="77777777" w:rsidR="00931E93" w:rsidRPr="008E43AC" w:rsidRDefault="00931E93" w:rsidP="008E43AC">
      <w:pPr>
        <w:spacing w:after="0" w:line="480" w:lineRule="auto"/>
        <w:rPr>
          <w:rFonts w:asciiTheme="minorBidi" w:hAnsiTheme="minorBidi"/>
          <w:sz w:val="24"/>
          <w:szCs w:val="24"/>
        </w:rPr>
      </w:pPr>
    </w:p>
    <w:p w14:paraId="67365D52" w14:textId="77777777" w:rsidR="00931E93" w:rsidRPr="00B53E9F" w:rsidRDefault="00931E93" w:rsidP="008E43AC">
      <w:pPr>
        <w:spacing w:after="0" w:line="480" w:lineRule="auto"/>
        <w:rPr>
          <w:rFonts w:asciiTheme="minorBidi" w:hAnsiTheme="minorBidi"/>
          <w:sz w:val="24"/>
          <w:szCs w:val="24"/>
          <w:u w:val="single"/>
        </w:rPr>
      </w:pPr>
      <w:r w:rsidRPr="00B53E9F">
        <w:rPr>
          <w:rFonts w:asciiTheme="minorBidi" w:hAnsiTheme="minorBidi"/>
          <w:sz w:val="24"/>
          <w:szCs w:val="24"/>
          <w:u w:val="single"/>
        </w:rPr>
        <w:t>Outcomes</w:t>
      </w:r>
    </w:p>
    <w:p w14:paraId="2BA70EF2" w14:textId="3D0DEAFD"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The outcomes were death from all causes and underlying (primary)</w:t>
      </w:r>
      <w:r w:rsidR="00A8134D">
        <w:rPr>
          <w:rFonts w:asciiTheme="minorBidi" w:hAnsiTheme="minorBidi"/>
          <w:sz w:val="24"/>
          <w:szCs w:val="24"/>
        </w:rPr>
        <w:t xml:space="preserve"> </w:t>
      </w:r>
      <w:r w:rsidRPr="008E43AC">
        <w:rPr>
          <w:rFonts w:asciiTheme="minorBidi" w:hAnsiTheme="minorBidi"/>
          <w:sz w:val="24"/>
          <w:szCs w:val="24"/>
        </w:rPr>
        <w:t>cause of death from cardiovascular disease (ICD-10 codes I01-I99), cancer (ICD-10 codes C01</w:t>
      </w:r>
      <w:r w:rsidR="00C84C60">
        <w:rPr>
          <w:rFonts w:asciiTheme="minorBidi" w:hAnsiTheme="minorBidi"/>
          <w:sz w:val="24"/>
          <w:szCs w:val="24"/>
        </w:rPr>
        <w:t>-</w:t>
      </w:r>
      <w:r w:rsidRPr="008E43AC">
        <w:rPr>
          <w:rFonts w:asciiTheme="minorBidi" w:hAnsiTheme="minorBidi"/>
          <w:sz w:val="24"/>
          <w:szCs w:val="24"/>
        </w:rPr>
        <w:t xml:space="preserve">C99), respiratory disease (ICD-10 codes J01-J99), diabetes specific causes (ICD-10 codes E10-14) and renal disease (ICD-10 codes N17-19). </w:t>
      </w:r>
    </w:p>
    <w:p w14:paraId="42F532EE" w14:textId="77777777" w:rsidR="00931E93" w:rsidRPr="008E43AC" w:rsidRDefault="00931E93" w:rsidP="008E43AC">
      <w:pPr>
        <w:spacing w:after="0" w:line="480" w:lineRule="auto"/>
        <w:rPr>
          <w:rFonts w:asciiTheme="minorBidi" w:hAnsiTheme="minorBidi"/>
          <w:sz w:val="24"/>
          <w:szCs w:val="24"/>
        </w:rPr>
      </w:pPr>
    </w:p>
    <w:p w14:paraId="53AFA635" w14:textId="77777777" w:rsidR="00931E93" w:rsidRPr="00B53E9F" w:rsidRDefault="00931E93" w:rsidP="008E43AC">
      <w:pPr>
        <w:spacing w:after="0" w:line="480" w:lineRule="auto"/>
        <w:rPr>
          <w:rFonts w:asciiTheme="minorBidi" w:hAnsiTheme="minorBidi"/>
          <w:sz w:val="24"/>
          <w:szCs w:val="24"/>
          <w:u w:val="single"/>
        </w:rPr>
      </w:pPr>
      <w:r w:rsidRPr="00B53E9F">
        <w:rPr>
          <w:rFonts w:asciiTheme="minorBidi" w:hAnsiTheme="minorBidi"/>
          <w:sz w:val="24"/>
          <w:szCs w:val="24"/>
          <w:u w:val="single"/>
        </w:rPr>
        <w:t>Exposures</w:t>
      </w:r>
    </w:p>
    <w:p w14:paraId="45319424" w14:textId="30B9E883"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Data secondarily recorded in general practice systems for retinal examinations for this period are not considered reliable. The primary exposure was, therefore, the number of eight care processes (blood tests for HbA</w:t>
      </w:r>
      <w:r w:rsidRPr="00B62A1E">
        <w:rPr>
          <w:rFonts w:asciiTheme="minorBidi" w:hAnsiTheme="minorBidi"/>
          <w:sz w:val="24"/>
          <w:szCs w:val="24"/>
          <w:vertAlign w:val="subscript"/>
        </w:rPr>
        <w:t>1c</w:t>
      </w:r>
      <w:r w:rsidRPr="008E43AC">
        <w:rPr>
          <w:rFonts w:asciiTheme="minorBidi" w:hAnsiTheme="minorBidi"/>
          <w:sz w:val="24"/>
          <w:szCs w:val="24"/>
        </w:rPr>
        <w:t xml:space="preserve">, cholesterol, creatinine, measurement of blood pressure, body mass index, albuminuria, smoking habit </w:t>
      </w:r>
      <w:r w:rsidRPr="00990459">
        <w:rPr>
          <w:rFonts w:asciiTheme="minorBidi" w:hAnsiTheme="minorBidi"/>
          <w:sz w:val="24"/>
          <w:szCs w:val="24"/>
        </w:rPr>
        <w:t>assessment and the examination of feet) recorded as undertaken between 1</w:t>
      </w:r>
      <w:r w:rsidRPr="007B32A0">
        <w:rPr>
          <w:rFonts w:asciiTheme="minorBidi" w:hAnsiTheme="minorBidi"/>
          <w:sz w:val="24"/>
          <w:szCs w:val="24"/>
          <w:vertAlign w:val="superscript"/>
        </w:rPr>
        <w:t>st</w:t>
      </w:r>
      <w:r w:rsidRPr="007B32A0">
        <w:rPr>
          <w:rFonts w:asciiTheme="minorBidi" w:hAnsiTheme="minorBidi"/>
          <w:sz w:val="24"/>
          <w:szCs w:val="24"/>
        </w:rPr>
        <w:t xml:space="preserve"> January 2009 and 31</w:t>
      </w:r>
      <w:r w:rsidRPr="007B32A0">
        <w:rPr>
          <w:rFonts w:asciiTheme="minorBidi" w:hAnsiTheme="minorBidi"/>
          <w:sz w:val="24"/>
          <w:szCs w:val="24"/>
          <w:vertAlign w:val="superscript"/>
        </w:rPr>
        <w:t>st</w:t>
      </w:r>
      <w:r w:rsidRPr="007B32A0">
        <w:rPr>
          <w:rFonts w:asciiTheme="minorBidi" w:hAnsiTheme="minorBidi"/>
          <w:sz w:val="24"/>
          <w:szCs w:val="24"/>
        </w:rPr>
        <w:t xml:space="preserve"> March 2010. </w:t>
      </w:r>
      <w:r w:rsidR="00EF5B44" w:rsidRPr="007B32A0">
        <w:rPr>
          <w:rFonts w:asciiTheme="minorBidi" w:hAnsiTheme="minorBidi"/>
          <w:sz w:val="24"/>
          <w:szCs w:val="24"/>
        </w:rPr>
        <w:t xml:space="preserve"> </w:t>
      </w:r>
      <w:r w:rsidR="007B32A0">
        <w:rPr>
          <w:rFonts w:asciiTheme="minorBidi" w:hAnsiTheme="minorBidi"/>
          <w:sz w:val="24"/>
          <w:szCs w:val="24"/>
        </w:rPr>
        <w:t>As i</w:t>
      </w:r>
      <w:r w:rsidR="00990459" w:rsidRPr="002B4A09">
        <w:rPr>
          <w:rFonts w:asciiTheme="minorBidi" w:hAnsiTheme="minorBidi"/>
          <w:sz w:val="24"/>
          <w:szCs w:val="24"/>
        </w:rPr>
        <w:t>nitial exploratory analysis identified that only a minority of people had five or fewer care processes recorded and that people receiving six or seven care processes had similar characteristics and outcomes</w:t>
      </w:r>
      <w:r w:rsidR="007B32A0">
        <w:rPr>
          <w:rFonts w:asciiTheme="minorBidi" w:hAnsiTheme="minorBidi"/>
          <w:sz w:val="24"/>
          <w:szCs w:val="24"/>
        </w:rPr>
        <w:t xml:space="preserve"> these categories were </w:t>
      </w:r>
      <w:r w:rsidR="00C473E9">
        <w:rPr>
          <w:rFonts w:asciiTheme="minorBidi" w:hAnsiTheme="minorBidi"/>
          <w:sz w:val="24"/>
          <w:szCs w:val="24"/>
        </w:rPr>
        <w:t>used in the analysis</w:t>
      </w:r>
      <w:r w:rsidR="00990459" w:rsidRPr="002B4A09">
        <w:rPr>
          <w:rFonts w:asciiTheme="minorBidi" w:hAnsiTheme="minorBidi"/>
          <w:sz w:val="24"/>
          <w:szCs w:val="24"/>
        </w:rPr>
        <w:t>.  People who had all eight care processes recorded formed the primary reference group to reflect current national guidelines</w:t>
      </w:r>
      <w:r w:rsidR="00C473E9">
        <w:rPr>
          <w:rFonts w:asciiTheme="minorBidi" w:hAnsiTheme="minorBidi"/>
          <w:sz w:val="24"/>
          <w:szCs w:val="24"/>
        </w:rPr>
        <w:t>.</w:t>
      </w:r>
    </w:p>
    <w:p w14:paraId="1A0CF535" w14:textId="2CADDCD6"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 xml:space="preserve">Age and duration of diagnosed diabetes at baseline were calculated using date of birth and date of diagnosis respectively. Ethnicity was based on self-reported ethnic group as recorded by healthcare providers and classified as White, Mixed, South Asian, Black, other or missing. Type of diabetes was attributed based on the most recent type recorded by a healthcare provider and notified to the NDA. </w:t>
      </w:r>
      <w:r w:rsidR="00713637">
        <w:rPr>
          <w:rFonts w:asciiTheme="minorBidi" w:hAnsiTheme="minorBidi"/>
          <w:sz w:val="24"/>
          <w:szCs w:val="24"/>
        </w:rPr>
        <w:t>D</w:t>
      </w:r>
      <w:r w:rsidRPr="008E43AC">
        <w:rPr>
          <w:rFonts w:asciiTheme="minorBidi" w:hAnsiTheme="minorBidi"/>
          <w:sz w:val="24"/>
          <w:szCs w:val="24"/>
        </w:rPr>
        <w:t>ata from a specialist healthcare provider were assigned precedence over the type of diabetes in the primary care health record.</w:t>
      </w:r>
    </w:p>
    <w:p w14:paraId="7E27BAB5" w14:textId="77777777" w:rsidR="00931E93" w:rsidRPr="008E43AC" w:rsidRDefault="00931E93" w:rsidP="008E43AC">
      <w:pPr>
        <w:spacing w:after="0" w:line="480" w:lineRule="auto"/>
        <w:rPr>
          <w:rFonts w:asciiTheme="minorBidi" w:hAnsiTheme="minorBidi"/>
          <w:sz w:val="24"/>
          <w:szCs w:val="24"/>
        </w:rPr>
      </w:pPr>
    </w:p>
    <w:p w14:paraId="5532A465" w14:textId="11900FE2"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Deprivation was measured using the area-based Index of Multiple Deprivation 2007</w:t>
      </w:r>
      <w:r w:rsidR="00D06CB1">
        <w:rPr>
          <w:rFonts w:asciiTheme="minorBidi" w:hAnsiTheme="minorBidi"/>
          <w:sz w:val="24"/>
          <w:szCs w:val="24"/>
        </w:rPr>
        <w:fldChar w:fldCharType="begin" w:fldLock="1"/>
      </w:r>
      <w:r w:rsidR="003E7326">
        <w:rPr>
          <w:rFonts w:asciiTheme="minorBidi" w:hAnsiTheme="minorBidi"/>
          <w:sz w:val="24"/>
          <w:szCs w:val="24"/>
        </w:rPr>
        <w:instrText>ADDIN CSL_CITATION {"citationItems":[{"id":"ITEM-1","itemData":{"URL":"https://data.gov.uk/dataset/bdc1e1a5-aaf3-4f5a-9988-82a11e341eb8/index-of-multiple-deprivation-imd-2007","accessed":{"date-parts":[["2021","4","8"]]},"author":[{"dropping-particle":"","family":"Office for National Statistics","given":"","non-dropping-particle":"","parse-names":false,"suffix":""}],"id":"ITEM-1","issued":{"date-parts":[["0"]]},"title":"Index of Multiple Deprivation (IMD) 2007","type":"webpage"},"uris":["http://www.mendeley.com/documents/?uuid=587351bc-1491-3feb-b29d-a1cca1680425"]}],"mendeley":{"formattedCitation":"&lt;sup&gt;11&lt;/sup&gt;","plainTextFormattedCitation":"11","previouslyFormattedCitation":"&lt;sup&gt;11&lt;/sup&gt;"},"properties":{"noteIndex":0},"schema":"https://github.com/citation-style-language/schema/raw/master/csl-citation.json"}</w:instrText>
      </w:r>
      <w:r w:rsidR="00D06CB1">
        <w:rPr>
          <w:rFonts w:asciiTheme="minorBidi" w:hAnsiTheme="minorBidi"/>
          <w:sz w:val="24"/>
          <w:szCs w:val="24"/>
        </w:rPr>
        <w:fldChar w:fldCharType="separate"/>
      </w:r>
      <w:r w:rsidR="000B76E9" w:rsidRPr="000B76E9">
        <w:rPr>
          <w:rFonts w:asciiTheme="minorBidi" w:hAnsiTheme="minorBidi"/>
          <w:noProof/>
          <w:sz w:val="24"/>
          <w:szCs w:val="24"/>
          <w:vertAlign w:val="superscript"/>
        </w:rPr>
        <w:t>11</w:t>
      </w:r>
      <w:r w:rsidR="00D06CB1">
        <w:rPr>
          <w:rFonts w:asciiTheme="minorBidi" w:hAnsiTheme="minorBidi"/>
          <w:sz w:val="24"/>
          <w:szCs w:val="24"/>
        </w:rPr>
        <w:fldChar w:fldCharType="end"/>
      </w:r>
      <w:r w:rsidRPr="008E43AC">
        <w:rPr>
          <w:rFonts w:asciiTheme="minorBidi" w:hAnsiTheme="minorBidi"/>
          <w:sz w:val="24"/>
          <w:szCs w:val="24"/>
        </w:rPr>
        <w:t xml:space="preserve"> based on the home postcode recorded in the 2009/10 NDA data collection and split into quintiles for analysis</w:t>
      </w:r>
      <w:r w:rsidR="006F5D9F">
        <w:rPr>
          <w:rFonts w:asciiTheme="minorBidi" w:hAnsiTheme="minorBidi"/>
          <w:sz w:val="24"/>
          <w:szCs w:val="24"/>
        </w:rPr>
        <w:t xml:space="preserve">.  </w:t>
      </w:r>
    </w:p>
    <w:p w14:paraId="12D98D3D" w14:textId="77777777" w:rsidR="00931E93" w:rsidRPr="008E43AC" w:rsidRDefault="00931E93" w:rsidP="008E43AC">
      <w:pPr>
        <w:spacing w:after="0" w:line="480" w:lineRule="auto"/>
        <w:rPr>
          <w:rFonts w:asciiTheme="minorBidi" w:hAnsiTheme="minorBidi"/>
          <w:sz w:val="24"/>
          <w:szCs w:val="24"/>
        </w:rPr>
      </w:pPr>
    </w:p>
    <w:p w14:paraId="3F0C08C5" w14:textId="00ACA13D"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The latest reported risk factor measurements in the period 1</w:t>
      </w:r>
      <w:r w:rsidRPr="00B62A1E">
        <w:rPr>
          <w:rFonts w:asciiTheme="minorBidi" w:hAnsiTheme="minorBidi"/>
          <w:sz w:val="24"/>
          <w:szCs w:val="24"/>
          <w:vertAlign w:val="superscript"/>
        </w:rPr>
        <w:t>st</w:t>
      </w:r>
      <w:r w:rsidRPr="008E43AC">
        <w:rPr>
          <w:rFonts w:asciiTheme="minorBidi" w:hAnsiTheme="minorBidi"/>
          <w:sz w:val="24"/>
          <w:szCs w:val="24"/>
        </w:rPr>
        <w:t xml:space="preserve"> January 2009 to 31</w:t>
      </w:r>
      <w:r w:rsidRPr="00B62A1E">
        <w:rPr>
          <w:rFonts w:asciiTheme="minorBidi" w:hAnsiTheme="minorBidi"/>
          <w:sz w:val="24"/>
          <w:szCs w:val="24"/>
          <w:vertAlign w:val="superscript"/>
        </w:rPr>
        <w:t>st</w:t>
      </w:r>
      <w:r w:rsidRPr="008E43AC">
        <w:rPr>
          <w:rFonts w:asciiTheme="minorBidi" w:hAnsiTheme="minorBidi"/>
          <w:sz w:val="24"/>
          <w:szCs w:val="24"/>
        </w:rPr>
        <w:t xml:space="preserve"> March 2010 for HbA</w:t>
      </w:r>
      <w:r w:rsidRPr="00B62A1E">
        <w:rPr>
          <w:rFonts w:asciiTheme="minorBidi" w:hAnsiTheme="minorBidi"/>
          <w:sz w:val="24"/>
          <w:szCs w:val="24"/>
          <w:vertAlign w:val="subscript"/>
        </w:rPr>
        <w:t>1c</w:t>
      </w:r>
      <w:r w:rsidRPr="008E43AC">
        <w:rPr>
          <w:rFonts w:asciiTheme="minorBidi" w:hAnsiTheme="minorBidi"/>
          <w:sz w:val="24"/>
          <w:szCs w:val="24"/>
        </w:rPr>
        <w:t xml:space="preserve">, systolic blood pressure, total cholesterol, creatinine, body mass index and smoking habit were identified. </w:t>
      </w:r>
      <w:r w:rsidRPr="00713414">
        <w:rPr>
          <w:rFonts w:asciiTheme="minorBidi" w:hAnsiTheme="minorBidi"/>
          <w:sz w:val="24"/>
          <w:szCs w:val="24"/>
        </w:rPr>
        <w:t>Estimated glomerular filtration rate (GFR) was calculated using the Modification of Diet in Renal</w:t>
      </w:r>
      <w:r w:rsidRPr="008E43AC">
        <w:rPr>
          <w:rFonts w:asciiTheme="minorBidi" w:hAnsiTheme="minorBidi"/>
          <w:sz w:val="24"/>
          <w:szCs w:val="24"/>
        </w:rPr>
        <w:t xml:space="preserve"> Disease formula.</w:t>
      </w:r>
      <w:r w:rsidR="003E7326">
        <w:rPr>
          <w:rFonts w:asciiTheme="minorBidi" w:hAnsiTheme="minorBidi"/>
          <w:sz w:val="24"/>
          <w:szCs w:val="24"/>
        </w:rPr>
        <w:fldChar w:fldCharType="begin" w:fldLock="1"/>
      </w:r>
      <w:r w:rsidR="00646AED">
        <w:rPr>
          <w:rFonts w:asciiTheme="minorBidi" w:hAnsiTheme="minorBidi"/>
          <w:sz w:val="24"/>
          <w:szCs w:val="24"/>
        </w:rPr>
        <w:instrText>ADDIN CSL_CITATION {"citationItems":[{"id":"ITEM-1","itemData":{"DOI":"10.7326/0003-4819-145-4-200608150-00004","ISSN":"00034819","PMID":"16908915","abstract":"Background: Glomerular filtration rate (GFR) estimates facilitate detection of chronic kidney disease but require calibration of the serum creatinine assay to the laboratory that developed the equation. The 4-variable equation from the Modification of Diet in Renal Disease (MDRD) Study has been reexpressed for use with a standardized assay. Objective: To describe the performance of the revised 4-variable MDRD Study equation and compare it with the performance of the 6-variable MDRD Study and Cockcroft-Gault equations. Design: Comparison of estimated and measured GFR. Setting: 15 clinical centers participating in a randomized, controlled trial. Patients: 1628 patients with chronic kidney disease participating in the MDRD Study. Measurements: Serum creatinine levels were calibrated to an assay traceable to isotope-dilution mass spectrometry. Glomerular filtration rate was measured as urinary clearance of 125I-iothalamate. Results: Mean measured GFR was 39.8 mL/min per 1.73 m2 (SD, 21.2). Accuracy and precision of the revised 4-variable equation were similar to those of the original 6-variable equation and better than in the Cockcroft-Gault equation, even when the latter was corrected for bias, with 90%, 91%, 60%, and 83% of estimates within 30% of measured GFR, respectively. Differences between measured and estimated GFR were greater for all equations when the estimated GFR was 60 mL/min per 1.73 m2 or greater. Limitations: The MDRD Study included few patients with a GFR greater than 90 mL/min per 1.73 m2. Equations were not compared in a separate study sample. Conclusions: The 4-variable MDRD Study equation provides reasonably accurate GFR estimates in patients with chronic kidney disease and a measured GFR of less than 90 mL/min per 1.73 m2. By using the reexpressed MDRD Study equation with the standardized serum creatinine assay, clinical laboratories can report more accurate GFR estimates. © 2006 American College of Physicians.","author":[{"dropping-particle":"","family":"Levey","given":"Andrew S.","non-dropping-particle":"","parse-names":false,"suffix":""},{"dropping-particle":"","family":"Coresh","given":"Josef","non-dropping-particle":"","parse-names":false,"suffix":""},{"dropping-particle":"","family":"Greene","given":"Tom","non-dropping-particle":"","parse-names":false,"suffix":""},{"dropping-particle":"","family":"Stevens","given":"Lesley A.","non-dropping-particle":"","parse-names":false,"suffix":""},{"dropping-particle":"","family":"Zhang","given":"Yaping","non-dropping-particle":"","parse-names":false,"suffix":""},{"dropping-particle":"","family":"Hendriksen","given":"Stephen","non-dropping-particle":"","parse-names":false,"suffix":""},{"dropping-particle":"","family":"Kusek","given":"John W.","non-dropping-particle":"","parse-names":false,"suffix":""},{"dropping-particle":"","family":"Lente","given":"Frederick","non-dropping-particle":"Van","parse-names":false,"suffix":""}],"container-title":"Annals of Internal Medicine","id":"ITEM-1","issue":"4","issued":{"date-parts":[["2006","8","15"]]},"page":"247-254","publisher":"Ann Intern Med","title":"Using standardized serum creatinine values in the modification of diet in renal disease study equation for estimating glomerular filtration rate","type":"article-journal","volume":"145"},"uris":["http://www.mendeley.com/documents/?uuid=11a56e0b-5fb3-3325-82d6-b426b487359f"]}],"mendeley":{"formattedCitation":"&lt;sup&gt;12&lt;/sup&gt;","plainTextFormattedCitation":"12","previouslyFormattedCitation":"&lt;sup&gt;12&lt;/sup&gt;"},"properties":{"noteIndex":0},"schema":"https://github.com/citation-style-language/schema/raw/master/csl-citation.json"}</w:instrText>
      </w:r>
      <w:r w:rsidR="003E7326">
        <w:rPr>
          <w:rFonts w:asciiTheme="minorBidi" w:hAnsiTheme="minorBidi"/>
          <w:sz w:val="24"/>
          <w:szCs w:val="24"/>
        </w:rPr>
        <w:fldChar w:fldCharType="separate"/>
      </w:r>
      <w:r w:rsidR="003E7326" w:rsidRPr="003E7326">
        <w:rPr>
          <w:rFonts w:asciiTheme="minorBidi" w:hAnsiTheme="minorBidi"/>
          <w:noProof/>
          <w:sz w:val="24"/>
          <w:szCs w:val="24"/>
          <w:vertAlign w:val="superscript"/>
        </w:rPr>
        <w:t>12</w:t>
      </w:r>
      <w:r w:rsidR="003E7326">
        <w:rPr>
          <w:rFonts w:asciiTheme="minorBidi" w:hAnsiTheme="minorBidi"/>
          <w:sz w:val="24"/>
          <w:szCs w:val="24"/>
        </w:rPr>
        <w:fldChar w:fldCharType="end"/>
      </w:r>
    </w:p>
    <w:p w14:paraId="4BB93C77" w14:textId="77777777" w:rsidR="00931E93" w:rsidRPr="008E43AC" w:rsidRDefault="00931E93" w:rsidP="008E43AC">
      <w:pPr>
        <w:spacing w:after="0" w:line="480" w:lineRule="auto"/>
        <w:rPr>
          <w:rFonts w:asciiTheme="minorBidi" w:hAnsiTheme="minorBidi"/>
          <w:sz w:val="24"/>
          <w:szCs w:val="24"/>
        </w:rPr>
      </w:pPr>
    </w:p>
    <w:p w14:paraId="1C518556" w14:textId="77777777"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Hospital admissions for myocardial infarction (ICD-10 codes I21-22), stroke (ICD-10 codes I61, I63-64, I67.9), heart failure (ICD-10 codes I50), respiratory disease (ICD-10 codes J01-99), cancer (ICD-10 codes C01-99) between 1</w:t>
      </w:r>
      <w:r w:rsidRPr="00B62A1E">
        <w:rPr>
          <w:rFonts w:asciiTheme="minorBidi" w:hAnsiTheme="minorBidi"/>
          <w:sz w:val="24"/>
          <w:szCs w:val="24"/>
          <w:vertAlign w:val="superscript"/>
        </w:rPr>
        <w:t>st</w:t>
      </w:r>
      <w:r w:rsidRPr="008E43AC">
        <w:rPr>
          <w:rFonts w:asciiTheme="minorBidi" w:hAnsiTheme="minorBidi"/>
          <w:sz w:val="24"/>
          <w:szCs w:val="24"/>
        </w:rPr>
        <w:t xml:space="preserve"> January 2004 and 31</w:t>
      </w:r>
      <w:r w:rsidRPr="00B62A1E">
        <w:rPr>
          <w:rFonts w:asciiTheme="minorBidi" w:hAnsiTheme="minorBidi"/>
          <w:sz w:val="24"/>
          <w:szCs w:val="24"/>
          <w:vertAlign w:val="superscript"/>
        </w:rPr>
        <w:t>st</w:t>
      </w:r>
      <w:r w:rsidRPr="008E43AC">
        <w:rPr>
          <w:rFonts w:asciiTheme="minorBidi" w:hAnsiTheme="minorBidi"/>
          <w:sz w:val="24"/>
          <w:szCs w:val="24"/>
        </w:rPr>
        <w:t xml:space="preserve"> December 2008 were identified.</w:t>
      </w:r>
    </w:p>
    <w:p w14:paraId="7E75017D" w14:textId="77777777" w:rsidR="00931E93" w:rsidRPr="008E43AC" w:rsidRDefault="00931E93" w:rsidP="008E43AC">
      <w:pPr>
        <w:spacing w:after="0" w:line="480" w:lineRule="auto"/>
        <w:rPr>
          <w:rFonts w:asciiTheme="minorBidi" w:hAnsiTheme="minorBidi"/>
          <w:sz w:val="24"/>
          <w:szCs w:val="24"/>
        </w:rPr>
      </w:pPr>
    </w:p>
    <w:p w14:paraId="69C72306" w14:textId="77777777" w:rsidR="00931E93" w:rsidRPr="00B53E9F" w:rsidRDefault="00931E93" w:rsidP="008E43AC">
      <w:pPr>
        <w:spacing w:after="0" w:line="480" w:lineRule="auto"/>
        <w:rPr>
          <w:rFonts w:asciiTheme="minorBidi" w:hAnsiTheme="minorBidi"/>
          <w:sz w:val="24"/>
          <w:szCs w:val="24"/>
          <w:u w:val="single"/>
        </w:rPr>
      </w:pPr>
      <w:r w:rsidRPr="00B53E9F">
        <w:rPr>
          <w:rFonts w:asciiTheme="minorBidi" w:hAnsiTheme="minorBidi"/>
          <w:sz w:val="24"/>
          <w:szCs w:val="24"/>
          <w:u w:val="single"/>
        </w:rPr>
        <w:t xml:space="preserve">Statistical methods </w:t>
      </w:r>
    </w:p>
    <w:p w14:paraId="17979EE2" w14:textId="010C4E3A"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The differences in mean age, duration of diagnosed diabetes, HbA</w:t>
      </w:r>
      <w:r w:rsidRPr="00B62A1E">
        <w:rPr>
          <w:rFonts w:asciiTheme="minorBidi" w:hAnsiTheme="minorBidi"/>
          <w:sz w:val="24"/>
          <w:szCs w:val="24"/>
          <w:vertAlign w:val="subscript"/>
        </w:rPr>
        <w:t>1c</w:t>
      </w:r>
      <w:r w:rsidRPr="008E43AC">
        <w:rPr>
          <w:rFonts w:asciiTheme="minorBidi" w:hAnsiTheme="minorBidi"/>
          <w:sz w:val="24"/>
          <w:szCs w:val="24"/>
        </w:rPr>
        <w:t xml:space="preserve"> and body mass index by the number of care processes recorded as undertaken were tested using analysis of variance (ANOVA) with Levene’s test to identify differences in variance. Differences in the proportion of people recorded as receiving care processes for categorical variables (sex, social deprivation, ethnicity, smoking habit) were tested using the chi-squared statistic. Crude mortality rates and mortality rates per 1000 person years standardised for age and sex to the European Standard population were calculated with 95% confidence intervals using Byar’s method</w:t>
      </w:r>
      <w:r w:rsidR="00054A9A">
        <w:rPr>
          <w:rFonts w:asciiTheme="minorBidi" w:hAnsiTheme="minorBidi"/>
          <w:sz w:val="24"/>
          <w:szCs w:val="24"/>
        </w:rPr>
        <w:t>.</w:t>
      </w:r>
      <w:r w:rsidR="00D06CB1">
        <w:rPr>
          <w:rFonts w:asciiTheme="minorBidi" w:hAnsiTheme="minorBidi"/>
          <w:sz w:val="24"/>
          <w:szCs w:val="24"/>
        </w:rPr>
        <w:fldChar w:fldCharType="begin" w:fldLock="1"/>
      </w:r>
      <w:r w:rsidR="00646AED">
        <w:rPr>
          <w:rFonts w:asciiTheme="minorBidi" w:hAnsiTheme="minorBidi"/>
          <w:sz w:val="24"/>
          <w:szCs w:val="24"/>
        </w:rPr>
        <w:instrText>ADDIN CSL_CITATION {"citationItems":[{"id":"ITEM-1","itemData":{"ISBN":"9789283201823","ISSN":"0300-5038","PMID":"3329634","author":[{"dropping-particle":"","family":"Breslow","given":"N E","non-dropping-particle":"","parse-names":false,"suffix":""},{"dropping-particle":"","family":"Day","given":"N E","non-dropping-particle":"","parse-names":false,"suffix":""}],"container-title":"IARC scientific publications","id":"ITEM-1","issue":"82","issued":{"date-parts":[["1987"]]},"page":"1-406","publisher":"International Agency for Research on Cancer","title":"Statistical methods in cancer research. Volume II--The design and analysis of cohort studies.","type":"article-journal"},"uris":["http://www.mendeley.com/documents/?uuid=d098b24b-2344-492c-961c-a41a14328d28"]}],"mendeley":{"formattedCitation":"&lt;sup&gt;13&lt;/sup&gt;","plainTextFormattedCitation":"13","previouslyFormattedCitation":"&lt;sup&gt;13&lt;/sup&gt;"},"properties":{"noteIndex":0},"schema":"https://github.com/citation-style-language/schema/raw/master/csl-citation.json"}</w:instrText>
      </w:r>
      <w:r w:rsidR="00D06CB1">
        <w:rPr>
          <w:rFonts w:asciiTheme="minorBidi" w:hAnsiTheme="minorBidi"/>
          <w:sz w:val="24"/>
          <w:szCs w:val="24"/>
        </w:rPr>
        <w:fldChar w:fldCharType="separate"/>
      </w:r>
      <w:r w:rsidR="003E7326" w:rsidRPr="003E7326">
        <w:rPr>
          <w:rFonts w:asciiTheme="minorBidi" w:hAnsiTheme="minorBidi"/>
          <w:noProof/>
          <w:sz w:val="24"/>
          <w:szCs w:val="24"/>
          <w:vertAlign w:val="superscript"/>
        </w:rPr>
        <w:t>13</w:t>
      </w:r>
      <w:r w:rsidR="00D06CB1">
        <w:rPr>
          <w:rFonts w:asciiTheme="minorBidi" w:hAnsiTheme="minorBidi"/>
          <w:sz w:val="24"/>
          <w:szCs w:val="24"/>
        </w:rPr>
        <w:fldChar w:fldCharType="end"/>
      </w:r>
    </w:p>
    <w:p w14:paraId="2EB707B0" w14:textId="77777777" w:rsidR="00931E93" w:rsidRPr="008E43AC" w:rsidRDefault="00931E93" w:rsidP="008E43AC">
      <w:pPr>
        <w:spacing w:after="0" w:line="480" w:lineRule="auto"/>
        <w:rPr>
          <w:rFonts w:asciiTheme="minorBidi" w:hAnsiTheme="minorBidi"/>
          <w:sz w:val="24"/>
          <w:szCs w:val="24"/>
        </w:rPr>
      </w:pPr>
    </w:p>
    <w:p w14:paraId="3EAEBEA2" w14:textId="6719C586"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Cox proportional hazard models were created to assess the associations between the number of recorded care processes and mortality for people with type 1 diabetes and type 2 diabetes. A series of models were created consisting of sequentially more covariates to examine potential</w:t>
      </w:r>
      <w:r w:rsidR="00930ED6">
        <w:rPr>
          <w:rFonts w:asciiTheme="minorBidi" w:hAnsiTheme="minorBidi"/>
          <w:sz w:val="24"/>
          <w:szCs w:val="24"/>
        </w:rPr>
        <w:t xml:space="preserve"> confounding</w:t>
      </w:r>
      <w:r w:rsidRPr="008E43AC">
        <w:rPr>
          <w:rFonts w:asciiTheme="minorBidi" w:hAnsiTheme="minorBidi"/>
          <w:sz w:val="24"/>
          <w:szCs w:val="24"/>
        </w:rPr>
        <w:t xml:space="preserve"> factors.</w:t>
      </w:r>
    </w:p>
    <w:p w14:paraId="50D42292" w14:textId="77777777" w:rsidR="00931E93" w:rsidRPr="008E43AC" w:rsidRDefault="00931E93" w:rsidP="008E43AC">
      <w:pPr>
        <w:spacing w:after="0" w:line="480" w:lineRule="auto"/>
        <w:rPr>
          <w:rFonts w:asciiTheme="minorBidi" w:hAnsiTheme="minorBidi"/>
          <w:sz w:val="24"/>
          <w:szCs w:val="24"/>
        </w:rPr>
      </w:pPr>
    </w:p>
    <w:p w14:paraId="753F0D15" w14:textId="39D1E045"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Separate models, adjusting for all risk factors, were created for mortality from cardiovascular disease, cancer, respiratory disease, diabetes specific causes and renal failure for type 1 diabetes and type 2 diabetes separately. Models adjusted for all risk factors and stratified by sex, age (less than 65 years old and 65 years and older), ethnic group, quintiles of deprivation and whether or not the individual had an acute hospital admission in the year prior to the exposure period were constructed for all-cause mortality in people with type 1 diabetes and</w:t>
      </w:r>
      <w:r w:rsidR="00C5200C">
        <w:rPr>
          <w:rFonts w:asciiTheme="minorBidi" w:hAnsiTheme="minorBidi"/>
          <w:sz w:val="24"/>
          <w:szCs w:val="24"/>
        </w:rPr>
        <w:t xml:space="preserve"> </w:t>
      </w:r>
      <w:r w:rsidR="005E68C9">
        <w:rPr>
          <w:rFonts w:asciiTheme="minorBidi" w:hAnsiTheme="minorBidi"/>
          <w:sz w:val="24"/>
          <w:szCs w:val="24"/>
        </w:rPr>
        <w:t xml:space="preserve">in people </w:t>
      </w:r>
      <w:r w:rsidRPr="008E43AC">
        <w:rPr>
          <w:rFonts w:asciiTheme="minorBidi" w:hAnsiTheme="minorBidi"/>
          <w:sz w:val="24"/>
          <w:szCs w:val="24"/>
        </w:rPr>
        <w:t>with type 2 diabetes.</w:t>
      </w:r>
    </w:p>
    <w:p w14:paraId="0EE5DADD" w14:textId="77777777" w:rsidR="00931E93" w:rsidRPr="008E43AC" w:rsidRDefault="00931E93" w:rsidP="008E43AC">
      <w:pPr>
        <w:spacing w:after="0" w:line="480" w:lineRule="auto"/>
        <w:rPr>
          <w:rFonts w:asciiTheme="minorBidi" w:hAnsiTheme="minorBidi"/>
          <w:sz w:val="24"/>
          <w:szCs w:val="24"/>
        </w:rPr>
      </w:pPr>
    </w:p>
    <w:p w14:paraId="230A0A0F" w14:textId="70FA7301"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Two models (</w:t>
      </w:r>
      <w:r w:rsidR="008147E6">
        <w:rPr>
          <w:rFonts w:asciiTheme="minorBidi" w:hAnsiTheme="minorBidi"/>
          <w:sz w:val="24"/>
          <w:szCs w:val="24"/>
        </w:rPr>
        <w:t xml:space="preserve">one </w:t>
      </w:r>
      <w:r w:rsidRPr="008E43AC">
        <w:rPr>
          <w:rFonts w:asciiTheme="minorBidi" w:hAnsiTheme="minorBidi"/>
          <w:sz w:val="24"/>
          <w:szCs w:val="24"/>
        </w:rPr>
        <w:t xml:space="preserve">for type 1 diabetes and </w:t>
      </w:r>
      <w:r w:rsidR="008147E6">
        <w:rPr>
          <w:rFonts w:asciiTheme="minorBidi" w:hAnsiTheme="minorBidi"/>
          <w:sz w:val="24"/>
          <w:szCs w:val="24"/>
        </w:rPr>
        <w:t xml:space="preserve">one </w:t>
      </w:r>
      <w:r w:rsidRPr="008E43AC">
        <w:rPr>
          <w:rFonts w:asciiTheme="minorBidi" w:hAnsiTheme="minorBidi"/>
          <w:sz w:val="24"/>
          <w:szCs w:val="24"/>
        </w:rPr>
        <w:t>for type 2 diabetes) adjusted for age, sex, ethnic group, deprivation and whether or not each of the eight care processes had been completed were created to identify if the association with all-cause mortality varied by type of care process.</w:t>
      </w:r>
      <w:r w:rsidR="00404F04">
        <w:rPr>
          <w:rFonts w:asciiTheme="minorBidi" w:hAnsiTheme="minorBidi"/>
          <w:sz w:val="24"/>
          <w:szCs w:val="24"/>
        </w:rPr>
        <w:t xml:space="preserve">  All variables were </w:t>
      </w:r>
      <w:r w:rsidR="00072EC2">
        <w:rPr>
          <w:rFonts w:asciiTheme="minorBidi" w:hAnsiTheme="minorBidi"/>
          <w:sz w:val="24"/>
          <w:szCs w:val="24"/>
        </w:rPr>
        <w:t xml:space="preserve">defined as categorical variables and included a category for missing data. </w:t>
      </w:r>
      <w:r w:rsidR="00275D15">
        <w:rPr>
          <w:rFonts w:asciiTheme="minorBidi" w:hAnsiTheme="minorBidi"/>
          <w:sz w:val="24"/>
          <w:szCs w:val="24"/>
        </w:rPr>
        <w:t>A sensitivity analysis</w:t>
      </w:r>
      <w:r w:rsidR="00FF4B69">
        <w:rPr>
          <w:rFonts w:asciiTheme="minorBidi" w:hAnsiTheme="minorBidi"/>
          <w:sz w:val="24"/>
          <w:szCs w:val="24"/>
        </w:rPr>
        <w:t xml:space="preserve"> was undertaken</w:t>
      </w:r>
      <w:r w:rsidR="00C45B61">
        <w:rPr>
          <w:rFonts w:asciiTheme="minorBidi" w:hAnsiTheme="minorBidi"/>
          <w:sz w:val="24"/>
          <w:szCs w:val="24"/>
        </w:rPr>
        <w:t xml:space="preserve"> </w:t>
      </w:r>
      <w:r w:rsidR="00275D15">
        <w:rPr>
          <w:rFonts w:asciiTheme="minorBidi" w:hAnsiTheme="minorBidi"/>
          <w:sz w:val="24"/>
          <w:szCs w:val="24"/>
        </w:rPr>
        <w:t>in which everyone included in the 2009/10 NDA and still alive on 1</w:t>
      </w:r>
      <w:r w:rsidR="00275D15" w:rsidRPr="002B4A09">
        <w:rPr>
          <w:rFonts w:asciiTheme="minorBidi" w:hAnsiTheme="minorBidi"/>
          <w:sz w:val="24"/>
          <w:szCs w:val="24"/>
          <w:vertAlign w:val="superscript"/>
        </w:rPr>
        <w:t>st</w:t>
      </w:r>
      <w:r w:rsidR="00275D15">
        <w:rPr>
          <w:rFonts w:asciiTheme="minorBidi" w:hAnsiTheme="minorBidi"/>
          <w:sz w:val="24"/>
          <w:szCs w:val="24"/>
        </w:rPr>
        <w:t xml:space="preserve"> January 2011 to explore whether the survival bias introduced by excluding deaths shortly after the exposure period altered the findings.  </w:t>
      </w:r>
    </w:p>
    <w:p w14:paraId="533096A6" w14:textId="77777777" w:rsidR="00931E93" w:rsidRPr="008E43AC" w:rsidRDefault="00931E93" w:rsidP="008E43AC">
      <w:pPr>
        <w:spacing w:after="0" w:line="480" w:lineRule="auto"/>
        <w:rPr>
          <w:rFonts w:asciiTheme="minorBidi" w:hAnsiTheme="minorBidi"/>
          <w:sz w:val="24"/>
          <w:szCs w:val="24"/>
        </w:rPr>
      </w:pPr>
    </w:p>
    <w:p w14:paraId="0A1036CC" w14:textId="77777777"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Statistical analysis was undertaken in SAS Enterprise Guide 7.1.</w:t>
      </w:r>
    </w:p>
    <w:p w14:paraId="2B12F771" w14:textId="77777777" w:rsidR="00931E93" w:rsidRPr="008E43AC" w:rsidRDefault="00931E93" w:rsidP="008E43AC">
      <w:pPr>
        <w:spacing w:after="0" w:line="480" w:lineRule="auto"/>
        <w:rPr>
          <w:rFonts w:asciiTheme="minorBidi" w:hAnsiTheme="minorBidi"/>
          <w:sz w:val="24"/>
          <w:szCs w:val="24"/>
        </w:rPr>
      </w:pPr>
    </w:p>
    <w:p w14:paraId="244F033C" w14:textId="063BD28B" w:rsidR="00583A4D" w:rsidRPr="008E43AC" w:rsidRDefault="00931E93" w:rsidP="00583A4D">
      <w:pPr>
        <w:spacing w:after="0" w:line="480" w:lineRule="auto"/>
        <w:rPr>
          <w:rFonts w:asciiTheme="minorBidi" w:hAnsiTheme="minorBidi"/>
          <w:b/>
          <w:bCs/>
          <w:sz w:val="24"/>
          <w:szCs w:val="24"/>
        </w:rPr>
      </w:pPr>
      <w:r w:rsidRPr="008E43AC">
        <w:rPr>
          <w:rFonts w:asciiTheme="minorBidi" w:hAnsiTheme="minorBidi"/>
          <w:b/>
          <w:bCs/>
          <w:sz w:val="24"/>
          <w:szCs w:val="24"/>
        </w:rPr>
        <w:t>Results</w:t>
      </w:r>
    </w:p>
    <w:p w14:paraId="75F9E343" w14:textId="62BBA103"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179,105 people with type 1 diabetes and 1,397,790 with type 2 diabetes were followed up for a mean of 7.5 (SD 1.4) and 7.0 (SD 1.8) years respectively. Among those with type 1 diabetes 80,635 (45.0%) had received all eight care processes at least once between 1</w:t>
      </w:r>
      <w:r w:rsidRPr="00B62A1E">
        <w:rPr>
          <w:rFonts w:asciiTheme="minorBidi" w:hAnsiTheme="minorBidi"/>
          <w:sz w:val="24"/>
          <w:szCs w:val="24"/>
          <w:vertAlign w:val="superscript"/>
        </w:rPr>
        <w:t>st</w:t>
      </w:r>
      <w:r w:rsidRPr="008E43AC">
        <w:rPr>
          <w:rFonts w:asciiTheme="minorBidi" w:hAnsiTheme="minorBidi"/>
          <w:sz w:val="24"/>
          <w:szCs w:val="24"/>
        </w:rPr>
        <w:t xml:space="preserve"> January 2009 and 31</w:t>
      </w:r>
      <w:r w:rsidRPr="00B62A1E">
        <w:rPr>
          <w:rFonts w:asciiTheme="minorBidi" w:hAnsiTheme="minorBidi"/>
          <w:sz w:val="24"/>
          <w:szCs w:val="24"/>
          <w:vertAlign w:val="superscript"/>
        </w:rPr>
        <w:t>st</w:t>
      </w:r>
      <w:r w:rsidRPr="008E43AC">
        <w:rPr>
          <w:rFonts w:asciiTheme="minorBidi" w:hAnsiTheme="minorBidi"/>
          <w:sz w:val="24"/>
          <w:szCs w:val="24"/>
        </w:rPr>
        <w:t xml:space="preserve"> March 2010</w:t>
      </w:r>
      <w:r w:rsidR="007B123B">
        <w:rPr>
          <w:rFonts w:asciiTheme="minorBidi" w:hAnsiTheme="minorBidi"/>
          <w:sz w:val="24"/>
          <w:szCs w:val="24"/>
        </w:rPr>
        <w:t>, 61,230 (34.2%) received six or seven care processes</w:t>
      </w:r>
      <w:r w:rsidRPr="008E43AC">
        <w:rPr>
          <w:rFonts w:asciiTheme="minorBidi" w:hAnsiTheme="minorBidi"/>
          <w:sz w:val="24"/>
          <w:szCs w:val="24"/>
        </w:rPr>
        <w:t xml:space="preserve"> whilst 37,235 (20.8%) received </w:t>
      </w:r>
      <w:r w:rsidR="007B123B">
        <w:rPr>
          <w:rFonts w:asciiTheme="minorBidi" w:hAnsiTheme="minorBidi"/>
          <w:sz w:val="24"/>
          <w:szCs w:val="24"/>
        </w:rPr>
        <w:t>five or fewer</w:t>
      </w:r>
      <w:r w:rsidRPr="008E43AC">
        <w:rPr>
          <w:rFonts w:asciiTheme="minorBidi" w:hAnsiTheme="minorBidi"/>
          <w:sz w:val="24"/>
          <w:szCs w:val="24"/>
        </w:rPr>
        <w:t xml:space="preserve"> care processes in the same period. The corresponding figures for people with type 2 diabetes were 878,605 (62.9%)</w:t>
      </w:r>
      <w:r w:rsidR="007B123B">
        <w:rPr>
          <w:rFonts w:asciiTheme="minorBidi" w:hAnsiTheme="minorBidi"/>
          <w:sz w:val="24"/>
          <w:szCs w:val="24"/>
        </w:rPr>
        <w:t>, 387,060 (27.6%)</w:t>
      </w:r>
      <w:r w:rsidRPr="008E43AC">
        <w:rPr>
          <w:rFonts w:asciiTheme="minorBidi" w:hAnsiTheme="minorBidi"/>
          <w:sz w:val="24"/>
          <w:szCs w:val="24"/>
        </w:rPr>
        <w:t xml:space="preserve"> and 132,125 (9.5%) respectively.</w:t>
      </w:r>
    </w:p>
    <w:p w14:paraId="0FAFEA60" w14:textId="77777777" w:rsidR="007B123B" w:rsidRPr="008E43AC" w:rsidRDefault="007B123B" w:rsidP="008E43AC">
      <w:pPr>
        <w:spacing w:after="0" w:line="480" w:lineRule="auto"/>
        <w:rPr>
          <w:rFonts w:asciiTheme="minorBidi" w:hAnsiTheme="minorBidi"/>
          <w:sz w:val="24"/>
          <w:szCs w:val="24"/>
        </w:rPr>
      </w:pPr>
    </w:p>
    <w:p w14:paraId="54CCF106" w14:textId="77777777" w:rsidR="00931E93" w:rsidRPr="00B53E9F" w:rsidRDefault="00931E93" w:rsidP="008E43AC">
      <w:pPr>
        <w:spacing w:after="0" w:line="480" w:lineRule="auto"/>
        <w:rPr>
          <w:rFonts w:asciiTheme="minorBidi" w:hAnsiTheme="minorBidi"/>
          <w:i/>
          <w:iCs/>
          <w:sz w:val="24"/>
          <w:szCs w:val="24"/>
        </w:rPr>
      </w:pPr>
      <w:r w:rsidRPr="00B53E9F">
        <w:rPr>
          <w:rFonts w:asciiTheme="minorBidi" w:hAnsiTheme="minorBidi"/>
          <w:i/>
          <w:iCs/>
          <w:sz w:val="24"/>
          <w:szCs w:val="24"/>
        </w:rPr>
        <w:t>Characteristics by number of care processes received</w:t>
      </w:r>
    </w:p>
    <w:p w14:paraId="55475496" w14:textId="4D131147" w:rsidR="00931E93" w:rsidRPr="008E43AC" w:rsidRDefault="00931E93" w:rsidP="007B123B">
      <w:pPr>
        <w:spacing w:after="0" w:line="480" w:lineRule="auto"/>
        <w:rPr>
          <w:rFonts w:asciiTheme="minorBidi" w:hAnsiTheme="minorBidi"/>
          <w:sz w:val="24"/>
          <w:szCs w:val="24"/>
        </w:rPr>
      </w:pPr>
      <w:r w:rsidRPr="008E43AC">
        <w:rPr>
          <w:rFonts w:asciiTheme="minorBidi" w:hAnsiTheme="minorBidi"/>
          <w:sz w:val="24"/>
          <w:szCs w:val="24"/>
        </w:rPr>
        <w:t>Care process completion variation showed little relation to deprivation but was associated with age, ethnicity, HbA</w:t>
      </w:r>
      <w:r w:rsidRPr="00B62A1E">
        <w:rPr>
          <w:rFonts w:asciiTheme="minorBidi" w:hAnsiTheme="minorBidi"/>
          <w:sz w:val="24"/>
          <w:szCs w:val="24"/>
          <w:vertAlign w:val="subscript"/>
        </w:rPr>
        <w:t>1c</w:t>
      </w:r>
      <w:r w:rsidRPr="008E43AC">
        <w:rPr>
          <w:rFonts w:asciiTheme="minorBidi" w:hAnsiTheme="minorBidi"/>
          <w:sz w:val="24"/>
          <w:szCs w:val="24"/>
        </w:rPr>
        <w:t xml:space="preserve"> and smoking </w:t>
      </w:r>
      <w:r w:rsidR="003F0396">
        <w:rPr>
          <w:rFonts w:asciiTheme="minorBidi" w:hAnsiTheme="minorBidi"/>
          <w:sz w:val="24"/>
          <w:szCs w:val="24"/>
        </w:rPr>
        <w:t>status</w:t>
      </w:r>
      <w:r w:rsidRPr="008E43AC">
        <w:rPr>
          <w:rFonts w:asciiTheme="minorBidi" w:hAnsiTheme="minorBidi"/>
          <w:sz w:val="24"/>
          <w:szCs w:val="24"/>
        </w:rPr>
        <w:t xml:space="preserve"> (Table 1). The mean age of those with type 1 diabetes recorded as having received five or fewer care processes was 40.6 years compared to mean ages of </w:t>
      </w:r>
      <w:r w:rsidR="007B123B">
        <w:rPr>
          <w:rFonts w:asciiTheme="minorBidi" w:hAnsiTheme="minorBidi"/>
          <w:sz w:val="24"/>
          <w:szCs w:val="24"/>
        </w:rPr>
        <w:t xml:space="preserve">46.3 and </w:t>
      </w:r>
      <w:r w:rsidRPr="008E43AC">
        <w:rPr>
          <w:rFonts w:asciiTheme="minorBidi" w:hAnsiTheme="minorBidi"/>
          <w:sz w:val="24"/>
          <w:szCs w:val="24"/>
        </w:rPr>
        <w:t xml:space="preserve">51.0 years for those recorded as receiving </w:t>
      </w:r>
      <w:r w:rsidR="007B123B">
        <w:rPr>
          <w:rFonts w:asciiTheme="minorBidi" w:hAnsiTheme="minorBidi"/>
          <w:sz w:val="24"/>
          <w:szCs w:val="24"/>
        </w:rPr>
        <w:t xml:space="preserve">six or seven care processes and </w:t>
      </w:r>
      <w:r w:rsidRPr="008E43AC">
        <w:rPr>
          <w:rFonts w:asciiTheme="minorBidi" w:hAnsiTheme="minorBidi"/>
          <w:sz w:val="24"/>
          <w:szCs w:val="24"/>
        </w:rPr>
        <w:t xml:space="preserve">all eight recommended care processes </w:t>
      </w:r>
      <w:r w:rsidR="007B123B">
        <w:rPr>
          <w:rFonts w:asciiTheme="minorBidi" w:hAnsiTheme="minorBidi"/>
          <w:sz w:val="24"/>
          <w:szCs w:val="24"/>
        </w:rPr>
        <w:t xml:space="preserve">respectively </w:t>
      </w:r>
      <w:r w:rsidRPr="008E43AC">
        <w:rPr>
          <w:rFonts w:asciiTheme="minorBidi" w:hAnsiTheme="minorBidi"/>
          <w:sz w:val="24"/>
          <w:szCs w:val="24"/>
        </w:rPr>
        <w:t>(p&lt;0.005)</w:t>
      </w:r>
      <w:r w:rsidR="007B123B">
        <w:rPr>
          <w:rFonts w:asciiTheme="minorBidi" w:hAnsiTheme="minorBidi"/>
          <w:sz w:val="24"/>
          <w:szCs w:val="24"/>
        </w:rPr>
        <w:t xml:space="preserve">.  For those with type 2 diabetes mean ages were </w:t>
      </w:r>
      <w:r w:rsidRPr="008E43AC">
        <w:rPr>
          <w:rFonts w:asciiTheme="minorBidi" w:hAnsiTheme="minorBidi"/>
          <w:sz w:val="24"/>
          <w:szCs w:val="24"/>
        </w:rPr>
        <w:t xml:space="preserve"> 60.9</w:t>
      </w:r>
      <w:r w:rsidR="007B123B">
        <w:rPr>
          <w:rFonts w:asciiTheme="minorBidi" w:hAnsiTheme="minorBidi"/>
          <w:sz w:val="24"/>
          <w:szCs w:val="24"/>
        </w:rPr>
        <w:t>, 6</w:t>
      </w:r>
      <w:r w:rsidR="00E8366E">
        <w:rPr>
          <w:rFonts w:asciiTheme="minorBidi" w:hAnsiTheme="minorBidi"/>
          <w:sz w:val="24"/>
          <w:szCs w:val="24"/>
        </w:rPr>
        <w:t>3.5</w:t>
      </w:r>
      <w:r w:rsidR="00C8738B">
        <w:rPr>
          <w:rFonts w:asciiTheme="minorBidi" w:hAnsiTheme="minorBidi"/>
          <w:sz w:val="24"/>
          <w:szCs w:val="24"/>
        </w:rPr>
        <w:t xml:space="preserve"> </w:t>
      </w:r>
      <w:r w:rsidRPr="008E43AC">
        <w:rPr>
          <w:rFonts w:asciiTheme="minorBidi" w:hAnsiTheme="minorBidi"/>
          <w:sz w:val="24"/>
          <w:szCs w:val="24"/>
        </w:rPr>
        <w:t xml:space="preserve">and 65.0 years respectively  (p&lt;0.005). 97.6% of those with type 1 and 97.6% with type 2 diabetes had a valid ethnic group recorded. Among those with type 1 diabetes 89.1% of those recorded as receiving five or fewer care processes </w:t>
      </w:r>
      <w:r w:rsidR="00C8738B" w:rsidRPr="008E43AC">
        <w:rPr>
          <w:rFonts w:asciiTheme="minorBidi" w:hAnsiTheme="minorBidi"/>
          <w:sz w:val="24"/>
          <w:szCs w:val="24"/>
        </w:rPr>
        <w:t xml:space="preserve">and 87.9% recorded as receiving all eight care processes </w:t>
      </w:r>
      <w:r w:rsidRPr="008E43AC">
        <w:rPr>
          <w:rFonts w:asciiTheme="minorBidi" w:hAnsiTheme="minorBidi"/>
          <w:sz w:val="24"/>
          <w:szCs w:val="24"/>
        </w:rPr>
        <w:t>were from White ethnic groups (p&lt;0.005)</w:t>
      </w:r>
      <w:r w:rsidR="00C8738B">
        <w:rPr>
          <w:rFonts w:asciiTheme="minorBidi" w:hAnsiTheme="minorBidi"/>
          <w:sz w:val="24"/>
          <w:szCs w:val="24"/>
        </w:rPr>
        <w:t>;</w:t>
      </w:r>
      <w:r w:rsidRPr="008E43AC">
        <w:rPr>
          <w:rFonts w:asciiTheme="minorBidi" w:hAnsiTheme="minorBidi"/>
          <w:sz w:val="24"/>
          <w:szCs w:val="24"/>
        </w:rPr>
        <w:t xml:space="preserve"> the corresponding proportions in those with type 2 diabetes were 73.3% and 80.8% (p&lt;0.005). Latest mean HbA</w:t>
      </w:r>
      <w:r w:rsidRPr="00B62A1E">
        <w:rPr>
          <w:rFonts w:asciiTheme="minorBidi" w:hAnsiTheme="minorBidi"/>
          <w:sz w:val="24"/>
          <w:szCs w:val="24"/>
          <w:vertAlign w:val="subscript"/>
        </w:rPr>
        <w:t>1c</w:t>
      </w:r>
      <w:r w:rsidRPr="008E43AC">
        <w:rPr>
          <w:rFonts w:asciiTheme="minorBidi" w:hAnsiTheme="minorBidi"/>
          <w:sz w:val="24"/>
          <w:szCs w:val="24"/>
        </w:rPr>
        <w:t xml:space="preserve"> recorded between 1</w:t>
      </w:r>
      <w:r w:rsidRPr="00B62A1E">
        <w:rPr>
          <w:rFonts w:asciiTheme="minorBidi" w:hAnsiTheme="minorBidi"/>
          <w:sz w:val="24"/>
          <w:szCs w:val="24"/>
          <w:vertAlign w:val="superscript"/>
        </w:rPr>
        <w:t>st</w:t>
      </w:r>
      <w:r w:rsidRPr="008E43AC">
        <w:rPr>
          <w:rFonts w:asciiTheme="minorBidi" w:hAnsiTheme="minorBidi"/>
          <w:sz w:val="24"/>
          <w:szCs w:val="24"/>
        </w:rPr>
        <w:t xml:space="preserve"> January 2009 and 31</w:t>
      </w:r>
      <w:r w:rsidRPr="00B62A1E">
        <w:rPr>
          <w:rFonts w:asciiTheme="minorBidi" w:hAnsiTheme="minorBidi"/>
          <w:sz w:val="24"/>
          <w:szCs w:val="24"/>
          <w:vertAlign w:val="superscript"/>
        </w:rPr>
        <w:t>st</w:t>
      </w:r>
      <w:r w:rsidRPr="008E43AC">
        <w:rPr>
          <w:rFonts w:asciiTheme="minorBidi" w:hAnsiTheme="minorBidi"/>
          <w:sz w:val="24"/>
          <w:szCs w:val="24"/>
        </w:rPr>
        <w:t xml:space="preserve"> March 2010 was higher in those recorded as receiving fewer care processes: in people with type 1 diabetes 72 mmol/mol (8.7%) for five or fewer</w:t>
      </w:r>
      <w:r w:rsidR="00E8366E">
        <w:rPr>
          <w:rFonts w:asciiTheme="minorBidi" w:hAnsiTheme="minorBidi"/>
          <w:sz w:val="24"/>
          <w:szCs w:val="24"/>
        </w:rPr>
        <w:t>, 70.3 mmol/mol (8.6%) for six or seven</w:t>
      </w:r>
      <w:r w:rsidRPr="008E43AC">
        <w:rPr>
          <w:rFonts w:asciiTheme="minorBidi" w:hAnsiTheme="minorBidi"/>
          <w:sz w:val="24"/>
          <w:szCs w:val="24"/>
        </w:rPr>
        <w:t xml:space="preserve"> compared to 68 mmol/mol (8.4%) for eight care processes (p&lt;0.005); and in those with type 2 diabetes 62 mmol/mol (7.8%) for five or fewer</w:t>
      </w:r>
      <w:r w:rsidR="00E8366E">
        <w:rPr>
          <w:rFonts w:asciiTheme="minorBidi" w:hAnsiTheme="minorBidi"/>
          <w:sz w:val="24"/>
          <w:szCs w:val="24"/>
        </w:rPr>
        <w:t>, 58.4 mmol/mol (7.5%) for six or seven</w:t>
      </w:r>
      <w:r w:rsidRPr="008E43AC">
        <w:rPr>
          <w:rFonts w:asciiTheme="minorBidi" w:hAnsiTheme="minorBidi"/>
          <w:sz w:val="24"/>
          <w:szCs w:val="24"/>
        </w:rPr>
        <w:t xml:space="preserve"> and 57 mmol/mol (7.4%) for eight care processes (p&lt;0.005). Smoking prevalence recorded between 1</w:t>
      </w:r>
      <w:r w:rsidRPr="00B62A1E">
        <w:rPr>
          <w:rFonts w:asciiTheme="minorBidi" w:hAnsiTheme="minorBidi"/>
          <w:sz w:val="24"/>
          <w:szCs w:val="24"/>
          <w:vertAlign w:val="superscript"/>
        </w:rPr>
        <w:t>st</w:t>
      </w:r>
      <w:r w:rsidRPr="008E43AC">
        <w:rPr>
          <w:rFonts w:asciiTheme="minorBidi" w:hAnsiTheme="minorBidi"/>
          <w:sz w:val="24"/>
          <w:szCs w:val="24"/>
        </w:rPr>
        <w:t xml:space="preserve"> January 2009 and 31</w:t>
      </w:r>
      <w:r w:rsidRPr="00B62A1E">
        <w:rPr>
          <w:rFonts w:asciiTheme="minorBidi" w:hAnsiTheme="minorBidi"/>
          <w:sz w:val="24"/>
          <w:szCs w:val="24"/>
          <w:vertAlign w:val="superscript"/>
        </w:rPr>
        <w:t>st</w:t>
      </w:r>
      <w:r w:rsidRPr="008E43AC">
        <w:rPr>
          <w:rFonts w:asciiTheme="minorBidi" w:hAnsiTheme="minorBidi"/>
          <w:sz w:val="24"/>
          <w:szCs w:val="24"/>
        </w:rPr>
        <w:t xml:space="preserve"> March 2010 was higher among those receiving fewer care processes at 32.9% for </w:t>
      </w:r>
      <w:r w:rsidR="00F060FD">
        <w:rPr>
          <w:rFonts w:asciiTheme="minorBidi" w:hAnsiTheme="minorBidi"/>
          <w:sz w:val="24"/>
          <w:szCs w:val="24"/>
        </w:rPr>
        <w:t>five or fewer compared to</w:t>
      </w:r>
      <w:r w:rsidRPr="008E43AC">
        <w:rPr>
          <w:rFonts w:asciiTheme="minorBidi" w:hAnsiTheme="minorBidi"/>
          <w:sz w:val="24"/>
          <w:szCs w:val="24"/>
        </w:rPr>
        <w:t xml:space="preserve"> 19.9% for eight care processes in type 1 diabetes (p&lt;0.005) and 26.8% vs. 13.7% in type 2 diabetes (p&lt;0.005). </w:t>
      </w:r>
    </w:p>
    <w:p w14:paraId="2C84DD6E" w14:textId="77777777" w:rsidR="00931E93" w:rsidRPr="008E43AC" w:rsidRDefault="00931E93" w:rsidP="008E43AC">
      <w:pPr>
        <w:spacing w:after="0" w:line="480" w:lineRule="auto"/>
        <w:rPr>
          <w:rFonts w:asciiTheme="minorBidi" w:hAnsiTheme="minorBidi"/>
          <w:sz w:val="24"/>
          <w:szCs w:val="24"/>
        </w:rPr>
      </w:pPr>
    </w:p>
    <w:p w14:paraId="002F7DC3" w14:textId="77777777"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 xml:space="preserve">A breakdown of the individual care processes received is provided in Supplemental Tables S1 and S2.  </w:t>
      </w:r>
    </w:p>
    <w:p w14:paraId="38F8492E" w14:textId="77777777" w:rsidR="00931E93" w:rsidRPr="008E43AC" w:rsidRDefault="00931E93" w:rsidP="008E43AC">
      <w:pPr>
        <w:spacing w:after="0" w:line="480" w:lineRule="auto"/>
        <w:rPr>
          <w:rFonts w:asciiTheme="minorBidi" w:hAnsiTheme="minorBidi"/>
          <w:sz w:val="24"/>
          <w:szCs w:val="24"/>
        </w:rPr>
      </w:pPr>
    </w:p>
    <w:p w14:paraId="281C2B0D" w14:textId="77777777" w:rsidR="00931E93" w:rsidRPr="00B53E9F" w:rsidRDefault="00931E93" w:rsidP="008E43AC">
      <w:pPr>
        <w:spacing w:after="0" w:line="480" w:lineRule="auto"/>
        <w:rPr>
          <w:rFonts w:asciiTheme="minorBidi" w:hAnsiTheme="minorBidi"/>
          <w:i/>
          <w:iCs/>
          <w:sz w:val="24"/>
          <w:szCs w:val="24"/>
        </w:rPr>
      </w:pPr>
      <w:r w:rsidRPr="00B53E9F">
        <w:rPr>
          <w:rFonts w:asciiTheme="minorBidi" w:hAnsiTheme="minorBidi"/>
          <w:i/>
          <w:iCs/>
          <w:sz w:val="24"/>
          <w:szCs w:val="24"/>
        </w:rPr>
        <w:t>Mortality by number of care processes received</w:t>
      </w:r>
    </w:p>
    <w:p w14:paraId="7F4E5480" w14:textId="123C00E1"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Over the period 1</w:t>
      </w:r>
      <w:r w:rsidRPr="00B62A1E">
        <w:rPr>
          <w:rFonts w:asciiTheme="minorBidi" w:hAnsiTheme="minorBidi"/>
          <w:sz w:val="24"/>
          <w:szCs w:val="24"/>
          <w:vertAlign w:val="superscript"/>
        </w:rPr>
        <w:t>st</w:t>
      </w:r>
      <w:r w:rsidRPr="008E43AC">
        <w:rPr>
          <w:rFonts w:asciiTheme="minorBidi" w:hAnsiTheme="minorBidi"/>
          <w:sz w:val="24"/>
          <w:szCs w:val="24"/>
        </w:rPr>
        <w:t xml:space="preserve"> January 2012 to 31</w:t>
      </w:r>
      <w:r w:rsidRPr="00B62A1E">
        <w:rPr>
          <w:rFonts w:asciiTheme="minorBidi" w:hAnsiTheme="minorBidi"/>
          <w:sz w:val="24"/>
          <w:szCs w:val="24"/>
          <w:vertAlign w:val="superscript"/>
        </w:rPr>
        <w:t>st</w:t>
      </w:r>
      <w:r w:rsidRPr="008E43AC">
        <w:rPr>
          <w:rFonts w:asciiTheme="minorBidi" w:hAnsiTheme="minorBidi"/>
          <w:sz w:val="24"/>
          <w:szCs w:val="24"/>
        </w:rPr>
        <w:t xml:space="preserve"> December 2019 there were 26,915 deaths over 1,431,940 person years follow up in people with type 1 diabetes and 388,093 deaths over 9,853,914 person years follow up in those with type 2 diabetes. The all-cause age and sex standardised mortality rate for people with type 1 diabetes with five or fewer care processes was 33.5 (95% CI 32.3-34.8) compared to</w:t>
      </w:r>
      <w:r w:rsidR="00E8366E">
        <w:rPr>
          <w:rFonts w:asciiTheme="minorBidi" w:hAnsiTheme="minorBidi"/>
          <w:sz w:val="24"/>
          <w:szCs w:val="24"/>
        </w:rPr>
        <w:t xml:space="preserve"> 34.4 (95% CI 33.5-35.9) for those with six or seven care processes recorded and </w:t>
      </w:r>
      <w:r w:rsidRPr="008E43AC">
        <w:rPr>
          <w:rFonts w:asciiTheme="minorBidi" w:hAnsiTheme="minorBidi"/>
          <w:sz w:val="24"/>
          <w:szCs w:val="24"/>
        </w:rPr>
        <w:t>30.7 (95% CI 29.6-31.8) for those with eight care processes recorded. The corresponding figures for people with type 2 diabetes were 30.8 (95% CI 30.4-31.1)</w:t>
      </w:r>
      <w:r w:rsidR="00E8366E">
        <w:rPr>
          <w:rFonts w:asciiTheme="minorBidi" w:hAnsiTheme="minorBidi"/>
          <w:sz w:val="24"/>
          <w:szCs w:val="24"/>
        </w:rPr>
        <w:t xml:space="preserve">, 27.5 (95% CI 27.2-27.7) </w:t>
      </w:r>
      <w:r w:rsidRPr="008E43AC">
        <w:rPr>
          <w:rFonts w:asciiTheme="minorBidi" w:hAnsiTheme="minorBidi"/>
          <w:sz w:val="24"/>
          <w:szCs w:val="24"/>
        </w:rPr>
        <w:t>and 25.2 (95% CI 25.0-25.4) (Table 2).</w:t>
      </w:r>
    </w:p>
    <w:p w14:paraId="7B0CAE0E" w14:textId="7A6EBFFB" w:rsidR="00931E93" w:rsidRPr="008E43AC" w:rsidRDefault="00931E93" w:rsidP="00874589">
      <w:pPr>
        <w:spacing w:after="0" w:line="480" w:lineRule="auto"/>
        <w:rPr>
          <w:rFonts w:asciiTheme="minorBidi" w:hAnsiTheme="minorBidi"/>
          <w:sz w:val="24"/>
          <w:szCs w:val="24"/>
        </w:rPr>
      </w:pPr>
      <w:r w:rsidRPr="008E43AC">
        <w:rPr>
          <w:rFonts w:asciiTheme="minorBidi" w:hAnsiTheme="minorBidi"/>
          <w:sz w:val="24"/>
          <w:szCs w:val="24"/>
        </w:rPr>
        <w:t>After adjustment for age, sex, ethnicity and deprivation five or fewer than five care processes recorded</w:t>
      </w:r>
      <w:r w:rsidR="00E8366E">
        <w:rPr>
          <w:rFonts w:asciiTheme="minorBidi" w:hAnsiTheme="minorBidi"/>
          <w:sz w:val="24"/>
          <w:szCs w:val="24"/>
        </w:rPr>
        <w:t xml:space="preserve"> and having six or seven care processes recorded</w:t>
      </w:r>
      <w:r w:rsidRPr="008E43AC">
        <w:rPr>
          <w:rFonts w:asciiTheme="minorBidi" w:hAnsiTheme="minorBidi"/>
          <w:sz w:val="24"/>
          <w:szCs w:val="24"/>
        </w:rPr>
        <w:t xml:space="preserve"> during the period 1</w:t>
      </w:r>
      <w:r w:rsidRPr="00B62A1E">
        <w:rPr>
          <w:rFonts w:asciiTheme="minorBidi" w:hAnsiTheme="minorBidi"/>
          <w:sz w:val="24"/>
          <w:szCs w:val="24"/>
          <w:vertAlign w:val="superscript"/>
        </w:rPr>
        <w:t>st</w:t>
      </w:r>
      <w:r w:rsidRPr="008E43AC">
        <w:rPr>
          <w:rFonts w:asciiTheme="minorBidi" w:hAnsiTheme="minorBidi"/>
          <w:sz w:val="24"/>
          <w:szCs w:val="24"/>
        </w:rPr>
        <w:t xml:space="preserve"> January 2009 to 31</w:t>
      </w:r>
      <w:r w:rsidRPr="00B62A1E">
        <w:rPr>
          <w:rFonts w:asciiTheme="minorBidi" w:hAnsiTheme="minorBidi"/>
          <w:sz w:val="24"/>
          <w:szCs w:val="24"/>
          <w:vertAlign w:val="superscript"/>
        </w:rPr>
        <w:t>st</w:t>
      </w:r>
      <w:r w:rsidRPr="008E43AC">
        <w:rPr>
          <w:rFonts w:asciiTheme="minorBidi" w:hAnsiTheme="minorBidi"/>
          <w:sz w:val="24"/>
          <w:szCs w:val="24"/>
        </w:rPr>
        <w:t xml:space="preserve"> March 2010 was inversely associated with higher all-cause mortality (HR compared to those receiving all eight care processes</w:t>
      </w:r>
      <w:r w:rsidR="00E8366E">
        <w:rPr>
          <w:rFonts w:asciiTheme="minorBidi" w:hAnsiTheme="minorBidi"/>
          <w:sz w:val="24"/>
          <w:szCs w:val="24"/>
        </w:rPr>
        <w:t xml:space="preserve"> </w:t>
      </w:r>
      <w:r w:rsidR="00874589">
        <w:rPr>
          <w:rFonts w:asciiTheme="minorBidi" w:hAnsiTheme="minorBidi"/>
          <w:sz w:val="24"/>
          <w:szCs w:val="24"/>
        </w:rPr>
        <w:t>1.17</w:t>
      </w:r>
      <w:r w:rsidR="00E8366E">
        <w:rPr>
          <w:rFonts w:asciiTheme="minorBidi" w:hAnsiTheme="minorBidi"/>
          <w:sz w:val="24"/>
          <w:szCs w:val="24"/>
        </w:rPr>
        <w:t xml:space="preserve">, 95% CI </w:t>
      </w:r>
      <w:r w:rsidR="00874589">
        <w:rPr>
          <w:rFonts w:asciiTheme="minorBidi" w:hAnsiTheme="minorBidi"/>
          <w:sz w:val="24"/>
          <w:szCs w:val="24"/>
        </w:rPr>
        <w:t>1.14</w:t>
      </w:r>
      <w:r w:rsidR="00E8366E">
        <w:rPr>
          <w:rFonts w:asciiTheme="minorBidi" w:hAnsiTheme="minorBidi"/>
          <w:sz w:val="24"/>
          <w:szCs w:val="24"/>
        </w:rPr>
        <w:t>-</w:t>
      </w:r>
      <w:r w:rsidR="00874589">
        <w:rPr>
          <w:rFonts w:asciiTheme="minorBidi" w:hAnsiTheme="minorBidi"/>
          <w:sz w:val="24"/>
          <w:szCs w:val="24"/>
        </w:rPr>
        <w:t>1.20</w:t>
      </w:r>
      <w:r w:rsidR="00E8366E">
        <w:rPr>
          <w:rFonts w:asciiTheme="minorBidi" w:hAnsiTheme="minorBidi"/>
          <w:sz w:val="24"/>
          <w:szCs w:val="24"/>
        </w:rPr>
        <w:t xml:space="preserve"> for six or seven,</w:t>
      </w:r>
      <w:r w:rsidRPr="008E43AC">
        <w:rPr>
          <w:rFonts w:asciiTheme="minorBidi" w:hAnsiTheme="minorBidi"/>
          <w:sz w:val="24"/>
          <w:szCs w:val="24"/>
        </w:rPr>
        <w:t xml:space="preserve"> 1.35, 95% CI 1.29-1.41 for</w:t>
      </w:r>
      <w:r w:rsidR="00E8366E">
        <w:rPr>
          <w:rFonts w:asciiTheme="minorBidi" w:hAnsiTheme="minorBidi"/>
          <w:sz w:val="24"/>
          <w:szCs w:val="24"/>
        </w:rPr>
        <w:t xml:space="preserve"> five or fewer in</w:t>
      </w:r>
      <w:r w:rsidRPr="008E43AC">
        <w:rPr>
          <w:rFonts w:asciiTheme="minorBidi" w:hAnsiTheme="minorBidi"/>
          <w:sz w:val="24"/>
          <w:szCs w:val="24"/>
        </w:rPr>
        <w:t xml:space="preserve"> Type 1 diabetes and </w:t>
      </w:r>
      <w:r w:rsidR="00874589">
        <w:rPr>
          <w:rFonts w:asciiTheme="minorBidi" w:hAnsiTheme="minorBidi"/>
          <w:sz w:val="24"/>
          <w:szCs w:val="24"/>
        </w:rPr>
        <w:t>1.15</w:t>
      </w:r>
      <w:r w:rsidR="00E8366E">
        <w:rPr>
          <w:rFonts w:asciiTheme="minorBidi" w:hAnsiTheme="minorBidi"/>
          <w:sz w:val="24"/>
          <w:szCs w:val="24"/>
        </w:rPr>
        <w:t xml:space="preserve">, 95% CI </w:t>
      </w:r>
      <w:r w:rsidR="00874589">
        <w:rPr>
          <w:rFonts w:asciiTheme="minorBidi" w:hAnsiTheme="minorBidi"/>
          <w:sz w:val="24"/>
          <w:szCs w:val="24"/>
        </w:rPr>
        <w:t>1.14</w:t>
      </w:r>
      <w:r w:rsidR="00E8366E">
        <w:rPr>
          <w:rFonts w:asciiTheme="minorBidi" w:hAnsiTheme="minorBidi"/>
          <w:sz w:val="24"/>
          <w:szCs w:val="24"/>
        </w:rPr>
        <w:t>-</w:t>
      </w:r>
      <w:r w:rsidR="00874589">
        <w:rPr>
          <w:rFonts w:asciiTheme="minorBidi" w:hAnsiTheme="minorBidi"/>
          <w:sz w:val="24"/>
          <w:szCs w:val="24"/>
        </w:rPr>
        <w:t>1.16</w:t>
      </w:r>
      <w:r w:rsidR="00E8366E">
        <w:rPr>
          <w:rFonts w:asciiTheme="minorBidi" w:hAnsiTheme="minorBidi"/>
          <w:sz w:val="24"/>
          <w:szCs w:val="24"/>
        </w:rPr>
        <w:t xml:space="preserve"> for six or seven, </w:t>
      </w:r>
      <w:r w:rsidRPr="008E43AC">
        <w:rPr>
          <w:rFonts w:asciiTheme="minorBidi" w:hAnsiTheme="minorBidi"/>
          <w:sz w:val="24"/>
          <w:szCs w:val="24"/>
        </w:rPr>
        <w:t>1.36, 95% CI 1.34-1.38 for</w:t>
      </w:r>
      <w:r w:rsidR="00874589">
        <w:rPr>
          <w:rFonts w:asciiTheme="minorBidi" w:hAnsiTheme="minorBidi"/>
          <w:sz w:val="24"/>
          <w:szCs w:val="24"/>
        </w:rPr>
        <w:t xml:space="preserve"> five or fewer in </w:t>
      </w:r>
      <w:r w:rsidRPr="008E43AC">
        <w:rPr>
          <w:rFonts w:asciiTheme="minorBidi" w:hAnsiTheme="minorBidi"/>
          <w:sz w:val="24"/>
          <w:szCs w:val="24"/>
        </w:rPr>
        <w:t>Type 2 diabetes). Further adjustment to include smoking habit, HbA</w:t>
      </w:r>
      <w:r w:rsidRPr="00154DE3">
        <w:rPr>
          <w:rFonts w:asciiTheme="minorBidi" w:hAnsiTheme="minorBidi"/>
          <w:sz w:val="24"/>
          <w:szCs w:val="24"/>
          <w:vertAlign w:val="subscript"/>
        </w:rPr>
        <w:t>1c</w:t>
      </w:r>
      <w:r w:rsidRPr="008E43AC">
        <w:rPr>
          <w:rFonts w:asciiTheme="minorBidi" w:hAnsiTheme="minorBidi"/>
          <w:sz w:val="24"/>
          <w:szCs w:val="24"/>
        </w:rPr>
        <w:t xml:space="preserve">, systolic blood pressure, serum cholesterol, body mass index and duration of diagnosed diabetes increased the HR for all-cause mortality associated with having five or fewer care processes to 1.38 (95% CI 1.29-1.47) for type 1 diabetes and decreased it to 1.33 (95% CI 1.30-1.35) for type 2 diabetes. Adding in eGFR and prior hospital admissions for myocardial infarction, stroke, heart failure, respiratory disease and cancer slightly attenuated </w:t>
      </w:r>
      <w:r w:rsidR="00F060FD">
        <w:rPr>
          <w:rFonts w:asciiTheme="minorBidi" w:hAnsiTheme="minorBidi"/>
          <w:sz w:val="24"/>
          <w:szCs w:val="24"/>
        </w:rPr>
        <w:t xml:space="preserve">these </w:t>
      </w:r>
      <w:r w:rsidR="008E4DC5">
        <w:rPr>
          <w:rFonts w:asciiTheme="minorBidi" w:hAnsiTheme="minorBidi"/>
          <w:sz w:val="24"/>
          <w:szCs w:val="24"/>
        </w:rPr>
        <w:t>HRs</w:t>
      </w:r>
      <w:r w:rsidRPr="008E43AC">
        <w:rPr>
          <w:rFonts w:asciiTheme="minorBidi" w:hAnsiTheme="minorBidi"/>
          <w:sz w:val="24"/>
          <w:szCs w:val="24"/>
        </w:rPr>
        <w:t xml:space="preserve"> (Table 3).</w:t>
      </w:r>
    </w:p>
    <w:p w14:paraId="307E3D28" w14:textId="77777777" w:rsidR="00931E93" w:rsidRPr="008E43AC" w:rsidRDefault="00931E93" w:rsidP="008E43AC">
      <w:pPr>
        <w:spacing w:after="0" w:line="480" w:lineRule="auto"/>
        <w:rPr>
          <w:rFonts w:asciiTheme="minorBidi" w:hAnsiTheme="minorBidi"/>
          <w:sz w:val="24"/>
          <w:szCs w:val="24"/>
        </w:rPr>
      </w:pPr>
    </w:p>
    <w:p w14:paraId="75FCFAEC" w14:textId="6C7C282D"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After adjustment for all covariates, the gradient of the inverse association of mortality in people with type 2 diabetes with number of recorded care processes was lower for cancer deaths (Table 3). In contrast, the gradient for respiratory disease deaths is higher; HR of 1.45 (95% CI 1.19-1.76) in type 1 diabetes and 1.41 (95% CI 1.33-1.49) in type 2 diabetes for five or fewer care processes compared to those with</w:t>
      </w:r>
      <w:r w:rsidR="00F060FD">
        <w:rPr>
          <w:rFonts w:asciiTheme="minorBidi" w:hAnsiTheme="minorBidi"/>
          <w:sz w:val="24"/>
          <w:szCs w:val="24"/>
        </w:rPr>
        <w:t xml:space="preserve"> </w:t>
      </w:r>
      <w:r w:rsidRPr="008E43AC">
        <w:rPr>
          <w:rFonts w:asciiTheme="minorBidi" w:hAnsiTheme="minorBidi"/>
          <w:sz w:val="24"/>
          <w:szCs w:val="24"/>
        </w:rPr>
        <w:t>eight care processes recorded.</w:t>
      </w:r>
    </w:p>
    <w:p w14:paraId="0533364F" w14:textId="77777777" w:rsidR="00931E93" w:rsidRPr="008E43AC" w:rsidRDefault="00931E93" w:rsidP="008E43AC">
      <w:pPr>
        <w:spacing w:after="0" w:line="480" w:lineRule="auto"/>
        <w:rPr>
          <w:rFonts w:asciiTheme="minorBidi" w:hAnsiTheme="minorBidi"/>
          <w:sz w:val="24"/>
          <w:szCs w:val="24"/>
        </w:rPr>
      </w:pPr>
    </w:p>
    <w:p w14:paraId="18B730DF" w14:textId="0500FD5C" w:rsidR="00931E93" w:rsidRDefault="00931E93" w:rsidP="008E43AC">
      <w:pPr>
        <w:spacing w:after="0" w:line="480" w:lineRule="auto"/>
        <w:rPr>
          <w:rFonts w:asciiTheme="minorBidi" w:hAnsiTheme="minorBidi"/>
          <w:sz w:val="24"/>
          <w:szCs w:val="24"/>
        </w:rPr>
      </w:pPr>
      <w:r w:rsidRPr="008E43AC">
        <w:rPr>
          <w:rFonts w:asciiTheme="minorBidi" w:hAnsiTheme="minorBidi"/>
          <w:sz w:val="24"/>
          <w:szCs w:val="24"/>
        </w:rPr>
        <w:t>Among people with type 2 diabetes the inverse association between recorded care processes completion is st</w:t>
      </w:r>
      <w:r w:rsidR="003E19CF">
        <w:rPr>
          <w:rFonts w:asciiTheme="minorBidi" w:hAnsiTheme="minorBidi"/>
          <w:sz w:val="24"/>
          <w:szCs w:val="24"/>
        </w:rPr>
        <w:t>eeper</w:t>
      </w:r>
      <w:r w:rsidRPr="008E43AC">
        <w:rPr>
          <w:rFonts w:asciiTheme="minorBidi" w:hAnsiTheme="minorBidi"/>
          <w:sz w:val="24"/>
          <w:szCs w:val="24"/>
        </w:rPr>
        <w:t xml:space="preserve"> in women than men (HR for five or fewer compared to eight care processes 1.36 (95% CI 1.32-1.40) for women compared to 1.29 (95% CI 1.25-1.33) for men) (see Figure 1b). The HRs for death associated with different numbers of recorded care processes were similar in people aged under or over 65 years in both type 1 diabetes and type 2 diabetes. (see Figure 1a and 1b).</w:t>
      </w:r>
    </w:p>
    <w:p w14:paraId="506807F5" w14:textId="77777777" w:rsidR="00B53E9F" w:rsidRPr="008E43AC" w:rsidRDefault="00B53E9F" w:rsidP="008E43AC">
      <w:pPr>
        <w:spacing w:after="0" w:line="480" w:lineRule="auto"/>
        <w:rPr>
          <w:rFonts w:asciiTheme="minorBidi" w:hAnsiTheme="minorBidi"/>
          <w:sz w:val="24"/>
          <w:szCs w:val="24"/>
        </w:rPr>
      </w:pPr>
    </w:p>
    <w:p w14:paraId="46DA8905" w14:textId="221B1C07" w:rsidR="00931E93" w:rsidRPr="008E43AC" w:rsidRDefault="00931E93" w:rsidP="001E3965">
      <w:pPr>
        <w:spacing w:after="0" w:line="480" w:lineRule="auto"/>
        <w:rPr>
          <w:rFonts w:asciiTheme="minorBidi" w:hAnsiTheme="minorBidi"/>
          <w:sz w:val="24"/>
          <w:szCs w:val="24"/>
        </w:rPr>
      </w:pPr>
      <w:r w:rsidRPr="008E43AC">
        <w:rPr>
          <w:rFonts w:asciiTheme="minorBidi" w:hAnsiTheme="minorBidi"/>
          <w:sz w:val="24"/>
          <w:szCs w:val="24"/>
        </w:rPr>
        <w:t xml:space="preserve">In people with type 2 diabetes the HRs for death associated with </w:t>
      </w:r>
      <w:r w:rsidR="00C34418">
        <w:rPr>
          <w:rFonts w:asciiTheme="minorBidi" w:hAnsiTheme="minorBidi"/>
          <w:sz w:val="24"/>
          <w:szCs w:val="24"/>
        </w:rPr>
        <w:t xml:space="preserve">the </w:t>
      </w:r>
      <w:r w:rsidRPr="008E43AC">
        <w:rPr>
          <w:rFonts w:asciiTheme="minorBidi" w:hAnsiTheme="minorBidi"/>
          <w:sz w:val="24"/>
          <w:szCs w:val="24"/>
        </w:rPr>
        <w:t>number of recorded care processes were similar in White and Black ethnic groups but significantly lower in South Asian ethnic groups (Figure 1). In people with type 1 diabetes confidence intervals were much broader and no differences between ethnic groups w</w:t>
      </w:r>
      <w:r w:rsidR="009133F9">
        <w:rPr>
          <w:rFonts w:asciiTheme="minorBidi" w:hAnsiTheme="minorBidi"/>
          <w:sz w:val="24"/>
          <w:szCs w:val="24"/>
        </w:rPr>
        <w:t>ere</w:t>
      </w:r>
      <w:r w:rsidRPr="008E43AC">
        <w:rPr>
          <w:rFonts w:asciiTheme="minorBidi" w:hAnsiTheme="minorBidi"/>
          <w:sz w:val="24"/>
          <w:szCs w:val="24"/>
        </w:rPr>
        <w:t xml:space="preserve"> identified. In both type 1 diabetes and type 2 diabetes the HRs associated with numbers of recorded care processes were similar across all deprivation quintiles (see Supplemental Table S3).</w:t>
      </w:r>
      <w:r w:rsidR="00092E04">
        <w:rPr>
          <w:rFonts w:asciiTheme="minorBidi" w:hAnsiTheme="minorBidi"/>
          <w:sz w:val="24"/>
          <w:szCs w:val="24"/>
        </w:rPr>
        <w:t xml:space="preserve">  In people who had one or more acute hospital admission in the year prior to the exposure period </w:t>
      </w:r>
      <w:r w:rsidR="00652799">
        <w:rPr>
          <w:rFonts w:asciiTheme="minorBidi" w:hAnsiTheme="minorBidi"/>
          <w:sz w:val="24"/>
          <w:szCs w:val="24"/>
        </w:rPr>
        <w:t xml:space="preserve">the </w:t>
      </w:r>
      <w:r w:rsidR="00FE6994">
        <w:rPr>
          <w:rFonts w:asciiTheme="minorBidi" w:hAnsiTheme="minorBidi"/>
          <w:sz w:val="24"/>
          <w:szCs w:val="24"/>
        </w:rPr>
        <w:t>all-</w:t>
      </w:r>
      <w:r w:rsidR="00830478">
        <w:rPr>
          <w:rFonts w:asciiTheme="minorBidi" w:hAnsiTheme="minorBidi"/>
          <w:sz w:val="24"/>
          <w:szCs w:val="24"/>
        </w:rPr>
        <w:t>cause</w:t>
      </w:r>
      <w:r w:rsidR="00FE6994">
        <w:rPr>
          <w:rFonts w:asciiTheme="minorBidi" w:hAnsiTheme="minorBidi"/>
          <w:sz w:val="24"/>
          <w:szCs w:val="24"/>
        </w:rPr>
        <w:t xml:space="preserve"> mortality HR associated with receiving fewer than five care processes w</w:t>
      </w:r>
      <w:r w:rsidR="00830478">
        <w:rPr>
          <w:rFonts w:asciiTheme="minorBidi" w:hAnsiTheme="minorBidi"/>
          <w:sz w:val="24"/>
          <w:szCs w:val="24"/>
        </w:rPr>
        <w:t xml:space="preserve">as lower </w:t>
      </w:r>
      <w:r w:rsidR="001E3965">
        <w:rPr>
          <w:rFonts w:asciiTheme="minorBidi" w:hAnsiTheme="minorBidi"/>
          <w:sz w:val="24"/>
          <w:szCs w:val="24"/>
        </w:rPr>
        <w:t xml:space="preserve">than for those who did not have an acute hospital </w:t>
      </w:r>
      <w:r w:rsidR="001E3965" w:rsidRPr="00EF5B44">
        <w:rPr>
          <w:rFonts w:asciiTheme="minorBidi" w:hAnsiTheme="minorBidi"/>
          <w:sz w:val="24"/>
          <w:szCs w:val="24"/>
        </w:rPr>
        <w:t xml:space="preserve">admission </w:t>
      </w:r>
      <w:r w:rsidRPr="00EF5B44">
        <w:rPr>
          <w:rFonts w:asciiTheme="minorBidi" w:hAnsiTheme="minorBidi"/>
          <w:sz w:val="24"/>
          <w:szCs w:val="24"/>
        </w:rPr>
        <w:t xml:space="preserve"> (1.29, 95% CI 1.14-1.45 compared to 1.36, 95% CI 1.26-1.47 in type 1 diabetes and 1.27, 95% CI 1.21-1.32 compared to 1.32, 95% CI 1.29-1.35 in type 2 diabetes).</w:t>
      </w:r>
    </w:p>
    <w:p w14:paraId="48C74C86" w14:textId="77777777" w:rsidR="00931E93" w:rsidRPr="008E43AC" w:rsidRDefault="00931E93" w:rsidP="008E43AC">
      <w:pPr>
        <w:spacing w:after="0" w:line="480" w:lineRule="auto"/>
        <w:rPr>
          <w:rFonts w:asciiTheme="minorBidi" w:hAnsiTheme="minorBidi"/>
          <w:sz w:val="24"/>
          <w:szCs w:val="24"/>
        </w:rPr>
      </w:pPr>
    </w:p>
    <w:p w14:paraId="20CF8401" w14:textId="77777777" w:rsidR="00931E93" w:rsidRPr="00B53E9F" w:rsidRDefault="00931E93" w:rsidP="008E43AC">
      <w:pPr>
        <w:spacing w:after="0" w:line="480" w:lineRule="auto"/>
        <w:rPr>
          <w:rFonts w:asciiTheme="minorBidi" w:hAnsiTheme="minorBidi"/>
          <w:i/>
          <w:iCs/>
          <w:sz w:val="24"/>
          <w:szCs w:val="24"/>
        </w:rPr>
      </w:pPr>
      <w:r w:rsidRPr="00B53E9F">
        <w:rPr>
          <w:rFonts w:asciiTheme="minorBidi" w:hAnsiTheme="minorBidi"/>
          <w:i/>
          <w:iCs/>
          <w:sz w:val="24"/>
          <w:szCs w:val="24"/>
        </w:rPr>
        <w:t>Individual care processes</w:t>
      </w:r>
    </w:p>
    <w:p w14:paraId="5407CD3D" w14:textId="53908A6A"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 xml:space="preserve">Associations adjusted for age, sex, ethnicity and deprivation were investigated by individual care process (Supplemental Table S4). Not having BMI measured was associated with the greatest HR for all-cause mortality (1.36, 95% CI 1.30-1.43 for type 1 diabetes and 1.40, 95% CI 1.38-1.42 for type 2 diabetes) followed by not having a cholesterol measurement (1.21, 95% CI 1.14-1.28 for type 1 diabetes and 1.22, 95% CI 1.20-1.25 for type 2 diabetes). By contrast, for both type 1 diabetes and type 2 diabetes no record of blood pressure (0.64, 95% CI 0.60-0.69; 0.67, 95% CI 0.65-0.68), </w:t>
      </w:r>
      <w:r w:rsidR="009133F9">
        <w:rPr>
          <w:rFonts w:asciiTheme="minorBidi" w:hAnsiTheme="minorBidi"/>
          <w:sz w:val="24"/>
          <w:szCs w:val="24"/>
        </w:rPr>
        <w:t>smoking status</w:t>
      </w:r>
      <w:r w:rsidRPr="008E43AC">
        <w:rPr>
          <w:rFonts w:asciiTheme="minorBidi" w:hAnsiTheme="minorBidi"/>
          <w:sz w:val="24"/>
          <w:szCs w:val="24"/>
        </w:rPr>
        <w:t xml:space="preserve"> (0.86, 95% CI 0.83-0.89; 0.91, 95% CI 0.90-0.92) or serum creatinine (0.66, 95% CI 0.62-0.71; 0.82, 95% CI 0.80-0.84) were associated with lower mortality hazards. Not having a HbA</w:t>
      </w:r>
      <w:r w:rsidRPr="00240181">
        <w:rPr>
          <w:rFonts w:asciiTheme="minorBidi" w:hAnsiTheme="minorBidi"/>
          <w:sz w:val="24"/>
          <w:szCs w:val="24"/>
          <w:vertAlign w:val="subscript"/>
        </w:rPr>
        <w:t>1c</w:t>
      </w:r>
      <w:r w:rsidRPr="008E43AC">
        <w:rPr>
          <w:rFonts w:asciiTheme="minorBidi" w:hAnsiTheme="minorBidi"/>
          <w:sz w:val="24"/>
          <w:szCs w:val="24"/>
        </w:rPr>
        <w:t xml:space="preserve"> measurement recorded was associated with higher all-cause mortality in type 1 diabetes (HR 1.24, 95% CI 1.16-1.33) but lower mortality in type 2 diabetes (HR 0.91, 95% CI 0.89-0.93).</w:t>
      </w:r>
    </w:p>
    <w:p w14:paraId="4A5983D0" w14:textId="77777777" w:rsidR="00931E93" w:rsidRPr="008E43AC" w:rsidRDefault="00931E93" w:rsidP="008E43AC">
      <w:pPr>
        <w:spacing w:after="0" w:line="480" w:lineRule="auto"/>
        <w:rPr>
          <w:rFonts w:asciiTheme="minorBidi" w:hAnsiTheme="minorBidi"/>
          <w:sz w:val="24"/>
          <w:szCs w:val="24"/>
        </w:rPr>
      </w:pPr>
    </w:p>
    <w:p w14:paraId="34F6B72E" w14:textId="4008C562" w:rsidR="00931E93" w:rsidRPr="00583A4D" w:rsidRDefault="00931E93" w:rsidP="00583A4D">
      <w:pPr>
        <w:spacing w:after="0" w:line="480" w:lineRule="auto"/>
        <w:rPr>
          <w:rFonts w:asciiTheme="minorBidi" w:hAnsiTheme="minorBidi"/>
          <w:b/>
          <w:bCs/>
          <w:sz w:val="24"/>
          <w:szCs w:val="24"/>
        </w:rPr>
      </w:pPr>
      <w:r w:rsidRPr="008E43AC">
        <w:rPr>
          <w:rFonts w:asciiTheme="minorBidi" w:hAnsiTheme="minorBidi"/>
          <w:b/>
          <w:bCs/>
          <w:sz w:val="24"/>
          <w:szCs w:val="24"/>
        </w:rPr>
        <w:t>Discussion</w:t>
      </w:r>
    </w:p>
    <w:p w14:paraId="77DE2145" w14:textId="2B66EC20" w:rsidR="00931E93" w:rsidRPr="008E43AC" w:rsidRDefault="001D230F" w:rsidP="008E43AC">
      <w:pPr>
        <w:spacing w:after="0" w:line="480" w:lineRule="auto"/>
        <w:rPr>
          <w:rFonts w:asciiTheme="minorBidi" w:hAnsiTheme="minorBidi"/>
          <w:sz w:val="24"/>
          <w:szCs w:val="24"/>
        </w:rPr>
      </w:pPr>
      <w:r>
        <w:rPr>
          <w:rFonts w:asciiTheme="minorBidi" w:hAnsiTheme="minorBidi"/>
          <w:sz w:val="24"/>
          <w:szCs w:val="24"/>
        </w:rPr>
        <w:t>This</w:t>
      </w:r>
      <w:r w:rsidRPr="008E43AC">
        <w:rPr>
          <w:rFonts w:asciiTheme="minorBidi" w:hAnsiTheme="minorBidi"/>
          <w:sz w:val="24"/>
          <w:szCs w:val="24"/>
        </w:rPr>
        <w:t xml:space="preserve"> </w:t>
      </w:r>
      <w:r w:rsidR="00931E93" w:rsidRPr="008E43AC">
        <w:rPr>
          <w:rFonts w:asciiTheme="minorBidi" w:hAnsiTheme="minorBidi"/>
          <w:sz w:val="24"/>
          <w:szCs w:val="24"/>
        </w:rPr>
        <w:t>large national population-based cohort of people with type 1 diabetes and type 2 diabetes</w:t>
      </w:r>
      <w:r w:rsidR="00117F53">
        <w:rPr>
          <w:rFonts w:asciiTheme="minorBidi" w:hAnsiTheme="minorBidi"/>
          <w:sz w:val="24"/>
          <w:szCs w:val="24"/>
        </w:rPr>
        <w:t xml:space="preserve"> </w:t>
      </w:r>
      <w:r w:rsidR="00931E93" w:rsidRPr="008E43AC">
        <w:rPr>
          <w:rFonts w:asciiTheme="minorBidi" w:hAnsiTheme="minorBidi"/>
          <w:sz w:val="24"/>
          <w:szCs w:val="24"/>
        </w:rPr>
        <w:t xml:space="preserve">followed up for means of 7.6 and 6.9 years, respectively, following </w:t>
      </w:r>
      <w:r w:rsidR="001E1124">
        <w:rPr>
          <w:rFonts w:asciiTheme="minorBidi" w:hAnsiTheme="minorBidi"/>
          <w:sz w:val="24"/>
          <w:szCs w:val="24"/>
        </w:rPr>
        <w:t>15 months o</w:t>
      </w:r>
      <w:r w:rsidR="00931E93" w:rsidRPr="008E43AC">
        <w:rPr>
          <w:rFonts w:asciiTheme="minorBidi" w:hAnsiTheme="minorBidi"/>
          <w:sz w:val="24"/>
          <w:szCs w:val="24"/>
        </w:rPr>
        <w:t>f routine care</w:t>
      </w:r>
      <w:r w:rsidR="001E1124">
        <w:rPr>
          <w:rFonts w:asciiTheme="minorBidi" w:hAnsiTheme="minorBidi"/>
          <w:sz w:val="24"/>
          <w:szCs w:val="24"/>
        </w:rPr>
        <w:t xml:space="preserve"> </w:t>
      </w:r>
      <w:r>
        <w:rPr>
          <w:rFonts w:asciiTheme="minorBidi" w:hAnsiTheme="minorBidi"/>
          <w:sz w:val="24"/>
          <w:szCs w:val="24"/>
        </w:rPr>
        <w:t xml:space="preserve">finds </w:t>
      </w:r>
      <w:r w:rsidR="001E1124">
        <w:rPr>
          <w:rFonts w:asciiTheme="minorBidi" w:hAnsiTheme="minorBidi"/>
          <w:sz w:val="24"/>
          <w:szCs w:val="24"/>
        </w:rPr>
        <w:t>that h</w:t>
      </w:r>
      <w:r w:rsidR="00931E93" w:rsidRPr="008E43AC">
        <w:rPr>
          <w:rFonts w:asciiTheme="minorBidi" w:hAnsiTheme="minorBidi"/>
          <w:sz w:val="24"/>
          <w:szCs w:val="24"/>
        </w:rPr>
        <w:t xml:space="preserve">aving five or fewer recorded care processes during that </w:t>
      </w:r>
      <w:r>
        <w:rPr>
          <w:rFonts w:asciiTheme="minorBidi" w:hAnsiTheme="minorBidi"/>
          <w:sz w:val="24"/>
          <w:szCs w:val="24"/>
        </w:rPr>
        <w:t xml:space="preserve">baseline </w:t>
      </w:r>
      <w:r w:rsidR="001E1124">
        <w:rPr>
          <w:rFonts w:asciiTheme="minorBidi" w:hAnsiTheme="minorBidi"/>
          <w:sz w:val="24"/>
          <w:szCs w:val="24"/>
        </w:rPr>
        <w:t>period</w:t>
      </w:r>
      <w:r w:rsidR="00931E93" w:rsidRPr="008E43AC">
        <w:rPr>
          <w:rFonts w:asciiTheme="minorBidi" w:hAnsiTheme="minorBidi"/>
          <w:sz w:val="24"/>
          <w:szCs w:val="24"/>
        </w:rPr>
        <w:t xml:space="preserve"> was associated with </w:t>
      </w:r>
      <w:r w:rsidR="007E0B74">
        <w:rPr>
          <w:rFonts w:asciiTheme="minorBidi" w:hAnsiTheme="minorBidi"/>
          <w:sz w:val="24"/>
          <w:szCs w:val="24"/>
        </w:rPr>
        <w:t>subsequent 7</w:t>
      </w:r>
      <w:r w:rsidR="00C73549">
        <w:rPr>
          <w:rFonts w:asciiTheme="minorBidi" w:hAnsiTheme="minorBidi"/>
          <w:sz w:val="24"/>
          <w:szCs w:val="24"/>
        </w:rPr>
        <w:t xml:space="preserve"> year </w:t>
      </w:r>
      <w:r w:rsidR="00931E93" w:rsidRPr="008E43AC">
        <w:rPr>
          <w:rFonts w:asciiTheme="minorBidi" w:hAnsiTheme="minorBidi"/>
          <w:sz w:val="24"/>
          <w:szCs w:val="24"/>
        </w:rPr>
        <w:t xml:space="preserve">hazards of all-cause mortality approximately one third higher compared to those </w:t>
      </w:r>
      <w:r w:rsidR="00790B23">
        <w:rPr>
          <w:rFonts w:asciiTheme="minorBidi" w:hAnsiTheme="minorBidi"/>
          <w:sz w:val="24"/>
          <w:szCs w:val="24"/>
        </w:rPr>
        <w:t xml:space="preserve">who had </w:t>
      </w:r>
      <w:r w:rsidR="00931E93" w:rsidRPr="008E43AC">
        <w:rPr>
          <w:rFonts w:asciiTheme="minorBidi" w:hAnsiTheme="minorBidi"/>
          <w:sz w:val="24"/>
          <w:szCs w:val="24"/>
        </w:rPr>
        <w:t>all eight care processes after accounting for demographic characteristics. This higher mortality persists after adjustment for clinical factors known to affect the risk of diabetes-related complications (HbA</w:t>
      </w:r>
      <w:r w:rsidR="00931E93" w:rsidRPr="00240181">
        <w:rPr>
          <w:rFonts w:asciiTheme="minorBidi" w:hAnsiTheme="minorBidi"/>
          <w:sz w:val="24"/>
          <w:szCs w:val="24"/>
          <w:vertAlign w:val="subscript"/>
        </w:rPr>
        <w:t>1c</w:t>
      </w:r>
      <w:r w:rsidR="00931E93" w:rsidRPr="008E43AC">
        <w:rPr>
          <w:rFonts w:asciiTheme="minorBidi" w:hAnsiTheme="minorBidi"/>
          <w:sz w:val="24"/>
          <w:szCs w:val="24"/>
        </w:rPr>
        <w:t>, systolic blood pressure, serum cholesterol, body mass index, smoking habit), and cardiovascular and renal co-morbidities were taken into account.</w:t>
      </w:r>
    </w:p>
    <w:p w14:paraId="1FAF51CC" w14:textId="77777777" w:rsidR="00931E93" w:rsidRPr="008E43AC" w:rsidRDefault="00931E93" w:rsidP="008E43AC">
      <w:pPr>
        <w:spacing w:after="0" w:line="480" w:lineRule="auto"/>
        <w:rPr>
          <w:rFonts w:asciiTheme="minorBidi" w:hAnsiTheme="minorBidi"/>
          <w:sz w:val="24"/>
          <w:szCs w:val="24"/>
        </w:rPr>
      </w:pPr>
    </w:p>
    <w:p w14:paraId="3B6BD847" w14:textId="6B0B5D83" w:rsidR="003B4A2B" w:rsidRPr="008E43AC" w:rsidRDefault="00931E93" w:rsidP="000D4216">
      <w:pPr>
        <w:spacing w:after="0" w:line="480" w:lineRule="auto"/>
        <w:rPr>
          <w:rFonts w:asciiTheme="minorBidi" w:hAnsiTheme="minorBidi"/>
          <w:sz w:val="24"/>
          <w:szCs w:val="24"/>
        </w:rPr>
      </w:pPr>
      <w:r w:rsidRPr="008E43AC">
        <w:rPr>
          <w:rFonts w:asciiTheme="minorBidi" w:hAnsiTheme="minorBidi"/>
          <w:sz w:val="24"/>
          <w:szCs w:val="24"/>
        </w:rPr>
        <w:t>The associations were similar between people with type 1 diabetes and type 2 diabetes, at all ages and across socioeconomic groups. In England and Wales most people with type 1 diabetes have specialist led care while for type 2 diabetes, most people are managed in a primary care setting</w:t>
      </w:r>
      <w:r w:rsidR="00054A9A">
        <w:rPr>
          <w:rFonts w:asciiTheme="minorBidi" w:hAnsiTheme="minorBidi"/>
          <w:sz w:val="24"/>
          <w:szCs w:val="24"/>
        </w:rPr>
        <w:t>.</w:t>
      </w:r>
      <w:r w:rsidR="00D06CB1">
        <w:rPr>
          <w:rFonts w:asciiTheme="minorBidi" w:hAnsiTheme="minorBidi"/>
          <w:sz w:val="24"/>
          <w:szCs w:val="24"/>
        </w:rPr>
        <w:fldChar w:fldCharType="begin" w:fldLock="1"/>
      </w:r>
      <w:r w:rsidR="00646AED">
        <w:rPr>
          <w:rFonts w:asciiTheme="minorBidi" w:hAnsiTheme="minorBidi"/>
          <w:sz w:val="24"/>
          <w:szCs w:val="24"/>
        </w:rPr>
        <w:instrText>ADDIN CSL_CITATION {"citationItems":[{"id":"ITEM-1","itemData":{"DOI":"10.1111/dme.13348","ISSN":"07423071","PMID":"28294386","author":[{"dropping-particle":"","family":"Seidu","given":"S.","non-dropping-particle":"","parse-names":false,"suffix":""},{"dropping-particle":"","family":"Davies","given":"M. J.","non-dropping-particle":"","parse-names":false,"suffix":""},{"dropping-particle":"","family":"Farooqi","given":"A.","non-dropping-particle":"","parse-names":false,"suffix":""},{"dropping-particle":"","family":"Khunti","given":"K.","non-dropping-particle":"","parse-names":false,"suffix":""}],"container-title":"Diabetic Medicine","id":"ITEM-1","issue":"6","issued":{"date-parts":[["2017","6","1"]]},"page":"748-750","publisher":"Blackwell Publishing Ltd","title":"Integrated primary care: is this the solution to the diabetes epidemic?","type":"article-journal","volume":"34"},"uris":["http://www.mendeley.com/documents/?uuid=bdae831c-4a4a-3801-b5f5-378ffd652ca2"]}],"mendeley":{"formattedCitation":"&lt;sup&gt;14&lt;/sup&gt;","plainTextFormattedCitation":"14","previouslyFormattedCitation":"&lt;sup&gt;14&lt;/sup&gt;"},"properties":{"noteIndex":0},"schema":"https://github.com/citation-style-language/schema/raw/master/csl-citation.json"}</w:instrText>
      </w:r>
      <w:r w:rsidR="00D06CB1">
        <w:rPr>
          <w:rFonts w:asciiTheme="minorBidi" w:hAnsiTheme="minorBidi"/>
          <w:sz w:val="24"/>
          <w:szCs w:val="24"/>
        </w:rPr>
        <w:fldChar w:fldCharType="separate"/>
      </w:r>
      <w:r w:rsidR="003E7326" w:rsidRPr="003E7326">
        <w:rPr>
          <w:rFonts w:asciiTheme="minorBidi" w:hAnsiTheme="minorBidi"/>
          <w:noProof/>
          <w:sz w:val="24"/>
          <w:szCs w:val="24"/>
          <w:vertAlign w:val="superscript"/>
        </w:rPr>
        <w:t>14</w:t>
      </w:r>
      <w:r w:rsidR="00D06CB1">
        <w:rPr>
          <w:rFonts w:asciiTheme="minorBidi" w:hAnsiTheme="minorBidi"/>
          <w:sz w:val="24"/>
          <w:szCs w:val="24"/>
        </w:rPr>
        <w:fldChar w:fldCharType="end"/>
      </w:r>
      <w:r w:rsidRPr="008E43AC">
        <w:rPr>
          <w:rFonts w:asciiTheme="minorBidi" w:hAnsiTheme="minorBidi"/>
          <w:sz w:val="24"/>
          <w:szCs w:val="24"/>
        </w:rPr>
        <w:t xml:space="preserve"> Accordingly, the association between</w:t>
      </w:r>
      <w:r w:rsidR="00EF67D3">
        <w:rPr>
          <w:rFonts w:asciiTheme="minorBidi" w:hAnsiTheme="minorBidi"/>
          <w:sz w:val="24"/>
          <w:szCs w:val="24"/>
        </w:rPr>
        <w:t xml:space="preserve"> the</w:t>
      </w:r>
      <w:r w:rsidRPr="008E43AC">
        <w:rPr>
          <w:rFonts w:asciiTheme="minorBidi" w:hAnsiTheme="minorBidi"/>
          <w:sz w:val="24"/>
          <w:szCs w:val="24"/>
        </w:rPr>
        <w:t xml:space="preserve"> number of recorded care processes and mortality was  independent of </w:t>
      </w:r>
      <w:r w:rsidR="00EF67D3">
        <w:rPr>
          <w:rFonts w:asciiTheme="minorBidi" w:hAnsiTheme="minorBidi"/>
          <w:sz w:val="24"/>
          <w:szCs w:val="24"/>
        </w:rPr>
        <w:t>the type of care setting</w:t>
      </w:r>
      <w:r w:rsidRPr="008E43AC">
        <w:rPr>
          <w:rFonts w:asciiTheme="minorBidi" w:hAnsiTheme="minorBidi"/>
          <w:sz w:val="24"/>
          <w:szCs w:val="24"/>
        </w:rPr>
        <w:t>. During periods of acute illness or palliative care the medium to long term management of diabetes associated risk may not have clinical priority.</w:t>
      </w:r>
      <w:r w:rsidR="007E217E">
        <w:rPr>
          <w:rFonts w:asciiTheme="minorBidi" w:hAnsiTheme="minorBidi"/>
          <w:sz w:val="24"/>
          <w:szCs w:val="24"/>
        </w:rPr>
        <w:t xml:space="preserve">  </w:t>
      </w:r>
      <w:r w:rsidR="00C73549">
        <w:rPr>
          <w:rFonts w:asciiTheme="minorBidi" w:hAnsiTheme="minorBidi"/>
          <w:sz w:val="24"/>
          <w:szCs w:val="24"/>
        </w:rPr>
        <w:t>Nonetheless, t</w:t>
      </w:r>
      <w:r w:rsidR="006D01B4">
        <w:rPr>
          <w:rFonts w:asciiTheme="minorBidi" w:hAnsiTheme="minorBidi"/>
          <w:sz w:val="24"/>
          <w:szCs w:val="24"/>
        </w:rPr>
        <w:t>he association of higher mortality persists</w:t>
      </w:r>
      <w:r w:rsidR="00C358D6">
        <w:rPr>
          <w:rFonts w:asciiTheme="minorBidi" w:hAnsiTheme="minorBidi"/>
          <w:sz w:val="24"/>
          <w:szCs w:val="24"/>
        </w:rPr>
        <w:t xml:space="preserve"> </w:t>
      </w:r>
      <w:r w:rsidR="006D01B4">
        <w:rPr>
          <w:rFonts w:asciiTheme="minorBidi" w:hAnsiTheme="minorBidi"/>
          <w:sz w:val="24"/>
          <w:szCs w:val="24"/>
        </w:rPr>
        <w:t>in people who had one or more acute hospital admission in the year prior to the assessment of care processes</w:t>
      </w:r>
      <w:r w:rsidR="00C358D6">
        <w:rPr>
          <w:rFonts w:asciiTheme="minorBidi" w:hAnsiTheme="minorBidi"/>
          <w:sz w:val="24"/>
          <w:szCs w:val="24"/>
        </w:rPr>
        <w:t xml:space="preserve"> </w:t>
      </w:r>
      <w:r w:rsidR="006034D3">
        <w:rPr>
          <w:rFonts w:asciiTheme="minorBidi" w:hAnsiTheme="minorBidi"/>
          <w:sz w:val="24"/>
          <w:szCs w:val="24"/>
        </w:rPr>
        <w:t xml:space="preserve">although the HRs for this group are lower than for those without an acute hospital admission, perhaps reflecting </w:t>
      </w:r>
      <w:r w:rsidR="00290F21">
        <w:rPr>
          <w:rFonts w:asciiTheme="minorBidi" w:hAnsiTheme="minorBidi"/>
          <w:sz w:val="24"/>
          <w:szCs w:val="24"/>
        </w:rPr>
        <w:t xml:space="preserve">a partial de-prioritisation of routine </w:t>
      </w:r>
      <w:r w:rsidR="000D4216">
        <w:rPr>
          <w:rFonts w:asciiTheme="minorBidi" w:hAnsiTheme="minorBidi"/>
          <w:sz w:val="24"/>
          <w:szCs w:val="24"/>
        </w:rPr>
        <w:t xml:space="preserve">diabetes care at times of acute illness.  </w:t>
      </w:r>
      <w:r w:rsidR="005E27E6">
        <w:rPr>
          <w:rFonts w:asciiTheme="minorBidi" w:hAnsiTheme="minorBidi"/>
          <w:sz w:val="24"/>
          <w:szCs w:val="24"/>
        </w:rPr>
        <w:t>This finding combined with the e</w:t>
      </w:r>
      <w:r w:rsidRPr="008E43AC">
        <w:rPr>
          <w:rFonts w:asciiTheme="minorBidi" w:hAnsiTheme="minorBidi"/>
          <w:sz w:val="24"/>
          <w:szCs w:val="24"/>
        </w:rPr>
        <w:t xml:space="preserve">xclusion from the analysis of people who died in the three-year period after the care processes were assessed suggest that the association with higher mortality in those not receiving all eight care processes is not </w:t>
      </w:r>
      <w:r w:rsidR="007E217E">
        <w:rPr>
          <w:rFonts w:asciiTheme="minorBidi" w:hAnsiTheme="minorBidi"/>
          <w:sz w:val="24"/>
          <w:szCs w:val="24"/>
        </w:rPr>
        <w:t xml:space="preserve">solely </w:t>
      </w:r>
      <w:r w:rsidRPr="008E43AC">
        <w:rPr>
          <w:rFonts w:asciiTheme="minorBidi" w:hAnsiTheme="minorBidi"/>
          <w:sz w:val="24"/>
          <w:szCs w:val="24"/>
        </w:rPr>
        <w:t>due to care processes being suspended for clinical reasons.</w:t>
      </w:r>
      <w:r w:rsidR="00275D15">
        <w:rPr>
          <w:rFonts w:asciiTheme="minorBidi" w:hAnsiTheme="minorBidi"/>
          <w:sz w:val="24"/>
          <w:szCs w:val="24"/>
        </w:rPr>
        <w:t xml:space="preserve">  </w:t>
      </w:r>
      <w:r w:rsidR="00C73549">
        <w:rPr>
          <w:rFonts w:asciiTheme="minorBidi" w:hAnsiTheme="minorBidi"/>
          <w:sz w:val="24"/>
          <w:szCs w:val="24"/>
        </w:rPr>
        <w:t>Furthermore, a</w:t>
      </w:r>
      <w:r w:rsidR="00275D15">
        <w:rPr>
          <w:rFonts w:asciiTheme="minorBidi" w:hAnsiTheme="minorBidi"/>
          <w:sz w:val="24"/>
          <w:szCs w:val="24"/>
        </w:rPr>
        <w:t xml:space="preserve"> sensitivity analysis including all people included in the 2009/10 NDA and still alive on 1</w:t>
      </w:r>
      <w:r w:rsidR="00275D15" w:rsidRPr="002B4A09">
        <w:rPr>
          <w:rFonts w:asciiTheme="minorBidi" w:hAnsiTheme="minorBidi"/>
          <w:sz w:val="24"/>
          <w:szCs w:val="24"/>
          <w:vertAlign w:val="superscript"/>
        </w:rPr>
        <w:t>st</w:t>
      </w:r>
      <w:r w:rsidR="00275D15">
        <w:rPr>
          <w:rFonts w:asciiTheme="minorBidi" w:hAnsiTheme="minorBidi"/>
          <w:sz w:val="24"/>
          <w:szCs w:val="24"/>
        </w:rPr>
        <w:t xml:space="preserve"> January 2011 did not significantly alter the</w:t>
      </w:r>
      <w:r w:rsidR="00A61EDF">
        <w:rPr>
          <w:rFonts w:asciiTheme="minorBidi" w:hAnsiTheme="minorBidi"/>
          <w:sz w:val="24"/>
          <w:szCs w:val="24"/>
        </w:rPr>
        <w:t xml:space="preserve"> fully adjusted</w:t>
      </w:r>
      <w:r w:rsidR="00275D15">
        <w:rPr>
          <w:rFonts w:asciiTheme="minorBidi" w:hAnsiTheme="minorBidi"/>
          <w:sz w:val="24"/>
          <w:szCs w:val="24"/>
        </w:rPr>
        <w:t xml:space="preserve"> results of this </w:t>
      </w:r>
      <w:r w:rsidR="000938C3">
        <w:rPr>
          <w:rFonts w:asciiTheme="minorBidi" w:hAnsiTheme="minorBidi"/>
          <w:sz w:val="24"/>
          <w:szCs w:val="24"/>
        </w:rPr>
        <w:t>analysis</w:t>
      </w:r>
      <w:r w:rsidR="00275D15">
        <w:rPr>
          <w:rFonts w:asciiTheme="minorBidi" w:hAnsiTheme="minorBidi"/>
          <w:sz w:val="24"/>
          <w:szCs w:val="24"/>
        </w:rPr>
        <w:t xml:space="preserve"> (see Table S</w:t>
      </w:r>
      <w:r w:rsidR="000938C3">
        <w:rPr>
          <w:rFonts w:asciiTheme="minorBidi" w:hAnsiTheme="minorBidi"/>
          <w:sz w:val="24"/>
          <w:szCs w:val="24"/>
        </w:rPr>
        <w:t>6</w:t>
      </w:r>
      <w:r w:rsidR="00275D15">
        <w:rPr>
          <w:rFonts w:asciiTheme="minorBidi" w:hAnsiTheme="minorBidi"/>
          <w:sz w:val="24"/>
          <w:szCs w:val="24"/>
        </w:rPr>
        <w:t>)</w:t>
      </w:r>
      <w:r w:rsidR="00F97496">
        <w:rPr>
          <w:rFonts w:asciiTheme="minorBidi" w:hAnsiTheme="minorBidi"/>
          <w:sz w:val="24"/>
          <w:szCs w:val="24"/>
        </w:rPr>
        <w:t xml:space="preserve">.  </w:t>
      </w:r>
    </w:p>
    <w:p w14:paraId="2921C167" w14:textId="77777777" w:rsidR="00931E93" w:rsidRPr="008E43AC" w:rsidRDefault="00931E93" w:rsidP="008E43AC">
      <w:pPr>
        <w:spacing w:after="0" w:line="480" w:lineRule="auto"/>
        <w:rPr>
          <w:rFonts w:asciiTheme="minorBidi" w:hAnsiTheme="minorBidi"/>
          <w:sz w:val="24"/>
          <w:szCs w:val="24"/>
        </w:rPr>
      </w:pPr>
    </w:p>
    <w:p w14:paraId="0F05460B" w14:textId="3C4CECCE"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For those with type 2 diabetes, but not type 1 diabetes, there were differences</w:t>
      </w:r>
      <w:r w:rsidR="004F285D" w:rsidRPr="004F285D">
        <w:rPr>
          <w:rFonts w:asciiTheme="minorBidi" w:hAnsiTheme="minorBidi"/>
          <w:sz w:val="24"/>
          <w:szCs w:val="24"/>
        </w:rPr>
        <w:t xml:space="preserve"> </w:t>
      </w:r>
      <w:r w:rsidR="004F285D" w:rsidRPr="008E43AC">
        <w:rPr>
          <w:rFonts w:asciiTheme="minorBidi" w:hAnsiTheme="minorBidi"/>
          <w:sz w:val="24"/>
          <w:szCs w:val="24"/>
        </w:rPr>
        <w:t>by ethnicity</w:t>
      </w:r>
      <w:r w:rsidRPr="008E43AC">
        <w:rPr>
          <w:rFonts w:asciiTheme="minorBidi" w:hAnsiTheme="minorBidi"/>
          <w:sz w:val="24"/>
          <w:szCs w:val="24"/>
        </w:rPr>
        <w:t xml:space="preserve"> in </w:t>
      </w:r>
      <w:r w:rsidR="00EF67D3">
        <w:rPr>
          <w:rFonts w:asciiTheme="minorBidi" w:hAnsiTheme="minorBidi"/>
          <w:sz w:val="24"/>
          <w:szCs w:val="24"/>
        </w:rPr>
        <w:t xml:space="preserve">the </w:t>
      </w:r>
      <w:r w:rsidRPr="008E43AC">
        <w:rPr>
          <w:rFonts w:asciiTheme="minorBidi" w:hAnsiTheme="minorBidi"/>
          <w:sz w:val="24"/>
          <w:szCs w:val="24"/>
        </w:rPr>
        <w:t>association</w:t>
      </w:r>
      <w:r w:rsidR="00EF67D3">
        <w:rPr>
          <w:rFonts w:asciiTheme="minorBidi" w:hAnsiTheme="minorBidi"/>
          <w:sz w:val="24"/>
          <w:szCs w:val="24"/>
        </w:rPr>
        <w:t xml:space="preserve"> between fewer care processes recorded and higher mortality</w:t>
      </w:r>
      <w:r w:rsidRPr="008E43AC">
        <w:rPr>
          <w:rFonts w:asciiTheme="minorBidi" w:hAnsiTheme="minorBidi"/>
          <w:sz w:val="24"/>
          <w:szCs w:val="24"/>
        </w:rPr>
        <w:t>. Among people with type 2 diabetes the HR of death from all causes amongst those receiving five or fewer annual care processes was 1.29 (95% CI 1.26-1.32) for White ethnicity, 1.13 (95% CI 1.03-1.23) South Asian ethnicity and 1.34 (95% CI 1.19-1.52) for Black ethnicity. The lower HR in people of south Asian ethnicity may link to their higher risks of developing type 2 diabetes, but lower</w:t>
      </w:r>
      <w:r w:rsidR="006008AE">
        <w:rPr>
          <w:rFonts w:asciiTheme="minorBidi" w:hAnsiTheme="minorBidi"/>
          <w:sz w:val="24"/>
          <w:szCs w:val="24"/>
        </w:rPr>
        <w:t xml:space="preserve"> subsequent</w:t>
      </w:r>
      <w:r w:rsidRPr="008E43AC">
        <w:rPr>
          <w:rFonts w:asciiTheme="minorBidi" w:hAnsiTheme="minorBidi"/>
          <w:sz w:val="24"/>
          <w:szCs w:val="24"/>
        </w:rPr>
        <w:t xml:space="preserve"> mortality. A study using the CPRD cohort reported that the additional risk of dying attributable to diagnosed diabetes was lower in people from South Asian ethnic groups than in those from White ethnic groups</w:t>
      </w:r>
      <w:r w:rsidR="00054A9A">
        <w:rPr>
          <w:rFonts w:asciiTheme="minorBidi" w:hAnsiTheme="minorBidi"/>
          <w:sz w:val="24"/>
          <w:szCs w:val="24"/>
        </w:rPr>
        <w:t>,</w:t>
      </w:r>
      <w:r w:rsidR="00954EA0">
        <w:rPr>
          <w:rFonts w:asciiTheme="minorBidi" w:hAnsiTheme="minorBidi"/>
          <w:sz w:val="24"/>
          <w:szCs w:val="24"/>
        </w:rPr>
        <w:fldChar w:fldCharType="begin" w:fldLock="1"/>
      </w:r>
      <w:r w:rsidR="00646AED">
        <w:rPr>
          <w:rFonts w:asciiTheme="minorBidi" w:hAnsiTheme="minorBidi"/>
          <w:sz w:val="24"/>
          <w:szCs w:val="24"/>
        </w:rPr>
        <w:instrText>ADDIN CSL_CITATION {"citationItems":[{"id":"ITEM-1","itemData":{"DOI":"10.2337/dc16-1616","ISSN":"1935-5548","PMID":"27998911","abstract":"OBJECTIVES This study 1) investigated life expectancy and cause-specific mortality rates associated with type 2 diabetes and 2) quantified these relationships in ethnic subgroups. RESEARCH DESIGN AND METHODS This was a cohort study using Clinical Practice Research Datalink data from 383 general practices in England with linked hospitalization and mortality records. A total of 187,968 patients with incident type 2 diabetes from 1998 to 2015 were matched to 908,016 control subjects. Abridged life tables estimated years of life lost, and a competing risk survival model quantified cause-specific hazard ratios (HRs). RESULTS A total of 40,286 deaths occurred in patients with type 2 diabetes. At age 40, white men with diabetes lost 5 years of life and white women lost 6 years compared with those without diabetes. A loss of between 1 and 2 years was observed for South Asians and blacks with diabetes. At age older than 65 years, South Asians with diabetes had up to 1.1 years' longer life expectancy than South Asians without diabetes. Compared with whites with diabetes, South Asians with diabetes had lower adjusted risks for mortality from cardiovascular (HR 0.82; 95% CI 0.75, 0.89), cancer (HR 0.43; 95% CI 0.36, 0.51), and respiratory diseases (HR 0.60; 95% CI 0.48, 0.76). A similar pattern was observed in blacks with diabetes compared with whites with diabetes. CONCLUSIONS Type 2 diabetes was associated with more years of life lost among whites than among South Asians or blacks, with older South Asians experiencing longer life expectancy compared with South Asians without diabetes. The findings support optimized cardiovascular disease risk factor management, especially in whites with type 2 diabetes.","author":[{"dropping-particle":"","family":"Wright","given":"Alison K.","non-dropping-particle":"","parse-names":false,"suffix":""},{"dropping-particle":"","family":"Kontopantelis","given":"Evangelos","non-dropping-particle":"","parse-names":false,"suffix":""},{"dropping-particle":"","family":"Emsley","given":"Richard","non-dropping-particle":"","parse-names":false,"suffix":""},{"dropping-particle":"","family":"Buchan","given":"Iain","non-dropping-particle":"","parse-names":false,"suffix":""},{"dropping-particle":"","family":"Sattar","given":"Naveed","non-dropping-particle":"","parse-names":false,"suffix":""},{"dropping-particle":"","family":"Rutter","given":"Martin K.","non-dropping-particle":"","parse-names":false,"suffix":""},{"dropping-particle":"","family":"Ashcroft","given":"Darren M.","non-dropping-particle":"","parse-names":false,"suffix":""}],"container-title":"Diabetes care","id":"ITEM-1","issue":"3","issued":{"date-parts":[["2017","3"]]},"page":"338-345","title":"Life Expectancy and Cause-Specific Mortality in Type 2 Diabetes: A Population-Based Cohort Study Quantifying Relationships in Ethnic Subgroups.","type":"article-journal","volume":"40"},"uris":["http://www.mendeley.com/documents/?uuid=9d79c84a-69da-30c2-811c-93d5d849195e"]}],"mendeley":{"formattedCitation":"&lt;sup&gt;15&lt;/sup&gt;","plainTextFormattedCitation":"15","previouslyFormattedCitation":"&lt;sup&gt;15&lt;/sup&gt;"},"properties":{"noteIndex":0},"schema":"https://github.com/citation-style-language/schema/raw/master/csl-citation.json"}</w:instrText>
      </w:r>
      <w:r w:rsidR="00954EA0">
        <w:rPr>
          <w:rFonts w:asciiTheme="minorBidi" w:hAnsiTheme="minorBidi"/>
          <w:sz w:val="24"/>
          <w:szCs w:val="24"/>
        </w:rPr>
        <w:fldChar w:fldCharType="separate"/>
      </w:r>
      <w:r w:rsidR="003E7326" w:rsidRPr="003E7326">
        <w:rPr>
          <w:rFonts w:asciiTheme="minorBidi" w:hAnsiTheme="minorBidi"/>
          <w:noProof/>
          <w:sz w:val="24"/>
          <w:szCs w:val="24"/>
          <w:vertAlign w:val="superscript"/>
        </w:rPr>
        <w:t>15</w:t>
      </w:r>
      <w:r w:rsidR="00954EA0">
        <w:rPr>
          <w:rFonts w:asciiTheme="minorBidi" w:hAnsiTheme="minorBidi"/>
          <w:sz w:val="24"/>
          <w:szCs w:val="24"/>
        </w:rPr>
        <w:fldChar w:fldCharType="end"/>
      </w:r>
      <w:r w:rsidRPr="008E43AC">
        <w:rPr>
          <w:rFonts w:asciiTheme="minorBidi" w:hAnsiTheme="minorBidi"/>
          <w:sz w:val="24"/>
          <w:szCs w:val="24"/>
        </w:rPr>
        <w:t xml:space="preserve"> despite a greater diagnosed incidence of cardiovascular disease</w:t>
      </w:r>
      <w:r w:rsidR="00054A9A">
        <w:rPr>
          <w:rFonts w:asciiTheme="minorBidi" w:hAnsiTheme="minorBidi"/>
          <w:sz w:val="24"/>
          <w:szCs w:val="24"/>
        </w:rPr>
        <w:t>.</w:t>
      </w:r>
      <w:r w:rsidR="00954EA0">
        <w:rPr>
          <w:rFonts w:asciiTheme="minorBidi" w:hAnsiTheme="minorBidi"/>
          <w:sz w:val="24"/>
          <w:szCs w:val="24"/>
        </w:rPr>
        <w:fldChar w:fldCharType="begin" w:fldLock="1"/>
      </w:r>
      <w:r w:rsidR="00646AED">
        <w:rPr>
          <w:rFonts w:asciiTheme="minorBidi" w:hAnsiTheme="minorBidi"/>
          <w:sz w:val="24"/>
          <w:szCs w:val="24"/>
        </w:rPr>
        <w:instrText>ADDIN CSL_CITATION {"citationItems":[{"id":"ITEM-1","itemData":{"DOI":"10.1007/s00125-015-3492-0","ISSN":"1432-0428","PMID":"25669630","abstract":"AIMS/HYPOTHESIS Potential differences in cardiovascular risk by ethnicity remain uncertain. We evaluated the association of ethnicity with cardiovascular disease (CVD) incidence in a large cohort of people with type 2 diabetes living in Scotland. METHODS Data from Scottish Care Information-Diabetes (SCI-Diabetes) were linked to Scottish Morbidity Records (SMR01) and National Records of Scotland data for mortality for dates between 2005 and 2011. Of 156,991 people with type 2 diabetes with coded ethnicity, 121,535 (77.4%) had no CVD at baseline (White: 114,461; Multiple Ethnic: 2,554; Indian: 797; Other Asian: 319; Pakistani: 2,250; Chinese: 387; African-Caribbean: 301 and Other: 466) and were followed up (mean ± SD: 4.8 ± 2.3 years) for the development of fatal and non-fatal CVD. RESULTS During follow-up, 16,265 (13.4%) patients developed CVD (ischaemic heart or cerebrovascular diseases). At baseline, Pakistanis were younger and had developed diabetes earlier, had higher HbA1c and longer duration of diabetes, but had lower BP, BMI, creatinine, proportion of smokers and proportion on antihypertensive therapy than whites. The age and sex adjusted HRs for CVD were HR 1.31 (CI 1.17, 1.47), p &lt; 0.001 in Pakistanis and HR 0.66 (CI 0.47, 0.92), p = 0.014 in Chinese compared with whites. Adjusting additionally for an area measure of deprivation, duration of diabetes, conventional CVD and other risk factors, the HR for Pakistanis (HR 1.45 [CI 1.14, 1.85], p = 0.002) was significantly higher, and that for Chinese (HR = 0.58 [CI 0.24, 1.40], p = 0.228) lower, compared with whites. CONCLUSIONS/INTERPRETATION Compared with whites with type 2 diabetes, those of Pakistani ethnicity in Scotland were at increased risk of CVD, whereas Chinese were at lower risk, with these differences unexplained by known risk factors.","author":[{"dropping-particle":"","family":"Malik","given":"Muhammad Omar","non-dropping-particle":"","parse-names":false,"suffix":""},{"dropping-particle":"","family":"Govan","given":"L","non-dropping-particle":"","parse-names":false,"suffix":""},{"dropping-particle":"","family":"Petrie","given":"John R","non-dropping-particle":"","parse-names":false,"suffix":""},{"dropping-particle":"","family":"Ghouri","given":"Nazim","non-dropping-particle":"","parse-names":false,"suffix":""},{"dropping-particle":"","family":"Leese","given":"Graham","non-dropping-particle":"","parse-names":false,"suffix":""},{"dropping-particle":"","family":"Fischbacher","given":"Colin","non-dropping-particle":"","parse-names":false,"suffix":""},{"dropping-particle":"","family":"Colhoun","given":"Helen","non-dropping-particle":"","parse-names":false,"suffix":""},{"dropping-particle":"","family":"Philip","given":"Sam","non-dropping-particle":"","parse-names":false,"suffix":""},{"dropping-particle":"","family":"Wild","given":"Sarah","non-dropping-particle":"","parse-names":false,"suffix":""},{"dropping-particle":"","family":"McCrimmon","given":"Rory","non-dropping-particle":"","parse-names":false,"suffix":""},{"dropping-particle":"","family":"Sattar","given":"Naveed","non-dropping-particle":"","parse-names":false,"suffix":""},{"dropping-particle":"","family":"Lindsay","given":"Robert S","non-dropping-particle":"","parse-names":false,"suffix":""},{"dropping-particle":"","family":"Scottish Diabetes Research Network Epidemiology Group","given":"","non-dropping-particle":"","parse-names":false,"suffix":""}],"container-title":"Diabetologia","id":"ITEM-1","issue":"4","issued":{"date-parts":[["2015","4","12"]]},"page":"716-725","title":"Ethnicity and risk of cardiovascular disease (CVD): 4.8 year follow-up of patients with type 2 diabetes living in Scotland.","type":"article-journal","volume":"58"},"uris":["http://www.mendeley.com/documents/?uuid=c26805e0-7db8-3e23-9b63-48fa620f8cb2"]},{"id":"ITEM-2","itemData":{"DOI":"10.1016/j.jacc.2012.12.046","ISSN":"1558-3597","PMID":"23500273","abstract":"OBJECTIVES This study sought to determine whether ethnic differences in diabetes, dyslipidemia, and ectopic fat deposition account for ethnic differences in incident cardiovascular disease. BACKGROUND Coronary heart disease risks are elevated in South Asians and are lower in African Caribbeans compared with Europeans. These ethnic differences map to lipid patterns and ectopic fat deposition. METHODS Cardiovascular risk factors were assessed in 2,049 Europeans, 1,517 South Asians, and 630 African Caribbeans from 1988 through 1991 (mean age: 52.4 ± 6.9 years). Fatal and nonfatal events were captured over a median 20.5-year follow-up. Subhazard ratios (SHR) were calculated using competing risks regression. RESULTS Baseline diabetes prevalence was more than 3 times greater in South Asians and African Caribbeans than in Europeans. South Asians were more and African Caribbeans were less centrally obese and dyslipidemic than Europeans. Compared with Europeans, coronary heart disease incidence was greater in South Asians and less in African Caribbeans. The age- and sex-adjusted South Asian versus European SHR was 1.70 (95% confidence interval [CI]: 1.52 to 1.91, p &lt; 0.001) and remained significant (1.45, 95% CI: 1.28 to 1.64, p &lt; 0.001) when adjusted for waist-to-hip ratio. The African Caribbean versus European age- and sex-adjusted SHR of 0.64 (95% CI: 0.52 to 0.79, p &lt; 0.001) remained significant when adjusted for high-density lipoprotein and low-density lipoprotein cholesterol (0.74, 95% CI: 0.60 to 0.92, p = 0.008). Compared with Europeans, South Asians and African Caribbeans experienced more strokes (age- and sex-adjusted SHR: 1.45 [95% CI: 1.17 to 1.80, p = 0.001] and 1.50 [95% CI: 1.13 to 2.00, p = 0.005], respectively), and this differential was more marked in those with diabetes (age-adjusted SHR: 1.97 [95% CI: 1.16 to 3.35, p = 0.038 for interaction] and 2.21 [95% CI: 1.14 to 4.30, p = 0.019 for interaction]). CONCLUSIONS Ethnic differences in measured metabolic risk factors did not explain differences in coronary heart disease incidence. The apparently greater association between diabetes and stroke risk in South Asians and African Caribbeans compared with Europeans merits further study.","author":[{"dropping-particle":"","family":"Tillin","given":"Therese","non-dropping-particle":"","parse-names":false,"suffix":""},{"dropping-particle":"","family":"Hughes","given":"Alun D","non-dropping-particle":"","parse-names":false,"suffix":""},{"dropping-particle":"","family":"Mayet","given":"Jamil","non-dropping-particle":"","parse-names":false,"suffix":""},{"dropping-particle":"","family":"Whincup","given":"Peter","non-dropping-particle":"","parse-names":false,"suffix":""},{"dropping-particle":"","family":"Sattar","given":"Naveed","non-dropping-particle":"","parse-names":false,"suffix":""},{"dropping-particle":"","family":"Forouhi","given":"Nita G","non-dropping-particle":"","parse-names":false,"suffix":""},{"dropping-particle":"","family":"McKeigue","given":"Paul M","non-dropping-particle":"","parse-names":false,"suffix":""},{"dropping-particle":"","family":"Chaturvedi","given":"Nish","non-dropping-particle":"","parse-names":false,"suffix":""}],"container-title":"Journal of the American College of Cardiology","id":"ITEM-2","issue":"17","issued":{"date-parts":[["2013","4","30"]]},"page":"1777-1786","title":"The relationship between metabolic risk factors and incident cardiovascular disease in Europeans, South Asians, and African Caribbeans: SABRE (Southall and Brent Revisited) -- a prospective population-based study.","type":"article-journal","volume":"61"},"uris":["http://www.mendeley.com/documents/?uuid=02ab9342-975a-355e-852a-b4ac42981b20"]}],"mendeley":{"formattedCitation":"&lt;sup&gt;16,17&lt;/sup&gt;","plainTextFormattedCitation":"16,17","previouslyFormattedCitation":"&lt;sup&gt;16,17&lt;/sup&gt;"},"properties":{"noteIndex":0},"schema":"https://github.com/citation-style-language/schema/raw/master/csl-citation.json"}</w:instrText>
      </w:r>
      <w:r w:rsidR="00954EA0">
        <w:rPr>
          <w:rFonts w:asciiTheme="minorBidi" w:hAnsiTheme="minorBidi"/>
          <w:sz w:val="24"/>
          <w:szCs w:val="24"/>
        </w:rPr>
        <w:fldChar w:fldCharType="separate"/>
      </w:r>
      <w:r w:rsidR="003E7326" w:rsidRPr="003E7326">
        <w:rPr>
          <w:rFonts w:asciiTheme="minorBidi" w:hAnsiTheme="minorBidi"/>
          <w:noProof/>
          <w:sz w:val="24"/>
          <w:szCs w:val="24"/>
          <w:vertAlign w:val="superscript"/>
        </w:rPr>
        <w:t>16,17</w:t>
      </w:r>
      <w:r w:rsidR="00954EA0">
        <w:rPr>
          <w:rFonts w:asciiTheme="minorBidi" w:hAnsiTheme="minorBidi"/>
          <w:sz w:val="24"/>
          <w:szCs w:val="24"/>
        </w:rPr>
        <w:fldChar w:fldCharType="end"/>
      </w:r>
      <w:r w:rsidRPr="008E43AC">
        <w:rPr>
          <w:rFonts w:asciiTheme="minorBidi" w:hAnsiTheme="minorBidi"/>
          <w:sz w:val="24"/>
          <w:szCs w:val="24"/>
        </w:rPr>
        <w:t xml:space="preserve"> Thus, the smaller additional diabetes related mortality risk experienced by people from South Asian ethnic groups compared to White ethnic groups may narrow the additional mortality associated with not receiving </w:t>
      </w:r>
      <w:r w:rsidRPr="000C31EA">
        <w:rPr>
          <w:rFonts w:asciiTheme="minorBidi" w:hAnsiTheme="minorBidi"/>
          <w:sz w:val="24"/>
          <w:szCs w:val="24"/>
        </w:rPr>
        <w:t>care processes. Equally, other factors such as health related behaviours</w:t>
      </w:r>
      <w:r w:rsidR="000938C3" w:rsidRPr="000C31EA">
        <w:rPr>
          <w:rFonts w:asciiTheme="minorBidi" w:hAnsiTheme="minorBidi"/>
          <w:sz w:val="24"/>
          <w:szCs w:val="24"/>
        </w:rPr>
        <w:t>,</w:t>
      </w:r>
      <w:r w:rsidRPr="000C31EA">
        <w:rPr>
          <w:rFonts w:asciiTheme="minorBidi" w:hAnsiTheme="minorBidi"/>
          <w:sz w:val="24"/>
          <w:szCs w:val="24"/>
        </w:rPr>
        <w:t xml:space="preserve"> health beliefs</w:t>
      </w:r>
      <w:r w:rsidR="000938C3" w:rsidRPr="000C31EA">
        <w:rPr>
          <w:rFonts w:asciiTheme="minorBidi" w:hAnsiTheme="minorBidi"/>
          <w:sz w:val="24"/>
          <w:szCs w:val="24"/>
        </w:rPr>
        <w:t xml:space="preserve"> and cultural differences </w:t>
      </w:r>
      <w:r w:rsidRPr="000C31EA">
        <w:rPr>
          <w:rFonts w:asciiTheme="minorBidi" w:hAnsiTheme="minorBidi"/>
          <w:sz w:val="24"/>
          <w:szCs w:val="24"/>
        </w:rPr>
        <w:t xml:space="preserve">may </w:t>
      </w:r>
      <w:r w:rsidR="000938C3" w:rsidRPr="000C31EA">
        <w:rPr>
          <w:rFonts w:asciiTheme="minorBidi" w:hAnsiTheme="minorBidi"/>
          <w:sz w:val="24"/>
          <w:szCs w:val="24"/>
        </w:rPr>
        <w:t>influence attitudes to healthcare</w:t>
      </w:r>
      <w:r w:rsidR="000C31EA" w:rsidRPr="000C31EA">
        <w:rPr>
          <w:rFonts w:asciiTheme="minorBidi" w:hAnsiTheme="minorBidi"/>
          <w:sz w:val="24"/>
          <w:szCs w:val="24"/>
        </w:rPr>
        <w:t>, in particular routine and preventative care,</w:t>
      </w:r>
      <w:r w:rsidR="000938C3" w:rsidRPr="000C31EA">
        <w:rPr>
          <w:rFonts w:asciiTheme="minorBidi" w:hAnsiTheme="minorBidi"/>
          <w:sz w:val="24"/>
          <w:szCs w:val="24"/>
        </w:rPr>
        <w:t xml:space="preserve"> and there</w:t>
      </w:r>
      <w:r w:rsidR="00D513F9">
        <w:rPr>
          <w:rFonts w:asciiTheme="minorBidi" w:hAnsiTheme="minorBidi"/>
          <w:sz w:val="24"/>
          <w:szCs w:val="24"/>
        </w:rPr>
        <w:t>by</w:t>
      </w:r>
      <w:r w:rsidR="000938C3" w:rsidRPr="000C31EA">
        <w:rPr>
          <w:rFonts w:asciiTheme="minorBidi" w:hAnsiTheme="minorBidi"/>
          <w:sz w:val="24"/>
          <w:szCs w:val="24"/>
        </w:rPr>
        <w:t xml:space="preserve"> </w:t>
      </w:r>
      <w:r w:rsidRPr="000C31EA">
        <w:rPr>
          <w:rFonts w:asciiTheme="minorBidi" w:hAnsiTheme="minorBidi"/>
          <w:sz w:val="24"/>
          <w:szCs w:val="24"/>
        </w:rPr>
        <w:t>play a role</w:t>
      </w:r>
      <w:r w:rsidR="000938C3" w:rsidRPr="000C31EA">
        <w:rPr>
          <w:rFonts w:asciiTheme="minorBidi" w:hAnsiTheme="minorBidi"/>
          <w:sz w:val="24"/>
          <w:szCs w:val="24"/>
        </w:rPr>
        <w:t xml:space="preserve"> in explaining this difference</w:t>
      </w:r>
      <w:r w:rsidRPr="000C31EA">
        <w:rPr>
          <w:rFonts w:asciiTheme="minorBidi" w:hAnsiTheme="minorBidi"/>
          <w:sz w:val="24"/>
          <w:szCs w:val="24"/>
        </w:rPr>
        <w:t>.</w:t>
      </w:r>
      <w:r w:rsidR="000938C3">
        <w:rPr>
          <w:rFonts w:asciiTheme="minorBidi" w:hAnsiTheme="minorBidi"/>
          <w:sz w:val="24"/>
          <w:szCs w:val="24"/>
        </w:rPr>
        <w:tab/>
      </w:r>
    </w:p>
    <w:p w14:paraId="585CBB42" w14:textId="77777777" w:rsidR="00931E93" w:rsidRPr="008E43AC" w:rsidRDefault="00931E93" w:rsidP="008E43AC">
      <w:pPr>
        <w:spacing w:after="0" w:line="480" w:lineRule="auto"/>
        <w:rPr>
          <w:rFonts w:asciiTheme="minorBidi" w:hAnsiTheme="minorBidi"/>
          <w:sz w:val="24"/>
          <w:szCs w:val="24"/>
        </w:rPr>
      </w:pPr>
    </w:p>
    <w:p w14:paraId="7888B3B5" w14:textId="6E257EB6" w:rsidR="00931E93" w:rsidRPr="00646AED" w:rsidRDefault="00931E93" w:rsidP="008E43AC">
      <w:pPr>
        <w:spacing w:after="0" w:line="480" w:lineRule="auto"/>
        <w:rPr>
          <w:rFonts w:asciiTheme="minorBidi" w:hAnsiTheme="minorBidi"/>
          <w:sz w:val="24"/>
          <w:szCs w:val="24"/>
        </w:rPr>
      </w:pPr>
      <w:r w:rsidRPr="008E43AC">
        <w:rPr>
          <w:rFonts w:asciiTheme="minorBidi" w:hAnsiTheme="minorBidi"/>
          <w:sz w:val="24"/>
          <w:szCs w:val="24"/>
        </w:rPr>
        <w:t xml:space="preserve">No previous study has investigated whether the number of recorded care processes is associated with </w:t>
      </w:r>
      <w:r w:rsidR="00EF67D3">
        <w:rPr>
          <w:rFonts w:asciiTheme="minorBidi" w:hAnsiTheme="minorBidi"/>
          <w:sz w:val="24"/>
          <w:szCs w:val="24"/>
        </w:rPr>
        <w:t>future</w:t>
      </w:r>
      <w:r w:rsidRPr="008E43AC">
        <w:rPr>
          <w:rFonts w:asciiTheme="minorBidi" w:hAnsiTheme="minorBidi"/>
          <w:sz w:val="24"/>
          <w:szCs w:val="24"/>
        </w:rPr>
        <w:t xml:space="preserve"> outcomes in people with diabetes. Non-attendance at clinics and non-completion of care processes clearly overlap. A recent comprehensive review of the literature on non-attendance at diabetes outpatient appointments</w:t>
      </w:r>
      <w:r w:rsidR="00954EA0">
        <w:rPr>
          <w:rFonts w:asciiTheme="minorBidi" w:hAnsiTheme="minorBidi"/>
          <w:sz w:val="24"/>
          <w:szCs w:val="24"/>
        </w:rPr>
        <w:fldChar w:fldCharType="begin" w:fldLock="1"/>
      </w:r>
      <w:r w:rsidR="00646AED">
        <w:rPr>
          <w:rFonts w:asciiTheme="minorBidi" w:hAnsiTheme="minorBidi"/>
          <w:sz w:val="24"/>
          <w:szCs w:val="24"/>
        </w:rPr>
        <w:instrText>ADDIN CSL_CITATION {"citationItems":[{"id":"ITEM-1","itemData":{"DOI":"10.1111/dme.14241","ISSN":"0742-3071","PMID":"31968127","abstract":"Background: Non-attendance at diabetes outpatient appointments is a sizeable problem worldwide and has been associated with suboptimal health outcomes. We aimed to describe the characteristics, health outcomes and reasons given for non-attendance at doctor- or nurse-led diabetes appointments, and interventions to improve attendance. Methods: PubMed, EMBASE, CINAHL and PsychInfo were searched from database inception to February 2019. Included articles were peer-reviewed, published in English, related to adults or young people with type 1 or type 2 diabetes, and addressed one of the above aspects of non-attendance. Studies were excluded if reporting on other types of diabetes or reviewing attendance at structured education, retinal screening, paediatric, antenatal, podiatry or dietetic clinics. Results: Thirty-four studies of varied designs were identified (15 observational, 1 randomized control trial, 9 qualitative, 5 surveys, 4 service improvements). The definition of non-attendance varied. Younger adults, smokers and those with financial pressures were less likely to attend. Non-attendance was associated with higher HbA1c; other outcomes were varied but typically worse in non-attenders. Reasons for non-attendance in qualitative studies fell into three categories: balancing the costs and benefits of attendance, coping strategies, and the relationships between the person with diabetes and healthcare professionals. Interventions included appointment management strategies, service improvements, patient navigators and WebCam appointments. Conclusions: Non-attendance is only partially explained by logistical issues. Qualitative studies suggest complex psychosocial factors are involved. Interventions have progressed from simple appointment reminders in an attempt to address some of the psycho-social determinants, but more work is needed to improve attendance.","author":[{"dropping-particle":"","family":"Brewster","given":"S.","non-dropping-particle":"","parse-names":false,"suffix":""},{"dropping-particle":"","family":"Bartholomew","given":"J.","non-dropping-particle":"","parse-names":false,"suffix":""},{"dropping-particle":"","family":"Holt","given":"R. I. G.","non-dropping-particle":"","parse-names":false,"suffix":""},{"dropping-particle":"","family":"Price","given":"H.","non-dropping-particle":"","parse-names":false,"suffix":""}],"container-title":"Diabetic Medicine","id":</w:instrText>
      </w:r>
      <w:r w:rsidR="00646AED">
        <w:rPr>
          <w:rFonts w:asciiTheme="minorBidi" w:hAnsiTheme="minorBidi" w:hint="eastAsia"/>
          <w:sz w:val="24"/>
          <w:szCs w:val="24"/>
        </w:rPr>
        <w:instrText>"ITEM-1","issue":"9","issued":{"date-parts":[["2020","9","3"]]},"page":"1427-1442","publisher":"Blackwell Publishing Ltd","title":"Non</w:instrText>
      </w:r>
      <w:r w:rsidR="00646AED">
        <w:rPr>
          <w:rFonts w:asciiTheme="minorBidi" w:hAnsiTheme="minorBidi" w:hint="eastAsia"/>
          <w:sz w:val="24"/>
          <w:szCs w:val="24"/>
        </w:rPr>
        <w:instrText>‐</w:instrText>
      </w:r>
      <w:r w:rsidR="00646AED">
        <w:rPr>
          <w:rFonts w:asciiTheme="minorBidi" w:hAnsiTheme="minorBidi" w:hint="eastAsia"/>
          <w:sz w:val="24"/>
          <w:szCs w:val="24"/>
        </w:rPr>
        <w:instrText>attendance at diabetes outpatient appointments: a systematic review","type":"article-journal","volume":"37"},"uris":["ht</w:instrText>
      </w:r>
      <w:r w:rsidR="00646AED">
        <w:rPr>
          <w:rFonts w:asciiTheme="minorBidi" w:hAnsiTheme="minorBidi"/>
          <w:sz w:val="24"/>
          <w:szCs w:val="24"/>
        </w:rPr>
        <w:instrText>tp://www.mendeley.com/documents/?uuid=12954c72-46eb-389d-b84f-b6f8efbaa14e"]}],"mendeley":{"formattedCitation":"&lt;sup&gt;18&lt;/sup&gt;","plainTextFormattedCitation":"18","previouslyFormattedCitation":"&lt;sup&gt;18&lt;/sup&gt;"},"properties":{"noteIndex":0},"schema":"https://github.com/citation-style-language/schema/raw/master/csl-citation.json"}</w:instrText>
      </w:r>
      <w:r w:rsidR="00954EA0">
        <w:rPr>
          <w:rFonts w:asciiTheme="minorBidi" w:hAnsiTheme="minorBidi"/>
          <w:sz w:val="24"/>
          <w:szCs w:val="24"/>
        </w:rPr>
        <w:fldChar w:fldCharType="separate"/>
      </w:r>
      <w:r w:rsidR="003E7326" w:rsidRPr="003E7326">
        <w:rPr>
          <w:rFonts w:asciiTheme="minorBidi" w:hAnsiTheme="minorBidi"/>
          <w:noProof/>
          <w:sz w:val="24"/>
          <w:szCs w:val="24"/>
          <w:vertAlign w:val="superscript"/>
        </w:rPr>
        <w:t>18</w:t>
      </w:r>
      <w:r w:rsidR="00954EA0">
        <w:rPr>
          <w:rFonts w:asciiTheme="minorBidi" w:hAnsiTheme="minorBidi"/>
          <w:sz w:val="24"/>
          <w:szCs w:val="24"/>
        </w:rPr>
        <w:fldChar w:fldCharType="end"/>
      </w:r>
      <w:r w:rsidRPr="008E43AC">
        <w:rPr>
          <w:rFonts w:asciiTheme="minorBidi" w:hAnsiTheme="minorBidi"/>
          <w:sz w:val="24"/>
          <w:szCs w:val="24"/>
        </w:rPr>
        <w:t xml:space="preserve"> found relationships to both logistical and psychosocial factors. It also found associations with non-attendance at diabetes clinics that were similar to those recognised in other medical specialties such as young age, social deprivation and smoking. Very few studies of non-attendance at diabetes clinics have studied subsequent outcomes</w:t>
      </w:r>
      <w:r w:rsidR="00054A9A">
        <w:rPr>
          <w:rFonts w:asciiTheme="minorBidi" w:hAnsiTheme="minorBidi"/>
          <w:sz w:val="24"/>
          <w:szCs w:val="24"/>
        </w:rPr>
        <w:t>.</w:t>
      </w:r>
      <w:r w:rsidR="0062049F">
        <w:rPr>
          <w:rFonts w:asciiTheme="minorBidi" w:hAnsiTheme="minorBidi"/>
          <w:sz w:val="24"/>
          <w:szCs w:val="24"/>
        </w:rPr>
        <w:fldChar w:fldCharType="begin" w:fldLock="1"/>
      </w:r>
      <w:r w:rsidR="00646AED">
        <w:rPr>
          <w:rFonts w:asciiTheme="minorBidi" w:hAnsiTheme="minorBidi"/>
          <w:sz w:val="24"/>
          <w:szCs w:val="24"/>
        </w:rPr>
        <w:instrText>ADDIN CSL_CITATION {"citationItems":[{"id":"ITEM-1","itemData":{"DOI":"10.1016/j.jdiacomp.2012.10.006","ISSN":"10568727","PMID":"23157988","abstract":"Aims: To determine if a diagnostic record of poor treatment compliance (medication non-compliance and/or non-attendance at medical appointments) was associated with all-cause mortality in people with type 1 diabetes. Methods: This is an observational cohort study of data extracted from The Health Improvement Network (THIN) database, comprising data on patients served by over 350 primary care practices in the UK. Participants were included in the study if they had diagnostic codes indicative of type 1 diabetes. Treatment non-compliance was defined as missing one or more scheduled appointment, or one or more codes indicating medication non-compliance. Results: Of 2946 patients with type 1 diabetes, 867 (29.4%) had a record of either appointment non-attendance or medication non-compliance in the 30 month compliance assessment period. The crude, unadjusted mortality rate for those patients who were treatment non-compliant was 1.462 (95% CI 0.954-2.205). Following adjustment for confounding factors, treatment non-compliance was associated with increased all-cause mortality (HR = 1.642; 95% CI 1.055-2.554). Conclusions: Treatment non-compliance was associated with increased all-cause mortality in patients with type 1 diabetes. Understanding and addressing factors that contribute to patient treatment non-compliance will be important in improving the life expectancy of patients with type 1 diabetes. © 2013 Elsevier Inc.","author":[{"dropping-particle":"","family":"Currie","given":"Craig J.","non-dropping-particle":"","parse-names":false,"suffix":""},{"dropping-particle":"","family":"Peyrot","given":"Mark","non-dropping-particle":"","parse-names":false,"suffix":""},{"dropping-particle":"","family":"Morgan","given":"Christopher Ll","non-dropping-particle":"","parse-names":false,"suffix":""},{"dropping-particle":"","family":"Poole","given":"Chris D.","non-dropping-particle":"","parse-names":false,"suffix":""},{"dropping-particle":"","family":"Jenkins-Jones","given":"Sara","non-dropping-particle":"","parse-names":false,"suffix":""},{"dropping-particle":"","family":"Rubin","given":"Richard R.","non-dropping-particle":"","parse-names":false,"suffix":""},{"dropping-particle":"","family":"Burton","given":"Christopher M.","non-dropping-particle":"","parse-names":false,"suffix":""},{"dropping-particle":"","family":"Evans","given":"Marc","non-dropping-particle":"","parse-names":false,"suffix":""}],"container-title":"Journal of Diabetes and its Complications","id":"ITEM-1","issue":"3","issued":{"date-parts":[["2013","5"]]},"page":"219-223","publisher":"J Diabetes Complications","title":"The impact of treatment non-compliance on mortality in people with type 1 diabetes","type":"article-journal","volume":"27"},"uris":["http://www.mendeley.com/documents/?uuid=790d8d5e-ee50-35cc-bb70-fafe773153d2"]}],"mendeley":{"formattedCitation":"&lt;sup&gt;19&lt;/sup&gt;","plainTextFormattedCitation":"19","previouslyFormattedCitation":"&lt;sup&gt;19&lt;/sup&gt;"},"properties":{"noteIndex":0},"schema":"https://github.com/citation-style-language/schema/raw/master/csl-citation.json"}</w:instrText>
      </w:r>
      <w:r w:rsidR="0062049F">
        <w:rPr>
          <w:rFonts w:asciiTheme="minorBidi" w:hAnsiTheme="minorBidi"/>
          <w:sz w:val="24"/>
          <w:szCs w:val="24"/>
        </w:rPr>
        <w:fldChar w:fldCharType="separate"/>
      </w:r>
      <w:r w:rsidR="003E7326" w:rsidRPr="003E7326">
        <w:rPr>
          <w:rFonts w:asciiTheme="minorBidi" w:hAnsiTheme="minorBidi"/>
          <w:noProof/>
          <w:sz w:val="24"/>
          <w:szCs w:val="24"/>
          <w:vertAlign w:val="superscript"/>
        </w:rPr>
        <w:t>19</w:t>
      </w:r>
      <w:r w:rsidR="0062049F">
        <w:rPr>
          <w:rFonts w:asciiTheme="minorBidi" w:hAnsiTheme="minorBidi"/>
          <w:sz w:val="24"/>
          <w:szCs w:val="24"/>
        </w:rPr>
        <w:fldChar w:fldCharType="end"/>
      </w:r>
      <w:r w:rsidRPr="008E43AC">
        <w:rPr>
          <w:rFonts w:asciiTheme="minorBidi" w:hAnsiTheme="minorBidi"/>
          <w:sz w:val="24"/>
          <w:szCs w:val="24"/>
        </w:rPr>
        <w:t xml:space="preserve"> Those that did mostly found associations between infrequent attendance and higher levels of glucose, body mass index, blood pressure and lipids; a few documented higher emergency hospital use and diabetes-related complications; and just one study using a composite measure of non-attendance and treatment non-compliance found higher mortality in people with type 1 diabetes.</w:t>
      </w:r>
      <w:r w:rsidR="00646AED">
        <w:rPr>
          <w:rFonts w:asciiTheme="minorBidi" w:hAnsiTheme="minorBidi"/>
          <w:sz w:val="24"/>
          <w:szCs w:val="24"/>
        </w:rPr>
        <w:fldChar w:fldCharType="begin" w:fldLock="1"/>
      </w:r>
      <w:r w:rsidR="00646AED">
        <w:rPr>
          <w:rFonts w:asciiTheme="minorBidi" w:hAnsiTheme="minorBidi"/>
          <w:sz w:val="24"/>
          <w:szCs w:val="24"/>
        </w:rPr>
        <w:instrText>ADDIN CSL_CITATION {"citationItems":[{"id":"ITEM-1","itemData":{"DOI":"10.1111/dme.14241","ISSN":"0742-3071","PMID":"31968127","abstract":"Background: Non-attendance at diabetes outpatient appointments is a sizeable problem worldwide and has been associated with suboptimal health outcomes. We aimed to describe the characteristics, health outcomes and reasons given for non-attendance at doctor- or nurse-led diabetes appointments, and interventions to improve attendance. Methods: PubMed, EMBASE, CINAHL and PsychInfo were searched from database inception to February 2019. Included articles were peer-reviewed, published in English, related to adults or young people with type 1 or type 2 diabetes, and addressed one of the above aspects of non-attendance. Studies were excluded if reporting on other types of diabetes or reviewing attendance at structured education, retinal screening, paediatric, antenatal, podiatry or dietetic clinics. Results: Thirty-four studies of varied designs were identified (15 observational, 1 randomized control trial, 9 qualitative, 5 surveys, 4 service improvements). The definition of non-attendance varied. Younger adults, smokers and those with financial pressures were less likely to attend. Non-attendance was associated with higher HbA1c; other outcomes were varied but typically worse in non-attenders. Reasons for non-attendance in qualitative studies fell into three categories: balancing the costs and benefits of attendance, coping strategies, and the relationships between the person with diabetes and healthcare professionals. Interventions included appointment management strategies, service improvements, patient navigators and WebCam appointments. Conclusions: Non-attendance is only partially explained by logistical issues. Qualitative studies suggest complex psychosocial factors are involved. Interventions have progressed from simple appointment reminders in an attempt to address some of the psycho-social determinants, but more work is needed to improve attendance.","author":[{"dropping-particle":"","family":"Brewster","given":"S.","non-dropping-particle":"","parse-names":false,"suffix":""},{"dropping-particle":"","family":"Bartholomew","given":"J.","non-dropping-particle":"","parse-names":false,"suffix":""},{"dropping-particle":"","family":"Holt","given":"R. I. G.","non-dropping-particle":"","parse-names":false,"suffix":""},{"dropping-particle":"","family":"Price","given":"H.","non-dropping-particle":"","parse-names":false,"suffix":""}],"container-title":"Diabetic Medicine","id":</w:instrText>
      </w:r>
      <w:r w:rsidR="00646AED">
        <w:rPr>
          <w:rFonts w:asciiTheme="minorBidi" w:hAnsiTheme="minorBidi" w:hint="eastAsia"/>
          <w:sz w:val="24"/>
          <w:szCs w:val="24"/>
        </w:rPr>
        <w:instrText>"ITEM-1","issue":"9","issued":{"date-parts":[["2020","9","3"]]},"page":"1427-1442","publisher":"Blackwell Publishing Ltd","title":"Non</w:instrText>
      </w:r>
      <w:r w:rsidR="00646AED">
        <w:rPr>
          <w:rFonts w:asciiTheme="minorBidi" w:hAnsiTheme="minorBidi" w:hint="eastAsia"/>
          <w:sz w:val="24"/>
          <w:szCs w:val="24"/>
        </w:rPr>
        <w:instrText>‐</w:instrText>
      </w:r>
      <w:r w:rsidR="00646AED">
        <w:rPr>
          <w:rFonts w:asciiTheme="minorBidi" w:hAnsiTheme="minorBidi" w:hint="eastAsia"/>
          <w:sz w:val="24"/>
          <w:szCs w:val="24"/>
        </w:rPr>
        <w:instrText>attendance at diabetes outpatient appointments: a systematic review","type":"article-journal","volume":"37"},"uris":["ht</w:instrText>
      </w:r>
      <w:r w:rsidR="00646AED">
        <w:rPr>
          <w:rFonts w:asciiTheme="minorBidi" w:hAnsiTheme="minorBidi"/>
          <w:sz w:val="24"/>
          <w:szCs w:val="24"/>
        </w:rPr>
        <w:instrText>tp://www.mendeley.com/documents/?uuid=12954c72-46eb-389d-b84f-b6f8efbaa14e"]},{"id":"ITEM-2","itemData":{"DOI":"10.1016/j.jdiacomp.2012.10.006","ISSN":"10568727","PMID":"23157988","abstract":"Aims: To determine if a diagnostic record of poor treatment compliance (medication non-compliance and/or non-attendance at medical appointments) was associated with all-cause mortality in people with type 1 diabetes. Methods: This is an observational cohort study of data extracted from The Health Improvement Network (THIN) database, comprising data on patients served by over 350 primary care practices in the UK. Participants were included in the study if they had diagnostic codes indicative of type 1 diabetes. Treatment non-compliance was defined as missing one or more scheduled appointment, or one or more codes indicating medication non-compliance. Results: Of 2946 patients with type 1 diabetes, 867 (29.4%) had a record of either appointment non-attendance or medication non-compliance in the 30 month compliance assessment period. The crude, unadjusted mortality rate for those patients who were treatment non-compliant was 1.462 (95% CI 0.954-2.205). Following adjustment for confounding factors, treatment non-compliance was associated with increased all-cause mortality (HR = 1.642; 95% CI 1.055-2.554). Conclusions: Treatment non-compliance was associated with increased all-cause mortality in patients with type 1 diabetes. Understanding and addressing factors that contribute to patient treatment non-compliance will be important in improving the life expectancy of patients with type 1 diabetes. © 2013 Elsevier Inc.","author":[{"dropping-particle":"","family":"Currie","given":"Craig J.","non-dropping-particle":"","parse-names":false,"suffix":""},{"dropping-particle":"","family":"Peyrot","given":"Mark","non-dropping-particle":"","parse-names":false,"suffix":""},{"dropping-particle":"","family":"Morgan","given":"Christopher Ll","non-dropping-particle":"","parse-names":false,"suffix":""},{"dropping-particle":"","family":"Poole","given":"Chris D.","non-dropping-particle":"","parse-names":false,"suffix":""},{"dropping-particle":"","family":"Jenkins-Jones","given":"Sara","non-dropping-particle":"","parse-names":false,"suffix":""},{"dropping-particle":"","family":"Rubin","given":"Richard R.","non-dropping-particle":"","parse-names":false,"suffix":""},{"dropping-particle":"","family":"Burton","given":"Christopher M.","non-dropping-particle":"","parse-names":false,"suffix":""},{"dropping-particle":"","family":"Evans","given":"Marc","non-dropping-particle":"","parse-names":false,"suffix":""}],"container-title":"Journal of Diabetes and its Complications","id":"ITEM-2","issue":"3","issued":{"date-parts":[["2013","5"]]},"page":"219-223","publisher":"J Diabetes Complications","title":"The impact of treatment non-compliance on mortality in people with type 1 diabetes","type":"article-journal","volume":"27"},"uris":["http://www.mendeley.com/documents/?uuid=790d8d5e-ee50-35cc-bb70-fafe773153d2"]}],"mendeley":{"formattedCitation":"&lt;sup&gt;18,19&lt;/sup&gt;","plainTextFormattedCitation":"18,19"},"properties":{"noteIndex":0},"schema":"https://github.com/citation-style-language/schema/raw/master/csl-citation.json"}</w:instrText>
      </w:r>
      <w:r w:rsidR="00646AED">
        <w:rPr>
          <w:rFonts w:asciiTheme="minorBidi" w:hAnsiTheme="minorBidi"/>
          <w:sz w:val="24"/>
          <w:szCs w:val="24"/>
        </w:rPr>
        <w:fldChar w:fldCharType="separate"/>
      </w:r>
      <w:r w:rsidR="00646AED" w:rsidRPr="00646AED">
        <w:rPr>
          <w:rFonts w:asciiTheme="minorBidi" w:hAnsiTheme="minorBidi"/>
          <w:noProof/>
          <w:sz w:val="24"/>
          <w:szCs w:val="24"/>
          <w:vertAlign w:val="superscript"/>
        </w:rPr>
        <w:t>18,19</w:t>
      </w:r>
      <w:r w:rsidR="00646AED">
        <w:rPr>
          <w:rFonts w:asciiTheme="minorBidi" w:hAnsiTheme="minorBidi"/>
          <w:sz w:val="24"/>
          <w:szCs w:val="24"/>
        </w:rPr>
        <w:fldChar w:fldCharType="end"/>
      </w:r>
    </w:p>
    <w:p w14:paraId="2F6313B3" w14:textId="77777777" w:rsidR="00931E93" w:rsidRPr="008E43AC" w:rsidRDefault="00931E93" w:rsidP="008E43AC">
      <w:pPr>
        <w:spacing w:after="0" w:line="480" w:lineRule="auto"/>
        <w:rPr>
          <w:rFonts w:asciiTheme="minorBidi" w:hAnsiTheme="minorBidi"/>
          <w:sz w:val="24"/>
          <w:szCs w:val="24"/>
        </w:rPr>
      </w:pPr>
    </w:p>
    <w:p w14:paraId="093D1337" w14:textId="3B2AE662" w:rsidR="008D6400" w:rsidRDefault="00462719" w:rsidP="007B123B">
      <w:pPr>
        <w:spacing w:after="0" w:line="480" w:lineRule="auto"/>
        <w:rPr>
          <w:rFonts w:asciiTheme="minorBidi" w:hAnsiTheme="minorBidi"/>
          <w:sz w:val="24"/>
          <w:szCs w:val="24"/>
        </w:rPr>
      </w:pPr>
      <w:r>
        <w:rPr>
          <w:rFonts w:asciiTheme="minorBidi" w:hAnsiTheme="minorBidi"/>
          <w:sz w:val="24"/>
          <w:szCs w:val="24"/>
        </w:rPr>
        <w:t>As compared to the collective results a</w:t>
      </w:r>
      <w:r w:rsidR="00931E93" w:rsidRPr="008E43AC">
        <w:rPr>
          <w:rFonts w:asciiTheme="minorBidi" w:hAnsiTheme="minorBidi"/>
          <w:sz w:val="24"/>
          <w:szCs w:val="24"/>
        </w:rPr>
        <w:t>nalysis of the associations between mortality and non-completion of individual care processes showed variation from higher</w:t>
      </w:r>
      <w:r>
        <w:rPr>
          <w:rFonts w:asciiTheme="minorBidi" w:hAnsiTheme="minorBidi"/>
          <w:sz w:val="24"/>
          <w:szCs w:val="24"/>
        </w:rPr>
        <w:t xml:space="preserve"> </w:t>
      </w:r>
      <w:r w:rsidRPr="007B123B">
        <w:rPr>
          <w:rFonts w:asciiTheme="minorBidi" w:hAnsiTheme="minorBidi"/>
          <w:sz w:val="24"/>
          <w:szCs w:val="24"/>
        </w:rPr>
        <w:t>risk</w:t>
      </w:r>
      <w:r w:rsidR="00931E93" w:rsidRPr="008E43AC">
        <w:rPr>
          <w:rFonts w:asciiTheme="minorBidi" w:hAnsiTheme="minorBidi"/>
          <w:sz w:val="24"/>
          <w:szCs w:val="24"/>
        </w:rPr>
        <w:t xml:space="preserve"> (e.g., BMI, cholesterol and foot </w:t>
      </w:r>
      <w:r w:rsidR="00931E93" w:rsidRPr="007B123B">
        <w:rPr>
          <w:rFonts w:asciiTheme="minorBidi" w:hAnsiTheme="minorBidi"/>
          <w:sz w:val="24"/>
          <w:szCs w:val="24"/>
        </w:rPr>
        <w:t>examinations) to lower</w:t>
      </w:r>
      <w:r>
        <w:rPr>
          <w:rFonts w:asciiTheme="minorBidi" w:hAnsiTheme="minorBidi"/>
          <w:sz w:val="24"/>
          <w:szCs w:val="24"/>
        </w:rPr>
        <w:t xml:space="preserve"> risk</w:t>
      </w:r>
      <w:r w:rsidR="00931E93" w:rsidRPr="007B123B">
        <w:rPr>
          <w:rFonts w:asciiTheme="minorBidi" w:hAnsiTheme="minorBidi"/>
          <w:sz w:val="24"/>
          <w:szCs w:val="24"/>
        </w:rPr>
        <w:t xml:space="preserve"> (e.g., blood pressure, smoking enquiry, serum creatinine)</w:t>
      </w:r>
      <w:r w:rsidR="007B123B" w:rsidRPr="007B123B">
        <w:rPr>
          <w:rFonts w:asciiTheme="minorBidi" w:hAnsiTheme="minorBidi"/>
          <w:sz w:val="24"/>
          <w:szCs w:val="24"/>
        </w:rPr>
        <w:t xml:space="preserve">. </w:t>
      </w:r>
      <w:r w:rsidR="008D6400" w:rsidRPr="007B123B">
        <w:rPr>
          <w:rFonts w:asciiTheme="minorBidi" w:hAnsiTheme="minorBidi"/>
          <w:sz w:val="24"/>
          <w:szCs w:val="24"/>
        </w:rPr>
        <w:t>Only one individual care process association with mortality differed between</w:t>
      </w:r>
      <w:r w:rsidR="008D6400" w:rsidRPr="008E43AC">
        <w:rPr>
          <w:rFonts w:asciiTheme="minorBidi" w:hAnsiTheme="minorBidi"/>
          <w:sz w:val="24"/>
          <w:szCs w:val="24"/>
        </w:rPr>
        <w:t xml:space="preserve"> type 1 diabetes and type 2 diabetes. Non completion of HbA</w:t>
      </w:r>
      <w:r w:rsidR="008D6400" w:rsidRPr="00240181">
        <w:rPr>
          <w:rFonts w:asciiTheme="minorBidi" w:hAnsiTheme="minorBidi"/>
          <w:sz w:val="24"/>
          <w:szCs w:val="24"/>
          <w:vertAlign w:val="subscript"/>
        </w:rPr>
        <w:t>1c</w:t>
      </w:r>
      <w:r w:rsidR="008D6400" w:rsidRPr="008E43AC">
        <w:rPr>
          <w:rFonts w:asciiTheme="minorBidi" w:hAnsiTheme="minorBidi"/>
          <w:sz w:val="24"/>
          <w:szCs w:val="24"/>
        </w:rPr>
        <w:t xml:space="preserve"> measurement was associated with higher risk in type 1 diabetes but not in type 2 diabetes perhaps reflecting the greater severity</w:t>
      </w:r>
      <w:r w:rsidR="008D6400">
        <w:rPr>
          <w:rFonts w:asciiTheme="minorBidi" w:hAnsiTheme="minorBidi"/>
          <w:sz w:val="24"/>
          <w:szCs w:val="24"/>
        </w:rPr>
        <w:t xml:space="preserve"> and dominance of hyperglycaemia as a risk factor for complications</w:t>
      </w:r>
      <w:r w:rsidR="008D6400" w:rsidRPr="008E43AC">
        <w:rPr>
          <w:rFonts w:asciiTheme="minorBidi" w:hAnsiTheme="minorBidi"/>
          <w:sz w:val="24"/>
          <w:szCs w:val="24"/>
        </w:rPr>
        <w:t xml:space="preserve"> in type 1 diabetes</w:t>
      </w:r>
      <w:r w:rsidR="008D6400">
        <w:rPr>
          <w:rFonts w:asciiTheme="minorBidi" w:hAnsiTheme="minorBidi"/>
          <w:sz w:val="24"/>
          <w:szCs w:val="24"/>
        </w:rPr>
        <w:t>.</w:t>
      </w:r>
      <w:r w:rsidR="007B123B" w:rsidRPr="007B123B">
        <w:rPr>
          <w:rFonts w:asciiTheme="minorBidi" w:hAnsiTheme="minorBidi"/>
          <w:sz w:val="24"/>
          <w:szCs w:val="24"/>
        </w:rPr>
        <w:t xml:space="preserve"> </w:t>
      </w:r>
    </w:p>
    <w:p w14:paraId="1089888D" w14:textId="77777777" w:rsidR="008D6400" w:rsidRDefault="008D6400" w:rsidP="007B123B">
      <w:pPr>
        <w:spacing w:after="0" w:line="480" w:lineRule="auto"/>
        <w:rPr>
          <w:rFonts w:asciiTheme="minorBidi" w:hAnsiTheme="minorBidi"/>
          <w:sz w:val="24"/>
          <w:szCs w:val="24"/>
        </w:rPr>
      </w:pPr>
    </w:p>
    <w:p w14:paraId="5E6BB60E" w14:textId="05627146" w:rsidR="00931E93" w:rsidRDefault="007B123B" w:rsidP="008E43AC">
      <w:pPr>
        <w:spacing w:after="0" w:line="480" w:lineRule="auto"/>
        <w:rPr>
          <w:rFonts w:asciiTheme="minorBidi" w:hAnsiTheme="minorBidi"/>
          <w:sz w:val="24"/>
          <w:szCs w:val="24"/>
        </w:rPr>
      </w:pPr>
      <w:r w:rsidRPr="007B123B">
        <w:rPr>
          <w:rFonts w:asciiTheme="minorBidi" w:hAnsiTheme="minorBidi"/>
          <w:sz w:val="24"/>
          <w:szCs w:val="24"/>
        </w:rPr>
        <w:t xml:space="preserve">It should be noted that the adjustment of these associations was restricted to age, sex, deprivation and ethnicity as missing data on the risk factors uncovered by the individual care processes hinder more comprehensive adjustments. This means it is plausible that residual confounding and differing risk factor profiles explain these associations. In addition, </w:t>
      </w:r>
      <w:r w:rsidR="00462719">
        <w:rPr>
          <w:rFonts w:asciiTheme="minorBidi" w:hAnsiTheme="minorBidi"/>
          <w:sz w:val="24"/>
          <w:szCs w:val="24"/>
        </w:rPr>
        <w:t>when carrying out the care processes, previous</w:t>
      </w:r>
      <w:r w:rsidR="00067D88" w:rsidRPr="00646AED">
        <w:rPr>
          <w:rFonts w:asciiTheme="minorBidi" w:hAnsiTheme="minorBidi"/>
          <w:sz w:val="24"/>
          <w:szCs w:val="24"/>
        </w:rPr>
        <w:t xml:space="preserve"> measurement</w:t>
      </w:r>
      <w:r w:rsidR="00462719">
        <w:rPr>
          <w:rFonts w:asciiTheme="minorBidi" w:hAnsiTheme="minorBidi"/>
          <w:sz w:val="24"/>
          <w:szCs w:val="24"/>
        </w:rPr>
        <w:t>s</w:t>
      </w:r>
      <w:r w:rsidR="00067D88" w:rsidRPr="00646AED">
        <w:rPr>
          <w:rFonts w:asciiTheme="minorBidi" w:hAnsiTheme="minorBidi"/>
          <w:sz w:val="24"/>
          <w:szCs w:val="24"/>
        </w:rPr>
        <w:t xml:space="preserve"> may influence </w:t>
      </w:r>
      <w:r w:rsidR="00462719">
        <w:rPr>
          <w:rFonts w:asciiTheme="minorBidi" w:hAnsiTheme="minorBidi"/>
          <w:sz w:val="24"/>
          <w:szCs w:val="24"/>
        </w:rPr>
        <w:t>clinical prioritisation,</w:t>
      </w:r>
      <w:r>
        <w:rPr>
          <w:rFonts w:asciiTheme="minorBidi" w:hAnsiTheme="minorBidi"/>
          <w:sz w:val="24"/>
          <w:szCs w:val="24"/>
        </w:rPr>
        <w:t xml:space="preserve"> with greater effort being exp</w:t>
      </w:r>
      <w:r w:rsidR="00462719">
        <w:rPr>
          <w:rFonts w:asciiTheme="minorBidi" w:hAnsiTheme="minorBidi"/>
          <w:sz w:val="24"/>
          <w:szCs w:val="24"/>
        </w:rPr>
        <w:t>e</w:t>
      </w:r>
      <w:r>
        <w:rPr>
          <w:rFonts w:asciiTheme="minorBidi" w:hAnsiTheme="minorBidi"/>
          <w:sz w:val="24"/>
          <w:szCs w:val="24"/>
        </w:rPr>
        <w:t xml:space="preserve">nded </w:t>
      </w:r>
      <w:r w:rsidR="00462719">
        <w:rPr>
          <w:rFonts w:asciiTheme="minorBidi" w:hAnsiTheme="minorBidi"/>
          <w:sz w:val="24"/>
          <w:szCs w:val="24"/>
        </w:rPr>
        <w:t>on</w:t>
      </w:r>
      <w:r>
        <w:rPr>
          <w:rFonts w:asciiTheme="minorBidi" w:hAnsiTheme="minorBidi"/>
          <w:sz w:val="24"/>
          <w:szCs w:val="24"/>
        </w:rPr>
        <w:t xml:space="preserve"> reach</w:t>
      </w:r>
      <w:r w:rsidR="00462719">
        <w:rPr>
          <w:rFonts w:asciiTheme="minorBidi" w:hAnsiTheme="minorBidi"/>
          <w:sz w:val="24"/>
          <w:szCs w:val="24"/>
        </w:rPr>
        <w:t>ing</w:t>
      </w:r>
      <w:r>
        <w:rPr>
          <w:rFonts w:asciiTheme="minorBidi" w:hAnsiTheme="minorBidi"/>
          <w:sz w:val="24"/>
          <w:szCs w:val="24"/>
        </w:rPr>
        <w:t xml:space="preserve"> those at </w:t>
      </w:r>
      <w:r w:rsidR="008D6400">
        <w:rPr>
          <w:rFonts w:asciiTheme="minorBidi" w:hAnsiTheme="minorBidi"/>
          <w:sz w:val="24"/>
          <w:szCs w:val="24"/>
        </w:rPr>
        <w:t xml:space="preserve">previously identified </w:t>
      </w:r>
      <w:r>
        <w:rPr>
          <w:rFonts w:asciiTheme="minorBidi" w:hAnsiTheme="minorBidi"/>
          <w:sz w:val="24"/>
          <w:szCs w:val="24"/>
        </w:rPr>
        <w:t>higher risk</w:t>
      </w:r>
      <w:r w:rsidR="00067D88" w:rsidRPr="00646AED">
        <w:rPr>
          <w:rFonts w:asciiTheme="minorBidi" w:hAnsiTheme="minorBidi"/>
          <w:sz w:val="24"/>
          <w:szCs w:val="24"/>
        </w:rPr>
        <w:t>.</w:t>
      </w:r>
      <w:r w:rsidR="00DE2BC6">
        <w:rPr>
          <w:rFonts w:asciiTheme="minorBidi" w:hAnsiTheme="minorBidi"/>
          <w:sz w:val="24"/>
          <w:szCs w:val="24"/>
        </w:rPr>
        <w:t xml:space="preserve">  </w:t>
      </w:r>
      <w:r w:rsidR="00931E93" w:rsidRPr="008E43AC">
        <w:rPr>
          <w:rFonts w:asciiTheme="minorBidi" w:hAnsiTheme="minorBidi"/>
          <w:sz w:val="24"/>
          <w:szCs w:val="24"/>
        </w:rPr>
        <w:t xml:space="preserve">It is possible that the </w:t>
      </w:r>
      <w:r w:rsidR="00ED14EB">
        <w:rPr>
          <w:rFonts w:asciiTheme="minorBidi" w:hAnsiTheme="minorBidi"/>
          <w:sz w:val="24"/>
          <w:szCs w:val="24"/>
        </w:rPr>
        <w:t>proportion</w:t>
      </w:r>
      <w:r w:rsidR="00931E93" w:rsidRPr="008E43AC">
        <w:rPr>
          <w:rFonts w:asciiTheme="minorBidi" w:hAnsiTheme="minorBidi"/>
          <w:sz w:val="24"/>
          <w:szCs w:val="24"/>
        </w:rPr>
        <w:t xml:space="preserve"> of care processes </w:t>
      </w:r>
      <w:r w:rsidR="00ED14EB" w:rsidRPr="008E43AC">
        <w:rPr>
          <w:rFonts w:asciiTheme="minorBidi" w:hAnsiTheme="minorBidi"/>
          <w:sz w:val="24"/>
          <w:szCs w:val="24"/>
        </w:rPr>
        <w:t xml:space="preserve">completed </w:t>
      </w:r>
      <w:r w:rsidR="00931E93" w:rsidRPr="008E43AC">
        <w:rPr>
          <w:rFonts w:asciiTheme="minorBidi" w:hAnsiTheme="minorBidi"/>
          <w:sz w:val="24"/>
          <w:szCs w:val="24"/>
        </w:rPr>
        <w:t xml:space="preserve">is strongly influenced by logistic issues that result in missed appointments whereas </w:t>
      </w:r>
      <w:r w:rsidR="008D6400">
        <w:rPr>
          <w:rFonts w:asciiTheme="minorBidi" w:hAnsiTheme="minorBidi"/>
          <w:sz w:val="24"/>
          <w:szCs w:val="24"/>
        </w:rPr>
        <w:t>omission of</w:t>
      </w:r>
      <w:r w:rsidR="00931E93" w:rsidRPr="008E43AC">
        <w:rPr>
          <w:rFonts w:asciiTheme="minorBidi" w:hAnsiTheme="minorBidi"/>
          <w:sz w:val="24"/>
          <w:szCs w:val="24"/>
        </w:rPr>
        <w:t xml:space="preserve"> </w:t>
      </w:r>
      <w:r w:rsidR="008D6400">
        <w:rPr>
          <w:rFonts w:asciiTheme="minorBidi" w:hAnsiTheme="minorBidi"/>
          <w:sz w:val="24"/>
          <w:szCs w:val="24"/>
        </w:rPr>
        <w:t xml:space="preserve">individual items such as </w:t>
      </w:r>
      <w:r w:rsidR="00931E93" w:rsidRPr="008E43AC">
        <w:rPr>
          <w:rFonts w:asciiTheme="minorBidi" w:hAnsiTheme="minorBidi"/>
          <w:sz w:val="24"/>
          <w:szCs w:val="24"/>
        </w:rPr>
        <w:t xml:space="preserve">weight and </w:t>
      </w:r>
      <w:r w:rsidR="008D6400">
        <w:rPr>
          <w:rFonts w:asciiTheme="minorBidi" w:hAnsiTheme="minorBidi"/>
          <w:sz w:val="24"/>
          <w:szCs w:val="24"/>
        </w:rPr>
        <w:t xml:space="preserve">surveillance for </w:t>
      </w:r>
      <w:r w:rsidR="00931E93" w:rsidRPr="008E43AC">
        <w:rPr>
          <w:rFonts w:asciiTheme="minorBidi" w:hAnsiTheme="minorBidi"/>
          <w:sz w:val="24"/>
          <w:szCs w:val="24"/>
        </w:rPr>
        <w:t xml:space="preserve">early complications may be influenced </w:t>
      </w:r>
      <w:r w:rsidR="00ED14EB">
        <w:rPr>
          <w:rFonts w:asciiTheme="minorBidi" w:hAnsiTheme="minorBidi"/>
          <w:sz w:val="24"/>
          <w:szCs w:val="24"/>
        </w:rPr>
        <w:t xml:space="preserve">also </w:t>
      </w:r>
      <w:r w:rsidR="00931E93" w:rsidRPr="008E43AC">
        <w:rPr>
          <w:rFonts w:asciiTheme="minorBidi" w:hAnsiTheme="minorBidi"/>
          <w:sz w:val="24"/>
          <w:szCs w:val="24"/>
        </w:rPr>
        <w:t xml:space="preserve">by psychosocial factors. </w:t>
      </w:r>
      <w:r w:rsidR="00ED14EB">
        <w:rPr>
          <w:rFonts w:asciiTheme="minorBidi" w:hAnsiTheme="minorBidi"/>
          <w:sz w:val="24"/>
          <w:szCs w:val="24"/>
        </w:rPr>
        <w:t>Additionally, i</w:t>
      </w:r>
      <w:r w:rsidR="00931E93" w:rsidRPr="008E43AC">
        <w:rPr>
          <w:rFonts w:asciiTheme="minorBidi" w:hAnsiTheme="minorBidi"/>
          <w:sz w:val="24"/>
          <w:szCs w:val="24"/>
        </w:rPr>
        <w:t xml:space="preserve">t may be that some factors recorded as satisfactory </w:t>
      </w:r>
      <w:r w:rsidR="00A91189">
        <w:rPr>
          <w:rFonts w:asciiTheme="minorBidi" w:hAnsiTheme="minorBidi"/>
          <w:sz w:val="24"/>
          <w:szCs w:val="24"/>
        </w:rPr>
        <w:t xml:space="preserve">and stable </w:t>
      </w:r>
      <w:r w:rsidR="00931E93" w:rsidRPr="008E43AC">
        <w:rPr>
          <w:rFonts w:asciiTheme="minorBidi" w:hAnsiTheme="minorBidi"/>
          <w:sz w:val="24"/>
          <w:szCs w:val="24"/>
        </w:rPr>
        <w:t xml:space="preserve">at </w:t>
      </w:r>
      <w:r w:rsidR="008D6400">
        <w:rPr>
          <w:rFonts w:asciiTheme="minorBidi" w:hAnsiTheme="minorBidi"/>
          <w:sz w:val="24"/>
          <w:szCs w:val="24"/>
        </w:rPr>
        <w:t>recent</w:t>
      </w:r>
      <w:r w:rsidR="00931E93" w:rsidRPr="008E43AC">
        <w:rPr>
          <w:rFonts w:asciiTheme="minorBidi" w:hAnsiTheme="minorBidi"/>
          <w:sz w:val="24"/>
          <w:szCs w:val="24"/>
        </w:rPr>
        <w:t xml:space="preserve"> visit</w:t>
      </w:r>
      <w:r w:rsidR="008D6400">
        <w:rPr>
          <w:rFonts w:asciiTheme="minorBidi" w:hAnsiTheme="minorBidi"/>
          <w:sz w:val="24"/>
          <w:szCs w:val="24"/>
        </w:rPr>
        <w:t>s</w:t>
      </w:r>
      <w:r w:rsidR="00931E93" w:rsidRPr="008E43AC">
        <w:rPr>
          <w:rFonts w:asciiTheme="minorBidi" w:hAnsiTheme="minorBidi"/>
          <w:sz w:val="24"/>
          <w:szCs w:val="24"/>
        </w:rPr>
        <w:t xml:space="preserve"> (e.g., HbA</w:t>
      </w:r>
      <w:r w:rsidR="00931E93" w:rsidRPr="00240181">
        <w:rPr>
          <w:rFonts w:asciiTheme="minorBidi" w:hAnsiTheme="minorBidi"/>
          <w:sz w:val="24"/>
          <w:szCs w:val="24"/>
          <w:vertAlign w:val="subscript"/>
        </w:rPr>
        <w:t>1c</w:t>
      </w:r>
      <w:r w:rsidR="00931E93" w:rsidRPr="008E43AC">
        <w:rPr>
          <w:rFonts w:asciiTheme="minorBidi" w:hAnsiTheme="minorBidi"/>
          <w:sz w:val="24"/>
          <w:szCs w:val="24"/>
        </w:rPr>
        <w:t xml:space="preserve"> in people with </w:t>
      </w:r>
      <w:r w:rsidR="000F5ACF">
        <w:rPr>
          <w:rFonts w:asciiTheme="minorBidi" w:hAnsiTheme="minorBidi"/>
          <w:sz w:val="24"/>
          <w:szCs w:val="24"/>
        </w:rPr>
        <w:t>t</w:t>
      </w:r>
      <w:r w:rsidR="00931E93" w:rsidRPr="008E43AC">
        <w:rPr>
          <w:rFonts w:asciiTheme="minorBidi" w:hAnsiTheme="minorBidi"/>
          <w:sz w:val="24"/>
          <w:szCs w:val="24"/>
        </w:rPr>
        <w:t xml:space="preserve">ype 2 diabetes, </w:t>
      </w:r>
      <w:r w:rsidR="00ED14EB">
        <w:rPr>
          <w:rFonts w:asciiTheme="minorBidi" w:hAnsiTheme="minorBidi"/>
          <w:sz w:val="24"/>
          <w:szCs w:val="24"/>
        </w:rPr>
        <w:t xml:space="preserve">or </w:t>
      </w:r>
      <w:r w:rsidR="00931E93" w:rsidRPr="008E43AC">
        <w:rPr>
          <w:rFonts w:asciiTheme="minorBidi" w:hAnsiTheme="minorBidi"/>
          <w:sz w:val="24"/>
          <w:szCs w:val="24"/>
        </w:rPr>
        <w:t>blood pressure</w:t>
      </w:r>
      <w:r w:rsidR="00ED14EB">
        <w:rPr>
          <w:rFonts w:asciiTheme="minorBidi" w:hAnsiTheme="minorBidi"/>
          <w:sz w:val="24"/>
          <w:szCs w:val="24"/>
        </w:rPr>
        <w:t xml:space="preserve"> and</w:t>
      </w:r>
      <w:r w:rsidR="00931E93" w:rsidRPr="008E43AC">
        <w:rPr>
          <w:rFonts w:asciiTheme="minorBidi" w:hAnsiTheme="minorBidi"/>
          <w:sz w:val="24"/>
          <w:szCs w:val="24"/>
        </w:rPr>
        <w:t xml:space="preserve"> kidney function</w:t>
      </w:r>
      <w:r w:rsidR="00ED14EB">
        <w:rPr>
          <w:rFonts w:asciiTheme="minorBidi" w:hAnsiTheme="minorBidi"/>
          <w:sz w:val="24"/>
          <w:szCs w:val="24"/>
        </w:rPr>
        <w:t xml:space="preserve"> in younger people</w:t>
      </w:r>
      <w:r w:rsidR="00931E93" w:rsidRPr="008E43AC">
        <w:rPr>
          <w:rFonts w:asciiTheme="minorBidi" w:hAnsiTheme="minorBidi"/>
          <w:sz w:val="24"/>
          <w:szCs w:val="24"/>
        </w:rPr>
        <w:t xml:space="preserve">), are not always repeated, and </w:t>
      </w:r>
      <w:r w:rsidR="00ED14EB">
        <w:rPr>
          <w:rFonts w:asciiTheme="minorBidi" w:hAnsiTheme="minorBidi"/>
          <w:sz w:val="24"/>
          <w:szCs w:val="24"/>
        </w:rPr>
        <w:t xml:space="preserve">that </w:t>
      </w:r>
      <w:r w:rsidR="00A91189">
        <w:rPr>
          <w:rFonts w:asciiTheme="minorBidi" w:hAnsiTheme="minorBidi"/>
          <w:sz w:val="24"/>
          <w:szCs w:val="24"/>
        </w:rPr>
        <w:t>a</w:t>
      </w:r>
      <w:r w:rsidR="00931E93" w:rsidRPr="008E43AC">
        <w:rPr>
          <w:rFonts w:asciiTheme="minorBidi" w:hAnsiTheme="minorBidi"/>
          <w:sz w:val="24"/>
          <w:szCs w:val="24"/>
        </w:rPr>
        <w:t xml:space="preserve"> smoking status </w:t>
      </w:r>
      <w:r w:rsidR="00A91189">
        <w:rPr>
          <w:rFonts w:asciiTheme="minorBidi" w:hAnsiTheme="minorBidi"/>
          <w:sz w:val="24"/>
          <w:szCs w:val="24"/>
        </w:rPr>
        <w:t xml:space="preserve">enquiry </w:t>
      </w:r>
      <w:r w:rsidR="00931E93" w:rsidRPr="008E43AC">
        <w:rPr>
          <w:rFonts w:asciiTheme="minorBidi" w:hAnsiTheme="minorBidi"/>
          <w:sz w:val="24"/>
          <w:szCs w:val="24"/>
        </w:rPr>
        <w:t xml:space="preserve">may be </w:t>
      </w:r>
      <w:r w:rsidR="00A91189">
        <w:rPr>
          <w:rFonts w:asciiTheme="minorBidi" w:hAnsiTheme="minorBidi"/>
          <w:sz w:val="24"/>
          <w:szCs w:val="24"/>
        </w:rPr>
        <w:t>omitted</w:t>
      </w:r>
      <w:r w:rsidR="00A91189" w:rsidRPr="008E43AC">
        <w:rPr>
          <w:rFonts w:asciiTheme="minorBidi" w:hAnsiTheme="minorBidi"/>
          <w:sz w:val="24"/>
          <w:szCs w:val="24"/>
        </w:rPr>
        <w:t xml:space="preserve"> </w:t>
      </w:r>
      <w:r w:rsidR="00931E93" w:rsidRPr="008E43AC">
        <w:rPr>
          <w:rFonts w:asciiTheme="minorBidi" w:hAnsiTheme="minorBidi"/>
          <w:sz w:val="24"/>
          <w:szCs w:val="24"/>
        </w:rPr>
        <w:t>in long-term non-smokers although one the primary care pay for performance system (Q</w:t>
      </w:r>
      <w:r w:rsidR="00EF67D3">
        <w:rPr>
          <w:rFonts w:asciiTheme="minorBidi" w:hAnsiTheme="minorBidi"/>
          <w:sz w:val="24"/>
          <w:szCs w:val="24"/>
        </w:rPr>
        <w:t>uality and Outcomes Framework</w:t>
      </w:r>
      <w:r w:rsidR="00931E93" w:rsidRPr="008E43AC">
        <w:rPr>
          <w:rFonts w:asciiTheme="minorBidi" w:hAnsiTheme="minorBidi"/>
          <w:sz w:val="24"/>
          <w:szCs w:val="24"/>
        </w:rPr>
        <w:t xml:space="preserve">) </w:t>
      </w:r>
      <w:r w:rsidR="00ED14EB">
        <w:rPr>
          <w:rFonts w:asciiTheme="minorBidi" w:hAnsiTheme="minorBidi"/>
          <w:sz w:val="24"/>
          <w:szCs w:val="24"/>
        </w:rPr>
        <w:t>is designed to</w:t>
      </w:r>
      <w:r w:rsidR="00ED14EB" w:rsidRPr="008E43AC">
        <w:rPr>
          <w:rFonts w:asciiTheme="minorBidi" w:hAnsiTheme="minorBidi"/>
          <w:sz w:val="24"/>
          <w:szCs w:val="24"/>
        </w:rPr>
        <w:t xml:space="preserve"> </w:t>
      </w:r>
      <w:r w:rsidR="00931E93" w:rsidRPr="008E43AC">
        <w:rPr>
          <w:rFonts w:asciiTheme="minorBidi" w:hAnsiTheme="minorBidi"/>
          <w:sz w:val="24"/>
          <w:szCs w:val="24"/>
        </w:rPr>
        <w:t>mitigate against</w:t>
      </w:r>
      <w:r w:rsidR="00EF67D3">
        <w:rPr>
          <w:rFonts w:asciiTheme="minorBidi" w:hAnsiTheme="minorBidi"/>
          <w:sz w:val="24"/>
          <w:szCs w:val="24"/>
        </w:rPr>
        <w:t xml:space="preserve"> this</w:t>
      </w:r>
      <w:r w:rsidR="00931E93" w:rsidRPr="008E43AC">
        <w:rPr>
          <w:rFonts w:asciiTheme="minorBidi" w:hAnsiTheme="minorBidi"/>
          <w:sz w:val="24"/>
          <w:szCs w:val="24"/>
        </w:rPr>
        <w:t>. Qualitative studies have shown the therapeutic relationship between patient and healthcare professional to be an important determinant of attendance</w:t>
      </w:r>
      <w:r w:rsidR="0062049F">
        <w:rPr>
          <w:rFonts w:asciiTheme="minorBidi" w:hAnsiTheme="minorBidi"/>
          <w:sz w:val="24"/>
          <w:szCs w:val="24"/>
        </w:rPr>
        <w:fldChar w:fldCharType="begin" w:fldLock="1"/>
      </w:r>
      <w:r w:rsidR="00646AED">
        <w:rPr>
          <w:rFonts w:asciiTheme="minorBidi" w:hAnsiTheme="minorBidi"/>
          <w:sz w:val="24"/>
          <w:szCs w:val="24"/>
        </w:rPr>
        <w:instrText>ADDIN CSL_CITATION {"citationItems":[{"id":"ITEM-1","itemData":{"DOI":"10.1111/dme.14241","ISSN":"0742-3071","PMID":"31968127","abstract":"Background: Non-attendance at diabetes outpatient appointments is a sizeable problem worldwide and has been associated with suboptimal health outcomes. We aimed to describe the characteristics, health outcomes and reasons given for non-attendance at doctor- or nurse-led diabetes appointments, and interventions to improve attendance. Methods: PubMed, EMBASE, CINAHL and PsychInfo were searched from database inception to February 2019. Included articles were peer-reviewed, published in English, related to adults or young people with type 1 or type 2 diabetes, and addressed one of the above aspects of non-attendance. Studies were excluded if reporting on other types of diabetes or reviewing attendance at structured education, retinal screening, paediatric, antenatal, podiatry or dietetic clinics. Results: Thirty-four studies of varied designs were identified (15 observational, 1 randomized control trial, 9 qualitative, 5 surveys, 4 service improvements). The definition of non-attendance varied. Younger adults, smokers and those with financial pressures were less likely to attend. Non-attendance was associated with higher HbA1c; other outcomes were varied but typically worse in non-attenders. Reasons for non-attendance in qualitative studies fell into three categories: balancing the costs and benefits of attendance, coping strategies, and the relationships between the person with diabetes and healthcare professionals. Interventions included appointment management strategies, service improvements, patient navigators and WebCam appointments. Conclusions: Non-attendance is only partially explained by logistical issues. Qualitative studies suggest complex psychosocial factors are involved. Interventions have progressed from simple appointment reminders in an attempt to address some of the psycho-social determinants, but more work is needed to improve attendance.","author":[{"dropping-particle":"","family":"Brewster","given":"S.","non-dropping-particle":"","parse-names":false,"suffix":""},{"dropping-particle":"","family":"Bartholomew","given":"J.","non-dropping-particle":"","parse-names":false,"suffix":""},{"dropping-particle":"","family":"Holt","given":"R. I. G.","non-dropping-particle":"","parse-names":false,"suffix":""},{"dropping-particle":"","family":"Price","given":"H.","non-dropping-particle":"","parse-names":false,"suffix":""}],"container-title":"Diabetic Medicine","id":</w:instrText>
      </w:r>
      <w:r w:rsidR="00646AED">
        <w:rPr>
          <w:rFonts w:asciiTheme="minorBidi" w:hAnsiTheme="minorBidi" w:hint="eastAsia"/>
          <w:sz w:val="24"/>
          <w:szCs w:val="24"/>
        </w:rPr>
        <w:instrText>"ITEM-1","issue":"9","issued":{"date-parts":[["2020","9","3"]]},"page":"1427-1442","publisher":"Blackwell Publishing Ltd","title":"Non</w:instrText>
      </w:r>
      <w:r w:rsidR="00646AED">
        <w:rPr>
          <w:rFonts w:asciiTheme="minorBidi" w:hAnsiTheme="minorBidi" w:hint="eastAsia"/>
          <w:sz w:val="24"/>
          <w:szCs w:val="24"/>
        </w:rPr>
        <w:instrText>‐</w:instrText>
      </w:r>
      <w:r w:rsidR="00646AED">
        <w:rPr>
          <w:rFonts w:asciiTheme="minorBidi" w:hAnsiTheme="minorBidi" w:hint="eastAsia"/>
          <w:sz w:val="24"/>
          <w:szCs w:val="24"/>
        </w:rPr>
        <w:instrText>attendance at diabetes outpatient appointments: a systematic review","type":"article-journal","volume":"37"},"uris":["ht</w:instrText>
      </w:r>
      <w:r w:rsidR="00646AED">
        <w:rPr>
          <w:rFonts w:asciiTheme="minorBidi" w:hAnsiTheme="minorBidi"/>
          <w:sz w:val="24"/>
          <w:szCs w:val="24"/>
        </w:rPr>
        <w:instrText>tp://www.mendeley.com/documents/?uuid=12954c72-46eb-389d-b84f-b6f8efbaa14e"]}],"mendeley":{"formattedCitation":"&lt;sup&gt;18&lt;/sup&gt;","plainTextFormattedCitation":"18","previouslyFormattedCitation":"&lt;sup&gt;18&lt;/sup&gt;"},"properties":{"noteIndex":0},"schema":"https://github.com/citation-style-language/schema/raw/master/csl-citation.json"}</w:instrText>
      </w:r>
      <w:r w:rsidR="0062049F">
        <w:rPr>
          <w:rFonts w:asciiTheme="minorBidi" w:hAnsiTheme="minorBidi"/>
          <w:sz w:val="24"/>
          <w:szCs w:val="24"/>
        </w:rPr>
        <w:fldChar w:fldCharType="separate"/>
      </w:r>
      <w:r w:rsidR="003E7326" w:rsidRPr="003E7326">
        <w:rPr>
          <w:rFonts w:asciiTheme="minorBidi" w:hAnsiTheme="minorBidi"/>
          <w:noProof/>
          <w:sz w:val="24"/>
          <w:szCs w:val="24"/>
          <w:vertAlign w:val="superscript"/>
        </w:rPr>
        <w:t>18</w:t>
      </w:r>
      <w:r w:rsidR="0062049F">
        <w:rPr>
          <w:rFonts w:asciiTheme="minorBidi" w:hAnsiTheme="minorBidi"/>
          <w:sz w:val="24"/>
          <w:szCs w:val="24"/>
        </w:rPr>
        <w:fldChar w:fldCharType="end"/>
      </w:r>
      <w:r w:rsidR="00931E93" w:rsidRPr="008E43AC">
        <w:rPr>
          <w:rFonts w:asciiTheme="minorBidi" w:hAnsiTheme="minorBidi"/>
          <w:sz w:val="24"/>
          <w:szCs w:val="24"/>
        </w:rPr>
        <w:t xml:space="preserve"> but the NDA </w:t>
      </w:r>
      <w:r w:rsidR="00A357FC">
        <w:rPr>
          <w:rFonts w:asciiTheme="minorBidi" w:hAnsiTheme="minorBidi"/>
          <w:sz w:val="24"/>
          <w:szCs w:val="24"/>
        </w:rPr>
        <w:t>cannot capture this aspect of care</w:t>
      </w:r>
      <w:r w:rsidR="00931E93" w:rsidRPr="008E43AC">
        <w:rPr>
          <w:rFonts w:asciiTheme="minorBidi" w:hAnsiTheme="minorBidi"/>
          <w:sz w:val="24"/>
          <w:szCs w:val="24"/>
        </w:rPr>
        <w:t>.</w:t>
      </w:r>
    </w:p>
    <w:p w14:paraId="1A98E793" w14:textId="76F8B576" w:rsidR="00217AC8" w:rsidRDefault="00217AC8" w:rsidP="008E43AC">
      <w:pPr>
        <w:spacing w:after="0" w:line="480" w:lineRule="auto"/>
        <w:rPr>
          <w:rFonts w:asciiTheme="minorBidi" w:hAnsiTheme="minorBidi"/>
          <w:sz w:val="24"/>
          <w:szCs w:val="24"/>
        </w:rPr>
      </w:pPr>
    </w:p>
    <w:p w14:paraId="65341A4A" w14:textId="77777777" w:rsidR="00931E93" w:rsidRPr="008E43AC" w:rsidRDefault="00931E93" w:rsidP="008E43AC">
      <w:pPr>
        <w:spacing w:after="0" w:line="480" w:lineRule="auto"/>
        <w:rPr>
          <w:rFonts w:asciiTheme="minorBidi" w:hAnsiTheme="minorBidi"/>
          <w:sz w:val="24"/>
          <w:szCs w:val="24"/>
        </w:rPr>
      </w:pPr>
    </w:p>
    <w:p w14:paraId="1AE1759B" w14:textId="3E4BD822" w:rsidR="00931E93" w:rsidRDefault="00931E93" w:rsidP="008E43AC">
      <w:pPr>
        <w:spacing w:after="0" w:line="480" w:lineRule="auto"/>
        <w:rPr>
          <w:rFonts w:asciiTheme="minorBidi" w:hAnsiTheme="minorBidi"/>
          <w:sz w:val="24"/>
          <w:szCs w:val="24"/>
        </w:rPr>
      </w:pPr>
      <w:r w:rsidRPr="008E43AC">
        <w:rPr>
          <w:rFonts w:asciiTheme="minorBidi" w:hAnsiTheme="minorBidi"/>
          <w:sz w:val="24"/>
          <w:szCs w:val="24"/>
        </w:rPr>
        <w:t xml:space="preserve">The present analysis </w:t>
      </w:r>
      <w:r w:rsidR="008D0B5A">
        <w:rPr>
          <w:rFonts w:asciiTheme="minorBidi" w:hAnsiTheme="minorBidi"/>
          <w:sz w:val="24"/>
          <w:szCs w:val="24"/>
        </w:rPr>
        <w:t xml:space="preserve">identifies </w:t>
      </w:r>
      <w:r w:rsidRPr="008E43AC">
        <w:rPr>
          <w:rFonts w:asciiTheme="minorBidi" w:hAnsiTheme="minorBidi"/>
          <w:sz w:val="24"/>
          <w:szCs w:val="24"/>
        </w:rPr>
        <w:t xml:space="preserve">an association between low </w:t>
      </w:r>
      <w:r w:rsidR="00A91189">
        <w:rPr>
          <w:rFonts w:asciiTheme="minorBidi" w:hAnsiTheme="minorBidi"/>
          <w:sz w:val="24"/>
          <w:szCs w:val="24"/>
        </w:rPr>
        <w:t xml:space="preserve">numbers of annual </w:t>
      </w:r>
      <w:r w:rsidRPr="008E43AC">
        <w:rPr>
          <w:rFonts w:asciiTheme="minorBidi" w:hAnsiTheme="minorBidi"/>
          <w:sz w:val="24"/>
          <w:szCs w:val="24"/>
        </w:rPr>
        <w:t>care process</w:t>
      </w:r>
      <w:r w:rsidR="00A91189">
        <w:rPr>
          <w:rFonts w:asciiTheme="minorBidi" w:hAnsiTheme="minorBidi"/>
          <w:sz w:val="24"/>
          <w:szCs w:val="24"/>
        </w:rPr>
        <w:t>es</w:t>
      </w:r>
      <w:r w:rsidRPr="008E43AC">
        <w:rPr>
          <w:rFonts w:asciiTheme="minorBidi" w:hAnsiTheme="minorBidi"/>
          <w:sz w:val="24"/>
          <w:szCs w:val="24"/>
        </w:rPr>
        <w:t xml:space="preserve"> complet</w:t>
      </w:r>
      <w:r w:rsidR="00A91189">
        <w:rPr>
          <w:rFonts w:asciiTheme="minorBidi" w:hAnsiTheme="minorBidi"/>
          <w:sz w:val="24"/>
          <w:szCs w:val="24"/>
        </w:rPr>
        <w:t>ed</w:t>
      </w:r>
      <w:r w:rsidRPr="008E43AC">
        <w:rPr>
          <w:rFonts w:asciiTheme="minorBidi" w:hAnsiTheme="minorBidi"/>
          <w:sz w:val="24"/>
          <w:szCs w:val="24"/>
        </w:rPr>
        <w:t xml:space="preserve"> and </w:t>
      </w:r>
      <w:r w:rsidR="00A91189">
        <w:rPr>
          <w:rFonts w:asciiTheme="minorBidi" w:hAnsiTheme="minorBidi"/>
          <w:sz w:val="24"/>
          <w:szCs w:val="24"/>
        </w:rPr>
        <w:t xml:space="preserve">subsequent 7year </w:t>
      </w:r>
      <w:r w:rsidRPr="008E43AC">
        <w:rPr>
          <w:rFonts w:asciiTheme="minorBidi" w:hAnsiTheme="minorBidi"/>
          <w:sz w:val="24"/>
          <w:szCs w:val="24"/>
        </w:rPr>
        <w:t>mortality</w:t>
      </w:r>
      <w:r w:rsidR="00A91189">
        <w:rPr>
          <w:rFonts w:asciiTheme="minorBidi" w:hAnsiTheme="minorBidi"/>
          <w:sz w:val="24"/>
          <w:szCs w:val="24"/>
        </w:rPr>
        <w:t>.</w:t>
      </w:r>
      <w:r w:rsidR="008D0B5A">
        <w:rPr>
          <w:rFonts w:asciiTheme="minorBidi" w:hAnsiTheme="minorBidi"/>
          <w:sz w:val="24"/>
          <w:szCs w:val="24"/>
        </w:rPr>
        <w:t xml:space="preserve"> </w:t>
      </w:r>
      <w:r w:rsidR="00A91189">
        <w:rPr>
          <w:rFonts w:asciiTheme="minorBidi" w:hAnsiTheme="minorBidi"/>
          <w:sz w:val="24"/>
          <w:szCs w:val="24"/>
        </w:rPr>
        <w:t>T</w:t>
      </w:r>
      <w:r w:rsidR="008D0B5A">
        <w:rPr>
          <w:rFonts w:asciiTheme="minorBidi" w:hAnsiTheme="minorBidi"/>
          <w:sz w:val="24"/>
          <w:szCs w:val="24"/>
        </w:rPr>
        <w:t>herefore</w:t>
      </w:r>
      <w:r w:rsidR="00A91189">
        <w:rPr>
          <w:rFonts w:asciiTheme="minorBidi" w:hAnsiTheme="minorBidi"/>
          <w:sz w:val="24"/>
          <w:szCs w:val="24"/>
        </w:rPr>
        <w:t>,</w:t>
      </w:r>
      <w:r w:rsidR="008D0B5A">
        <w:rPr>
          <w:rFonts w:asciiTheme="minorBidi" w:hAnsiTheme="minorBidi"/>
          <w:sz w:val="24"/>
          <w:szCs w:val="24"/>
        </w:rPr>
        <w:t xml:space="preserve"> </w:t>
      </w:r>
      <w:r w:rsidR="00A91189">
        <w:rPr>
          <w:rFonts w:asciiTheme="minorBidi" w:hAnsiTheme="minorBidi"/>
          <w:sz w:val="24"/>
          <w:szCs w:val="24"/>
        </w:rPr>
        <w:t xml:space="preserve">it identifies </w:t>
      </w:r>
      <w:r w:rsidRPr="008E43AC">
        <w:rPr>
          <w:rFonts w:asciiTheme="minorBidi" w:hAnsiTheme="minorBidi"/>
          <w:sz w:val="24"/>
          <w:szCs w:val="24"/>
        </w:rPr>
        <w:t xml:space="preserve">a group of people </w:t>
      </w:r>
      <w:r w:rsidR="00602EC9">
        <w:rPr>
          <w:rFonts w:asciiTheme="minorBidi" w:hAnsiTheme="minorBidi"/>
          <w:sz w:val="24"/>
          <w:szCs w:val="24"/>
        </w:rPr>
        <w:t>wh</w:t>
      </w:r>
      <w:r w:rsidRPr="008E43AC">
        <w:rPr>
          <w:rFonts w:asciiTheme="minorBidi" w:hAnsiTheme="minorBidi"/>
          <w:sz w:val="24"/>
          <w:szCs w:val="24"/>
        </w:rPr>
        <w:t>o have a higher risk of mortality</w:t>
      </w:r>
      <w:r w:rsidR="00602EC9">
        <w:rPr>
          <w:rFonts w:asciiTheme="minorBidi" w:hAnsiTheme="minorBidi"/>
          <w:sz w:val="24"/>
          <w:szCs w:val="24"/>
        </w:rPr>
        <w:t xml:space="preserve">. </w:t>
      </w:r>
      <w:r w:rsidR="00ED14EB">
        <w:rPr>
          <w:rFonts w:asciiTheme="minorBidi" w:hAnsiTheme="minorBidi"/>
          <w:sz w:val="24"/>
          <w:szCs w:val="24"/>
        </w:rPr>
        <w:t>But o</w:t>
      </w:r>
      <w:r w:rsidR="00ED14EB" w:rsidRPr="008E43AC">
        <w:rPr>
          <w:rFonts w:asciiTheme="minorBidi" w:hAnsiTheme="minorBidi"/>
          <w:sz w:val="24"/>
          <w:szCs w:val="24"/>
        </w:rPr>
        <w:t xml:space="preserve">bservational analyses cannot </w:t>
      </w:r>
      <w:r w:rsidR="00ED14EB">
        <w:rPr>
          <w:rFonts w:asciiTheme="minorBidi" w:hAnsiTheme="minorBidi"/>
          <w:sz w:val="24"/>
          <w:szCs w:val="24"/>
        </w:rPr>
        <w:t>establish</w:t>
      </w:r>
      <w:r w:rsidR="00ED14EB" w:rsidRPr="008E43AC">
        <w:rPr>
          <w:rFonts w:asciiTheme="minorBidi" w:hAnsiTheme="minorBidi"/>
          <w:sz w:val="24"/>
          <w:szCs w:val="24"/>
        </w:rPr>
        <w:t xml:space="preserve"> cause and effect and we cannot rule out residual confounding. </w:t>
      </w:r>
      <w:r w:rsidR="00602EC9">
        <w:rPr>
          <w:rFonts w:asciiTheme="minorBidi" w:hAnsiTheme="minorBidi"/>
          <w:sz w:val="24"/>
          <w:szCs w:val="24"/>
        </w:rPr>
        <w:t xml:space="preserve"> </w:t>
      </w:r>
      <w:r w:rsidR="00ED14EB">
        <w:rPr>
          <w:rFonts w:asciiTheme="minorBidi" w:hAnsiTheme="minorBidi"/>
          <w:sz w:val="24"/>
          <w:szCs w:val="24"/>
        </w:rPr>
        <w:t>O</w:t>
      </w:r>
      <w:r w:rsidRPr="008E43AC">
        <w:rPr>
          <w:rFonts w:asciiTheme="minorBidi" w:hAnsiTheme="minorBidi"/>
          <w:sz w:val="24"/>
          <w:szCs w:val="24"/>
        </w:rPr>
        <w:t xml:space="preserve">ne can only speculate on </w:t>
      </w:r>
      <w:r w:rsidR="00A91189">
        <w:rPr>
          <w:rFonts w:asciiTheme="minorBidi" w:hAnsiTheme="minorBidi"/>
          <w:sz w:val="24"/>
          <w:szCs w:val="24"/>
        </w:rPr>
        <w:t xml:space="preserve">what </w:t>
      </w:r>
      <w:r w:rsidR="00ED14EB">
        <w:rPr>
          <w:rFonts w:asciiTheme="minorBidi" w:hAnsiTheme="minorBidi"/>
          <w:sz w:val="24"/>
          <w:szCs w:val="24"/>
        </w:rPr>
        <w:t>any</w:t>
      </w:r>
      <w:r w:rsidR="00A91189">
        <w:rPr>
          <w:rFonts w:asciiTheme="minorBidi" w:hAnsiTheme="minorBidi"/>
          <w:sz w:val="24"/>
          <w:szCs w:val="24"/>
        </w:rPr>
        <w:t xml:space="preserve"> </w:t>
      </w:r>
      <w:r w:rsidRPr="008E43AC">
        <w:rPr>
          <w:rFonts w:asciiTheme="minorBidi" w:hAnsiTheme="minorBidi"/>
          <w:sz w:val="24"/>
          <w:szCs w:val="24"/>
        </w:rPr>
        <w:t xml:space="preserve">mechanism </w:t>
      </w:r>
      <w:r w:rsidR="00A91189">
        <w:rPr>
          <w:rFonts w:asciiTheme="minorBidi" w:hAnsiTheme="minorBidi"/>
          <w:sz w:val="24"/>
          <w:szCs w:val="24"/>
        </w:rPr>
        <w:t>might be. T</w:t>
      </w:r>
      <w:r w:rsidRPr="008E43AC">
        <w:rPr>
          <w:rFonts w:asciiTheme="minorBidi" w:hAnsiTheme="minorBidi"/>
          <w:sz w:val="24"/>
          <w:szCs w:val="24"/>
        </w:rPr>
        <w:t xml:space="preserve">he prominence of respiratory disease among those who died after low rates of care process completion </w:t>
      </w:r>
      <w:r w:rsidR="00ED14EB">
        <w:rPr>
          <w:rFonts w:asciiTheme="minorBidi" w:hAnsiTheme="minorBidi"/>
          <w:sz w:val="24"/>
          <w:szCs w:val="24"/>
        </w:rPr>
        <w:t>raises one possibility</w:t>
      </w:r>
      <w:r w:rsidRPr="008E43AC">
        <w:rPr>
          <w:rFonts w:asciiTheme="minorBidi" w:hAnsiTheme="minorBidi"/>
          <w:sz w:val="24"/>
          <w:szCs w:val="24"/>
        </w:rPr>
        <w:t>. Respiratory deaths in younger people are predominantly due to pneumo</w:t>
      </w:r>
      <w:r w:rsidR="00ED14EB">
        <w:rPr>
          <w:rFonts w:asciiTheme="minorBidi" w:hAnsiTheme="minorBidi"/>
          <w:sz w:val="24"/>
          <w:szCs w:val="24"/>
        </w:rPr>
        <w:t>n</w:t>
      </w:r>
      <w:r w:rsidRPr="008E43AC">
        <w:rPr>
          <w:rFonts w:asciiTheme="minorBidi" w:hAnsiTheme="minorBidi"/>
          <w:sz w:val="24"/>
          <w:szCs w:val="24"/>
        </w:rPr>
        <w:t>ia for which diabetes is a known risk factor</w:t>
      </w:r>
      <w:r w:rsidR="00054A9A">
        <w:rPr>
          <w:rFonts w:asciiTheme="minorBidi" w:hAnsiTheme="minorBidi"/>
          <w:sz w:val="24"/>
          <w:szCs w:val="24"/>
        </w:rPr>
        <w:t>.</w:t>
      </w:r>
      <w:r w:rsidR="0062049F">
        <w:rPr>
          <w:rFonts w:asciiTheme="minorBidi" w:hAnsiTheme="minorBidi"/>
          <w:sz w:val="24"/>
          <w:szCs w:val="24"/>
        </w:rPr>
        <w:fldChar w:fldCharType="begin" w:fldLock="1"/>
      </w:r>
      <w:r w:rsidR="00646AED">
        <w:rPr>
          <w:rFonts w:asciiTheme="minorBidi" w:hAnsiTheme="minorBidi"/>
          <w:sz w:val="24"/>
          <w:szCs w:val="24"/>
        </w:rPr>
        <w:instrText>ADDIN CSL_CITATION {"citationItems":[{"id":"ITEM-1","itemData":{"DOI":"10.1136/thoraxjnl-2013-204282","ISSN":"0040-6376","PMID":"24130229","abstract":"Background Community-acquired pneumonia (CAP) causes considerable morbidity and mortality in adults, particularly in the elderly. Methods Structured searches of PubMed were conducted to identify up-to-date information on the incidence of CAP in adults in Europe, as well as data on lifestyle and medical risk factors for CAP. Results The overall annual incidence of CAP in adults ranged between 1.07 to 1.2 per 1000 person-years and 1.54 to 1.7 per 1000 population and increased with age (14 per 1000 person-years in adults aged =65 years). Incidence was also higher in men than in women and in patients with chronic respiratory disease or HIV infection. Lifestyle factors associated with an increased risk of CAP included smoking, alcohol abuse, being underweight, having regular contact with children and poor dental hygiene. The presence of comorbid conditions, including chronic respiratory and cardiovascular diseases, cerebrovascular disease, Parkinson's disease, epilepsy, dementia, dysphagia, HIV or chronic renal or liver disease all increased the risk of CAP by twofold to fourfold. Conclusion A range of lifestyle factors and underlying medical conditions are associated with an increased risk of CAP in European adults. Understanding of the types of individual at greatest risk of CAP can help to ensure that interventions to reduce the risk of infection and burden of disease are targeted appropriately.","author":[{"dropping-particle":"","family":"Torres","given":"Antoni","non-dropping-particle":"","parse-names":false,"suffix":""},{"dropping-particle":"","family":"Peetermans","given":"Willy E.","non-dropping-particle":"","parse-names":false,"suffix":""},{"dropping-particle":"","family":"Viegi","given":"Giovanni","non-dropping-particle":"","parse-names":false,"suffix":""},{"dropping-particle":"","family":"Blasi","given":"Francesco","non-dropping-particle":"","parse-names":false,"suffix":""}],"container-title":"Thorax","id":"ITEM-1","issue":"11","issued":{"date-parts":[["2013","11","15"]]},"page":"1057-1065","publisher":"Thorax","title":"Risk factors for community-acquired pneumonia in adults in Europe: a literature review","type":"article-journal","volume":"68"},"uris":["http://www.mendeley.com/documents/?uuid=5e2c819f-1111-3f06-a8cc-cde8237d1725"]}],"mendeley":{"formattedCitation":"&lt;sup&gt;20&lt;/sup&gt;","plainTextFormattedCitation":"20","previouslyFormattedCitation":"&lt;sup&gt;20&lt;/sup&gt;"},"properties":{"noteIndex":0},"schema":"https://github.com/citation-style-language/schema/raw/master/csl-citation.json"}</w:instrText>
      </w:r>
      <w:r w:rsidR="0062049F">
        <w:rPr>
          <w:rFonts w:asciiTheme="minorBidi" w:hAnsiTheme="minorBidi"/>
          <w:sz w:val="24"/>
          <w:szCs w:val="24"/>
        </w:rPr>
        <w:fldChar w:fldCharType="separate"/>
      </w:r>
      <w:r w:rsidR="003E7326" w:rsidRPr="003E7326">
        <w:rPr>
          <w:rFonts w:asciiTheme="minorBidi" w:hAnsiTheme="minorBidi"/>
          <w:noProof/>
          <w:sz w:val="24"/>
          <w:szCs w:val="24"/>
          <w:vertAlign w:val="superscript"/>
        </w:rPr>
        <w:t>20</w:t>
      </w:r>
      <w:r w:rsidR="0062049F">
        <w:rPr>
          <w:rFonts w:asciiTheme="minorBidi" w:hAnsiTheme="minorBidi"/>
          <w:sz w:val="24"/>
          <w:szCs w:val="24"/>
        </w:rPr>
        <w:fldChar w:fldCharType="end"/>
      </w:r>
      <w:r w:rsidRPr="008E43AC">
        <w:rPr>
          <w:rFonts w:asciiTheme="minorBidi" w:hAnsiTheme="minorBidi"/>
          <w:sz w:val="24"/>
          <w:szCs w:val="24"/>
        </w:rPr>
        <w:t xml:space="preserve"> Our analysis has tried to account for known pneumonia risks such as smoking</w:t>
      </w:r>
      <w:r w:rsidR="00ED14EB">
        <w:rPr>
          <w:rFonts w:asciiTheme="minorBidi" w:hAnsiTheme="minorBidi"/>
          <w:sz w:val="24"/>
          <w:szCs w:val="24"/>
        </w:rPr>
        <w:t>,</w:t>
      </w:r>
      <w:r w:rsidRPr="008E43AC">
        <w:rPr>
          <w:rFonts w:asciiTheme="minorBidi" w:hAnsiTheme="minorBidi"/>
          <w:sz w:val="24"/>
          <w:szCs w:val="24"/>
        </w:rPr>
        <w:t xml:space="preserve"> </w:t>
      </w:r>
      <w:r w:rsidR="00A91189">
        <w:rPr>
          <w:rFonts w:asciiTheme="minorBidi" w:hAnsiTheme="minorBidi"/>
          <w:sz w:val="24"/>
          <w:szCs w:val="24"/>
        </w:rPr>
        <w:t xml:space="preserve">which was more common in </w:t>
      </w:r>
      <w:r w:rsidR="00ED14EB">
        <w:rPr>
          <w:rFonts w:asciiTheme="minorBidi" w:hAnsiTheme="minorBidi"/>
          <w:sz w:val="24"/>
          <w:szCs w:val="24"/>
        </w:rPr>
        <w:t>the low care process</w:t>
      </w:r>
      <w:r w:rsidR="00A91189">
        <w:rPr>
          <w:rFonts w:asciiTheme="minorBidi" w:hAnsiTheme="minorBidi"/>
          <w:sz w:val="24"/>
          <w:szCs w:val="24"/>
        </w:rPr>
        <w:t xml:space="preserve"> group</w:t>
      </w:r>
      <w:r w:rsidR="00ED14EB">
        <w:rPr>
          <w:rFonts w:asciiTheme="minorBidi" w:hAnsiTheme="minorBidi"/>
          <w:sz w:val="24"/>
          <w:szCs w:val="24"/>
        </w:rPr>
        <w:t>,</w:t>
      </w:r>
      <w:r w:rsidR="00A91189">
        <w:rPr>
          <w:rFonts w:asciiTheme="minorBidi" w:hAnsiTheme="minorBidi"/>
          <w:sz w:val="24"/>
          <w:szCs w:val="24"/>
        </w:rPr>
        <w:t xml:space="preserve"> </w:t>
      </w:r>
      <w:r w:rsidRPr="008E43AC">
        <w:rPr>
          <w:rFonts w:asciiTheme="minorBidi" w:hAnsiTheme="minorBidi"/>
          <w:sz w:val="24"/>
          <w:szCs w:val="24"/>
        </w:rPr>
        <w:t xml:space="preserve">and elevated BMI but we have not been able to include other </w:t>
      </w:r>
      <w:r w:rsidR="00ED14EB">
        <w:rPr>
          <w:rFonts w:asciiTheme="minorBidi" w:hAnsiTheme="minorBidi"/>
          <w:sz w:val="24"/>
          <w:szCs w:val="24"/>
        </w:rPr>
        <w:t>known</w:t>
      </w:r>
      <w:r w:rsidR="00ED14EB" w:rsidRPr="008E43AC">
        <w:rPr>
          <w:rFonts w:asciiTheme="minorBidi" w:hAnsiTheme="minorBidi"/>
          <w:sz w:val="24"/>
          <w:szCs w:val="24"/>
        </w:rPr>
        <w:t xml:space="preserve"> </w:t>
      </w:r>
      <w:r w:rsidRPr="008E43AC">
        <w:rPr>
          <w:rFonts w:asciiTheme="minorBidi" w:hAnsiTheme="minorBidi"/>
          <w:sz w:val="24"/>
          <w:szCs w:val="24"/>
        </w:rPr>
        <w:t>factors</w:t>
      </w:r>
      <w:r w:rsidR="00C40E81">
        <w:rPr>
          <w:rFonts w:asciiTheme="minorBidi" w:hAnsiTheme="minorBidi"/>
          <w:sz w:val="24"/>
          <w:szCs w:val="24"/>
        </w:rPr>
        <w:t xml:space="preserve"> </w:t>
      </w:r>
      <w:r w:rsidR="00A91189">
        <w:rPr>
          <w:rFonts w:asciiTheme="minorBidi" w:hAnsiTheme="minorBidi"/>
          <w:sz w:val="24"/>
          <w:szCs w:val="24"/>
        </w:rPr>
        <w:t>such as</w:t>
      </w:r>
      <w:r w:rsidR="00A91189" w:rsidRPr="008E43AC">
        <w:rPr>
          <w:rFonts w:asciiTheme="minorBidi" w:hAnsiTheme="minorBidi"/>
          <w:sz w:val="24"/>
          <w:szCs w:val="24"/>
        </w:rPr>
        <w:t xml:space="preserve"> </w:t>
      </w:r>
      <w:r w:rsidR="00ED14EB">
        <w:rPr>
          <w:rFonts w:asciiTheme="minorBidi" w:hAnsiTheme="minorBidi"/>
          <w:sz w:val="24"/>
          <w:szCs w:val="24"/>
        </w:rPr>
        <w:t xml:space="preserve">high </w:t>
      </w:r>
      <w:r w:rsidRPr="008E43AC">
        <w:rPr>
          <w:rFonts w:asciiTheme="minorBidi" w:hAnsiTheme="minorBidi"/>
          <w:sz w:val="24"/>
          <w:szCs w:val="24"/>
        </w:rPr>
        <w:t xml:space="preserve">alcohol intake, </w:t>
      </w:r>
      <w:r w:rsidR="00ED14EB">
        <w:rPr>
          <w:rFonts w:asciiTheme="minorBidi" w:hAnsiTheme="minorBidi"/>
          <w:sz w:val="24"/>
          <w:szCs w:val="24"/>
        </w:rPr>
        <w:t xml:space="preserve">poor </w:t>
      </w:r>
      <w:r w:rsidRPr="008E43AC">
        <w:rPr>
          <w:rFonts w:asciiTheme="minorBidi" w:hAnsiTheme="minorBidi"/>
          <w:sz w:val="24"/>
          <w:szCs w:val="24"/>
        </w:rPr>
        <w:t xml:space="preserve">diet and </w:t>
      </w:r>
      <w:r w:rsidR="00ED14EB">
        <w:rPr>
          <w:rFonts w:asciiTheme="minorBidi" w:hAnsiTheme="minorBidi"/>
          <w:sz w:val="24"/>
          <w:szCs w:val="24"/>
        </w:rPr>
        <w:t xml:space="preserve">low </w:t>
      </w:r>
      <w:r w:rsidRPr="008E43AC">
        <w:rPr>
          <w:rFonts w:asciiTheme="minorBidi" w:hAnsiTheme="minorBidi"/>
          <w:sz w:val="24"/>
          <w:szCs w:val="24"/>
        </w:rPr>
        <w:t xml:space="preserve">physical activity. Conceivably, </w:t>
      </w:r>
      <w:r w:rsidR="00F54B09">
        <w:rPr>
          <w:rFonts w:asciiTheme="minorBidi" w:hAnsiTheme="minorBidi"/>
          <w:sz w:val="24"/>
          <w:szCs w:val="24"/>
        </w:rPr>
        <w:t xml:space="preserve">these </w:t>
      </w:r>
      <w:r w:rsidRPr="008E43AC">
        <w:rPr>
          <w:rFonts w:asciiTheme="minorBidi" w:hAnsiTheme="minorBidi"/>
          <w:sz w:val="24"/>
          <w:szCs w:val="24"/>
        </w:rPr>
        <w:t>unmeasured risks triangulate with the likelihood of missing care processes</w:t>
      </w:r>
      <w:r w:rsidR="00F54B09">
        <w:rPr>
          <w:rFonts w:asciiTheme="minorBidi" w:hAnsiTheme="minorBidi"/>
          <w:sz w:val="24"/>
          <w:szCs w:val="24"/>
        </w:rPr>
        <w:t xml:space="preserve">.  </w:t>
      </w:r>
      <w:r w:rsidR="00132128">
        <w:rPr>
          <w:rFonts w:asciiTheme="minorBidi" w:hAnsiTheme="minorBidi"/>
          <w:sz w:val="24"/>
          <w:szCs w:val="24"/>
        </w:rPr>
        <w:t>Alternatively,</w:t>
      </w:r>
      <w:r w:rsidRPr="008E43AC">
        <w:rPr>
          <w:rFonts w:asciiTheme="minorBidi" w:hAnsiTheme="minorBidi"/>
          <w:sz w:val="24"/>
          <w:szCs w:val="24"/>
        </w:rPr>
        <w:t xml:space="preserve"> individuals more engaged with self-care and lower risk lifestyles </w:t>
      </w:r>
      <w:r w:rsidR="00132128">
        <w:rPr>
          <w:rFonts w:asciiTheme="minorBidi" w:hAnsiTheme="minorBidi"/>
          <w:sz w:val="24"/>
          <w:szCs w:val="24"/>
        </w:rPr>
        <w:t>may</w:t>
      </w:r>
      <w:r w:rsidR="00132128" w:rsidRPr="008E43AC">
        <w:rPr>
          <w:rFonts w:asciiTheme="minorBidi" w:hAnsiTheme="minorBidi"/>
          <w:sz w:val="24"/>
          <w:szCs w:val="24"/>
        </w:rPr>
        <w:t xml:space="preserve"> </w:t>
      </w:r>
      <w:r w:rsidRPr="008E43AC">
        <w:rPr>
          <w:rFonts w:asciiTheme="minorBidi" w:hAnsiTheme="minorBidi"/>
          <w:sz w:val="24"/>
          <w:szCs w:val="24"/>
        </w:rPr>
        <w:t xml:space="preserve">attend clinics more often and </w:t>
      </w:r>
      <w:r w:rsidR="00132128">
        <w:rPr>
          <w:rFonts w:asciiTheme="minorBidi" w:hAnsiTheme="minorBidi"/>
          <w:sz w:val="24"/>
          <w:szCs w:val="24"/>
        </w:rPr>
        <w:t>be</w:t>
      </w:r>
      <w:r w:rsidR="00132128" w:rsidRPr="008E43AC">
        <w:rPr>
          <w:rFonts w:asciiTheme="minorBidi" w:hAnsiTheme="minorBidi"/>
          <w:sz w:val="24"/>
          <w:szCs w:val="24"/>
        </w:rPr>
        <w:t xml:space="preserve"> </w:t>
      </w:r>
      <w:r w:rsidR="00132128">
        <w:rPr>
          <w:rFonts w:asciiTheme="minorBidi" w:hAnsiTheme="minorBidi"/>
          <w:sz w:val="24"/>
          <w:szCs w:val="24"/>
        </w:rPr>
        <w:t>keener to complete all the</w:t>
      </w:r>
      <w:r w:rsidRPr="008E43AC">
        <w:rPr>
          <w:rFonts w:asciiTheme="minorBidi" w:hAnsiTheme="minorBidi"/>
          <w:sz w:val="24"/>
          <w:szCs w:val="24"/>
        </w:rPr>
        <w:t xml:space="preserve"> care processes. Equally, the findings may be due to reverse causality, whereby people </w:t>
      </w:r>
      <w:r w:rsidR="004377B8">
        <w:rPr>
          <w:rFonts w:asciiTheme="minorBidi" w:hAnsiTheme="minorBidi"/>
          <w:sz w:val="24"/>
          <w:szCs w:val="24"/>
        </w:rPr>
        <w:t>with multimorbidities</w:t>
      </w:r>
      <w:r w:rsidR="00E91F26">
        <w:rPr>
          <w:rFonts w:asciiTheme="minorBidi" w:hAnsiTheme="minorBidi"/>
          <w:sz w:val="24"/>
          <w:szCs w:val="24"/>
        </w:rPr>
        <w:t>, particularly mental illness, will be less likely to engage with routine follow up and self-management</w:t>
      </w:r>
      <w:r w:rsidRPr="008E43AC">
        <w:rPr>
          <w:rFonts w:asciiTheme="minorBidi" w:hAnsiTheme="minorBidi"/>
          <w:sz w:val="24"/>
          <w:szCs w:val="24"/>
        </w:rPr>
        <w:t xml:space="preserve">. </w:t>
      </w:r>
    </w:p>
    <w:p w14:paraId="5669844A" w14:textId="77777777" w:rsidR="00931E93" w:rsidRPr="008E43AC" w:rsidRDefault="00931E93" w:rsidP="008E43AC">
      <w:pPr>
        <w:spacing w:after="0" w:line="480" w:lineRule="auto"/>
        <w:rPr>
          <w:rFonts w:asciiTheme="minorBidi" w:hAnsiTheme="minorBidi"/>
          <w:sz w:val="24"/>
          <w:szCs w:val="24"/>
        </w:rPr>
      </w:pPr>
    </w:p>
    <w:p w14:paraId="6FC99EB2" w14:textId="440487FA" w:rsidR="00407E6B" w:rsidRDefault="00407E6B" w:rsidP="00F40832">
      <w:pPr>
        <w:spacing w:after="0" w:line="480" w:lineRule="auto"/>
        <w:rPr>
          <w:rFonts w:asciiTheme="minorBidi" w:hAnsiTheme="minorBidi"/>
          <w:sz w:val="24"/>
          <w:szCs w:val="24"/>
        </w:rPr>
      </w:pPr>
      <w:r>
        <w:rPr>
          <w:rFonts w:asciiTheme="minorBidi" w:hAnsiTheme="minorBidi"/>
          <w:sz w:val="24"/>
          <w:szCs w:val="24"/>
        </w:rPr>
        <w:t>S</w:t>
      </w:r>
      <w:r w:rsidR="00931E93" w:rsidRPr="008E43AC">
        <w:rPr>
          <w:rFonts w:asciiTheme="minorBidi" w:hAnsiTheme="minorBidi"/>
          <w:sz w:val="24"/>
          <w:szCs w:val="24"/>
        </w:rPr>
        <w:t xml:space="preserve">trengths of this study are the size of the cohort included in the analysis covering 76% of practices in England and Wales, the fact that it is drawn from a comprehensive selection of real-world population-based healthcare records and the length of the follow up. An important limitation is that </w:t>
      </w:r>
      <w:r w:rsidR="00930ED6">
        <w:rPr>
          <w:rFonts w:asciiTheme="minorBidi" w:hAnsiTheme="minorBidi"/>
          <w:sz w:val="24"/>
          <w:szCs w:val="24"/>
        </w:rPr>
        <w:t xml:space="preserve">neither </w:t>
      </w:r>
      <w:r w:rsidR="00931E93" w:rsidRPr="008E43AC">
        <w:rPr>
          <w:rFonts w:asciiTheme="minorBidi" w:hAnsiTheme="minorBidi"/>
          <w:sz w:val="24"/>
          <w:szCs w:val="24"/>
        </w:rPr>
        <w:t>medication data</w:t>
      </w:r>
      <w:r w:rsidR="00930ED6">
        <w:rPr>
          <w:rFonts w:asciiTheme="minorBidi" w:hAnsiTheme="minorBidi"/>
          <w:sz w:val="24"/>
          <w:szCs w:val="24"/>
        </w:rPr>
        <w:t xml:space="preserve"> nor influenza and pneumonia </w:t>
      </w:r>
      <w:r w:rsidR="00C365BD">
        <w:rPr>
          <w:rFonts w:asciiTheme="minorBidi" w:hAnsiTheme="minorBidi"/>
          <w:sz w:val="24"/>
          <w:szCs w:val="24"/>
        </w:rPr>
        <w:t>immunisations</w:t>
      </w:r>
      <w:r w:rsidR="00931E93" w:rsidRPr="008E43AC">
        <w:rPr>
          <w:rFonts w:asciiTheme="minorBidi" w:hAnsiTheme="minorBidi"/>
          <w:sz w:val="24"/>
          <w:szCs w:val="24"/>
        </w:rPr>
        <w:t xml:space="preserve"> were  available for this analysis which could have shed some light on healthcare interactions. </w:t>
      </w:r>
      <w:r w:rsidRPr="0040628F">
        <w:rPr>
          <w:rFonts w:asciiTheme="minorBidi" w:hAnsiTheme="minorBidi"/>
          <w:sz w:val="24"/>
          <w:szCs w:val="24"/>
        </w:rPr>
        <w:t xml:space="preserve">The nature of this analysis means that if people have not received a specific care process the risk factor data arising from that process is missing.  In this analysis all </w:t>
      </w:r>
      <w:r w:rsidRPr="004E5ECA">
        <w:rPr>
          <w:rFonts w:asciiTheme="minorBidi" w:hAnsiTheme="minorBidi"/>
          <w:sz w:val="24"/>
          <w:szCs w:val="24"/>
        </w:rPr>
        <w:t xml:space="preserve">variables included in the Cox proportional hazard regression models are treated as categorical variables and have a category for ‘missing’ data.  Whilst this does not completely eradicate residual confounding due to missing data it is much reduced. </w:t>
      </w:r>
      <w:r w:rsidR="002D18E7" w:rsidRPr="00615C12">
        <w:rPr>
          <w:rFonts w:asciiTheme="minorBidi" w:hAnsiTheme="minorBidi"/>
          <w:sz w:val="24"/>
          <w:szCs w:val="24"/>
        </w:rPr>
        <w:t xml:space="preserve">It is not possible to distinguish the separate or joint contributions of inertia from patients or health care professionals to </w:t>
      </w:r>
      <w:r w:rsidR="00F40832">
        <w:rPr>
          <w:rFonts w:asciiTheme="minorBidi" w:hAnsiTheme="minorBidi"/>
          <w:sz w:val="24"/>
          <w:szCs w:val="24"/>
        </w:rPr>
        <w:t xml:space="preserve">undertaking care processes and therefore </w:t>
      </w:r>
      <w:r w:rsidR="002D18E7" w:rsidRPr="00615C12">
        <w:rPr>
          <w:rFonts w:asciiTheme="minorBidi" w:hAnsiTheme="minorBidi"/>
          <w:sz w:val="24"/>
          <w:szCs w:val="24"/>
        </w:rPr>
        <w:t>the recording of risk factor</w:t>
      </w:r>
      <w:r w:rsidR="00F40832">
        <w:rPr>
          <w:rFonts w:asciiTheme="minorBidi" w:hAnsiTheme="minorBidi"/>
          <w:sz w:val="24"/>
          <w:szCs w:val="24"/>
        </w:rPr>
        <w:t xml:space="preserve">s.  </w:t>
      </w:r>
      <w:r w:rsidR="00931E93" w:rsidRPr="008E43AC">
        <w:rPr>
          <w:rFonts w:asciiTheme="minorBidi" w:hAnsiTheme="minorBidi"/>
          <w:sz w:val="24"/>
          <w:szCs w:val="24"/>
        </w:rPr>
        <w:t xml:space="preserve">To better understand the nature of the associations between the receipt of care processes and disease </w:t>
      </w:r>
      <w:r w:rsidR="00931E93" w:rsidRPr="0040628F">
        <w:rPr>
          <w:rFonts w:asciiTheme="minorBidi" w:hAnsiTheme="minorBidi"/>
          <w:sz w:val="24"/>
          <w:szCs w:val="24"/>
        </w:rPr>
        <w:t>outcomes and the roles of associations between health beliefs, health behaviours and interactions with health care providers requires further qualitative and quantitative work in people with diabetes and their care providers.</w:t>
      </w:r>
      <w:r w:rsidR="00000C99" w:rsidRPr="0040628F">
        <w:rPr>
          <w:rFonts w:asciiTheme="minorBidi" w:hAnsiTheme="minorBidi"/>
          <w:sz w:val="24"/>
          <w:szCs w:val="24"/>
        </w:rPr>
        <w:t xml:space="preserve">  In addition, the </w:t>
      </w:r>
      <w:r w:rsidR="0050132E" w:rsidRPr="00874589">
        <w:rPr>
          <w:rFonts w:asciiTheme="minorBidi" w:hAnsiTheme="minorBidi"/>
          <w:sz w:val="24"/>
          <w:szCs w:val="24"/>
        </w:rPr>
        <w:t>identification of care processes received is limited to a single 15</w:t>
      </w:r>
      <w:r>
        <w:rPr>
          <w:rFonts w:asciiTheme="minorBidi" w:hAnsiTheme="minorBidi"/>
          <w:sz w:val="24"/>
          <w:szCs w:val="24"/>
        </w:rPr>
        <w:t>-</w:t>
      </w:r>
      <w:r w:rsidR="0050132E" w:rsidRPr="00874589">
        <w:rPr>
          <w:rFonts w:asciiTheme="minorBidi" w:hAnsiTheme="minorBidi"/>
          <w:sz w:val="24"/>
          <w:szCs w:val="24"/>
        </w:rPr>
        <w:t>month period</w:t>
      </w:r>
      <w:r w:rsidR="006626F2" w:rsidRPr="00874589">
        <w:rPr>
          <w:rFonts w:asciiTheme="minorBidi" w:hAnsiTheme="minorBidi"/>
          <w:sz w:val="24"/>
          <w:szCs w:val="24"/>
        </w:rPr>
        <w:t xml:space="preserve">.  </w:t>
      </w:r>
      <w:r w:rsidR="0055239A" w:rsidRPr="0040628F">
        <w:rPr>
          <w:rFonts w:asciiTheme="minorBidi" w:hAnsiTheme="minorBidi"/>
          <w:sz w:val="24"/>
          <w:szCs w:val="24"/>
        </w:rPr>
        <w:t xml:space="preserve">Variation in </w:t>
      </w:r>
      <w:r w:rsidR="00B95A74" w:rsidRPr="0040628F">
        <w:rPr>
          <w:rFonts w:asciiTheme="minorBidi" w:hAnsiTheme="minorBidi"/>
          <w:sz w:val="24"/>
          <w:szCs w:val="24"/>
        </w:rPr>
        <w:t xml:space="preserve">interactions with healthcare and organisational changes to the health service over the </w:t>
      </w:r>
      <w:r w:rsidR="0067253F" w:rsidRPr="0040628F">
        <w:rPr>
          <w:rFonts w:asciiTheme="minorBidi" w:hAnsiTheme="minorBidi"/>
          <w:sz w:val="24"/>
          <w:szCs w:val="24"/>
        </w:rPr>
        <w:t xml:space="preserve">follow-up period may have influenced </w:t>
      </w:r>
      <w:r w:rsidR="0067253F" w:rsidRPr="00615C12">
        <w:rPr>
          <w:rFonts w:asciiTheme="minorBidi" w:hAnsiTheme="minorBidi"/>
          <w:sz w:val="24"/>
          <w:szCs w:val="24"/>
        </w:rPr>
        <w:t>mortality</w:t>
      </w:r>
      <w:r w:rsidR="000415ED" w:rsidRPr="00615C12">
        <w:rPr>
          <w:rFonts w:asciiTheme="minorBidi" w:hAnsiTheme="minorBidi"/>
          <w:sz w:val="24"/>
          <w:szCs w:val="24"/>
        </w:rPr>
        <w:t>.</w:t>
      </w:r>
      <w:r w:rsidR="00F81A34" w:rsidRPr="00615C12">
        <w:rPr>
          <w:rFonts w:asciiTheme="minorBidi" w:hAnsiTheme="minorBidi"/>
          <w:sz w:val="24"/>
          <w:szCs w:val="24"/>
        </w:rPr>
        <w:t xml:space="preserve"> </w:t>
      </w:r>
      <w:r w:rsidR="00615C12" w:rsidRPr="00615C12">
        <w:rPr>
          <w:rFonts w:asciiTheme="minorBidi" w:hAnsiTheme="minorBidi"/>
          <w:sz w:val="24"/>
          <w:szCs w:val="24"/>
        </w:rPr>
        <w:t xml:space="preserve"> </w:t>
      </w:r>
      <w:r w:rsidR="005F2AEA">
        <w:rPr>
          <w:rFonts w:asciiTheme="minorBidi" w:hAnsiTheme="minorBidi"/>
          <w:sz w:val="24"/>
          <w:szCs w:val="24"/>
        </w:rPr>
        <w:t xml:space="preserve">Data on prescriptions for glucose lowering drugs </w:t>
      </w:r>
      <w:r w:rsidR="00E42594">
        <w:rPr>
          <w:rFonts w:asciiTheme="minorBidi" w:hAnsiTheme="minorBidi"/>
          <w:sz w:val="24"/>
          <w:szCs w:val="24"/>
        </w:rPr>
        <w:t xml:space="preserve">was not available for the time period of this analysis.  This means that it is not possible to </w:t>
      </w:r>
      <w:r w:rsidR="009F02B8">
        <w:rPr>
          <w:rFonts w:asciiTheme="minorBidi" w:hAnsiTheme="minorBidi"/>
          <w:sz w:val="24"/>
          <w:szCs w:val="24"/>
        </w:rPr>
        <w:t xml:space="preserve">identify whether the associations found in people with type 2 diabetes vary by treatment regimen.  </w:t>
      </w:r>
    </w:p>
    <w:p w14:paraId="3B4EA450" w14:textId="4E0F1C40" w:rsidR="00931E93" w:rsidRPr="0040628F" w:rsidRDefault="0040628F" w:rsidP="008E43AC">
      <w:pPr>
        <w:spacing w:after="0" w:line="480" w:lineRule="auto"/>
        <w:rPr>
          <w:rFonts w:asciiTheme="minorBidi" w:hAnsiTheme="minorBidi"/>
          <w:sz w:val="24"/>
          <w:szCs w:val="24"/>
        </w:rPr>
      </w:pPr>
      <w:r w:rsidRPr="00646AED">
        <w:rPr>
          <w:rFonts w:asciiTheme="minorBidi" w:hAnsiTheme="minorBidi"/>
          <w:sz w:val="24"/>
          <w:szCs w:val="24"/>
        </w:rPr>
        <w:t xml:space="preserve"> </w:t>
      </w:r>
    </w:p>
    <w:p w14:paraId="35D927D3" w14:textId="34BBA422" w:rsidR="00931E93" w:rsidRPr="008E43AC" w:rsidRDefault="00931E93" w:rsidP="0079199A">
      <w:pPr>
        <w:spacing w:after="0" w:line="480" w:lineRule="auto"/>
        <w:rPr>
          <w:rFonts w:asciiTheme="minorBidi" w:hAnsiTheme="minorBidi"/>
          <w:sz w:val="24"/>
          <w:szCs w:val="24"/>
        </w:rPr>
      </w:pPr>
      <w:r w:rsidRPr="008E43AC">
        <w:rPr>
          <w:rFonts w:asciiTheme="minorBidi" w:hAnsiTheme="minorBidi"/>
          <w:sz w:val="24"/>
          <w:szCs w:val="24"/>
        </w:rPr>
        <w:t xml:space="preserve">In summary, even when many possible contributory risks for death are taken into account, people with diabetes </w:t>
      </w:r>
      <w:r w:rsidR="007378F7">
        <w:rPr>
          <w:rFonts w:asciiTheme="minorBidi" w:hAnsiTheme="minorBidi"/>
          <w:sz w:val="24"/>
          <w:szCs w:val="24"/>
        </w:rPr>
        <w:t xml:space="preserve">have a higher mortality risk </w:t>
      </w:r>
      <w:r w:rsidRPr="008E43AC">
        <w:rPr>
          <w:rFonts w:asciiTheme="minorBidi" w:hAnsiTheme="minorBidi"/>
          <w:sz w:val="24"/>
          <w:szCs w:val="24"/>
        </w:rPr>
        <w:t>if their records</w:t>
      </w:r>
      <w:r w:rsidR="0002687F">
        <w:rPr>
          <w:rFonts w:asciiTheme="minorBidi" w:hAnsiTheme="minorBidi"/>
          <w:sz w:val="24"/>
          <w:szCs w:val="24"/>
        </w:rPr>
        <w:t xml:space="preserve"> of</w:t>
      </w:r>
      <w:r w:rsidRPr="008E43AC">
        <w:rPr>
          <w:rFonts w:asciiTheme="minorBidi" w:hAnsiTheme="minorBidi"/>
          <w:sz w:val="24"/>
          <w:szCs w:val="24"/>
        </w:rPr>
        <w:t xml:space="preserve"> routine care indicate several missing annual care processes. </w:t>
      </w:r>
      <w:r w:rsidR="00E05BE1">
        <w:rPr>
          <w:rFonts w:asciiTheme="minorBidi" w:hAnsiTheme="minorBidi"/>
          <w:sz w:val="24"/>
          <w:szCs w:val="24"/>
        </w:rPr>
        <w:t xml:space="preserve">Although </w:t>
      </w:r>
      <w:r w:rsidR="004D079B">
        <w:rPr>
          <w:rFonts w:asciiTheme="minorBidi" w:hAnsiTheme="minorBidi"/>
          <w:sz w:val="24"/>
          <w:szCs w:val="24"/>
        </w:rPr>
        <w:t>further evidence is needed on w</w:t>
      </w:r>
      <w:r w:rsidRPr="008E43AC">
        <w:rPr>
          <w:rFonts w:asciiTheme="minorBidi" w:hAnsiTheme="minorBidi"/>
          <w:sz w:val="24"/>
          <w:szCs w:val="24"/>
        </w:rPr>
        <w:t>hether efforts</w:t>
      </w:r>
      <w:r w:rsidR="00BE0753">
        <w:rPr>
          <w:rFonts w:asciiTheme="minorBidi" w:hAnsiTheme="minorBidi"/>
          <w:sz w:val="24"/>
          <w:szCs w:val="24"/>
        </w:rPr>
        <w:t xml:space="preserve"> to</w:t>
      </w:r>
      <w:r w:rsidRPr="008E43AC">
        <w:rPr>
          <w:rFonts w:asciiTheme="minorBidi" w:hAnsiTheme="minorBidi"/>
          <w:sz w:val="24"/>
          <w:szCs w:val="24"/>
        </w:rPr>
        <w:t xml:space="preserve"> specifically engage this group would yield worthwhile health benefits</w:t>
      </w:r>
      <w:r w:rsidR="004D079B">
        <w:rPr>
          <w:rFonts w:asciiTheme="minorBidi" w:hAnsiTheme="minorBidi"/>
          <w:sz w:val="24"/>
          <w:szCs w:val="24"/>
        </w:rPr>
        <w:t xml:space="preserve">, </w:t>
      </w:r>
      <w:r w:rsidR="00B2054B">
        <w:rPr>
          <w:rFonts w:asciiTheme="minorBidi" w:hAnsiTheme="minorBidi"/>
          <w:sz w:val="24"/>
          <w:szCs w:val="24"/>
        </w:rPr>
        <w:t xml:space="preserve">health economies should consider how to </w:t>
      </w:r>
      <w:r w:rsidR="008B601E">
        <w:rPr>
          <w:rFonts w:asciiTheme="minorBidi" w:hAnsiTheme="minorBidi"/>
          <w:sz w:val="24"/>
          <w:szCs w:val="24"/>
        </w:rPr>
        <w:t>minimise barriers to receiving the recommended care processes</w:t>
      </w:r>
      <w:r w:rsidRPr="008E43AC">
        <w:rPr>
          <w:rFonts w:asciiTheme="minorBidi" w:hAnsiTheme="minorBidi"/>
          <w:sz w:val="24"/>
          <w:szCs w:val="24"/>
        </w:rPr>
        <w:t xml:space="preserve">. </w:t>
      </w:r>
      <w:r w:rsidR="00172AD0">
        <w:rPr>
          <w:rFonts w:asciiTheme="minorBidi" w:hAnsiTheme="minorBidi"/>
          <w:sz w:val="24"/>
          <w:szCs w:val="24"/>
        </w:rPr>
        <w:t>T</w:t>
      </w:r>
      <w:r w:rsidRPr="008E43AC">
        <w:rPr>
          <w:rFonts w:asciiTheme="minorBidi" w:hAnsiTheme="minorBidi"/>
          <w:sz w:val="24"/>
          <w:szCs w:val="24"/>
        </w:rPr>
        <w:t>hese observations may be particularly pertinent in contemporary health care provision as professionals consider how to organise</w:t>
      </w:r>
      <w:r w:rsidR="00031CDC">
        <w:rPr>
          <w:rFonts w:asciiTheme="minorBidi" w:hAnsiTheme="minorBidi"/>
          <w:sz w:val="24"/>
          <w:szCs w:val="24"/>
        </w:rPr>
        <w:t xml:space="preserve"> </w:t>
      </w:r>
      <w:r w:rsidRPr="008E43AC">
        <w:rPr>
          <w:rFonts w:asciiTheme="minorBidi" w:hAnsiTheme="minorBidi"/>
          <w:sz w:val="24"/>
          <w:szCs w:val="24"/>
        </w:rPr>
        <w:t xml:space="preserve">routine diabetes reviews in the face of the backlog </w:t>
      </w:r>
      <w:r w:rsidR="00B64CE4">
        <w:rPr>
          <w:rFonts w:asciiTheme="minorBidi" w:hAnsiTheme="minorBidi"/>
          <w:sz w:val="24"/>
          <w:szCs w:val="24"/>
        </w:rPr>
        <w:t>attributable to</w:t>
      </w:r>
      <w:r w:rsidR="00BE0753">
        <w:rPr>
          <w:rFonts w:asciiTheme="minorBidi" w:hAnsiTheme="minorBidi"/>
          <w:sz w:val="24"/>
          <w:szCs w:val="24"/>
        </w:rPr>
        <w:t xml:space="preserve"> </w:t>
      </w:r>
      <w:r w:rsidRPr="008E43AC">
        <w:rPr>
          <w:rFonts w:asciiTheme="minorBidi" w:hAnsiTheme="minorBidi"/>
          <w:sz w:val="24"/>
          <w:szCs w:val="24"/>
        </w:rPr>
        <w:t>the direct and indirect effects of COVID-19</w:t>
      </w:r>
      <w:r w:rsidR="002811CE">
        <w:rPr>
          <w:rFonts w:asciiTheme="minorBidi" w:hAnsiTheme="minorBidi"/>
          <w:sz w:val="24"/>
          <w:szCs w:val="24"/>
        </w:rPr>
        <w:t>.</w:t>
      </w:r>
      <w:r w:rsidRPr="008E43AC">
        <w:rPr>
          <w:rFonts w:asciiTheme="minorBidi" w:hAnsiTheme="minorBidi"/>
          <w:sz w:val="24"/>
          <w:szCs w:val="24"/>
        </w:rPr>
        <w:t xml:space="preserve"> It would be all too easy to overlook this high</w:t>
      </w:r>
      <w:r w:rsidR="00407E6B">
        <w:rPr>
          <w:rFonts w:asciiTheme="minorBidi" w:hAnsiTheme="minorBidi"/>
          <w:sz w:val="24"/>
          <w:szCs w:val="24"/>
        </w:rPr>
        <w:t>-</w:t>
      </w:r>
      <w:r w:rsidRPr="008E43AC">
        <w:rPr>
          <w:rFonts w:asciiTheme="minorBidi" w:hAnsiTheme="minorBidi"/>
          <w:sz w:val="24"/>
          <w:szCs w:val="24"/>
        </w:rPr>
        <w:t>risk group.</w:t>
      </w:r>
      <w:r w:rsidRPr="008E43AC">
        <w:rPr>
          <w:rFonts w:asciiTheme="minorBidi" w:hAnsiTheme="minorBidi"/>
          <w:sz w:val="24"/>
          <w:szCs w:val="24"/>
        </w:rPr>
        <w:br w:type="page"/>
      </w:r>
    </w:p>
    <w:p w14:paraId="1A8F866F" w14:textId="77777777" w:rsidR="00931E93" w:rsidRPr="008E43AC" w:rsidRDefault="00931E93" w:rsidP="008E43AC">
      <w:pPr>
        <w:spacing w:after="0" w:line="480" w:lineRule="auto"/>
        <w:rPr>
          <w:rFonts w:asciiTheme="minorBidi" w:hAnsiTheme="minorBidi"/>
          <w:b/>
          <w:bCs/>
          <w:sz w:val="24"/>
          <w:szCs w:val="24"/>
        </w:rPr>
      </w:pPr>
      <w:r w:rsidRPr="008E43AC">
        <w:rPr>
          <w:rFonts w:asciiTheme="minorBidi" w:hAnsiTheme="minorBidi"/>
          <w:b/>
          <w:bCs/>
          <w:sz w:val="24"/>
          <w:szCs w:val="24"/>
        </w:rPr>
        <w:t>Acknowledgements</w:t>
      </w:r>
    </w:p>
    <w:p w14:paraId="0F252286" w14:textId="77777777"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The authors thank Liz Coyle, University of Glasgow, for her assistance in the preparation of this article.</w:t>
      </w:r>
    </w:p>
    <w:p w14:paraId="1EAA2C20" w14:textId="77777777" w:rsidR="00931E93" w:rsidRPr="008E43AC" w:rsidRDefault="00931E93" w:rsidP="008E43AC">
      <w:pPr>
        <w:spacing w:after="0" w:line="480" w:lineRule="auto"/>
        <w:rPr>
          <w:rFonts w:asciiTheme="minorBidi" w:hAnsiTheme="minorBidi"/>
          <w:sz w:val="24"/>
          <w:szCs w:val="24"/>
        </w:rPr>
      </w:pPr>
    </w:p>
    <w:p w14:paraId="016B7902" w14:textId="77777777" w:rsidR="00931E93" w:rsidRPr="008E43AC" w:rsidRDefault="00931E93" w:rsidP="008E43AC">
      <w:pPr>
        <w:spacing w:after="0" w:line="480" w:lineRule="auto"/>
        <w:rPr>
          <w:rFonts w:asciiTheme="minorBidi" w:hAnsiTheme="minorBidi"/>
          <w:b/>
          <w:bCs/>
          <w:sz w:val="24"/>
          <w:szCs w:val="24"/>
        </w:rPr>
      </w:pPr>
      <w:r w:rsidRPr="008E43AC">
        <w:rPr>
          <w:rFonts w:asciiTheme="minorBidi" w:hAnsiTheme="minorBidi"/>
          <w:b/>
          <w:bCs/>
          <w:sz w:val="24"/>
          <w:szCs w:val="24"/>
        </w:rPr>
        <w:t>Funding</w:t>
      </w:r>
    </w:p>
    <w:p w14:paraId="130DE9BE" w14:textId="47D66054"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NH is currently funded by Diabetes UK and NHS England and NHS Improvement. NH received funding from the South Asian Health Foundation for this work.</w:t>
      </w:r>
      <w:r w:rsidR="004D14F3">
        <w:rPr>
          <w:rFonts w:asciiTheme="minorBidi" w:hAnsiTheme="minorBidi"/>
          <w:sz w:val="24"/>
          <w:szCs w:val="24"/>
        </w:rPr>
        <w:t xml:space="preserve"> NS is supported by </w:t>
      </w:r>
      <w:r w:rsidR="004D14F3" w:rsidRPr="004D14F3">
        <w:rPr>
          <w:rFonts w:asciiTheme="minorBidi" w:hAnsiTheme="minorBidi"/>
          <w:sz w:val="24"/>
          <w:szCs w:val="24"/>
        </w:rPr>
        <w:t>the British Heart Foundation Research Excellence Award (RE/18/6/34217).</w:t>
      </w:r>
    </w:p>
    <w:p w14:paraId="17CCD15A" w14:textId="77777777" w:rsidR="00931E93" w:rsidRPr="008E43AC" w:rsidRDefault="00931E93" w:rsidP="008E43AC">
      <w:pPr>
        <w:spacing w:after="0" w:line="480" w:lineRule="auto"/>
        <w:rPr>
          <w:rFonts w:asciiTheme="minorBidi" w:hAnsiTheme="minorBidi"/>
          <w:sz w:val="24"/>
          <w:szCs w:val="24"/>
        </w:rPr>
      </w:pPr>
    </w:p>
    <w:p w14:paraId="278838EF" w14:textId="77777777" w:rsidR="00931E93" w:rsidRPr="008E43AC" w:rsidRDefault="00931E93" w:rsidP="008E43AC">
      <w:pPr>
        <w:spacing w:after="0" w:line="480" w:lineRule="auto"/>
        <w:rPr>
          <w:rFonts w:asciiTheme="minorBidi" w:hAnsiTheme="minorBidi"/>
          <w:b/>
          <w:bCs/>
          <w:sz w:val="24"/>
          <w:szCs w:val="24"/>
        </w:rPr>
      </w:pPr>
      <w:r w:rsidRPr="008E43AC">
        <w:rPr>
          <w:rFonts w:asciiTheme="minorBidi" w:hAnsiTheme="minorBidi"/>
          <w:b/>
          <w:bCs/>
          <w:sz w:val="24"/>
          <w:szCs w:val="24"/>
        </w:rPr>
        <w:t>Author contributions</w:t>
      </w:r>
    </w:p>
    <w:p w14:paraId="2FFCF2BE" w14:textId="776413A3"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The study was designed by RG, BY, NH and NS.  NH undertook the statistical analysis.  All authors reviewed the methods, assisted in writing the paper</w:t>
      </w:r>
      <w:r w:rsidR="008A2E15">
        <w:rPr>
          <w:rFonts w:asciiTheme="minorBidi" w:hAnsiTheme="minorBidi"/>
          <w:sz w:val="24"/>
          <w:szCs w:val="24"/>
        </w:rPr>
        <w:t>,</w:t>
      </w:r>
      <w:r w:rsidRPr="008E43AC">
        <w:rPr>
          <w:rFonts w:asciiTheme="minorBidi" w:hAnsiTheme="minorBidi"/>
          <w:sz w:val="24"/>
          <w:szCs w:val="24"/>
        </w:rPr>
        <w:t xml:space="preserve"> reviewed the final manuscript</w:t>
      </w:r>
      <w:r w:rsidR="008A2E15">
        <w:rPr>
          <w:rFonts w:asciiTheme="minorBidi" w:hAnsiTheme="minorBidi"/>
          <w:sz w:val="24"/>
          <w:szCs w:val="24"/>
        </w:rPr>
        <w:t>, and gave approval for publication</w:t>
      </w:r>
      <w:r w:rsidRPr="008E43AC">
        <w:rPr>
          <w:rFonts w:asciiTheme="minorBidi" w:hAnsiTheme="minorBidi"/>
          <w:sz w:val="24"/>
          <w:szCs w:val="24"/>
        </w:rPr>
        <w:t>. NH is the guarantor and accepts full responsibility for the work and/or the conduct of the study, had access to the data, and controlled the decision to publish.</w:t>
      </w:r>
    </w:p>
    <w:p w14:paraId="15F930EA" w14:textId="77777777" w:rsidR="00931E93" w:rsidRPr="008E43AC" w:rsidRDefault="00931E93" w:rsidP="00802DB8">
      <w:pPr>
        <w:spacing w:after="0" w:line="480" w:lineRule="auto"/>
        <w:rPr>
          <w:rFonts w:asciiTheme="minorBidi" w:hAnsiTheme="minorBidi"/>
          <w:sz w:val="24"/>
          <w:szCs w:val="24"/>
        </w:rPr>
      </w:pPr>
    </w:p>
    <w:p w14:paraId="13D64096" w14:textId="77777777" w:rsidR="00931E93" w:rsidRPr="008E43AC" w:rsidRDefault="00931E93" w:rsidP="00802DB8">
      <w:pPr>
        <w:spacing w:after="0" w:line="480" w:lineRule="auto"/>
        <w:rPr>
          <w:rFonts w:asciiTheme="minorBidi" w:hAnsiTheme="minorBidi"/>
          <w:b/>
          <w:bCs/>
          <w:sz w:val="24"/>
          <w:szCs w:val="24"/>
        </w:rPr>
      </w:pPr>
      <w:r w:rsidRPr="008E43AC">
        <w:rPr>
          <w:rFonts w:asciiTheme="minorBidi" w:hAnsiTheme="minorBidi"/>
          <w:b/>
          <w:bCs/>
          <w:sz w:val="24"/>
          <w:szCs w:val="24"/>
        </w:rPr>
        <w:t>Conflicts of interest</w:t>
      </w:r>
    </w:p>
    <w:p w14:paraId="4A96233C" w14:textId="03396D5C" w:rsidR="00931E93" w:rsidRPr="008E43AC" w:rsidRDefault="003E1B15" w:rsidP="00802DB8">
      <w:pPr>
        <w:pStyle w:val="PlainText"/>
        <w:spacing w:line="480" w:lineRule="auto"/>
        <w:rPr>
          <w:rFonts w:asciiTheme="minorBidi" w:hAnsiTheme="minorBidi"/>
          <w:sz w:val="24"/>
          <w:szCs w:val="24"/>
        </w:rPr>
      </w:pPr>
      <w:r>
        <w:rPr>
          <w:rFonts w:asciiTheme="minorBidi" w:hAnsiTheme="minorBidi"/>
          <w:sz w:val="24"/>
          <w:szCs w:val="24"/>
        </w:rPr>
        <w:t xml:space="preserve">NH, BY, NS, KK, SHW, EWG and JV are members of the National Diabetes Audit Research Advisory Group.  </w:t>
      </w:r>
      <w:r w:rsidR="00931E93" w:rsidRPr="003E1B15">
        <w:rPr>
          <w:rFonts w:asciiTheme="minorBidi" w:hAnsiTheme="minorBidi"/>
          <w:sz w:val="24"/>
          <w:szCs w:val="24"/>
        </w:rPr>
        <w:t xml:space="preserve">NS has received grant and personal fees from Boehringer Ingelheim, and personal fees from Amgen, AstraZeneca, Eli Lilly, Merck Sharp &amp; Dohme, Novartis, Novo Nordisk, Pfizer, and Sanofi outside the submitted work. </w:t>
      </w:r>
      <w:r w:rsidRPr="003E1B15">
        <w:rPr>
          <w:rFonts w:asciiTheme="minorBidi" w:hAnsiTheme="minorBidi"/>
          <w:sz w:val="24"/>
          <w:szCs w:val="24"/>
        </w:rPr>
        <w:t>KK has acted as a consultant, speaker or received grants for investigator-initiated studies for Astra Zeneca, Novartis, Novo Nordisk, Sanofi-Aventis, Lilly and Merck Sharp &amp; Dohme, Boehringer Ingelheim, Bayer, Berlin-Chemie AG / Menarini Group, Janssen, and Napp.</w:t>
      </w:r>
      <w:r>
        <w:rPr>
          <w:rFonts w:asciiTheme="minorBidi" w:hAnsiTheme="minorBidi"/>
          <w:sz w:val="24"/>
          <w:szCs w:val="24"/>
        </w:rPr>
        <w:t xml:space="preserve">  JV is the National Clinical Director for </w:t>
      </w:r>
      <w:r w:rsidR="003E6393">
        <w:rPr>
          <w:rFonts w:asciiTheme="minorBidi" w:hAnsiTheme="minorBidi"/>
          <w:sz w:val="24"/>
          <w:szCs w:val="24"/>
        </w:rPr>
        <w:t xml:space="preserve">Diabetes and Obesity at NHS England &amp; NHS Improvement.  </w:t>
      </w:r>
      <w:r w:rsidR="00931E93" w:rsidRPr="008E43AC">
        <w:rPr>
          <w:rFonts w:asciiTheme="minorBidi" w:hAnsiTheme="minorBidi"/>
          <w:sz w:val="24"/>
          <w:szCs w:val="24"/>
        </w:rPr>
        <w:t>All other authors declare no relationships or activities that could appear to have influenced the submitted work.</w:t>
      </w:r>
    </w:p>
    <w:p w14:paraId="37E9B760" w14:textId="77777777" w:rsidR="00080830" w:rsidRDefault="00080830" w:rsidP="00802DB8">
      <w:pPr>
        <w:spacing w:after="0" w:line="480" w:lineRule="auto"/>
        <w:rPr>
          <w:rFonts w:asciiTheme="minorBidi" w:hAnsiTheme="minorBidi"/>
          <w:b/>
          <w:bCs/>
          <w:sz w:val="24"/>
          <w:szCs w:val="24"/>
        </w:rPr>
      </w:pPr>
    </w:p>
    <w:p w14:paraId="7AB61778" w14:textId="66F3E5AF" w:rsidR="00080830" w:rsidRDefault="00080830" w:rsidP="008E43AC">
      <w:pPr>
        <w:spacing w:line="480" w:lineRule="auto"/>
        <w:rPr>
          <w:rFonts w:asciiTheme="minorBidi" w:hAnsiTheme="minorBidi"/>
          <w:b/>
          <w:bCs/>
          <w:sz w:val="24"/>
          <w:szCs w:val="24"/>
        </w:rPr>
      </w:pPr>
      <w:r w:rsidRPr="00080830">
        <w:rPr>
          <w:rFonts w:asciiTheme="minorBidi" w:hAnsiTheme="minorBidi"/>
          <w:b/>
          <w:bCs/>
          <w:sz w:val="24"/>
          <w:szCs w:val="24"/>
        </w:rPr>
        <w:t xml:space="preserve">Data accessibility </w:t>
      </w:r>
    </w:p>
    <w:p w14:paraId="35BF49A9" w14:textId="6DAC2493" w:rsidR="00D17D58" w:rsidRPr="00D17D58" w:rsidRDefault="00A7691F" w:rsidP="008E43AC">
      <w:pPr>
        <w:spacing w:line="480" w:lineRule="auto"/>
        <w:rPr>
          <w:rFonts w:asciiTheme="minorBidi" w:hAnsiTheme="minorBidi"/>
          <w:sz w:val="24"/>
          <w:szCs w:val="24"/>
        </w:rPr>
      </w:pPr>
      <w:r>
        <w:rPr>
          <w:rFonts w:asciiTheme="minorBidi" w:hAnsiTheme="minorBidi"/>
          <w:sz w:val="24"/>
          <w:szCs w:val="24"/>
        </w:rPr>
        <w:t xml:space="preserve">Information governance rules for the National Diabetes Audit prevent the </w:t>
      </w:r>
      <w:r w:rsidR="00802DB8">
        <w:rPr>
          <w:rFonts w:asciiTheme="minorBidi" w:hAnsiTheme="minorBidi"/>
          <w:sz w:val="24"/>
          <w:szCs w:val="24"/>
        </w:rPr>
        <w:t xml:space="preserve">raw or processed </w:t>
      </w:r>
      <w:r>
        <w:rPr>
          <w:rFonts w:asciiTheme="minorBidi" w:hAnsiTheme="minorBidi"/>
          <w:sz w:val="24"/>
          <w:szCs w:val="24"/>
        </w:rPr>
        <w:t xml:space="preserve">data </w:t>
      </w:r>
      <w:r w:rsidR="00802DB8">
        <w:rPr>
          <w:rFonts w:asciiTheme="minorBidi" w:hAnsiTheme="minorBidi"/>
          <w:sz w:val="24"/>
          <w:szCs w:val="24"/>
        </w:rPr>
        <w:t xml:space="preserve">used in this analysis being made publicly available.  </w:t>
      </w:r>
    </w:p>
    <w:p w14:paraId="5E00D14D" w14:textId="1C2CB8B1" w:rsidR="00931E93" w:rsidRPr="00080830" w:rsidRDefault="00931E93" w:rsidP="008E43AC">
      <w:pPr>
        <w:spacing w:line="480" w:lineRule="auto"/>
        <w:rPr>
          <w:rFonts w:asciiTheme="minorBidi" w:hAnsiTheme="minorBidi"/>
          <w:b/>
          <w:bCs/>
          <w:sz w:val="24"/>
          <w:szCs w:val="24"/>
        </w:rPr>
      </w:pPr>
      <w:r w:rsidRPr="00080830">
        <w:rPr>
          <w:rFonts w:asciiTheme="minorBidi" w:hAnsiTheme="minorBidi"/>
          <w:b/>
          <w:bCs/>
          <w:sz w:val="24"/>
          <w:szCs w:val="24"/>
        </w:rPr>
        <w:br w:type="page"/>
      </w:r>
    </w:p>
    <w:p w14:paraId="7935BAC4" w14:textId="6C2D23AF" w:rsidR="00154DE3" w:rsidRPr="008E43AC" w:rsidRDefault="00931E93" w:rsidP="008E43AC">
      <w:pPr>
        <w:spacing w:after="0" w:line="480" w:lineRule="auto"/>
        <w:rPr>
          <w:rFonts w:asciiTheme="minorBidi" w:hAnsiTheme="minorBidi"/>
          <w:b/>
          <w:bCs/>
          <w:sz w:val="24"/>
          <w:szCs w:val="24"/>
        </w:rPr>
      </w:pPr>
      <w:r w:rsidRPr="008E43AC">
        <w:rPr>
          <w:rFonts w:asciiTheme="minorBidi" w:hAnsiTheme="minorBidi"/>
          <w:b/>
          <w:bCs/>
          <w:sz w:val="24"/>
          <w:szCs w:val="24"/>
        </w:rPr>
        <w:t>References</w:t>
      </w:r>
    </w:p>
    <w:p w14:paraId="6449B978" w14:textId="1F1468C5" w:rsidR="00646AED" w:rsidRPr="00646AED" w:rsidRDefault="00931E93" w:rsidP="00646AED">
      <w:pPr>
        <w:widowControl w:val="0"/>
        <w:autoSpaceDE w:val="0"/>
        <w:autoSpaceDN w:val="0"/>
        <w:adjustRightInd w:val="0"/>
        <w:spacing w:after="0" w:line="480" w:lineRule="auto"/>
        <w:ind w:left="640" w:hanging="640"/>
        <w:rPr>
          <w:rFonts w:ascii="Arial" w:hAnsi="Arial" w:cs="Arial"/>
          <w:noProof/>
          <w:sz w:val="24"/>
          <w:szCs w:val="24"/>
        </w:rPr>
      </w:pPr>
      <w:r w:rsidRPr="008E43AC">
        <w:rPr>
          <w:rFonts w:asciiTheme="minorBidi" w:hAnsiTheme="minorBidi"/>
          <w:sz w:val="24"/>
          <w:szCs w:val="24"/>
        </w:rPr>
        <w:fldChar w:fldCharType="begin" w:fldLock="1"/>
      </w:r>
      <w:r w:rsidRPr="008E43AC">
        <w:rPr>
          <w:rFonts w:asciiTheme="minorBidi" w:hAnsiTheme="minorBidi"/>
          <w:sz w:val="24"/>
          <w:szCs w:val="24"/>
        </w:rPr>
        <w:instrText xml:space="preserve">ADDIN Mendeley Bibliography CSL_BIBLIOGRAPHY </w:instrText>
      </w:r>
      <w:r w:rsidRPr="008E43AC">
        <w:rPr>
          <w:rFonts w:asciiTheme="minorBidi" w:hAnsiTheme="minorBidi"/>
          <w:sz w:val="24"/>
          <w:szCs w:val="24"/>
        </w:rPr>
        <w:fldChar w:fldCharType="separate"/>
      </w:r>
      <w:r w:rsidR="00646AED" w:rsidRPr="00646AED">
        <w:rPr>
          <w:rFonts w:ascii="Arial" w:hAnsi="Arial" w:cs="Arial"/>
          <w:noProof/>
          <w:sz w:val="24"/>
          <w:szCs w:val="24"/>
        </w:rPr>
        <w:t xml:space="preserve">1. </w:t>
      </w:r>
      <w:r w:rsidR="00646AED" w:rsidRPr="00646AED">
        <w:rPr>
          <w:rFonts w:ascii="Arial" w:hAnsi="Arial" w:cs="Arial"/>
          <w:noProof/>
          <w:sz w:val="24"/>
          <w:szCs w:val="24"/>
        </w:rPr>
        <w:tab/>
        <w:t xml:space="preserve">UK Prospective Diabetes Study (UKPDS) Group. Effect of intensive blood-glucose control with metformin on complications in overweight patients with type 2 diabetes (UKPDS 34). UK Prospective Diabetes Study (UKPDS) Group. </w:t>
      </w:r>
      <w:r w:rsidR="00646AED" w:rsidRPr="00646AED">
        <w:rPr>
          <w:rFonts w:ascii="Arial" w:hAnsi="Arial" w:cs="Arial"/>
          <w:i/>
          <w:iCs/>
          <w:noProof/>
          <w:sz w:val="24"/>
          <w:szCs w:val="24"/>
        </w:rPr>
        <w:t>Lancet (London, England)</w:t>
      </w:r>
      <w:r w:rsidR="00646AED" w:rsidRPr="00646AED">
        <w:rPr>
          <w:rFonts w:ascii="Arial" w:hAnsi="Arial" w:cs="Arial"/>
          <w:noProof/>
          <w:sz w:val="24"/>
          <w:szCs w:val="24"/>
        </w:rPr>
        <w:t>. 1998;352(9131):854-865. doi:10.1016/S0140-6736(98)07037-8</w:t>
      </w:r>
    </w:p>
    <w:p w14:paraId="7B5D0ACE"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2. </w:t>
      </w:r>
      <w:r w:rsidRPr="00646AED">
        <w:rPr>
          <w:rFonts w:ascii="Arial" w:hAnsi="Arial" w:cs="Arial"/>
          <w:noProof/>
          <w:sz w:val="24"/>
          <w:szCs w:val="24"/>
        </w:rPr>
        <w:tab/>
        <w:t xml:space="preserve">Cholesterol Treatment Trialists’ (CTT) Collaborators, Mihaylova B, Emberson J, et al. The effects of lowering LDL cholesterol with statin therapy in people at low risk of vascular disease: meta-analysis of individual data from 27 randomised trials. </w:t>
      </w:r>
      <w:r w:rsidRPr="00646AED">
        <w:rPr>
          <w:rFonts w:ascii="Arial" w:hAnsi="Arial" w:cs="Arial"/>
          <w:i/>
          <w:iCs/>
          <w:noProof/>
          <w:sz w:val="24"/>
          <w:szCs w:val="24"/>
        </w:rPr>
        <w:t>Lancet (London, England)</w:t>
      </w:r>
      <w:r w:rsidRPr="00646AED">
        <w:rPr>
          <w:rFonts w:ascii="Arial" w:hAnsi="Arial" w:cs="Arial"/>
          <w:noProof/>
          <w:sz w:val="24"/>
          <w:szCs w:val="24"/>
        </w:rPr>
        <w:t>. 2012;380(9841):581-590. doi:10.1016/S0140-6736(12)60367-5</w:t>
      </w:r>
    </w:p>
    <w:p w14:paraId="3B74755A"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3. </w:t>
      </w:r>
      <w:r w:rsidRPr="00646AED">
        <w:rPr>
          <w:rFonts w:ascii="Arial" w:hAnsi="Arial" w:cs="Arial"/>
          <w:noProof/>
          <w:sz w:val="24"/>
          <w:szCs w:val="24"/>
        </w:rPr>
        <w:tab/>
        <w:t xml:space="preserve">de Boer IH, Bangalore S, Benetos A, et al. Diabetes and Hypertension: A Position Statement by the American Diabetes Association. </w:t>
      </w:r>
      <w:r w:rsidRPr="00646AED">
        <w:rPr>
          <w:rFonts w:ascii="Arial" w:hAnsi="Arial" w:cs="Arial"/>
          <w:i/>
          <w:iCs/>
          <w:noProof/>
          <w:sz w:val="24"/>
          <w:szCs w:val="24"/>
        </w:rPr>
        <w:t>Diabetes Care</w:t>
      </w:r>
      <w:r w:rsidRPr="00646AED">
        <w:rPr>
          <w:rFonts w:ascii="Arial" w:hAnsi="Arial" w:cs="Arial"/>
          <w:noProof/>
          <w:sz w:val="24"/>
          <w:szCs w:val="24"/>
        </w:rPr>
        <w:t>. 2017;40(9):1273-1284. doi:10.2337/dci17-0026</w:t>
      </w:r>
    </w:p>
    <w:p w14:paraId="7DC6C28D"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4. </w:t>
      </w:r>
      <w:r w:rsidRPr="00646AED">
        <w:rPr>
          <w:rFonts w:ascii="Arial" w:hAnsi="Arial" w:cs="Arial"/>
          <w:noProof/>
          <w:sz w:val="24"/>
          <w:szCs w:val="24"/>
        </w:rPr>
        <w:tab/>
        <w:t>Type 1 diabetes in adults: diagnosis and management, NICE guideline (NG17). Accessed March 20, 2019. https://www.nice.org.uk/guidance/ng17</w:t>
      </w:r>
    </w:p>
    <w:p w14:paraId="4D2298A7"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5. </w:t>
      </w:r>
      <w:r w:rsidRPr="00646AED">
        <w:rPr>
          <w:rFonts w:ascii="Arial" w:hAnsi="Arial" w:cs="Arial"/>
          <w:noProof/>
          <w:sz w:val="24"/>
          <w:szCs w:val="24"/>
        </w:rPr>
        <w:tab/>
        <w:t>Type 2 diabetes in adults: management NICE guideline. Accessed August 16, 2019. https://www.nice.org.uk/guidance/ng28</w:t>
      </w:r>
    </w:p>
    <w:p w14:paraId="43471B34"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6. </w:t>
      </w:r>
      <w:r w:rsidRPr="00646AED">
        <w:rPr>
          <w:rFonts w:ascii="Arial" w:hAnsi="Arial" w:cs="Arial"/>
          <w:noProof/>
          <w:sz w:val="24"/>
          <w:szCs w:val="24"/>
        </w:rPr>
        <w:tab/>
        <w:t>IDF Global Guideline for Type 2 Diabetes. Published 2017. Accessed March 25, 2019. https://www.idf.org/e-library/guidelines/79-global-guideline-for-type-2-diabetes</w:t>
      </w:r>
    </w:p>
    <w:p w14:paraId="19EB803F"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7. </w:t>
      </w:r>
      <w:r w:rsidRPr="00646AED">
        <w:rPr>
          <w:rFonts w:ascii="Arial" w:hAnsi="Arial" w:cs="Arial"/>
          <w:noProof/>
          <w:sz w:val="24"/>
          <w:szCs w:val="24"/>
        </w:rPr>
        <w:tab/>
        <w:t xml:space="preserve">American Diabetes Association. 3. Comprehensive Medical Evaluation and Assessment of Comorbidities. </w:t>
      </w:r>
      <w:r w:rsidRPr="00646AED">
        <w:rPr>
          <w:rFonts w:ascii="Arial" w:hAnsi="Arial" w:cs="Arial"/>
          <w:i/>
          <w:iCs/>
          <w:noProof/>
          <w:sz w:val="24"/>
          <w:szCs w:val="24"/>
        </w:rPr>
        <w:t>Diabetes Care</w:t>
      </w:r>
      <w:r w:rsidRPr="00646AED">
        <w:rPr>
          <w:rFonts w:ascii="Arial" w:hAnsi="Arial" w:cs="Arial"/>
          <w:noProof/>
          <w:sz w:val="24"/>
          <w:szCs w:val="24"/>
        </w:rPr>
        <w:t>. 2017;40(Supplement 1):S25-S32. doi:10.2337/dc17-S006</w:t>
      </w:r>
    </w:p>
    <w:p w14:paraId="7AA3A901"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8. </w:t>
      </w:r>
      <w:r w:rsidRPr="00646AED">
        <w:rPr>
          <w:rFonts w:ascii="Arial" w:hAnsi="Arial" w:cs="Arial"/>
          <w:noProof/>
          <w:sz w:val="24"/>
          <w:szCs w:val="24"/>
        </w:rPr>
        <w:tab/>
        <w:t>Quality Outcomes Framework (QOF) - NHS Digital. 2020. Accessed January 17, 2020. https://digital.nhs.uk/data-and-information/data-tools-and-services/data-services/general-practice-data-hub/quality-outcomes-framework-qof</w:t>
      </w:r>
    </w:p>
    <w:p w14:paraId="73978D70"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9. </w:t>
      </w:r>
      <w:r w:rsidRPr="00646AED">
        <w:rPr>
          <w:rFonts w:ascii="Arial" w:hAnsi="Arial" w:cs="Arial"/>
          <w:noProof/>
          <w:sz w:val="24"/>
          <w:szCs w:val="24"/>
        </w:rPr>
        <w:tab/>
        <w:t xml:space="preserve">Holman N, Knighton P, Wild SH, et al. Cohort profile: National Diabetes Audit for England and Wales. </w:t>
      </w:r>
      <w:r w:rsidRPr="00646AED">
        <w:rPr>
          <w:rFonts w:ascii="Arial" w:hAnsi="Arial" w:cs="Arial"/>
          <w:i/>
          <w:iCs/>
          <w:noProof/>
          <w:sz w:val="24"/>
          <w:szCs w:val="24"/>
        </w:rPr>
        <w:t>Diabet Med</w:t>
      </w:r>
      <w:r w:rsidRPr="00646AED">
        <w:rPr>
          <w:rFonts w:ascii="Arial" w:hAnsi="Arial" w:cs="Arial"/>
          <w:noProof/>
          <w:sz w:val="24"/>
          <w:szCs w:val="24"/>
        </w:rPr>
        <w:t>. Published online June 14, 2021:e14616. doi:10.1111/dme.14616</w:t>
      </w:r>
    </w:p>
    <w:p w14:paraId="1819E81E"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10. </w:t>
      </w:r>
      <w:r w:rsidRPr="00646AED">
        <w:rPr>
          <w:rFonts w:ascii="Arial" w:hAnsi="Arial" w:cs="Arial"/>
          <w:noProof/>
          <w:sz w:val="24"/>
          <w:szCs w:val="24"/>
        </w:rPr>
        <w:tab/>
        <w:t>National Diabetes Audit - 2009-10, Audit analysis - NHS Digital. Accessed August 5, 2021. https://digital.nhs.uk/data-and-information/publications/statistical/national-diabetes-audit/national-diabetes-audit-2009-10-audit-analysis</w:t>
      </w:r>
    </w:p>
    <w:p w14:paraId="34EA8610"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11. </w:t>
      </w:r>
      <w:r w:rsidRPr="00646AED">
        <w:rPr>
          <w:rFonts w:ascii="Arial" w:hAnsi="Arial" w:cs="Arial"/>
          <w:noProof/>
          <w:sz w:val="24"/>
          <w:szCs w:val="24"/>
        </w:rPr>
        <w:tab/>
        <w:t>Office for National Statistics. Index of Multiple Deprivation (IMD) 2007. Accessed April 8, 2021. https://data.gov.uk/dataset/bdc1e1a5-aaf3-4f5a-9988-82a11e341eb8/index-of-multiple-deprivation-imd-2007</w:t>
      </w:r>
    </w:p>
    <w:p w14:paraId="2425F260"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12. </w:t>
      </w:r>
      <w:r w:rsidRPr="00646AED">
        <w:rPr>
          <w:rFonts w:ascii="Arial" w:hAnsi="Arial" w:cs="Arial"/>
          <w:noProof/>
          <w:sz w:val="24"/>
          <w:szCs w:val="24"/>
        </w:rPr>
        <w:tab/>
        <w:t xml:space="preserve">Levey AS, Coresh J, Greene T, et al. Using standardized serum creatinine values in the modification of diet in renal disease study equation for estimating glomerular filtration rate. </w:t>
      </w:r>
      <w:r w:rsidRPr="00646AED">
        <w:rPr>
          <w:rFonts w:ascii="Arial" w:hAnsi="Arial" w:cs="Arial"/>
          <w:i/>
          <w:iCs/>
          <w:noProof/>
          <w:sz w:val="24"/>
          <w:szCs w:val="24"/>
        </w:rPr>
        <w:t>Ann Intern Med</w:t>
      </w:r>
      <w:r w:rsidRPr="00646AED">
        <w:rPr>
          <w:rFonts w:ascii="Arial" w:hAnsi="Arial" w:cs="Arial"/>
          <w:noProof/>
          <w:sz w:val="24"/>
          <w:szCs w:val="24"/>
        </w:rPr>
        <w:t>. 2006;145(4):247-254. doi:10.7326/0003-4819-145-4-200608150-00004</w:t>
      </w:r>
    </w:p>
    <w:p w14:paraId="5ED00931"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13. </w:t>
      </w:r>
      <w:r w:rsidRPr="00646AED">
        <w:rPr>
          <w:rFonts w:ascii="Arial" w:hAnsi="Arial" w:cs="Arial"/>
          <w:noProof/>
          <w:sz w:val="24"/>
          <w:szCs w:val="24"/>
        </w:rPr>
        <w:tab/>
        <w:t xml:space="preserve">Breslow NE, Day NE. Statistical methods in cancer research. Volume II--The design and analysis of cohort studies. </w:t>
      </w:r>
      <w:r w:rsidRPr="00646AED">
        <w:rPr>
          <w:rFonts w:ascii="Arial" w:hAnsi="Arial" w:cs="Arial"/>
          <w:i/>
          <w:iCs/>
          <w:noProof/>
          <w:sz w:val="24"/>
          <w:szCs w:val="24"/>
        </w:rPr>
        <w:t>IARC Sci Publ</w:t>
      </w:r>
      <w:r w:rsidRPr="00646AED">
        <w:rPr>
          <w:rFonts w:ascii="Arial" w:hAnsi="Arial" w:cs="Arial"/>
          <w:noProof/>
          <w:sz w:val="24"/>
          <w:szCs w:val="24"/>
        </w:rPr>
        <w:t>. 1987;(82):1-406. Accessed March 22, 2019. http://publications.iarc.fr/Book-And-Report-Series/Iarc-Scientific-Publications/Statistical-Methods-In-Cancer-Research-Volume-II-The-Design-And-Analysis-Of-Cohort-Studies-1986</w:t>
      </w:r>
    </w:p>
    <w:p w14:paraId="6DFD7F1B"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14. </w:t>
      </w:r>
      <w:r w:rsidRPr="00646AED">
        <w:rPr>
          <w:rFonts w:ascii="Arial" w:hAnsi="Arial" w:cs="Arial"/>
          <w:noProof/>
          <w:sz w:val="24"/>
          <w:szCs w:val="24"/>
        </w:rPr>
        <w:tab/>
        <w:t xml:space="preserve">Seidu S, Davies MJ, Farooqi A, Khunti K. Integrated primary care: is this the solution to the diabetes epidemic? </w:t>
      </w:r>
      <w:r w:rsidRPr="00646AED">
        <w:rPr>
          <w:rFonts w:ascii="Arial" w:hAnsi="Arial" w:cs="Arial"/>
          <w:i/>
          <w:iCs/>
          <w:noProof/>
          <w:sz w:val="24"/>
          <w:szCs w:val="24"/>
        </w:rPr>
        <w:t>Diabet Med</w:t>
      </w:r>
      <w:r w:rsidRPr="00646AED">
        <w:rPr>
          <w:rFonts w:ascii="Arial" w:hAnsi="Arial" w:cs="Arial"/>
          <w:noProof/>
          <w:sz w:val="24"/>
          <w:szCs w:val="24"/>
        </w:rPr>
        <w:t>. 2017;34(6):748-750. doi:10.1111/dme.13348</w:t>
      </w:r>
    </w:p>
    <w:p w14:paraId="310214A3"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15. </w:t>
      </w:r>
      <w:r w:rsidRPr="00646AED">
        <w:rPr>
          <w:rFonts w:ascii="Arial" w:hAnsi="Arial" w:cs="Arial"/>
          <w:noProof/>
          <w:sz w:val="24"/>
          <w:szCs w:val="24"/>
        </w:rPr>
        <w:tab/>
        <w:t xml:space="preserve">Wright AK, Kontopantelis E, Emsley R, et al. Life Expectancy and Cause-Specific Mortality in Type 2 Diabetes: A Population-Based Cohort Study Quantifying Relationships in Ethnic Subgroups. </w:t>
      </w:r>
      <w:r w:rsidRPr="00646AED">
        <w:rPr>
          <w:rFonts w:ascii="Arial" w:hAnsi="Arial" w:cs="Arial"/>
          <w:i/>
          <w:iCs/>
          <w:noProof/>
          <w:sz w:val="24"/>
          <w:szCs w:val="24"/>
        </w:rPr>
        <w:t>Diabetes Care</w:t>
      </w:r>
      <w:r w:rsidRPr="00646AED">
        <w:rPr>
          <w:rFonts w:ascii="Arial" w:hAnsi="Arial" w:cs="Arial"/>
          <w:noProof/>
          <w:sz w:val="24"/>
          <w:szCs w:val="24"/>
        </w:rPr>
        <w:t>. 2017;40(3):338-345. doi:10.2337/dc16-1616</w:t>
      </w:r>
    </w:p>
    <w:p w14:paraId="37DE855C"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16. </w:t>
      </w:r>
      <w:r w:rsidRPr="00646AED">
        <w:rPr>
          <w:rFonts w:ascii="Arial" w:hAnsi="Arial" w:cs="Arial"/>
          <w:noProof/>
          <w:sz w:val="24"/>
          <w:szCs w:val="24"/>
        </w:rPr>
        <w:tab/>
        <w:t xml:space="preserve">Malik MO, Govan L, Petrie JR, et al. Ethnicity and risk of cardiovascular disease (CVD): 4.8 year follow-up of patients with type 2 diabetes living in Scotland. </w:t>
      </w:r>
      <w:r w:rsidRPr="00646AED">
        <w:rPr>
          <w:rFonts w:ascii="Arial" w:hAnsi="Arial" w:cs="Arial"/>
          <w:i/>
          <w:iCs/>
          <w:noProof/>
          <w:sz w:val="24"/>
          <w:szCs w:val="24"/>
        </w:rPr>
        <w:t>Diabetologia</w:t>
      </w:r>
      <w:r w:rsidRPr="00646AED">
        <w:rPr>
          <w:rFonts w:ascii="Arial" w:hAnsi="Arial" w:cs="Arial"/>
          <w:noProof/>
          <w:sz w:val="24"/>
          <w:szCs w:val="24"/>
        </w:rPr>
        <w:t>. 2015;58(4):716-725. doi:10.1007/s00125-015-3492-0</w:t>
      </w:r>
    </w:p>
    <w:p w14:paraId="6EAEF396"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17. </w:t>
      </w:r>
      <w:r w:rsidRPr="00646AED">
        <w:rPr>
          <w:rFonts w:ascii="Arial" w:hAnsi="Arial" w:cs="Arial"/>
          <w:noProof/>
          <w:sz w:val="24"/>
          <w:szCs w:val="24"/>
        </w:rPr>
        <w:tab/>
        <w:t xml:space="preserve">Tillin T, Hughes AD, Mayet J, et al. The relationship between metabolic risk factors and incident cardiovascular disease in Europeans, South Asians, and African Caribbeans: SABRE (Southall and Brent Revisited) -- a prospective population-based study. </w:t>
      </w:r>
      <w:r w:rsidRPr="00646AED">
        <w:rPr>
          <w:rFonts w:ascii="Arial" w:hAnsi="Arial" w:cs="Arial"/>
          <w:i/>
          <w:iCs/>
          <w:noProof/>
          <w:sz w:val="24"/>
          <w:szCs w:val="24"/>
        </w:rPr>
        <w:t>J Am Coll Cardiol</w:t>
      </w:r>
      <w:r w:rsidRPr="00646AED">
        <w:rPr>
          <w:rFonts w:ascii="Arial" w:hAnsi="Arial" w:cs="Arial"/>
          <w:noProof/>
          <w:sz w:val="24"/>
          <w:szCs w:val="24"/>
        </w:rPr>
        <w:t>. 2013;61(17):1777-1786. doi:10.1016/j.jacc.2012.12.046</w:t>
      </w:r>
    </w:p>
    <w:p w14:paraId="48C3A12D"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18. </w:t>
      </w:r>
      <w:r w:rsidRPr="00646AED">
        <w:rPr>
          <w:rFonts w:ascii="Arial" w:hAnsi="Arial" w:cs="Arial"/>
          <w:noProof/>
          <w:sz w:val="24"/>
          <w:szCs w:val="24"/>
        </w:rPr>
        <w:tab/>
        <w:t>Brewster S, Bartholomew J, Holt RIG, Price H. Non</w:t>
      </w:r>
      <w:r w:rsidRPr="00646AED">
        <w:rPr>
          <w:rFonts w:ascii="Cambria Math" w:hAnsi="Cambria Math" w:cs="Cambria Math"/>
          <w:noProof/>
          <w:sz w:val="24"/>
          <w:szCs w:val="24"/>
        </w:rPr>
        <w:t>‐</w:t>
      </w:r>
      <w:r w:rsidRPr="00646AED">
        <w:rPr>
          <w:rFonts w:ascii="Arial" w:hAnsi="Arial" w:cs="Arial"/>
          <w:noProof/>
          <w:sz w:val="24"/>
          <w:szCs w:val="24"/>
        </w:rPr>
        <w:t xml:space="preserve">attendance at diabetes outpatient appointments: a systematic review. </w:t>
      </w:r>
      <w:r w:rsidRPr="00646AED">
        <w:rPr>
          <w:rFonts w:ascii="Arial" w:hAnsi="Arial" w:cs="Arial"/>
          <w:i/>
          <w:iCs/>
          <w:noProof/>
          <w:sz w:val="24"/>
          <w:szCs w:val="24"/>
        </w:rPr>
        <w:t>Diabet Med</w:t>
      </w:r>
      <w:r w:rsidRPr="00646AED">
        <w:rPr>
          <w:rFonts w:ascii="Arial" w:hAnsi="Arial" w:cs="Arial"/>
          <w:noProof/>
          <w:sz w:val="24"/>
          <w:szCs w:val="24"/>
        </w:rPr>
        <w:t>. 2020;37(9):1427-1442. doi:10.1111/dme.14241</w:t>
      </w:r>
    </w:p>
    <w:p w14:paraId="140B138B"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szCs w:val="24"/>
        </w:rPr>
      </w:pPr>
      <w:r w:rsidRPr="00646AED">
        <w:rPr>
          <w:rFonts w:ascii="Arial" w:hAnsi="Arial" w:cs="Arial"/>
          <w:noProof/>
          <w:sz w:val="24"/>
          <w:szCs w:val="24"/>
        </w:rPr>
        <w:t xml:space="preserve">19. </w:t>
      </w:r>
      <w:r w:rsidRPr="00646AED">
        <w:rPr>
          <w:rFonts w:ascii="Arial" w:hAnsi="Arial" w:cs="Arial"/>
          <w:noProof/>
          <w:sz w:val="24"/>
          <w:szCs w:val="24"/>
        </w:rPr>
        <w:tab/>
        <w:t xml:space="preserve">Currie CJ, Peyrot M, Morgan CL, et al. The impact of treatment non-compliance on mortality in people with type 1 diabetes. </w:t>
      </w:r>
      <w:r w:rsidRPr="00646AED">
        <w:rPr>
          <w:rFonts w:ascii="Arial" w:hAnsi="Arial" w:cs="Arial"/>
          <w:i/>
          <w:iCs/>
          <w:noProof/>
          <w:sz w:val="24"/>
          <w:szCs w:val="24"/>
        </w:rPr>
        <w:t>J Diabetes Complications</w:t>
      </w:r>
      <w:r w:rsidRPr="00646AED">
        <w:rPr>
          <w:rFonts w:ascii="Arial" w:hAnsi="Arial" w:cs="Arial"/>
          <w:noProof/>
          <w:sz w:val="24"/>
          <w:szCs w:val="24"/>
        </w:rPr>
        <w:t>. 2013;27(3):219-223. doi:10.1016/j.jdiacomp.2012.10.006</w:t>
      </w:r>
    </w:p>
    <w:p w14:paraId="07F966F5" w14:textId="77777777" w:rsidR="00646AED" w:rsidRPr="00646AED" w:rsidRDefault="00646AED" w:rsidP="00646AED">
      <w:pPr>
        <w:widowControl w:val="0"/>
        <w:autoSpaceDE w:val="0"/>
        <w:autoSpaceDN w:val="0"/>
        <w:adjustRightInd w:val="0"/>
        <w:spacing w:after="0" w:line="480" w:lineRule="auto"/>
        <w:ind w:left="640" w:hanging="640"/>
        <w:rPr>
          <w:rFonts w:ascii="Arial" w:hAnsi="Arial" w:cs="Arial"/>
          <w:noProof/>
          <w:sz w:val="24"/>
        </w:rPr>
      </w:pPr>
      <w:r w:rsidRPr="00646AED">
        <w:rPr>
          <w:rFonts w:ascii="Arial" w:hAnsi="Arial" w:cs="Arial"/>
          <w:noProof/>
          <w:sz w:val="24"/>
          <w:szCs w:val="24"/>
        </w:rPr>
        <w:t xml:space="preserve">20. </w:t>
      </w:r>
      <w:r w:rsidRPr="00646AED">
        <w:rPr>
          <w:rFonts w:ascii="Arial" w:hAnsi="Arial" w:cs="Arial"/>
          <w:noProof/>
          <w:sz w:val="24"/>
          <w:szCs w:val="24"/>
        </w:rPr>
        <w:tab/>
        <w:t xml:space="preserve">Torres A, Peetermans WE, Viegi G, Blasi F. Risk factors for community-acquired pneumonia in adults in Europe: a literature review. </w:t>
      </w:r>
      <w:r w:rsidRPr="00646AED">
        <w:rPr>
          <w:rFonts w:ascii="Arial" w:hAnsi="Arial" w:cs="Arial"/>
          <w:i/>
          <w:iCs/>
          <w:noProof/>
          <w:sz w:val="24"/>
          <w:szCs w:val="24"/>
        </w:rPr>
        <w:t>Thorax</w:t>
      </w:r>
      <w:r w:rsidRPr="00646AED">
        <w:rPr>
          <w:rFonts w:ascii="Arial" w:hAnsi="Arial" w:cs="Arial"/>
          <w:noProof/>
          <w:sz w:val="24"/>
          <w:szCs w:val="24"/>
        </w:rPr>
        <w:t>. 2013;68(11):1057-1065. doi:10.1136/thoraxjnl-2013-204282</w:t>
      </w:r>
    </w:p>
    <w:p w14:paraId="48DFE2F7" w14:textId="77777777" w:rsidR="00931E93" w:rsidRDefault="00931E93" w:rsidP="008E43AC">
      <w:pPr>
        <w:spacing w:after="0" w:line="480" w:lineRule="auto"/>
        <w:sectPr w:rsidR="00931E93">
          <w:footerReference w:type="default" r:id="rId8"/>
          <w:pgSz w:w="11906" w:h="16838"/>
          <w:pgMar w:top="1440" w:right="1440" w:bottom="1440" w:left="1440" w:header="708" w:footer="708" w:gutter="0"/>
          <w:cols w:space="708"/>
          <w:docGrid w:linePitch="360"/>
        </w:sectPr>
      </w:pPr>
      <w:r w:rsidRPr="008E43AC">
        <w:rPr>
          <w:rFonts w:asciiTheme="minorBidi" w:hAnsiTheme="minorBidi"/>
          <w:sz w:val="24"/>
          <w:szCs w:val="24"/>
        </w:rPr>
        <w:fldChar w:fldCharType="end"/>
      </w:r>
    </w:p>
    <w:p w14:paraId="5C47340F" w14:textId="08B96DF1" w:rsidR="004D14F3" w:rsidRPr="004D14F3" w:rsidRDefault="004D14F3" w:rsidP="004D14F3">
      <w:pPr>
        <w:spacing w:after="0" w:line="480" w:lineRule="auto"/>
        <w:rPr>
          <w:rFonts w:asciiTheme="minorBidi" w:hAnsiTheme="minorBidi"/>
          <w:b/>
          <w:bCs/>
          <w:sz w:val="24"/>
          <w:szCs w:val="24"/>
        </w:rPr>
      </w:pPr>
      <w:r w:rsidRPr="004D14F3">
        <w:rPr>
          <w:rFonts w:asciiTheme="minorBidi" w:hAnsiTheme="minorBidi"/>
          <w:b/>
          <w:bCs/>
          <w:sz w:val="24"/>
          <w:szCs w:val="24"/>
        </w:rPr>
        <w:t>Figure Legends</w:t>
      </w:r>
    </w:p>
    <w:p w14:paraId="4CBB6C7D" w14:textId="14DDEE64" w:rsidR="004D14F3" w:rsidRDefault="004D14F3" w:rsidP="004D14F3">
      <w:pPr>
        <w:spacing w:after="0" w:line="480" w:lineRule="auto"/>
        <w:rPr>
          <w:rFonts w:asciiTheme="minorBidi" w:hAnsiTheme="minorBidi"/>
          <w:sz w:val="24"/>
          <w:szCs w:val="24"/>
        </w:rPr>
      </w:pPr>
    </w:p>
    <w:p w14:paraId="5338C942" w14:textId="0CEAC3F0" w:rsidR="004D14F3" w:rsidRDefault="004D14F3" w:rsidP="004D14F3">
      <w:pPr>
        <w:spacing w:after="0" w:line="480" w:lineRule="auto"/>
        <w:rPr>
          <w:rFonts w:asciiTheme="minorBidi" w:hAnsiTheme="minorBidi"/>
          <w:sz w:val="24"/>
          <w:szCs w:val="24"/>
        </w:rPr>
      </w:pPr>
      <w:r w:rsidRPr="004D14F3">
        <w:rPr>
          <w:rFonts w:asciiTheme="minorBidi" w:hAnsiTheme="minorBidi"/>
          <w:b/>
          <w:bCs/>
          <w:sz w:val="24"/>
          <w:szCs w:val="24"/>
        </w:rPr>
        <w:t>Figure 1a</w:t>
      </w:r>
      <w:r w:rsidRPr="008E43AC">
        <w:rPr>
          <w:rFonts w:asciiTheme="minorBidi" w:hAnsiTheme="minorBidi"/>
          <w:sz w:val="24"/>
          <w:szCs w:val="24"/>
        </w:rPr>
        <w:t>: Forest plot of HR for all-cause mortality associated with number of care processes recorded between 1</w:t>
      </w:r>
      <w:r w:rsidRPr="001F6EFC">
        <w:rPr>
          <w:rFonts w:asciiTheme="minorBidi" w:hAnsiTheme="minorBidi"/>
          <w:sz w:val="24"/>
          <w:szCs w:val="24"/>
          <w:vertAlign w:val="superscript"/>
        </w:rPr>
        <w:t>st</w:t>
      </w:r>
      <w:r w:rsidRPr="008E43AC">
        <w:rPr>
          <w:rFonts w:asciiTheme="minorBidi" w:hAnsiTheme="minorBidi"/>
          <w:sz w:val="24"/>
          <w:szCs w:val="24"/>
        </w:rPr>
        <w:t xml:space="preserve"> January 2009 and 31</w:t>
      </w:r>
      <w:r w:rsidRPr="001F6EFC">
        <w:rPr>
          <w:rFonts w:asciiTheme="minorBidi" w:hAnsiTheme="minorBidi"/>
          <w:sz w:val="24"/>
          <w:szCs w:val="24"/>
          <w:vertAlign w:val="superscript"/>
        </w:rPr>
        <w:t>st</w:t>
      </w:r>
      <w:r w:rsidRPr="008E43AC">
        <w:rPr>
          <w:rFonts w:asciiTheme="minorBidi" w:hAnsiTheme="minorBidi"/>
          <w:sz w:val="24"/>
          <w:szCs w:val="24"/>
        </w:rPr>
        <w:t xml:space="preserve"> March 2010 stratified by sex, age and ethnicity for people with type 1 diabetes</w:t>
      </w:r>
    </w:p>
    <w:p w14:paraId="256B8B55" w14:textId="77777777" w:rsidR="004D14F3" w:rsidRDefault="004D14F3" w:rsidP="004D14F3">
      <w:pPr>
        <w:spacing w:after="0" w:line="480" w:lineRule="auto"/>
        <w:rPr>
          <w:rFonts w:asciiTheme="minorBidi" w:hAnsiTheme="minorBidi"/>
          <w:sz w:val="24"/>
          <w:szCs w:val="24"/>
        </w:rPr>
      </w:pPr>
    </w:p>
    <w:p w14:paraId="448DBF25" w14:textId="77777777" w:rsidR="004D14F3" w:rsidRPr="008E43AC" w:rsidRDefault="004D14F3" w:rsidP="004D14F3">
      <w:pPr>
        <w:spacing w:after="0" w:line="480" w:lineRule="auto"/>
        <w:rPr>
          <w:rFonts w:asciiTheme="minorBidi" w:hAnsiTheme="minorBidi"/>
          <w:sz w:val="24"/>
          <w:szCs w:val="24"/>
        </w:rPr>
      </w:pPr>
      <w:r w:rsidRPr="004D14F3">
        <w:rPr>
          <w:rFonts w:asciiTheme="minorBidi" w:hAnsiTheme="minorBidi"/>
          <w:b/>
          <w:bCs/>
          <w:sz w:val="24"/>
          <w:szCs w:val="24"/>
        </w:rPr>
        <w:t>Figure 1b:</w:t>
      </w:r>
      <w:r w:rsidRPr="008E43AC">
        <w:rPr>
          <w:rFonts w:asciiTheme="minorBidi" w:hAnsiTheme="minorBidi"/>
          <w:sz w:val="24"/>
          <w:szCs w:val="24"/>
        </w:rPr>
        <w:t xml:space="preserve"> Forest plot of HR for all-cause mortality associated with number of care processes recorded between 1</w:t>
      </w:r>
      <w:r w:rsidRPr="001F6EFC">
        <w:rPr>
          <w:rFonts w:asciiTheme="minorBidi" w:hAnsiTheme="minorBidi"/>
          <w:sz w:val="24"/>
          <w:szCs w:val="24"/>
          <w:vertAlign w:val="superscript"/>
        </w:rPr>
        <w:t>st</w:t>
      </w:r>
      <w:r w:rsidRPr="008E43AC">
        <w:rPr>
          <w:rFonts w:asciiTheme="minorBidi" w:hAnsiTheme="minorBidi"/>
          <w:sz w:val="24"/>
          <w:szCs w:val="24"/>
        </w:rPr>
        <w:t xml:space="preserve"> January 2009 and 31</w:t>
      </w:r>
      <w:r w:rsidRPr="001F6EFC">
        <w:rPr>
          <w:rFonts w:asciiTheme="minorBidi" w:hAnsiTheme="minorBidi"/>
          <w:sz w:val="24"/>
          <w:szCs w:val="24"/>
          <w:vertAlign w:val="superscript"/>
        </w:rPr>
        <w:t>st</w:t>
      </w:r>
      <w:r w:rsidRPr="008E43AC">
        <w:rPr>
          <w:rFonts w:asciiTheme="minorBidi" w:hAnsiTheme="minorBidi"/>
          <w:sz w:val="24"/>
          <w:szCs w:val="24"/>
        </w:rPr>
        <w:t xml:space="preserve"> March 2010 stratified by sex, age and ethnicity for people with type 2 diabetes</w:t>
      </w:r>
    </w:p>
    <w:p w14:paraId="210F24E8" w14:textId="77777777" w:rsidR="004D14F3" w:rsidRDefault="004D14F3" w:rsidP="004D14F3">
      <w:pPr>
        <w:spacing w:after="0" w:line="480" w:lineRule="auto"/>
        <w:rPr>
          <w:rFonts w:asciiTheme="minorBidi" w:hAnsiTheme="minorBidi"/>
          <w:sz w:val="24"/>
          <w:szCs w:val="24"/>
        </w:rPr>
      </w:pPr>
    </w:p>
    <w:p w14:paraId="59C5D089" w14:textId="77777777" w:rsidR="004D14F3" w:rsidRDefault="004D14F3" w:rsidP="004D14F3">
      <w:pPr>
        <w:spacing w:after="0" w:line="480" w:lineRule="auto"/>
        <w:rPr>
          <w:rFonts w:asciiTheme="minorBidi" w:hAnsiTheme="minorBidi"/>
          <w:sz w:val="24"/>
          <w:szCs w:val="24"/>
        </w:rPr>
      </w:pPr>
    </w:p>
    <w:p w14:paraId="0CF406E6" w14:textId="77777777" w:rsidR="004D14F3" w:rsidRDefault="004D14F3" w:rsidP="004D14F3">
      <w:pPr>
        <w:spacing w:after="0" w:line="480" w:lineRule="auto"/>
        <w:rPr>
          <w:rFonts w:asciiTheme="minorBidi" w:hAnsiTheme="minorBidi"/>
          <w:sz w:val="24"/>
          <w:szCs w:val="24"/>
        </w:rPr>
        <w:sectPr w:rsidR="004D14F3" w:rsidSect="004D14F3">
          <w:pgSz w:w="11906" w:h="16838"/>
          <w:pgMar w:top="1440" w:right="1440" w:bottom="1440" w:left="1440" w:header="708" w:footer="708" w:gutter="0"/>
          <w:cols w:space="708"/>
          <w:docGrid w:linePitch="360"/>
        </w:sectPr>
      </w:pPr>
    </w:p>
    <w:p w14:paraId="2FC090F2" w14:textId="51FF360C"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Table 1: Baseline characteristics by number of care processes received and type of diabetes</w:t>
      </w:r>
    </w:p>
    <w:tbl>
      <w:tblPr>
        <w:tblW w:w="12986" w:type="dxa"/>
        <w:tblLook w:val="04A0" w:firstRow="1" w:lastRow="0" w:firstColumn="1" w:lastColumn="0" w:noHBand="0" w:noVBand="1"/>
      </w:tblPr>
      <w:tblGrid>
        <w:gridCol w:w="694"/>
        <w:gridCol w:w="1920"/>
        <w:gridCol w:w="1068"/>
        <w:gridCol w:w="733"/>
        <w:gridCol w:w="1068"/>
        <w:gridCol w:w="733"/>
        <w:gridCol w:w="1068"/>
        <w:gridCol w:w="733"/>
        <w:gridCol w:w="1049"/>
        <w:gridCol w:w="733"/>
        <w:gridCol w:w="1198"/>
        <w:gridCol w:w="733"/>
        <w:gridCol w:w="1178"/>
        <w:gridCol w:w="733"/>
      </w:tblGrid>
      <w:tr w:rsidR="00931E93" w:rsidRPr="00986C6D" w14:paraId="5F7D2E3D" w14:textId="77777777" w:rsidTr="00154DE3">
        <w:trPr>
          <w:trHeight w:val="300"/>
        </w:trPr>
        <w:tc>
          <w:tcPr>
            <w:tcW w:w="25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A0BD0E0"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5196" w:type="dxa"/>
            <w:gridSpan w:val="6"/>
            <w:tcBorders>
              <w:top w:val="single" w:sz="4" w:space="0" w:color="auto"/>
              <w:left w:val="nil"/>
              <w:bottom w:val="nil"/>
              <w:right w:val="single" w:sz="4" w:space="0" w:color="000000"/>
            </w:tcBorders>
            <w:shd w:val="clear" w:color="auto" w:fill="auto"/>
            <w:noWrap/>
            <w:vAlign w:val="bottom"/>
            <w:hideMark/>
          </w:tcPr>
          <w:p w14:paraId="4258F020"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Type 1 diabetes</w:t>
            </w:r>
          </w:p>
        </w:tc>
        <w:tc>
          <w:tcPr>
            <w:tcW w:w="5270" w:type="dxa"/>
            <w:gridSpan w:val="6"/>
            <w:tcBorders>
              <w:top w:val="single" w:sz="4" w:space="0" w:color="auto"/>
              <w:left w:val="nil"/>
              <w:bottom w:val="nil"/>
              <w:right w:val="single" w:sz="4" w:space="0" w:color="000000"/>
            </w:tcBorders>
            <w:shd w:val="clear" w:color="auto" w:fill="auto"/>
            <w:noWrap/>
            <w:vAlign w:val="bottom"/>
            <w:hideMark/>
          </w:tcPr>
          <w:p w14:paraId="6900D1CA"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Type 2 diabetes </w:t>
            </w:r>
          </w:p>
        </w:tc>
      </w:tr>
      <w:tr w:rsidR="00931E93" w:rsidRPr="00986C6D" w14:paraId="6A1E136D" w14:textId="77777777" w:rsidTr="00154DE3">
        <w:trPr>
          <w:trHeight w:val="233"/>
        </w:trPr>
        <w:tc>
          <w:tcPr>
            <w:tcW w:w="2520" w:type="dxa"/>
            <w:gridSpan w:val="2"/>
            <w:vMerge/>
            <w:tcBorders>
              <w:top w:val="single" w:sz="4" w:space="0" w:color="auto"/>
              <w:left w:val="single" w:sz="4" w:space="0" w:color="auto"/>
              <w:bottom w:val="single" w:sz="4" w:space="0" w:color="000000"/>
              <w:right w:val="single" w:sz="4" w:space="0" w:color="000000"/>
            </w:tcBorders>
            <w:vAlign w:val="center"/>
            <w:hideMark/>
          </w:tcPr>
          <w:p w14:paraId="6063BDA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732" w:type="dxa"/>
            <w:gridSpan w:val="2"/>
            <w:tcBorders>
              <w:top w:val="nil"/>
              <w:left w:val="nil"/>
              <w:bottom w:val="nil"/>
              <w:right w:val="nil"/>
            </w:tcBorders>
            <w:shd w:val="clear" w:color="auto" w:fill="auto"/>
            <w:noWrap/>
            <w:vAlign w:val="bottom"/>
            <w:hideMark/>
          </w:tcPr>
          <w:p w14:paraId="6D7004FD"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5 care processes</w:t>
            </w:r>
          </w:p>
        </w:tc>
        <w:tc>
          <w:tcPr>
            <w:tcW w:w="1732" w:type="dxa"/>
            <w:gridSpan w:val="2"/>
            <w:tcBorders>
              <w:top w:val="nil"/>
              <w:left w:val="nil"/>
              <w:bottom w:val="nil"/>
              <w:right w:val="nil"/>
            </w:tcBorders>
            <w:shd w:val="clear" w:color="auto" w:fill="auto"/>
            <w:noWrap/>
            <w:vAlign w:val="bottom"/>
            <w:hideMark/>
          </w:tcPr>
          <w:p w14:paraId="7D7C3CC4"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6-7 care processes</w:t>
            </w:r>
          </w:p>
        </w:tc>
        <w:tc>
          <w:tcPr>
            <w:tcW w:w="1732" w:type="dxa"/>
            <w:gridSpan w:val="2"/>
            <w:tcBorders>
              <w:top w:val="nil"/>
              <w:left w:val="nil"/>
              <w:bottom w:val="nil"/>
              <w:right w:val="single" w:sz="4" w:space="0" w:color="000000"/>
            </w:tcBorders>
            <w:shd w:val="clear" w:color="auto" w:fill="auto"/>
            <w:noWrap/>
            <w:vAlign w:val="bottom"/>
            <w:hideMark/>
          </w:tcPr>
          <w:p w14:paraId="223429E9"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 care processes</w:t>
            </w:r>
          </w:p>
        </w:tc>
        <w:tc>
          <w:tcPr>
            <w:tcW w:w="1713" w:type="dxa"/>
            <w:gridSpan w:val="2"/>
            <w:tcBorders>
              <w:top w:val="nil"/>
              <w:left w:val="nil"/>
              <w:bottom w:val="nil"/>
              <w:right w:val="nil"/>
            </w:tcBorders>
            <w:shd w:val="clear" w:color="auto" w:fill="auto"/>
            <w:noWrap/>
            <w:vAlign w:val="bottom"/>
            <w:hideMark/>
          </w:tcPr>
          <w:p w14:paraId="4638891D"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5 care processes</w:t>
            </w:r>
          </w:p>
        </w:tc>
        <w:tc>
          <w:tcPr>
            <w:tcW w:w="1862" w:type="dxa"/>
            <w:gridSpan w:val="2"/>
            <w:tcBorders>
              <w:top w:val="nil"/>
              <w:left w:val="nil"/>
              <w:bottom w:val="nil"/>
              <w:right w:val="nil"/>
            </w:tcBorders>
            <w:shd w:val="clear" w:color="auto" w:fill="auto"/>
            <w:noWrap/>
            <w:vAlign w:val="bottom"/>
            <w:hideMark/>
          </w:tcPr>
          <w:p w14:paraId="01F10397"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6-7 care processes</w:t>
            </w:r>
          </w:p>
        </w:tc>
        <w:tc>
          <w:tcPr>
            <w:tcW w:w="1695" w:type="dxa"/>
            <w:gridSpan w:val="2"/>
            <w:tcBorders>
              <w:top w:val="nil"/>
              <w:left w:val="nil"/>
              <w:bottom w:val="nil"/>
              <w:right w:val="single" w:sz="4" w:space="0" w:color="000000"/>
            </w:tcBorders>
            <w:shd w:val="clear" w:color="auto" w:fill="auto"/>
            <w:noWrap/>
            <w:vAlign w:val="bottom"/>
            <w:hideMark/>
          </w:tcPr>
          <w:p w14:paraId="16237A78"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 care processes</w:t>
            </w:r>
          </w:p>
        </w:tc>
      </w:tr>
      <w:tr w:rsidR="00931E93" w:rsidRPr="00986C6D" w14:paraId="009D152C" w14:textId="77777777" w:rsidTr="00154DE3">
        <w:trPr>
          <w:trHeight w:val="155"/>
        </w:trPr>
        <w:tc>
          <w:tcPr>
            <w:tcW w:w="2520" w:type="dxa"/>
            <w:gridSpan w:val="2"/>
            <w:vMerge/>
            <w:tcBorders>
              <w:top w:val="single" w:sz="4" w:space="0" w:color="auto"/>
              <w:left w:val="single" w:sz="4" w:space="0" w:color="auto"/>
              <w:bottom w:val="single" w:sz="4" w:space="0" w:color="000000"/>
              <w:right w:val="single" w:sz="4" w:space="0" w:color="000000"/>
            </w:tcBorders>
            <w:vAlign w:val="center"/>
            <w:hideMark/>
          </w:tcPr>
          <w:p w14:paraId="1EDC388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068" w:type="dxa"/>
            <w:tcBorders>
              <w:top w:val="nil"/>
              <w:left w:val="nil"/>
              <w:bottom w:val="single" w:sz="4" w:space="0" w:color="auto"/>
              <w:right w:val="nil"/>
            </w:tcBorders>
            <w:shd w:val="clear" w:color="auto" w:fill="auto"/>
            <w:noWrap/>
            <w:vAlign w:val="bottom"/>
            <w:hideMark/>
          </w:tcPr>
          <w:p w14:paraId="01717D85"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n</w:t>
            </w:r>
          </w:p>
        </w:tc>
        <w:tc>
          <w:tcPr>
            <w:tcW w:w="664" w:type="dxa"/>
            <w:tcBorders>
              <w:top w:val="nil"/>
              <w:left w:val="nil"/>
              <w:bottom w:val="single" w:sz="4" w:space="0" w:color="auto"/>
              <w:right w:val="nil"/>
            </w:tcBorders>
            <w:shd w:val="clear" w:color="auto" w:fill="auto"/>
            <w:noWrap/>
            <w:vAlign w:val="bottom"/>
            <w:hideMark/>
          </w:tcPr>
          <w:p w14:paraId="79E90F0F"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w:t>
            </w:r>
          </w:p>
        </w:tc>
        <w:tc>
          <w:tcPr>
            <w:tcW w:w="1068" w:type="dxa"/>
            <w:tcBorders>
              <w:top w:val="nil"/>
              <w:left w:val="nil"/>
              <w:bottom w:val="single" w:sz="4" w:space="0" w:color="auto"/>
              <w:right w:val="nil"/>
            </w:tcBorders>
            <w:shd w:val="clear" w:color="auto" w:fill="auto"/>
            <w:noWrap/>
            <w:vAlign w:val="bottom"/>
            <w:hideMark/>
          </w:tcPr>
          <w:p w14:paraId="7CF3B80B"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n</w:t>
            </w:r>
          </w:p>
        </w:tc>
        <w:tc>
          <w:tcPr>
            <w:tcW w:w="664" w:type="dxa"/>
            <w:tcBorders>
              <w:top w:val="nil"/>
              <w:left w:val="nil"/>
              <w:bottom w:val="single" w:sz="4" w:space="0" w:color="auto"/>
              <w:right w:val="nil"/>
            </w:tcBorders>
            <w:shd w:val="clear" w:color="auto" w:fill="auto"/>
            <w:noWrap/>
            <w:vAlign w:val="bottom"/>
            <w:hideMark/>
          </w:tcPr>
          <w:p w14:paraId="2CE884A5"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w:t>
            </w:r>
          </w:p>
        </w:tc>
        <w:tc>
          <w:tcPr>
            <w:tcW w:w="1068" w:type="dxa"/>
            <w:tcBorders>
              <w:top w:val="nil"/>
              <w:left w:val="nil"/>
              <w:bottom w:val="single" w:sz="4" w:space="0" w:color="auto"/>
              <w:right w:val="nil"/>
            </w:tcBorders>
            <w:shd w:val="clear" w:color="auto" w:fill="auto"/>
            <w:noWrap/>
            <w:vAlign w:val="bottom"/>
            <w:hideMark/>
          </w:tcPr>
          <w:p w14:paraId="6F357126"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n</w:t>
            </w:r>
          </w:p>
        </w:tc>
        <w:tc>
          <w:tcPr>
            <w:tcW w:w="664" w:type="dxa"/>
            <w:tcBorders>
              <w:top w:val="nil"/>
              <w:left w:val="nil"/>
              <w:bottom w:val="single" w:sz="4" w:space="0" w:color="auto"/>
              <w:right w:val="nil"/>
            </w:tcBorders>
            <w:shd w:val="clear" w:color="auto" w:fill="auto"/>
            <w:noWrap/>
            <w:vAlign w:val="bottom"/>
            <w:hideMark/>
          </w:tcPr>
          <w:p w14:paraId="7042BC62"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w:t>
            </w:r>
          </w:p>
        </w:tc>
        <w:tc>
          <w:tcPr>
            <w:tcW w:w="1049" w:type="dxa"/>
            <w:tcBorders>
              <w:top w:val="nil"/>
              <w:left w:val="single" w:sz="4" w:space="0" w:color="auto"/>
              <w:bottom w:val="single" w:sz="4" w:space="0" w:color="auto"/>
              <w:right w:val="nil"/>
            </w:tcBorders>
            <w:shd w:val="clear" w:color="auto" w:fill="auto"/>
            <w:noWrap/>
            <w:vAlign w:val="bottom"/>
            <w:hideMark/>
          </w:tcPr>
          <w:p w14:paraId="4B41E5ED"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n</w:t>
            </w:r>
          </w:p>
        </w:tc>
        <w:tc>
          <w:tcPr>
            <w:tcW w:w="664" w:type="dxa"/>
            <w:tcBorders>
              <w:top w:val="nil"/>
              <w:left w:val="nil"/>
              <w:bottom w:val="single" w:sz="4" w:space="0" w:color="auto"/>
              <w:right w:val="nil"/>
            </w:tcBorders>
            <w:shd w:val="clear" w:color="auto" w:fill="auto"/>
            <w:noWrap/>
            <w:vAlign w:val="bottom"/>
            <w:hideMark/>
          </w:tcPr>
          <w:p w14:paraId="3A1E8559"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w:t>
            </w:r>
          </w:p>
        </w:tc>
        <w:tc>
          <w:tcPr>
            <w:tcW w:w="1198" w:type="dxa"/>
            <w:tcBorders>
              <w:top w:val="nil"/>
              <w:left w:val="nil"/>
              <w:bottom w:val="single" w:sz="4" w:space="0" w:color="auto"/>
              <w:right w:val="nil"/>
            </w:tcBorders>
            <w:shd w:val="clear" w:color="auto" w:fill="auto"/>
            <w:noWrap/>
            <w:vAlign w:val="bottom"/>
            <w:hideMark/>
          </w:tcPr>
          <w:p w14:paraId="3FEE6F6A"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n</w:t>
            </w:r>
          </w:p>
        </w:tc>
        <w:tc>
          <w:tcPr>
            <w:tcW w:w="664" w:type="dxa"/>
            <w:tcBorders>
              <w:top w:val="nil"/>
              <w:left w:val="nil"/>
              <w:bottom w:val="single" w:sz="4" w:space="0" w:color="auto"/>
              <w:right w:val="nil"/>
            </w:tcBorders>
            <w:shd w:val="clear" w:color="auto" w:fill="auto"/>
            <w:noWrap/>
            <w:vAlign w:val="bottom"/>
            <w:hideMark/>
          </w:tcPr>
          <w:p w14:paraId="3935054F"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w:t>
            </w:r>
          </w:p>
        </w:tc>
        <w:tc>
          <w:tcPr>
            <w:tcW w:w="1178" w:type="dxa"/>
            <w:tcBorders>
              <w:top w:val="nil"/>
              <w:left w:val="nil"/>
              <w:bottom w:val="single" w:sz="4" w:space="0" w:color="auto"/>
              <w:right w:val="nil"/>
            </w:tcBorders>
            <w:shd w:val="clear" w:color="auto" w:fill="auto"/>
            <w:noWrap/>
            <w:vAlign w:val="bottom"/>
            <w:hideMark/>
          </w:tcPr>
          <w:p w14:paraId="42196C55"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n</w:t>
            </w:r>
          </w:p>
        </w:tc>
        <w:tc>
          <w:tcPr>
            <w:tcW w:w="517" w:type="dxa"/>
            <w:tcBorders>
              <w:top w:val="nil"/>
              <w:left w:val="nil"/>
              <w:bottom w:val="single" w:sz="4" w:space="0" w:color="auto"/>
              <w:right w:val="single" w:sz="4" w:space="0" w:color="auto"/>
            </w:tcBorders>
            <w:shd w:val="clear" w:color="auto" w:fill="auto"/>
            <w:noWrap/>
            <w:vAlign w:val="bottom"/>
            <w:hideMark/>
          </w:tcPr>
          <w:p w14:paraId="645DE167"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w:t>
            </w:r>
          </w:p>
        </w:tc>
      </w:tr>
      <w:tr w:rsidR="00931E93" w:rsidRPr="00986C6D" w14:paraId="2DFF9C32" w14:textId="77777777" w:rsidTr="00154DE3">
        <w:trPr>
          <w:trHeight w:val="233"/>
        </w:trPr>
        <w:tc>
          <w:tcPr>
            <w:tcW w:w="2520" w:type="dxa"/>
            <w:gridSpan w:val="2"/>
            <w:tcBorders>
              <w:top w:val="nil"/>
              <w:left w:val="single" w:sz="4" w:space="0" w:color="auto"/>
              <w:bottom w:val="nil"/>
              <w:right w:val="single" w:sz="4" w:space="0" w:color="000000"/>
            </w:tcBorders>
            <w:shd w:val="clear" w:color="auto" w:fill="auto"/>
            <w:noWrap/>
            <w:vAlign w:val="bottom"/>
            <w:hideMark/>
          </w:tcPr>
          <w:p w14:paraId="2541E9E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Number</w:t>
            </w:r>
          </w:p>
        </w:tc>
        <w:tc>
          <w:tcPr>
            <w:tcW w:w="1068" w:type="dxa"/>
            <w:tcBorders>
              <w:top w:val="nil"/>
              <w:left w:val="nil"/>
              <w:bottom w:val="nil"/>
              <w:right w:val="nil"/>
            </w:tcBorders>
            <w:shd w:val="clear" w:color="auto" w:fill="auto"/>
            <w:noWrap/>
            <w:vAlign w:val="bottom"/>
            <w:hideMark/>
          </w:tcPr>
          <w:p w14:paraId="6CB780E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37,235 </w:t>
            </w:r>
          </w:p>
        </w:tc>
        <w:tc>
          <w:tcPr>
            <w:tcW w:w="664" w:type="dxa"/>
            <w:tcBorders>
              <w:top w:val="nil"/>
              <w:left w:val="nil"/>
              <w:bottom w:val="nil"/>
              <w:right w:val="nil"/>
            </w:tcBorders>
            <w:shd w:val="clear" w:color="auto" w:fill="auto"/>
            <w:noWrap/>
            <w:vAlign w:val="bottom"/>
            <w:hideMark/>
          </w:tcPr>
          <w:p w14:paraId="56DA4EB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100B9F4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61,230 </w:t>
            </w:r>
          </w:p>
        </w:tc>
        <w:tc>
          <w:tcPr>
            <w:tcW w:w="664" w:type="dxa"/>
            <w:tcBorders>
              <w:top w:val="nil"/>
              <w:left w:val="nil"/>
              <w:bottom w:val="nil"/>
              <w:right w:val="nil"/>
            </w:tcBorders>
            <w:shd w:val="clear" w:color="auto" w:fill="auto"/>
            <w:noWrap/>
            <w:vAlign w:val="bottom"/>
            <w:hideMark/>
          </w:tcPr>
          <w:p w14:paraId="28EA088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3555596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80,635 </w:t>
            </w:r>
          </w:p>
        </w:tc>
        <w:tc>
          <w:tcPr>
            <w:tcW w:w="664" w:type="dxa"/>
            <w:tcBorders>
              <w:top w:val="nil"/>
              <w:left w:val="nil"/>
              <w:bottom w:val="nil"/>
              <w:right w:val="nil"/>
            </w:tcBorders>
            <w:shd w:val="clear" w:color="auto" w:fill="auto"/>
            <w:noWrap/>
            <w:vAlign w:val="bottom"/>
            <w:hideMark/>
          </w:tcPr>
          <w:p w14:paraId="265315F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5C7E66E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132,125 </w:t>
            </w:r>
          </w:p>
        </w:tc>
        <w:tc>
          <w:tcPr>
            <w:tcW w:w="664" w:type="dxa"/>
            <w:tcBorders>
              <w:top w:val="nil"/>
              <w:left w:val="nil"/>
              <w:bottom w:val="nil"/>
              <w:right w:val="nil"/>
            </w:tcBorders>
            <w:shd w:val="clear" w:color="auto" w:fill="auto"/>
            <w:noWrap/>
            <w:vAlign w:val="bottom"/>
            <w:hideMark/>
          </w:tcPr>
          <w:p w14:paraId="783E219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198" w:type="dxa"/>
            <w:tcBorders>
              <w:top w:val="nil"/>
              <w:left w:val="nil"/>
              <w:bottom w:val="nil"/>
              <w:right w:val="nil"/>
            </w:tcBorders>
            <w:shd w:val="clear" w:color="auto" w:fill="auto"/>
            <w:noWrap/>
            <w:vAlign w:val="bottom"/>
            <w:hideMark/>
          </w:tcPr>
          <w:p w14:paraId="029B021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387,060 </w:t>
            </w:r>
          </w:p>
        </w:tc>
        <w:tc>
          <w:tcPr>
            <w:tcW w:w="664" w:type="dxa"/>
            <w:tcBorders>
              <w:top w:val="nil"/>
              <w:left w:val="nil"/>
              <w:bottom w:val="nil"/>
              <w:right w:val="nil"/>
            </w:tcBorders>
            <w:shd w:val="clear" w:color="auto" w:fill="auto"/>
            <w:noWrap/>
            <w:vAlign w:val="bottom"/>
            <w:hideMark/>
          </w:tcPr>
          <w:p w14:paraId="0FAAC47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178" w:type="dxa"/>
            <w:tcBorders>
              <w:top w:val="nil"/>
              <w:left w:val="nil"/>
              <w:bottom w:val="nil"/>
              <w:right w:val="nil"/>
            </w:tcBorders>
            <w:shd w:val="clear" w:color="auto" w:fill="auto"/>
            <w:noWrap/>
            <w:vAlign w:val="bottom"/>
            <w:hideMark/>
          </w:tcPr>
          <w:p w14:paraId="253F692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878,605 </w:t>
            </w:r>
          </w:p>
        </w:tc>
        <w:tc>
          <w:tcPr>
            <w:tcW w:w="517" w:type="dxa"/>
            <w:tcBorders>
              <w:top w:val="nil"/>
              <w:left w:val="nil"/>
              <w:bottom w:val="nil"/>
              <w:right w:val="single" w:sz="4" w:space="0" w:color="auto"/>
            </w:tcBorders>
            <w:shd w:val="clear" w:color="auto" w:fill="auto"/>
            <w:noWrap/>
            <w:vAlign w:val="bottom"/>
            <w:hideMark/>
          </w:tcPr>
          <w:p w14:paraId="0CB244A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4F766B60" w14:textId="77777777" w:rsidTr="00154DE3">
        <w:trPr>
          <w:trHeight w:val="233"/>
        </w:trPr>
        <w:tc>
          <w:tcPr>
            <w:tcW w:w="2520" w:type="dxa"/>
            <w:gridSpan w:val="2"/>
            <w:tcBorders>
              <w:top w:val="nil"/>
              <w:left w:val="single" w:sz="4" w:space="0" w:color="auto"/>
              <w:bottom w:val="nil"/>
              <w:right w:val="single" w:sz="4" w:space="0" w:color="000000"/>
            </w:tcBorders>
            <w:shd w:val="clear" w:color="auto" w:fill="auto"/>
            <w:noWrap/>
            <w:vAlign w:val="bottom"/>
            <w:hideMark/>
          </w:tcPr>
          <w:p w14:paraId="4217FD7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Mean (SD) follow up, years</w:t>
            </w:r>
          </w:p>
        </w:tc>
        <w:tc>
          <w:tcPr>
            <w:tcW w:w="1068" w:type="dxa"/>
            <w:tcBorders>
              <w:top w:val="nil"/>
              <w:left w:val="nil"/>
              <w:bottom w:val="nil"/>
              <w:right w:val="nil"/>
            </w:tcBorders>
            <w:shd w:val="clear" w:color="auto" w:fill="auto"/>
            <w:noWrap/>
            <w:vAlign w:val="bottom"/>
            <w:hideMark/>
          </w:tcPr>
          <w:p w14:paraId="2D64574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7.6 (1.32)</w:t>
            </w:r>
          </w:p>
        </w:tc>
        <w:tc>
          <w:tcPr>
            <w:tcW w:w="664" w:type="dxa"/>
            <w:tcBorders>
              <w:top w:val="nil"/>
              <w:left w:val="nil"/>
              <w:bottom w:val="nil"/>
              <w:right w:val="nil"/>
            </w:tcBorders>
            <w:shd w:val="clear" w:color="auto" w:fill="auto"/>
            <w:noWrap/>
            <w:vAlign w:val="bottom"/>
            <w:hideMark/>
          </w:tcPr>
          <w:p w14:paraId="7D75722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1DA9D5F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7.5 (1.38)</w:t>
            </w:r>
          </w:p>
        </w:tc>
        <w:tc>
          <w:tcPr>
            <w:tcW w:w="664" w:type="dxa"/>
            <w:tcBorders>
              <w:top w:val="nil"/>
              <w:left w:val="nil"/>
              <w:bottom w:val="nil"/>
              <w:right w:val="nil"/>
            </w:tcBorders>
            <w:shd w:val="clear" w:color="auto" w:fill="auto"/>
            <w:noWrap/>
            <w:vAlign w:val="bottom"/>
            <w:hideMark/>
          </w:tcPr>
          <w:p w14:paraId="1782C97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0F7888F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7.4 (1.48)</w:t>
            </w:r>
          </w:p>
        </w:tc>
        <w:tc>
          <w:tcPr>
            <w:tcW w:w="664" w:type="dxa"/>
            <w:tcBorders>
              <w:top w:val="nil"/>
              <w:left w:val="nil"/>
              <w:bottom w:val="nil"/>
              <w:right w:val="nil"/>
            </w:tcBorders>
            <w:shd w:val="clear" w:color="auto" w:fill="auto"/>
            <w:noWrap/>
            <w:vAlign w:val="bottom"/>
            <w:hideMark/>
          </w:tcPr>
          <w:p w14:paraId="1E2A58C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599D5C6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6.9 (2)</w:t>
            </w:r>
          </w:p>
        </w:tc>
        <w:tc>
          <w:tcPr>
            <w:tcW w:w="664" w:type="dxa"/>
            <w:tcBorders>
              <w:top w:val="nil"/>
              <w:left w:val="nil"/>
              <w:bottom w:val="nil"/>
              <w:right w:val="nil"/>
            </w:tcBorders>
            <w:shd w:val="clear" w:color="auto" w:fill="auto"/>
            <w:noWrap/>
            <w:vAlign w:val="bottom"/>
            <w:hideMark/>
          </w:tcPr>
          <w:p w14:paraId="04EDE00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34B7A6B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 (1.9)</w:t>
            </w:r>
          </w:p>
        </w:tc>
        <w:tc>
          <w:tcPr>
            <w:tcW w:w="664" w:type="dxa"/>
            <w:tcBorders>
              <w:top w:val="nil"/>
              <w:left w:val="nil"/>
              <w:bottom w:val="nil"/>
              <w:right w:val="nil"/>
            </w:tcBorders>
            <w:shd w:val="clear" w:color="auto" w:fill="auto"/>
            <w:noWrap/>
            <w:vAlign w:val="bottom"/>
            <w:hideMark/>
          </w:tcPr>
          <w:p w14:paraId="048362D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78" w:type="dxa"/>
            <w:tcBorders>
              <w:top w:val="nil"/>
              <w:left w:val="nil"/>
              <w:bottom w:val="nil"/>
              <w:right w:val="nil"/>
            </w:tcBorders>
            <w:shd w:val="clear" w:color="auto" w:fill="auto"/>
            <w:noWrap/>
            <w:vAlign w:val="bottom"/>
            <w:hideMark/>
          </w:tcPr>
          <w:p w14:paraId="3F74B4D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7.1 (1.8)</w:t>
            </w:r>
          </w:p>
        </w:tc>
        <w:tc>
          <w:tcPr>
            <w:tcW w:w="517" w:type="dxa"/>
            <w:tcBorders>
              <w:top w:val="nil"/>
              <w:left w:val="nil"/>
              <w:bottom w:val="nil"/>
              <w:right w:val="single" w:sz="4" w:space="0" w:color="auto"/>
            </w:tcBorders>
            <w:shd w:val="clear" w:color="auto" w:fill="auto"/>
            <w:noWrap/>
            <w:vAlign w:val="bottom"/>
            <w:hideMark/>
          </w:tcPr>
          <w:p w14:paraId="7B498B6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572B314F"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0D02241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Sex</w:t>
            </w:r>
          </w:p>
        </w:tc>
        <w:tc>
          <w:tcPr>
            <w:tcW w:w="1920" w:type="dxa"/>
            <w:tcBorders>
              <w:top w:val="nil"/>
              <w:left w:val="nil"/>
              <w:bottom w:val="nil"/>
              <w:right w:val="single" w:sz="4" w:space="0" w:color="auto"/>
            </w:tcBorders>
            <w:shd w:val="clear" w:color="auto" w:fill="auto"/>
            <w:noWrap/>
            <w:vAlign w:val="bottom"/>
            <w:hideMark/>
          </w:tcPr>
          <w:p w14:paraId="262FFEAB"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068" w:type="dxa"/>
            <w:tcBorders>
              <w:top w:val="nil"/>
              <w:left w:val="nil"/>
              <w:bottom w:val="nil"/>
              <w:right w:val="nil"/>
            </w:tcBorders>
            <w:shd w:val="clear" w:color="auto" w:fill="auto"/>
            <w:noWrap/>
            <w:vAlign w:val="bottom"/>
            <w:hideMark/>
          </w:tcPr>
          <w:p w14:paraId="1A49BE5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664" w:type="dxa"/>
            <w:tcBorders>
              <w:top w:val="nil"/>
              <w:left w:val="nil"/>
              <w:bottom w:val="nil"/>
              <w:right w:val="nil"/>
            </w:tcBorders>
            <w:shd w:val="clear" w:color="auto" w:fill="auto"/>
            <w:noWrap/>
            <w:vAlign w:val="bottom"/>
            <w:hideMark/>
          </w:tcPr>
          <w:p w14:paraId="1A16D4E3"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78F1C96D"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6EC946F1"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3AB37E91"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130B53A0"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3493D78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664" w:type="dxa"/>
            <w:tcBorders>
              <w:top w:val="nil"/>
              <w:left w:val="nil"/>
              <w:right w:val="nil"/>
            </w:tcBorders>
            <w:shd w:val="clear" w:color="auto" w:fill="auto"/>
            <w:noWrap/>
            <w:vAlign w:val="bottom"/>
            <w:hideMark/>
          </w:tcPr>
          <w:p w14:paraId="26C0049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right w:val="nil"/>
            </w:tcBorders>
            <w:shd w:val="clear" w:color="auto" w:fill="auto"/>
            <w:noWrap/>
            <w:vAlign w:val="bottom"/>
            <w:hideMark/>
          </w:tcPr>
          <w:p w14:paraId="2F7C4D86"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right w:val="nil"/>
            </w:tcBorders>
            <w:shd w:val="clear" w:color="auto" w:fill="auto"/>
            <w:noWrap/>
            <w:vAlign w:val="bottom"/>
            <w:hideMark/>
          </w:tcPr>
          <w:p w14:paraId="4EB6EA84"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178" w:type="dxa"/>
            <w:tcBorders>
              <w:top w:val="nil"/>
              <w:left w:val="nil"/>
              <w:right w:val="nil"/>
            </w:tcBorders>
            <w:shd w:val="clear" w:color="auto" w:fill="auto"/>
            <w:noWrap/>
            <w:vAlign w:val="bottom"/>
            <w:hideMark/>
          </w:tcPr>
          <w:p w14:paraId="5A4FA5D0"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517" w:type="dxa"/>
            <w:tcBorders>
              <w:top w:val="nil"/>
              <w:left w:val="nil"/>
              <w:bottom w:val="nil"/>
              <w:right w:val="single" w:sz="4" w:space="0" w:color="auto"/>
            </w:tcBorders>
            <w:shd w:val="clear" w:color="auto" w:fill="auto"/>
            <w:noWrap/>
            <w:vAlign w:val="bottom"/>
            <w:hideMark/>
          </w:tcPr>
          <w:p w14:paraId="3C9910E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1CF84A50"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2F0F7C0B"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00166B6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Female</w:t>
            </w:r>
          </w:p>
        </w:tc>
        <w:tc>
          <w:tcPr>
            <w:tcW w:w="1068" w:type="dxa"/>
            <w:tcBorders>
              <w:top w:val="nil"/>
              <w:left w:val="nil"/>
              <w:bottom w:val="nil"/>
              <w:right w:val="nil"/>
            </w:tcBorders>
            <w:shd w:val="clear" w:color="auto" w:fill="auto"/>
            <w:noWrap/>
            <w:vAlign w:val="bottom"/>
            <w:hideMark/>
          </w:tcPr>
          <w:p w14:paraId="7722BA6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16,105 </w:t>
            </w:r>
          </w:p>
        </w:tc>
        <w:tc>
          <w:tcPr>
            <w:tcW w:w="664" w:type="dxa"/>
            <w:tcBorders>
              <w:top w:val="nil"/>
              <w:left w:val="nil"/>
              <w:bottom w:val="nil"/>
              <w:right w:val="nil"/>
            </w:tcBorders>
            <w:shd w:val="clear" w:color="auto" w:fill="auto"/>
            <w:noWrap/>
            <w:vAlign w:val="bottom"/>
            <w:hideMark/>
          </w:tcPr>
          <w:p w14:paraId="0A563B3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43.2%</w:t>
            </w:r>
          </w:p>
        </w:tc>
        <w:tc>
          <w:tcPr>
            <w:tcW w:w="1068" w:type="dxa"/>
            <w:tcBorders>
              <w:top w:val="nil"/>
              <w:left w:val="nil"/>
              <w:bottom w:val="nil"/>
              <w:right w:val="nil"/>
            </w:tcBorders>
            <w:shd w:val="clear" w:color="auto" w:fill="auto"/>
            <w:noWrap/>
            <w:vAlign w:val="bottom"/>
            <w:hideMark/>
          </w:tcPr>
          <w:p w14:paraId="292B8CC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27,610 </w:t>
            </w:r>
          </w:p>
        </w:tc>
        <w:tc>
          <w:tcPr>
            <w:tcW w:w="664" w:type="dxa"/>
            <w:tcBorders>
              <w:top w:val="nil"/>
              <w:left w:val="nil"/>
              <w:bottom w:val="nil"/>
              <w:right w:val="nil"/>
            </w:tcBorders>
            <w:shd w:val="clear" w:color="auto" w:fill="auto"/>
            <w:noWrap/>
            <w:vAlign w:val="bottom"/>
            <w:hideMark/>
          </w:tcPr>
          <w:p w14:paraId="06C433D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45.1%</w:t>
            </w:r>
          </w:p>
        </w:tc>
        <w:tc>
          <w:tcPr>
            <w:tcW w:w="1068" w:type="dxa"/>
            <w:tcBorders>
              <w:top w:val="nil"/>
              <w:left w:val="nil"/>
              <w:bottom w:val="nil"/>
              <w:right w:val="nil"/>
            </w:tcBorders>
            <w:shd w:val="clear" w:color="auto" w:fill="auto"/>
            <w:noWrap/>
            <w:vAlign w:val="bottom"/>
            <w:hideMark/>
          </w:tcPr>
          <w:p w14:paraId="3005838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34,555 </w:t>
            </w:r>
          </w:p>
        </w:tc>
        <w:tc>
          <w:tcPr>
            <w:tcW w:w="664" w:type="dxa"/>
            <w:tcBorders>
              <w:top w:val="nil"/>
              <w:left w:val="nil"/>
              <w:bottom w:val="nil"/>
              <w:right w:val="nil"/>
            </w:tcBorders>
            <w:shd w:val="clear" w:color="auto" w:fill="auto"/>
            <w:noWrap/>
            <w:vAlign w:val="bottom"/>
            <w:hideMark/>
          </w:tcPr>
          <w:p w14:paraId="5E93329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42.9%</w:t>
            </w:r>
          </w:p>
        </w:tc>
        <w:tc>
          <w:tcPr>
            <w:tcW w:w="1049" w:type="dxa"/>
            <w:tcBorders>
              <w:top w:val="nil"/>
              <w:left w:val="single" w:sz="4" w:space="0" w:color="auto"/>
              <w:bottom w:val="nil"/>
              <w:right w:val="nil"/>
            </w:tcBorders>
            <w:shd w:val="clear" w:color="auto" w:fill="auto"/>
            <w:noWrap/>
            <w:vAlign w:val="bottom"/>
            <w:hideMark/>
          </w:tcPr>
          <w:p w14:paraId="5008002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60,700 </w:t>
            </w:r>
          </w:p>
        </w:tc>
        <w:tc>
          <w:tcPr>
            <w:tcW w:w="664" w:type="dxa"/>
            <w:tcBorders>
              <w:top w:val="nil"/>
              <w:left w:val="nil"/>
              <w:bottom w:val="nil"/>
            </w:tcBorders>
            <w:shd w:val="clear" w:color="auto" w:fill="auto"/>
            <w:noWrap/>
            <w:vAlign w:val="bottom"/>
            <w:hideMark/>
          </w:tcPr>
          <w:p w14:paraId="5DFAAE5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45.9%</w:t>
            </w:r>
          </w:p>
        </w:tc>
        <w:tc>
          <w:tcPr>
            <w:tcW w:w="1198" w:type="dxa"/>
            <w:tcBorders>
              <w:top w:val="nil"/>
              <w:bottom w:val="nil"/>
            </w:tcBorders>
            <w:shd w:val="clear" w:color="auto" w:fill="auto"/>
            <w:noWrap/>
            <w:vAlign w:val="bottom"/>
            <w:hideMark/>
          </w:tcPr>
          <w:p w14:paraId="74FEEEB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181,170 </w:t>
            </w:r>
          </w:p>
        </w:tc>
        <w:tc>
          <w:tcPr>
            <w:tcW w:w="664" w:type="dxa"/>
            <w:tcBorders>
              <w:top w:val="nil"/>
              <w:bottom w:val="nil"/>
            </w:tcBorders>
            <w:shd w:val="clear" w:color="auto" w:fill="auto"/>
            <w:noWrap/>
            <w:vAlign w:val="bottom"/>
            <w:hideMark/>
          </w:tcPr>
          <w:p w14:paraId="731985C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46.8%</w:t>
            </w:r>
          </w:p>
        </w:tc>
        <w:tc>
          <w:tcPr>
            <w:tcW w:w="1178" w:type="dxa"/>
            <w:tcBorders>
              <w:top w:val="nil"/>
              <w:bottom w:val="nil"/>
              <w:right w:val="nil"/>
            </w:tcBorders>
            <w:shd w:val="clear" w:color="auto" w:fill="auto"/>
            <w:noWrap/>
            <w:vAlign w:val="bottom"/>
            <w:hideMark/>
          </w:tcPr>
          <w:p w14:paraId="352EEBB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384,930 </w:t>
            </w:r>
          </w:p>
        </w:tc>
        <w:tc>
          <w:tcPr>
            <w:tcW w:w="517" w:type="dxa"/>
            <w:tcBorders>
              <w:top w:val="nil"/>
              <w:left w:val="nil"/>
              <w:bottom w:val="nil"/>
              <w:right w:val="single" w:sz="4" w:space="0" w:color="auto"/>
            </w:tcBorders>
            <w:shd w:val="clear" w:color="auto" w:fill="auto"/>
            <w:noWrap/>
            <w:vAlign w:val="bottom"/>
            <w:hideMark/>
          </w:tcPr>
          <w:p w14:paraId="6415375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43.8%</w:t>
            </w:r>
          </w:p>
        </w:tc>
      </w:tr>
      <w:tr w:rsidR="00931E93" w:rsidRPr="00986C6D" w14:paraId="59929C8F"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7C47ACC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64BB9C8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Male</w:t>
            </w:r>
          </w:p>
        </w:tc>
        <w:tc>
          <w:tcPr>
            <w:tcW w:w="1068" w:type="dxa"/>
            <w:tcBorders>
              <w:top w:val="nil"/>
              <w:left w:val="nil"/>
              <w:bottom w:val="nil"/>
              <w:right w:val="nil"/>
            </w:tcBorders>
            <w:shd w:val="clear" w:color="auto" w:fill="auto"/>
            <w:noWrap/>
            <w:vAlign w:val="bottom"/>
            <w:hideMark/>
          </w:tcPr>
          <w:p w14:paraId="0C7142F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21,130 </w:t>
            </w:r>
          </w:p>
        </w:tc>
        <w:tc>
          <w:tcPr>
            <w:tcW w:w="664" w:type="dxa"/>
            <w:tcBorders>
              <w:top w:val="nil"/>
              <w:left w:val="nil"/>
              <w:bottom w:val="nil"/>
              <w:right w:val="nil"/>
            </w:tcBorders>
            <w:shd w:val="clear" w:color="auto" w:fill="auto"/>
            <w:noWrap/>
            <w:vAlign w:val="bottom"/>
            <w:hideMark/>
          </w:tcPr>
          <w:p w14:paraId="70228F4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56.8%</w:t>
            </w:r>
          </w:p>
        </w:tc>
        <w:tc>
          <w:tcPr>
            <w:tcW w:w="1068" w:type="dxa"/>
            <w:tcBorders>
              <w:top w:val="nil"/>
              <w:left w:val="nil"/>
              <w:bottom w:val="nil"/>
              <w:right w:val="nil"/>
            </w:tcBorders>
            <w:shd w:val="clear" w:color="auto" w:fill="auto"/>
            <w:noWrap/>
            <w:vAlign w:val="bottom"/>
            <w:hideMark/>
          </w:tcPr>
          <w:p w14:paraId="78DEEA8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33,620 </w:t>
            </w:r>
          </w:p>
        </w:tc>
        <w:tc>
          <w:tcPr>
            <w:tcW w:w="664" w:type="dxa"/>
            <w:tcBorders>
              <w:top w:val="nil"/>
              <w:left w:val="nil"/>
              <w:bottom w:val="nil"/>
              <w:right w:val="nil"/>
            </w:tcBorders>
            <w:shd w:val="clear" w:color="auto" w:fill="auto"/>
            <w:noWrap/>
            <w:vAlign w:val="bottom"/>
            <w:hideMark/>
          </w:tcPr>
          <w:p w14:paraId="1AD7701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54.9%</w:t>
            </w:r>
          </w:p>
        </w:tc>
        <w:tc>
          <w:tcPr>
            <w:tcW w:w="1068" w:type="dxa"/>
            <w:tcBorders>
              <w:top w:val="nil"/>
              <w:left w:val="nil"/>
              <w:bottom w:val="nil"/>
              <w:right w:val="nil"/>
            </w:tcBorders>
            <w:shd w:val="clear" w:color="auto" w:fill="auto"/>
            <w:noWrap/>
            <w:vAlign w:val="bottom"/>
            <w:hideMark/>
          </w:tcPr>
          <w:p w14:paraId="55F40DB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46,080 </w:t>
            </w:r>
          </w:p>
        </w:tc>
        <w:tc>
          <w:tcPr>
            <w:tcW w:w="664" w:type="dxa"/>
            <w:tcBorders>
              <w:top w:val="nil"/>
              <w:left w:val="nil"/>
              <w:bottom w:val="nil"/>
              <w:right w:val="nil"/>
            </w:tcBorders>
            <w:shd w:val="clear" w:color="auto" w:fill="auto"/>
            <w:noWrap/>
            <w:vAlign w:val="bottom"/>
            <w:hideMark/>
          </w:tcPr>
          <w:p w14:paraId="0EBF7D9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57.1%</w:t>
            </w:r>
          </w:p>
        </w:tc>
        <w:tc>
          <w:tcPr>
            <w:tcW w:w="1049" w:type="dxa"/>
            <w:tcBorders>
              <w:top w:val="nil"/>
              <w:left w:val="single" w:sz="4" w:space="0" w:color="auto"/>
              <w:bottom w:val="nil"/>
              <w:right w:val="nil"/>
            </w:tcBorders>
            <w:shd w:val="clear" w:color="auto" w:fill="auto"/>
            <w:noWrap/>
            <w:vAlign w:val="bottom"/>
            <w:hideMark/>
          </w:tcPr>
          <w:p w14:paraId="6341448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71,425</w:t>
            </w:r>
          </w:p>
        </w:tc>
        <w:tc>
          <w:tcPr>
            <w:tcW w:w="664" w:type="dxa"/>
            <w:tcBorders>
              <w:top w:val="nil"/>
              <w:left w:val="nil"/>
              <w:bottom w:val="nil"/>
            </w:tcBorders>
            <w:shd w:val="clear" w:color="auto" w:fill="auto"/>
            <w:noWrap/>
            <w:vAlign w:val="bottom"/>
            <w:hideMark/>
          </w:tcPr>
          <w:p w14:paraId="59EF880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54.1%</w:t>
            </w:r>
          </w:p>
        </w:tc>
        <w:tc>
          <w:tcPr>
            <w:tcW w:w="1198" w:type="dxa"/>
            <w:tcBorders>
              <w:top w:val="nil"/>
              <w:bottom w:val="nil"/>
            </w:tcBorders>
            <w:shd w:val="clear" w:color="auto" w:fill="auto"/>
            <w:noWrap/>
            <w:vAlign w:val="bottom"/>
            <w:hideMark/>
          </w:tcPr>
          <w:p w14:paraId="55422DD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205,890 </w:t>
            </w:r>
          </w:p>
        </w:tc>
        <w:tc>
          <w:tcPr>
            <w:tcW w:w="664" w:type="dxa"/>
            <w:tcBorders>
              <w:top w:val="nil"/>
              <w:bottom w:val="nil"/>
            </w:tcBorders>
            <w:shd w:val="clear" w:color="auto" w:fill="auto"/>
            <w:noWrap/>
            <w:vAlign w:val="bottom"/>
            <w:hideMark/>
          </w:tcPr>
          <w:p w14:paraId="66E64F6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53.2%</w:t>
            </w:r>
          </w:p>
        </w:tc>
        <w:tc>
          <w:tcPr>
            <w:tcW w:w="1178" w:type="dxa"/>
            <w:tcBorders>
              <w:top w:val="nil"/>
              <w:bottom w:val="nil"/>
              <w:right w:val="nil"/>
            </w:tcBorders>
            <w:shd w:val="clear" w:color="auto" w:fill="auto"/>
            <w:noWrap/>
            <w:vAlign w:val="bottom"/>
            <w:hideMark/>
          </w:tcPr>
          <w:p w14:paraId="2C80ED4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493,675 </w:t>
            </w:r>
          </w:p>
        </w:tc>
        <w:tc>
          <w:tcPr>
            <w:tcW w:w="517" w:type="dxa"/>
            <w:tcBorders>
              <w:top w:val="nil"/>
              <w:left w:val="nil"/>
              <w:bottom w:val="nil"/>
              <w:right w:val="single" w:sz="4" w:space="0" w:color="auto"/>
            </w:tcBorders>
            <w:shd w:val="clear" w:color="auto" w:fill="auto"/>
            <w:noWrap/>
            <w:vAlign w:val="bottom"/>
            <w:hideMark/>
          </w:tcPr>
          <w:p w14:paraId="691B5B8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56.2%</w:t>
            </w:r>
          </w:p>
        </w:tc>
      </w:tr>
      <w:tr w:rsidR="00931E93" w:rsidRPr="00986C6D" w14:paraId="0CE06DE1"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688D105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Age</w:t>
            </w:r>
          </w:p>
        </w:tc>
        <w:tc>
          <w:tcPr>
            <w:tcW w:w="1920" w:type="dxa"/>
            <w:tcBorders>
              <w:top w:val="nil"/>
              <w:left w:val="nil"/>
              <w:bottom w:val="nil"/>
              <w:right w:val="single" w:sz="4" w:space="0" w:color="auto"/>
            </w:tcBorders>
            <w:shd w:val="clear" w:color="auto" w:fill="auto"/>
            <w:noWrap/>
            <w:vAlign w:val="bottom"/>
            <w:hideMark/>
          </w:tcPr>
          <w:p w14:paraId="06B88CC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068" w:type="dxa"/>
            <w:tcBorders>
              <w:top w:val="nil"/>
              <w:left w:val="nil"/>
              <w:bottom w:val="nil"/>
              <w:right w:val="nil"/>
            </w:tcBorders>
            <w:shd w:val="clear" w:color="auto" w:fill="auto"/>
            <w:noWrap/>
            <w:vAlign w:val="bottom"/>
            <w:hideMark/>
          </w:tcPr>
          <w:p w14:paraId="70FDB0D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664" w:type="dxa"/>
            <w:tcBorders>
              <w:top w:val="nil"/>
              <w:left w:val="nil"/>
              <w:bottom w:val="nil"/>
              <w:right w:val="nil"/>
            </w:tcBorders>
            <w:shd w:val="clear" w:color="auto" w:fill="auto"/>
            <w:noWrap/>
            <w:vAlign w:val="bottom"/>
            <w:hideMark/>
          </w:tcPr>
          <w:p w14:paraId="4F752BCD"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5D1E2446"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6862723C"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23C55BB7"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655C2EE1"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1C7F5EC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664" w:type="dxa"/>
            <w:tcBorders>
              <w:top w:val="nil"/>
              <w:left w:val="nil"/>
              <w:bottom w:val="nil"/>
              <w:right w:val="nil"/>
            </w:tcBorders>
            <w:shd w:val="clear" w:color="auto" w:fill="auto"/>
            <w:noWrap/>
            <w:vAlign w:val="bottom"/>
            <w:hideMark/>
          </w:tcPr>
          <w:p w14:paraId="5D64E25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024C3E30"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41FA6059"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178" w:type="dxa"/>
            <w:tcBorders>
              <w:top w:val="nil"/>
              <w:left w:val="nil"/>
              <w:bottom w:val="nil"/>
              <w:right w:val="nil"/>
            </w:tcBorders>
            <w:shd w:val="clear" w:color="auto" w:fill="auto"/>
            <w:noWrap/>
            <w:vAlign w:val="bottom"/>
            <w:hideMark/>
          </w:tcPr>
          <w:p w14:paraId="3D4F16EB"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517" w:type="dxa"/>
            <w:tcBorders>
              <w:top w:val="nil"/>
              <w:left w:val="nil"/>
              <w:bottom w:val="nil"/>
              <w:right w:val="single" w:sz="4" w:space="0" w:color="auto"/>
            </w:tcBorders>
            <w:shd w:val="clear" w:color="auto" w:fill="auto"/>
            <w:noWrap/>
            <w:vAlign w:val="bottom"/>
            <w:hideMark/>
          </w:tcPr>
          <w:p w14:paraId="1E2F050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482D7E9D"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18E41B2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01F21C1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&lt;40 years</w:t>
            </w:r>
          </w:p>
        </w:tc>
        <w:tc>
          <w:tcPr>
            <w:tcW w:w="1068" w:type="dxa"/>
            <w:tcBorders>
              <w:top w:val="nil"/>
              <w:left w:val="nil"/>
              <w:bottom w:val="nil"/>
              <w:right w:val="nil"/>
            </w:tcBorders>
            <w:shd w:val="clear" w:color="auto" w:fill="auto"/>
            <w:noWrap/>
            <w:vAlign w:val="bottom"/>
            <w:hideMark/>
          </w:tcPr>
          <w:p w14:paraId="402C099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19,710 </w:t>
            </w:r>
          </w:p>
        </w:tc>
        <w:tc>
          <w:tcPr>
            <w:tcW w:w="664" w:type="dxa"/>
            <w:tcBorders>
              <w:top w:val="nil"/>
              <w:left w:val="nil"/>
              <w:bottom w:val="nil"/>
              <w:right w:val="nil"/>
            </w:tcBorders>
            <w:shd w:val="clear" w:color="auto" w:fill="auto"/>
            <w:noWrap/>
            <w:vAlign w:val="bottom"/>
            <w:hideMark/>
          </w:tcPr>
          <w:p w14:paraId="747926B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52.9%</w:t>
            </w:r>
          </w:p>
        </w:tc>
        <w:tc>
          <w:tcPr>
            <w:tcW w:w="1068" w:type="dxa"/>
            <w:tcBorders>
              <w:top w:val="nil"/>
              <w:left w:val="nil"/>
              <w:bottom w:val="nil"/>
              <w:right w:val="nil"/>
            </w:tcBorders>
            <w:shd w:val="clear" w:color="auto" w:fill="auto"/>
            <w:noWrap/>
            <w:vAlign w:val="bottom"/>
            <w:hideMark/>
          </w:tcPr>
          <w:p w14:paraId="66CF668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22,750 </w:t>
            </w:r>
          </w:p>
        </w:tc>
        <w:tc>
          <w:tcPr>
            <w:tcW w:w="664" w:type="dxa"/>
            <w:tcBorders>
              <w:top w:val="nil"/>
              <w:left w:val="nil"/>
              <w:bottom w:val="nil"/>
              <w:right w:val="nil"/>
            </w:tcBorders>
            <w:shd w:val="clear" w:color="auto" w:fill="auto"/>
            <w:noWrap/>
            <w:vAlign w:val="bottom"/>
            <w:hideMark/>
          </w:tcPr>
          <w:p w14:paraId="3D9CB19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37.2%</w:t>
            </w:r>
          </w:p>
        </w:tc>
        <w:tc>
          <w:tcPr>
            <w:tcW w:w="1068" w:type="dxa"/>
            <w:tcBorders>
              <w:top w:val="nil"/>
              <w:left w:val="nil"/>
              <w:bottom w:val="nil"/>
              <w:right w:val="nil"/>
            </w:tcBorders>
            <w:shd w:val="clear" w:color="auto" w:fill="auto"/>
            <w:noWrap/>
            <w:vAlign w:val="bottom"/>
            <w:hideMark/>
          </w:tcPr>
          <w:p w14:paraId="3F55CD5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21,595 </w:t>
            </w:r>
          </w:p>
        </w:tc>
        <w:tc>
          <w:tcPr>
            <w:tcW w:w="664" w:type="dxa"/>
            <w:tcBorders>
              <w:top w:val="nil"/>
              <w:left w:val="nil"/>
              <w:bottom w:val="nil"/>
              <w:right w:val="nil"/>
            </w:tcBorders>
            <w:shd w:val="clear" w:color="auto" w:fill="auto"/>
            <w:noWrap/>
            <w:vAlign w:val="bottom"/>
            <w:hideMark/>
          </w:tcPr>
          <w:p w14:paraId="59B25FA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26.8%</w:t>
            </w:r>
          </w:p>
        </w:tc>
        <w:tc>
          <w:tcPr>
            <w:tcW w:w="1049" w:type="dxa"/>
            <w:tcBorders>
              <w:top w:val="nil"/>
              <w:left w:val="single" w:sz="4" w:space="0" w:color="auto"/>
              <w:bottom w:val="nil"/>
              <w:right w:val="nil"/>
            </w:tcBorders>
            <w:shd w:val="clear" w:color="auto" w:fill="auto"/>
            <w:noWrap/>
            <w:vAlign w:val="bottom"/>
            <w:hideMark/>
          </w:tcPr>
          <w:p w14:paraId="2B0BC76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10,655 </w:t>
            </w:r>
          </w:p>
        </w:tc>
        <w:tc>
          <w:tcPr>
            <w:tcW w:w="664" w:type="dxa"/>
            <w:tcBorders>
              <w:top w:val="nil"/>
              <w:left w:val="nil"/>
              <w:bottom w:val="nil"/>
            </w:tcBorders>
            <w:shd w:val="clear" w:color="auto" w:fill="auto"/>
            <w:noWrap/>
            <w:vAlign w:val="bottom"/>
            <w:hideMark/>
          </w:tcPr>
          <w:p w14:paraId="7DEEB14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8.1%</w:t>
            </w:r>
          </w:p>
        </w:tc>
        <w:tc>
          <w:tcPr>
            <w:tcW w:w="1198" w:type="dxa"/>
            <w:tcBorders>
              <w:top w:val="nil"/>
              <w:bottom w:val="nil"/>
            </w:tcBorders>
            <w:shd w:val="clear" w:color="auto" w:fill="auto"/>
            <w:noWrap/>
            <w:vAlign w:val="bottom"/>
            <w:hideMark/>
          </w:tcPr>
          <w:p w14:paraId="49140DB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15,695 </w:t>
            </w:r>
          </w:p>
        </w:tc>
        <w:tc>
          <w:tcPr>
            <w:tcW w:w="664" w:type="dxa"/>
            <w:tcBorders>
              <w:top w:val="nil"/>
              <w:bottom w:val="nil"/>
            </w:tcBorders>
            <w:shd w:val="clear" w:color="auto" w:fill="auto"/>
            <w:noWrap/>
            <w:vAlign w:val="bottom"/>
            <w:hideMark/>
          </w:tcPr>
          <w:p w14:paraId="215E26E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4.1%</w:t>
            </w:r>
          </w:p>
        </w:tc>
        <w:tc>
          <w:tcPr>
            <w:tcW w:w="1178" w:type="dxa"/>
            <w:tcBorders>
              <w:top w:val="nil"/>
              <w:bottom w:val="nil"/>
              <w:right w:val="nil"/>
            </w:tcBorders>
            <w:shd w:val="clear" w:color="auto" w:fill="auto"/>
            <w:noWrap/>
            <w:vAlign w:val="bottom"/>
            <w:hideMark/>
          </w:tcPr>
          <w:p w14:paraId="340833F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22,685 </w:t>
            </w:r>
          </w:p>
        </w:tc>
        <w:tc>
          <w:tcPr>
            <w:tcW w:w="517" w:type="dxa"/>
            <w:tcBorders>
              <w:top w:val="nil"/>
              <w:left w:val="nil"/>
              <w:bottom w:val="nil"/>
              <w:right w:val="single" w:sz="4" w:space="0" w:color="auto"/>
            </w:tcBorders>
            <w:shd w:val="clear" w:color="auto" w:fill="auto"/>
            <w:noWrap/>
            <w:vAlign w:val="bottom"/>
            <w:hideMark/>
          </w:tcPr>
          <w:p w14:paraId="39BDFA0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2.6%</w:t>
            </w:r>
          </w:p>
        </w:tc>
      </w:tr>
      <w:tr w:rsidR="00931E93" w:rsidRPr="00986C6D" w14:paraId="682236C7"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145F1CF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1FE7C21F"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40-49 years</w:t>
            </w:r>
          </w:p>
        </w:tc>
        <w:tc>
          <w:tcPr>
            <w:tcW w:w="1068" w:type="dxa"/>
            <w:tcBorders>
              <w:top w:val="nil"/>
              <w:left w:val="nil"/>
              <w:bottom w:val="nil"/>
              <w:right w:val="nil"/>
            </w:tcBorders>
            <w:shd w:val="clear" w:color="auto" w:fill="auto"/>
            <w:noWrap/>
            <w:vAlign w:val="bottom"/>
            <w:hideMark/>
          </w:tcPr>
          <w:p w14:paraId="190ED92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8,050 </w:t>
            </w:r>
          </w:p>
        </w:tc>
        <w:tc>
          <w:tcPr>
            <w:tcW w:w="664" w:type="dxa"/>
            <w:tcBorders>
              <w:top w:val="nil"/>
              <w:left w:val="nil"/>
              <w:bottom w:val="nil"/>
              <w:right w:val="nil"/>
            </w:tcBorders>
            <w:shd w:val="clear" w:color="auto" w:fill="auto"/>
            <w:noWrap/>
            <w:vAlign w:val="bottom"/>
            <w:hideMark/>
          </w:tcPr>
          <w:p w14:paraId="69AEA33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21.6%</w:t>
            </w:r>
          </w:p>
        </w:tc>
        <w:tc>
          <w:tcPr>
            <w:tcW w:w="1068" w:type="dxa"/>
            <w:tcBorders>
              <w:top w:val="nil"/>
              <w:left w:val="nil"/>
              <w:bottom w:val="nil"/>
              <w:right w:val="nil"/>
            </w:tcBorders>
            <w:shd w:val="clear" w:color="auto" w:fill="auto"/>
            <w:noWrap/>
            <w:vAlign w:val="bottom"/>
            <w:hideMark/>
          </w:tcPr>
          <w:p w14:paraId="6BB81ED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14,465 </w:t>
            </w:r>
          </w:p>
        </w:tc>
        <w:tc>
          <w:tcPr>
            <w:tcW w:w="664" w:type="dxa"/>
            <w:tcBorders>
              <w:top w:val="nil"/>
              <w:left w:val="nil"/>
              <w:bottom w:val="nil"/>
              <w:right w:val="nil"/>
            </w:tcBorders>
            <w:shd w:val="clear" w:color="auto" w:fill="auto"/>
            <w:noWrap/>
            <w:vAlign w:val="bottom"/>
            <w:hideMark/>
          </w:tcPr>
          <w:p w14:paraId="1184F2B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23.6%</w:t>
            </w:r>
          </w:p>
        </w:tc>
        <w:tc>
          <w:tcPr>
            <w:tcW w:w="1068" w:type="dxa"/>
            <w:tcBorders>
              <w:top w:val="nil"/>
              <w:left w:val="nil"/>
              <w:bottom w:val="nil"/>
              <w:right w:val="nil"/>
            </w:tcBorders>
            <w:shd w:val="clear" w:color="auto" w:fill="auto"/>
            <w:noWrap/>
            <w:vAlign w:val="bottom"/>
            <w:hideMark/>
          </w:tcPr>
          <w:p w14:paraId="3460BFE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17,300 </w:t>
            </w:r>
          </w:p>
        </w:tc>
        <w:tc>
          <w:tcPr>
            <w:tcW w:w="664" w:type="dxa"/>
            <w:tcBorders>
              <w:top w:val="nil"/>
              <w:left w:val="nil"/>
              <w:bottom w:val="nil"/>
              <w:right w:val="nil"/>
            </w:tcBorders>
            <w:shd w:val="clear" w:color="auto" w:fill="auto"/>
            <w:noWrap/>
            <w:vAlign w:val="bottom"/>
            <w:hideMark/>
          </w:tcPr>
          <w:p w14:paraId="7EAE13A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21.5%</w:t>
            </w:r>
          </w:p>
        </w:tc>
        <w:tc>
          <w:tcPr>
            <w:tcW w:w="1049" w:type="dxa"/>
            <w:tcBorders>
              <w:top w:val="nil"/>
              <w:left w:val="single" w:sz="4" w:space="0" w:color="auto"/>
              <w:bottom w:val="nil"/>
              <w:right w:val="nil"/>
            </w:tcBorders>
            <w:shd w:val="clear" w:color="auto" w:fill="auto"/>
            <w:noWrap/>
            <w:vAlign w:val="bottom"/>
            <w:hideMark/>
          </w:tcPr>
          <w:p w14:paraId="77358DC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21,915 </w:t>
            </w:r>
          </w:p>
        </w:tc>
        <w:tc>
          <w:tcPr>
            <w:tcW w:w="664" w:type="dxa"/>
            <w:tcBorders>
              <w:top w:val="nil"/>
              <w:left w:val="nil"/>
              <w:bottom w:val="nil"/>
            </w:tcBorders>
            <w:shd w:val="clear" w:color="auto" w:fill="auto"/>
            <w:noWrap/>
            <w:vAlign w:val="bottom"/>
            <w:hideMark/>
          </w:tcPr>
          <w:p w14:paraId="5C8C81C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16.6%</w:t>
            </w:r>
          </w:p>
        </w:tc>
        <w:tc>
          <w:tcPr>
            <w:tcW w:w="1198" w:type="dxa"/>
            <w:tcBorders>
              <w:top w:val="nil"/>
              <w:bottom w:val="nil"/>
            </w:tcBorders>
            <w:shd w:val="clear" w:color="auto" w:fill="auto"/>
            <w:noWrap/>
            <w:vAlign w:val="bottom"/>
            <w:hideMark/>
          </w:tcPr>
          <w:p w14:paraId="155B869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46,300 </w:t>
            </w:r>
          </w:p>
        </w:tc>
        <w:tc>
          <w:tcPr>
            <w:tcW w:w="664" w:type="dxa"/>
            <w:tcBorders>
              <w:top w:val="nil"/>
              <w:bottom w:val="nil"/>
            </w:tcBorders>
            <w:shd w:val="clear" w:color="auto" w:fill="auto"/>
            <w:noWrap/>
            <w:vAlign w:val="bottom"/>
            <w:hideMark/>
          </w:tcPr>
          <w:p w14:paraId="7346F36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12.0%</w:t>
            </w:r>
          </w:p>
        </w:tc>
        <w:tc>
          <w:tcPr>
            <w:tcW w:w="1178" w:type="dxa"/>
            <w:tcBorders>
              <w:top w:val="nil"/>
              <w:bottom w:val="nil"/>
              <w:right w:val="nil"/>
            </w:tcBorders>
            <w:shd w:val="clear" w:color="auto" w:fill="auto"/>
            <w:noWrap/>
            <w:vAlign w:val="bottom"/>
            <w:hideMark/>
          </w:tcPr>
          <w:p w14:paraId="03F5424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81,125 </w:t>
            </w:r>
          </w:p>
        </w:tc>
        <w:tc>
          <w:tcPr>
            <w:tcW w:w="517" w:type="dxa"/>
            <w:tcBorders>
              <w:top w:val="nil"/>
              <w:left w:val="nil"/>
              <w:bottom w:val="nil"/>
              <w:right w:val="single" w:sz="4" w:space="0" w:color="auto"/>
            </w:tcBorders>
            <w:shd w:val="clear" w:color="auto" w:fill="auto"/>
            <w:noWrap/>
            <w:vAlign w:val="bottom"/>
            <w:hideMark/>
          </w:tcPr>
          <w:p w14:paraId="72FCD27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9.2%</w:t>
            </w:r>
          </w:p>
        </w:tc>
      </w:tr>
      <w:tr w:rsidR="00931E93" w:rsidRPr="00986C6D" w14:paraId="56CFF0C5"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039C68B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2269974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50-59 years</w:t>
            </w:r>
          </w:p>
        </w:tc>
        <w:tc>
          <w:tcPr>
            <w:tcW w:w="1068" w:type="dxa"/>
            <w:tcBorders>
              <w:top w:val="nil"/>
              <w:left w:val="nil"/>
              <w:bottom w:val="nil"/>
              <w:right w:val="nil"/>
            </w:tcBorders>
            <w:shd w:val="clear" w:color="auto" w:fill="auto"/>
            <w:noWrap/>
            <w:vAlign w:val="bottom"/>
            <w:hideMark/>
          </w:tcPr>
          <w:p w14:paraId="47DC9EF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4,675 </w:t>
            </w:r>
          </w:p>
        </w:tc>
        <w:tc>
          <w:tcPr>
            <w:tcW w:w="664" w:type="dxa"/>
            <w:tcBorders>
              <w:top w:val="nil"/>
              <w:left w:val="nil"/>
              <w:bottom w:val="nil"/>
              <w:right w:val="nil"/>
            </w:tcBorders>
            <w:shd w:val="clear" w:color="auto" w:fill="auto"/>
            <w:noWrap/>
            <w:vAlign w:val="bottom"/>
            <w:hideMark/>
          </w:tcPr>
          <w:p w14:paraId="75CB10F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12.6%</w:t>
            </w:r>
          </w:p>
        </w:tc>
        <w:tc>
          <w:tcPr>
            <w:tcW w:w="1068" w:type="dxa"/>
            <w:tcBorders>
              <w:top w:val="nil"/>
              <w:left w:val="nil"/>
              <w:bottom w:val="nil"/>
              <w:right w:val="nil"/>
            </w:tcBorders>
            <w:shd w:val="clear" w:color="auto" w:fill="auto"/>
            <w:noWrap/>
            <w:vAlign w:val="bottom"/>
            <w:hideMark/>
          </w:tcPr>
          <w:p w14:paraId="0A57C10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10,840 </w:t>
            </w:r>
          </w:p>
        </w:tc>
        <w:tc>
          <w:tcPr>
            <w:tcW w:w="664" w:type="dxa"/>
            <w:tcBorders>
              <w:top w:val="nil"/>
              <w:left w:val="nil"/>
              <w:bottom w:val="nil"/>
              <w:right w:val="nil"/>
            </w:tcBorders>
            <w:shd w:val="clear" w:color="auto" w:fill="auto"/>
            <w:noWrap/>
            <w:vAlign w:val="bottom"/>
            <w:hideMark/>
          </w:tcPr>
          <w:p w14:paraId="6394306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17.7%</w:t>
            </w:r>
          </w:p>
        </w:tc>
        <w:tc>
          <w:tcPr>
            <w:tcW w:w="1068" w:type="dxa"/>
            <w:tcBorders>
              <w:top w:val="nil"/>
              <w:left w:val="nil"/>
              <w:bottom w:val="nil"/>
              <w:right w:val="nil"/>
            </w:tcBorders>
            <w:shd w:val="clear" w:color="auto" w:fill="auto"/>
            <w:noWrap/>
            <w:vAlign w:val="bottom"/>
            <w:hideMark/>
          </w:tcPr>
          <w:p w14:paraId="4711047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15,785 </w:t>
            </w:r>
          </w:p>
        </w:tc>
        <w:tc>
          <w:tcPr>
            <w:tcW w:w="664" w:type="dxa"/>
            <w:tcBorders>
              <w:top w:val="nil"/>
              <w:left w:val="nil"/>
              <w:bottom w:val="nil"/>
              <w:right w:val="nil"/>
            </w:tcBorders>
            <w:shd w:val="clear" w:color="auto" w:fill="auto"/>
            <w:noWrap/>
            <w:vAlign w:val="bottom"/>
            <w:hideMark/>
          </w:tcPr>
          <w:p w14:paraId="72E4C2B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19.6%</w:t>
            </w:r>
          </w:p>
        </w:tc>
        <w:tc>
          <w:tcPr>
            <w:tcW w:w="1049" w:type="dxa"/>
            <w:tcBorders>
              <w:top w:val="nil"/>
              <w:left w:val="single" w:sz="4" w:space="0" w:color="auto"/>
              <w:bottom w:val="nil"/>
              <w:right w:val="nil"/>
            </w:tcBorders>
            <w:shd w:val="clear" w:color="auto" w:fill="auto"/>
            <w:noWrap/>
            <w:vAlign w:val="bottom"/>
            <w:hideMark/>
          </w:tcPr>
          <w:p w14:paraId="4D0EA18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30,390 </w:t>
            </w:r>
          </w:p>
        </w:tc>
        <w:tc>
          <w:tcPr>
            <w:tcW w:w="664" w:type="dxa"/>
            <w:tcBorders>
              <w:top w:val="nil"/>
              <w:left w:val="nil"/>
              <w:bottom w:val="nil"/>
            </w:tcBorders>
            <w:shd w:val="clear" w:color="auto" w:fill="auto"/>
            <w:noWrap/>
            <w:vAlign w:val="bottom"/>
            <w:hideMark/>
          </w:tcPr>
          <w:p w14:paraId="4557709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23.0%</w:t>
            </w:r>
          </w:p>
        </w:tc>
        <w:tc>
          <w:tcPr>
            <w:tcW w:w="1198" w:type="dxa"/>
            <w:tcBorders>
              <w:top w:val="nil"/>
              <w:bottom w:val="nil"/>
            </w:tcBorders>
            <w:shd w:val="clear" w:color="auto" w:fill="auto"/>
            <w:noWrap/>
            <w:vAlign w:val="bottom"/>
            <w:hideMark/>
          </w:tcPr>
          <w:p w14:paraId="4688163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85,015 </w:t>
            </w:r>
          </w:p>
        </w:tc>
        <w:tc>
          <w:tcPr>
            <w:tcW w:w="664" w:type="dxa"/>
            <w:tcBorders>
              <w:top w:val="nil"/>
              <w:bottom w:val="nil"/>
            </w:tcBorders>
            <w:shd w:val="clear" w:color="auto" w:fill="auto"/>
            <w:noWrap/>
            <w:vAlign w:val="bottom"/>
            <w:hideMark/>
          </w:tcPr>
          <w:p w14:paraId="6DC849D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22.0%</w:t>
            </w:r>
          </w:p>
        </w:tc>
        <w:tc>
          <w:tcPr>
            <w:tcW w:w="1178" w:type="dxa"/>
            <w:tcBorders>
              <w:top w:val="nil"/>
              <w:bottom w:val="nil"/>
              <w:right w:val="nil"/>
            </w:tcBorders>
            <w:shd w:val="clear" w:color="auto" w:fill="auto"/>
            <w:noWrap/>
            <w:vAlign w:val="bottom"/>
            <w:hideMark/>
          </w:tcPr>
          <w:p w14:paraId="37C68AF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176,495 </w:t>
            </w:r>
          </w:p>
        </w:tc>
        <w:tc>
          <w:tcPr>
            <w:tcW w:w="517" w:type="dxa"/>
            <w:tcBorders>
              <w:top w:val="nil"/>
              <w:left w:val="nil"/>
              <w:bottom w:val="nil"/>
              <w:right w:val="single" w:sz="4" w:space="0" w:color="auto"/>
            </w:tcBorders>
            <w:shd w:val="clear" w:color="auto" w:fill="auto"/>
            <w:noWrap/>
            <w:vAlign w:val="bottom"/>
            <w:hideMark/>
          </w:tcPr>
          <w:p w14:paraId="56CECE5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20.1%</w:t>
            </w:r>
          </w:p>
        </w:tc>
      </w:tr>
      <w:tr w:rsidR="00931E93" w:rsidRPr="00986C6D" w14:paraId="797A0161"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0254A2BE"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03F3F917"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60-69 years</w:t>
            </w:r>
          </w:p>
        </w:tc>
        <w:tc>
          <w:tcPr>
            <w:tcW w:w="1068" w:type="dxa"/>
            <w:tcBorders>
              <w:top w:val="nil"/>
              <w:left w:val="nil"/>
              <w:bottom w:val="nil"/>
              <w:right w:val="nil"/>
            </w:tcBorders>
            <w:shd w:val="clear" w:color="auto" w:fill="auto"/>
            <w:noWrap/>
            <w:vAlign w:val="bottom"/>
            <w:hideMark/>
          </w:tcPr>
          <w:p w14:paraId="41A7A55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2,700 </w:t>
            </w:r>
          </w:p>
        </w:tc>
        <w:tc>
          <w:tcPr>
            <w:tcW w:w="664" w:type="dxa"/>
            <w:tcBorders>
              <w:top w:val="nil"/>
              <w:left w:val="nil"/>
              <w:bottom w:val="nil"/>
              <w:right w:val="nil"/>
            </w:tcBorders>
            <w:shd w:val="clear" w:color="auto" w:fill="auto"/>
            <w:noWrap/>
            <w:vAlign w:val="bottom"/>
            <w:hideMark/>
          </w:tcPr>
          <w:p w14:paraId="577E33F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7.3%</w:t>
            </w:r>
          </w:p>
        </w:tc>
        <w:tc>
          <w:tcPr>
            <w:tcW w:w="1068" w:type="dxa"/>
            <w:tcBorders>
              <w:top w:val="nil"/>
              <w:left w:val="nil"/>
              <w:bottom w:val="nil"/>
              <w:right w:val="nil"/>
            </w:tcBorders>
            <w:shd w:val="clear" w:color="auto" w:fill="auto"/>
            <w:noWrap/>
            <w:vAlign w:val="bottom"/>
            <w:hideMark/>
          </w:tcPr>
          <w:p w14:paraId="1F9B641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7,660 </w:t>
            </w:r>
          </w:p>
        </w:tc>
        <w:tc>
          <w:tcPr>
            <w:tcW w:w="664" w:type="dxa"/>
            <w:tcBorders>
              <w:top w:val="nil"/>
              <w:left w:val="nil"/>
              <w:bottom w:val="nil"/>
              <w:right w:val="nil"/>
            </w:tcBorders>
            <w:shd w:val="clear" w:color="auto" w:fill="auto"/>
            <w:noWrap/>
            <w:vAlign w:val="bottom"/>
            <w:hideMark/>
          </w:tcPr>
          <w:p w14:paraId="275BA16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12.5%</w:t>
            </w:r>
          </w:p>
        </w:tc>
        <w:tc>
          <w:tcPr>
            <w:tcW w:w="1068" w:type="dxa"/>
            <w:tcBorders>
              <w:top w:val="nil"/>
              <w:left w:val="nil"/>
              <w:bottom w:val="nil"/>
              <w:right w:val="nil"/>
            </w:tcBorders>
            <w:shd w:val="clear" w:color="auto" w:fill="auto"/>
            <w:noWrap/>
            <w:vAlign w:val="bottom"/>
            <w:hideMark/>
          </w:tcPr>
          <w:p w14:paraId="014B6DC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14,385 </w:t>
            </w:r>
          </w:p>
        </w:tc>
        <w:tc>
          <w:tcPr>
            <w:tcW w:w="664" w:type="dxa"/>
            <w:tcBorders>
              <w:top w:val="nil"/>
              <w:left w:val="nil"/>
              <w:bottom w:val="nil"/>
              <w:right w:val="nil"/>
            </w:tcBorders>
            <w:shd w:val="clear" w:color="auto" w:fill="auto"/>
            <w:noWrap/>
            <w:vAlign w:val="bottom"/>
            <w:hideMark/>
          </w:tcPr>
          <w:p w14:paraId="45BEDC6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17.8%</w:t>
            </w:r>
          </w:p>
        </w:tc>
        <w:tc>
          <w:tcPr>
            <w:tcW w:w="1049" w:type="dxa"/>
            <w:tcBorders>
              <w:top w:val="nil"/>
              <w:left w:val="single" w:sz="4" w:space="0" w:color="auto"/>
              <w:bottom w:val="nil"/>
              <w:right w:val="nil"/>
            </w:tcBorders>
            <w:shd w:val="clear" w:color="auto" w:fill="auto"/>
            <w:noWrap/>
            <w:vAlign w:val="bottom"/>
            <w:hideMark/>
          </w:tcPr>
          <w:p w14:paraId="46196FD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30,500 </w:t>
            </w:r>
          </w:p>
        </w:tc>
        <w:tc>
          <w:tcPr>
            <w:tcW w:w="664" w:type="dxa"/>
            <w:tcBorders>
              <w:top w:val="nil"/>
              <w:left w:val="nil"/>
              <w:bottom w:val="nil"/>
            </w:tcBorders>
            <w:shd w:val="clear" w:color="auto" w:fill="auto"/>
            <w:noWrap/>
            <w:vAlign w:val="bottom"/>
            <w:hideMark/>
          </w:tcPr>
          <w:p w14:paraId="58E3B6E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23.1%</w:t>
            </w:r>
          </w:p>
        </w:tc>
        <w:tc>
          <w:tcPr>
            <w:tcW w:w="1198" w:type="dxa"/>
            <w:tcBorders>
              <w:top w:val="nil"/>
              <w:bottom w:val="nil"/>
            </w:tcBorders>
            <w:shd w:val="clear" w:color="auto" w:fill="auto"/>
            <w:noWrap/>
            <w:vAlign w:val="bottom"/>
            <w:hideMark/>
          </w:tcPr>
          <w:p w14:paraId="32EBF60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108,930 </w:t>
            </w:r>
          </w:p>
        </w:tc>
        <w:tc>
          <w:tcPr>
            <w:tcW w:w="664" w:type="dxa"/>
            <w:tcBorders>
              <w:top w:val="nil"/>
              <w:bottom w:val="nil"/>
            </w:tcBorders>
            <w:shd w:val="clear" w:color="auto" w:fill="auto"/>
            <w:noWrap/>
            <w:vAlign w:val="bottom"/>
            <w:hideMark/>
          </w:tcPr>
          <w:p w14:paraId="214998E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28.1%</w:t>
            </w:r>
          </w:p>
        </w:tc>
        <w:tc>
          <w:tcPr>
            <w:tcW w:w="1178" w:type="dxa"/>
            <w:tcBorders>
              <w:top w:val="nil"/>
              <w:bottom w:val="nil"/>
              <w:right w:val="nil"/>
            </w:tcBorders>
            <w:shd w:val="clear" w:color="auto" w:fill="auto"/>
            <w:noWrap/>
            <w:vAlign w:val="bottom"/>
            <w:hideMark/>
          </w:tcPr>
          <w:p w14:paraId="1F7A7D4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268,360 </w:t>
            </w:r>
          </w:p>
        </w:tc>
        <w:tc>
          <w:tcPr>
            <w:tcW w:w="517" w:type="dxa"/>
            <w:tcBorders>
              <w:top w:val="nil"/>
              <w:left w:val="nil"/>
              <w:bottom w:val="nil"/>
              <w:right w:val="single" w:sz="4" w:space="0" w:color="auto"/>
            </w:tcBorders>
            <w:shd w:val="clear" w:color="auto" w:fill="auto"/>
            <w:noWrap/>
            <w:vAlign w:val="bottom"/>
            <w:hideMark/>
          </w:tcPr>
          <w:p w14:paraId="3925C81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30.5%</w:t>
            </w:r>
          </w:p>
        </w:tc>
      </w:tr>
      <w:tr w:rsidR="00931E93" w:rsidRPr="00986C6D" w14:paraId="2B411304"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5893DD1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3B94FF0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70-79 years</w:t>
            </w:r>
          </w:p>
        </w:tc>
        <w:tc>
          <w:tcPr>
            <w:tcW w:w="1068" w:type="dxa"/>
            <w:tcBorders>
              <w:top w:val="nil"/>
              <w:left w:val="nil"/>
              <w:bottom w:val="nil"/>
              <w:right w:val="nil"/>
            </w:tcBorders>
            <w:shd w:val="clear" w:color="auto" w:fill="auto"/>
            <w:noWrap/>
            <w:vAlign w:val="bottom"/>
            <w:hideMark/>
          </w:tcPr>
          <w:p w14:paraId="5E08F40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1,485 </w:t>
            </w:r>
          </w:p>
        </w:tc>
        <w:tc>
          <w:tcPr>
            <w:tcW w:w="664" w:type="dxa"/>
            <w:tcBorders>
              <w:top w:val="nil"/>
              <w:left w:val="nil"/>
              <w:bottom w:val="nil"/>
              <w:right w:val="nil"/>
            </w:tcBorders>
            <w:shd w:val="clear" w:color="auto" w:fill="auto"/>
            <w:noWrap/>
            <w:vAlign w:val="bottom"/>
            <w:hideMark/>
          </w:tcPr>
          <w:p w14:paraId="1885AE3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4.0%</w:t>
            </w:r>
          </w:p>
        </w:tc>
        <w:tc>
          <w:tcPr>
            <w:tcW w:w="1068" w:type="dxa"/>
            <w:tcBorders>
              <w:top w:val="nil"/>
              <w:left w:val="nil"/>
              <w:bottom w:val="nil"/>
              <w:right w:val="nil"/>
            </w:tcBorders>
            <w:shd w:val="clear" w:color="auto" w:fill="auto"/>
            <w:noWrap/>
            <w:vAlign w:val="bottom"/>
            <w:hideMark/>
          </w:tcPr>
          <w:p w14:paraId="5B7A5F3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4,300 </w:t>
            </w:r>
          </w:p>
        </w:tc>
        <w:tc>
          <w:tcPr>
            <w:tcW w:w="664" w:type="dxa"/>
            <w:tcBorders>
              <w:top w:val="nil"/>
              <w:left w:val="nil"/>
              <w:bottom w:val="nil"/>
              <w:right w:val="nil"/>
            </w:tcBorders>
            <w:shd w:val="clear" w:color="auto" w:fill="auto"/>
            <w:noWrap/>
            <w:vAlign w:val="bottom"/>
            <w:hideMark/>
          </w:tcPr>
          <w:p w14:paraId="00A44B0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7.0%</w:t>
            </w:r>
          </w:p>
        </w:tc>
        <w:tc>
          <w:tcPr>
            <w:tcW w:w="1068" w:type="dxa"/>
            <w:tcBorders>
              <w:top w:val="nil"/>
              <w:left w:val="nil"/>
              <w:bottom w:val="nil"/>
              <w:right w:val="nil"/>
            </w:tcBorders>
            <w:shd w:val="clear" w:color="auto" w:fill="auto"/>
            <w:noWrap/>
            <w:vAlign w:val="bottom"/>
            <w:hideMark/>
          </w:tcPr>
          <w:p w14:paraId="39E00BC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9,305 </w:t>
            </w:r>
          </w:p>
        </w:tc>
        <w:tc>
          <w:tcPr>
            <w:tcW w:w="664" w:type="dxa"/>
            <w:tcBorders>
              <w:top w:val="nil"/>
              <w:left w:val="nil"/>
              <w:bottom w:val="nil"/>
              <w:right w:val="nil"/>
            </w:tcBorders>
            <w:shd w:val="clear" w:color="auto" w:fill="auto"/>
            <w:noWrap/>
            <w:vAlign w:val="bottom"/>
            <w:hideMark/>
          </w:tcPr>
          <w:p w14:paraId="6331049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11.5%</w:t>
            </w:r>
          </w:p>
        </w:tc>
        <w:tc>
          <w:tcPr>
            <w:tcW w:w="1049" w:type="dxa"/>
            <w:tcBorders>
              <w:top w:val="nil"/>
              <w:left w:val="single" w:sz="4" w:space="0" w:color="auto"/>
              <w:bottom w:val="nil"/>
              <w:right w:val="nil"/>
            </w:tcBorders>
            <w:shd w:val="clear" w:color="auto" w:fill="auto"/>
            <w:noWrap/>
            <w:vAlign w:val="bottom"/>
            <w:hideMark/>
          </w:tcPr>
          <w:p w14:paraId="6A8A3A1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24,140 </w:t>
            </w:r>
          </w:p>
        </w:tc>
        <w:tc>
          <w:tcPr>
            <w:tcW w:w="664" w:type="dxa"/>
            <w:tcBorders>
              <w:top w:val="nil"/>
              <w:left w:val="nil"/>
              <w:bottom w:val="nil"/>
            </w:tcBorders>
            <w:shd w:val="clear" w:color="auto" w:fill="auto"/>
            <w:noWrap/>
            <w:vAlign w:val="bottom"/>
            <w:hideMark/>
          </w:tcPr>
          <w:p w14:paraId="53E2B23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18.3%</w:t>
            </w:r>
          </w:p>
        </w:tc>
        <w:tc>
          <w:tcPr>
            <w:tcW w:w="1198" w:type="dxa"/>
            <w:tcBorders>
              <w:top w:val="nil"/>
              <w:bottom w:val="nil"/>
            </w:tcBorders>
            <w:shd w:val="clear" w:color="auto" w:fill="auto"/>
            <w:noWrap/>
            <w:vAlign w:val="bottom"/>
            <w:hideMark/>
          </w:tcPr>
          <w:p w14:paraId="3ADC7EA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94,170 </w:t>
            </w:r>
          </w:p>
        </w:tc>
        <w:tc>
          <w:tcPr>
            <w:tcW w:w="664" w:type="dxa"/>
            <w:tcBorders>
              <w:top w:val="nil"/>
              <w:bottom w:val="nil"/>
            </w:tcBorders>
            <w:shd w:val="clear" w:color="auto" w:fill="auto"/>
            <w:noWrap/>
            <w:vAlign w:val="bottom"/>
            <w:hideMark/>
          </w:tcPr>
          <w:p w14:paraId="37F3210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24.3%</w:t>
            </w:r>
          </w:p>
        </w:tc>
        <w:tc>
          <w:tcPr>
            <w:tcW w:w="1178" w:type="dxa"/>
            <w:tcBorders>
              <w:top w:val="nil"/>
              <w:bottom w:val="nil"/>
              <w:right w:val="nil"/>
            </w:tcBorders>
            <w:shd w:val="clear" w:color="auto" w:fill="auto"/>
            <w:noWrap/>
            <w:vAlign w:val="bottom"/>
            <w:hideMark/>
          </w:tcPr>
          <w:p w14:paraId="0548213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247,015 </w:t>
            </w:r>
          </w:p>
        </w:tc>
        <w:tc>
          <w:tcPr>
            <w:tcW w:w="517" w:type="dxa"/>
            <w:tcBorders>
              <w:top w:val="nil"/>
              <w:left w:val="nil"/>
              <w:bottom w:val="nil"/>
              <w:right w:val="single" w:sz="4" w:space="0" w:color="auto"/>
            </w:tcBorders>
            <w:shd w:val="clear" w:color="auto" w:fill="auto"/>
            <w:noWrap/>
            <w:vAlign w:val="bottom"/>
            <w:hideMark/>
          </w:tcPr>
          <w:p w14:paraId="3B2F93A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28.1%</w:t>
            </w:r>
          </w:p>
        </w:tc>
      </w:tr>
      <w:tr w:rsidR="00931E93" w:rsidRPr="00986C6D" w14:paraId="17F7345D"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7A8338A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17211AF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≥80 years</w:t>
            </w:r>
          </w:p>
        </w:tc>
        <w:tc>
          <w:tcPr>
            <w:tcW w:w="1068" w:type="dxa"/>
            <w:tcBorders>
              <w:top w:val="nil"/>
              <w:left w:val="nil"/>
              <w:bottom w:val="nil"/>
              <w:right w:val="nil"/>
            </w:tcBorders>
            <w:shd w:val="clear" w:color="auto" w:fill="auto"/>
            <w:noWrap/>
            <w:vAlign w:val="bottom"/>
            <w:hideMark/>
          </w:tcPr>
          <w:p w14:paraId="6C1517E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620</w:t>
            </w:r>
          </w:p>
        </w:tc>
        <w:tc>
          <w:tcPr>
            <w:tcW w:w="664" w:type="dxa"/>
            <w:tcBorders>
              <w:top w:val="nil"/>
              <w:left w:val="nil"/>
              <w:bottom w:val="nil"/>
              <w:right w:val="nil"/>
            </w:tcBorders>
            <w:shd w:val="clear" w:color="auto" w:fill="auto"/>
            <w:noWrap/>
            <w:vAlign w:val="bottom"/>
            <w:hideMark/>
          </w:tcPr>
          <w:p w14:paraId="0043CBE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1.7%</w:t>
            </w:r>
          </w:p>
        </w:tc>
        <w:tc>
          <w:tcPr>
            <w:tcW w:w="1068" w:type="dxa"/>
            <w:tcBorders>
              <w:top w:val="nil"/>
              <w:left w:val="nil"/>
              <w:bottom w:val="nil"/>
              <w:right w:val="nil"/>
            </w:tcBorders>
            <w:shd w:val="clear" w:color="auto" w:fill="auto"/>
            <w:noWrap/>
            <w:vAlign w:val="bottom"/>
            <w:hideMark/>
          </w:tcPr>
          <w:p w14:paraId="43F1E02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1,210 </w:t>
            </w:r>
          </w:p>
        </w:tc>
        <w:tc>
          <w:tcPr>
            <w:tcW w:w="664" w:type="dxa"/>
            <w:tcBorders>
              <w:top w:val="nil"/>
              <w:left w:val="nil"/>
              <w:bottom w:val="nil"/>
              <w:right w:val="nil"/>
            </w:tcBorders>
            <w:shd w:val="clear" w:color="auto" w:fill="auto"/>
            <w:noWrap/>
            <w:vAlign w:val="bottom"/>
            <w:hideMark/>
          </w:tcPr>
          <w:p w14:paraId="313097A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w:t>
            </w:r>
          </w:p>
        </w:tc>
        <w:tc>
          <w:tcPr>
            <w:tcW w:w="1068" w:type="dxa"/>
            <w:tcBorders>
              <w:top w:val="nil"/>
              <w:left w:val="nil"/>
              <w:bottom w:val="nil"/>
              <w:right w:val="nil"/>
            </w:tcBorders>
            <w:shd w:val="clear" w:color="auto" w:fill="auto"/>
            <w:noWrap/>
            <w:vAlign w:val="bottom"/>
            <w:hideMark/>
          </w:tcPr>
          <w:p w14:paraId="3036A9F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2,260 </w:t>
            </w:r>
          </w:p>
        </w:tc>
        <w:tc>
          <w:tcPr>
            <w:tcW w:w="664" w:type="dxa"/>
            <w:tcBorders>
              <w:top w:val="nil"/>
              <w:left w:val="nil"/>
              <w:bottom w:val="nil"/>
              <w:right w:val="nil"/>
            </w:tcBorders>
            <w:shd w:val="clear" w:color="auto" w:fill="auto"/>
            <w:noWrap/>
            <w:vAlign w:val="bottom"/>
            <w:hideMark/>
          </w:tcPr>
          <w:p w14:paraId="3C239A2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2.8%</w:t>
            </w:r>
          </w:p>
        </w:tc>
        <w:tc>
          <w:tcPr>
            <w:tcW w:w="1049" w:type="dxa"/>
            <w:tcBorders>
              <w:top w:val="nil"/>
              <w:left w:val="single" w:sz="4" w:space="0" w:color="auto"/>
              <w:bottom w:val="nil"/>
              <w:right w:val="nil"/>
            </w:tcBorders>
            <w:shd w:val="clear" w:color="auto" w:fill="auto"/>
            <w:noWrap/>
            <w:vAlign w:val="bottom"/>
            <w:hideMark/>
          </w:tcPr>
          <w:p w14:paraId="3CDDF58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14,525 </w:t>
            </w:r>
          </w:p>
        </w:tc>
        <w:tc>
          <w:tcPr>
            <w:tcW w:w="664" w:type="dxa"/>
            <w:tcBorders>
              <w:top w:val="nil"/>
              <w:left w:val="nil"/>
              <w:bottom w:val="nil"/>
            </w:tcBorders>
            <w:shd w:val="clear" w:color="auto" w:fill="auto"/>
            <w:noWrap/>
            <w:vAlign w:val="bottom"/>
            <w:hideMark/>
          </w:tcPr>
          <w:p w14:paraId="2A2125B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11.0%</w:t>
            </w:r>
          </w:p>
        </w:tc>
        <w:tc>
          <w:tcPr>
            <w:tcW w:w="1198" w:type="dxa"/>
            <w:tcBorders>
              <w:top w:val="nil"/>
              <w:bottom w:val="nil"/>
            </w:tcBorders>
            <w:shd w:val="clear" w:color="auto" w:fill="auto"/>
            <w:noWrap/>
            <w:vAlign w:val="bottom"/>
            <w:hideMark/>
          </w:tcPr>
          <w:p w14:paraId="54AFD57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36,955 </w:t>
            </w:r>
          </w:p>
        </w:tc>
        <w:tc>
          <w:tcPr>
            <w:tcW w:w="664" w:type="dxa"/>
            <w:tcBorders>
              <w:top w:val="nil"/>
              <w:bottom w:val="nil"/>
            </w:tcBorders>
            <w:shd w:val="clear" w:color="auto" w:fill="auto"/>
            <w:noWrap/>
            <w:vAlign w:val="bottom"/>
            <w:hideMark/>
          </w:tcPr>
          <w:p w14:paraId="789DDC3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9.5%</w:t>
            </w:r>
          </w:p>
        </w:tc>
        <w:tc>
          <w:tcPr>
            <w:tcW w:w="1178" w:type="dxa"/>
            <w:tcBorders>
              <w:top w:val="nil"/>
              <w:bottom w:val="nil"/>
              <w:right w:val="nil"/>
            </w:tcBorders>
            <w:shd w:val="clear" w:color="auto" w:fill="auto"/>
            <w:noWrap/>
            <w:vAlign w:val="bottom"/>
            <w:hideMark/>
          </w:tcPr>
          <w:p w14:paraId="5B1753C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82,925 </w:t>
            </w:r>
          </w:p>
        </w:tc>
        <w:tc>
          <w:tcPr>
            <w:tcW w:w="517" w:type="dxa"/>
            <w:tcBorders>
              <w:top w:val="nil"/>
              <w:left w:val="nil"/>
              <w:bottom w:val="nil"/>
              <w:right w:val="single" w:sz="4" w:space="0" w:color="auto"/>
            </w:tcBorders>
            <w:shd w:val="clear" w:color="auto" w:fill="auto"/>
            <w:noWrap/>
            <w:vAlign w:val="bottom"/>
            <w:hideMark/>
          </w:tcPr>
          <w:p w14:paraId="28F69D2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9.4%</w:t>
            </w:r>
          </w:p>
        </w:tc>
      </w:tr>
      <w:tr w:rsidR="00931E93" w:rsidRPr="00986C6D" w14:paraId="7503788D"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01A095C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089F8DE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Mean (SD), years</w:t>
            </w:r>
          </w:p>
        </w:tc>
        <w:tc>
          <w:tcPr>
            <w:tcW w:w="1068" w:type="dxa"/>
            <w:tcBorders>
              <w:top w:val="nil"/>
              <w:left w:val="nil"/>
              <w:bottom w:val="nil"/>
              <w:right w:val="nil"/>
            </w:tcBorders>
            <w:shd w:val="clear" w:color="auto" w:fill="auto"/>
            <w:noWrap/>
            <w:vAlign w:val="bottom"/>
            <w:hideMark/>
          </w:tcPr>
          <w:p w14:paraId="6C14764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40.6 (16) </w:t>
            </w:r>
          </w:p>
        </w:tc>
        <w:tc>
          <w:tcPr>
            <w:tcW w:w="664" w:type="dxa"/>
            <w:tcBorders>
              <w:top w:val="nil"/>
              <w:left w:val="nil"/>
              <w:bottom w:val="nil"/>
              <w:right w:val="nil"/>
            </w:tcBorders>
            <w:shd w:val="clear" w:color="auto" w:fill="auto"/>
            <w:noWrap/>
            <w:vAlign w:val="bottom"/>
            <w:hideMark/>
          </w:tcPr>
          <w:p w14:paraId="680A0AB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644B232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46.3 (16.2) </w:t>
            </w:r>
          </w:p>
        </w:tc>
        <w:tc>
          <w:tcPr>
            <w:tcW w:w="664" w:type="dxa"/>
            <w:tcBorders>
              <w:top w:val="nil"/>
              <w:left w:val="nil"/>
              <w:bottom w:val="nil"/>
              <w:right w:val="nil"/>
            </w:tcBorders>
            <w:shd w:val="clear" w:color="auto" w:fill="auto"/>
            <w:noWrap/>
            <w:vAlign w:val="bottom"/>
            <w:hideMark/>
          </w:tcPr>
          <w:p w14:paraId="3191040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235497D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51 (16.4) </w:t>
            </w:r>
          </w:p>
        </w:tc>
        <w:tc>
          <w:tcPr>
            <w:tcW w:w="664" w:type="dxa"/>
            <w:tcBorders>
              <w:top w:val="nil"/>
              <w:left w:val="nil"/>
              <w:bottom w:val="nil"/>
              <w:right w:val="nil"/>
            </w:tcBorders>
            <w:shd w:val="clear" w:color="auto" w:fill="auto"/>
            <w:noWrap/>
            <w:vAlign w:val="bottom"/>
            <w:hideMark/>
          </w:tcPr>
          <w:p w14:paraId="7F51493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6C730C2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60.9 (14.8) </w:t>
            </w:r>
          </w:p>
        </w:tc>
        <w:tc>
          <w:tcPr>
            <w:tcW w:w="664" w:type="dxa"/>
            <w:tcBorders>
              <w:top w:val="nil"/>
              <w:left w:val="nil"/>
              <w:bottom w:val="nil"/>
              <w:right w:val="nil"/>
            </w:tcBorders>
            <w:shd w:val="clear" w:color="auto" w:fill="auto"/>
            <w:noWrap/>
            <w:vAlign w:val="bottom"/>
            <w:hideMark/>
          </w:tcPr>
          <w:p w14:paraId="14A675D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5104413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63.5 (12.9) </w:t>
            </w:r>
          </w:p>
        </w:tc>
        <w:tc>
          <w:tcPr>
            <w:tcW w:w="664" w:type="dxa"/>
            <w:tcBorders>
              <w:top w:val="nil"/>
              <w:left w:val="nil"/>
              <w:bottom w:val="nil"/>
              <w:right w:val="nil"/>
            </w:tcBorders>
            <w:shd w:val="clear" w:color="auto" w:fill="auto"/>
            <w:noWrap/>
            <w:vAlign w:val="bottom"/>
            <w:hideMark/>
          </w:tcPr>
          <w:p w14:paraId="2B4732C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78" w:type="dxa"/>
            <w:tcBorders>
              <w:top w:val="nil"/>
              <w:left w:val="nil"/>
              <w:bottom w:val="nil"/>
              <w:right w:val="nil"/>
            </w:tcBorders>
            <w:shd w:val="clear" w:color="auto" w:fill="auto"/>
            <w:noWrap/>
            <w:vAlign w:val="bottom"/>
            <w:hideMark/>
          </w:tcPr>
          <w:p w14:paraId="6573B49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65 (11.9) </w:t>
            </w:r>
          </w:p>
        </w:tc>
        <w:tc>
          <w:tcPr>
            <w:tcW w:w="517" w:type="dxa"/>
            <w:tcBorders>
              <w:top w:val="nil"/>
              <w:left w:val="nil"/>
              <w:bottom w:val="nil"/>
              <w:right w:val="single" w:sz="4" w:space="0" w:color="auto"/>
            </w:tcBorders>
            <w:shd w:val="clear" w:color="auto" w:fill="auto"/>
            <w:noWrap/>
            <w:vAlign w:val="bottom"/>
            <w:hideMark/>
          </w:tcPr>
          <w:p w14:paraId="22E2E1F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5123C4DF" w14:textId="77777777" w:rsidTr="00154DE3">
        <w:trPr>
          <w:trHeight w:val="233"/>
        </w:trPr>
        <w:tc>
          <w:tcPr>
            <w:tcW w:w="2520" w:type="dxa"/>
            <w:gridSpan w:val="2"/>
            <w:tcBorders>
              <w:top w:val="nil"/>
              <w:left w:val="single" w:sz="4" w:space="0" w:color="auto"/>
              <w:bottom w:val="nil"/>
              <w:right w:val="single" w:sz="4" w:space="0" w:color="000000"/>
            </w:tcBorders>
            <w:shd w:val="clear" w:color="auto" w:fill="auto"/>
            <w:noWrap/>
            <w:vAlign w:val="bottom"/>
            <w:hideMark/>
          </w:tcPr>
          <w:p w14:paraId="21349F6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Deprivation</w:t>
            </w:r>
          </w:p>
        </w:tc>
        <w:tc>
          <w:tcPr>
            <w:tcW w:w="1068" w:type="dxa"/>
            <w:tcBorders>
              <w:top w:val="nil"/>
              <w:left w:val="nil"/>
              <w:bottom w:val="nil"/>
              <w:right w:val="nil"/>
            </w:tcBorders>
            <w:shd w:val="clear" w:color="auto" w:fill="auto"/>
            <w:noWrap/>
            <w:vAlign w:val="bottom"/>
            <w:hideMark/>
          </w:tcPr>
          <w:p w14:paraId="7AD4E92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664" w:type="dxa"/>
            <w:tcBorders>
              <w:top w:val="nil"/>
              <w:left w:val="nil"/>
              <w:bottom w:val="nil"/>
              <w:right w:val="nil"/>
            </w:tcBorders>
            <w:shd w:val="clear" w:color="auto" w:fill="auto"/>
            <w:noWrap/>
            <w:vAlign w:val="bottom"/>
            <w:hideMark/>
          </w:tcPr>
          <w:p w14:paraId="55011465"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25784C85"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131C5E64"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425DCE29"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23BADEB3"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52FE50C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664" w:type="dxa"/>
            <w:tcBorders>
              <w:top w:val="nil"/>
              <w:left w:val="nil"/>
              <w:bottom w:val="nil"/>
              <w:right w:val="nil"/>
            </w:tcBorders>
            <w:shd w:val="clear" w:color="auto" w:fill="auto"/>
            <w:noWrap/>
            <w:vAlign w:val="bottom"/>
            <w:hideMark/>
          </w:tcPr>
          <w:p w14:paraId="016D63F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5C9FEE3D"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7E838442"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178" w:type="dxa"/>
            <w:tcBorders>
              <w:top w:val="nil"/>
              <w:left w:val="nil"/>
              <w:bottom w:val="nil"/>
              <w:right w:val="nil"/>
            </w:tcBorders>
            <w:shd w:val="clear" w:color="auto" w:fill="auto"/>
            <w:noWrap/>
            <w:vAlign w:val="bottom"/>
            <w:hideMark/>
          </w:tcPr>
          <w:p w14:paraId="1675C513"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517" w:type="dxa"/>
            <w:tcBorders>
              <w:top w:val="nil"/>
              <w:left w:val="nil"/>
              <w:bottom w:val="nil"/>
              <w:right w:val="single" w:sz="4" w:space="0" w:color="auto"/>
            </w:tcBorders>
            <w:shd w:val="clear" w:color="auto" w:fill="auto"/>
            <w:noWrap/>
            <w:vAlign w:val="bottom"/>
            <w:hideMark/>
          </w:tcPr>
          <w:p w14:paraId="3F162F5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5EC56F32"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644480CB"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330DC72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Most deprived</w:t>
            </w:r>
          </w:p>
        </w:tc>
        <w:tc>
          <w:tcPr>
            <w:tcW w:w="1068" w:type="dxa"/>
            <w:tcBorders>
              <w:top w:val="nil"/>
              <w:left w:val="nil"/>
              <w:bottom w:val="nil"/>
              <w:right w:val="nil"/>
            </w:tcBorders>
            <w:shd w:val="clear" w:color="auto" w:fill="auto"/>
            <w:noWrap/>
            <w:vAlign w:val="bottom"/>
            <w:hideMark/>
          </w:tcPr>
          <w:p w14:paraId="329E3A7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7,770 </w:t>
            </w:r>
          </w:p>
        </w:tc>
        <w:tc>
          <w:tcPr>
            <w:tcW w:w="664" w:type="dxa"/>
            <w:tcBorders>
              <w:top w:val="nil"/>
              <w:left w:val="nil"/>
              <w:bottom w:val="nil"/>
              <w:right w:val="nil"/>
            </w:tcBorders>
            <w:shd w:val="clear" w:color="auto" w:fill="auto"/>
            <w:noWrap/>
            <w:vAlign w:val="bottom"/>
            <w:hideMark/>
          </w:tcPr>
          <w:p w14:paraId="7B351D5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21.5%</w:t>
            </w:r>
          </w:p>
        </w:tc>
        <w:tc>
          <w:tcPr>
            <w:tcW w:w="1068" w:type="dxa"/>
            <w:tcBorders>
              <w:top w:val="nil"/>
              <w:left w:val="nil"/>
              <w:bottom w:val="nil"/>
              <w:right w:val="nil"/>
            </w:tcBorders>
            <w:shd w:val="clear" w:color="auto" w:fill="auto"/>
            <w:noWrap/>
            <w:vAlign w:val="bottom"/>
            <w:hideMark/>
          </w:tcPr>
          <w:p w14:paraId="3FB3DBC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11,625 </w:t>
            </w:r>
          </w:p>
        </w:tc>
        <w:tc>
          <w:tcPr>
            <w:tcW w:w="664" w:type="dxa"/>
            <w:tcBorders>
              <w:top w:val="nil"/>
              <w:left w:val="nil"/>
              <w:bottom w:val="nil"/>
              <w:right w:val="nil"/>
            </w:tcBorders>
            <w:shd w:val="clear" w:color="auto" w:fill="auto"/>
            <w:noWrap/>
            <w:vAlign w:val="bottom"/>
            <w:hideMark/>
          </w:tcPr>
          <w:p w14:paraId="7203A2F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19.6%</w:t>
            </w:r>
          </w:p>
        </w:tc>
        <w:tc>
          <w:tcPr>
            <w:tcW w:w="1068" w:type="dxa"/>
            <w:tcBorders>
              <w:top w:val="nil"/>
              <w:left w:val="nil"/>
              <w:bottom w:val="nil"/>
              <w:right w:val="nil"/>
            </w:tcBorders>
            <w:shd w:val="clear" w:color="auto" w:fill="auto"/>
            <w:noWrap/>
            <w:vAlign w:val="bottom"/>
            <w:hideMark/>
          </w:tcPr>
          <w:p w14:paraId="109065C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16,475 </w:t>
            </w:r>
          </w:p>
        </w:tc>
        <w:tc>
          <w:tcPr>
            <w:tcW w:w="664" w:type="dxa"/>
            <w:tcBorders>
              <w:top w:val="nil"/>
              <w:left w:val="nil"/>
              <w:bottom w:val="nil"/>
              <w:right w:val="nil"/>
            </w:tcBorders>
            <w:shd w:val="clear" w:color="auto" w:fill="auto"/>
            <w:noWrap/>
            <w:vAlign w:val="bottom"/>
            <w:hideMark/>
          </w:tcPr>
          <w:p w14:paraId="0E9D610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21.1%</w:t>
            </w:r>
          </w:p>
        </w:tc>
        <w:tc>
          <w:tcPr>
            <w:tcW w:w="1049" w:type="dxa"/>
            <w:tcBorders>
              <w:top w:val="nil"/>
              <w:left w:val="single" w:sz="4" w:space="0" w:color="auto"/>
              <w:bottom w:val="nil"/>
              <w:right w:val="nil"/>
            </w:tcBorders>
            <w:shd w:val="clear" w:color="auto" w:fill="auto"/>
            <w:noWrap/>
            <w:vAlign w:val="bottom"/>
            <w:hideMark/>
          </w:tcPr>
          <w:p w14:paraId="46A02C4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33,345 </w:t>
            </w:r>
          </w:p>
        </w:tc>
        <w:tc>
          <w:tcPr>
            <w:tcW w:w="664" w:type="dxa"/>
            <w:tcBorders>
              <w:top w:val="nil"/>
              <w:left w:val="nil"/>
              <w:bottom w:val="nil"/>
              <w:right w:val="nil"/>
            </w:tcBorders>
            <w:shd w:val="clear" w:color="auto" w:fill="auto"/>
            <w:noWrap/>
            <w:vAlign w:val="bottom"/>
            <w:hideMark/>
          </w:tcPr>
          <w:p w14:paraId="09D048E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26.1%</w:t>
            </w:r>
          </w:p>
        </w:tc>
        <w:tc>
          <w:tcPr>
            <w:tcW w:w="1198" w:type="dxa"/>
            <w:tcBorders>
              <w:top w:val="nil"/>
              <w:left w:val="nil"/>
              <w:bottom w:val="nil"/>
              <w:right w:val="nil"/>
            </w:tcBorders>
            <w:shd w:val="clear" w:color="auto" w:fill="auto"/>
            <w:noWrap/>
            <w:vAlign w:val="bottom"/>
            <w:hideMark/>
          </w:tcPr>
          <w:p w14:paraId="1688E7D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88,140 </w:t>
            </w:r>
          </w:p>
        </w:tc>
        <w:tc>
          <w:tcPr>
            <w:tcW w:w="664" w:type="dxa"/>
            <w:tcBorders>
              <w:top w:val="nil"/>
              <w:left w:val="nil"/>
              <w:bottom w:val="nil"/>
              <w:right w:val="nil"/>
            </w:tcBorders>
            <w:shd w:val="clear" w:color="auto" w:fill="auto"/>
            <w:noWrap/>
            <w:vAlign w:val="bottom"/>
            <w:hideMark/>
          </w:tcPr>
          <w:p w14:paraId="1D31C4A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23.5%</w:t>
            </w:r>
          </w:p>
        </w:tc>
        <w:tc>
          <w:tcPr>
            <w:tcW w:w="1178" w:type="dxa"/>
            <w:tcBorders>
              <w:top w:val="nil"/>
              <w:left w:val="nil"/>
              <w:bottom w:val="nil"/>
              <w:right w:val="nil"/>
            </w:tcBorders>
            <w:shd w:val="clear" w:color="auto" w:fill="auto"/>
            <w:noWrap/>
            <w:vAlign w:val="bottom"/>
            <w:hideMark/>
          </w:tcPr>
          <w:p w14:paraId="1951BC9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198,075 </w:t>
            </w:r>
          </w:p>
        </w:tc>
        <w:tc>
          <w:tcPr>
            <w:tcW w:w="517" w:type="dxa"/>
            <w:tcBorders>
              <w:top w:val="nil"/>
              <w:left w:val="nil"/>
              <w:bottom w:val="nil"/>
              <w:right w:val="single" w:sz="4" w:space="0" w:color="auto"/>
            </w:tcBorders>
            <w:shd w:val="clear" w:color="auto" w:fill="auto"/>
            <w:noWrap/>
            <w:vAlign w:val="bottom"/>
            <w:hideMark/>
          </w:tcPr>
          <w:p w14:paraId="6FBDC89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23.4%</w:t>
            </w:r>
          </w:p>
        </w:tc>
      </w:tr>
      <w:tr w:rsidR="00931E93" w:rsidRPr="00986C6D" w14:paraId="394966AD"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5747B44B"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74DC86FF"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2nd most deprived</w:t>
            </w:r>
          </w:p>
        </w:tc>
        <w:tc>
          <w:tcPr>
            <w:tcW w:w="1068" w:type="dxa"/>
            <w:tcBorders>
              <w:top w:val="nil"/>
              <w:left w:val="nil"/>
              <w:bottom w:val="nil"/>
              <w:right w:val="nil"/>
            </w:tcBorders>
            <w:shd w:val="clear" w:color="auto" w:fill="auto"/>
            <w:noWrap/>
            <w:vAlign w:val="bottom"/>
            <w:hideMark/>
          </w:tcPr>
          <w:p w14:paraId="4B33D81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7,510 </w:t>
            </w:r>
          </w:p>
        </w:tc>
        <w:tc>
          <w:tcPr>
            <w:tcW w:w="664" w:type="dxa"/>
            <w:tcBorders>
              <w:top w:val="nil"/>
              <w:left w:val="nil"/>
              <w:bottom w:val="nil"/>
              <w:right w:val="nil"/>
            </w:tcBorders>
            <w:shd w:val="clear" w:color="auto" w:fill="auto"/>
            <w:noWrap/>
            <w:vAlign w:val="bottom"/>
            <w:hideMark/>
          </w:tcPr>
          <w:p w14:paraId="1EF633D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20.8%</w:t>
            </w:r>
          </w:p>
        </w:tc>
        <w:tc>
          <w:tcPr>
            <w:tcW w:w="1068" w:type="dxa"/>
            <w:tcBorders>
              <w:top w:val="nil"/>
              <w:left w:val="nil"/>
              <w:bottom w:val="nil"/>
              <w:right w:val="nil"/>
            </w:tcBorders>
            <w:shd w:val="clear" w:color="auto" w:fill="auto"/>
            <w:noWrap/>
            <w:vAlign w:val="bottom"/>
            <w:hideMark/>
          </w:tcPr>
          <w:p w14:paraId="662F832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11,755 </w:t>
            </w:r>
          </w:p>
        </w:tc>
        <w:tc>
          <w:tcPr>
            <w:tcW w:w="664" w:type="dxa"/>
            <w:tcBorders>
              <w:top w:val="nil"/>
              <w:left w:val="nil"/>
              <w:bottom w:val="nil"/>
              <w:right w:val="nil"/>
            </w:tcBorders>
            <w:shd w:val="clear" w:color="auto" w:fill="auto"/>
            <w:noWrap/>
            <w:vAlign w:val="bottom"/>
            <w:hideMark/>
          </w:tcPr>
          <w:p w14:paraId="47C6D33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19.8%</w:t>
            </w:r>
          </w:p>
        </w:tc>
        <w:tc>
          <w:tcPr>
            <w:tcW w:w="1068" w:type="dxa"/>
            <w:tcBorders>
              <w:top w:val="nil"/>
              <w:left w:val="nil"/>
              <w:bottom w:val="nil"/>
              <w:right w:val="nil"/>
            </w:tcBorders>
            <w:shd w:val="clear" w:color="auto" w:fill="auto"/>
            <w:noWrap/>
            <w:vAlign w:val="bottom"/>
            <w:hideMark/>
          </w:tcPr>
          <w:p w14:paraId="31A1EEB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15,540 </w:t>
            </w:r>
          </w:p>
        </w:tc>
        <w:tc>
          <w:tcPr>
            <w:tcW w:w="664" w:type="dxa"/>
            <w:tcBorders>
              <w:top w:val="nil"/>
              <w:left w:val="nil"/>
              <w:bottom w:val="nil"/>
              <w:right w:val="nil"/>
            </w:tcBorders>
            <w:shd w:val="clear" w:color="auto" w:fill="auto"/>
            <w:noWrap/>
            <w:vAlign w:val="bottom"/>
            <w:hideMark/>
          </w:tcPr>
          <w:p w14:paraId="2C4F1D5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19.9%</w:t>
            </w:r>
          </w:p>
        </w:tc>
        <w:tc>
          <w:tcPr>
            <w:tcW w:w="1049" w:type="dxa"/>
            <w:tcBorders>
              <w:top w:val="nil"/>
              <w:left w:val="single" w:sz="4" w:space="0" w:color="auto"/>
              <w:bottom w:val="nil"/>
              <w:right w:val="nil"/>
            </w:tcBorders>
            <w:shd w:val="clear" w:color="auto" w:fill="auto"/>
            <w:noWrap/>
            <w:vAlign w:val="bottom"/>
            <w:hideMark/>
          </w:tcPr>
          <w:p w14:paraId="7224B9E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28,720 </w:t>
            </w:r>
          </w:p>
        </w:tc>
        <w:tc>
          <w:tcPr>
            <w:tcW w:w="664" w:type="dxa"/>
            <w:tcBorders>
              <w:top w:val="nil"/>
              <w:left w:val="nil"/>
              <w:bottom w:val="nil"/>
              <w:right w:val="nil"/>
            </w:tcBorders>
            <w:shd w:val="clear" w:color="auto" w:fill="auto"/>
            <w:noWrap/>
            <w:vAlign w:val="bottom"/>
            <w:hideMark/>
          </w:tcPr>
          <w:p w14:paraId="05FC374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22.4%</w:t>
            </w:r>
          </w:p>
        </w:tc>
        <w:tc>
          <w:tcPr>
            <w:tcW w:w="1198" w:type="dxa"/>
            <w:tcBorders>
              <w:top w:val="nil"/>
              <w:left w:val="nil"/>
              <w:bottom w:val="nil"/>
              <w:right w:val="nil"/>
            </w:tcBorders>
            <w:shd w:val="clear" w:color="auto" w:fill="auto"/>
            <w:noWrap/>
            <w:vAlign w:val="bottom"/>
            <w:hideMark/>
          </w:tcPr>
          <w:p w14:paraId="37E12B0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78,635 </w:t>
            </w:r>
          </w:p>
        </w:tc>
        <w:tc>
          <w:tcPr>
            <w:tcW w:w="664" w:type="dxa"/>
            <w:tcBorders>
              <w:top w:val="nil"/>
              <w:left w:val="nil"/>
              <w:bottom w:val="nil"/>
              <w:right w:val="nil"/>
            </w:tcBorders>
            <w:shd w:val="clear" w:color="auto" w:fill="auto"/>
            <w:noWrap/>
            <w:vAlign w:val="bottom"/>
            <w:hideMark/>
          </w:tcPr>
          <w:p w14:paraId="543BB68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20.9%</w:t>
            </w:r>
          </w:p>
        </w:tc>
        <w:tc>
          <w:tcPr>
            <w:tcW w:w="1178" w:type="dxa"/>
            <w:tcBorders>
              <w:top w:val="nil"/>
              <w:left w:val="nil"/>
              <w:bottom w:val="nil"/>
              <w:right w:val="nil"/>
            </w:tcBorders>
            <w:shd w:val="clear" w:color="auto" w:fill="auto"/>
            <w:noWrap/>
            <w:vAlign w:val="bottom"/>
            <w:hideMark/>
          </w:tcPr>
          <w:p w14:paraId="11D5575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176,765 </w:t>
            </w:r>
          </w:p>
        </w:tc>
        <w:tc>
          <w:tcPr>
            <w:tcW w:w="517" w:type="dxa"/>
            <w:tcBorders>
              <w:top w:val="nil"/>
              <w:left w:val="nil"/>
              <w:bottom w:val="nil"/>
              <w:right w:val="single" w:sz="4" w:space="0" w:color="auto"/>
            </w:tcBorders>
            <w:shd w:val="clear" w:color="auto" w:fill="auto"/>
            <w:noWrap/>
            <w:vAlign w:val="bottom"/>
            <w:hideMark/>
          </w:tcPr>
          <w:p w14:paraId="408494B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20.9%</w:t>
            </w:r>
          </w:p>
        </w:tc>
      </w:tr>
      <w:tr w:rsidR="00931E93" w:rsidRPr="00986C6D" w14:paraId="66A77E05"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4FF4D7E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7F0BD00B"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3rd most deprived</w:t>
            </w:r>
          </w:p>
        </w:tc>
        <w:tc>
          <w:tcPr>
            <w:tcW w:w="1068" w:type="dxa"/>
            <w:tcBorders>
              <w:top w:val="nil"/>
              <w:left w:val="nil"/>
              <w:bottom w:val="nil"/>
              <w:right w:val="nil"/>
            </w:tcBorders>
            <w:shd w:val="clear" w:color="auto" w:fill="auto"/>
            <w:noWrap/>
            <w:vAlign w:val="bottom"/>
            <w:hideMark/>
          </w:tcPr>
          <w:p w14:paraId="0339445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7,270 </w:t>
            </w:r>
          </w:p>
        </w:tc>
        <w:tc>
          <w:tcPr>
            <w:tcW w:w="664" w:type="dxa"/>
            <w:tcBorders>
              <w:top w:val="nil"/>
              <w:left w:val="nil"/>
              <w:bottom w:val="nil"/>
              <w:right w:val="nil"/>
            </w:tcBorders>
            <w:shd w:val="clear" w:color="auto" w:fill="auto"/>
            <w:noWrap/>
            <w:vAlign w:val="bottom"/>
            <w:hideMark/>
          </w:tcPr>
          <w:p w14:paraId="47005BC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20.2%</w:t>
            </w:r>
          </w:p>
        </w:tc>
        <w:tc>
          <w:tcPr>
            <w:tcW w:w="1068" w:type="dxa"/>
            <w:tcBorders>
              <w:top w:val="nil"/>
              <w:left w:val="nil"/>
              <w:bottom w:val="nil"/>
              <w:right w:val="nil"/>
            </w:tcBorders>
            <w:shd w:val="clear" w:color="auto" w:fill="auto"/>
            <w:noWrap/>
            <w:vAlign w:val="bottom"/>
            <w:hideMark/>
          </w:tcPr>
          <w:p w14:paraId="73CCEF4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11,915 </w:t>
            </w:r>
          </w:p>
        </w:tc>
        <w:tc>
          <w:tcPr>
            <w:tcW w:w="664" w:type="dxa"/>
            <w:tcBorders>
              <w:top w:val="nil"/>
              <w:left w:val="nil"/>
              <w:bottom w:val="nil"/>
              <w:right w:val="nil"/>
            </w:tcBorders>
            <w:shd w:val="clear" w:color="auto" w:fill="auto"/>
            <w:noWrap/>
            <w:vAlign w:val="bottom"/>
            <w:hideMark/>
          </w:tcPr>
          <w:p w14:paraId="18036FE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20.1%</w:t>
            </w:r>
          </w:p>
        </w:tc>
        <w:tc>
          <w:tcPr>
            <w:tcW w:w="1068" w:type="dxa"/>
            <w:tcBorders>
              <w:top w:val="nil"/>
              <w:left w:val="nil"/>
              <w:bottom w:val="nil"/>
              <w:right w:val="nil"/>
            </w:tcBorders>
            <w:shd w:val="clear" w:color="auto" w:fill="auto"/>
            <w:noWrap/>
            <w:vAlign w:val="bottom"/>
            <w:hideMark/>
          </w:tcPr>
          <w:p w14:paraId="56E98C5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16,075 </w:t>
            </w:r>
          </w:p>
        </w:tc>
        <w:tc>
          <w:tcPr>
            <w:tcW w:w="664" w:type="dxa"/>
            <w:tcBorders>
              <w:top w:val="nil"/>
              <w:left w:val="nil"/>
              <w:bottom w:val="nil"/>
              <w:right w:val="nil"/>
            </w:tcBorders>
            <w:shd w:val="clear" w:color="auto" w:fill="auto"/>
            <w:noWrap/>
            <w:vAlign w:val="bottom"/>
            <w:hideMark/>
          </w:tcPr>
          <w:p w14:paraId="58BAF7F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20.6%</w:t>
            </w:r>
          </w:p>
        </w:tc>
        <w:tc>
          <w:tcPr>
            <w:tcW w:w="1049" w:type="dxa"/>
            <w:tcBorders>
              <w:top w:val="nil"/>
              <w:left w:val="single" w:sz="4" w:space="0" w:color="auto"/>
              <w:bottom w:val="nil"/>
              <w:right w:val="nil"/>
            </w:tcBorders>
            <w:shd w:val="clear" w:color="auto" w:fill="auto"/>
            <w:noWrap/>
            <w:vAlign w:val="bottom"/>
            <w:hideMark/>
          </w:tcPr>
          <w:p w14:paraId="17C7CEA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25,220 </w:t>
            </w:r>
          </w:p>
        </w:tc>
        <w:tc>
          <w:tcPr>
            <w:tcW w:w="664" w:type="dxa"/>
            <w:tcBorders>
              <w:top w:val="nil"/>
              <w:left w:val="nil"/>
              <w:bottom w:val="nil"/>
              <w:right w:val="nil"/>
            </w:tcBorders>
            <w:shd w:val="clear" w:color="auto" w:fill="auto"/>
            <w:noWrap/>
            <w:vAlign w:val="bottom"/>
            <w:hideMark/>
          </w:tcPr>
          <w:p w14:paraId="67504D5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19.7%</w:t>
            </w:r>
          </w:p>
        </w:tc>
        <w:tc>
          <w:tcPr>
            <w:tcW w:w="1198" w:type="dxa"/>
            <w:tcBorders>
              <w:top w:val="nil"/>
              <w:left w:val="nil"/>
              <w:bottom w:val="nil"/>
              <w:right w:val="nil"/>
            </w:tcBorders>
            <w:shd w:val="clear" w:color="auto" w:fill="auto"/>
            <w:noWrap/>
            <w:vAlign w:val="bottom"/>
            <w:hideMark/>
          </w:tcPr>
          <w:p w14:paraId="0EB3C69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75,255 </w:t>
            </w:r>
          </w:p>
        </w:tc>
        <w:tc>
          <w:tcPr>
            <w:tcW w:w="664" w:type="dxa"/>
            <w:tcBorders>
              <w:top w:val="nil"/>
              <w:left w:val="nil"/>
              <w:bottom w:val="nil"/>
              <w:right w:val="nil"/>
            </w:tcBorders>
            <w:shd w:val="clear" w:color="auto" w:fill="auto"/>
            <w:noWrap/>
            <w:vAlign w:val="bottom"/>
            <w:hideMark/>
          </w:tcPr>
          <w:p w14:paraId="21D578D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20.0%</w:t>
            </w:r>
          </w:p>
        </w:tc>
        <w:tc>
          <w:tcPr>
            <w:tcW w:w="1178" w:type="dxa"/>
            <w:tcBorders>
              <w:top w:val="nil"/>
              <w:left w:val="nil"/>
              <w:bottom w:val="nil"/>
              <w:right w:val="nil"/>
            </w:tcBorders>
            <w:shd w:val="clear" w:color="auto" w:fill="auto"/>
            <w:noWrap/>
            <w:vAlign w:val="bottom"/>
            <w:hideMark/>
          </w:tcPr>
          <w:p w14:paraId="158A045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172,680 </w:t>
            </w:r>
          </w:p>
        </w:tc>
        <w:tc>
          <w:tcPr>
            <w:tcW w:w="517" w:type="dxa"/>
            <w:tcBorders>
              <w:top w:val="nil"/>
              <w:left w:val="nil"/>
              <w:bottom w:val="nil"/>
              <w:right w:val="single" w:sz="4" w:space="0" w:color="auto"/>
            </w:tcBorders>
            <w:shd w:val="clear" w:color="auto" w:fill="auto"/>
            <w:noWrap/>
            <w:vAlign w:val="bottom"/>
            <w:hideMark/>
          </w:tcPr>
          <w:p w14:paraId="6AD41E9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20.4%</w:t>
            </w:r>
          </w:p>
        </w:tc>
      </w:tr>
      <w:tr w:rsidR="00931E93" w:rsidRPr="00986C6D" w14:paraId="07B512B0"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429A71F0"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3A11E22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2nd least deprived</w:t>
            </w:r>
          </w:p>
        </w:tc>
        <w:tc>
          <w:tcPr>
            <w:tcW w:w="1068" w:type="dxa"/>
            <w:tcBorders>
              <w:top w:val="nil"/>
              <w:left w:val="nil"/>
              <w:bottom w:val="nil"/>
              <w:right w:val="nil"/>
            </w:tcBorders>
            <w:shd w:val="clear" w:color="auto" w:fill="auto"/>
            <w:noWrap/>
            <w:vAlign w:val="bottom"/>
            <w:hideMark/>
          </w:tcPr>
          <w:p w14:paraId="5B1D9D1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6,915 </w:t>
            </w:r>
          </w:p>
        </w:tc>
        <w:tc>
          <w:tcPr>
            <w:tcW w:w="664" w:type="dxa"/>
            <w:tcBorders>
              <w:top w:val="nil"/>
              <w:left w:val="nil"/>
              <w:bottom w:val="nil"/>
              <w:right w:val="nil"/>
            </w:tcBorders>
            <w:shd w:val="clear" w:color="auto" w:fill="auto"/>
            <w:noWrap/>
            <w:vAlign w:val="bottom"/>
            <w:hideMark/>
          </w:tcPr>
          <w:p w14:paraId="1A20CB5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19.2%</w:t>
            </w:r>
          </w:p>
        </w:tc>
        <w:tc>
          <w:tcPr>
            <w:tcW w:w="1068" w:type="dxa"/>
            <w:tcBorders>
              <w:top w:val="nil"/>
              <w:left w:val="nil"/>
              <w:bottom w:val="nil"/>
              <w:right w:val="nil"/>
            </w:tcBorders>
            <w:shd w:val="clear" w:color="auto" w:fill="auto"/>
            <w:noWrap/>
            <w:vAlign w:val="bottom"/>
            <w:hideMark/>
          </w:tcPr>
          <w:p w14:paraId="772644E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12,035 </w:t>
            </w:r>
          </w:p>
        </w:tc>
        <w:tc>
          <w:tcPr>
            <w:tcW w:w="664" w:type="dxa"/>
            <w:tcBorders>
              <w:top w:val="nil"/>
              <w:left w:val="nil"/>
              <w:bottom w:val="nil"/>
              <w:right w:val="nil"/>
            </w:tcBorders>
            <w:shd w:val="clear" w:color="auto" w:fill="auto"/>
            <w:noWrap/>
            <w:vAlign w:val="bottom"/>
            <w:hideMark/>
          </w:tcPr>
          <w:p w14:paraId="122DA8B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20.3%</w:t>
            </w:r>
          </w:p>
        </w:tc>
        <w:tc>
          <w:tcPr>
            <w:tcW w:w="1068" w:type="dxa"/>
            <w:tcBorders>
              <w:top w:val="nil"/>
              <w:left w:val="nil"/>
              <w:bottom w:val="nil"/>
              <w:right w:val="nil"/>
            </w:tcBorders>
            <w:shd w:val="clear" w:color="auto" w:fill="auto"/>
            <w:noWrap/>
            <w:vAlign w:val="bottom"/>
            <w:hideMark/>
          </w:tcPr>
          <w:p w14:paraId="7CAE057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15,375 </w:t>
            </w:r>
          </w:p>
        </w:tc>
        <w:tc>
          <w:tcPr>
            <w:tcW w:w="664" w:type="dxa"/>
            <w:tcBorders>
              <w:top w:val="nil"/>
              <w:left w:val="nil"/>
              <w:bottom w:val="nil"/>
              <w:right w:val="nil"/>
            </w:tcBorders>
            <w:shd w:val="clear" w:color="auto" w:fill="auto"/>
            <w:noWrap/>
            <w:vAlign w:val="bottom"/>
            <w:hideMark/>
          </w:tcPr>
          <w:p w14:paraId="3B156F2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19.7%</w:t>
            </w:r>
          </w:p>
        </w:tc>
        <w:tc>
          <w:tcPr>
            <w:tcW w:w="1049" w:type="dxa"/>
            <w:tcBorders>
              <w:top w:val="nil"/>
              <w:left w:val="single" w:sz="4" w:space="0" w:color="auto"/>
              <w:bottom w:val="nil"/>
              <w:right w:val="nil"/>
            </w:tcBorders>
            <w:shd w:val="clear" w:color="auto" w:fill="auto"/>
            <w:noWrap/>
            <w:vAlign w:val="bottom"/>
            <w:hideMark/>
          </w:tcPr>
          <w:p w14:paraId="405687A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21,645 </w:t>
            </w:r>
          </w:p>
        </w:tc>
        <w:tc>
          <w:tcPr>
            <w:tcW w:w="664" w:type="dxa"/>
            <w:tcBorders>
              <w:top w:val="nil"/>
              <w:left w:val="nil"/>
              <w:bottom w:val="nil"/>
              <w:right w:val="nil"/>
            </w:tcBorders>
            <w:shd w:val="clear" w:color="auto" w:fill="auto"/>
            <w:noWrap/>
            <w:vAlign w:val="bottom"/>
            <w:hideMark/>
          </w:tcPr>
          <w:p w14:paraId="52A00DD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16.9%</w:t>
            </w:r>
          </w:p>
        </w:tc>
        <w:tc>
          <w:tcPr>
            <w:tcW w:w="1198" w:type="dxa"/>
            <w:tcBorders>
              <w:top w:val="nil"/>
              <w:left w:val="nil"/>
              <w:bottom w:val="nil"/>
              <w:right w:val="nil"/>
            </w:tcBorders>
            <w:shd w:val="clear" w:color="auto" w:fill="auto"/>
            <w:noWrap/>
            <w:vAlign w:val="bottom"/>
            <w:hideMark/>
          </w:tcPr>
          <w:p w14:paraId="614056C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70,110 </w:t>
            </w:r>
          </w:p>
        </w:tc>
        <w:tc>
          <w:tcPr>
            <w:tcW w:w="664" w:type="dxa"/>
            <w:tcBorders>
              <w:top w:val="nil"/>
              <w:left w:val="nil"/>
              <w:bottom w:val="nil"/>
              <w:right w:val="nil"/>
            </w:tcBorders>
            <w:shd w:val="clear" w:color="auto" w:fill="auto"/>
            <w:noWrap/>
            <w:vAlign w:val="bottom"/>
            <w:hideMark/>
          </w:tcPr>
          <w:p w14:paraId="7C4D464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18.7%</w:t>
            </w:r>
          </w:p>
        </w:tc>
        <w:tc>
          <w:tcPr>
            <w:tcW w:w="1178" w:type="dxa"/>
            <w:tcBorders>
              <w:top w:val="nil"/>
              <w:left w:val="nil"/>
              <w:bottom w:val="nil"/>
              <w:right w:val="nil"/>
            </w:tcBorders>
            <w:shd w:val="clear" w:color="auto" w:fill="auto"/>
            <w:noWrap/>
            <w:vAlign w:val="bottom"/>
            <w:hideMark/>
          </w:tcPr>
          <w:p w14:paraId="3B8D66D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158,250 </w:t>
            </w:r>
          </w:p>
        </w:tc>
        <w:tc>
          <w:tcPr>
            <w:tcW w:w="517" w:type="dxa"/>
            <w:tcBorders>
              <w:top w:val="nil"/>
              <w:left w:val="nil"/>
              <w:bottom w:val="nil"/>
              <w:right w:val="single" w:sz="4" w:space="0" w:color="auto"/>
            </w:tcBorders>
            <w:shd w:val="clear" w:color="auto" w:fill="auto"/>
            <w:noWrap/>
            <w:vAlign w:val="bottom"/>
            <w:hideMark/>
          </w:tcPr>
          <w:p w14:paraId="3AAFDCC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18.7%</w:t>
            </w:r>
          </w:p>
        </w:tc>
      </w:tr>
      <w:tr w:rsidR="00931E93" w:rsidRPr="00986C6D" w14:paraId="1490F92F"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489AA85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70396A4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Least deprived</w:t>
            </w:r>
          </w:p>
        </w:tc>
        <w:tc>
          <w:tcPr>
            <w:tcW w:w="1068" w:type="dxa"/>
            <w:tcBorders>
              <w:top w:val="nil"/>
              <w:left w:val="nil"/>
              <w:bottom w:val="nil"/>
              <w:right w:val="nil"/>
            </w:tcBorders>
            <w:shd w:val="clear" w:color="auto" w:fill="auto"/>
            <w:noWrap/>
            <w:vAlign w:val="bottom"/>
            <w:hideMark/>
          </w:tcPr>
          <w:p w14:paraId="65AFCB2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6,620 </w:t>
            </w:r>
          </w:p>
        </w:tc>
        <w:tc>
          <w:tcPr>
            <w:tcW w:w="664" w:type="dxa"/>
            <w:tcBorders>
              <w:top w:val="nil"/>
              <w:left w:val="nil"/>
              <w:bottom w:val="nil"/>
              <w:right w:val="nil"/>
            </w:tcBorders>
            <w:shd w:val="clear" w:color="auto" w:fill="auto"/>
            <w:noWrap/>
            <w:vAlign w:val="bottom"/>
            <w:hideMark/>
          </w:tcPr>
          <w:p w14:paraId="2410DC5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18.3%</w:t>
            </w:r>
          </w:p>
        </w:tc>
        <w:tc>
          <w:tcPr>
            <w:tcW w:w="1068" w:type="dxa"/>
            <w:tcBorders>
              <w:top w:val="nil"/>
              <w:left w:val="nil"/>
              <w:bottom w:val="nil"/>
              <w:right w:val="nil"/>
            </w:tcBorders>
            <w:shd w:val="clear" w:color="auto" w:fill="auto"/>
            <w:noWrap/>
            <w:vAlign w:val="bottom"/>
            <w:hideMark/>
          </w:tcPr>
          <w:p w14:paraId="35E22BF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12,070 </w:t>
            </w:r>
          </w:p>
        </w:tc>
        <w:tc>
          <w:tcPr>
            <w:tcW w:w="664" w:type="dxa"/>
            <w:tcBorders>
              <w:top w:val="nil"/>
              <w:left w:val="nil"/>
              <w:bottom w:val="nil"/>
              <w:right w:val="nil"/>
            </w:tcBorders>
            <w:shd w:val="clear" w:color="auto" w:fill="auto"/>
            <w:noWrap/>
            <w:vAlign w:val="bottom"/>
            <w:hideMark/>
          </w:tcPr>
          <w:p w14:paraId="40BE1A5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20.3%</w:t>
            </w:r>
          </w:p>
        </w:tc>
        <w:tc>
          <w:tcPr>
            <w:tcW w:w="1068" w:type="dxa"/>
            <w:tcBorders>
              <w:top w:val="nil"/>
              <w:left w:val="nil"/>
              <w:bottom w:val="nil"/>
              <w:right w:val="nil"/>
            </w:tcBorders>
            <w:shd w:val="clear" w:color="auto" w:fill="auto"/>
            <w:noWrap/>
            <w:vAlign w:val="bottom"/>
            <w:hideMark/>
          </w:tcPr>
          <w:p w14:paraId="58066E5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14,760 </w:t>
            </w:r>
          </w:p>
        </w:tc>
        <w:tc>
          <w:tcPr>
            <w:tcW w:w="664" w:type="dxa"/>
            <w:tcBorders>
              <w:top w:val="nil"/>
              <w:left w:val="nil"/>
              <w:bottom w:val="nil"/>
              <w:right w:val="nil"/>
            </w:tcBorders>
            <w:shd w:val="clear" w:color="auto" w:fill="auto"/>
            <w:noWrap/>
            <w:vAlign w:val="bottom"/>
            <w:hideMark/>
          </w:tcPr>
          <w:p w14:paraId="09C4433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18.9%</w:t>
            </w:r>
          </w:p>
        </w:tc>
        <w:tc>
          <w:tcPr>
            <w:tcW w:w="1049" w:type="dxa"/>
            <w:tcBorders>
              <w:top w:val="nil"/>
              <w:left w:val="single" w:sz="4" w:space="0" w:color="auto"/>
              <w:bottom w:val="nil"/>
              <w:right w:val="nil"/>
            </w:tcBorders>
            <w:shd w:val="clear" w:color="auto" w:fill="auto"/>
            <w:noWrap/>
            <w:vAlign w:val="bottom"/>
            <w:hideMark/>
          </w:tcPr>
          <w:p w14:paraId="4954857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19,040 </w:t>
            </w:r>
          </w:p>
        </w:tc>
        <w:tc>
          <w:tcPr>
            <w:tcW w:w="664" w:type="dxa"/>
            <w:tcBorders>
              <w:top w:val="nil"/>
              <w:left w:val="nil"/>
              <w:bottom w:val="nil"/>
              <w:right w:val="nil"/>
            </w:tcBorders>
            <w:shd w:val="clear" w:color="auto" w:fill="auto"/>
            <w:noWrap/>
            <w:vAlign w:val="bottom"/>
            <w:hideMark/>
          </w:tcPr>
          <w:p w14:paraId="4A917EF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14.9%</w:t>
            </w:r>
          </w:p>
        </w:tc>
        <w:tc>
          <w:tcPr>
            <w:tcW w:w="1198" w:type="dxa"/>
            <w:tcBorders>
              <w:top w:val="nil"/>
              <w:left w:val="nil"/>
              <w:bottom w:val="nil"/>
              <w:right w:val="nil"/>
            </w:tcBorders>
            <w:shd w:val="clear" w:color="auto" w:fill="auto"/>
            <w:noWrap/>
            <w:vAlign w:val="bottom"/>
            <w:hideMark/>
          </w:tcPr>
          <w:p w14:paraId="4AC1E92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63,540 </w:t>
            </w:r>
          </w:p>
        </w:tc>
        <w:tc>
          <w:tcPr>
            <w:tcW w:w="664" w:type="dxa"/>
            <w:tcBorders>
              <w:top w:val="nil"/>
              <w:left w:val="nil"/>
              <w:bottom w:val="nil"/>
              <w:right w:val="nil"/>
            </w:tcBorders>
            <w:shd w:val="clear" w:color="auto" w:fill="auto"/>
            <w:noWrap/>
            <w:vAlign w:val="bottom"/>
            <w:hideMark/>
          </w:tcPr>
          <w:p w14:paraId="0C1997C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16.9%</w:t>
            </w:r>
          </w:p>
        </w:tc>
        <w:tc>
          <w:tcPr>
            <w:tcW w:w="1178" w:type="dxa"/>
            <w:tcBorders>
              <w:top w:val="nil"/>
              <w:left w:val="nil"/>
              <w:bottom w:val="nil"/>
              <w:right w:val="nil"/>
            </w:tcBorders>
            <w:shd w:val="clear" w:color="auto" w:fill="auto"/>
            <w:noWrap/>
            <w:vAlign w:val="bottom"/>
            <w:hideMark/>
          </w:tcPr>
          <w:p w14:paraId="4CE1037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139,585 </w:t>
            </w:r>
          </w:p>
        </w:tc>
        <w:tc>
          <w:tcPr>
            <w:tcW w:w="517" w:type="dxa"/>
            <w:tcBorders>
              <w:top w:val="nil"/>
              <w:left w:val="nil"/>
              <w:bottom w:val="nil"/>
              <w:right w:val="single" w:sz="4" w:space="0" w:color="auto"/>
            </w:tcBorders>
            <w:shd w:val="clear" w:color="auto" w:fill="auto"/>
            <w:noWrap/>
            <w:vAlign w:val="bottom"/>
            <w:hideMark/>
          </w:tcPr>
          <w:p w14:paraId="6F4DBE7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16.5%</w:t>
            </w:r>
          </w:p>
        </w:tc>
      </w:tr>
      <w:tr w:rsidR="00931E93" w:rsidRPr="00986C6D" w14:paraId="519D5737"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18B42FA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5395009E"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Missing</w:t>
            </w:r>
          </w:p>
        </w:tc>
        <w:tc>
          <w:tcPr>
            <w:tcW w:w="1068" w:type="dxa"/>
            <w:tcBorders>
              <w:top w:val="nil"/>
              <w:left w:val="nil"/>
              <w:bottom w:val="nil"/>
              <w:right w:val="nil"/>
            </w:tcBorders>
            <w:shd w:val="clear" w:color="auto" w:fill="auto"/>
            <w:noWrap/>
            <w:vAlign w:val="bottom"/>
            <w:hideMark/>
          </w:tcPr>
          <w:p w14:paraId="16459D4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1,150 </w:t>
            </w:r>
          </w:p>
        </w:tc>
        <w:tc>
          <w:tcPr>
            <w:tcW w:w="664" w:type="dxa"/>
            <w:tcBorders>
              <w:top w:val="nil"/>
              <w:left w:val="nil"/>
              <w:bottom w:val="nil"/>
              <w:right w:val="nil"/>
            </w:tcBorders>
            <w:shd w:val="clear" w:color="auto" w:fill="auto"/>
            <w:noWrap/>
            <w:vAlign w:val="bottom"/>
            <w:hideMark/>
          </w:tcPr>
          <w:p w14:paraId="07AF1AD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63A4609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1,830 </w:t>
            </w:r>
          </w:p>
        </w:tc>
        <w:tc>
          <w:tcPr>
            <w:tcW w:w="664" w:type="dxa"/>
            <w:tcBorders>
              <w:top w:val="nil"/>
              <w:left w:val="nil"/>
              <w:bottom w:val="nil"/>
              <w:right w:val="nil"/>
            </w:tcBorders>
            <w:shd w:val="clear" w:color="auto" w:fill="auto"/>
            <w:noWrap/>
            <w:vAlign w:val="bottom"/>
            <w:hideMark/>
          </w:tcPr>
          <w:p w14:paraId="341BA36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235898F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2,415 </w:t>
            </w:r>
          </w:p>
        </w:tc>
        <w:tc>
          <w:tcPr>
            <w:tcW w:w="664" w:type="dxa"/>
            <w:tcBorders>
              <w:top w:val="nil"/>
              <w:left w:val="nil"/>
              <w:bottom w:val="nil"/>
              <w:right w:val="nil"/>
            </w:tcBorders>
            <w:shd w:val="clear" w:color="auto" w:fill="auto"/>
            <w:noWrap/>
            <w:vAlign w:val="bottom"/>
            <w:hideMark/>
          </w:tcPr>
          <w:p w14:paraId="18F1CAF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0F047A9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4,155 </w:t>
            </w:r>
          </w:p>
        </w:tc>
        <w:tc>
          <w:tcPr>
            <w:tcW w:w="664" w:type="dxa"/>
            <w:tcBorders>
              <w:top w:val="nil"/>
              <w:left w:val="nil"/>
              <w:bottom w:val="nil"/>
              <w:right w:val="nil"/>
            </w:tcBorders>
            <w:shd w:val="clear" w:color="auto" w:fill="auto"/>
            <w:noWrap/>
            <w:vAlign w:val="bottom"/>
            <w:hideMark/>
          </w:tcPr>
          <w:p w14:paraId="39E0AFC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7BC5325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11,380 </w:t>
            </w:r>
          </w:p>
        </w:tc>
        <w:tc>
          <w:tcPr>
            <w:tcW w:w="664" w:type="dxa"/>
            <w:tcBorders>
              <w:top w:val="nil"/>
              <w:left w:val="nil"/>
              <w:bottom w:val="nil"/>
              <w:right w:val="nil"/>
            </w:tcBorders>
            <w:shd w:val="clear" w:color="auto" w:fill="auto"/>
            <w:noWrap/>
            <w:vAlign w:val="bottom"/>
            <w:hideMark/>
          </w:tcPr>
          <w:p w14:paraId="5729693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78" w:type="dxa"/>
            <w:tcBorders>
              <w:top w:val="nil"/>
              <w:left w:val="nil"/>
              <w:bottom w:val="nil"/>
              <w:right w:val="nil"/>
            </w:tcBorders>
            <w:shd w:val="clear" w:color="auto" w:fill="auto"/>
            <w:noWrap/>
            <w:vAlign w:val="bottom"/>
            <w:hideMark/>
          </w:tcPr>
          <w:p w14:paraId="6AB6E1A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33,255 </w:t>
            </w:r>
          </w:p>
        </w:tc>
        <w:tc>
          <w:tcPr>
            <w:tcW w:w="517" w:type="dxa"/>
            <w:tcBorders>
              <w:top w:val="nil"/>
              <w:left w:val="nil"/>
              <w:bottom w:val="nil"/>
              <w:right w:val="single" w:sz="4" w:space="0" w:color="auto"/>
            </w:tcBorders>
            <w:shd w:val="clear" w:color="auto" w:fill="auto"/>
            <w:noWrap/>
            <w:vAlign w:val="bottom"/>
            <w:hideMark/>
          </w:tcPr>
          <w:p w14:paraId="04FBF97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3D06EAF6" w14:textId="77777777" w:rsidTr="00154DE3">
        <w:trPr>
          <w:trHeight w:val="233"/>
        </w:trPr>
        <w:tc>
          <w:tcPr>
            <w:tcW w:w="2520" w:type="dxa"/>
            <w:gridSpan w:val="2"/>
            <w:tcBorders>
              <w:top w:val="nil"/>
              <w:left w:val="single" w:sz="4" w:space="0" w:color="auto"/>
              <w:bottom w:val="nil"/>
              <w:right w:val="single" w:sz="4" w:space="0" w:color="000000"/>
            </w:tcBorders>
            <w:shd w:val="clear" w:color="auto" w:fill="auto"/>
            <w:noWrap/>
            <w:vAlign w:val="bottom"/>
            <w:hideMark/>
          </w:tcPr>
          <w:p w14:paraId="1C27B9C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Ethnic group</w:t>
            </w:r>
          </w:p>
        </w:tc>
        <w:tc>
          <w:tcPr>
            <w:tcW w:w="1068" w:type="dxa"/>
            <w:tcBorders>
              <w:top w:val="nil"/>
              <w:left w:val="nil"/>
              <w:bottom w:val="nil"/>
              <w:right w:val="nil"/>
            </w:tcBorders>
            <w:shd w:val="clear" w:color="auto" w:fill="auto"/>
            <w:noWrap/>
            <w:vAlign w:val="bottom"/>
            <w:hideMark/>
          </w:tcPr>
          <w:p w14:paraId="3B0F47E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664" w:type="dxa"/>
            <w:tcBorders>
              <w:top w:val="nil"/>
              <w:left w:val="nil"/>
              <w:bottom w:val="nil"/>
              <w:right w:val="nil"/>
            </w:tcBorders>
            <w:shd w:val="clear" w:color="auto" w:fill="auto"/>
            <w:noWrap/>
            <w:vAlign w:val="bottom"/>
            <w:hideMark/>
          </w:tcPr>
          <w:p w14:paraId="54477596"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5476EC8F"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715E0775"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3F5107B8"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22A1ED32"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3915585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664" w:type="dxa"/>
            <w:tcBorders>
              <w:top w:val="nil"/>
              <w:left w:val="nil"/>
              <w:bottom w:val="nil"/>
              <w:right w:val="nil"/>
            </w:tcBorders>
            <w:shd w:val="clear" w:color="auto" w:fill="auto"/>
            <w:noWrap/>
            <w:vAlign w:val="bottom"/>
            <w:hideMark/>
          </w:tcPr>
          <w:p w14:paraId="02EB4F9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1858EDA2"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26A125EA"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178" w:type="dxa"/>
            <w:tcBorders>
              <w:top w:val="nil"/>
              <w:left w:val="nil"/>
              <w:bottom w:val="nil"/>
              <w:right w:val="nil"/>
            </w:tcBorders>
            <w:shd w:val="clear" w:color="auto" w:fill="auto"/>
            <w:noWrap/>
            <w:vAlign w:val="bottom"/>
            <w:hideMark/>
          </w:tcPr>
          <w:p w14:paraId="0F38461F"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517" w:type="dxa"/>
            <w:tcBorders>
              <w:top w:val="nil"/>
              <w:left w:val="nil"/>
              <w:bottom w:val="nil"/>
              <w:right w:val="single" w:sz="4" w:space="0" w:color="auto"/>
            </w:tcBorders>
            <w:shd w:val="clear" w:color="auto" w:fill="auto"/>
            <w:noWrap/>
            <w:vAlign w:val="bottom"/>
            <w:hideMark/>
          </w:tcPr>
          <w:p w14:paraId="7CE6CB0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2506D34F"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4D70B41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77BA80B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White</w:t>
            </w:r>
          </w:p>
        </w:tc>
        <w:tc>
          <w:tcPr>
            <w:tcW w:w="1068" w:type="dxa"/>
            <w:tcBorders>
              <w:top w:val="nil"/>
              <w:left w:val="nil"/>
              <w:bottom w:val="nil"/>
              <w:right w:val="nil"/>
            </w:tcBorders>
            <w:shd w:val="clear" w:color="auto" w:fill="auto"/>
            <w:noWrap/>
            <w:vAlign w:val="bottom"/>
            <w:hideMark/>
          </w:tcPr>
          <w:p w14:paraId="48E8F7E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30,000 </w:t>
            </w:r>
          </w:p>
        </w:tc>
        <w:tc>
          <w:tcPr>
            <w:tcW w:w="664" w:type="dxa"/>
            <w:tcBorders>
              <w:top w:val="nil"/>
              <w:left w:val="nil"/>
              <w:bottom w:val="nil"/>
              <w:right w:val="nil"/>
            </w:tcBorders>
            <w:shd w:val="clear" w:color="auto" w:fill="auto"/>
            <w:noWrap/>
            <w:vAlign w:val="bottom"/>
            <w:hideMark/>
          </w:tcPr>
          <w:p w14:paraId="2C7BF3E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89.1%</w:t>
            </w:r>
          </w:p>
        </w:tc>
        <w:tc>
          <w:tcPr>
            <w:tcW w:w="1068" w:type="dxa"/>
            <w:tcBorders>
              <w:top w:val="nil"/>
              <w:left w:val="nil"/>
              <w:bottom w:val="nil"/>
              <w:right w:val="nil"/>
            </w:tcBorders>
            <w:shd w:val="clear" w:color="auto" w:fill="auto"/>
            <w:noWrap/>
            <w:vAlign w:val="bottom"/>
            <w:hideMark/>
          </w:tcPr>
          <w:p w14:paraId="2A4980B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50,365 </w:t>
            </w:r>
          </w:p>
        </w:tc>
        <w:tc>
          <w:tcPr>
            <w:tcW w:w="664" w:type="dxa"/>
            <w:tcBorders>
              <w:top w:val="nil"/>
              <w:left w:val="nil"/>
              <w:bottom w:val="nil"/>
              <w:right w:val="nil"/>
            </w:tcBorders>
            <w:shd w:val="clear" w:color="auto" w:fill="auto"/>
            <w:noWrap/>
            <w:vAlign w:val="bottom"/>
            <w:hideMark/>
          </w:tcPr>
          <w:p w14:paraId="60DCFB5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89.6%</w:t>
            </w:r>
          </w:p>
        </w:tc>
        <w:tc>
          <w:tcPr>
            <w:tcW w:w="1068" w:type="dxa"/>
            <w:tcBorders>
              <w:top w:val="nil"/>
              <w:left w:val="nil"/>
              <w:bottom w:val="nil"/>
              <w:right w:val="nil"/>
            </w:tcBorders>
            <w:shd w:val="clear" w:color="auto" w:fill="auto"/>
            <w:noWrap/>
            <w:vAlign w:val="bottom"/>
            <w:hideMark/>
          </w:tcPr>
          <w:p w14:paraId="18A2742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65,885 </w:t>
            </w:r>
          </w:p>
        </w:tc>
        <w:tc>
          <w:tcPr>
            <w:tcW w:w="664" w:type="dxa"/>
            <w:tcBorders>
              <w:top w:val="nil"/>
              <w:left w:val="nil"/>
              <w:bottom w:val="nil"/>
              <w:right w:val="nil"/>
            </w:tcBorders>
            <w:shd w:val="clear" w:color="auto" w:fill="auto"/>
            <w:noWrap/>
            <w:vAlign w:val="bottom"/>
            <w:hideMark/>
          </w:tcPr>
          <w:p w14:paraId="2B4DA25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87.9%</w:t>
            </w:r>
          </w:p>
        </w:tc>
        <w:tc>
          <w:tcPr>
            <w:tcW w:w="1049" w:type="dxa"/>
            <w:tcBorders>
              <w:top w:val="nil"/>
              <w:left w:val="single" w:sz="4" w:space="0" w:color="auto"/>
              <w:bottom w:val="nil"/>
              <w:right w:val="nil"/>
            </w:tcBorders>
            <w:shd w:val="clear" w:color="auto" w:fill="auto"/>
            <w:noWrap/>
            <w:vAlign w:val="bottom"/>
            <w:hideMark/>
          </w:tcPr>
          <w:p w14:paraId="5C5A2F6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83,910 </w:t>
            </w:r>
          </w:p>
        </w:tc>
        <w:tc>
          <w:tcPr>
            <w:tcW w:w="664" w:type="dxa"/>
            <w:tcBorders>
              <w:top w:val="nil"/>
              <w:left w:val="nil"/>
              <w:bottom w:val="nil"/>
              <w:right w:val="nil"/>
            </w:tcBorders>
            <w:shd w:val="clear" w:color="auto" w:fill="auto"/>
            <w:noWrap/>
            <w:vAlign w:val="bottom"/>
            <w:hideMark/>
          </w:tcPr>
          <w:p w14:paraId="0AD9AB6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73.3%</w:t>
            </w:r>
          </w:p>
        </w:tc>
        <w:tc>
          <w:tcPr>
            <w:tcW w:w="1198" w:type="dxa"/>
            <w:tcBorders>
              <w:top w:val="nil"/>
              <w:left w:val="nil"/>
              <w:bottom w:val="nil"/>
              <w:right w:val="nil"/>
            </w:tcBorders>
            <w:shd w:val="clear" w:color="auto" w:fill="auto"/>
            <w:noWrap/>
            <w:vAlign w:val="bottom"/>
            <w:hideMark/>
          </w:tcPr>
          <w:p w14:paraId="5B90991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265,790 </w:t>
            </w:r>
          </w:p>
        </w:tc>
        <w:tc>
          <w:tcPr>
            <w:tcW w:w="664" w:type="dxa"/>
            <w:tcBorders>
              <w:top w:val="nil"/>
              <w:left w:val="nil"/>
              <w:bottom w:val="nil"/>
              <w:right w:val="nil"/>
            </w:tcBorders>
            <w:shd w:val="clear" w:color="auto" w:fill="auto"/>
            <w:noWrap/>
            <w:vAlign w:val="bottom"/>
            <w:hideMark/>
          </w:tcPr>
          <w:p w14:paraId="554D833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79.1%</w:t>
            </w:r>
          </w:p>
        </w:tc>
        <w:tc>
          <w:tcPr>
            <w:tcW w:w="1178" w:type="dxa"/>
            <w:tcBorders>
              <w:top w:val="nil"/>
              <w:left w:val="nil"/>
              <w:bottom w:val="nil"/>
              <w:right w:val="nil"/>
            </w:tcBorders>
            <w:shd w:val="clear" w:color="auto" w:fill="auto"/>
            <w:noWrap/>
            <w:vAlign w:val="bottom"/>
            <w:hideMark/>
          </w:tcPr>
          <w:p w14:paraId="19B06F0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627,640 </w:t>
            </w:r>
          </w:p>
        </w:tc>
        <w:tc>
          <w:tcPr>
            <w:tcW w:w="517" w:type="dxa"/>
            <w:tcBorders>
              <w:top w:val="nil"/>
              <w:left w:val="nil"/>
              <w:bottom w:val="nil"/>
              <w:right w:val="single" w:sz="4" w:space="0" w:color="auto"/>
            </w:tcBorders>
            <w:shd w:val="clear" w:color="auto" w:fill="auto"/>
            <w:noWrap/>
            <w:vAlign w:val="bottom"/>
            <w:hideMark/>
          </w:tcPr>
          <w:p w14:paraId="209F943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80.8%</w:t>
            </w:r>
          </w:p>
        </w:tc>
      </w:tr>
      <w:tr w:rsidR="00931E93" w:rsidRPr="00986C6D" w14:paraId="07163A38"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11E54DC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24E66B9E"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Mixed</w:t>
            </w:r>
          </w:p>
        </w:tc>
        <w:tc>
          <w:tcPr>
            <w:tcW w:w="1068" w:type="dxa"/>
            <w:tcBorders>
              <w:top w:val="nil"/>
              <w:left w:val="nil"/>
              <w:bottom w:val="nil"/>
              <w:right w:val="nil"/>
            </w:tcBorders>
            <w:shd w:val="clear" w:color="auto" w:fill="auto"/>
            <w:noWrap/>
            <w:vAlign w:val="bottom"/>
            <w:hideMark/>
          </w:tcPr>
          <w:p w14:paraId="36BB647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340 </w:t>
            </w:r>
          </w:p>
        </w:tc>
        <w:tc>
          <w:tcPr>
            <w:tcW w:w="664" w:type="dxa"/>
            <w:tcBorders>
              <w:top w:val="nil"/>
              <w:left w:val="nil"/>
              <w:bottom w:val="nil"/>
              <w:right w:val="nil"/>
            </w:tcBorders>
            <w:shd w:val="clear" w:color="auto" w:fill="auto"/>
            <w:noWrap/>
            <w:vAlign w:val="bottom"/>
            <w:hideMark/>
          </w:tcPr>
          <w:p w14:paraId="4E0906E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w:t>
            </w:r>
          </w:p>
        </w:tc>
        <w:tc>
          <w:tcPr>
            <w:tcW w:w="1068" w:type="dxa"/>
            <w:tcBorders>
              <w:top w:val="nil"/>
              <w:left w:val="nil"/>
              <w:bottom w:val="nil"/>
              <w:right w:val="nil"/>
            </w:tcBorders>
            <w:shd w:val="clear" w:color="auto" w:fill="auto"/>
            <w:noWrap/>
            <w:vAlign w:val="bottom"/>
            <w:hideMark/>
          </w:tcPr>
          <w:p w14:paraId="4B5BEE6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430 </w:t>
            </w:r>
          </w:p>
        </w:tc>
        <w:tc>
          <w:tcPr>
            <w:tcW w:w="664" w:type="dxa"/>
            <w:tcBorders>
              <w:top w:val="nil"/>
              <w:left w:val="nil"/>
              <w:bottom w:val="nil"/>
              <w:right w:val="nil"/>
            </w:tcBorders>
            <w:shd w:val="clear" w:color="auto" w:fill="auto"/>
            <w:noWrap/>
            <w:vAlign w:val="bottom"/>
            <w:hideMark/>
          </w:tcPr>
          <w:p w14:paraId="20D55DE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0.8%</w:t>
            </w:r>
          </w:p>
        </w:tc>
        <w:tc>
          <w:tcPr>
            <w:tcW w:w="1068" w:type="dxa"/>
            <w:tcBorders>
              <w:top w:val="nil"/>
              <w:left w:val="nil"/>
              <w:bottom w:val="nil"/>
              <w:right w:val="nil"/>
            </w:tcBorders>
            <w:shd w:val="clear" w:color="auto" w:fill="auto"/>
            <w:noWrap/>
            <w:vAlign w:val="bottom"/>
            <w:hideMark/>
          </w:tcPr>
          <w:p w14:paraId="348120A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630 </w:t>
            </w:r>
          </w:p>
        </w:tc>
        <w:tc>
          <w:tcPr>
            <w:tcW w:w="664" w:type="dxa"/>
            <w:tcBorders>
              <w:top w:val="nil"/>
              <w:left w:val="nil"/>
              <w:bottom w:val="nil"/>
              <w:right w:val="nil"/>
            </w:tcBorders>
            <w:shd w:val="clear" w:color="auto" w:fill="auto"/>
            <w:noWrap/>
            <w:vAlign w:val="bottom"/>
            <w:hideMark/>
          </w:tcPr>
          <w:p w14:paraId="58CE21B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0.8%</w:t>
            </w:r>
          </w:p>
        </w:tc>
        <w:tc>
          <w:tcPr>
            <w:tcW w:w="1049" w:type="dxa"/>
            <w:tcBorders>
              <w:top w:val="nil"/>
              <w:left w:val="single" w:sz="4" w:space="0" w:color="auto"/>
              <w:bottom w:val="nil"/>
              <w:right w:val="nil"/>
            </w:tcBorders>
            <w:shd w:val="clear" w:color="auto" w:fill="auto"/>
            <w:noWrap/>
            <w:vAlign w:val="bottom"/>
            <w:hideMark/>
          </w:tcPr>
          <w:p w14:paraId="76F0907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1,635 </w:t>
            </w:r>
          </w:p>
        </w:tc>
        <w:tc>
          <w:tcPr>
            <w:tcW w:w="664" w:type="dxa"/>
            <w:tcBorders>
              <w:top w:val="nil"/>
              <w:left w:val="nil"/>
              <w:bottom w:val="nil"/>
              <w:right w:val="nil"/>
            </w:tcBorders>
            <w:shd w:val="clear" w:color="auto" w:fill="auto"/>
            <w:noWrap/>
            <w:vAlign w:val="bottom"/>
            <w:hideMark/>
          </w:tcPr>
          <w:p w14:paraId="05E42D4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1.4%</w:t>
            </w:r>
          </w:p>
        </w:tc>
        <w:tc>
          <w:tcPr>
            <w:tcW w:w="1198" w:type="dxa"/>
            <w:tcBorders>
              <w:top w:val="nil"/>
              <w:left w:val="nil"/>
              <w:bottom w:val="nil"/>
              <w:right w:val="nil"/>
            </w:tcBorders>
            <w:shd w:val="clear" w:color="auto" w:fill="auto"/>
            <w:noWrap/>
            <w:vAlign w:val="bottom"/>
            <w:hideMark/>
          </w:tcPr>
          <w:p w14:paraId="1DA8FDA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3,200 </w:t>
            </w:r>
          </w:p>
        </w:tc>
        <w:tc>
          <w:tcPr>
            <w:tcW w:w="664" w:type="dxa"/>
            <w:tcBorders>
              <w:top w:val="nil"/>
              <w:left w:val="nil"/>
              <w:bottom w:val="nil"/>
              <w:right w:val="nil"/>
            </w:tcBorders>
            <w:shd w:val="clear" w:color="auto" w:fill="auto"/>
            <w:noWrap/>
            <w:vAlign w:val="bottom"/>
            <w:hideMark/>
          </w:tcPr>
          <w:p w14:paraId="77174D0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w:t>
            </w:r>
          </w:p>
        </w:tc>
        <w:tc>
          <w:tcPr>
            <w:tcW w:w="1178" w:type="dxa"/>
            <w:tcBorders>
              <w:top w:val="nil"/>
              <w:left w:val="nil"/>
              <w:bottom w:val="nil"/>
              <w:right w:val="nil"/>
            </w:tcBorders>
            <w:shd w:val="clear" w:color="auto" w:fill="auto"/>
            <w:noWrap/>
            <w:vAlign w:val="bottom"/>
            <w:hideMark/>
          </w:tcPr>
          <w:p w14:paraId="53F3C8B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6,520 </w:t>
            </w:r>
          </w:p>
        </w:tc>
        <w:tc>
          <w:tcPr>
            <w:tcW w:w="517" w:type="dxa"/>
            <w:tcBorders>
              <w:top w:val="nil"/>
              <w:left w:val="nil"/>
              <w:bottom w:val="nil"/>
              <w:right w:val="single" w:sz="4" w:space="0" w:color="auto"/>
            </w:tcBorders>
            <w:shd w:val="clear" w:color="auto" w:fill="auto"/>
            <w:noWrap/>
            <w:vAlign w:val="bottom"/>
            <w:hideMark/>
          </w:tcPr>
          <w:p w14:paraId="4A67B1A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0.8%</w:t>
            </w:r>
          </w:p>
        </w:tc>
      </w:tr>
      <w:tr w:rsidR="00931E93" w:rsidRPr="00986C6D" w14:paraId="38984FAB"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7AC429D1"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52852EF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South Asian</w:t>
            </w:r>
          </w:p>
        </w:tc>
        <w:tc>
          <w:tcPr>
            <w:tcW w:w="1068" w:type="dxa"/>
            <w:tcBorders>
              <w:top w:val="nil"/>
              <w:left w:val="nil"/>
              <w:bottom w:val="nil"/>
              <w:right w:val="nil"/>
            </w:tcBorders>
            <w:shd w:val="clear" w:color="auto" w:fill="auto"/>
            <w:noWrap/>
            <w:vAlign w:val="bottom"/>
            <w:hideMark/>
          </w:tcPr>
          <w:p w14:paraId="5A676CE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1,430 </w:t>
            </w:r>
          </w:p>
        </w:tc>
        <w:tc>
          <w:tcPr>
            <w:tcW w:w="664" w:type="dxa"/>
            <w:tcBorders>
              <w:top w:val="nil"/>
              <w:left w:val="nil"/>
              <w:bottom w:val="nil"/>
              <w:right w:val="nil"/>
            </w:tcBorders>
            <w:shd w:val="clear" w:color="auto" w:fill="auto"/>
            <w:noWrap/>
            <w:vAlign w:val="bottom"/>
            <w:hideMark/>
          </w:tcPr>
          <w:p w14:paraId="4CC9DC7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4.2%</w:t>
            </w:r>
          </w:p>
        </w:tc>
        <w:tc>
          <w:tcPr>
            <w:tcW w:w="1068" w:type="dxa"/>
            <w:tcBorders>
              <w:top w:val="nil"/>
              <w:left w:val="nil"/>
              <w:bottom w:val="nil"/>
              <w:right w:val="nil"/>
            </w:tcBorders>
            <w:shd w:val="clear" w:color="auto" w:fill="auto"/>
            <w:noWrap/>
            <w:vAlign w:val="bottom"/>
            <w:hideMark/>
          </w:tcPr>
          <w:p w14:paraId="771AC4E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2,515 </w:t>
            </w:r>
          </w:p>
        </w:tc>
        <w:tc>
          <w:tcPr>
            <w:tcW w:w="664" w:type="dxa"/>
            <w:tcBorders>
              <w:top w:val="nil"/>
              <w:left w:val="nil"/>
              <w:bottom w:val="nil"/>
              <w:right w:val="nil"/>
            </w:tcBorders>
            <w:shd w:val="clear" w:color="auto" w:fill="auto"/>
            <w:noWrap/>
            <w:vAlign w:val="bottom"/>
            <w:hideMark/>
          </w:tcPr>
          <w:p w14:paraId="590184D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4.5%</w:t>
            </w:r>
          </w:p>
        </w:tc>
        <w:tc>
          <w:tcPr>
            <w:tcW w:w="1068" w:type="dxa"/>
            <w:tcBorders>
              <w:top w:val="nil"/>
              <w:left w:val="nil"/>
              <w:bottom w:val="nil"/>
              <w:right w:val="nil"/>
            </w:tcBorders>
            <w:shd w:val="clear" w:color="auto" w:fill="auto"/>
            <w:noWrap/>
            <w:vAlign w:val="bottom"/>
            <w:hideMark/>
          </w:tcPr>
          <w:p w14:paraId="2A516C7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3,985 </w:t>
            </w:r>
          </w:p>
        </w:tc>
        <w:tc>
          <w:tcPr>
            <w:tcW w:w="664" w:type="dxa"/>
            <w:tcBorders>
              <w:top w:val="nil"/>
              <w:left w:val="nil"/>
              <w:bottom w:val="nil"/>
              <w:right w:val="nil"/>
            </w:tcBorders>
            <w:shd w:val="clear" w:color="auto" w:fill="auto"/>
            <w:noWrap/>
            <w:vAlign w:val="bottom"/>
            <w:hideMark/>
          </w:tcPr>
          <w:p w14:paraId="10BBEF7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5.3%</w:t>
            </w:r>
          </w:p>
        </w:tc>
        <w:tc>
          <w:tcPr>
            <w:tcW w:w="1049" w:type="dxa"/>
            <w:tcBorders>
              <w:top w:val="nil"/>
              <w:left w:val="single" w:sz="4" w:space="0" w:color="auto"/>
              <w:bottom w:val="nil"/>
              <w:right w:val="nil"/>
            </w:tcBorders>
            <w:shd w:val="clear" w:color="auto" w:fill="auto"/>
            <w:noWrap/>
            <w:vAlign w:val="bottom"/>
            <w:hideMark/>
          </w:tcPr>
          <w:p w14:paraId="14DDC1C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15,235 </w:t>
            </w:r>
          </w:p>
        </w:tc>
        <w:tc>
          <w:tcPr>
            <w:tcW w:w="664" w:type="dxa"/>
            <w:tcBorders>
              <w:top w:val="nil"/>
              <w:left w:val="nil"/>
              <w:bottom w:val="nil"/>
              <w:right w:val="nil"/>
            </w:tcBorders>
            <w:shd w:val="clear" w:color="auto" w:fill="auto"/>
            <w:noWrap/>
            <w:vAlign w:val="bottom"/>
            <w:hideMark/>
          </w:tcPr>
          <w:p w14:paraId="1A60CA1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13.3%</w:t>
            </w:r>
          </w:p>
        </w:tc>
        <w:tc>
          <w:tcPr>
            <w:tcW w:w="1198" w:type="dxa"/>
            <w:tcBorders>
              <w:top w:val="nil"/>
              <w:left w:val="nil"/>
              <w:bottom w:val="nil"/>
              <w:right w:val="nil"/>
            </w:tcBorders>
            <w:shd w:val="clear" w:color="auto" w:fill="auto"/>
            <w:noWrap/>
            <w:vAlign w:val="bottom"/>
            <w:hideMark/>
          </w:tcPr>
          <w:p w14:paraId="0E34939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37,715 </w:t>
            </w:r>
          </w:p>
        </w:tc>
        <w:tc>
          <w:tcPr>
            <w:tcW w:w="664" w:type="dxa"/>
            <w:tcBorders>
              <w:top w:val="nil"/>
              <w:left w:val="nil"/>
              <w:bottom w:val="nil"/>
              <w:right w:val="nil"/>
            </w:tcBorders>
            <w:shd w:val="clear" w:color="auto" w:fill="auto"/>
            <w:noWrap/>
            <w:vAlign w:val="bottom"/>
            <w:hideMark/>
          </w:tcPr>
          <w:p w14:paraId="120DEDA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11.2%</w:t>
            </w:r>
          </w:p>
        </w:tc>
        <w:tc>
          <w:tcPr>
            <w:tcW w:w="1178" w:type="dxa"/>
            <w:tcBorders>
              <w:top w:val="nil"/>
              <w:left w:val="nil"/>
              <w:bottom w:val="nil"/>
              <w:right w:val="nil"/>
            </w:tcBorders>
            <w:shd w:val="clear" w:color="auto" w:fill="auto"/>
            <w:noWrap/>
            <w:vAlign w:val="bottom"/>
            <w:hideMark/>
          </w:tcPr>
          <w:p w14:paraId="3B63008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78,585 </w:t>
            </w:r>
          </w:p>
        </w:tc>
        <w:tc>
          <w:tcPr>
            <w:tcW w:w="517" w:type="dxa"/>
            <w:tcBorders>
              <w:top w:val="nil"/>
              <w:left w:val="nil"/>
              <w:bottom w:val="nil"/>
              <w:right w:val="single" w:sz="4" w:space="0" w:color="auto"/>
            </w:tcBorders>
            <w:shd w:val="clear" w:color="auto" w:fill="auto"/>
            <w:noWrap/>
            <w:vAlign w:val="bottom"/>
            <w:hideMark/>
          </w:tcPr>
          <w:p w14:paraId="6018F5B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10.1%</w:t>
            </w:r>
          </w:p>
        </w:tc>
      </w:tr>
      <w:tr w:rsidR="00931E93" w:rsidRPr="00986C6D" w14:paraId="07DC2630"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46351E3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7ED4648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Black</w:t>
            </w:r>
          </w:p>
        </w:tc>
        <w:tc>
          <w:tcPr>
            <w:tcW w:w="1068" w:type="dxa"/>
            <w:tcBorders>
              <w:top w:val="nil"/>
              <w:left w:val="nil"/>
              <w:bottom w:val="nil"/>
              <w:right w:val="nil"/>
            </w:tcBorders>
            <w:shd w:val="clear" w:color="auto" w:fill="auto"/>
            <w:noWrap/>
            <w:vAlign w:val="bottom"/>
            <w:hideMark/>
          </w:tcPr>
          <w:p w14:paraId="3520FB9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1,020 </w:t>
            </w:r>
          </w:p>
        </w:tc>
        <w:tc>
          <w:tcPr>
            <w:tcW w:w="664" w:type="dxa"/>
            <w:tcBorders>
              <w:top w:val="nil"/>
              <w:left w:val="nil"/>
              <w:bottom w:val="nil"/>
              <w:right w:val="nil"/>
            </w:tcBorders>
            <w:shd w:val="clear" w:color="auto" w:fill="auto"/>
            <w:noWrap/>
            <w:vAlign w:val="bottom"/>
            <w:hideMark/>
          </w:tcPr>
          <w:p w14:paraId="4D5F947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3.0%</w:t>
            </w:r>
          </w:p>
        </w:tc>
        <w:tc>
          <w:tcPr>
            <w:tcW w:w="1068" w:type="dxa"/>
            <w:tcBorders>
              <w:top w:val="nil"/>
              <w:left w:val="nil"/>
              <w:bottom w:val="nil"/>
              <w:right w:val="nil"/>
            </w:tcBorders>
            <w:shd w:val="clear" w:color="auto" w:fill="auto"/>
            <w:noWrap/>
            <w:vAlign w:val="bottom"/>
            <w:hideMark/>
          </w:tcPr>
          <w:p w14:paraId="66CF41D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1,530 </w:t>
            </w:r>
          </w:p>
        </w:tc>
        <w:tc>
          <w:tcPr>
            <w:tcW w:w="664" w:type="dxa"/>
            <w:tcBorders>
              <w:top w:val="nil"/>
              <w:left w:val="nil"/>
              <w:bottom w:val="nil"/>
              <w:right w:val="nil"/>
            </w:tcBorders>
            <w:shd w:val="clear" w:color="auto" w:fill="auto"/>
            <w:noWrap/>
            <w:vAlign w:val="bottom"/>
            <w:hideMark/>
          </w:tcPr>
          <w:p w14:paraId="381DC02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2.7%</w:t>
            </w:r>
          </w:p>
        </w:tc>
        <w:tc>
          <w:tcPr>
            <w:tcW w:w="1068" w:type="dxa"/>
            <w:tcBorders>
              <w:top w:val="nil"/>
              <w:left w:val="nil"/>
              <w:bottom w:val="nil"/>
              <w:right w:val="nil"/>
            </w:tcBorders>
            <w:shd w:val="clear" w:color="auto" w:fill="auto"/>
            <w:noWrap/>
            <w:vAlign w:val="bottom"/>
            <w:hideMark/>
          </w:tcPr>
          <w:p w14:paraId="68626DD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2,670 </w:t>
            </w:r>
          </w:p>
        </w:tc>
        <w:tc>
          <w:tcPr>
            <w:tcW w:w="664" w:type="dxa"/>
            <w:tcBorders>
              <w:top w:val="nil"/>
              <w:left w:val="nil"/>
              <w:bottom w:val="nil"/>
              <w:right w:val="nil"/>
            </w:tcBorders>
            <w:shd w:val="clear" w:color="auto" w:fill="auto"/>
            <w:noWrap/>
            <w:vAlign w:val="bottom"/>
            <w:hideMark/>
          </w:tcPr>
          <w:p w14:paraId="231CB5B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3.6%</w:t>
            </w:r>
          </w:p>
        </w:tc>
        <w:tc>
          <w:tcPr>
            <w:tcW w:w="1049" w:type="dxa"/>
            <w:tcBorders>
              <w:top w:val="nil"/>
              <w:left w:val="single" w:sz="4" w:space="0" w:color="auto"/>
              <w:bottom w:val="nil"/>
              <w:right w:val="nil"/>
            </w:tcBorders>
            <w:shd w:val="clear" w:color="auto" w:fill="auto"/>
            <w:noWrap/>
            <w:vAlign w:val="bottom"/>
            <w:hideMark/>
          </w:tcPr>
          <w:p w14:paraId="1F74C4F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7,165 </w:t>
            </w:r>
          </w:p>
        </w:tc>
        <w:tc>
          <w:tcPr>
            <w:tcW w:w="664" w:type="dxa"/>
            <w:tcBorders>
              <w:top w:val="nil"/>
              <w:left w:val="nil"/>
              <w:bottom w:val="nil"/>
              <w:right w:val="nil"/>
            </w:tcBorders>
            <w:shd w:val="clear" w:color="auto" w:fill="auto"/>
            <w:noWrap/>
            <w:vAlign w:val="bottom"/>
            <w:hideMark/>
          </w:tcPr>
          <w:p w14:paraId="5DB4FF2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6.3%</w:t>
            </w:r>
          </w:p>
        </w:tc>
        <w:tc>
          <w:tcPr>
            <w:tcW w:w="1198" w:type="dxa"/>
            <w:tcBorders>
              <w:top w:val="nil"/>
              <w:left w:val="nil"/>
              <w:bottom w:val="nil"/>
              <w:right w:val="nil"/>
            </w:tcBorders>
            <w:shd w:val="clear" w:color="auto" w:fill="auto"/>
            <w:noWrap/>
            <w:vAlign w:val="bottom"/>
            <w:hideMark/>
          </w:tcPr>
          <w:p w14:paraId="03ACBF8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14,525 </w:t>
            </w:r>
          </w:p>
        </w:tc>
        <w:tc>
          <w:tcPr>
            <w:tcW w:w="664" w:type="dxa"/>
            <w:tcBorders>
              <w:top w:val="nil"/>
              <w:left w:val="nil"/>
              <w:bottom w:val="nil"/>
              <w:right w:val="nil"/>
            </w:tcBorders>
            <w:shd w:val="clear" w:color="auto" w:fill="auto"/>
            <w:noWrap/>
            <w:vAlign w:val="bottom"/>
            <w:hideMark/>
          </w:tcPr>
          <w:p w14:paraId="153C616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4.3%</w:t>
            </w:r>
          </w:p>
        </w:tc>
        <w:tc>
          <w:tcPr>
            <w:tcW w:w="1178" w:type="dxa"/>
            <w:tcBorders>
              <w:top w:val="nil"/>
              <w:left w:val="nil"/>
              <w:bottom w:val="nil"/>
              <w:right w:val="nil"/>
            </w:tcBorders>
            <w:shd w:val="clear" w:color="auto" w:fill="auto"/>
            <w:noWrap/>
            <w:vAlign w:val="bottom"/>
            <w:hideMark/>
          </w:tcPr>
          <w:p w14:paraId="4871919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32,580 </w:t>
            </w:r>
          </w:p>
        </w:tc>
        <w:tc>
          <w:tcPr>
            <w:tcW w:w="517" w:type="dxa"/>
            <w:tcBorders>
              <w:top w:val="nil"/>
              <w:left w:val="nil"/>
              <w:bottom w:val="nil"/>
              <w:right w:val="single" w:sz="4" w:space="0" w:color="auto"/>
            </w:tcBorders>
            <w:shd w:val="clear" w:color="auto" w:fill="auto"/>
            <w:noWrap/>
            <w:vAlign w:val="bottom"/>
            <w:hideMark/>
          </w:tcPr>
          <w:p w14:paraId="47EA701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4.2%</w:t>
            </w:r>
          </w:p>
        </w:tc>
      </w:tr>
      <w:tr w:rsidR="00931E93" w:rsidRPr="00986C6D" w14:paraId="7220E051"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23B1B98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7426814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Other</w:t>
            </w:r>
          </w:p>
        </w:tc>
        <w:tc>
          <w:tcPr>
            <w:tcW w:w="1068" w:type="dxa"/>
            <w:tcBorders>
              <w:top w:val="nil"/>
              <w:left w:val="nil"/>
              <w:bottom w:val="nil"/>
              <w:right w:val="nil"/>
            </w:tcBorders>
            <w:shd w:val="clear" w:color="auto" w:fill="auto"/>
            <w:noWrap/>
            <w:vAlign w:val="bottom"/>
            <w:hideMark/>
          </w:tcPr>
          <w:p w14:paraId="043B2EF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875 </w:t>
            </w:r>
          </w:p>
        </w:tc>
        <w:tc>
          <w:tcPr>
            <w:tcW w:w="664" w:type="dxa"/>
            <w:tcBorders>
              <w:top w:val="nil"/>
              <w:left w:val="nil"/>
              <w:bottom w:val="nil"/>
              <w:right w:val="nil"/>
            </w:tcBorders>
            <w:shd w:val="clear" w:color="auto" w:fill="auto"/>
            <w:noWrap/>
            <w:vAlign w:val="bottom"/>
            <w:hideMark/>
          </w:tcPr>
          <w:p w14:paraId="6D861C1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2.6%</w:t>
            </w:r>
          </w:p>
        </w:tc>
        <w:tc>
          <w:tcPr>
            <w:tcW w:w="1068" w:type="dxa"/>
            <w:tcBorders>
              <w:top w:val="nil"/>
              <w:left w:val="nil"/>
              <w:bottom w:val="nil"/>
              <w:right w:val="nil"/>
            </w:tcBorders>
            <w:shd w:val="clear" w:color="auto" w:fill="auto"/>
            <w:noWrap/>
            <w:vAlign w:val="bottom"/>
            <w:hideMark/>
          </w:tcPr>
          <w:p w14:paraId="4CF06E1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1,345 </w:t>
            </w:r>
          </w:p>
        </w:tc>
        <w:tc>
          <w:tcPr>
            <w:tcW w:w="664" w:type="dxa"/>
            <w:tcBorders>
              <w:top w:val="nil"/>
              <w:left w:val="nil"/>
              <w:bottom w:val="nil"/>
              <w:right w:val="nil"/>
            </w:tcBorders>
            <w:shd w:val="clear" w:color="auto" w:fill="auto"/>
            <w:noWrap/>
            <w:vAlign w:val="bottom"/>
            <w:hideMark/>
          </w:tcPr>
          <w:p w14:paraId="3EBBD94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2.4%</w:t>
            </w:r>
          </w:p>
        </w:tc>
        <w:tc>
          <w:tcPr>
            <w:tcW w:w="1068" w:type="dxa"/>
            <w:tcBorders>
              <w:top w:val="nil"/>
              <w:left w:val="nil"/>
              <w:bottom w:val="nil"/>
              <w:right w:val="nil"/>
            </w:tcBorders>
            <w:shd w:val="clear" w:color="auto" w:fill="auto"/>
            <w:noWrap/>
            <w:vAlign w:val="bottom"/>
            <w:hideMark/>
          </w:tcPr>
          <w:p w14:paraId="478BFEE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1,820 </w:t>
            </w:r>
          </w:p>
        </w:tc>
        <w:tc>
          <w:tcPr>
            <w:tcW w:w="664" w:type="dxa"/>
            <w:tcBorders>
              <w:top w:val="nil"/>
              <w:left w:val="nil"/>
              <w:bottom w:val="nil"/>
              <w:right w:val="nil"/>
            </w:tcBorders>
            <w:shd w:val="clear" w:color="auto" w:fill="auto"/>
            <w:noWrap/>
            <w:vAlign w:val="bottom"/>
            <w:hideMark/>
          </w:tcPr>
          <w:p w14:paraId="60BE593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2.4%</w:t>
            </w:r>
          </w:p>
        </w:tc>
        <w:tc>
          <w:tcPr>
            <w:tcW w:w="1049" w:type="dxa"/>
            <w:tcBorders>
              <w:top w:val="nil"/>
              <w:left w:val="single" w:sz="4" w:space="0" w:color="auto"/>
              <w:bottom w:val="nil"/>
              <w:right w:val="nil"/>
            </w:tcBorders>
            <w:shd w:val="clear" w:color="auto" w:fill="auto"/>
            <w:noWrap/>
            <w:vAlign w:val="bottom"/>
            <w:hideMark/>
          </w:tcPr>
          <w:p w14:paraId="0170FAB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6,590 </w:t>
            </w:r>
          </w:p>
        </w:tc>
        <w:tc>
          <w:tcPr>
            <w:tcW w:w="664" w:type="dxa"/>
            <w:tcBorders>
              <w:top w:val="nil"/>
              <w:left w:val="nil"/>
              <w:bottom w:val="nil"/>
              <w:right w:val="nil"/>
            </w:tcBorders>
            <w:shd w:val="clear" w:color="auto" w:fill="auto"/>
            <w:noWrap/>
            <w:vAlign w:val="bottom"/>
            <w:hideMark/>
          </w:tcPr>
          <w:p w14:paraId="664EAAE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5.8%</w:t>
            </w:r>
          </w:p>
        </w:tc>
        <w:tc>
          <w:tcPr>
            <w:tcW w:w="1198" w:type="dxa"/>
            <w:tcBorders>
              <w:top w:val="nil"/>
              <w:left w:val="nil"/>
              <w:bottom w:val="nil"/>
              <w:right w:val="nil"/>
            </w:tcBorders>
            <w:shd w:val="clear" w:color="auto" w:fill="auto"/>
            <w:noWrap/>
            <w:vAlign w:val="bottom"/>
            <w:hideMark/>
          </w:tcPr>
          <w:p w14:paraId="7300104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14,865 </w:t>
            </w:r>
          </w:p>
        </w:tc>
        <w:tc>
          <w:tcPr>
            <w:tcW w:w="664" w:type="dxa"/>
            <w:tcBorders>
              <w:top w:val="nil"/>
              <w:left w:val="nil"/>
              <w:bottom w:val="nil"/>
              <w:right w:val="nil"/>
            </w:tcBorders>
            <w:shd w:val="clear" w:color="auto" w:fill="auto"/>
            <w:noWrap/>
            <w:vAlign w:val="bottom"/>
            <w:hideMark/>
          </w:tcPr>
          <w:p w14:paraId="647D525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4.4%</w:t>
            </w:r>
          </w:p>
        </w:tc>
        <w:tc>
          <w:tcPr>
            <w:tcW w:w="1178" w:type="dxa"/>
            <w:tcBorders>
              <w:top w:val="nil"/>
              <w:left w:val="nil"/>
              <w:bottom w:val="nil"/>
              <w:right w:val="nil"/>
            </w:tcBorders>
            <w:shd w:val="clear" w:color="auto" w:fill="auto"/>
            <w:noWrap/>
            <w:vAlign w:val="bottom"/>
            <w:hideMark/>
          </w:tcPr>
          <w:p w14:paraId="36CD298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31,220 </w:t>
            </w:r>
          </w:p>
        </w:tc>
        <w:tc>
          <w:tcPr>
            <w:tcW w:w="517" w:type="dxa"/>
            <w:tcBorders>
              <w:top w:val="nil"/>
              <w:left w:val="nil"/>
              <w:bottom w:val="nil"/>
              <w:right w:val="single" w:sz="4" w:space="0" w:color="auto"/>
            </w:tcBorders>
            <w:shd w:val="clear" w:color="auto" w:fill="auto"/>
            <w:noWrap/>
            <w:vAlign w:val="bottom"/>
            <w:hideMark/>
          </w:tcPr>
          <w:p w14:paraId="77BEE9E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4.0%</w:t>
            </w:r>
          </w:p>
        </w:tc>
      </w:tr>
      <w:tr w:rsidR="00931E93" w:rsidRPr="00986C6D" w14:paraId="136C7A5F"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724A7EAE"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2EEAD1C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Missing</w:t>
            </w:r>
          </w:p>
        </w:tc>
        <w:tc>
          <w:tcPr>
            <w:tcW w:w="1068" w:type="dxa"/>
            <w:tcBorders>
              <w:top w:val="nil"/>
              <w:left w:val="nil"/>
              <w:bottom w:val="nil"/>
              <w:right w:val="nil"/>
            </w:tcBorders>
            <w:shd w:val="clear" w:color="auto" w:fill="auto"/>
            <w:noWrap/>
            <w:vAlign w:val="bottom"/>
            <w:hideMark/>
          </w:tcPr>
          <w:p w14:paraId="017E567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3,565 </w:t>
            </w:r>
          </w:p>
        </w:tc>
        <w:tc>
          <w:tcPr>
            <w:tcW w:w="664" w:type="dxa"/>
            <w:tcBorders>
              <w:top w:val="nil"/>
              <w:left w:val="nil"/>
              <w:bottom w:val="nil"/>
              <w:right w:val="nil"/>
            </w:tcBorders>
            <w:shd w:val="clear" w:color="auto" w:fill="auto"/>
            <w:noWrap/>
            <w:vAlign w:val="bottom"/>
            <w:hideMark/>
          </w:tcPr>
          <w:p w14:paraId="66C7321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02DABFE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5,040 </w:t>
            </w:r>
          </w:p>
        </w:tc>
        <w:tc>
          <w:tcPr>
            <w:tcW w:w="664" w:type="dxa"/>
            <w:tcBorders>
              <w:top w:val="nil"/>
              <w:left w:val="nil"/>
              <w:bottom w:val="nil"/>
              <w:right w:val="nil"/>
            </w:tcBorders>
            <w:shd w:val="clear" w:color="auto" w:fill="auto"/>
            <w:noWrap/>
            <w:vAlign w:val="bottom"/>
            <w:hideMark/>
          </w:tcPr>
          <w:p w14:paraId="1D00004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24170F4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5,645 </w:t>
            </w:r>
          </w:p>
        </w:tc>
        <w:tc>
          <w:tcPr>
            <w:tcW w:w="664" w:type="dxa"/>
            <w:tcBorders>
              <w:top w:val="nil"/>
              <w:left w:val="nil"/>
              <w:bottom w:val="nil"/>
              <w:right w:val="nil"/>
            </w:tcBorders>
            <w:shd w:val="clear" w:color="auto" w:fill="auto"/>
            <w:noWrap/>
            <w:vAlign w:val="bottom"/>
            <w:hideMark/>
          </w:tcPr>
          <w:p w14:paraId="23B1770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6A2FFA6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17,590 </w:t>
            </w:r>
          </w:p>
        </w:tc>
        <w:tc>
          <w:tcPr>
            <w:tcW w:w="664" w:type="dxa"/>
            <w:tcBorders>
              <w:top w:val="nil"/>
              <w:left w:val="nil"/>
              <w:bottom w:val="nil"/>
              <w:right w:val="nil"/>
            </w:tcBorders>
            <w:shd w:val="clear" w:color="auto" w:fill="auto"/>
            <w:noWrap/>
            <w:vAlign w:val="bottom"/>
            <w:hideMark/>
          </w:tcPr>
          <w:p w14:paraId="4DA6C18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115B05A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50,960 </w:t>
            </w:r>
          </w:p>
        </w:tc>
        <w:tc>
          <w:tcPr>
            <w:tcW w:w="664" w:type="dxa"/>
            <w:tcBorders>
              <w:top w:val="nil"/>
              <w:left w:val="nil"/>
              <w:bottom w:val="nil"/>
              <w:right w:val="nil"/>
            </w:tcBorders>
            <w:shd w:val="clear" w:color="auto" w:fill="auto"/>
            <w:noWrap/>
            <w:vAlign w:val="bottom"/>
            <w:hideMark/>
          </w:tcPr>
          <w:p w14:paraId="6BF5891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78" w:type="dxa"/>
            <w:tcBorders>
              <w:top w:val="nil"/>
              <w:left w:val="nil"/>
              <w:bottom w:val="nil"/>
              <w:right w:val="nil"/>
            </w:tcBorders>
            <w:shd w:val="clear" w:color="auto" w:fill="auto"/>
            <w:noWrap/>
            <w:vAlign w:val="bottom"/>
            <w:hideMark/>
          </w:tcPr>
          <w:p w14:paraId="459885D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102,060 </w:t>
            </w:r>
          </w:p>
        </w:tc>
        <w:tc>
          <w:tcPr>
            <w:tcW w:w="517" w:type="dxa"/>
            <w:tcBorders>
              <w:top w:val="nil"/>
              <w:left w:val="nil"/>
              <w:bottom w:val="nil"/>
              <w:right w:val="single" w:sz="4" w:space="0" w:color="auto"/>
            </w:tcBorders>
            <w:shd w:val="clear" w:color="auto" w:fill="auto"/>
            <w:noWrap/>
            <w:vAlign w:val="bottom"/>
            <w:hideMark/>
          </w:tcPr>
          <w:p w14:paraId="0752ED7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465D7A23" w14:textId="77777777" w:rsidTr="00154DE3">
        <w:trPr>
          <w:trHeight w:val="233"/>
        </w:trPr>
        <w:tc>
          <w:tcPr>
            <w:tcW w:w="2520" w:type="dxa"/>
            <w:gridSpan w:val="2"/>
            <w:tcBorders>
              <w:top w:val="nil"/>
              <w:left w:val="single" w:sz="4" w:space="0" w:color="auto"/>
              <w:bottom w:val="nil"/>
              <w:right w:val="single" w:sz="4" w:space="0" w:color="000000"/>
            </w:tcBorders>
            <w:shd w:val="clear" w:color="auto" w:fill="auto"/>
            <w:noWrap/>
            <w:vAlign w:val="bottom"/>
            <w:hideMark/>
          </w:tcPr>
          <w:p w14:paraId="439F525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Smoking status</w:t>
            </w:r>
          </w:p>
        </w:tc>
        <w:tc>
          <w:tcPr>
            <w:tcW w:w="1068" w:type="dxa"/>
            <w:tcBorders>
              <w:top w:val="nil"/>
              <w:left w:val="nil"/>
              <w:bottom w:val="nil"/>
              <w:right w:val="nil"/>
            </w:tcBorders>
            <w:shd w:val="clear" w:color="auto" w:fill="auto"/>
            <w:noWrap/>
            <w:vAlign w:val="bottom"/>
            <w:hideMark/>
          </w:tcPr>
          <w:p w14:paraId="5225FC6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664" w:type="dxa"/>
            <w:tcBorders>
              <w:top w:val="nil"/>
              <w:left w:val="nil"/>
              <w:bottom w:val="nil"/>
              <w:right w:val="nil"/>
            </w:tcBorders>
            <w:shd w:val="clear" w:color="auto" w:fill="auto"/>
            <w:noWrap/>
            <w:vAlign w:val="bottom"/>
            <w:hideMark/>
          </w:tcPr>
          <w:p w14:paraId="165051B0"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225A79BF"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03FD5FB2"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2A4CD1D5"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601AAB9F"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7A36EB6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664" w:type="dxa"/>
            <w:tcBorders>
              <w:top w:val="nil"/>
              <w:left w:val="nil"/>
              <w:bottom w:val="nil"/>
              <w:right w:val="nil"/>
            </w:tcBorders>
            <w:shd w:val="clear" w:color="auto" w:fill="auto"/>
            <w:noWrap/>
            <w:vAlign w:val="bottom"/>
            <w:hideMark/>
          </w:tcPr>
          <w:p w14:paraId="27F16C7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73DAE4EC"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2F8D2DD1"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178" w:type="dxa"/>
            <w:tcBorders>
              <w:top w:val="nil"/>
              <w:left w:val="nil"/>
              <w:bottom w:val="nil"/>
              <w:right w:val="nil"/>
            </w:tcBorders>
            <w:shd w:val="clear" w:color="auto" w:fill="auto"/>
            <w:noWrap/>
            <w:vAlign w:val="bottom"/>
            <w:hideMark/>
          </w:tcPr>
          <w:p w14:paraId="56237CF9"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517" w:type="dxa"/>
            <w:tcBorders>
              <w:top w:val="nil"/>
              <w:left w:val="nil"/>
              <w:bottom w:val="nil"/>
              <w:right w:val="single" w:sz="4" w:space="0" w:color="auto"/>
            </w:tcBorders>
            <w:shd w:val="clear" w:color="auto" w:fill="auto"/>
            <w:noWrap/>
            <w:vAlign w:val="bottom"/>
            <w:hideMark/>
          </w:tcPr>
          <w:p w14:paraId="2A7E325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0586313B"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0B235E5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66E7105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Current smoker</w:t>
            </w:r>
          </w:p>
        </w:tc>
        <w:tc>
          <w:tcPr>
            <w:tcW w:w="1068" w:type="dxa"/>
            <w:tcBorders>
              <w:top w:val="nil"/>
              <w:left w:val="nil"/>
              <w:bottom w:val="nil"/>
              <w:right w:val="nil"/>
            </w:tcBorders>
            <w:shd w:val="clear" w:color="auto" w:fill="auto"/>
            <w:noWrap/>
            <w:vAlign w:val="bottom"/>
            <w:hideMark/>
          </w:tcPr>
          <w:p w14:paraId="496AA03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5,335 </w:t>
            </w:r>
          </w:p>
        </w:tc>
        <w:tc>
          <w:tcPr>
            <w:tcW w:w="664" w:type="dxa"/>
            <w:tcBorders>
              <w:top w:val="nil"/>
              <w:left w:val="nil"/>
              <w:bottom w:val="nil"/>
              <w:right w:val="nil"/>
            </w:tcBorders>
            <w:shd w:val="clear" w:color="auto" w:fill="auto"/>
            <w:noWrap/>
            <w:vAlign w:val="bottom"/>
            <w:hideMark/>
          </w:tcPr>
          <w:p w14:paraId="1A902F5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32.9%</w:t>
            </w:r>
          </w:p>
        </w:tc>
        <w:tc>
          <w:tcPr>
            <w:tcW w:w="1068" w:type="dxa"/>
            <w:tcBorders>
              <w:top w:val="nil"/>
              <w:left w:val="nil"/>
              <w:bottom w:val="nil"/>
              <w:right w:val="nil"/>
            </w:tcBorders>
            <w:shd w:val="clear" w:color="auto" w:fill="auto"/>
            <w:noWrap/>
            <w:vAlign w:val="bottom"/>
            <w:hideMark/>
          </w:tcPr>
          <w:p w14:paraId="28744D7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12,120 </w:t>
            </w:r>
          </w:p>
        </w:tc>
        <w:tc>
          <w:tcPr>
            <w:tcW w:w="664" w:type="dxa"/>
            <w:tcBorders>
              <w:top w:val="nil"/>
              <w:left w:val="nil"/>
              <w:bottom w:val="nil"/>
              <w:right w:val="nil"/>
            </w:tcBorders>
            <w:shd w:val="clear" w:color="auto" w:fill="auto"/>
            <w:noWrap/>
            <w:vAlign w:val="bottom"/>
            <w:hideMark/>
          </w:tcPr>
          <w:p w14:paraId="10CD48B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25.2%</w:t>
            </w:r>
          </w:p>
        </w:tc>
        <w:tc>
          <w:tcPr>
            <w:tcW w:w="1068" w:type="dxa"/>
            <w:tcBorders>
              <w:top w:val="nil"/>
              <w:left w:val="nil"/>
              <w:bottom w:val="nil"/>
              <w:right w:val="nil"/>
            </w:tcBorders>
            <w:shd w:val="clear" w:color="auto" w:fill="auto"/>
            <w:noWrap/>
            <w:vAlign w:val="bottom"/>
            <w:hideMark/>
          </w:tcPr>
          <w:p w14:paraId="2E6B76F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15,725 </w:t>
            </w:r>
          </w:p>
        </w:tc>
        <w:tc>
          <w:tcPr>
            <w:tcW w:w="664" w:type="dxa"/>
            <w:tcBorders>
              <w:top w:val="nil"/>
              <w:left w:val="nil"/>
              <w:bottom w:val="nil"/>
              <w:right w:val="nil"/>
            </w:tcBorders>
            <w:shd w:val="clear" w:color="auto" w:fill="auto"/>
            <w:noWrap/>
            <w:vAlign w:val="bottom"/>
            <w:hideMark/>
          </w:tcPr>
          <w:p w14:paraId="6BBEA29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19.9%</w:t>
            </w:r>
          </w:p>
        </w:tc>
        <w:tc>
          <w:tcPr>
            <w:tcW w:w="1049" w:type="dxa"/>
            <w:tcBorders>
              <w:top w:val="nil"/>
              <w:left w:val="single" w:sz="4" w:space="0" w:color="auto"/>
              <w:bottom w:val="nil"/>
              <w:right w:val="nil"/>
            </w:tcBorders>
            <w:shd w:val="clear" w:color="auto" w:fill="auto"/>
            <w:noWrap/>
            <w:vAlign w:val="bottom"/>
            <w:hideMark/>
          </w:tcPr>
          <w:p w14:paraId="0B7046B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12,820 </w:t>
            </w:r>
          </w:p>
        </w:tc>
        <w:tc>
          <w:tcPr>
            <w:tcW w:w="664" w:type="dxa"/>
            <w:tcBorders>
              <w:top w:val="nil"/>
              <w:left w:val="nil"/>
              <w:bottom w:val="nil"/>
              <w:right w:val="nil"/>
            </w:tcBorders>
            <w:shd w:val="clear" w:color="auto" w:fill="auto"/>
            <w:noWrap/>
            <w:vAlign w:val="bottom"/>
            <w:hideMark/>
          </w:tcPr>
          <w:p w14:paraId="6D547A8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26.8%</w:t>
            </w:r>
          </w:p>
        </w:tc>
        <w:tc>
          <w:tcPr>
            <w:tcW w:w="1198" w:type="dxa"/>
            <w:tcBorders>
              <w:top w:val="nil"/>
              <w:left w:val="nil"/>
              <w:bottom w:val="nil"/>
              <w:right w:val="nil"/>
            </w:tcBorders>
            <w:shd w:val="clear" w:color="auto" w:fill="auto"/>
            <w:noWrap/>
            <w:vAlign w:val="bottom"/>
            <w:hideMark/>
          </w:tcPr>
          <w:p w14:paraId="5CED1D1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50,060 </w:t>
            </w:r>
          </w:p>
        </w:tc>
        <w:tc>
          <w:tcPr>
            <w:tcW w:w="664" w:type="dxa"/>
            <w:tcBorders>
              <w:top w:val="nil"/>
              <w:left w:val="nil"/>
              <w:bottom w:val="nil"/>
              <w:right w:val="nil"/>
            </w:tcBorders>
            <w:shd w:val="clear" w:color="auto" w:fill="auto"/>
            <w:noWrap/>
            <w:vAlign w:val="bottom"/>
            <w:hideMark/>
          </w:tcPr>
          <w:p w14:paraId="0F815D5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17.4%</w:t>
            </w:r>
          </w:p>
        </w:tc>
        <w:tc>
          <w:tcPr>
            <w:tcW w:w="1178" w:type="dxa"/>
            <w:tcBorders>
              <w:top w:val="nil"/>
              <w:left w:val="nil"/>
              <w:bottom w:val="nil"/>
              <w:right w:val="nil"/>
            </w:tcBorders>
            <w:shd w:val="clear" w:color="auto" w:fill="auto"/>
            <w:noWrap/>
            <w:vAlign w:val="bottom"/>
            <w:hideMark/>
          </w:tcPr>
          <w:p w14:paraId="70E57FC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120,035 </w:t>
            </w:r>
          </w:p>
        </w:tc>
        <w:tc>
          <w:tcPr>
            <w:tcW w:w="517" w:type="dxa"/>
            <w:tcBorders>
              <w:top w:val="nil"/>
              <w:left w:val="nil"/>
              <w:bottom w:val="nil"/>
              <w:right w:val="single" w:sz="4" w:space="0" w:color="auto"/>
            </w:tcBorders>
            <w:shd w:val="clear" w:color="auto" w:fill="auto"/>
            <w:noWrap/>
            <w:vAlign w:val="bottom"/>
            <w:hideMark/>
          </w:tcPr>
          <w:p w14:paraId="2F630A1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13.7%</w:t>
            </w:r>
          </w:p>
        </w:tc>
      </w:tr>
      <w:tr w:rsidR="00931E93" w:rsidRPr="00986C6D" w14:paraId="53A5557D"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081B4C00"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1A3F4BE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Ex-smoker</w:t>
            </w:r>
          </w:p>
        </w:tc>
        <w:tc>
          <w:tcPr>
            <w:tcW w:w="1068" w:type="dxa"/>
            <w:tcBorders>
              <w:top w:val="nil"/>
              <w:left w:val="nil"/>
              <w:bottom w:val="nil"/>
              <w:right w:val="nil"/>
            </w:tcBorders>
            <w:shd w:val="clear" w:color="auto" w:fill="auto"/>
            <w:noWrap/>
            <w:vAlign w:val="bottom"/>
            <w:hideMark/>
          </w:tcPr>
          <w:p w14:paraId="094ED33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3,165 </w:t>
            </w:r>
          </w:p>
        </w:tc>
        <w:tc>
          <w:tcPr>
            <w:tcW w:w="664" w:type="dxa"/>
            <w:tcBorders>
              <w:top w:val="nil"/>
              <w:left w:val="nil"/>
              <w:bottom w:val="nil"/>
              <w:right w:val="nil"/>
            </w:tcBorders>
            <w:shd w:val="clear" w:color="auto" w:fill="auto"/>
            <w:noWrap/>
            <w:vAlign w:val="bottom"/>
            <w:hideMark/>
          </w:tcPr>
          <w:p w14:paraId="30092AE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19.5%</w:t>
            </w:r>
          </w:p>
        </w:tc>
        <w:tc>
          <w:tcPr>
            <w:tcW w:w="1068" w:type="dxa"/>
            <w:tcBorders>
              <w:top w:val="nil"/>
              <w:left w:val="nil"/>
              <w:bottom w:val="nil"/>
              <w:right w:val="nil"/>
            </w:tcBorders>
            <w:shd w:val="clear" w:color="auto" w:fill="auto"/>
            <w:noWrap/>
            <w:vAlign w:val="bottom"/>
            <w:hideMark/>
          </w:tcPr>
          <w:p w14:paraId="6AC00F3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11,450 </w:t>
            </w:r>
          </w:p>
        </w:tc>
        <w:tc>
          <w:tcPr>
            <w:tcW w:w="664" w:type="dxa"/>
            <w:tcBorders>
              <w:top w:val="nil"/>
              <w:left w:val="nil"/>
              <w:bottom w:val="nil"/>
              <w:right w:val="nil"/>
            </w:tcBorders>
            <w:shd w:val="clear" w:color="auto" w:fill="auto"/>
            <w:noWrap/>
            <w:vAlign w:val="bottom"/>
            <w:hideMark/>
          </w:tcPr>
          <w:p w14:paraId="6515E59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23.8%</w:t>
            </w:r>
          </w:p>
        </w:tc>
        <w:tc>
          <w:tcPr>
            <w:tcW w:w="1068" w:type="dxa"/>
            <w:tcBorders>
              <w:top w:val="nil"/>
              <w:left w:val="nil"/>
              <w:bottom w:val="nil"/>
              <w:right w:val="nil"/>
            </w:tcBorders>
            <w:shd w:val="clear" w:color="auto" w:fill="auto"/>
            <w:noWrap/>
            <w:vAlign w:val="bottom"/>
            <w:hideMark/>
          </w:tcPr>
          <w:p w14:paraId="1415957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22,180 </w:t>
            </w:r>
          </w:p>
        </w:tc>
        <w:tc>
          <w:tcPr>
            <w:tcW w:w="664" w:type="dxa"/>
            <w:tcBorders>
              <w:top w:val="nil"/>
              <w:left w:val="nil"/>
              <w:bottom w:val="nil"/>
              <w:right w:val="nil"/>
            </w:tcBorders>
            <w:shd w:val="clear" w:color="auto" w:fill="auto"/>
            <w:noWrap/>
            <w:vAlign w:val="bottom"/>
            <w:hideMark/>
          </w:tcPr>
          <w:p w14:paraId="1B12E3C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28.0%</w:t>
            </w:r>
          </w:p>
        </w:tc>
        <w:tc>
          <w:tcPr>
            <w:tcW w:w="1049" w:type="dxa"/>
            <w:tcBorders>
              <w:top w:val="nil"/>
              <w:left w:val="single" w:sz="4" w:space="0" w:color="auto"/>
              <w:bottom w:val="nil"/>
              <w:right w:val="nil"/>
            </w:tcBorders>
            <w:shd w:val="clear" w:color="auto" w:fill="auto"/>
            <w:noWrap/>
            <w:vAlign w:val="bottom"/>
            <w:hideMark/>
          </w:tcPr>
          <w:p w14:paraId="3EB7EC1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14,255 </w:t>
            </w:r>
          </w:p>
        </w:tc>
        <w:tc>
          <w:tcPr>
            <w:tcW w:w="664" w:type="dxa"/>
            <w:tcBorders>
              <w:top w:val="nil"/>
              <w:left w:val="nil"/>
              <w:bottom w:val="nil"/>
              <w:right w:val="nil"/>
            </w:tcBorders>
            <w:shd w:val="clear" w:color="auto" w:fill="auto"/>
            <w:noWrap/>
            <w:vAlign w:val="bottom"/>
            <w:hideMark/>
          </w:tcPr>
          <w:p w14:paraId="30E999D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29.8%</w:t>
            </w:r>
          </w:p>
        </w:tc>
        <w:tc>
          <w:tcPr>
            <w:tcW w:w="1198" w:type="dxa"/>
            <w:tcBorders>
              <w:top w:val="nil"/>
              <w:left w:val="nil"/>
              <w:bottom w:val="nil"/>
              <w:right w:val="nil"/>
            </w:tcBorders>
            <w:shd w:val="clear" w:color="auto" w:fill="auto"/>
            <w:noWrap/>
            <w:vAlign w:val="bottom"/>
            <w:hideMark/>
          </w:tcPr>
          <w:p w14:paraId="0CC03C6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98,530 </w:t>
            </w:r>
          </w:p>
        </w:tc>
        <w:tc>
          <w:tcPr>
            <w:tcW w:w="664" w:type="dxa"/>
            <w:tcBorders>
              <w:top w:val="nil"/>
              <w:left w:val="nil"/>
              <w:bottom w:val="nil"/>
              <w:right w:val="nil"/>
            </w:tcBorders>
            <w:shd w:val="clear" w:color="auto" w:fill="auto"/>
            <w:noWrap/>
            <w:vAlign w:val="bottom"/>
            <w:hideMark/>
          </w:tcPr>
          <w:p w14:paraId="45DB019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34.3%</w:t>
            </w:r>
          </w:p>
        </w:tc>
        <w:tc>
          <w:tcPr>
            <w:tcW w:w="1178" w:type="dxa"/>
            <w:tcBorders>
              <w:top w:val="nil"/>
              <w:left w:val="nil"/>
              <w:bottom w:val="nil"/>
              <w:right w:val="nil"/>
            </w:tcBorders>
            <w:shd w:val="clear" w:color="auto" w:fill="auto"/>
            <w:noWrap/>
            <w:vAlign w:val="bottom"/>
            <w:hideMark/>
          </w:tcPr>
          <w:p w14:paraId="7DD87EC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333,940 </w:t>
            </w:r>
          </w:p>
        </w:tc>
        <w:tc>
          <w:tcPr>
            <w:tcW w:w="517" w:type="dxa"/>
            <w:tcBorders>
              <w:top w:val="nil"/>
              <w:left w:val="nil"/>
              <w:bottom w:val="nil"/>
              <w:right w:val="single" w:sz="4" w:space="0" w:color="auto"/>
            </w:tcBorders>
            <w:shd w:val="clear" w:color="auto" w:fill="auto"/>
            <w:noWrap/>
            <w:vAlign w:val="bottom"/>
            <w:hideMark/>
          </w:tcPr>
          <w:p w14:paraId="758392D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38.1%</w:t>
            </w:r>
          </w:p>
        </w:tc>
      </w:tr>
      <w:tr w:rsidR="00931E93" w:rsidRPr="00986C6D" w14:paraId="6A2C4CF6"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08CD815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4EE7B3C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Non-smoker</w:t>
            </w:r>
          </w:p>
        </w:tc>
        <w:tc>
          <w:tcPr>
            <w:tcW w:w="1068" w:type="dxa"/>
            <w:tcBorders>
              <w:top w:val="nil"/>
              <w:left w:val="nil"/>
              <w:bottom w:val="nil"/>
              <w:right w:val="nil"/>
            </w:tcBorders>
            <w:shd w:val="clear" w:color="auto" w:fill="auto"/>
            <w:noWrap/>
            <w:vAlign w:val="bottom"/>
            <w:hideMark/>
          </w:tcPr>
          <w:p w14:paraId="29E8DCF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470 </w:t>
            </w:r>
          </w:p>
        </w:tc>
        <w:tc>
          <w:tcPr>
            <w:tcW w:w="664" w:type="dxa"/>
            <w:tcBorders>
              <w:top w:val="nil"/>
              <w:left w:val="nil"/>
              <w:bottom w:val="nil"/>
              <w:right w:val="nil"/>
            </w:tcBorders>
            <w:shd w:val="clear" w:color="auto" w:fill="auto"/>
            <w:noWrap/>
            <w:vAlign w:val="bottom"/>
            <w:hideMark/>
          </w:tcPr>
          <w:p w14:paraId="6570E8D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2.9%</w:t>
            </w:r>
          </w:p>
        </w:tc>
        <w:tc>
          <w:tcPr>
            <w:tcW w:w="1068" w:type="dxa"/>
            <w:tcBorders>
              <w:top w:val="nil"/>
              <w:left w:val="nil"/>
              <w:bottom w:val="nil"/>
              <w:right w:val="nil"/>
            </w:tcBorders>
            <w:shd w:val="clear" w:color="auto" w:fill="auto"/>
            <w:noWrap/>
            <w:vAlign w:val="bottom"/>
            <w:hideMark/>
          </w:tcPr>
          <w:p w14:paraId="37A21B8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1,415 </w:t>
            </w:r>
          </w:p>
        </w:tc>
        <w:tc>
          <w:tcPr>
            <w:tcW w:w="664" w:type="dxa"/>
            <w:tcBorders>
              <w:top w:val="nil"/>
              <w:left w:val="nil"/>
              <w:bottom w:val="nil"/>
              <w:right w:val="nil"/>
            </w:tcBorders>
            <w:shd w:val="clear" w:color="auto" w:fill="auto"/>
            <w:noWrap/>
            <w:vAlign w:val="bottom"/>
            <w:hideMark/>
          </w:tcPr>
          <w:p w14:paraId="61081C6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2.9%</w:t>
            </w:r>
          </w:p>
        </w:tc>
        <w:tc>
          <w:tcPr>
            <w:tcW w:w="1068" w:type="dxa"/>
            <w:tcBorders>
              <w:top w:val="nil"/>
              <w:left w:val="nil"/>
              <w:bottom w:val="nil"/>
              <w:right w:val="nil"/>
            </w:tcBorders>
            <w:shd w:val="clear" w:color="auto" w:fill="auto"/>
            <w:noWrap/>
            <w:vAlign w:val="bottom"/>
            <w:hideMark/>
          </w:tcPr>
          <w:p w14:paraId="0F36AB5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2,350 </w:t>
            </w:r>
          </w:p>
        </w:tc>
        <w:tc>
          <w:tcPr>
            <w:tcW w:w="664" w:type="dxa"/>
            <w:tcBorders>
              <w:top w:val="nil"/>
              <w:left w:val="nil"/>
              <w:bottom w:val="nil"/>
              <w:right w:val="nil"/>
            </w:tcBorders>
            <w:shd w:val="clear" w:color="auto" w:fill="auto"/>
            <w:noWrap/>
            <w:vAlign w:val="bottom"/>
            <w:hideMark/>
          </w:tcPr>
          <w:p w14:paraId="3F58994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3.0%</w:t>
            </w:r>
          </w:p>
        </w:tc>
        <w:tc>
          <w:tcPr>
            <w:tcW w:w="1049" w:type="dxa"/>
            <w:tcBorders>
              <w:top w:val="nil"/>
              <w:left w:val="single" w:sz="4" w:space="0" w:color="auto"/>
              <w:bottom w:val="nil"/>
              <w:right w:val="nil"/>
            </w:tcBorders>
            <w:shd w:val="clear" w:color="auto" w:fill="auto"/>
            <w:noWrap/>
            <w:vAlign w:val="bottom"/>
            <w:hideMark/>
          </w:tcPr>
          <w:p w14:paraId="44FCFCC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1,445 </w:t>
            </w:r>
          </w:p>
        </w:tc>
        <w:tc>
          <w:tcPr>
            <w:tcW w:w="664" w:type="dxa"/>
            <w:tcBorders>
              <w:top w:val="nil"/>
              <w:left w:val="nil"/>
              <w:bottom w:val="nil"/>
              <w:right w:val="nil"/>
            </w:tcBorders>
            <w:shd w:val="clear" w:color="auto" w:fill="auto"/>
            <w:noWrap/>
            <w:vAlign w:val="bottom"/>
            <w:hideMark/>
          </w:tcPr>
          <w:p w14:paraId="3879484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3.0%</w:t>
            </w:r>
          </w:p>
        </w:tc>
        <w:tc>
          <w:tcPr>
            <w:tcW w:w="1198" w:type="dxa"/>
            <w:tcBorders>
              <w:top w:val="nil"/>
              <w:left w:val="nil"/>
              <w:bottom w:val="nil"/>
              <w:right w:val="nil"/>
            </w:tcBorders>
            <w:shd w:val="clear" w:color="auto" w:fill="auto"/>
            <w:noWrap/>
            <w:vAlign w:val="bottom"/>
            <w:hideMark/>
          </w:tcPr>
          <w:p w14:paraId="1FD6FFF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6,860 </w:t>
            </w:r>
          </w:p>
        </w:tc>
        <w:tc>
          <w:tcPr>
            <w:tcW w:w="664" w:type="dxa"/>
            <w:tcBorders>
              <w:top w:val="nil"/>
              <w:left w:val="nil"/>
              <w:bottom w:val="nil"/>
              <w:right w:val="nil"/>
            </w:tcBorders>
            <w:shd w:val="clear" w:color="auto" w:fill="auto"/>
            <w:noWrap/>
            <w:vAlign w:val="bottom"/>
            <w:hideMark/>
          </w:tcPr>
          <w:p w14:paraId="1627AD8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2.4%</w:t>
            </w:r>
          </w:p>
        </w:tc>
        <w:tc>
          <w:tcPr>
            <w:tcW w:w="1178" w:type="dxa"/>
            <w:tcBorders>
              <w:top w:val="nil"/>
              <w:left w:val="nil"/>
              <w:bottom w:val="nil"/>
              <w:right w:val="nil"/>
            </w:tcBorders>
            <w:shd w:val="clear" w:color="auto" w:fill="auto"/>
            <w:noWrap/>
            <w:vAlign w:val="bottom"/>
            <w:hideMark/>
          </w:tcPr>
          <w:p w14:paraId="0B3A0B3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17,755 </w:t>
            </w:r>
          </w:p>
        </w:tc>
        <w:tc>
          <w:tcPr>
            <w:tcW w:w="517" w:type="dxa"/>
            <w:tcBorders>
              <w:top w:val="nil"/>
              <w:left w:val="nil"/>
              <w:bottom w:val="nil"/>
              <w:right w:val="single" w:sz="4" w:space="0" w:color="auto"/>
            </w:tcBorders>
            <w:shd w:val="clear" w:color="auto" w:fill="auto"/>
            <w:noWrap/>
            <w:vAlign w:val="bottom"/>
            <w:hideMark/>
          </w:tcPr>
          <w:p w14:paraId="4CCCDC4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w:t>
            </w:r>
          </w:p>
        </w:tc>
      </w:tr>
      <w:tr w:rsidR="00931E93" w:rsidRPr="00986C6D" w14:paraId="242CCA8F"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4091752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27480F5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Never smoked</w:t>
            </w:r>
          </w:p>
        </w:tc>
        <w:tc>
          <w:tcPr>
            <w:tcW w:w="1068" w:type="dxa"/>
            <w:tcBorders>
              <w:top w:val="nil"/>
              <w:left w:val="nil"/>
              <w:bottom w:val="nil"/>
              <w:right w:val="nil"/>
            </w:tcBorders>
            <w:shd w:val="clear" w:color="auto" w:fill="auto"/>
            <w:noWrap/>
            <w:vAlign w:val="bottom"/>
            <w:hideMark/>
          </w:tcPr>
          <w:p w14:paraId="128162F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7,250 </w:t>
            </w:r>
          </w:p>
        </w:tc>
        <w:tc>
          <w:tcPr>
            <w:tcW w:w="664" w:type="dxa"/>
            <w:tcBorders>
              <w:top w:val="nil"/>
              <w:left w:val="nil"/>
              <w:bottom w:val="nil"/>
              <w:right w:val="nil"/>
            </w:tcBorders>
            <w:shd w:val="clear" w:color="auto" w:fill="auto"/>
            <w:noWrap/>
            <w:vAlign w:val="bottom"/>
            <w:hideMark/>
          </w:tcPr>
          <w:p w14:paraId="08BE2F7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44.7%</w:t>
            </w:r>
          </w:p>
        </w:tc>
        <w:tc>
          <w:tcPr>
            <w:tcW w:w="1068" w:type="dxa"/>
            <w:tcBorders>
              <w:top w:val="nil"/>
              <w:left w:val="nil"/>
              <w:bottom w:val="nil"/>
              <w:right w:val="nil"/>
            </w:tcBorders>
            <w:shd w:val="clear" w:color="auto" w:fill="auto"/>
            <w:noWrap/>
            <w:vAlign w:val="bottom"/>
            <w:hideMark/>
          </w:tcPr>
          <w:p w14:paraId="0330AA2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23,045 </w:t>
            </w:r>
          </w:p>
        </w:tc>
        <w:tc>
          <w:tcPr>
            <w:tcW w:w="664" w:type="dxa"/>
            <w:tcBorders>
              <w:top w:val="nil"/>
              <w:left w:val="nil"/>
              <w:bottom w:val="nil"/>
              <w:right w:val="nil"/>
            </w:tcBorders>
            <w:shd w:val="clear" w:color="auto" w:fill="auto"/>
            <w:noWrap/>
            <w:vAlign w:val="bottom"/>
            <w:hideMark/>
          </w:tcPr>
          <w:p w14:paraId="7CFB4DA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48.0%</w:t>
            </w:r>
          </w:p>
        </w:tc>
        <w:tc>
          <w:tcPr>
            <w:tcW w:w="1068" w:type="dxa"/>
            <w:tcBorders>
              <w:top w:val="nil"/>
              <w:left w:val="nil"/>
              <w:bottom w:val="nil"/>
              <w:right w:val="nil"/>
            </w:tcBorders>
            <w:shd w:val="clear" w:color="auto" w:fill="auto"/>
            <w:noWrap/>
            <w:vAlign w:val="bottom"/>
            <w:hideMark/>
          </w:tcPr>
          <w:p w14:paraId="4FE03E6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38,895 </w:t>
            </w:r>
          </w:p>
        </w:tc>
        <w:tc>
          <w:tcPr>
            <w:tcW w:w="664" w:type="dxa"/>
            <w:tcBorders>
              <w:top w:val="nil"/>
              <w:left w:val="nil"/>
              <w:bottom w:val="nil"/>
              <w:right w:val="nil"/>
            </w:tcBorders>
            <w:shd w:val="clear" w:color="auto" w:fill="auto"/>
            <w:noWrap/>
            <w:vAlign w:val="bottom"/>
            <w:hideMark/>
          </w:tcPr>
          <w:p w14:paraId="68C670F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49.1%</w:t>
            </w:r>
          </w:p>
        </w:tc>
        <w:tc>
          <w:tcPr>
            <w:tcW w:w="1049" w:type="dxa"/>
            <w:tcBorders>
              <w:top w:val="nil"/>
              <w:left w:val="single" w:sz="4" w:space="0" w:color="auto"/>
              <w:bottom w:val="nil"/>
              <w:right w:val="nil"/>
            </w:tcBorders>
            <w:shd w:val="clear" w:color="auto" w:fill="auto"/>
            <w:noWrap/>
            <w:vAlign w:val="bottom"/>
            <w:hideMark/>
          </w:tcPr>
          <w:p w14:paraId="1FE9CB5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19,340 </w:t>
            </w:r>
          </w:p>
        </w:tc>
        <w:tc>
          <w:tcPr>
            <w:tcW w:w="664" w:type="dxa"/>
            <w:tcBorders>
              <w:top w:val="nil"/>
              <w:left w:val="nil"/>
              <w:bottom w:val="nil"/>
              <w:right w:val="nil"/>
            </w:tcBorders>
            <w:shd w:val="clear" w:color="auto" w:fill="auto"/>
            <w:noWrap/>
            <w:vAlign w:val="bottom"/>
            <w:hideMark/>
          </w:tcPr>
          <w:p w14:paraId="672AA73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40.4%</w:t>
            </w:r>
          </w:p>
        </w:tc>
        <w:tc>
          <w:tcPr>
            <w:tcW w:w="1198" w:type="dxa"/>
            <w:tcBorders>
              <w:top w:val="nil"/>
              <w:left w:val="nil"/>
              <w:bottom w:val="nil"/>
              <w:right w:val="nil"/>
            </w:tcBorders>
            <w:shd w:val="clear" w:color="auto" w:fill="auto"/>
            <w:noWrap/>
            <w:vAlign w:val="bottom"/>
            <w:hideMark/>
          </w:tcPr>
          <w:p w14:paraId="6A5EB8C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132,215 </w:t>
            </w:r>
          </w:p>
        </w:tc>
        <w:tc>
          <w:tcPr>
            <w:tcW w:w="664" w:type="dxa"/>
            <w:tcBorders>
              <w:top w:val="nil"/>
              <w:left w:val="nil"/>
              <w:bottom w:val="nil"/>
              <w:right w:val="nil"/>
            </w:tcBorders>
            <w:shd w:val="clear" w:color="auto" w:fill="auto"/>
            <w:noWrap/>
            <w:vAlign w:val="bottom"/>
            <w:hideMark/>
          </w:tcPr>
          <w:p w14:paraId="4EE4BB6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46.0%</w:t>
            </w:r>
          </w:p>
        </w:tc>
        <w:tc>
          <w:tcPr>
            <w:tcW w:w="1178" w:type="dxa"/>
            <w:tcBorders>
              <w:top w:val="nil"/>
              <w:left w:val="nil"/>
              <w:bottom w:val="nil"/>
              <w:right w:val="nil"/>
            </w:tcBorders>
            <w:shd w:val="clear" w:color="auto" w:fill="auto"/>
            <w:noWrap/>
            <w:vAlign w:val="bottom"/>
            <w:hideMark/>
          </w:tcPr>
          <w:p w14:paraId="37F584C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404,100 </w:t>
            </w:r>
          </w:p>
        </w:tc>
        <w:tc>
          <w:tcPr>
            <w:tcW w:w="517" w:type="dxa"/>
            <w:tcBorders>
              <w:top w:val="nil"/>
              <w:left w:val="nil"/>
              <w:bottom w:val="nil"/>
              <w:right w:val="single" w:sz="4" w:space="0" w:color="auto"/>
            </w:tcBorders>
            <w:shd w:val="clear" w:color="auto" w:fill="auto"/>
            <w:noWrap/>
            <w:vAlign w:val="bottom"/>
            <w:hideMark/>
          </w:tcPr>
          <w:p w14:paraId="60F4A36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46.1%</w:t>
            </w:r>
          </w:p>
        </w:tc>
      </w:tr>
      <w:tr w:rsidR="00931E93" w:rsidRPr="00986C6D" w14:paraId="328D446B"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65638F4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377BE9D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Missing</w:t>
            </w:r>
          </w:p>
        </w:tc>
        <w:tc>
          <w:tcPr>
            <w:tcW w:w="1068" w:type="dxa"/>
            <w:tcBorders>
              <w:top w:val="nil"/>
              <w:left w:val="nil"/>
              <w:bottom w:val="nil"/>
              <w:right w:val="nil"/>
            </w:tcBorders>
            <w:shd w:val="clear" w:color="auto" w:fill="auto"/>
            <w:noWrap/>
            <w:vAlign w:val="bottom"/>
            <w:hideMark/>
          </w:tcPr>
          <w:p w14:paraId="27C6912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21,020 </w:t>
            </w:r>
          </w:p>
        </w:tc>
        <w:tc>
          <w:tcPr>
            <w:tcW w:w="664" w:type="dxa"/>
            <w:tcBorders>
              <w:top w:val="nil"/>
              <w:left w:val="nil"/>
              <w:bottom w:val="nil"/>
              <w:right w:val="nil"/>
            </w:tcBorders>
            <w:shd w:val="clear" w:color="auto" w:fill="auto"/>
            <w:noWrap/>
            <w:vAlign w:val="bottom"/>
            <w:hideMark/>
          </w:tcPr>
          <w:p w14:paraId="07BC74C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63D861F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13,205 </w:t>
            </w:r>
          </w:p>
        </w:tc>
        <w:tc>
          <w:tcPr>
            <w:tcW w:w="664" w:type="dxa"/>
            <w:tcBorders>
              <w:top w:val="nil"/>
              <w:left w:val="nil"/>
              <w:bottom w:val="nil"/>
              <w:right w:val="nil"/>
            </w:tcBorders>
            <w:shd w:val="clear" w:color="auto" w:fill="auto"/>
            <w:noWrap/>
            <w:vAlign w:val="bottom"/>
            <w:hideMark/>
          </w:tcPr>
          <w:p w14:paraId="7F33F82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07C3064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1,480 </w:t>
            </w:r>
          </w:p>
        </w:tc>
        <w:tc>
          <w:tcPr>
            <w:tcW w:w="664" w:type="dxa"/>
            <w:tcBorders>
              <w:top w:val="nil"/>
              <w:left w:val="nil"/>
              <w:bottom w:val="nil"/>
              <w:right w:val="nil"/>
            </w:tcBorders>
            <w:shd w:val="clear" w:color="auto" w:fill="auto"/>
            <w:noWrap/>
            <w:vAlign w:val="bottom"/>
            <w:hideMark/>
          </w:tcPr>
          <w:p w14:paraId="5FD5524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15C217E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84,270 </w:t>
            </w:r>
          </w:p>
        </w:tc>
        <w:tc>
          <w:tcPr>
            <w:tcW w:w="664" w:type="dxa"/>
            <w:tcBorders>
              <w:top w:val="nil"/>
              <w:left w:val="nil"/>
              <w:bottom w:val="nil"/>
              <w:right w:val="nil"/>
            </w:tcBorders>
            <w:shd w:val="clear" w:color="auto" w:fill="auto"/>
            <w:noWrap/>
            <w:vAlign w:val="bottom"/>
            <w:hideMark/>
          </w:tcPr>
          <w:p w14:paraId="521BD5E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10E9E8B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99,400 </w:t>
            </w:r>
          </w:p>
        </w:tc>
        <w:tc>
          <w:tcPr>
            <w:tcW w:w="664" w:type="dxa"/>
            <w:tcBorders>
              <w:top w:val="nil"/>
              <w:left w:val="nil"/>
              <w:bottom w:val="nil"/>
              <w:right w:val="nil"/>
            </w:tcBorders>
            <w:shd w:val="clear" w:color="auto" w:fill="auto"/>
            <w:noWrap/>
            <w:vAlign w:val="bottom"/>
            <w:hideMark/>
          </w:tcPr>
          <w:p w14:paraId="7891A09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78" w:type="dxa"/>
            <w:tcBorders>
              <w:top w:val="nil"/>
              <w:left w:val="nil"/>
              <w:bottom w:val="nil"/>
              <w:right w:val="nil"/>
            </w:tcBorders>
            <w:shd w:val="clear" w:color="auto" w:fill="auto"/>
            <w:noWrap/>
            <w:vAlign w:val="bottom"/>
            <w:hideMark/>
          </w:tcPr>
          <w:p w14:paraId="05CB11E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2,775 </w:t>
            </w:r>
          </w:p>
        </w:tc>
        <w:tc>
          <w:tcPr>
            <w:tcW w:w="517" w:type="dxa"/>
            <w:tcBorders>
              <w:top w:val="nil"/>
              <w:left w:val="nil"/>
              <w:bottom w:val="nil"/>
              <w:right w:val="single" w:sz="4" w:space="0" w:color="auto"/>
            </w:tcBorders>
            <w:shd w:val="clear" w:color="auto" w:fill="auto"/>
            <w:noWrap/>
            <w:vAlign w:val="bottom"/>
            <w:hideMark/>
          </w:tcPr>
          <w:p w14:paraId="5A7AC2B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46AB97A0" w14:textId="77777777" w:rsidTr="00154DE3">
        <w:trPr>
          <w:trHeight w:val="233"/>
        </w:trPr>
        <w:tc>
          <w:tcPr>
            <w:tcW w:w="2520" w:type="dxa"/>
            <w:gridSpan w:val="2"/>
            <w:tcBorders>
              <w:top w:val="nil"/>
              <w:left w:val="single" w:sz="4" w:space="0" w:color="auto"/>
              <w:bottom w:val="nil"/>
              <w:right w:val="single" w:sz="4" w:space="0" w:color="000000"/>
            </w:tcBorders>
            <w:shd w:val="clear" w:color="auto" w:fill="auto"/>
            <w:noWrap/>
            <w:vAlign w:val="bottom"/>
            <w:hideMark/>
          </w:tcPr>
          <w:p w14:paraId="7086977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Duration</w:t>
            </w:r>
          </w:p>
        </w:tc>
        <w:tc>
          <w:tcPr>
            <w:tcW w:w="1068" w:type="dxa"/>
            <w:tcBorders>
              <w:top w:val="nil"/>
              <w:left w:val="nil"/>
              <w:bottom w:val="nil"/>
              <w:right w:val="nil"/>
            </w:tcBorders>
            <w:shd w:val="clear" w:color="auto" w:fill="auto"/>
            <w:noWrap/>
            <w:vAlign w:val="bottom"/>
            <w:hideMark/>
          </w:tcPr>
          <w:p w14:paraId="766D547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664" w:type="dxa"/>
            <w:tcBorders>
              <w:top w:val="nil"/>
              <w:left w:val="nil"/>
              <w:bottom w:val="nil"/>
              <w:right w:val="nil"/>
            </w:tcBorders>
            <w:shd w:val="clear" w:color="auto" w:fill="auto"/>
            <w:noWrap/>
            <w:vAlign w:val="bottom"/>
            <w:hideMark/>
          </w:tcPr>
          <w:p w14:paraId="5B4F62AD"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0F897F43"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28E3DCD9"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489C2A74"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2A1571C5"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13BA4CF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664" w:type="dxa"/>
            <w:tcBorders>
              <w:top w:val="nil"/>
              <w:left w:val="nil"/>
              <w:bottom w:val="nil"/>
              <w:right w:val="nil"/>
            </w:tcBorders>
            <w:shd w:val="clear" w:color="auto" w:fill="auto"/>
            <w:noWrap/>
            <w:vAlign w:val="bottom"/>
            <w:hideMark/>
          </w:tcPr>
          <w:p w14:paraId="6D2659C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734EB873"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2E07048C"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178" w:type="dxa"/>
            <w:tcBorders>
              <w:top w:val="nil"/>
              <w:left w:val="nil"/>
              <w:bottom w:val="nil"/>
              <w:right w:val="nil"/>
            </w:tcBorders>
            <w:shd w:val="clear" w:color="auto" w:fill="auto"/>
            <w:noWrap/>
            <w:vAlign w:val="bottom"/>
            <w:hideMark/>
          </w:tcPr>
          <w:p w14:paraId="5E463092"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517" w:type="dxa"/>
            <w:tcBorders>
              <w:top w:val="nil"/>
              <w:left w:val="nil"/>
              <w:bottom w:val="nil"/>
              <w:right w:val="single" w:sz="4" w:space="0" w:color="auto"/>
            </w:tcBorders>
            <w:shd w:val="clear" w:color="auto" w:fill="auto"/>
            <w:noWrap/>
            <w:vAlign w:val="bottom"/>
            <w:hideMark/>
          </w:tcPr>
          <w:p w14:paraId="45C2365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6DB5B6E4"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3FE49DCE"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4086C90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&lt; 1 year</w:t>
            </w:r>
          </w:p>
        </w:tc>
        <w:tc>
          <w:tcPr>
            <w:tcW w:w="1068" w:type="dxa"/>
            <w:tcBorders>
              <w:top w:val="nil"/>
              <w:left w:val="nil"/>
              <w:bottom w:val="nil"/>
              <w:right w:val="nil"/>
            </w:tcBorders>
            <w:shd w:val="clear" w:color="auto" w:fill="auto"/>
            <w:noWrap/>
            <w:vAlign w:val="bottom"/>
            <w:hideMark/>
          </w:tcPr>
          <w:p w14:paraId="0DDA8ED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1,215 </w:t>
            </w:r>
          </w:p>
        </w:tc>
        <w:tc>
          <w:tcPr>
            <w:tcW w:w="664" w:type="dxa"/>
            <w:tcBorders>
              <w:top w:val="nil"/>
              <w:left w:val="nil"/>
              <w:bottom w:val="nil"/>
              <w:right w:val="nil"/>
            </w:tcBorders>
            <w:shd w:val="clear" w:color="auto" w:fill="auto"/>
            <w:noWrap/>
            <w:vAlign w:val="bottom"/>
            <w:hideMark/>
          </w:tcPr>
          <w:p w14:paraId="14A6DFF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3.3%</w:t>
            </w:r>
          </w:p>
        </w:tc>
        <w:tc>
          <w:tcPr>
            <w:tcW w:w="1068" w:type="dxa"/>
            <w:tcBorders>
              <w:top w:val="nil"/>
              <w:left w:val="nil"/>
              <w:bottom w:val="nil"/>
              <w:right w:val="nil"/>
            </w:tcBorders>
            <w:shd w:val="clear" w:color="auto" w:fill="auto"/>
            <w:noWrap/>
            <w:vAlign w:val="bottom"/>
            <w:hideMark/>
          </w:tcPr>
          <w:p w14:paraId="60EBDFD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1,575 </w:t>
            </w:r>
          </w:p>
        </w:tc>
        <w:tc>
          <w:tcPr>
            <w:tcW w:w="664" w:type="dxa"/>
            <w:tcBorders>
              <w:top w:val="nil"/>
              <w:left w:val="nil"/>
              <w:bottom w:val="nil"/>
              <w:right w:val="nil"/>
            </w:tcBorders>
            <w:shd w:val="clear" w:color="auto" w:fill="auto"/>
            <w:noWrap/>
            <w:vAlign w:val="bottom"/>
            <w:hideMark/>
          </w:tcPr>
          <w:p w14:paraId="53F77A1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2.6%</w:t>
            </w:r>
          </w:p>
        </w:tc>
        <w:tc>
          <w:tcPr>
            <w:tcW w:w="1068" w:type="dxa"/>
            <w:tcBorders>
              <w:top w:val="nil"/>
              <w:left w:val="nil"/>
              <w:bottom w:val="nil"/>
              <w:right w:val="nil"/>
            </w:tcBorders>
            <w:shd w:val="clear" w:color="auto" w:fill="auto"/>
            <w:noWrap/>
            <w:vAlign w:val="bottom"/>
            <w:hideMark/>
          </w:tcPr>
          <w:p w14:paraId="5813EAF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2,165 </w:t>
            </w:r>
          </w:p>
        </w:tc>
        <w:tc>
          <w:tcPr>
            <w:tcW w:w="664" w:type="dxa"/>
            <w:tcBorders>
              <w:top w:val="nil"/>
              <w:left w:val="nil"/>
              <w:bottom w:val="nil"/>
              <w:right w:val="nil"/>
            </w:tcBorders>
            <w:shd w:val="clear" w:color="auto" w:fill="auto"/>
            <w:noWrap/>
            <w:vAlign w:val="bottom"/>
            <w:hideMark/>
          </w:tcPr>
          <w:p w14:paraId="0F2B114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2.7%</w:t>
            </w:r>
          </w:p>
        </w:tc>
        <w:tc>
          <w:tcPr>
            <w:tcW w:w="1049" w:type="dxa"/>
            <w:tcBorders>
              <w:top w:val="nil"/>
              <w:left w:val="single" w:sz="4" w:space="0" w:color="auto"/>
              <w:bottom w:val="nil"/>
              <w:right w:val="nil"/>
            </w:tcBorders>
            <w:shd w:val="clear" w:color="auto" w:fill="auto"/>
            <w:noWrap/>
            <w:vAlign w:val="bottom"/>
            <w:hideMark/>
          </w:tcPr>
          <w:p w14:paraId="0242A61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13,370 </w:t>
            </w:r>
          </w:p>
        </w:tc>
        <w:tc>
          <w:tcPr>
            <w:tcW w:w="664" w:type="dxa"/>
            <w:tcBorders>
              <w:top w:val="nil"/>
              <w:left w:val="nil"/>
              <w:bottom w:val="nil"/>
              <w:right w:val="nil"/>
            </w:tcBorders>
            <w:shd w:val="clear" w:color="auto" w:fill="auto"/>
            <w:noWrap/>
            <w:vAlign w:val="bottom"/>
            <w:hideMark/>
          </w:tcPr>
          <w:p w14:paraId="51E9826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10.1%</w:t>
            </w:r>
          </w:p>
        </w:tc>
        <w:tc>
          <w:tcPr>
            <w:tcW w:w="1198" w:type="dxa"/>
            <w:tcBorders>
              <w:top w:val="nil"/>
              <w:left w:val="nil"/>
              <w:bottom w:val="nil"/>
              <w:right w:val="nil"/>
            </w:tcBorders>
            <w:shd w:val="clear" w:color="auto" w:fill="auto"/>
            <w:noWrap/>
            <w:vAlign w:val="bottom"/>
            <w:hideMark/>
          </w:tcPr>
          <w:p w14:paraId="063CE4B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39,385 </w:t>
            </w:r>
          </w:p>
        </w:tc>
        <w:tc>
          <w:tcPr>
            <w:tcW w:w="664" w:type="dxa"/>
            <w:tcBorders>
              <w:top w:val="nil"/>
              <w:left w:val="nil"/>
              <w:bottom w:val="nil"/>
              <w:right w:val="nil"/>
            </w:tcBorders>
            <w:shd w:val="clear" w:color="auto" w:fill="auto"/>
            <w:noWrap/>
            <w:vAlign w:val="bottom"/>
            <w:hideMark/>
          </w:tcPr>
          <w:p w14:paraId="69201B6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10.2%</w:t>
            </w:r>
          </w:p>
        </w:tc>
        <w:tc>
          <w:tcPr>
            <w:tcW w:w="1178" w:type="dxa"/>
            <w:tcBorders>
              <w:top w:val="nil"/>
              <w:left w:val="nil"/>
              <w:bottom w:val="nil"/>
              <w:right w:val="nil"/>
            </w:tcBorders>
            <w:shd w:val="clear" w:color="auto" w:fill="auto"/>
            <w:noWrap/>
            <w:vAlign w:val="bottom"/>
            <w:hideMark/>
          </w:tcPr>
          <w:p w14:paraId="0FC7F1B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89,805 </w:t>
            </w:r>
          </w:p>
        </w:tc>
        <w:tc>
          <w:tcPr>
            <w:tcW w:w="517" w:type="dxa"/>
            <w:tcBorders>
              <w:top w:val="nil"/>
              <w:left w:val="nil"/>
              <w:bottom w:val="nil"/>
              <w:right w:val="single" w:sz="4" w:space="0" w:color="auto"/>
            </w:tcBorders>
            <w:shd w:val="clear" w:color="auto" w:fill="auto"/>
            <w:noWrap/>
            <w:vAlign w:val="bottom"/>
            <w:hideMark/>
          </w:tcPr>
          <w:p w14:paraId="0491F02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10.2%</w:t>
            </w:r>
          </w:p>
        </w:tc>
      </w:tr>
      <w:tr w:rsidR="00931E93" w:rsidRPr="00986C6D" w14:paraId="23BB9B51"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6F363CA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0EC23F1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1 - 2 years</w:t>
            </w:r>
          </w:p>
        </w:tc>
        <w:tc>
          <w:tcPr>
            <w:tcW w:w="1068" w:type="dxa"/>
            <w:tcBorders>
              <w:top w:val="nil"/>
              <w:left w:val="nil"/>
              <w:bottom w:val="nil"/>
              <w:right w:val="nil"/>
            </w:tcBorders>
            <w:shd w:val="clear" w:color="auto" w:fill="auto"/>
            <w:noWrap/>
            <w:vAlign w:val="bottom"/>
            <w:hideMark/>
          </w:tcPr>
          <w:p w14:paraId="4CFA4C0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2,755 </w:t>
            </w:r>
          </w:p>
        </w:tc>
        <w:tc>
          <w:tcPr>
            <w:tcW w:w="664" w:type="dxa"/>
            <w:tcBorders>
              <w:top w:val="nil"/>
              <w:left w:val="nil"/>
              <w:bottom w:val="nil"/>
              <w:right w:val="nil"/>
            </w:tcBorders>
            <w:shd w:val="clear" w:color="auto" w:fill="auto"/>
            <w:noWrap/>
            <w:vAlign w:val="bottom"/>
            <w:hideMark/>
          </w:tcPr>
          <w:p w14:paraId="3942EAF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7.4%</w:t>
            </w:r>
          </w:p>
        </w:tc>
        <w:tc>
          <w:tcPr>
            <w:tcW w:w="1068" w:type="dxa"/>
            <w:tcBorders>
              <w:top w:val="nil"/>
              <w:left w:val="nil"/>
              <w:bottom w:val="nil"/>
              <w:right w:val="nil"/>
            </w:tcBorders>
            <w:shd w:val="clear" w:color="auto" w:fill="auto"/>
            <w:noWrap/>
            <w:vAlign w:val="bottom"/>
            <w:hideMark/>
          </w:tcPr>
          <w:p w14:paraId="573C60A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3,655 </w:t>
            </w:r>
          </w:p>
        </w:tc>
        <w:tc>
          <w:tcPr>
            <w:tcW w:w="664" w:type="dxa"/>
            <w:tcBorders>
              <w:top w:val="nil"/>
              <w:left w:val="nil"/>
              <w:bottom w:val="nil"/>
              <w:right w:val="nil"/>
            </w:tcBorders>
            <w:shd w:val="clear" w:color="auto" w:fill="auto"/>
            <w:noWrap/>
            <w:vAlign w:val="bottom"/>
            <w:hideMark/>
          </w:tcPr>
          <w:p w14:paraId="425450C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6.0%</w:t>
            </w:r>
          </w:p>
        </w:tc>
        <w:tc>
          <w:tcPr>
            <w:tcW w:w="1068" w:type="dxa"/>
            <w:tcBorders>
              <w:top w:val="nil"/>
              <w:left w:val="nil"/>
              <w:bottom w:val="nil"/>
              <w:right w:val="nil"/>
            </w:tcBorders>
            <w:shd w:val="clear" w:color="auto" w:fill="auto"/>
            <w:noWrap/>
            <w:vAlign w:val="bottom"/>
            <w:hideMark/>
          </w:tcPr>
          <w:p w14:paraId="37AC2DB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4,845 </w:t>
            </w:r>
          </w:p>
        </w:tc>
        <w:tc>
          <w:tcPr>
            <w:tcW w:w="664" w:type="dxa"/>
            <w:tcBorders>
              <w:top w:val="nil"/>
              <w:left w:val="nil"/>
              <w:bottom w:val="nil"/>
              <w:right w:val="nil"/>
            </w:tcBorders>
            <w:shd w:val="clear" w:color="auto" w:fill="auto"/>
            <w:noWrap/>
            <w:vAlign w:val="bottom"/>
            <w:hideMark/>
          </w:tcPr>
          <w:p w14:paraId="6362F1F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6.0%</w:t>
            </w:r>
          </w:p>
        </w:tc>
        <w:tc>
          <w:tcPr>
            <w:tcW w:w="1049" w:type="dxa"/>
            <w:tcBorders>
              <w:top w:val="nil"/>
              <w:left w:val="single" w:sz="4" w:space="0" w:color="auto"/>
              <w:bottom w:val="nil"/>
              <w:right w:val="nil"/>
            </w:tcBorders>
            <w:shd w:val="clear" w:color="auto" w:fill="auto"/>
            <w:noWrap/>
            <w:vAlign w:val="bottom"/>
            <w:hideMark/>
          </w:tcPr>
          <w:p w14:paraId="65E96FD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24,890 </w:t>
            </w:r>
          </w:p>
        </w:tc>
        <w:tc>
          <w:tcPr>
            <w:tcW w:w="664" w:type="dxa"/>
            <w:tcBorders>
              <w:top w:val="nil"/>
              <w:left w:val="nil"/>
              <w:bottom w:val="nil"/>
              <w:right w:val="nil"/>
            </w:tcBorders>
            <w:shd w:val="clear" w:color="auto" w:fill="auto"/>
            <w:noWrap/>
            <w:vAlign w:val="bottom"/>
            <w:hideMark/>
          </w:tcPr>
          <w:p w14:paraId="47736BA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18.8%</w:t>
            </w:r>
          </w:p>
        </w:tc>
        <w:tc>
          <w:tcPr>
            <w:tcW w:w="1198" w:type="dxa"/>
            <w:tcBorders>
              <w:top w:val="nil"/>
              <w:left w:val="nil"/>
              <w:bottom w:val="nil"/>
              <w:right w:val="nil"/>
            </w:tcBorders>
            <w:shd w:val="clear" w:color="auto" w:fill="auto"/>
            <w:noWrap/>
            <w:vAlign w:val="bottom"/>
            <w:hideMark/>
          </w:tcPr>
          <w:p w14:paraId="31F5F7D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72,640 </w:t>
            </w:r>
          </w:p>
        </w:tc>
        <w:tc>
          <w:tcPr>
            <w:tcW w:w="664" w:type="dxa"/>
            <w:tcBorders>
              <w:top w:val="nil"/>
              <w:left w:val="nil"/>
              <w:bottom w:val="nil"/>
              <w:right w:val="nil"/>
            </w:tcBorders>
            <w:shd w:val="clear" w:color="auto" w:fill="auto"/>
            <w:noWrap/>
            <w:vAlign w:val="bottom"/>
            <w:hideMark/>
          </w:tcPr>
          <w:p w14:paraId="44324EA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18.8%</w:t>
            </w:r>
          </w:p>
        </w:tc>
        <w:tc>
          <w:tcPr>
            <w:tcW w:w="1178" w:type="dxa"/>
            <w:tcBorders>
              <w:top w:val="nil"/>
              <w:left w:val="nil"/>
              <w:bottom w:val="nil"/>
              <w:right w:val="nil"/>
            </w:tcBorders>
            <w:shd w:val="clear" w:color="auto" w:fill="auto"/>
            <w:noWrap/>
            <w:vAlign w:val="bottom"/>
            <w:hideMark/>
          </w:tcPr>
          <w:p w14:paraId="58FFF1B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167,735 </w:t>
            </w:r>
          </w:p>
        </w:tc>
        <w:tc>
          <w:tcPr>
            <w:tcW w:w="517" w:type="dxa"/>
            <w:tcBorders>
              <w:top w:val="nil"/>
              <w:left w:val="nil"/>
              <w:bottom w:val="nil"/>
              <w:right w:val="single" w:sz="4" w:space="0" w:color="auto"/>
            </w:tcBorders>
            <w:shd w:val="clear" w:color="auto" w:fill="auto"/>
            <w:noWrap/>
            <w:vAlign w:val="bottom"/>
            <w:hideMark/>
          </w:tcPr>
          <w:p w14:paraId="6DE9219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19.1%</w:t>
            </w:r>
          </w:p>
        </w:tc>
      </w:tr>
      <w:tr w:rsidR="00931E93" w:rsidRPr="00986C6D" w14:paraId="0483130E"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6F42421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5BEDAFF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3 - 5 years</w:t>
            </w:r>
          </w:p>
        </w:tc>
        <w:tc>
          <w:tcPr>
            <w:tcW w:w="1068" w:type="dxa"/>
            <w:tcBorders>
              <w:top w:val="nil"/>
              <w:left w:val="nil"/>
              <w:bottom w:val="nil"/>
              <w:right w:val="nil"/>
            </w:tcBorders>
            <w:shd w:val="clear" w:color="auto" w:fill="auto"/>
            <w:noWrap/>
            <w:vAlign w:val="bottom"/>
            <w:hideMark/>
          </w:tcPr>
          <w:p w14:paraId="4884614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2,920 </w:t>
            </w:r>
          </w:p>
        </w:tc>
        <w:tc>
          <w:tcPr>
            <w:tcW w:w="664" w:type="dxa"/>
            <w:tcBorders>
              <w:top w:val="nil"/>
              <w:left w:val="nil"/>
              <w:bottom w:val="nil"/>
              <w:right w:val="nil"/>
            </w:tcBorders>
            <w:shd w:val="clear" w:color="auto" w:fill="auto"/>
            <w:noWrap/>
            <w:vAlign w:val="bottom"/>
            <w:hideMark/>
          </w:tcPr>
          <w:p w14:paraId="1994FD1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7.8%</w:t>
            </w:r>
          </w:p>
        </w:tc>
        <w:tc>
          <w:tcPr>
            <w:tcW w:w="1068" w:type="dxa"/>
            <w:tcBorders>
              <w:top w:val="nil"/>
              <w:left w:val="nil"/>
              <w:bottom w:val="nil"/>
              <w:right w:val="nil"/>
            </w:tcBorders>
            <w:shd w:val="clear" w:color="auto" w:fill="auto"/>
            <w:noWrap/>
            <w:vAlign w:val="bottom"/>
            <w:hideMark/>
          </w:tcPr>
          <w:p w14:paraId="03BE57D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4,220 </w:t>
            </w:r>
          </w:p>
        </w:tc>
        <w:tc>
          <w:tcPr>
            <w:tcW w:w="664" w:type="dxa"/>
            <w:tcBorders>
              <w:top w:val="nil"/>
              <w:left w:val="nil"/>
              <w:bottom w:val="nil"/>
              <w:right w:val="nil"/>
            </w:tcBorders>
            <w:shd w:val="clear" w:color="auto" w:fill="auto"/>
            <w:noWrap/>
            <w:vAlign w:val="bottom"/>
            <w:hideMark/>
          </w:tcPr>
          <w:p w14:paraId="383B951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6.9%</w:t>
            </w:r>
          </w:p>
        </w:tc>
        <w:tc>
          <w:tcPr>
            <w:tcW w:w="1068" w:type="dxa"/>
            <w:tcBorders>
              <w:top w:val="nil"/>
              <w:left w:val="nil"/>
              <w:bottom w:val="nil"/>
              <w:right w:val="nil"/>
            </w:tcBorders>
            <w:shd w:val="clear" w:color="auto" w:fill="auto"/>
            <w:noWrap/>
            <w:vAlign w:val="bottom"/>
            <w:hideMark/>
          </w:tcPr>
          <w:p w14:paraId="60D3549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5,590 </w:t>
            </w:r>
          </w:p>
        </w:tc>
        <w:tc>
          <w:tcPr>
            <w:tcW w:w="664" w:type="dxa"/>
            <w:tcBorders>
              <w:top w:val="nil"/>
              <w:left w:val="nil"/>
              <w:bottom w:val="nil"/>
              <w:right w:val="nil"/>
            </w:tcBorders>
            <w:shd w:val="clear" w:color="auto" w:fill="auto"/>
            <w:noWrap/>
            <w:vAlign w:val="bottom"/>
            <w:hideMark/>
          </w:tcPr>
          <w:p w14:paraId="2662134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6.9%</w:t>
            </w:r>
          </w:p>
        </w:tc>
        <w:tc>
          <w:tcPr>
            <w:tcW w:w="1049" w:type="dxa"/>
            <w:tcBorders>
              <w:top w:val="nil"/>
              <w:left w:val="single" w:sz="4" w:space="0" w:color="auto"/>
              <w:bottom w:val="nil"/>
              <w:right w:val="nil"/>
            </w:tcBorders>
            <w:shd w:val="clear" w:color="auto" w:fill="auto"/>
            <w:noWrap/>
            <w:vAlign w:val="bottom"/>
            <w:hideMark/>
          </w:tcPr>
          <w:p w14:paraId="1B8986F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23,500 </w:t>
            </w:r>
          </w:p>
        </w:tc>
        <w:tc>
          <w:tcPr>
            <w:tcW w:w="664" w:type="dxa"/>
            <w:tcBorders>
              <w:top w:val="nil"/>
              <w:left w:val="nil"/>
              <w:bottom w:val="nil"/>
              <w:right w:val="nil"/>
            </w:tcBorders>
            <w:shd w:val="clear" w:color="auto" w:fill="auto"/>
            <w:noWrap/>
            <w:vAlign w:val="bottom"/>
            <w:hideMark/>
          </w:tcPr>
          <w:p w14:paraId="060CAB1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17.8%</w:t>
            </w:r>
          </w:p>
        </w:tc>
        <w:tc>
          <w:tcPr>
            <w:tcW w:w="1198" w:type="dxa"/>
            <w:tcBorders>
              <w:top w:val="nil"/>
              <w:left w:val="nil"/>
              <w:bottom w:val="nil"/>
              <w:right w:val="nil"/>
            </w:tcBorders>
            <w:shd w:val="clear" w:color="auto" w:fill="auto"/>
            <w:noWrap/>
            <w:vAlign w:val="bottom"/>
            <w:hideMark/>
          </w:tcPr>
          <w:p w14:paraId="2F0BA17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69,535 </w:t>
            </w:r>
          </w:p>
        </w:tc>
        <w:tc>
          <w:tcPr>
            <w:tcW w:w="664" w:type="dxa"/>
            <w:tcBorders>
              <w:top w:val="nil"/>
              <w:left w:val="nil"/>
              <w:bottom w:val="nil"/>
              <w:right w:val="nil"/>
            </w:tcBorders>
            <w:shd w:val="clear" w:color="auto" w:fill="auto"/>
            <w:noWrap/>
            <w:vAlign w:val="bottom"/>
            <w:hideMark/>
          </w:tcPr>
          <w:p w14:paraId="6C3F0AF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18.0%</w:t>
            </w:r>
          </w:p>
        </w:tc>
        <w:tc>
          <w:tcPr>
            <w:tcW w:w="1178" w:type="dxa"/>
            <w:tcBorders>
              <w:top w:val="nil"/>
              <w:left w:val="nil"/>
              <w:bottom w:val="nil"/>
              <w:right w:val="nil"/>
            </w:tcBorders>
            <w:shd w:val="clear" w:color="auto" w:fill="auto"/>
            <w:noWrap/>
            <w:vAlign w:val="bottom"/>
            <w:hideMark/>
          </w:tcPr>
          <w:p w14:paraId="49951F7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159,015 </w:t>
            </w:r>
          </w:p>
        </w:tc>
        <w:tc>
          <w:tcPr>
            <w:tcW w:w="517" w:type="dxa"/>
            <w:tcBorders>
              <w:top w:val="nil"/>
              <w:left w:val="nil"/>
              <w:bottom w:val="nil"/>
              <w:right w:val="single" w:sz="4" w:space="0" w:color="auto"/>
            </w:tcBorders>
            <w:shd w:val="clear" w:color="auto" w:fill="auto"/>
            <w:noWrap/>
            <w:vAlign w:val="bottom"/>
            <w:hideMark/>
          </w:tcPr>
          <w:p w14:paraId="78E501C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18.1%</w:t>
            </w:r>
          </w:p>
        </w:tc>
      </w:tr>
      <w:tr w:rsidR="00931E93" w:rsidRPr="00986C6D" w14:paraId="03CA9BFE"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337EC40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2133D08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5 - 9 years</w:t>
            </w:r>
          </w:p>
        </w:tc>
        <w:tc>
          <w:tcPr>
            <w:tcW w:w="1068" w:type="dxa"/>
            <w:tcBorders>
              <w:top w:val="nil"/>
              <w:left w:val="nil"/>
              <w:bottom w:val="nil"/>
              <w:right w:val="nil"/>
            </w:tcBorders>
            <w:shd w:val="clear" w:color="auto" w:fill="auto"/>
            <w:noWrap/>
            <w:vAlign w:val="bottom"/>
            <w:hideMark/>
          </w:tcPr>
          <w:p w14:paraId="5BD3D8E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8,350 </w:t>
            </w:r>
          </w:p>
        </w:tc>
        <w:tc>
          <w:tcPr>
            <w:tcW w:w="664" w:type="dxa"/>
            <w:tcBorders>
              <w:top w:val="nil"/>
              <w:left w:val="nil"/>
              <w:bottom w:val="nil"/>
              <w:right w:val="nil"/>
            </w:tcBorders>
            <w:shd w:val="clear" w:color="auto" w:fill="auto"/>
            <w:noWrap/>
            <w:vAlign w:val="bottom"/>
            <w:hideMark/>
          </w:tcPr>
          <w:p w14:paraId="69342A0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22.4%</w:t>
            </w:r>
          </w:p>
        </w:tc>
        <w:tc>
          <w:tcPr>
            <w:tcW w:w="1068" w:type="dxa"/>
            <w:tcBorders>
              <w:top w:val="nil"/>
              <w:left w:val="nil"/>
              <w:bottom w:val="nil"/>
              <w:right w:val="nil"/>
            </w:tcBorders>
            <w:shd w:val="clear" w:color="auto" w:fill="auto"/>
            <w:noWrap/>
            <w:vAlign w:val="bottom"/>
            <w:hideMark/>
          </w:tcPr>
          <w:p w14:paraId="113CEC7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12,470 </w:t>
            </w:r>
          </w:p>
        </w:tc>
        <w:tc>
          <w:tcPr>
            <w:tcW w:w="664" w:type="dxa"/>
            <w:tcBorders>
              <w:top w:val="nil"/>
              <w:left w:val="nil"/>
              <w:bottom w:val="nil"/>
              <w:right w:val="nil"/>
            </w:tcBorders>
            <w:shd w:val="clear" w:color="auto" w:fill="auto"/>
            <w:noWrap/>
            <w:vAlign w:val="bottom"/>
            <w:hideMark/>
          </w:tcPr>
          <w:p w14:paraId="694770B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20.4%</w:t>
            </w:r>
          </w:p>
        </w:tc>
        <w:tc>
          <w:tcPr>
            <w:tcW w:w="1068" w:type="dxa"/>
            <w:tcBorders>
              <w:top w:val="nil"/>
              <w:left w:val="nil"/>
              <w:bottom w:val="nil"/>
              <w:right w:val="nil"/>
            </w:tcBorders>
            <w:shd w:val="clear" w:color="auto" w:fill="auto"/>
            <w:noWrap/>
            <w:vAlign w:val="bottom"/>
            <w:hideMark/>
          </w:tcPr>
          <w:p w14:paraId="74BCB34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16,310 </w:t>
            </w:r>
          </w:p>
        </w:tc>
        <w:tc>
          <w:tcPr>
            <w:tcW w:w="664" w:type="dxa"/>
            <w:tcBorders>
              <w:top w:val="nil"/>
              <w:left w:val="nil"/>
              <w:bottom w:val="nil"/>
              <w:right w:val="nil"/>
            </w:tcBorders>
            <w:shd w:val="clear" w:color="auto" w:fill="auto"/>
            <w:noWrap/>
            <w:vAlign w:val="bottom"/>
            <w:hideMark/>
          </w:tcPr>
          <w:p w14:paraId="0636F34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20.2%</w:t>
            </w:r>
          </w:p>
        </w:tc>
        <w:tc>
          <w:tcPr>
            <w:tcW w:w="1049" w:type="dxa"/>
            <w:tcBorders>
              <w:top w:val="nil"/>
              <w:left w:val="single" w:sz="4" w:space="0" w:color="auto"/>
              <w:bottom w:val="nil"/>
              <w:right w:val="nil"/>
            </w:tcBorders>
            <w:shd w:val="clear" w:color="auto" w:fill="auto"/>
            <w:noWrap/>
            <w:vAlign w:val="bottom"/>
            <w:hideMark/>
          </w:tcPr>
          <w:p w14:paraId="0520AD8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40,390 </w:t>
            </w:r>
          </w:p>
        </w:tc>
        <w:tc>
          <w:tcPr>
            <w:tcW w:w="664" w:type="dxa"/>
            <w:tcBorders>
              <w:top w:val="nil"/>
              <w:left w:val="nil"/>
              <w:bottom w:val="nil"/>
              <w:right w:val="nil"/>
            </w:tcBorders>
            <w:shd w:val="clear" w:color="auto" w:fill="auto"/>
            <w:noWrap/>
            <w:vAlign w:val="bottom"/>
            <w:hideMark/>
          </w:tcPr>
          <w:p w14:paraId="51AD3A9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30.6%</w:t>
            </w:r>
          </w:p>
        </w:tc>
        <w:tc>
          <w:tcPr>
            <w:tcW w:w="1198" w:type="dxa"/>
            <w:tcBorders>
              <w:top w:val="nil"/>
              <w:left w:val="nil"/>
              <w:bottom w:val="nil"/>
              <w:right w:val="nil"/>
            </w:tcBorders>
            <w:shd w:val="clear" w:color="auto" w:fill="auto"/>
            <w:noWrap/>
            <w:vAlign w:val="bottom"/>
            <w:hideMark/>
          </w:tcPr>
          <w:p w14:paraId="7DAD1E3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122,070 </w:t>
            </w:r>
          </w:p>
        </w:tc>
        <w:tc>
          <w:tcPr>
            <w:tcW w:w="664" w:type="dxa"/>
            <w:tcBorders>
              <w:top w:val="nil"/>
              <w:left w:val="nil"/>
              <w:bottom w:val="nil"/>
              <w:right w:val="nil"/>
            </w:tcBorders>
            <w:shd w:val="clear" w:color="auto" w:fill="auto"/>
            <w:noWrap/>
            <w:vAlign w:val="bottom"/>
            <w:hideMark/>
          </w:tcPr>
          <w:p w14:paraId="756E58F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31.5%</w:t>
            </w:r>
          </w:p>
        </w:tc>
        <w:tc>
          <w:tcPr>
            <w:tcW w:w="1178" w:type="dxa"/>
            <w:tcBorders>
              <w:top w:val="nil"/>
              <w:left w:val="nil"/>
              <w:bottom w:val="nil"/>
              <w:right w:val="nil"/>
            </w:tcBorders>
            <w:shd w:val="clear" w:color="auto" w:fill="auto"/>
            <w:noWrap/>
            <w:vAlign w:val="bottom"/>
            <w:hideMark/>
          </w:tcPr>
          <w:p w14:paraId="2557BBC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277,675 </w:t>
            </w:r>
          </w:p>
        </w:tc>
        <w:tc>
          <w:tcPr>
            <w:tcW w:w="517" w:type="dxa"/>
            <w:tcBorders>
              <w:top w:val="nil"/>
              <w:left w:val="nil"/>
              <w:bottom w:val="nil"/>
              <w:right w:val="single" w:sz="4" w:space="0" w:color="auto"/>
            </w:tcBorders>
            <w:shd w:val="clear" w:color="auto" w:fill="auto"/>
            <w:noWrap/>
            <w:vAlign w:val="bottom"/>
            <w:hideMark/>
          </w:tcPr>
          <w:p w14:paraId="31CC404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31.6%</w:t>
            </w:r>
          </w:p>
        </w:tc>
      </w:tr>
      <w:tr w:rsidR="00931E93" w:rsidRPr="00986C6D" w14:paraId="4D635D71"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0ECF1B9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3A62522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10 -14 years</w:t>
            </w:r>
          </w:p>
        </w:tc>
        <w:tc>
          <w:tcPr>
            <w:tcW w:w="1068" w:type="dxa"/>
            <w:tcBorders>
              <w:top w:val="nil"/>
              <w:left w:val="nil"/>
              <w:bottom w:val="nil"/>
              <w:right w:val="nil"/>
            </w:tcBorders>
            <w:shd w:val="clear" w:color="auto" w:fill="auto"/>
            <w:noWrap/>
            <w:vAlign w:val="bottom"/>
            <w:hideMark/>
          </w:tcPr>
          <w:p w14:paraId="68F6D4B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6,325 </w:t>
            </w:r>
          </w:p>
        </w:tc>
        <w:tc>
          <w:tcPr>
            <w:tcW w:w="664" w:type="dxa"/>
            <w:tcBorders>
              <w:top w:val="nil"/>
              <w:left w:val="nil"/>
              <w:bottom w:val="nil"/>
              <w:right w:val="nil"/>
            </w:tcBorders>
            <w:shd w:val="clear" w:color="auto" w:fill="auto"/>
            <w:noWrap/>
            <w:vAlign w:val="bottom"/>
            <w:hideMark/>
          </w:tcPr>
          <w:p w14:paraId="604B914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17.0%</w:t>
            </w:r>
          </w:p>
        </w:tc>
        <w:tc>
          <w:tcPr>
            <w:tcW w:w="1068" w:type="dxa"/>
            <w:tcBorders>
              <w:top w:val="nil"/>
              <w:left w:val="nil"/>
              <w:bottom w:val="nil"/>
              <w:right w:val="nil"/>
            </w:tcBorders>
            <w:shd w:val="clear" w:color="auto" w:fill="auto"/>
            <w:noWrap/>
            <w:vAlign w:val="bottom"/>
            <w:hideMark/>
          </w:tcPr>
          <w:p w14:paraId="4E1122F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10,025 </w:t>
            </w:r>
          </w:p>
        </w:tc>
        <w:tc>
          <w:tcPr>
            <w:tcW w:w="664" w:type="dxa"/>
            <w:tcBorders>
              <w:top w:val="nil"/>
              <w:left w:val="nil"/>
              <w:bottom w:val="nil"/>
              <w:right w:val="nil"/>
            </w:tcBorders>
            <w:shd w:val="clear" w:color="auto" w:fill="auto"/>
            <w:noWrap/>
            <w:vAlign w:val="bottom"/>
            <w:hideMark/>
          </w:tcPr>
          <w:p w14:paraId="027827B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16.4%</w:t>
            </w:r>
          </w:p>
        </w:tc>
        <w:tc>
          <w:tcPr>
            <w:tcW w:w="1068" w:type="dxa"/>
            <w:tcBorders>
              <w:top w:val="nil"/>
              <w:left w:val="nil"/>
              <w:bottom w:val="nil"/>
              <w:right w:val="nil"/>
            </w:tcBorders>
            <w:shd w:val="clear" w:color="auto" w:fill="auto"/>
            <w:noWrap/>
            <w:vAlign w:val="bottom"/>
            <w:hideMark/>
          </w:tcPr>
          <w:p w14:paraId="56986F3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13,310 </w:t>
            </w:r>
          </w:p>
        </w:tc>
        <w:tc>
          <w:tcPr>
            <w:tcW w:w="664" w:type="dxa"/>
            <w:tcBorders>
              <w:top w:val="nil"/>
              <w:left w:val="nil"/>
              <w:bottom w:val="nil"/>
              <w:right w:val="nil"/>
            </w:tcBorders>
            <w:shd w:val="clear" w:color="auto" w:fill="auto"/>
            <w:noWrap/>
            <w:vAlign w:val="bottom"/>
            <w:hideMark/>
          </w:tcPr>
          <w:p w14:paraId="30EFAC1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16.5%</w:t>
            </w:r>
          </w:p>
        </w:tc>
        <w:tc>
          <w:tcPr>
            <w:tcW w:w="1049" w:type="dxa"/>
            <w:tcBorders>
              <w:top w:val="nil"/>
              <w:left w:val="single" w:sz="4" w:space="0" w:color="auto"/>
              <w:bottom w:val="nil"/>
              <w:right w:val="nil"/>
            </w:tcBorders>
            <w:shd w:val="clear" w:color="auto" w:fill="auto"/>
            <w:noWrap/>
            <w:vAlign w:val="bottom"/>
            <w:hideMark/>
          </w:tcPr>
          <w:p w14:paraId="75A9925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15,725 </w:t>
            </w:r>
          </w:p>
        </w:tc>
        <w:tc>
          <w:tcPr>
            <w:tcW w:w="664" w:type="dxa"/>
            <w:tcBorders>
              <w:top w:val="nil"/>
              <w:left w:val="nil"/>
              <w:bottom w:val="nil"/>
              <w:right w:val="nil"/>
            </w:tcBorders>
            <w:shd w:val="clear" w:color="auto" w:fill="auto"/>
            <w:noWrap/>
            <w:vAlign w:val="bottom"/>
            <w:hideMark/>
          </w:tcPr>
          <w:p w14:paraId="055F34D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11.9%</w:t>
            </w:r>
          </w:p>
        </w:tc>
        <w:tc>
          <w:tcPr>
            <w:tcW w:w="1198" w:type="dxa"/>
            <w:tcBorders>
              <w:top w:val="nil"/>
              <w:left w:val="nil"/>
              <w:bottom w:val="nil"/>
              <w:right w:val="nil"/>
            </w:tcBorders>
            <w:shd w:val="clear" w:color="auto" w:fill="auto"/>
            <w:noWrap/>
            <w:vAlign w:val="bottom"/>
            <w:hideMark/>
          </w:tcPr>
          <w:p w14:paraId="307A3ED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46,635 </w:t>
            </w:r>
          </w:p>
        </w:tc>
        <w:tc>
          <w:tcPr>
            <w:tcW w:w="664" w:type="dxa"/>
            <w:tcBorders>
              <w:top w:val="nil"/>
              <w:left w:val="nil"/>
              <w:bottom w:val="nil"/>
              <w:right w:val="nil"/>
            </w:tcBorders>
            <w:shd w:val="clear" w:color="auto" w:fill="auto"/>
            <w:noWrap/>
            <w:vAlign w:val="bottom"/>
            <w:hideMark/>
          </w:tcPr>
          <w:p w14:paraId="5CC8D2A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12.0%</w:t>
            </w:r>
          </w:p>
        </w:tc>
        <w:tc>
          <w:tcPr>
            <w:tcW w:w="1178" w:type="dxa"/>
            <w:tcBorders>
              <w:top w:val="nil"/>
              <w:left w:val="nil"/>
              <w:bottom w:val="nil"/>
              <w:right w:val="nil"/>
            </w:tcBorders>
            <w:shd w:val="clear" w:color="auto" w:fill="auto"/>
            <w:noWrap/>
            <w:vAlign w:val="bottom"/>
            <w:hideMark/>
          </w:tcPr>
          <w:p w14:paraId="1F46651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104,610 </w:t>
            </w:r>
          </w:p>
        </w:tc>
        <w:tc>
          <w:tcPr>
            <w:tcW w:w="517" w:type="dxa"/>
            <w:tcBorders>
              <w:top w:val="nil"/>
              <w:left w:val="nil"/>
              <w:bottom w:val="nil"/>
              <w:right w:val="single" w:sz="4" w:space="0" w:color="auto"/>
            </w:tcBorders>
            <w:shd w:val="clear" w:color="auto" w:fill="auto"/>
            <w:noWrap/>
            <w:vAlign w:val="bottom"/>
            <w:hideMark/>
          </w:tcPr>
          <w:p w14:paraId="6AA169C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11.9%</w:t>
            </w:r>
          </w:p>
        </w:tc>
      </w:tr>
      <w:tr w:rsidR="00931E93" w:rsidRPr="00986C6D" w14:paraId="46066780"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78049EB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6449336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15 - 19 years </w:t>
            </w:r>
          </w:p>
        </w:tc>
        <w:tc>
          <w:tcPr>
            <w:tcW w:w="1068" w:type="dxa"/>
            <w:tcBorders>
              <w:top w:val="nil"/>
              <w:left w:val="nil"/>
              <w:bottom w:val="nil"/>
              <w:right w:val="nil"/>
            </w:tcBorders>
            <w:shd w:val="clear" w:color="auto" w:fill="auto"/>
            <w:noWrap/>
            <w:vAlign w:val="bottom"/>
            <w:hideMark/>
          </w:tcPr>
          <w:p w14:paraId="6745284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5,150 </w:t>
            </w:r>
          </w:p>
        </w:tc>
        <w:tc>
          <w:tcPr>
            <w:tcW w:w="664" w:type="dxa"/>
            <w:tcBorders>
              <w:top w:val="nil"/>
              <w:left w:val="nil"/>
              <w:bottom w:val="nil"/>
              <w:right w:val="nil"/>
            </w:tcBorders>
            <w:shd w:val="clear" w:color="auto" w:fill="auto"/>
            <w:noWrap/>
            <w:vAlign w:val="bottom"/>
            <w:hideMark/>
          </w:tcPr>
          <w:p w14:paraId="6326A79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13.8%</w:t>
            </w:r>
          </w:p>
        </w:tc>
        <w:tc>
          <w:tcPr>
            <w:tcW w:w="1068" w:type="dxa"/>
            <w:tcBorders>
              <w:top w:val="nil"/>
              <w:left w:val="nil"/>
              <w:bottom w:val="nil"/>
              <w:right w:val="nil"/>
            </w:tcBorders>
            <w:shd w:val="clear" w:color="auto" w:fill="auto"/>
            <w:noWrap/>
            <w:vAlign w:val="bottom"/>
            <w:hideMark/>
          </w:tcPr>
          <w:p w14:paraId="5CF86BD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8,765 </w:t>
            </w:r>
          </w:p>
        </w:tc>
        <w:tc>
          <w:tcPr>
            <w:tcW w:w="664" w:type="dxa"/>
            <w:tcBorders>
              <w:top w:val="nil"/>
              <w:left w:val="nil"/>
              <w:bottom w:val="nil"/>
              <w:right w:val="nil"/>
            </w:tcBorders>
            <w:shd w:val="clear" w:color="auto" w:fill="auto"/>
            <w:noWrap/>
            <w:vAlign w:val="bottom"/>
            <w:hideMark/>
          </w:tcPr>
          <w:p w14:paraId="414D764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14.3%</w:t>
            </w:r>
          </w:p>
        </w:tc>
        <w:tc>
          <w:tcPr>
            <w:tcW w:w="1068" w:type="dxa"/>
            <w:tcBorders>
              <w:top w:val="nil"/>
              <w:left w:val="nil"/>
              <w:bottom w:val="nil"/>
              <w:right w:val="nil"/>
            </w:tcBorders>
            <w:shd w:val="clear" w:color="auto" w:fill="auto"/>
            <w:noWrap/>
            <w:vAlign w:val="bottom"/>
            <w:hideMark/>
          </w:tcPr>
          <w:p w14:paraId="53BFB94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11,005 </w:t>
            </w:r>
          </w:p>
        </w:tc>
        <w:tc>
          <w:tcPr>
            <w:tcW w:w="664" w:type="dxa"/>
            <w:tcBorders>
              <w:top w:val="nil"/>
              <w:left w:val="nil"/>
              <w:right w:val="nil"/>
            </w:tcBorders>
            <w:shd w:val="clear" w:color="auto" w:fill="auto"/>
            <w:noWrap/>
            <w:vAlign w:val="bottom"/>
            <w:hideMark/>
          </w:tcPr>
          <w:p w14:paraId="7D3445D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13.6%</w:t>
            </w:r>
          </w:p>
        </w:tc>
        <w:tc>
          <w:tcPr>
            <w:tcW w:w="1049" w:type="dxa"/>
            <w:tcBorders>
              <w:top w:val="nil"/>
              <w:left w:val="single" w:sz="4" w:space="0" w:color="auto"/>
              <w:bottom w:val="nil"/>
              <w:right w:val="nil"/>
            </w:tcBorders>
            <w:shd w:val="clear" w:color="auto" w:fill="auto"/>
            <w:noWrap/>
            <w:vAlign w:val="bottom"/>
            <w:hideMark/>
          </w:tcPr>
          <w:p w14:paraId="5969246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7,670 </w:t>
            </w:r>
          </w:p>
        </w:tc>
        <w:tc>
          <w:tcPr>
            <w:tcW w:w="664" w:type="dxa"/>
            <w:tcBorders>
              <w:top w:val="nil"/>
              <w:left w:val="nil"/>
              <w:bottom w:val="nil"/>
              <w:right w:val="nil"/>
            </w:tcBorders>
            <w:shd w:val="clear" w:color="auto" w:fill="auto"/>
            <w:noWrap/>
            <w:vAlign w:val="bottom"/>
            <w:hideMark/>
          </w:tcPr>
          <w:p w14:paraId="31A6334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5.8%</w:t>
            </w:r>
          </w:p>
        </w:tc>
        <w:tc>
          <w:tcPr>
            <w:tcW w:w="1198" w:type="dxa"/>
            <w:tcBorders>
              <w:top w:val="nil"/>
              <w:left w:val="nil"/>
              <w:bottom w:val="nil"/>
              <w:right w:val="nil"/>
            </w:tcBorders>
            <w:shd w:val="clear" w:color="auto" w:fill="auto"/>
            <w:noWrap/>
            <w:vAlign w:val="bottom"/>
            <w:hideMark/>
          </w:tcPr>
          <w:p w14:paraId="500AC71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21,880 </w:t>
            </w:r>
          </w:p>
        </w:tc>
        <w:tc>
          <w:tcPr>
            <w:tcW w:w="664" w:type="dxa"/>
            <w:tcBorders>
              <w:top w:val="nil"/>
              <w:left w:val="nil"/>
              <w:bottom w:val="nil"/>
              <w:right w:val="nil"/>
            </w:tcBorders>
            <w:shd w:val="clear" w:color="auto" w:fill="auto"/>
            <w:noWrap/>
            <w:vAlign w:val="bottom"/>
            <w:hideMark/>
          </w:tcPr>
          <w:p w14:paraId="4883DCE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5.7%</w:t>
            </w:r>
          </w:p>
        </w:tc>
        <w:tc>
          <w:tcPr>
            <w:tcW w:w="1178" w:type="dxa"/>
            <w:tcBorders>
              <w:top w:val="nil"/>
              <w:left w:val="nil"/>
              <w:bottom w:val="nil"/>
              <w:right w:val="nil"/>
            </w:tcBorders>
            <w:shd w:val="clear" w:color="auto" w:fill="auto"/>
            <w:noWrap/>
            <w:vAlign w:val="bottom"/>
            <w:hideMark/>
          </w:tcPr>
          <w:p w14:paraId="05BF2C5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47,480 </w:t>
            </w:r>
          </w:p>
        </w:tc>
        <w:tc>
          <w:tcPr>
            <w:tcW w:w="517" w:type="dxa"/>
            <w:tcBorders>
              <w:top w:val="nil"/>
              <w:left w:val="nil"/>
              <w:bottom w:val="nil"/>
              <w:right w:val="single" w:sz="4" w:space="0" w:color="auto"/>
            </w:tcBorders>
            <w:shd w:val="clear" w:color="auto" w:fill="auto"/>
            <w:noWrap/>
            <w:vAlign w:val="bottom"/>
            <w:hideMark/>
          </w:tcPr>
          <w:p w14:paraId="1214E0F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5.4%</w:t>
            </w:r>
          </w:p>
        </w:tc>
      </w:tr>
      <w:tr w:rsidR="00931E93" w:rsidRPr="00986C6D" w14:paraId="24E48763"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7EBD6D31"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4412ECE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20 years</w:t>
            </w:r>
          </w:p>
        </w:tc>
        <w:tc>
          <w:tcPr>
            <w:tcW w:w="1068" w:type="dxa"/>
            <w:tcBorders>
              <w:top w:val="nil"/>
              <w:left w:val="nil"/>
              <w:bottom w:val="nil"/>
              <w:right w:val="nil"/>
            </w:tcBorders>
            <w:shd w:val="clear" w:color="auto" w:fill="auto"/>
            <w:noWrap/>
            <w:vAlign w:val="bottom"/>
            <w:hideMark/>
          </w:tcPr>
          <w:p w14:paraId="25166C2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10,520 </w:t>
            </w:r>
          </w:p>
        </w:tc>
        <w:tc>
          <w:tcPr>
            <w:tcW w:w="664" w:type="dxa"/>
            <w:tcBorders>
              <w:top w:val="nil"/>
              <w:left w:val="nil"/>
              <w:bottom w:val="nil"/>
              <w:right w:val="nil"/>
            </w:tcBorders>
            <w:shd w:val="clear" w:color="auto" w:fill="auto"/>
            <w:noWrap/>
            <w:vAlign w:val="bottom"/>
            <w:hideMark/>
          </w:tcPr>
          <w:p w14:paraId="683FC3A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28.3%</w:t>
            </w:r>
          </w:p>
        </w:tc>
        <w:tc>
          <w:tcPr>
            <w:tcW w:w="1068" w:type="dxa"/>
            <w:tcBorders>
              <w:top w:val="nil"/>
              <w:left w:val="nil"/>
              <w:bottom w:val="nil"/>
              <w:right w:val="nil"/>
            </w:tcBorders>
            <w:shd w:val="clear" w:color="auto" w:fill="auto"/>
            <w:noWrap/>
            <w:vAlign w:val="bottom"/>
            <w:hideMark/>
          </w:tcPr>
          <w:p w14:paraId="71427D7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20,515 </w:t>
            </w:r>
          </w:p>
        </w:tc>
        <w:tc>
          <w:tcPr>
            <w:tcW w:w="664" w:type="dxa"/>
            <w:tcBorders>
              <w:top w:val="nil"/>
              <w:left w:val="nil"/>
              <w:bottom w:val="nil"/>
              <w:right w:val="nil"/>
            </w:tcBorders>
            <w:shd w:val="clear" w:color="auto" w:fill="auto"/>
            <w:noWrap/>
            <w:vAlign w:val="bottom"/>
            <w:hideMark/>
          </w:tcPr>
          <w:p w14:paraId="1ED4323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33.5%</w:t>
            </w:r>
          </w:p>
        </w:tc>
        <w:tc>
          <w:tcPr>
            <w:tcW w:w="1068" w:type="dxa"/>
            <w:tcBorders>
              <w:top w:val="nil"/>
              <w:left w:val="nil"/>
              <w:bottom w:val="nil"/>
              <w:right w:val="nil"/>
            </w:tcBorders>
            <w:shd w:val="clear" w:color="auto" w:fill="auto"/>
            <w:noWrap/>
            <w:vAlign w:val="bottom"/>
            <w:hideMark/>
          </w:tcPr>
          <w:p w14:paraId="4D976F1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27,410 </w:t>
            </w:r>
          </w:p>
        </w:tc>
        <w:tc>
          <w:tcPr>
            <w:tcW w:w="664" w:type="dxa"/>
            <w:tcBorders>
              <w:top w:val="nil"/>
              <w:left w:val="nil"/>
              <w:bottom w:val="nil"/>
              <w:right w:val="nil"/>
            </w:tcBorders>
            <w:shd w:val="clear" w:color="auto" w:fill="auto"/>
            <w:noWrap/>
            <w:vAlign w:val="bottom"/>
            <w:hideMark/>
          </w:tcPr>
          <w:p w14:paraId="458D18D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34.0%</w:t>
            </w:r>
          </w:p>
        </w:tc>
        <w:tc>
          <w:tcPr>
            <w:tcW w:w="1049" w:type="dxa"/>
            <w:tcBorders>
              <w:top w:val="nil"/>
              <w:left w:val="single" w:sz="4" w:space="0" w:color="auto"/>
              <w:bottom w:val="nil"/>
              <w:right w:val="nil"/>
            </w:tcBorders>
            <w:shd w:val="clear" w:color="auto" w:fill="auto"/>
            <w:noWrap/>
            <w:vAlign w:val="bottom"/>
            <w:hideMark/>
          </w:tcPr>
          <w:p w14:paraId="50FF1AB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6,585 </w:t>
            </w:r>
          </w:p>
        </w:tc>
        <w:tc>
          <w:tcPr>
            <w:tcW w:w="664" w:type="dxa"/>
            <w:tcBorders>
              <w:top w:val="nil"/>
              <w:left w:val="nil"/>
              <w:bottom w:val="nil"/>
              <w:right w:val="nil"/>
            </w:tcBorders>
            <w:shd w:val="clear" w:color="auto" w:fill="auto"/>
            <w:noWrap/>
            <w:vAlign w:val="bottom"/>
            <w:hideMark/>
          </w:tcPr>
          <w:p w14:paraId="65B0CF2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5.0%</w:t>
            </w:r>
          </w:p>
        </w:tc>
        <w:tc>
          <w:tcPr>
            <w:tcW w:w="1198" w:type="dxa"/>
            <w:tcBorders>
              <w:top w:val="nil"/>
              <w:left w:val="nil"/>
              <w:bottom w:val="nil"/>
              <w:right w:val="nil"/>
            </w:tcBorders>
            <w:shd w:val="clear" w:color="auto" w:fill="auto"/>
            <w:noWrap/>
            <w:vAlign w:val="bottom"/>
            <w:hideMark/>
          </w:tcPr>
          <w:p w14:paraId="4B08AC0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14,920 </w:t>
            </w:r>
          </w:p>
        </w:tc>
        <w:tc>
          <w:tcPr>
            <w:tcW w:w="664" w:type="dxa"/>
            <w:tcBorders>
              <w:top w:val="nil"/>
              <w:left w:val="nil"/>
              <w:bottom w:val="nil"/>
              <w:right w:val="nil"/>
            </w:tcBorders>
            <w:shd w:val="clear" w:color="auto" w:fill="auto"/>
            <w:noWrap/>
            <w:vAlign w:val="bottom"/>
            <w:hideMark/>
          </w:tcPr>
          <w:p w14:paraId="26BBF7E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3.9%</w:t>
            </w:r>
          </w:p>
        </w:tc>
        <w:tc>
          <w:tcPr>
            <w:tcW w:w="1178" w:type="dxa"/>
            <w:tcBorders>
              <w:top w:val="nil"/>
              <w:left w:val="nil"/>
              <w:bottom w:val="nil"/>
              <w:right w:val="nil"/>
            </w:tcBorders>
            <w:shd w:val="clear" w:color="auto" w:fill="auto"/>
            <w:noWrap/>
            <w:vAlign w:val="bottom"/>
            <w:hideMark/>
          </w:tcPr>
          <w:p w14:paraId="1422730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32,280 </w:t>
            </w:r>
          </w:p>
        </w:tc>
        <w:tc>
          <w:tcPr>
            <w:tcW w:w="517" w:type="dxa"/>
            <w:tcBorders>
              <w:top w:val="nil"/>
              <w:left w:val="nil"/>
              <w:bottom w:val="nil"/>
              <w:right w:val="single" w:sz="4" w:space="0" w:color="auto"/>
            </w:tcBorders>
            <w:shd w:val="clear" w:color="auto" w:fill="auto"/>
            <w:noWrap/>
            <w:vAlign w:val="bottom"/>
            <w:hideMark/>
          </w:tcPr>
          <w:p w14:paraId="08A45F3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3.7%</w:t>
            </w:r>
          </w:p>
        </w:tc>
      </w:tr>
      <w:tr w:rsidR="00931E93" w:rsidRPr="00986C6D" w14:paraId="4E4BF8D9"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6E2A975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72FD9FA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Mean (SD), years</w:t>
            </w:r>
          </w:p>
        </w:tc>
        <w:tc>
          <w:tcPr>
            <w:tcW w:w="1068" w:type="dxa"/>
            <w:tcBorders>
              <w:top w:val="nil"/>
              <w:left w:val="nil"/>
              <w:bottom w:val="nil"/>
              <w:right w:val="nil"/>
            </w:tcBorders>
            <w:shd w:val="clear" w:color="auto" w:fill="auto"/>
            <w:noWrap/>
            <w:vAlign w:val="bottom"/>
            <w:hideMark/>
          </w:tcPr>
          <w:p w14:paraId="06E3A86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16.1 (17.4) </w:t>
            </w:r>
          </w:p>
        </w:tc>
        <w:tc>
          <w:tcPr>
            <w:tcW w:w="664" w:type="dxa"/>
            <w:tcBorders>
              <w:top w:val="nil"/>
              <w:left w:val="nil"/>
              <w:bottom w:val="nil"/>
              <w:right w:val="nil"/>
            </w:tcBorders>
            <w:shd w:val="clear" w:color="auto" w:fill="auto"/>
            <w:noWrap/>
            <w:vAlign w:val="bottom"/>
            <w:hideMark/>
          </w:tcPr>
          <w:p w14:paraId="66C081A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023B0F1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17.5 (15.7) </w:t>
            </w:r>
          </w:p>
        </w:tc>
        <w:tc>
          <w:tcPr>
            <w:tcW w:w="664" w:type="dxa"/>
            <w:tcBorders>
              <w:top w:val="nil"/>
              <w:left w:val="nil"/>
              <w:bottom w:val="nil"/>
              <w:right w:val="nil"/>
            </w:tcBorders>
            <w:shd w:val="clear" w:color="auto" w:fill="auto"/>
            <w:noWrap/>
            <w:vAlign w:val="bottom"/>
            <w:hideMark/>
          </w:tcPr>
          <w:p w14:paraId="2EBF491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7B62C4E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17.8 (16.5) </w:t>
            </w:r>
          </w:p>
        </w:tc>
        <w:tc>
          <w:tcPr>
            <w:tcW w:w="664" w:type="dxa"/>
            <w:tcBorders>
              <w:top w:val="nil"/>
              <w:left w:val="nil"/>
              <w:bottom w:val="nil"/>
              <w:right w:val="single" w:sz="4" w:space="0" w:color="auto"/>
            </w:tcBorders>
            <w:shd w:val="clear" w:color="auto" w:fill="auto"/>
            <w:noWrap/>
            <w:vAlign w:val="bottom"/>
            <w:hideMark/>
          </w:tcPr>
          <w:p w14:paraId="1727C2F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6B6EF4F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8.7 (19.7) </w:t>
            </w:r>
          </w:p>
        </w:tc>
        <w:tc>
          <w:tcPr>
            <w:tcW w:w="664" w:type="dxa"/>
            <w:tcBorders>
              <w:top w:val="nil"/>
              <w:left w:val="nil"/>
              <w:bottom w:val="nil"/>
              <w:right w:val="nil"/>
            </w:tcBorders>
            <w:shd w:val="clear" w:color="auto" w:fill="auto"/>
            <w:noWrap/>
            <w:vAlign w:val="bottom"/>
            <w:hideMark/>
          </w:tcPr>
          <w:p w14:paraId="1AB877E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31DCC08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7.5 (13.2) </w:t>
            </w:r>
          </w:p>
        </w:tc>
        <w:tc>
          <w:tcPr>
            <w:tcW w:w="664" w:type="dxa"/>
            <w:tcBorders>
              <w:top w:val="nil"/>
              <w:left w:val="nil"/>
              <w:bottom w:val="nil"/>
              <w:right w:val="nil"/>
            </w:tcBorders>
            <w:shd w:val="clear" w:color="auto" w:fill="auto"/>
            <w:noWrap/>
            <w:vAlign w:val="bottom"/>
            <w:hideMark/>
          </w:tcPr>
          <w:p w14:paraId="7CD3765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78" w:type="dxa"/>
            <w:tcBorders>
              <w:top w:val="nil"/>
              <w:left w:val="nil"/>
              <w:bottom w:val="nil"/>
              <w:right w:val="nil"/>
            </w:tcBorders>
            <w:shd w:val="clear" w:color="auto" w:fill="auto"/>
            <w:noWrap/>
            <w:vAlign w:val="bottom"/>
            <w:hideMark/>
          </w:tcPr>
          <w:p w14:paraId="57703D1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7.4 (13.3) </w:t>
            </w:r>
          </w:p>
        </w:tc>
        <w:tc>
          <w:tcPr>
            <w:tcW w:w="517" w:type="dxa"/>
            <w:tcBorders>
              <w:top w:val="nil"/>
              <w:left w:val="nil"/>
              <w:bottom w:val="nil"/>
              <w:right w:val="single" w:sz="4" w:space="0" w:color="auto"/>
            </w:tcBorders>
            <w:shd w:val="clear" w:color="auto" w:fill="auto"/>
            <w:noWrap/>
            <w:vAlign w:val="bottom"/>
            <w:hideMark/>
          </w:tcPr>
          <w:p w14:paraId="07E3EEC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4C51F837" w14:textId="77777777" w:rsidTr="00154DE3">
        <w:trPr>
          <w:trHeight w:val="233"/>
        </w:trPr>
        <w:tc>
          <w:tcPr>
            <w:tcW w:w="2520" w:type="dxa"/>
            <w:gridSpan w:val="2"/>
            <w:tcBorders>
              <w:top w:val="nil"/>
              <w:left w:val="single" w:sz="4" w:space="0" w:color="auto"/>
              <w:bottom w:val="nil"/>
              <w:right w:val="single" w:sz="4" w:space="0" w:color="000000"/>
            </w:tcBorders>
            <w:shd w:val="clear" w:color="auto" w:fill="auto"/>
            <w:noWrap/>
            <w:vAlign w:val="bottom"/>
            <w:hideMark/>
          </w:tcPr>
          <w:p w14:paraId="53966B4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HbA</w:t>
            </w:r>
            <w:r w:rsidRPr="001F6EFC">
              <w:rPr>
                <w:rFonts w:ascii="Times New Roman" w:eastAsia="Times New Roman" w:hAnsi="Times New Roman" w:cs="Times New Roman"/>
                <w:color w:val="000000"/>
                <w:sz w:val="20"/>
                <w:szCs w:val="20"/>
                <w:vertAlign w:val="subscript"/>
                <w:lang w:eastAsia="en-GB"/>
              </w:rPr>
              <w:t>1c</w:t>
            </w:r>
          </w:p>
        </w:tc>
        <w:tc>
          <w:tcPr>
            <w:tcW w:w="1068" w:type="dxa"/>
            <w:tcBorders>
              <w:top w:val="nil"/>
              <w:left w:val="nil"/>
              <w:bottom w:val="nil"/>
              <w:right w:val="nil"/>
            </w:tcBorders>
            <w:shd w:val="clear" w:color="auto" w:fill="auto"/>
            <w:noWrap/>
            <w:vAlign w:val="bottom"/>
            <w:hideMark/>
          </w:tcPr>
          <w:p w14:paraId="4C9E89D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664" w:type="dxa"/>
            <w:tcBorders>
              <w:top w:val="nil"/>
              <w:left w:val="nil"/>
              <w:bottom w:val="nil"/>
              <w:right w:val="nil"/>
            </w:tcBorders>
            <w:shd w:val="clear" w:color="auto" w:fill="auto"/>
            <w:noWrap/>
            <w:vAlign w:val="bottom"/>
            <w:hideMark/>
          </w:tcPr>
          <w:p w14:paraId="7919D689"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6F484E23"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43EA8508"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16FE688A"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38FD2770"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62DEBB1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664" w:type="dxa"/>
            <w:tcBorders>
              <w:top w:val="nil"/>
              <w:left w:val="nil"/>
              <w:right w:val="nil"/>
            </w:tcBorders>
            <w:shd w:val="clear" w:color="auto" w:fill="auto"/>
            <w:noWrap/>
            <w:vAlign w:val="bottom"/>
            <w:hideMark/>
          </w:tcPr>
          <w:p w14:paraId="15BC658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right w:val="nil"/>
            </w:tcBorders>
            <w:shd w:val="clear" w:color="auto" w:fill="auto"/>
            <w:noWrap/>
            <w:vAlign w:val="bottom"/>
            <w:hideMark/>
          </w:tcPr>
          <w:p w14:paraId="778FD5C4"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right w:val="nil"/>
            </w:tcBorders>
            <w:shd w:val="clear" w:color="auto" w:fill="auto"/>
            <w:noWrap/>
            <w:vAlign w:val="bottom"/>
            <w:hideMark/>
          </w:tcPr>
          <w:p w14:paraId="6408A55B"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178" w:type="dxa"/>
            <w:tcBorders>
              <w:top w:val="nil"/>
              <w:left w:val="nil"/>
              <w:right w:val="nil"/>
            </w:tcBorders>
            <w:shd w:val="clear" w:color="auto" w:fill="auto"/>
            <w:noWrap/>
            <w:vAlign w:val="bottom"/>
            <w:hideMark/>
          </w:tcPr>
          <w:p w14:paraId="3ABC764A"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517" w:type="dxa"/>
            <w:tcBorders>
              <w:top w:val="nil"/>
              <w:left w:val="nil"/>
              <w:bottom w:val="nil"/>
              <w:right w:val="single" w:sz="4" w:space="0" w:color="auto"/>
            </w:tcBorders>
            <w:shd w:val="clear" w:color="auto" w:fill="auto"/>
            <w:noWrap/>
            <w:vAlign w:val="bottom"/>
            <w:hideMark/>
          </w:tcPr>
          <w:p w14:paraId="6B12D3B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64E6DE19"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7FAC27E0"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0A82AAA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&lt;48mmol/mol</w:t>
            </w:r>
          </w:p>
        </w:tc>
        <w:tc>
          <w:tcPr>
            <w:tcW w:w="1068" w:type="dxa"/>
            <w:tcBorders>
              <w:top w:val="nil"/>
              <w:left w:val="nil"/>
              <w:bottom w:val="nil"/>
              <w:right w:val="nil"/>
            </w:tcBorders>
            <w:shd w:val="clear" w:color="auto" w:fill="auto"/>
            <w:noWrap/>
            <w:vAlign w:val="bottom"/>
            <w:hideMark/>
          </w:tcPr>
          <w:p w14:paraId="51DA4A5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1,365 </w:t>
            </w:r>
          </w:p>
        </w:tc>
        <w:tc>
          <w:tcPr>
            <w:tcW w:w="664" w:type="dxa"/>
            <w:tcBorders>
              <w:top w:val="nil"/>
              <w:left w:val="nil"/>
              <w:bottom w:val="nil"/>
              <w:right w:val="nil"/>
            </w:tcBorders>
            <w:shd w:val="clear" w:color="auto" w:fill="auto"/>
            <w:noWrap/>
            <w:vAlign w:val="bottom"/>
            <w:hideMark/>
          </w:tcPr>
          <w:p w14:paraId="3E63053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8.5%</w:t>
            </w:r>
          </w:p>
        </w:tc>
        <w:tc>
          <w:tcPr>
            <w:tcW w:w="1068" w:type="dxa"/>
            <w:tcBorders>
              <w:top w:val="nil"/>
              <w:left w:val="nil"/>
              <w:bottom w:val="nil"/>
              <w:right w:val="nil"/>
            </w:tcBorders>
            <w:shd w:val="clear" w:color="auto" w:fill="auto"/>
            <w:noWrap/>
            <w:vAlign w:val="bottom"/>
            <w:hideMark/>
          </w:tcPr>
          <w:p w14:paraId="77CBAA0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4,545 </w:t>
            </w:r>
          </w:p>
        </w:tc>
        <w:tc>
          <w:tcPr>
            <w:tcW w:w="664" w:type="dxa"/>
            <w:tcBorders>
              <w:top w:val="nil"/>
              <w:left w:val="nil"/>
              <w:bottom w:val="nil"/>
              <w:right w:val="nil"/>
            </w:tcBorders>
            <w:shd w:val="clear" w:color="auto" w:fill="auto"/>
            <w:noWrap/>
            <w:vAlign w:val="bottom"/>
            <w:hideMark/>
          </w:tcPr>
          <w:p w14:paraId="5B46BE5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7.7%</w:t>
            </w:r>
          </w:p>
        </w:tc>
        <w:tc>
          <w:tcPr>
            <w:tcW w:w="1068" w:type="dxa"/>
            <w:tcBorders>
              <w:top w:val="nil"/>
              <w:left w:val="nil"/>
              <w:bottom w:val="nil"/>
              <w:right w:val="nil"/>
            </w:tcBorders>
            <w:shd w:val="clear" w:color="auto" w:fill="auto"/>
            <w:noWrap/>
            <w:vAlign w:val="bottom"/>
            <w:hideMark/>
          </w:tcPr>
          <w:p w14:paraId="4400C36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6,715 </w:t>
            </w:r>
          </w:p>
        </w:tc>
        <w:tc>
          <w:tcPr>
            <w:tcW w:w="664" w:type="dxa"/>
            <w:tcBorders>
              <w:top w:val="nil"/>
              <w:left w:val="nil"/>
              <w:bottom w:val="nil"/>
              <w:right w:val="nil"/>
            </w:tcBorders>
            <w:shd w:val="clear" w:color="auto" w:fill="auto"/>
            <w:noWrap/>
            <w:vAlign w:val="bottom"/>
            <w:hideMark/>
          </w:tcPr>
          <w:p w14:paraId="6C544DC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8.5%</w:t>
            </w:r>
          </w:p>
        </w:tc>
        <w:tc>
          <w:tcPr>
            <w:tcW w:w="1049" w:type="dxa"/>
            <w:tcBorders>
              <w:top w:val="nil"/>
              <w:left w:val="single" w:sz="4" w:space="0" w:color="auto"/>
              <w:bottom w:val="nil"/>
              <w:right w:val="nil"/>
            </w:tcBorders>
            <w:shd w:val="clear" w:color="auto" w:fill="auto"/>
            <w:noWrap/>
            <w:vAlign w:val="bottom"/>
            <w:hideMark/>
          </w:tcPr>
          <w:p w14:paraId="7938E0E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13,600 </w:t>
            </w:r>
          </w:p>
        </w:tc>
        <w:tc>
          <w:tcPr>
            <w:tcW w:w="664" w:type="dxa"/>
            <w:tcBorders>
              <w:top w:val="nil"/>
              <w:left w:val="nil"/>
              <w:bottom w:val="nil"/>
            </w:tcBorders>
            <w:shd w:val="clear" w:color="auto" w:fill="auto"/>
            <w:noWrap/>
            <w:vAlign w:val="bottom"/>
            <w:hideMark/>
          </w:tcPr>
          <w:p w14:paraId="1619B3E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27.0%</w:t>
            </w:r>
          </w:p>
        </w:tc>
        <w:tc>
          <w:tcPr>
            <w:tcW w:w="1198" w:type="dxa"/>
            <w:tcBorders>
              <w:top w:val="nil"/>
              <w:bottom w:val="nil"/>
            </w:tcBorders>
            <w:shd w:val="clear" w:color="auto" w:fill="auto"/>
            <w:noWrap/>
            <w:vAlign w:val="bottom"/>
            <w:hideMark/>
          </w:tcPr>
          <w:p w14:paraId="7317434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100,765 </w:t>
            </w:r>
          </w:p>
        </w:tc>
        <w:tc>
          <w:tcPr>
            <w:tcW w:w="664" w:type="dxa"/>
            <w:tcBorders>
              <w:top w:val="nil"/>
              <w:bottom w:val="nil"/>
            </w:tcBorders>
            <w:shd w:val="clear" w:color="auto" w:fill="auto"/>
            <w:noWrap/>
            <w:vAlign w:val="bottom"/>
            <w:hideMark/>
          </w:tcPr>
          <w:p w14:paraId="5E7C50D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27.3%</w:t>
            </w:r>
          </w:p>
        </w:tc>
        <w:tc>
          <w:tcPr>
            <w:tcW w:w="1178" w:type="dxa"/>
            <w:tcBorders>
              <w:top w:val="nil"/>
              <w:bottom w:val="nil"/>
              <w:right w:val="nil"/>
            </w:tcBorders>
            <w:shd w:val="clear" w:color="auto" w:fill="auto"/>
            <w:noWrap/>
            <w:vAlign w:val="bottom"/>
            <w:hideMark/>
          </w:tcPr>
          <w:p w14:paraId="6235E00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239,035 </w:t>
            </w:r>
          </w:p>
        </w:tc>
        <w:tc>
          <w:tcPr>
            <w:tcW w:w="517" w:type="dxa"/>
            <w:tcBorders>
              <w:top w:val="nil"/>
              <w:left w:val="nil"/>
              <w:bottom w:val="nil"/>
              <w:right w:val="single" w:sz="4" w:space="0" w:color="auto"/>
            </w:tcBorders>
            <w:shd w:val="clear" w:color="auto" w:fill="auto"/>
            <w:noWrap/>
            <w:vAlign w:val="bottom"/>
            <w:hideMark/>
          </w:tcPr>
          <w:p w14:paraId="47DF846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27.6%</w:t>
            </w:r>
          </w:p>
        </w:tc>
      </w:tr>
      <w:tr w:rsidR="00931E93" w:rsidRPr="00986C6D" w14:paraId="3EAAF597"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07E342E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348A0E8E"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48-53 mmol/mol</w:t>
            </w:r>
          </w:p>
        </w:tc>
        <w:tc>
          <w:tcPr>
            <w:tcW w:w="1068" w:type="dxa"/>
            <w:tcBorders>
              <w:top w:val="nil"/>
              <w:left w:val="nil"/>
              <w:bottom w:val="nil"/>
              <w:right w:val="nil"/>
            </w:tcBorders>
            <w:shd w:val="clear" w:color="auto" w:fill="auto"/>
            <w:noWrap/>
            <w:vAlign w:val="bottom"/>
            <w:hideMark/>
          </w:tcPr>
          <w:p w14:paraId="2F5D1C6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1,270 </w:t>
            </w:r>
          </w:p>
        </w:tc>
        <w:tc>
          <w:tcPr>
            <w:tcW w:w="664" w:type="dxa"/>
            <w:tcBorders>
              <w:top w:val="nil"/>
              <w:left w:val="nil"/>
              <w:bottom w:val="nil"/>
              <w:right w:val="nil"/>
            </w:tcBorders>
            <w:shd w:val="clear" w:color="auto" w:fill="auto"/>
            <w:noWrap/>
            <w:vAlign w:val="bottom"/>
            <w:hideMark/>
          </w:tcPr>
          <w:p w14:paraId="221670F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7.9%</w:t>
            </w:r>
          </w:p>
        </w:tc>
        <w:tc>
          <w:tcPr>
            <w:tcW w:w="1068" w:type="dxa"/>
            <w:tcBorders>
              <w:top w:val="nil"/>
              <w:left w:val="nil"/>
              <w:bottom w:val="nil"/>
              <w:right w:val="nil"/>
            </w:tcBorders>
            <w:shd w:val="clear" w:color="auto" w:fill="auto"/>
            <w:noWrap/>
            <w:vAlign w:val="bottom"/>
            <w:hideMark/>
          </w:tcPr>
          <w:p w14:paraId="51F837E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5,155 </w:t>
            </w:r>
          </w:p>
        </w:tc>
        <w:tc>
          <w:tcPr>
            <w:tcW w:w="664" w:type="dxa"/>
            <w:tcBorders>
              <w:top w:val="nil"/>
              <w:left w:val="nil"/>
              <w:bottom w:val="nil"/>
              <w:right w:val="nil"/>
            </w:tcBorders>
            <w:shd w:val="clear" w:color="auto" w:fill="auto"/>
            <w:noWrap/>
            <w:vAlign w:val="bottom"/>
            <w:hideMark/>
          </w:tcPr>
          <w:p w14:paraId="3A865F8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8.8%</w:t>
            </w:r>
          </w:p>
        </w:tc>
        <w:tc>
          <w:tcPr>
            <w:tcW w:w="1068" w:type="dxa"/>
            <w:tcBorders>
              <w:top w:val="nil"/>
              <w:left w:val="nil"/>
              <w:bottom w:val="nil"/>
              <w:right w:val="nil"/>
            </w:tcBorders>
            <w:shd w:val="clear" w:color="auto" w:fill="auto"/>
            <w:noWrap/>
            <w:vAlign w:val="bottom"/>
            <w:hideMark/>
          </w:tcPr>
          <w:p w14:paraId="500BB57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8,395 </w:t>
            </w:r>
          </w:p>
        </w:tc>
        <w:tc>
          <w:tcPr>
            <w:tcW w:w="664" w:type="dxa"/>
            <w:tcBorders>
              <w:top w:val="nil"/>
              <w:left w:val="nil"/>
              <w:bottom w:val="nil"/>
              <w:right w:val="nil"/>
            </w:tcBorders>
            <w:shd w:val="clear" w:color="auto" w:fill="auto"/>
            <w:noWrap/>
            <w:vAlign w:val="bottom"/>
            <w:hideMark/>
          </w:tcPr>
          <w:p w14:paraId="6C3DF7B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10.6%</w:t>
            </w:r>
          </w:p>
        </w:tc>
        <w:tc>
          <w:tcPr>
            <w:tcW w:w="1049" w:type="dxa"/>
            <w:tcBorders>
              <w:top w:val="nil"/>
              <w:left w:val="single" w:sz="4" w:space="0" w:color="auto"/>
              <w:bottom w:val="nil"/>
              <w:right w:val="nil"/>
            </w:tcBorders>
            <w:shd w:val="clear" w:color="auto" w:fill="auto"/>
            <w:noWrap/>
            <w:vAlign w:val="bottom"/>
            <w:hideMark/>
          </w:tcPr>
          <w:p w14:paraId="20540A2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8,330 </w:t>
            </w:r>
          </w:p>
        </w:tc>
        <w:tc>
          <w:tcPr>
            <w:tcW w:w="664" w:type="dxa"/>
            <w:tcBorders>
              <w:top w:val="nil"/>
              <w:left w:val="nil"/>
              <w:bottom w:val="nil"/>
            </w:tcBorders>
            <w:shd w:val="clear" w:color="auto" w:fill="auto"/>
            <w:noWrap/>
            <w:vAlign w:val="bottom"/>
            <w:hideMark/>
          </w:tcPr>
          <w:p w14:paraId="5315831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16.5%</w:t>
            </w:r>
          </w:p>
        </w:tc>
        <w:tc>
          <w:tcPr>
            <w:tcW w:w="1198" w:type="dxa"/>
            <w:tcBorders>
              <w:top w:val="nil"/>
              <w:bottom w:val="nil"/>
            </w:tcBorders>
            <w:shd w:val="clear" w:color="auto" w:fill="auto"/>
            <w:noWrap/>
            <w:vAlign w:val="bottom"/>
            <w:hideMark/>
          </w:tcPr>
          <w:p w14:paraId="7B538AF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78,880 </w:t>
            </w:r>
          </w:p>
        </w:tc>
        <w:tc>
          <w:tcPr>
            <w:tcW w:w="664" w:type="dxa"/>
            <w:tcBorders>
              <w:top w:val="nil"/>
              <w:bottom w:val="nil"/>
            </w:tcBorders>
            <w:shd w:val="clear" w:color="auto" w:fill="auto"/>
            <w:noWrap/>
            <w:vAlign w:val="bottom"/>
            <w:hideMark/>
          </w:tcPr>
          <w:p w14:paraId="4F06C54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21.4%</w:t>
            </w:r>
          </w:p>
        </w:tc>
        <w:tc>
          <w:tcPr>
            <w:tcW w:w="1178" w:type="dxa"/>
            <w:tcBorders>
              <w:top w:val="nil"/>
              <w:bottom w:val="nil"/>
              <w:right w:val="nil"/>
            </w:tcBorders>
            <w:shd w:val="clear" w:color="auto" w:fill="auto"/>
            <w:noWrap/>
            <w:vAlign w:val="bottom"/>
            <w:hideMark/>
          </w:tcPr>
          <w:p w14:paraId="51CAFA6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206,900 </w:t>
            </w:r>
          </w:p>
        </w:tc>
        <w:tc>
          <w:tcPr>
            <w:tcW w:w="517" w:type="dxa"/>
            <w:tcBorders>
              <w:top w:val="nil"/>
              <w:left w:val="nil"/>
              <w:bottom w:val="nil"/>
              <w:right w:val="single" w:sz="4" w:space="0" w:color="auto"/>
            </w:tcBorders>
            <w:shd w:val="clear" w:color="auto" w:fill="auto"/>
            <w:noWrap/>
            <w:vAlign w:val="bottom"/>
            <w:hideMark/>
          </w:tcPr>
          <w:p w14:paraId="72F5117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23.9%</w:t>
            </w:r>
          </w:p>
        </w:tc>
      </w:tr>
      <w:tr w:rsidR="00931E93" w:rsidRPr="00986C6D" w14:paraId="75835B2E"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3F9C7E1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719E293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54-58 mmol/mol</w:t>
            </w:r>
          </w:p>
        </w:tc>
        <w:tc>
          <w:tcPr>
            <w:tcW w:w="1068" w:type="dxa"/>
            <w:tcBorders>
              <w:top w:val="nil"/>
              <w:left w:val="nil"/>
              <w:bottom w:val="nil"/>
              <w:right w:val="nil"/>
            </w:tcBorders>
            <w:shd w:val="clear" w:color="auto" w:fill="auto"/>
            <w:noWrap/>
            <w:vAlign w:val="bottom"/>
            <w:hideMark/>
          </w:tcPr>
          <w:p w14:paraId="5B9F522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1,705 </w:t>
            </w:r>
          </w:p>
        </w:tc>
        <w:tc>
          <w:tcPr>
            <w:tcW w:w="664" w:type="dxa"/>
            <w:tcBorders>
              <w:top w:val="nil"/>
              <w:left w:val="nil"/>
              <w:bottom w:val="nil"/>
              <w:right w:val="nil"/>
            </w:tcBorders>
            <w:shd w:val="clear" w:color="auto" w:fill="auto"/>
            <w:noWrap/>
            <w:vAlign w:val="bottom"/>
            <w:hideMark/>
          </w:tcPr>
          <w:p w14:paraId="0A1EBCA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10.6%</w:t>
            </w:r>
          </w:p>
        </w:tc>
        <w:tc>
          <w:tcPr>
            <w:tcW w:w="1068" w:type="dxa"/>
            <w:tcBorders>
              <w:top w:val="nil"/>
              <w:left w:val="nil"/>
              <w:bottom w:val="nil"/>
              <w:right w:val="nil"/>
            </w:tcBorders>
            <w:shd w:val="clear" w:color="auto" w:fill="auto"/>
            <w:noWrap/>
            <w:vAlign w:val="bottom"/>
            <w:hideMark/>
          </w:tcPr>
          <w:p w14:paraId="5837B4B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6,925 </w:t>
            </w:r>
          </w:p>
        </w:tc>
        <w:tc>
          <w:tcPr>
            <w:tcW w:w="664" w:type="dxa"/>
            <w:tcBorders>
              <w:top w:val="nil"/>
              <w:left w:val="nil"/>
              <w:bottom w:val="nil"/>
              <w:right w:val="nil"/>
            </w:tcBorders>
            <w:shd w:val="clear" w:color="auto" w:fill="auto"/>
            <w:noWrap/>
            <w:vAlign w:val="bottom"/>
            <w:hideMark/>
          </w:tcPr>
          <w:p w14:paraId="6C1BF7B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11.8%</w:t>
            </w:r>
          </w:p>
        </w:tc>
        <w:tc>
          <w:tcPr>
            <w:tcW w:w="1068" w:type="dxa"/>
            <w:tcBorders>
              <w:top w:val="nil"/>
              <w:left w:val="nil"/>
              <w:bottom w:val="nil"/>
              <w:right w:val="nil"/>
            </w:tcBorders>
            <w:shd w:val="clear" w:color="auto" w:fill="auto"/>
            <w:noWrap/>
            <w:vAlign w:val="bottom"/>
            <w:hideMark/>
          </w:tcPr>
          <w:p w14:paraId="07FA11C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10,425 </w:t>
            </w:r>
          </w:p>
        </w:tc>
        <w:tc>
          <w:tcPr>
            <w:tcW w:w="664" w:type="dxa"/>
            <w:tcBorders>
              <w:top w:val="nil"/>
              <w:left w:val="nil"/>
              <w:bottom w:val="nil"/>
              <w:right w:val="nil"/>
            </w:tcBorders>
            <w:shd w:val="clear" w:color="auto" w:fill="auto"/>
            <w:noWrap/>
            <w:vAlign w:val="bottom"/>
            <w:hideMark/>
          </w:tcPr>
          <w:p w14:paraId="1F88B61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13.1%</w:t>
            </w:r>
          </w:p>
        </w:tc>
        <w:tc>
          <w:tcPr>
            <w:tcW w:w="1049" w:type="dxa"/>
            <w:tcBorders>
              <w:top w:val="nil"/>
              <w:left w:val="single" w:sz="4" w:space="0" w:color="auto"/>
              <w:bottom w:val="nil"/>
              <w:right w:val="nil"/>
            </w:tcBorders>
            <w:shd w:val="clear" w:color="auto" w:fill="auto"/>
            <w:noWrap/>
            <w:vAlign w:val="bottom"/>
            <w:hideMark/>
          </w:tcPr>
          <w:p w14:paraId="5ABD7B8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6,430 </w:t>
            </w:r>
          </w:p>
        </w:tc>
        <w:tc>
          <w:tcPr>
            <w:tcW w:w="664" w:type="dxa"/>
            <w:tcBorders>
              <w:top w:val="nil"/>
              <w:left w:val="nil"/>
              <w:bottom w:val="nil"/>
            </w:tcBorders>
            <w:shd w:val="clear" w:color="auto" w:fill="auto"/>
            <w:noWrap/>
            <w:vAlign w:val="bottom"/>
            <w:hideMark/>
          </w:tcPr>
          <w:p w14:paraId="32398DB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12.8%</w:t>
            </w:r>
          </w:p>
        </w:tc>
        <w:tc>
          <w:tcPr>
            <w:tcW w:w="1198" w:type="dxa"/>
            <w:tcBorders>
              <w:top w:val="nil"/>
              <w:bottom w:val="nil"/>
            </w:tcBorders>
            <w:shd w:val="clear" w:color="auto" w:fill="auto"/>
            <w:noWrap/>
            <w:vAlign w:val="bottom"/>
            <w:hideMark/>
          </w:tcPr>
          <w:p w14:paraId="64FF6A5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54,750 </w:t>
            </w:r>
          </w:p>
        </w:tc>
        <w:tc>
          <w:tcPr>
            <w:tcW w:w="664" w:type="dxa"/>
            <w:tcBorders>
              <w:top w:val="nil"/>
              <w:bottom w:val="nil"/>
            </w:tcBorders>
            <w:shd w:val="clear" w:color="auto" w:fill="auto"/>
            <w:noWrap/>
            <w:vAlign w:val="bottom"/>
            <w:hideMark/>
          </w:tcPr>
          <w:p w14:paraId="35A088C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14.8%</w:t>
            </w:r>
          </w:p>
        </w:tc>
        <w:tc>
          <w:tcPr>
            <w:tcW w:w="1178" w:type="dxa"/>
            <w:tcBorders>
              <w:top w:val="nil"/>
              <w:bottom w:val="nil"/>
              <w:right w:val="nil"/>
            </w:tcBorders>
            <w:shd w:val="clear" w:color="auto" w:fill="auto"/>
            <w:noWrap/>
            <w:vAlign w:val="bottom"/>
            <w:hideMark/>
          </w:tcPr>
          <w:p w14:paraId="6AABA14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137,880 </w:t>
            </w:r>
          </w:p>
        </w:tc>
        <w:tc>
          <w:tcPr>
            <w:tcW w:w="517" w:type="dxa"/>
            <w:tcBorders>
              <w:top w:val="nil"/>
              <w:left w:val="nil"/>
              <w:bottom w:val="nil"/>
              <w:right w:val="single" w:sz="4" w:space="0" w:color="auto"/>
            </w:tcBorders>
            <w:shd w:val="clear" w:color="auto" w:fill="auto"/>
            <w:noWrap/>
            <w:vAlign w:val="bottom"/>
            <w:hideMark/>
          </w:tcPr>
          <w:p w14:paraId="5556944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15.9%</w:t>
            </w:r>
          </w:p>
        </w:tc>
      </w:tr>
      <w:tr w:rsidR="00931E93" w:rsidRPr="00986C6D" w14:paraId="374FF82B"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4B4DE96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0700BBD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59-74 mmol/mol</w:t>
            </w:r>
          </w:p>
        </w:tc>
        <w:tc>
          <w:tcPr>
            <w:tcW w:w="1068" w:type="dxa"/>
            <w:tcBorders>
              <w:top w:val="nil"/>
              <w:left w:val="nil"/>
              <w:bottom w:val="nil"/>
              <w:right w:val="nil"/>
            </w:tcBorders>
            <w:shd w:val="clear" w:color="auto" w:fill="auto"/>
            <w:noWrap/>
            <w:vAlign w:val="bottom"/>
            <w:hideMark/>
          </w:tcPr>
          <w:p w14:paraId="4233C8C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5,785 </w:t>
            </w:r>
          </w:p>
        </w:tc>
        <w:tc>
          <w:tcPr>
            <w:tcW w:w="664" w:type="dxa"/>
            <w:tcBorders>
              <w:top w:val="nil"/>
              <w:left w:val="nil"/>
              <w:bottom w:val="nil"/>
              <w:right w:val="nil"/>
            </w:tcBorders>
            <w:shd w:val="clear" w:color="auto" w:fill="auto"/>
            <w:noWrap/>
            <w:vAlign w:val="bottom"/>
            <w:hideMark/>
          </w:tcPr>
          <w:p w14:paraId="57AA5CA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36.1%</w:t>
            </w:r>
          </w:p>
        </w:tc>
        <w:tc>
          <w:tcPr>
            <w:tcW w:w="1068" w:type="dxa"/>
            <w:tcBorders>
              <w:top w:val="nil"/>
              <w:left w:val="nil"/>
              <w:bottom w:val="nil"/>
              <w:right w:val="nil"/>
            </w:tcBorders>
            <w:shd w:val="clear" w:color="auto" w:fill="auto"/>
            <w:noWrap/>
            <w:vAlign w:val="bottom"/>
            <w:hideMark/>
          </w:tcPr>
          <w:p w14:paraId="3DB21F4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22,735 </w:t>
            </w:r>
          </w:p>
        </w:tc>
        <w:tc>
          <w:tcPr>
            <w:tcW w:w="664" w:type="dxa"/>
            <w:tcBorders>
              <w:top w:val="nil"/>
              <w:left w:val="nil"/>
              <w:bottom w:val="nil"/>
              <w:right w:val="nil"/>
            </w:tcBorders>
            <w:shd w:val="clear" w:color="auto" w:fill="auto"/>
            <w:noWrap/>
            <w:vAlign w:val="bottom"/>
            <w:hideMark/>
          </w:tcPr>
          <w:p w14:paraId="7566DD1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38.6%</w:t>
            </w:r>
          </w:p>
        </w:tc>
        <w:tc>
          <w:tcPr>
            <w:tcW w:w="1068" w:type="dxa"/>
            <w:tcBorders>
              <w:top w:val="nil"/>
              <w:left w:val="nil"/>
              <w:bottom w:val="nil"/>
              <w:right w:val="nil"/>
            </w:tcBorders>
            <w:shd w:val="clear" w:color="auto" w:fill="auto"/>
            <w:noWrap/>
            <w:vAlign w:val="bottom"/>
            <w:hideMark/>
          </w:tcPr>
          <w:p w14:paraId="063D276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31,185 </w:t>
            </w:r>
          </w:p>
        </w:tc>
        <w:tc>
          <w:tcPr>
            <w:tcW w:w="664" w:type="dxa"/>
            <w:tcBorders>
              <w:top w:val="nil"/>
              <w:left w:val="nil"/>
              <w:bottom w:val="nil"/>
              <w:right w:val="nil"/>
            </w:tcBorders>
            <w:shd w:val="clear" w:color="auto" w:fill="auto"/>
            <w:noWrap/>
            <w:vAlign w:val="bottom"/>
            <w:hideMark/>
          </w:tcPr>
          <w:p w14:paraId="731C94A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39.3%</w:t>
            </w:r>
          </w:p>
        </w:tc>
        <w:tc>
          <w:tcPr>
            <w:tcW w:w="1049" w:type="dxa"/>
            <w:tcBorders>
              <w:top w:val="nil"/>
              <w:left w:val="single" w:sz="4" w:space="0" w:color="auto"/>
              <w:bottom w:val="nil"/>
              <w:right w:val="nil"/>
            </w:tcBorders>
            <w:shd w:val="clear" w:color="auto" w:fill="auto"/>
            <w:noWrap/>
            <w:vAlign w:val="bottom"/>
            <w:hideMark/>
          </w:tcPr>
          <w:p w14:paraId="2A805B8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11,505 </w:t>
            </w:r>
          </w:p>
        </w:tc>
        <w:tc>
          <w:tcPr>
            <w:tcW w:w="664" w:type="dxa"/>
            <w:tcBorders>
              <w:top w:val="nil"/>
              <w:left w:val="nil"/>
              <w:bottom w:val="nil"/>
            </w:tcBorders>
            <w:shd w:val="clear" w:color="auto" w:fill="auto"/>
            <w:noWrap/>
            <w:vAlign w:val="bottom"/>
            <w:hideMark/>
          </w:tcPr>
          <w:p w14:paraId="1945451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22.8%</w:t>
            </w:r>
          </w:p>
        </w:tc>
        <w:tc>
          <w:tcPr>
            <w:tcW w:w="1198" w:type="dxa"/>
            <w:tcBorders>
              <w:top w:val="nil"/>
              <w:bottom w:val="nil"/>
            </w:tcBorders>
            <w:shd w:val="clear" w:color="auto" w:fill="auto"/>
            <w:noWrap/>
            <w:vAlign w:val="bottom"/>
            <w:hideMark/>
          </w:tcPr>
          <w:p w14:paraId="1178F39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81,915 </w:t>
            </w:r>
          </w:p>
        </w:tc>
        <w:tc>
          <w:tcPr>
            <w:tcW w:w="664" w:type="dxa"/>
            <w:tcBorders>
              <w:top w:val="nil"/>
              <w:bottom w:val="nil"/>
            </w:tcBorders>
            <w:shd w:val="clear" w:color="auto" w:fill="auto"/>
            <w:noWrap/>
            <w:vAlign w:val="bottom"/>
            <w:hideMark/>
          </w:tcPr>
          <w:p w14:paraId="6825354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22.2%</w:t>
            </w:r>
          </w:p>
        </w:tc>
        <w:tc>
          <w:tcPr>
            <w:tcW w:w="1178" w:type="dxa"/>
            <w:tcBorders>
              <w:top w:val="nil"/>
              <w:bottom w:val="nil"/>
              <w:right w:val="nil"/>
            </w:tcBorders>
            <w:shd w:val="clear" w:color="auto" w:fill="auto"/>
            <w:noWrap/>
            <w:vAlign w:val="bottom"/>
            <w:hideMark/>
          </w:tcPr>
          <w:p w14:paraId="7679CDB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186,265 </w:t>
            </w:r>
          </w:p>
        </w:tc>
        <w:tc>
          <w:tcPr>
            <w:tcW w:w="517" w:type="dxa"/>
            <w:tcBorders>
              <w:top w:val="nil"/>
              <w:left w:val="nil"/>
              <w:bottom w:val="nil"/>
              <w:right w:val="single" w:sz="4" w:space="0" w:color="auto"/>
            </w:tcBorders>
            <w:shd w:val="clear" w:color="auto" w:fill="auto"/>
            <w:noWrap/>
            <w:vAlign w:val="bottom"/>
            <w:hideMark/>
          </w:tcPr>
          <w:p w14:paraId="39D4E48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21.5%</w:t>
            </w:r>
          </w:p>
        </w:tc>
      </w:tr>
      <w:tr w:rsidR="00931E93" w:rsidRPr="00986C6D" w14:paraId="4C142C1E"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11F05D6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4D3BA204"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75-85 mmol/mol</w:t>
            </w:r>
          </w:p>
        </w:tc>
        <w:tc>
          <w:tcPr>
            <w:tcW w:w="1068" w:type="dxa"/>
            <w:tcBorders>
              <w:top w:val="nil"/>
              <w:left w:val="nil"/>
              <w:bottom w:val="nil"/>
              <w:right w:val="nil"/>
            </w:tcBorders>
            <w:shd w:val="clear" w:color="auto" w:fill="auto"/>
            <w:noWrap/>
            <w:vAlign w:val="bottom"/>
            <w:hideMark/>
          </w:tcPr>
          <w:p w14:paraId="03C3416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2,585 </w:t>
            </w:r>
          </w:p>
        </w:tc>
        <w:tc>
          <w:tcPr>
            <w:tcW w:w="664" w:type="dxa"/>
            <w:tcBorders>
              <w:top w:val="nil"/>
              <w:left w:val="nil"/>
              <w:bottom w:val="nil"/>
              <w:right w:val="nil"/>
            </w:tcBorders>
            <w:shd w:val="clear" w:color="auto" w:fill="auto"/>
            <w:noWrap/>
            <w:vAlign w:val="bottom"/>
            <w:hideMark/>
          </w:tcPr>
          <w:p w14:paraId="74AFFC7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16.1%</w:t>
            </w:r>
          </w:p>
        </w:tc>
        <w:tc>
          <w:tcPr>
            <w:tcW w:w="1068" w:type="dxa"/>
            <w:tcBorders>
              <w:top w:val="nil"/>
              <w:left w:val="nil"/>
              <w:bottom w:val="nil"/>
              <w:right w:val="nil"/>
            </w:tcBorders>
            <w:shd w:val="clear" w:color="auto" w:fill="auto"/>
            <w:noWrap/>
            <w:vAlign w:val="bottom"/>
            <w:hideMark/>
          </w:tcPr>
          <w:p w14:paraId="1E75D72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9,305 </w:t>
            </w:r>
          </w:p>
        </w:tc>
        <w:tc>
          <w:tcPr>
            <w:tcW w:w="664" w:type="dxa"/>
            <w:tcBorders>
              <w:top w:val="nil"/>
              <w:left w:val="nil"/>
              <w:bottom w:val="nil"/>
              <w:right w:val="nil"/>
            </w:tcBorders>
            <w:shd w:val="clear" w:color="auto" w:fill="auto"/>
            <w:noWrap/>
            <w:vAlign w:val="bottom"/>
            <w:hideMark/>
          </w:tcPr>
          <w:p w14:paraId="29CB85F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15.8%</w:t>
            </w:r>
          </w:p>
        </w:tc>
        <w:tc>
          <w:tcPr>
            <w:tcW w:w="1068" w:type="dxa"/>
            <w:tcBorders>
              <w:top w:val="nil"/>
              <w:left w:val="nil"/>
              <w:bottom w:val="nil"/>
              <w:right w:val="nil"/>
            </w:tcBorders>
            <w:shd w:val="clear" w:color="auto" w:fill="auto"/>
            <w:noWrap/>
            <w:vAlign w:val="bottom"/>
            <w:hideMark/>
          </w:tcPr>
          <w:p w14:paraId="7FDF91F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11,620 </w:t>
            </w:r>
          </w:p>
        </w:tc>
        <w:tc>
          <w:tcPr>
            <w:tcW w:w="664" w:type="dxa"/>
            <w:tcBorders>
              <w:top w:val="nil"/>
              <w:left w:val="nil"/>
              <w:bottom w:val="nil"/>
              <w:right w:val="nil"/>
            </w:tcBorders>
            <w:shd w:val="clear" w:color="auto" w:fill="auto"/>
            <w:noWrap/>
            <w:vAlign w:val="bottom"/>
            <w:hideMark/>
          </w:tcPr>
          <w:p w14:paraId="3EF0DD1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14.7%</w:t>
            </w:r>
          </w:p>
        </w:tc>
        <w:tc>
          <w:tcPr>
            <w:tcW w:w="1049" w:type="dxa"/>
            <w:tcBorders>
              <w:top w:val="nil"/>
              <w:left w:val="single" w:sz="4" w:space="0" w:color="auto"/>
              <w:bottom w:val="nil"/>
              <w:right w:val="nil"/>
            </w:tcBorders>
            <w:shd w:val="clear" w:color="auto" w:fill="auto"/>
            <w:noWrap/>
            <w:vAlign w:val="bottom"/>
            <w:hideMark/>
          </w:tcPr>
          <w:p w14:paraId="395ECC7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4,215 </w:t>
            </w:r>
          </w:p>
        </w:tc>
        <w:tc>
          <w:tcPr>
            <w:tcW w:w="664" w:type="dxa"/>
            <w:tcBorders>
              <w:top w:val="nil"/>
              <w:left w:val="nil"/>
              <w:bottom w:val="nil"/>
            </w:tcBorders>
            <w:shd w:val="clear" w:color="auto" w:fill="auto"/>
            <w:noWrap/>
            <w:vAlign w:val="bottom"/>
            <w:hideMark/>
          </w:tcPr>
          <w:p w14:paraId="04D7D16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8.4%</w:t>
            </w:r>
          </w:p>
        </w:tc>
        <w:tc>
          <w:tcPr>
            <w:tcW w:w="1198" w:type="dxa"/>
            <w:tcBorders>
              <w:top w:val="nil"/>
              <w:bottom w:val="nil"/>
            </w:tcBorders>
            <w:shd w:val="clear" w:color="auto" w:fill="auto"/>
            <w:noWrap/>
            <w:vAlign w:val="bottom"/>
            <w:hideMark/>
          </w:tcPr>
          <w:p w14:paraId="6688DE7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23,955 </w:t>
            </w:r>
          </w:p>
        </w:tc>
        <w:tc>
          <w:tcPr>
            <w:tcW w:w="664" w:type="dxa"/>
            <w:tcBorders>
              <w:top w:val="nil"/>
              <w:bottom w:val="nil"/>
            </w:tcBorders>
            <w:shd w:val="clear" w:color="auto" w:fill="auto"/>
            <w:noWrap/>
            <w:vAlign w:val="bottom"/>
            <w:hideMark/>
          </w:tcPr>
          <w:p w14:paraId="2BCA6B3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6.5%</w:t>
            </w:r>
          </w:p>
        </w:tc>
        <w:tc>
          <w:tcPr>
            <w:tcW w:w="1178" w:type="dxa"/>
            <w:tcBorders>
              <w:top w:val="nil"/>
              <w:bottom w:val="nil"/>
              <w:right w:val="nil"/>
            </w:tcBorders>
            <w:shd w:val="clear" w:color="auto" w:fill="auto"/>
            <w:noWrap/>
            <w:vAlign w:val="bottom"/>
            <w:hideMark/>
          </w:tcPr>
          <w:p w14:paraId="0F8018D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46,945 </w:t>
            </w:r>
          </w:p>
        </w:tc>
        <w:tc>
          <w:tcPr>
            <w:tcW w:w="517" w:type="dxa"/>
            <w:tcBorders>
              <w:top w:val="nil"/>
              <w:left w:val="nil"/>
              <w:bottom w:val="nil"/>
              <w:right w:val="single" w:sz="4" w:space="0" w:color="auto"/>
            </w:tcBorders>
            <w:shd w:val="clear" w:color="auto" w:fill="auto"/>
            <w:noWrap/>
            <w:vAlign w:val="bottom"/>
            <w:hideMark/>
          </w:tcPr>
          <w:p w14:paraId="4045AD3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5.4%</w:t>
            </w:r>
          </w:p>
        </w:tc>
      </w:tr>
      <w:tr w:rsidR="00931E93" w:rsidRPr="00986C6D" w14:paraId="3539A5CA"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3CED59C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78993FA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≥86 mmol/mol</w:t>
            </w:r>
          </w:p>
        </w:tc>
        <w:tc>
          <w:tcPr>
            <w:tcW w:w="1068" w:type="dxa"/>
            <w:tcBorders>
              <w:top w:val="nil"/>
              <w:left w:val="nil"/>
              <w:bottom w:val="nil"/>
              <w:right w:val="nil"/>
            </w:tcBorders>
            <w:shd w:val="clear" w:color="auto" w:fill="auto"/>
            <w:noWrap/>
            <w:vAlign w:val="bottom"/>
            <w:hideMark/>
          </w:tcPr>
          <w:p w14:paraId="2A2C54F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3,325 </w:t>
            </w:r>
          </w:p>
        </w:tc>
        <w:tc>
          <w:tcPr>
            <w:tcW w:w="664" w:type="dxa"/>
            <w:tcBorders>
              <w:top w:val="nil"/>
              <w:left w:val="nil"/>
              <w:bottom w:val="nil"/>
              <w:right w:val="nil"/>
            </w:tcBorders>
            <w:shd w:val="clear" w:color="auto" w:fill="auto"/>
            <w:noWrap/>
            <w:vAlign w:val="bottom"/>
            <w:hideMark/>
          </w:tcPr>
          <w:p w14:paraId="01C388E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20.7%</w:t>
            </w:r>
          </w:p>
        </w:tc>
        <w:tc>
          <w:tcPr>
            <w:tcW w:w="1068" w:type="dxa"/>
            <w:tcBorders>
              <w:top w:val="nil"/>
              <w:left w:val="nil"/>
              <w:bottom w:val="nil"/>
              <w:right w:val="nil"/>
            </w:tcBorders>
            <w:shd w:val="clear" w:color="auto" w:fill="auto"/>
            <w:noWrap/>
            <w:vAlign w:val="bottom"/>
            <w:hideMark/>
          </w:tcPr>
          <w:p w14:paraId="4566E5B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10,205 </w:t>
            </w:r>
          </w:p>
        </w:tc>
        <w:tc>
          <w:tcPr>
            <w:tcW w:w="664" w:type="dxa"/>
            <w:tcBorders>
              <w:top w:val="nil"/>
              <w:left w:val="nil"/>
              <w:bottom w:val="nil"/>
              <w:right w:val="nil"/>
            </w:tcBorders>
            <w:shd w:val="clear" w:color="auto" w:fill="auto"/>
            <w:noWrap/>
            <w:vAlign w:val="bottom"/>
            <w:hideMark/>
          </w:tcPr>
          <w:p w14:paraId="1787B6B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17.3%</w:t>
            </w:r>
          </w:p>
        </w:tc>
        <w:tc>
          <w:tcPr>
            <w:tcW w:w="1068" w:type="dxa"/>
            <w:tcBorders>
              <w:top w:val="nil"/>
              <w:left w:val="nil"/>
              <w:bottom w:val="nil"/>
              <w:right w:val="nil"/>
            </w:tcBorders>
            <w:shd w:val="clear" w:color="auto" w:fill="auto"/>
            <w:noWrap/>
            <w:vAlign w:val="bottom"/>
            <w:hideMark/>
          </w:tcPr>
          <w:p w14:paraId="4C79400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10,980 </w:t>
            </w:r>
          </w:p>
        </w:tc>
        <w:tc>
          <w:tcPr>
            <w:tcW w:w="664" w:type="dxa"/>
            <w:tcBorders>
              <w:top w:val="nil"/>
              <w:left w:val="nil"/>
              <w:bottom w:val="nil"/>
              <w:right w:val="nil"/>
            </w:tcBorders>
            <w:shd w:val="clear" w:color="auto" w:fill="auto"/>
            <w:noWrap/>
            <w:vAlign w:val="bottom"/>
            <w:hideMark/>
          </w:tcPr>
          <w:p w14:paraId="629B2E0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13.8%</w:t>
            </w:r>
          </w:p>
        </w:tc>
        <w:tc>
          <w:tcPr>
            <w:tcW w:w="1049" w:type="dxa"/>
            <w:tcBorders>
              <w:top w:val="nil"/>
              <w:left w:val="single" w:sz="4" w:space="0" w:color="auto"/>
              <w:bottom w:val="nil"/>
              <w:right w:val="nil"/>
            </w:tcBorders>
            <w:shd w:val="clear" w:color="auto" w:fill="auto"/>
            <w:noWrap/>
            <w:vAlign w:val="bottom"/>
            <w:hideMark/>
          </w:tcPr>
          <w:p w14:paraId="7642A82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6,315 </w:t>
            </w:r>
          </w:p>
        </w:tc>
        <w:tc>
          <w:tcPr>
            <w:tcW w:w="664" w:type="dxa"/>
            <w:tcBorders>
              <w:top w:val="nil"/>
              <w:left w:val="nil"/>
              <w:bottom w:val="nil"/>
            </w:tcBorders>
            <w:shd w:val="clear" w:color="auto" w:fill="auto"/>
            <w:noWrap/>
            <w:vAlign w:val="bottom"/>
            <w:hideMark/>
          </w:tcPr>
          <w:p w14:paraId="763A9F0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12.5%</w:t>
            </w:r>
          </w:p>
        </w:tc>
        <w:tc>
          <w:tcPr>
            <w:tcW w:w="1198" w:type="dxa"/>
            <w:tcBorders>
              <w:top w:val="nil"/>
              <w:bottom w:val="nil"/>
            </w:tcBorders>
            <w:shd w:val="clear" w:color="auto" w:fill="auto"/>
            <w:noWrap/>
            <w:vAlign w:val="bottom"/>
            <w:hideMark/>
          </w:tcPr>
          <w:p w14:paraId="41F5050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29,095 </w:t>
            </w:r>
          </w:p>
        </w:tc>
        <w:tc>
          <w:tcPr>
            <w:tcW w:w="664" w:type="dxa"/>
            <w:tcBorders>
              <w:top w:val="nil"/>
              <w:bottom w:val="nil"/>
            </w:tcBorders>
            <w:shd w:val="clear" w:color="auto" w:fill="auto"/>
            <w:noWrap/>
            <w:vAlign w:val="bottom"/>
            <w:hideMark/>
          </w:tcPr>
          <w:p w14:paraId="6FCF8E4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7.9%</w:t>
            </w:r>
          </w:p>
        </w:tc>
        <w:tc>
          <w:tcPr>
            <w:tcW w:w="1178" w:type="dxa"/>
            <w:tcBorders>
              <w:top w:val="nil"/>
              <w:bottom w:val="nil"/>
              <w:right w:val="nil"/>
            </w:tcBorders>
            <w:shd w:val="clear" w:color="auto" w:fill="auto"/>
            <w:noWrap/>
            <w:vAlign w:val="bottom"/>
            <w:hideMark/>
          </w:tcPr>
          <w:p w14:paraId="0892095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47,900 </w:t>
            </w:r>
          </w:p>
        </w:tc>
        <w:tc>
          <w:tcPr>
            <w:tcW w:w="517" w:type="dxa"/>
            <w:tcBorders>
              <w:top w:val="nil"/>
              <w:left w:val="nil"/>
              <w:bottom w:val="nil"/>
              <w:right w:val="single" w:sz="4" w:space="0" w:color="auto"/>
            </w:tcBorders>
            <w:shd w:val="clear" w:color="auto" w:fill="auto"/>
            <w:noWrap/>
            <w:vAlign w:val="bottom"/>
            <w:hideMark/>
          </w:tcPr>
          <w:p w14:paraId="657E316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5.5%</w:t>
            </w:r>
          </w:p>
        </w:tc>
      </w:tr>
      <w:tr w:rsidR="00931E93" w:rsidRPr="00986C6D" w14:paraId="26E8281D"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7F9A15C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5541E2CF"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Mean (SD), mmol/mol</w:t>
            </w:r>
          </w:p>
        </w:tc>
        <w:tc>
          <w:tcPr>
            <w:tcW w:w="1068" w:type="dxa"/>
            <w:tcBorders>
              <w:top w:val="nil"/>
              <w:left w:val="nil"/>
              <w:bottom w:val="nil"/>
              <w:right w:val="nil"/>
            </w:tcBorders>
            <w:shd w:val="clear" w:color="auto" w:fill="auto"/>
            <w:noWrap/>
            <w:vAlign w:val="bottom"/>
            <w:hideMark/>
          </w:tcPr>
          <w:p w14:paraId="5BA6FA8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72 (20.2) </w:t>
            </w:r>
          </w:p>
        </w:tc>
        <w:tc>
          <w:tcPr>
            <w:tcW w:w="664" w:type="dxa"/>
            <w:tcBorders>
              <w:top w:val="nil"/>
              <w:left w:val="nil"/>
              <w:bottom w:val="nil"/>
              <w:right w:val="nil"/>
            </w:tcBorders>
            <w:shd w:val="clear" w:color="auto" w:fill="auto"/>
            <w:noWrap/>
            <w:vAlign w:val="bottom"/>
            <w:hideMark/>
          </w:tcPr>
          <w:p w14:paraId="2FE643B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2FC0BD8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70.3 (18.6) </w:t>
            </w:r>
          </w:p>
        </w:tc>
        <w:tc>
          <w:tcPr>
            <w:tcW w:w="664" w:type="dxa"/>
            <w:tcBorders>
              <w:top w:val="nil"/>
              <w:left w:val="nil"/>
              <w:bottom w:val="nil"/>
              <w:right w:val="nil"/>
            </w:tcBorders>
            <w:shd w:val="clear" w:color="auto" w:fill="auto"/>
            <w:noWrap/>
            <w:vAlign w:val="bottom"/>
            <w:hideMark/>
          </w:tcPr>
          <w:p w14:paraId="10342CD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3CA9793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68.1 (17.3) </w:t>
            </w:r>
          </w:p>
        </w:tc>
        <w:tc>
          <w:tcPr>
            <w:tcW w:w="664" w:type="dxa"/>
            <w:tcBorders>
              <w:top w:val="nil"/>
              <w:left w:val="nil"/>
              <w:bottom w:val="nil"/>
              <w:right w:val="single" w:sz="4" w:space="0" w:color="auto"/>
            </w:tcBorders>
            <w:shd w:val="clear" w:color="auto" w:fill="auto"/>
            <w:noWrap/>
            <w:vAlign w:val="bottom"/>
            <w:hideMark/>
          </w:tcPr>
          <w:p w14:paraId="4C9D156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414A7D5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61.5 (20.1) </w:t>
            </w:r>
          </w:p>
        </w:tc>
        <w:tc>
          <w:tcPr>
            <w:tcW w:w="664" w:type="dxa"/>
            <w:tcBorders>
              <w:top w:val="nil"/>
              <w:left w:val="nil"/>
              <w:bottom w:val="nil"/>
              <w:right w:val="nil"/>
            </w:tcBorders>
            <w:shd w:val="clear" w:color="auto" w:fill="auto"/>
            <w:noWrap/>
            <w:vAlign w:val="bottom"/>
            <w:hideMark/>
          </w:tcPr>
          <w:p w14:paraId="61B633B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25E9C7A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58.4 (17.1) </w:t>
            </w:r>
          </w:p>
        </w:tc>
        <w:tc>
          <w:tcPr>
            <w:tcW w:w="664" w:type="dxa"/>
            <w:tcBorders>
              <w:top w:val="nil"/>
              <w:left w:val="nil"/>
              <w:bottom w:val="nil"/>
              <w:right w:val="nil"/>
            </w:tcBorders>
            <w:shd w:val="clear" w:color="auto" w:fill="auto"/>
            <w:noWrap/>
            <w:vAlign w:val="bottom"/>
            <w:hideMark/>
          </w:tcPr>
          <w:p w14:paraId="149DD81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78" w:type="dxa"/>
            <w:tcBorders>
              <w:top w:val="nil"/>
              <w:left w:val="nil"/>
              <w:bottom w:val="nil"/>
              <w:right w:val="nil"/>
            </w:tcBorders>
            <w:shd w:val="clear" w:color="auto" w:fill="auto"/>
            <w:noWrap/>
            <w:vAlign w:val="bottom"/>
            <w:hideMark/>
          </w:tcPr>
          <w:p w14:paraId="0676E21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56.8 (15.2) </w:t>
            </w:r>
          </w:p>
        </w:tc>
        <w:tc>
          <w:tcPr>
            <w:tcW w:w="517" w:type="dxa"/>
            <w:tcBorders>
              <w:top w:val="nil"/>
              <w:left w:val="nil"/>
              <w:bottom w:val="nil"/>
              <w:right w:val="single" w:sz="4" w:space="0" w:color="auto"/>
            </w:tcBorders>
            <w:shd w:val="clear" w:color="auto" w:fill="auto"/>
            <w:noWrap/>
            <w:vAlign w:val="bottom"/>
            <w:hideMark/>
          </w:tcPr>
          <w:p w14:paraId="19CB4A2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47C0508D"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33579CA1"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432099E4"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Missing</w:t>
            </w:r>
          </w:p>
        </w:tc>
        <w:tc>
          <w:tcPr>
            <w:tcW w:w="1068" w:type="dxa"/>
            <w:tcBorders>
              <w:top w:val="nil"/>
              <w:left w:val="nil"/>
              <w:bottom w:val="nil"/>
              <w:right w:val="nil"/>
            </w:tcBorders>
            <w:shd w:val="clear" w:color="auto" w:fill="auto"/>
            <w:noWrap/>
            <w:vAlign w:val="bottom"/>
            <w:hideMark/>
          </w:tcPr>
          <w:p w14:paraId="54BC8BA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21,205 </w:t>
            </w:r>
          </w:p>
        </w:tc>
        <w:tc>
          <w:tcPr>
            <w:tcW w:w="664" w:type="dxa"/>
            <w:tcBorders>
              <w:top w:val="nil"/>
              <w:left w:val="nil"/>
              <w:bottom w:val="nil"/>
              <w:right w:val="nil"/>
            </w:tcBorders>
            <w:shd w:val="clear" w:color="auto" w:fill="auto"/>
            <w:noWrap/>
            <w:vAlign w:val="bottom"/>
            <w:hideMark/>
          </w:tcPr>
          <w:p w14:paraId="60467EF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0B82199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2,365 </w:t>
            </w:r>
          </w:p>
        </w:tc>
        <w:tc>
          <w:tcPr>
            <w:tcW w:w="664" w:type="dxa"/>
            <w:tcBorders>
              <w:top w:val="nil"/>
              <w:left w:val="nil"/>
              <w:bottom w:val="nil"/>
              <w:right w:val="nil"/>
            </w:tcBorders>
            <w:shd w:val="clear" w:color="auto" w:fill="auto"/>
            <w:noWrap/>
            <w:vAlign w:val="bottom"/>
            <w:hideMark/>
          </w:tcPr>
          <w:p w14:paraId="191C3E0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6B843E4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1,317 </w:t>
            </w:r>
          </w:p>
        </w:tc>
        <w:tc>
          <w:tcPr>
            <w:tcW w:w="664" w:type="dxa"/>
            <w:tcBorders>
              <w:top w:val="nil"/>
              <w:left w:val="nil"/>
              <w:bottom w:val="nil"/>
              <w:right w:val="nil"/>
            </w:tcBorders>
            <w:shd w:val="clear" w:color="auto" w:fill="auto"/>
            <w:noWrap/>
            <w:vAlign w:val="bottom"/>
            <w:hideMark/>
          </w:tcPr>
          <w:p w14:paraId="4B56ECC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60C79D2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81,730 </w:t>
            </w:r>
          </w:p>
        </w:tc>
        <w:tc>
          <w:tcPr>
            <w:tcW w:w="664" w:type="dxa"/>
            <w:tcBorders>
              <w:top w:val="nil"/>
              <w:left w:val="nil"/>
              <w:bottom w:val="nil"/>
              <w:right w:val="nil"/>
            </w:tcBorders>
            <w:shd w:val="clear" w:color="auto" w:fill="auto"/>
            <w:noWrap/>
            <w:vAlign w:val="bottom"/>
            <w:hideMark/>
          </w:tcPr>
          <w:p w14:paraId="64E41CA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1E2D3EA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17,700 </w:t>
            </w:r>
          </w:p>
        </w:tc>
        <w:tc>
          <w:tcPr>
            <w:tcW w:w="664" w:type="dxa"/>
            <w:tcBorders>
              <w:top w:val="nil"/>
              <w:left w:val="nil"/>
              <w:bottom w:val="nil"/>
              <w:right w:val="nil"/>
            </w:tcBorders>
            <w:shd w:val="clear" w:color="auto" w:fill="auto"/>
            <w:noWrap/>
            <w:vAlign w:val="bottom"/>
            <w:hideMark/>
          </w:tcPr>
          <w:p w14:paraId="48C9D87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78" w:type="dxa"/>
            <w:tcBorders>
              <w:top w:val="nil"/>
              <w:left w:val="nil"/>
              <w:bottom w:val="nil"/>
              <w:right w:val="nil"/>
            </w:tcBorders>
            <w:shd w:val="clear" w:color="auto" w:fill="auto"/>
            <w:noWrap/>
            <w:vAlign w:val="bottom"/>
            <w:hideMark/>
          </w:tcPr>
          <w:p w14:paraId="0282763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13,680 </w:t>
            </w:r>
          </w:p>
        </w:tc>
        <w:tc>
          <w:tcPr>
            <w:tcW w:w="517" w:type="dxa"/>
            <w:tcBorders>
              <w:top w:val="nil"/>
              <w:left w:val="nil"/>
              <w:bottom w:val="nil"/>
              <w:right w:val="single" w:sz="4" w:space="0" w:color="auto"/>
            </w:tcBorders>
            <w:shd w:val="clear" w:color="auto" w:fill="auto"/>
            <w:noWrap/>
            <w:vAlign w:val="bottom"/>
            <w:hideMark/>
          </w:tcPr>
          <w:p w14:paraId="61FD26A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02FECB32" w14:textId="77777777" w:rsidTr="00154DE3">
        <w:trPr>
          <w:trHeight w:val="233"/>
        </w:trPr>
        <w:tc>
          <w:tcPr>
            <w:tcW w:w="2520" w:type="dxa"/>
            <w:gridSpan w:val="2"/>
            <w:tcBorders>
              <w:top w:val="nil"/>
              <w:left w:val="single" w:sz="4" w:space="0" w:color="auto"/>
              <w:bottom w:val="nil"/>
              <w:right w:val="single" w:sz="4" w:space="0" w:color="000000"/>
            </w:tcBorders>
            <w:shd w:val="clear" w:color="auto" w:fill="auto"/>
            <w:noWrap/>
            <w:vAlign w:val="bottom"/>
            <w:hideMark/>
          </w:tcPr>
          <w:p w14:paraId="37DEFC14"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Body mass index</w:t>
            </w:r>
          </w:p>
        </w:tc>
        <w:tc>
          <w:tcPr>
            <w:tcW w:w="1068" w:type="dxa"/>
            <w:tcBorders>
              <w:top w:val="nil"/>
              <w:left w:val="nil"/>
              <w:bottom w:val="nil"/>
              <w:right w:val="nil"/>
            </w:tcBorders>
            <w:shd w:val="clear" w:color="auto" w:fill="auto"/>
            <w:noWrap/>
            <w:vAlign w:val="bottom"/>
            <w:hideMark/>
          </w:tcPr>
          <w:p w14:paraId="0079505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664" w:type="dxa"/>
            <w:tcBorders>
              <w:top w:val="nil"/>
              <w:left w:val="nil"/>
              <w:bottom w:val="nil"/>
              <w:right w:val="nil"/>
            </w:tcBorders>
            <w:shd w:val="clear" w:color="auto" w:fill="auto"/>
            <w:noWrap/>
            <w:vAlign w:val="bottom"/>
            <w:hideMark/>
          </w:tcPr>
          <w:p w14:paraId="490C524E"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78BE4A5B"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3737906D"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69AC79BD"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18C74731"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3002DC1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664" w:type="dxa"/>
            <w:tcBorders>
              <w:top w:val="nil"/>
              <w:left w:val="nil"/>
              <w:bottom w:val="nil"/>
              <w:right w:val="nil"/>
            </w:tcBorders>
            <w:shd w:val="clear" w:color="auto" w:fill="auto"/>
            <w:noWrap/>
            <w:vAlign w:val="bottom"/>
            <w:hideMark/>
          </w:tcPr>
          <w:p w14:paraId="78C3696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7BAE7917"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6F6852E0"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178" w:type="dxa"/>
            <w:tcBorders>
              <w:top w:val="nil"/>
              <w:left w:val="nil"/>
              <w:bottom w:val="nil"/>
              <w:right w:val="nil"/>
            </w:tcBorders>
            <w:shd w:val="clear" w:color="auto" w:fill="auto"/>
            <w:noWrap/>
            <w:vAlign w:val="bottom"/>
            <w:hideMark/>
          </w:tcPr>
          <w:p w14:paraId="10404E65"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517" w:type="dxa"/>
            <w:tcBorders>
              <w:top w:val="nil"/>
              <w:left w:val="nil"/>
              <w:bottom w:val="nil"/>
              <w:right w:val="single" w:sz="4" w:space="0" w:color="auto"/>
            </w:tcBorders>
            <w:shd w:val="clear" w:color="auto" w:fill="auto"/>
            <w:noWrap/>
            <w:vAlign w:val="bottom"/>
            <w:hideMark/>
          </w:tcPr>
          <w:p w14:paraId="0E0C254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4644A2CB" w14:textId="77777777" w:rsidTr="00154DE3">
        <w:trPr>
          <w:trHeight w:val="263"/>
        </w:trPr>
        <w:tc>
          <w:tcPr>
            <w:tcW w:w="600" w:type="dxa"/>
            <w:tcBorders>
              <w:top w:val="nil"/>
              <w:left w:val="single" w:sz="4" w:space="0" w:color="auto"/>
              <w:bottom w:val="nil"/>
              <w:right w:val="nil"/>
            </w:tcBorders>
            <w:shd w:val="clear" w:color="auto" w:fill="auto"/>
            <w:noWrap/>
            <w:vAlign w:val="bottom"/>
            <w:hideMark/>
          </w:tcPr>
          <w:p w14:paraId="03C5EBB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5AEFDDC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&lt;20 kg/m</w:t>
            </w:r>
            <w:r w:rsidRPr="00986C6D">
              <w:rPr>
                <w:rFonts w:ascii="Times New Roman" w:eastAsia="Times New Roman" w:hAnsi="Times New Roman" w:cs="Times New Roman"/>
                <w:color w:val="000000"/>
                <w:sz w:val="20"/>
                <w:szCs w:val="20"/>
                <w:vertAlign w:val="superscript"/>
                <w:lang w:eastAsia="en-GB"/>
              </w:rPr>
              <w:t>2</w:t>
            </w:r>
          </w:p>
        </w:tc>
        <w:tc>
          <w:tcPr>
            <w:tcW w:w="1068" w:type="dxa"/>
            <w:tcBorders>
              <w:top w:val="nil"/>
              <w:left w:val="nil"/>
              <w:bottom w:val="nil"/>
              <w:right w:val="nil"/>
            </w:tcBorders>
            <w:shd w:val="clear" w:color="auto" w:fill="auto"/>
            <w:noWrap/>
            <w:vAlign w:val="bottom"/>
            <w:hideMark/>
          </w:tcPr>
          <w:p w14:paraId="3F1C5BD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855 </w:t>
            </w:r>
          </w:p>
        </w:tc>
        <w:tc>
          <w:tcPr>
            <w:tcW w:w="664" w:type="dxa"/>
            <w:tcBorders>
              <w:top w:val="nil"/>
              <w:left w:val="nil"/>
              <w:bottom w:val="nil"/>
              <w:right w:val="nil"/>
            </w:tcBorders>
            <w:shd w:val="clear" w:color="auto" w:fill="auto"/>
            <w:noWrap/>
            <w:vAlign w:val="bottom"/>
            <w:hideMark/>
          </w:tcPr>
          <w:p w14:paraId="3DFC7DB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5.9%</w:t>
            </w:r>
          </w:p>
        </w:tc>
        <w:tc>
          <w:tcPr>
            <w:tcW w:w="1068" w:type="dxa"/>
            <w:tcBorders>
              <w:top w:val="nil"/>
              <w:left w:val="nil"/>
              <w:bottom w:val="nil"/>
              <w:right w:val="nil"/>
            </w:tcBorders>
            <w:shd w:val="clear" w:color="auto" w:fill="auto"/>
            <w:noWrap/>
            <w:vAlign w:val="bottom"/>
            <w:hideMark/>
          </w:tcPr>
          <w:p w14:paraId="1A6F557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2,050 </w:t>
            </w:r>
          </w:p>
        </w:tc>
        <w:tc>
          <w:tcPr>
            <w:tcW w:w="664" w:type="dxa"/>
            <w:tcBorders>
              <w:top w:val="nil"/>
              <w:left w:val="nil"/>
              <w:bottom w:val="nil"/>
              <w:right w:val="nil"/>
            </w:tcBorders>
            <w:shd w:val="clear" w:color="auto" w:fill="auto"/>
            <w:noWrap/>
            <w:vAlign w:val="bottom"/>
            <w:hideMark/>
          </w:tcPr>
          <w:p w14:paraId="3C2F298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3.6%</w:t>
            </w:r>
          </w:p>
        </w:tc>
        <w:tc>
          <w:tcPr>
            <w:tcW w:w="1068" w:type="dxa"/>
            <w:tcBorders>
              <w:top w:val="nil"/>
              <w:left w:val="nil"/>
              <w:bottom w:val="nil"/>
              <w:right w:val="nil"/>
            </w:tcBorders>
            <w:shd w:val="clear" w:color="auto" w:fill="auto"/>
            <w:noWrap/>
            <w:vAlign w:val="bottom"/>
            <w:hideMark/>
          </w:tcPr>
          <w:p w14:paraId="7858CB5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2,345 </w:t>
            </w:r>
          </w:p>
        </w:tc>
        <w:tc>
          <w:tcPr>
            <w:tcW w:w="664" w:type="dxa"/>
            <w:tcBorders>
              <w:top w:val="nil"/>
              <w:left w:val="nil"/>
              <w:bottom w:val="nil"/>
              <w:right w:val="nil"/>
            </w:tcBorders>
            <w:shd w:val="clear" w:color="auto" w:fill="auto"/>
            <w:noWrap/>
            <w:vAlign w:val="bottom"/>
            <w:hideMark/>
          </w:tcPr>
          <w:p w14:paraId="017E151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2.9%</w:t>
            </w:r>
          </w:p>
        </w:tc>
        <w:tc>
          <w:tcPr>
            <w:tcW w:w="1049" w:type="dxa"/>
            <w:tcBorders>
              <w:top w:val="nil"/>
              <w:left w:val="single" w:sz="4" w:space="0" w:color="auto"/>
              <w:bottom w:val="nil"/>
              <w:right w:val="nil"/>
            </w:tcBorders>
            <w:shd w:val="clear" w:color="auto" w:fill="auto"/>
            <w:noWrap/>
            <w:vAlign w:val="bottom"/>
            <w:hideMark/>
          </w:tcPr>
          <w:p w14:paraId="5CFBBB4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680 </w:t>
            </w:r>
          </w:p>
        </w:tc>
        <w:tc>
          <w:tcPr>
            <w:tcW w:w="664" w:type="dxa"/>
            <w:tcBorders>
              <w:top w:val="nil"/>
              <w:left w:val="nil"/>
              <w:bottom w:val="nil"/>
              <w:right w:val="nil"/>
            </w:tcBorders>
            <w:shd w:val="clear" w:color="auto" w:fill="auto"/>
            <w:noWrap/>
            <w:vAlign w:val="bottom"/>
            <w:hideMark/>
          </w:tcPr>
          <w:p w14:paraId="404CFEF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w:t>
            </w:r>
          </w:p>
        </w:tc>
        <w:tc>
          <w:tcPr>
            <w:tcW w:w="1198" w:type="dxa"/>
            <w:tcBorders>
              <w:top w:val="nil"/>
              <w:left w:val="nil"/>
              <w:bottom w:val="nil"/>
              <w:right w:val="nil"/>
            </w:tcBorders>
            <w:shd w:val="clear" w:color="auto" w:fill="auto"/>
            <w:noWrap/>
            <w:vAlign w:val="bottom"/>
            <w:hideMark/>
          </w:tcPr>
          <w:p w14:paraId="64DE436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3,905 </w:t>
            </w:r>
          </w:p>
        </w:tc>
        <w:tc>
          <w:tcPr>
            <w:tcW w:w="664" w:type="dxa"/>
            <w:tcBorders>
              <w:top w:val="nil"/>
              <w:left w:val="nil"/>
              <w:bottom w:val="nil"/>
              <w:right w:val="nil"/>
            </w:tcBorders>
            <w:shd w:val="clear" w:color="auto" w:fill="auto"/>
            <w:noWrap/>
            <w:vAlign w:val="bottom"/>
            <w:hideMark/>
          </w:tcPr>
          <w:p w14:paraId="3DCD12B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w:t>
            </w:r>
          </w:p>
        </w:tc>
        <w:tc>
          <w:tcPr>
            <w:tcW w:w="1178" w:type="dxa"/>
            <w:tcBorders>
              <w:top w:val="nil"/>
              <w:left w:val="nil"/>
              <w:bottom w:val="nil"/>
              <w:right w:val="nil"/>
            </w:tcBorders>
            <w:shd w:val="clear" w:color="auto" w:fill="auto"/>
            <w:noWrap/>
            <w:vAlign w:val="bottom"/>
            <w:hideMark/>
          </w:tcPr>
          <w:p w14:paraId="7F55100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7,990 </w:t>
            </w:r>
          </w:p>
        </w:tc>
        <w:tc>
          <w:tcPr>
            <w:tcW w:w="517" w:type="dxa"/>
            <w:tcBorders>
              <w:top w:val="nil"/>
              <w:left w:val="nil"/>
              <w:bottom w:val="nil"/>
              <w:right w:val="single" w:sz="4" w:space="0" w:color="auto"/>
            </w:tcBorders>
            <w:shd w:val="clear" w:color="auto" w:fill="auto"/>
            <w:noWrap/>
            <w:vAlign w:val="bottom"/>
            <w:hideMark/>
          </w:tcPr>
          <w:p w14:paraId="7D5523A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0.9%</w:t>
            </w:r>
          </w:p>
        </w:tc>
      </w:tr>
      <w:tr w:rsidR="00931E93" w:rsidRPr="00986C6D" w14:paraId="5D35253E" w14:textId="77777777" w:rsidTr="00154DE3">
        <w:trPr>
          <w:trHeight w:val="263"/>
        </w:trPr>
        <w:tc>
          <w:tcPr>
            <w:tcW w:w="600" w:type="dxa"/>
            <w:tcBorders>
              <w:top w:val="nil"/>
              <w:left w:val="single" w:sz="4" w:space="0" w:color="auto"/>
              <w:bottom w:val="nil"/>
              <w:right w:val="nil"/>
            </w:tcBorders>
            <w:shd w:val="clear" w:color="auto" w:fill="auto"/>
            <w:noWrap/>
            <w:vAlign w:val="bottom"/>
            <w:hideMark/>
          </w:tcPr>
          <w:p w14:paraId="52260E5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19016CE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20-24.9 kg/m</w:t>
            </w:r>
            <w:r w:rsidRPr="00986C6D">
              <w:rPr>
                <w:rFonts w:ascii="Times New Roman" w:eastAsia="Times New Roman" w:hAnsi="Times New Roman" w:cs="Times New Roman"/>
                <w:color w:val="000000"/>
                <w:sz w:val="20"/>
                <w:szCs w:val="20"/>
                <w:vertAlign w:val="superscript"/>
                <w:lang w:eastAsia="en-GB"/>
              </w:rPr>
              <w:t>2</w:t>
            </w:r>
          </w:p>
        </w:tc>
        <w:tc>
          <w:tcPr>
            <w:tcW w:w="1068" w:type="dxa"/>
            <w:tcBorders>
              <w:top w:val="nil"/>
              <w:left w:val="nil"/>
              <w:bottom w:val="nil"/>
              <w:right w:val="nil"/>
            </w:tcBorders>
            <w:shd w:val="clear" w:color="auto" w:fill="auto"/>
            <w:noWrap/>
            <w:vAlign w:val="bottom"/>
            <w:hideMark/>
          </w:tcPr>
          <w:p w14:paraId="66BBF4C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5,105 </w:t>
            </w:r>
          </w:p>
        </w:tc>
        <w:tc>
          <w:tcPr>
            <w:tcW w:w="664" w:type="dxa"/>
            <w:tcBorders>
              <w:top w:val="nil"/>
              <w:left w:val="nil"/>
              <w:bottom w:val="nil"/>
              <w:right w:val="nil"/>
            </w:tcBorders>
            <w:shd w:val="clear" w:color="auto" w:fill="auto"/>
            <w:noWrap/>
            <w:vAlign w:val="bottom"/>
            <w:hideMark/>
          </w:tcPr>
          <w:p w14:paraId="53AAFAE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35.5%</w:t>
            </w:r>
          </w:p>
        </w:tc>
        <w:tc>
          <w:tcPr>
            <w:tcW w:w="1068" w:type="dxa"/>
            <w:tcBorders>
              <w:top w:val="nil"/>
              <w:left w:val="nil"/>
              <w:bottom w:val="nil"/>
              <w:right w:val="nil"/>
            </w:tcBorders>
            <w:shd w:val="clear" w:color="auto" w:fill="auto"/>
            <w:noWrap/>
            <w:vAlign w:val="bottom"/>
            <w:hideMark/>
          </w:tcPr>
          <w:p w14:paraId="6167F34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16,965 </w:t>
            </w:r>
          </w:p>
        </w:tc>
        <w:tc>
          <w:tcPr>
            <w:tcW w:w="664" w:type="dxa"/>
            <w:tcBorders>
              <w:top w:val="nil"/>
              <w:left w:val="nil"/>
              <w:bottom w:val="nil"/>
              <w:right w:val="nil"/>
            </w:tcBorders>
            <w:shd w:val="clear" w:color="auto" w:fill="auto"/>
            <w:noWrap/>
            <w:vAlign w:val="bottom"/>
            <w:hideMark/>
          </w:tcPr>
          <w:p w14:paraId="6BED3E6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29.7%</w:t>
            </w:r>
          </w:p>
        </w:tc>
        <w:tc>
          <w:tcPr>
            <w:tcW w:w="1068" w:type="dxa"/>
            <w:tcBorders>
              <w:top w:val="nil"/>
              <w:left w:val="nil"/>
              <w:bottom w:val="nil"/>
              <w:right w:val="nil"/>
            </w:tcBorders>
            <w:shd w:val="clear" w:color="auto" w:fill="auto"/>
            <w:noWrap/>
            <w:vAlign w:val="bottom"/>
            <w:hideMark/>
          </w:tcPr>
          <w:p w14:paraId="077F5A5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21,860 </w:t>
            </w:r>
          </w:p>
        </w:tc>
        <w:tc>
          <w:tcPr>
            <w:tcW w:w="664" w:type="dxa"/>
            <w:tcBorders>
              <w:top w:val="nil"/>
              <w:left w:val="nil"/>
              <w:bottom w:val="nil"/>
              <w:right w:val="nil"/>
            </w:tcBorders>
            <w:shd w:val="clear" w:color="auto" w:fill="auto"/>
            <w:noWrap/>
            <w:vAlign w:val="bottom"/>
            <w:hideMark/>
          </w:tcPr>
          <w:p w14:paraId="3BBAB27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27.3%</w:t>
            </w:r>
          </w:p>
        </w:tc>
        <w:tc>
          <w:tcPr>
            <w:tcW w:w="1049" w:type="dxa"/>
            <w:tcBorders>
              <w:top w:val="nil"/>
              <w:left w:val="single" w:sz="4" w:space="0" w:color="auto"/>
              <w:bottom w:val="nil"/>
              <w:right w:val="nil"/>
            </w:tcBorders>
            <w:shd w:val="clear" w:color="auto" w:fill="auto"/>
            <w:noWrap/>
            <w:vAlign w:val="bottom"/>
            <w:hideMark/>
          </w:tcPr>
          <w:p w14:paraId="045D9C2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5,100 </w:t>
            </w:r>
          </w:p>
        </w:tc>
        <w:tc>
          <w:tcPr>
            <w:tcW w:w="664" w:type="dxa"/>
            <w:tcBorders>
              <w:top w:val="nil"/>
              <w:left w:val="nil"/>
              <w:bottom w:val="nil"/>
              <w:right w:val="nil"/>
            </w:tcBorders>
            <w:shd w:val="clear" w:color="auto" w:fill="auto"/>
            <w:noWrap/>
            <w:vAlign w:val="bottom"/>
            <w:hideMark/>
          </w:tcPr>
          <w:p w14:paraId="163B857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13.3%</w:t>
            </w:r>
          </w:p>
        </w:tc>
        <w:tc>
          <w:tcPr>
            <w:tcW w:w="1198" w:type="dxa"/>
            <w:tcBorders>
              <w:top w:val="nil"/>
              <w:left w:val="nil"/>
              <w:bottom w:val="nil"/>
              <w:right w:val="nil"/>
            </w:tcBorders>
            <w:shd w:val="clear" w:color="auto" w:fill="auto"/>
            <w:noWrap/>
            <w:vAlign w:val="bottom"/>
            <w:hideMark/>
          </w:tcPr>
          <w:p w14:paraId="047BFA2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46,370 </w:t>
            </w:r>
          </w:p>
        </w:tc>
        <w:tc>
          <w:tcPr>
            <w:tcW w:w="664" w:type="dxa"/>
            <w:tcBorders>
              <w:top w:val="nil"/>
              <w:left w:val="nil"/>
              <w:bottom w:val="nil"/>
              <w:right w:val="nil"/>
            </w:tcBorders>
            <w:shd w:val="clear" w:color="auto" w:fill="auto"/>
            <w:noWrap/>
            <w:vAlign w:val="bottom"/>
            <w:hideMark/>
          </w:tcPr>
          <w:p w14:paraId="23386E6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12.9%</w:t>
            </w:r>
          </w:p>
        </w:tc>
        <w:tc>
          <w:tcPr>
            <w:tcW w:w="1178" w:type="dxa"/>
            <w:tcBorders>
              <w:top w:val="nil"/>
              <w:left w:val="nil"/>
              <w:bottom w:val="nil"/>
              <w:right w:val="nil"/>
            </w:tcBorders>
            <w:shd w:val="clear" w:color="auto" w:fill="auto"/>
            <w:noWrap/>
            <w:vAlign w:val="bottom"/>
            <w:hideMark/>
          </w:tcPr>
          <w:p w14:paraId="46F137A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114,065 </w:t>
            </w:r>
          </w:p>
        </w:tc>
        <w:tc>
          <w:tcPr>
            <w:tcW w:w="517" w:type="dxa"/>
            <w:tcBorders>
              <w:top w:val="nil"/>
              <w:left w:val="nil"/>
              <w:bottom w:val="nil"/>
              <w:right w:val="single" w:sz="4" w:space="0" w:color="auto"/>
            </w:tcBorders>
            <w:shd w:val="clear" w:color="auto" w:fill="auto"/>
            <w:noWrap/>
            <w:vAlign w:val="bottom"/>
            <w:hideMark/>
          </w:tcPr>
          <w:p w14:paraId="2EF08BE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13.1%</w:t>
            </w:r>
          </w:p>
        </w:tc>
      </w:tr>
      <w:tr w:rsidR="00931E93" w:rsidRPr="00986C6D" w14:paraId="45D409E1" w14:textId="77777777" w:rsidTr="00154DE3">
        <w:trPr>
          <w:trHeight w:val="263"/>
        </w:trPr>
        <w:tc>
          <w:tcPr>
            <w:tcW w:w="600" w:type="dxa"/>
            <w:tcBorders>
              <w:top w:val="nil"/>
              <w:left w:val="single" w:sz="4" w:space="0" w:color="auto"/>
              <w:bottom w:val="nil"/>
              <w:right w:val="nil"/>
            </w:tcBorders>
            <w:shd w:val="clear" w:color="auto" w:fill="auto"/>
            <w:noWrap/>
            <w:vAlign w:val="bottom"/>
            <w:hideMark/>
          </w:tcPr>
          <w:p w14:paraId="5AE2980F"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41F05DC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25-29.9 kg/m</w:t>
            </w:r>
            <w:r w:rsidRPr="00986C6D">
              <w:rPr>
                <w:rFonts w:ascii="Times New Roman" w:eastAsia="Times New Roman" w:hAnsi="Times New Roman" w:cs="Times New Roman"/>
                <w:color w:val="000000"/>
                <w:sz w:val="20"/>
                <w:szCs w:val="20"/>
                <w:vertAlign w:val="superscript"/>
                <w:lang w:eastAsia="en-GB"/>
              </w:rPr>
              <w:t>2</w:t>
            </w:r>
          </w:p>
        </w:tc>
        <w:tc>
          <w:tcPr>
            <w:tcW w:w="1068" w:type="dxa"/>
            <w:tcBorders>
              <w:top w:val="nil"/>
              <w:left w:val="nil"/>
              <w:bottom w:val="nil"/>
              <w:right w:val="nil"/>
            </w:tcBorders>
            <w:shd w:val="clear" w:color="auto" w:fill="auto"/>
            <w:noWrap/>
            <w:vAlign w:val="bottom"/>
            <w:hideMark/>
          </w:tcPr>
          <w:p w14:paraId="3D4B5FF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4,910 </w:t>
            </w:r>
          </w:p>
        </w:tc>
        <w:tc>
          <w:tcPr>
            <w:tcW w:w="664" w:type="dxa"/>
            <w:tcBorders>
              <w:top w:val="nil"/>
              <w:left w:val="nil"/>
              <w:bottom w:val="nil"/>
              <w:right w:val="nil"/>
            </w:tcBorders>
            <w:shd w:val="clear" w:color="auto" w:fill="auto"/>
            <w:noWrap/>
            <w:vAlign w:val="bottom"/>
            <w:hideMark/>
          </w:tcPr>
          <w:p w14:paraId="0FAD15B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34.1%</w:t>
            </w:r>
          </w:p>
        </w:tc>
        <w:tc>
          <w:tcPr>
            <w:tcW w:w="1068" w:type="dxa"/>
            <w:tcBorders>
              <w:top w:val="nil"/>
              <w:left w:val="nil"/>
              <w:bottom w:val="nil"/>
              <w:right w:val="nil"/>
            </w:tcBorders>
            <w:shd w:val="clear" w:color="auto" w:fill="auto"/>
            <w:noWrap/>
            <w:vAlign w:val="bottom"/>
            <w:hideMark/>
          </w:tcPr>
          <w:p w14:paraId="7E26F3E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21,240 </w:t>
            </w:r>
          </w:p>
        </w:tc>
        <w:tc>
          <w:tcPr>
            <w:tcW w:w="664" w:type="dxa"/>
            <w:tcBorders>
              <w:top w:val="nil"/>
              <w:left w:val="nil"/>
              <w:bottom w:val="nil"/>
              <w:right w:val="nil"/>
            </w:tcBorders>
            <w:shd w:val="clear" w:color="auto" w:fill="auto"/>
            <w:noWrap/>
            <w:vAlign w:val="bottom"/>
            <w:hideMark/>
          </w:tcPr>
          <w:p w14:paraId="3767F0B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37.2%</w:t>
            </w:r>
          </w:p>
        </w:tc>
        <w:tc>
          <w:tcPr>
            <w:tcW w:w="1068" w:type="dxa"/>
            <w:tcBorders>
              <w:top w:val="nil"/>
              <w:left w:val="nil"/>
              <w:bottom w:val="nil"/>
              <w:right w:val="nil"/>
            </w:tcBorders>
            <w:shd w:val="clear" w:color="auto" w:fill="auto"/>
            <w:noWrap/>
            <w:vAlign w:val="bottom"/>
            <w:hideMark/>
          </w:tcPr>
          <w:p w14:paraId="298B340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30,120 </w:t>
            </w:r>
          </w:p>
        </w:tc>
        <w:tc>
          <w:tcPr>
            <w:tcW w:w="664" w:type="dxa"/>
            <w:tcBorders>
              <w:top w:val="nil"/>
              <w:left w:val="nil"/>
              <w:bottom w:val="nil"/>
              <w:right w:val="nil"/>
            </w:tcBorders>
            <w:shd w:val="clear" w:color="auto" w:fill="auto"/>
            <w:noWrap/>
            <w:vAlign w:val="bottom"/>
            <w:hideMark/>
          </w:tcPr>
          <w:p w14:paraId="5C58320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37.6%</w:t>
            </w:r>
          </w:p>
        </w:tc>
        <w:tc>
          <w:tcPr>
            <w:tcW w:w="1049" w:type="dxa"/>
            <w:tcBorders>
              <w:top w:val="nil"/>
              <w:left w:val="single" w:sz="4" w:space="0" w:color="auto"/>
              <w:bottom w:val="nil"/>
              <w:right w:val="nil"/>
            </w:tcBorders>
            <w:shd w:val="clear" w:color="auto" w:fill="auto"/>
            <w:noWrap/>
            <w:vAlign w:val="bottom"/>
            <w:hideMark/>
          </w:tcPr>
          <w:p w14:paraId="3E83506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11,425 </w:t>
            </w:r>
          </w:p>
        </w:tc>
        <w:tc>
          <w:tcPr>
            <w:tcW w:w="664" w:type="dxa"/>
            <w:tcBorders>
              <w:top w:val="nil"/>
              <w:left w:val="nil"/>
              <w:bottom w:val="nil"/>
              <w:right w:val="nil"/>
            </w:tcBorders>
            <w:shd w:val="clear" w:color="auto" w:fill="auto"/>
            <w:noWrap/>
            <w:vAlign w:val="bottom"/>
            <w:hideMark/>
          </w:tcPr>
          <w:p w14:paraId="4EB0DC9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29.8%</w:t>
            </w:r>
          </w:p>
        </w:tc>
        <w:tc>
          <w:tcPr>
            <w:tcW w:w="1198" w:type="dxa"/>
            <w:tcBorders>
              <w:top w:val="nil"/>
              <w:left w:val="nil"/>
              <w:bottom w:val="nil"/>
              <w:right w:val="nil"/>
            </w:tcBorders>
            <w:shd w:val="clear" w:color="auto" w:fill="auto"/>
            <w:noWrap/>
            <w:vAlign w:val="bottom"/>
            <w:hideMark/>
          </w:tcPr>
          <w:p w14:paraId="720C07F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118,935 </w:t>
            </w:r>
          </w:p>
        </w:tc>
        <w:tc>
          <w:tcPr>
            <w:tcW w:w="664" w:type="dxa"/>
            <w:tcBorders>
              <w:top w:val="nil"/>
              <w:left w:val="nil"/>
              <w:bottom w:val="nil"/>
              <w:right w:val="nil"/>
            </w:tcBorders>
            <w:shd w:val="clear" w:color="auto" w:fill="auto"/>
            <w:noWrap/>
            <w:vAlign w:val="bottom"/>
            <w:hideMark/>
          </w:tcPr>
          <w:p w14:paraId="5299760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33.2%</w:t>
            </w:r>
          </w:p>
        </w:tc>
        <w:tc>
          <w:tcPr>
            <w:tcW w:w="1178" w:type="dxa"/>
            <w:tcBorders>
              <w:top w:val="nil"/>
              <w:left w:val="nil"/>
              <w:bottom w:val="nil"/>
              <w:right w:val="nil"/>
            </w:tcBorders>
            <w:shd w:val="clear" w:color="auto" w:fill="auto"/>
            <w:noWrap/>
            <w:vAlign w:val="bottom"/>
            <w:hideMark/>
          </w:tcPr>
          <w:p w14:paraId="6451BD7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304,275 </w:t>
            </w:r>
          </w:p>
        </w:tc>
        <w:tc>
          <w:tcPr>
            <w:tcW w:w="517" w:type="dxa"/>
            <w:tcBorders>
              <w:top w:val="nil"/>
              <w:left w:val="nil"/>
              <w:bottom w:val="nil"/>
              <w:right w:val="single" w:sz="4" w:space="0" w:color="auto"/>
            </w:tcBorders>
            <w:shd w:val="clear" w:color="auto" w:fill="auto"/>
            <w:noWrap/>
            <w:vAlign w:val="bottom"/>
            <w:hideMark/>
          </w:tcPr>
          <w:p w14:paraId="2EDF412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34.9%</w:t>
            </w:r>
          </w:p>
        </w:tc>
      </w:tr>
      <w:tr w:rsidR="00931E93" w:rsidRPr="00986C6D" w14:paraId="6846D11F" w14:textId="77777777" w:rsidTr="00154DE3">
        <w:trPr>
          <w:trHeight w:val="263"/>
        </w:trPr>
        <w:tc>
          <w:tcPr>
            <w:tcW w:w="600" w:type="dxa"/>
            <w:tcBorders>
              <w:top w:val="nil"/>
              <w:left w:val="single" w:sz="4" w:space="0" w:color="auto"/>
              <w:bottom w:val="nil"/>
              <w:right w:val="nil"/>
            </w:tcBorders>
            <w:shd w:val="clear" w:color="auto" w:fill="auto"/>
            <w:noWrap/>
            <w:vAlign w:val="bottom"/>
            <w:hideMark/>
          </w:tcPr>
          <w:p w14:paraId="728BCEDB"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788BAAC1"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30-34.9 kg/m</w:t>
            </w:r>
            <w:r w:rsidRPr="00986C6D">
              <w:rPr>
                <w:rFonts w:ascii="Times New Roman" w:eastAsia="Times New Roman" w:hAnsi="Times New Roman" w:cs="Times New Roman"/>
                <w:color w:val="000000"/>
                <w:sz w:val="20"/>
                <w:szCs w:val="20"/>
                <w:vertAlign w:val="superscript"/>
                <w:lang w:eastAsia="en-GB"/>
              </w:rPr>
              <w:t>2</w:t>
            </w:r>
          </w:p>
        </w:tc>
        <w:tc>
          <w:tcPr>
            <w:tcW w:w="1068" w:type="dxa"/>
            <w:tcBorders>
              <w:top w:val="nil"/>
              <w:left w:val="nil"/>
              <w:bottom w:val="nil"/>
              <w:right w:val="nil"/>
            </w:tcBorders>
            <w:shd w:val="clear" w:color="auto" w:fill="auto"/>
            <w:noWrap/>
            <w:vAlign w:val="bottom"/>
            <w:hideMark/>
          </w:tcPr>
          <w:p w14:paraId="2122B06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2,260 </w:t>
            </w:r>
          </w:p>
        </w:tc>
        <w:tc>
          <w:tcPr>
            <w:tcW w:w="664" w:type="dxa"/>
            <w:tcBorders>
              <w:top w:val="nil"/>
              <w:left w:val="nil"/>
              <w:bottom w:val="nil"/>
              <w:right w:val="nil"/>
            </w:tcBorders>
            <w:shd w:val="clear" w:color="auto" w:fill="auto"/>
            <w:noWrap/>
            <w:vAlign w:val="bottom"/>
            <w:hideMark/>
          </w:tcPr>
          <w:p w14:paraId="4AD6A78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15.7%</w:t>
            </w:r>
          </w:p>
        </w:tc>
        <w:tc>
          <w:tcPr>
            <w:tcW w:w="1068" w:type="dxa"/>
            <w:tcBorders>
              <w:top w:val="nil"/>
              <w:left w:val="nil"/>
              <w:bottom w:val="nil"/>
              <w:right w:val="nil"/>
            </w:tcBorders>
            <w:shd w:val="clear" w:color="auto" w:fill="auto"/>
            <w:noWrap/>
            <w:vAlign w:val="bottom"/>
            <w:hideMark/>
          </w:tcPr>
          <w:p w14:paraId="27E6AC4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10,775 </w:t>
            </w:r>
          </w:p>
        </w:tc>
        <w:tc>
          <w:tcPr>
            <w:tcW w:w="664" w:type="dxa"/>
            <w:tcBorders>
              <w:top w:val="nil"/>
              <w:left w:val="nil"/>
              <w:bottom w:val="nil"/>
              <w:right w:val="nil"/>
            </w:tcBorders>
            <w:shd w:val="clear" w:color="auto" w:fill="auto"/>
            <w:noWrap/>
            <w:vAlign w:val="bottom"/>
            <w:hideMark/>
          </w:tcPr>
          <w:p w14:paraId="576C1AC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18.9%</w:t>
            </w:r>
          </w:p>
        </w:tc>
        <w:tc>
          <w:tcPr>
            <w:tcW w:w="1068" w:type="dxa"/>
            <w:tcBorders>
              <w:top w:val="nil"/>
              <w:left w:val="nil"/>
              <w:bottom w:val="nil"/>
              <w:right w:val="nil"/>
            </w:tcBorders>
            <w:shd w:val="clear" w:color="auto" w:fill="auto"/>
            <w:noWrap/>
            <w:vAlign w:val="bottom"/>
            <w:hideMark/>
          </w:tcPr>
          <w:p w14:paraId="694B145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16,550 </w:t>
            </w:r>
          </w:p>
        </w:tc>
        <w:tc>
          <w:tcPr>
            <w:tcW w:w="664" w:type="dxa"/>
            <w:tcBorders>
              <w:top w:val="nil"/>
              <w:left w:val="nil"/>
              <w:bottom w:val="nil"/>
              <w:right w:val="nil"/>
            </w:tcBorders>
            <w:shd w:val="clear" w:color="auto" w:fill="auto"/>
            <w:noWrap/>
            <w:vAlign w:val="bottom"/>
            <w:hideMark/>
          </w:tcPr>
          <w:p w14:paraId="0058FAB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20.6%</w:t>
            </w:r>
          </w:p>
        </w:tc>
        <w:tc>
          <w:tcPr>
            <w:tcW w:w="1049" w:type="dxa"/>
            <w:tcBorders>
              <w:top w:val="nil"/>
              <w:left w:val="single" w:sz="4" w:space="0" w:color="auto"/>
              <w:bottom w:val="nil"/>
              <w:right w:val="nil"/>
            </w:tcBorders>
            <w:shd w:val="clear" w:color="auto" w:fill="auto"/>
            <w:noWrap/>
            <w:vAlign w:val="bottom"/>
            <w:hideMark/>
          </w:tcPr>
          <w:p w14:paraId="7098256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10,245 </w:t>
            </w:r>
          </w:p>
        </w:tc>
        <w:tc>
          <w:tcPr>
            <w:tcW w:w="664" w:type="dxa"/>
            <w:tcBorders>
              <w:top w:val="nil"/>
              <w:left w:val="nil"/>
              <w:bottom w:val="nil"/>
              <w:right w:val="nil"/>
            </w:tcBorders>
            <w:shd w:val="clear" w:color="auto" w:fill="auto"/>
            <w:noWrap/>
            <w:vAlign w:val="bottom"/>
            <w:hideMark/>
          </w:tcPr>
          <w:p w14:paraId="17DF230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26.7%</w:t>
            </w:r>
          </w:p>
        </w:tc>
        <w:tc>
          <w:tcPr>
            <w:tcW w:w="1198" w:type="dxa"/>
            <w:tcBorders>
              <w:top w:val="nil"/>
              <w:left w:val="nil"/>
              <w:bottom w:val="nil"/>
              <w:right w:val="nil"/>
            </w:tcBorders>
            <w:shd w:val="clear" w:color="auto" w:fill="auto"/>
            <w:noWrap/>
            <w:vAlign w:val="bottom"/>
            <w:hideMark/>
          </w:tcPr>
          <w:p w14:paraId="66509B1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101,520 </w:t>
            </w:r>
          </w:p>
        </w:tc>
        <w:tc>
          <w:tcPr>
            <w:tcW w:w="664" w:type="dxa"/>
            <w:tcBorders>
              <w:top w:val="nil"/>
              <w:left w:val="nil"/>
              <w:bottom w:val="nil"/>
              <w:right w:val="nil"/>
            </w:tcBorders>
            <w:shd w:val="clear" w:color="auto" w:fill="auto"/>
            <w:noWrap/>
            <w:vAlign w:val="bottom"/>
            <w:hideMark/>
          </w:tcPr>
          <w:p w14:paraId="3D5A946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28.3%</w:t>
            </w:r>
          </w:p>
        </w:tc>
        <w:tc>
          <w:tcPr>
            <w:tcW w:w="1178" w:type="dxa"/>
            <w:tcBorders>
              <w:top w:val="nil"/>
              <w:left w:val="nil"/>
              <w:bottom w:val="nil"/>
              <w:right w:val="nil"/>
            </w:tcBorders>
            <w:shd w:val="clear" w:color="auto" w:fill="auto"/>
            <w:noWrap/>
            <w:vAlign w:val="bottom"/>
            <w:hideMark/>
          </w:tcPr>
          <w:p w14:paraId="56FB0A9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252,845 </w:t>
            </w:r>
          </w:p>
        </w:tc>
        <w:tc>
          <w:tcPr>
            <w:tcW w:w="517" w:type="dxa"/>
            <w:tcBorders>
              <w:top w:val="nil"/>
              <w:left w:val="nil"/>
              <w:bottom w:val="nil"/>
              <w:right w:val="single" w:sz="4" w:space="0" w:color="auto"/>
            </w:tcBorders>
            <w:shd w:val="clear" w:color="auto" w:fill="auto"/>
            <w:noWrap/>
            <w:vAlign w:val="bottom"/>
            <w:hideMark/>
          </w:tcPr>
          <w:p w14:paraId="77D2AD1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29.0%</w:t>
            </w:r>
          </w:p>
        </w:tc>
      </w:tr>
      <w:tr w:rsidR="00931E93" w:rsidRPr="00986C6D" w14:paraId="67D8A781" w14:textId="77777777" w:rsidTr="00154DE3">
        <w:trPr>
          <w:trHeight w:val="263"/>
        </w:trPr>
        <w:tc>
          <w:tcPr>
            <w:tcW w:w="600" w:type="dxa"/>
            <w:tcBorders>
              <w:top w:val="nil"/>
              <w:left w:val="single" w:sz="4" w:space="0" w:color="auto"/>
              <w:bottom w:val="nil"/>
              <w:right w:val="nil"/>
            </w:tcBorders>
            <w:shd w:val="clear" w:color="auto" w:fill="auto"/>
            <w:noWrap/>
            <w:vAlign w:val="bottom"/>
            <w:hideMark/>
          </w:tcPr>
          <w:p w14:paraId="7FD1920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25DB71AE"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35-39.9 kg/m</w:t>
            </w:r>
            <w:r w:rsidRPr="00986C6D">
              <w:rPr>
                <w:rFonts w:ascii="Times New Roman" w:eastAsia="Times New Roman" w:hAnsi="Times New Roman" w:cs="Times New Roman"/>
                <w:color w:val="000000"/>
                <w:sz w:val="20"/>
                <w:szCs w:val="20"/>
                <w:vertAlign w:val="superscript"/>
                <w:lang w:eastAsia="en-GB"/>
              </w:rPr>
              <w:t>2</w:t>
            </w:r>
          </w:p>
        </w:tc>
        <w:tc>
          <w:tcPr>
            <w:tcW w:w="1068" w:type="dxa"/>
            <w:tcBorders>
              <w:top w:val="nil"/>
              <w:left w:val="nil"/>
              <w:bottom w:val="nil"/>
              <w:right w:val="nil"/>
            </w:tcBorders>
            <w:shd w:val="clear" w:color="auto" w:fill="auto"/>
            <w:noWrap/>
            <w:vAlign w:val="bottom"/>
            <w:hideMark/>
          </w:tcPr>
          <w:p w14:paraId="6EA4EBF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790 </w:t>
            </w:r>
          </w:p>
        </w:tc>
        <w:tc>
          <w:tcPr>
            <w:tcW w:w="664" w:type="dxa"/>
            <w:tcBorders>
              <w:top w:val="nil"/>
              <w:left w:val="nil"/>
              <w:bottom w:val="nil"/>
              <w:right w:val="nil"/>
            </w:tcBorders>
            <w:shd w:val="clear" w:color="auto" w:fill="auto"/>
            <w:noWrap/>
            <w:vAlign w:val="bottom"/>
            <w:hideMark/>
          </w:tcPr>
          <w:p w14:paraId="47FD2EB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5.5%</w:t>
            </w:r>
          </w:p>
        </w:tc>
        <w:tc>
          <w:tcPr>
            <w:tcW w:w="1068" w:type="dxa"/>
            <w:tcBorders>
              <w:top w:val="nil"/>
              <w:left w:val="nil"/>
              <w:bottom w:val="nil"/>
              <w:right w:val="nil"/>
            </w:tcBorders>
            <w:shd w:val="clear" w:color="auto" w:fill="auto"/>
            <w:noWrap/>
            <w:vAlign w:val="bottom"/>
            <w:hideMark/>
          </w:tcPr>
          <w:p w14:paraId="56F5B6C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3,930 </w:t>
            </w:r>
          </w:p>
        </w:tc>
        <w:tc>
          <w:tcPr>
            <w:tcW w:w="664" w:type="dxa"/>
            <w:tcBorders>
              <w:top w:val="nil"/>
              <w:left w:val="nil"/>
              <w:bottom w:val="nil"/>
              <w:right w:val="nil"/>
            </w:tcBorders>
            <w:shd w:val="clear" w:color="auto" w:fill="auto"/>
            <w:noWrap/>
            <w:vAlign w:val="bottom"/>
            <w:hideMark/>
          </w:tcPr>
          <w:p w14:paraId="2B721F7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6.9%</w:t>
            </w:r>
          </w:p>
        </w:tc>
        <w:tc>
          <w:tcPr>
            <w:tcW w:w="1068" w:type="dxa"/>
            <w:tcBorders>
              <w:top w:val="nil"/>
              <w:left w:val="nil"/>
              <w:bottom w:val="nil"/>
              <w:right w:val="nil"/>
            </w:tcBorders>
            <w:shd w:val="clear" w:color="auto" w:fill="auto"/>
            <w:noWrap/>
            <w:vAlign w:val="bottom"/>
            <w:hideMark/>
          </w:tcPr>
          <w:p w14:paraId="542E58B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6,230 </w:t>
            </w:r>
          </w:p>
        </w:tc>
        <w:tc>
          <w:tcPr>
            <w:tcW w:w="664" w:type="dxa"/>
            <w:tcBorders>
              <w:top w:val="nil"/>
              <w:left w:val="nil"/>
              <w:bottom w:val="nil"/>
              <w:right w:val="nil"/>
            </w:tcBorders>
            <w:shd w:val="clear" w:color="auto" w:fill="auto"/>
            <w:noWrap/>
            <w:vAlign w:val="bottom"/>
            <w:hideMark/>
          </w:tcPr>
          <w:p w14:paraId="110E7D0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7.8%</w:t>
            </w:r>
          </w:p>
        </w:tc>
        <w:tc>
          <w:tcPr>
            <w:tcW w:w="1049" w:type="dxa"/>
            <w:tcBorders>
              <w:top w:val="nil"/>
              <w:left w:val="single" w:sz="4" w:space="0" w:color="auto"/>
              <w:bottom w:val="nil"/>
              <w:right w:val="nil"/>
            </w:tcBorders>
            <w:shd w:val="clear" w:color="auto" w:fill="auto"/>
            <w:noWrap/>
            <w:vAlign w:val="bottom"/>
            <w:hideMark/>
          </w:tcPr>
          <w:p w14:paraId="73DF953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5,990 </w:t>
            </w:r>
          </w:p>
        </w:tc>
        <w:tc>
          <w:tcPr>
            <w:tcW w:w="664" w:type="dxa"/>
            <w:tcBorders>
              <w:top w:val="nil"/>
              <w:left w:val="nil"/>
              <w:bottom w:val="nil"/>
              <w:right w:val="nil"/>
            </w:tcBorders>
            <w:shd w:val="clear" w:color="auto" w:fill="auto"/>
            <w:noWrap/>
            <w:vAlign w:val="bottom"/>
            <w:hideMark/>
          </w:tcPr>
          <w:p w14:paraId="636C3BB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15.6%</w:t>
            </w:r>
          </w:p>
        </w:tc>
        <w:tc>
          <w:tcPr>
            <w:tcW w:w="1198" w:type="dxa"/>
            <w:tcBorders>
              <w:top w:val="nil"/>
              <w:left w:val="nil"/>
              <w:bottom w:val="nil"/>
              <w:right w:val="nil"/>
            </w:tcBorders>
            <w:shd w:val="clear" w:color="auto" w:fill="auto"/>
            <w:noWrap/>
            <w:vAlign w:val="bottom"/>
            <w:hideMark/>
          </w:tcPr>
          <w:p w14:paraId="4A3CBD1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52,455 </w:t>
            </w:r>
          </w:p>
        </w:tc>
        <w:tc>
          <w:tcPr>
            <w:tcW w:w="664" w:type="dxa"/>
            <w:tcBorders>
              <w:top w:val="nil"/>
              <w:left w:val="nil"/>
              <w:bottom w:val="nil"/>
              <w:right w:val="nil"/>
            </w:tcBorders>
            <w:shd w:val="clear" w:color="auto" w:fill="auto"/>
            <w:noWrap/>
            <w:vAlign w:val="bottom"/>
            <w:hideMark/>
          </w:tcPr>
          <w:p w14:paraId="172E153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14.6%</w:t>
            </w:r>
          </w:p>
        </w:tc>
        <w:tc>
          <w:tcPr>
            <w:tcW w:w="1178" w:type="dxa"/>
            <w:tcBorders>
              <w:top w:val="nil"/>
              <w:left w:val="nil"/>
              <w:bottom w:val="nil"/>
              <w:right w:val="nil"/>
            </w:tcBorders>
            <w:shd w:val="clear" w:color="auto" w:fill="auto"/>
            <w:noWrap/>
            <w:vAlign w:val="bottom"/>
            <w:hideMark/>
          </w:tcPr>
          <w:p w14:paraId="5DF1736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121,025 </w:t>
            </w:r>
          </w:p>
        </w:tc>
        <w:tc>
          <w:tcPr>
            <w:tcW w:w="517" w:type="dxa"/>
            <w:tcBorders>
              <w:top w:val="nil"/>
              <w:left w:val="nil"/>
              <w:bottom w:val="nil"/>
              <w:right w:val="single" w:sz="4" w:space="0" w:color="auto"/>
            </w:tcBorders>
            <w:shd w:val="clear" w:color="auto" w:fill="auto"/>
            <w:noWrap/>
            <w:vAlign w:val="bottom"/>
            <w:hideMark/>
          </w:tcPr>
          <w:p w14:paraId="12E49FF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13.9%</w:t>
            </w:r>
          </w:p>
        </w:tc>
      </w:tr>
      <w:tr w:rsidR="00931E93" w:rsidRPr="00986C6D" w14:paraId="0E402F34" w14:textId="77777777" w:rsidTr="00154DE3">
        <w:trPr>
          <w:trHeight w:val="263"/>
        </w:trPr>
        <w:tc>
          <w:tcPr>
            <w:tcW w:w="600" w:type="dxa"/>
            <w:tcBorders>
              <w:top w:val="nil"/>
              <w:left w:val="single" w:sz="4" w:space="0" w:color="auto"/>
              <w:bottom w:val="nil"/>
              <w:right w:val="nil"/>
            </w:tcBorders>
            <w:shd w:val="clear" w:color="auto" w:fill="auto"/>
            <w:noWrap/>
            <w:vAlign w:val="bottom"/>
            <w:hideMark/>
          </w:tcPr>
          <w:p w14:paraId="7D9F009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57E67CF1"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≥40 kg/m</w:t>
            </w:r>
            <w:r w:rsidRPr="00986C6D">
              <w:rPr>
                <w:rFonts w:ascii="Times New Roman" w:eastAsia="Times New Roman" w:hAnsi="Times New Roman" w:cs="Times New Roman"/>
                <w:color w:val="000000"/>
                <w:sz w:val="20"/>
                <w:szCs w:val="20"/>
                <w:vertAlign w:val="superscript"/>
                <w:lang w:eastAsia="en-GB"/>
              </w:rPr>
              <w:t>2</w:t>
            </w:r>
          </w:p>
        </w:tc>
        <w:tc>
          <w:tcPr>
            <w:tcW w:w="1068" w:type="dxa"/>
            <w:tcBorders>
              <w:top w:val="nil"/>
              <w:left w:val="nil"/>
              <w:bottom w:val="nil"/>
              <w:right w:val="nil"/>
            </w:tcBorders>
            <w:shd w:val="clear" w:color="auto" w:fill="auto"/>
            <w:noWrap/>
            <w:vAlign w:val="bottom"/>
            <w:hideMark/>
          </w:tcPr>
          <w:p w14:paraId="40540C8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475 </w:t>
            </w:r>
          </w:p>
        </w:tc>
        <w:tc>
          <w:tcPr>
            <w:tcW w:w="664" w:type="dxa"/>
            <w:tcBorders>
              <w:top w:val="nil"/>
              <w:left w:val="nil"/>
              <w:bottom w:val="nil"/>
              <w:right w:val="nil"/>
            </w:tcBorders>
            <w:shd w:val="clear" w:color="auto" w:fill="auto"/>
            <w:noWrap/>
            <w:vAlign w:val="bottom"/>
            <w:hideMark/>
          </w:tcPr>
          <w:p w14:paraId="7371953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3.3%</w:t>
            </w:r>
          </w:p>
        </w:tc>
        <w:tc>
          <w:tcPr>
            <w:tcW w:w="1068" w:type="dxa"/>
            <w:tcBorders>
              <w:top w:val="nil"/>
              <w:left w:val="nil"/>
              <w:bottom w:val="nil"/>
              <w:right w:val="nil"/>
            </w:tcBorders>
            <w:shd w:val="clear" w:color="auto" w:fill="auto"/>
            <w:noWrap/>
            <w:vAlign w:val="bottom"/>
            <w:hideMark/>
          </w:tcPr>
          <w:p w14:paraId="6776810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2,150 </w:t>
            </w:r>
          </w:p>
        </w:tc>
        <w:tc>
          <w:tcPr>
            <w:tcW w:w="664" w:type="dxa"/>
            <w:tcBorders>
              <w:top w:val="nil"/>
              <w:left w:val="nil"/>
              <w:bottom w:val="nil"/>
              <w:right w:val="nil"/>
            </w:tcBorders>
            <w:shd w:val="clear" w:color="auto" w:fill="auto"/>
            <w:noWrap/>
            <w:vAlign w:val="bottom"/>
            <w:hideMark/>
          </w:tcPr>
          <w:p w14:paraId="4841A55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3.8%</w:t>
            </w:r>
          </w:p>
        </w:tc>
        <w:tc>
          <w:tcPr>
            <w:tcW w:w="1068" w:type="dxa"/>
            <w:tcBorders>
              <w:top w:val="nil"/>
              <w:left w:val="nil"/>
              <w:bottom w:val="nil"/>
              <w:right w:val="nil"/>
            </w:tcBorders>
            <w:shd w:val="clear" w:color="auto" w:fill="auto"/>
            <w:noWrap/>
            <w:vAlign w:val="bottom"/>
            <w:hideMark/>
          </w:tcPr>
          <w:p w14:paraId="1971D23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3,075 </w:t>
            </w:r>
          </w:p>
        </w:tc>
        <w:tc>
          <w:tcPr>
            <w:tcW w:w="664" w:type="dxa"/>
            <w:tcBorders>
              <w:top w:val="nil"/>
              <w:left w:val="nil"/>
              <w:bottom w:val="nil"/>
              <w:right w:val="nil"/>
            </w:tcBorders>
            <w:shd w:val="clear" w:color="auto" w:fill="auto"/>
            <w:noWrap/>
            <w:vAlign w:val="bottom"/>
            <w:hideMark/>
          </w:tcPr>
          <w:p w14:paraId="3E9AD50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3.8%</w:t>
            </w:r>
          </w:p>
        </w:tc>
        <w:tc>
          <w:tcPr>
            <w:tcW w:w="1049" w:type="dxa"/>
            <w:tcBorders>
              <w:top w:val="nil"/>
              <w:left w:val="single" w:sz="4" w:space="0" w:color="auto"/>
              <w:bottom w:val="nil"/>
              <w:right w:val="nil"/>
            </w:tcBorders>
            <w:shd w:val="clear" w:color="auto" w:fill="auto"/>
            <w:noWrap/>
            <w:vAlign w:val="bottom"/>
            <w:hideMark/>
          </w:tcPr>
          <w:p w14:paraId="54EC800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4,860 </w:t>
            </w:r>
          </w:p>
        </w:tc>
        <w:tc>
          <w:tcPr>
            <w:tcW w:w="664" w:type="dxa"/>
            <w:tcBorders>
              <w:top w:val="nil"/>
              <w:left w:val="nil"/>
              <w:bottom w:val="nil"/>
              <w:right w:val="nil"/>
            </w:tcBorders>
            <w:shd w:val="clear" w:color="auto" w:fill="auto"/>
            <w:noWrap/>
            <w:vAlign w:val="bottom"/>
            <w:hideMark/>
          </w:tcPr>
          <w:p w14:paraId="0FF9909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12.7%</w:t>
            </w:r>
          </w:p>
        </w:tc>
        <w:tc>
          <w:tcPr>
            <w:tcW w:w="1198" w:type="dxa"/>
            <w:tcBorders>
              <w:top w:val="nil"/>
              <w:left w:val="nil"/>
              <w:bottom w:val="nil"/>
              <w:right w:val="nil"/>
            </w:tcBorders>
            <w:shd w:val="clear" w:color="auto" w:fill="auto"/>
            <w:noWrap/>
            <w:vAlign w:val="bottom"/>
            <w:hideMark/>
          </w:tcPr>
          <w:p w14:paraId="742D0C8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35,360 </w:t>
            </w:r>
          </w:p>
        </w:tc>
        <w:tc>
          <w:tcPr>
            <w:tcW w:w="664" w:type="dxa"/>
            <w:tcBorders>
              <w:top w:val="nil"/>
              <w:left w:val="nil"/>
              <w:bottom w:val="nil"/>
              <w:right w:val="nil"/>
            </w:tcBorders>
            <w:shd w:val="clear" w:color="auto" w:fill="auto"/>
            <w:noWrap/>
            <w:vAlign w:val="bottom"/>
            <w:hideMark/>
          </w:tcPr>
          <w:p w14:paraId="7F478EA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9.9%</w:t>
            </w:r>
          </w:p>
        </w:tc>
        <w:tc>
          <w:tcPr>
            <w:tcW w:w="1178" w:type="dxa"/>
            <w:tcBorders>
              <w:top w:val="nil"/>
              <w:left w:val="nil"/>
              <w:bottom w:val="nil"/>
              <w:right w:val="nil"/>
            </w:tcBorders>
            <w:shd w:val="clear" w:color="auto" w:fill="auto"/>
            <w:noWrap/>
            <w:vAlign w:val="bottom"/>
            <w:hideMark/>
          </w:tcPr>
          <w:p w14:paraId="7738B29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72,870 </w:t>
            </w:r>
          </w:p>
        </w:tc>
        <w:tc>
          <w:tcPr>
            <w:tcW w:w="517" w:type="dxa"/>
            <w:tcBorders>
              <w:top w:val="nil"/>
              <w:left w:val="nil"/>
              <w:bottom w:val="nil"/>
              <w:right w:val="single" w:sz="4" w:space="0" w:color="auto"/>
            </w:tcBorders>
            <w:shd w:val="clear" w:color="auto" w:fill="auto"/>
            <w:noWrap/>
            <w:vAlign w:val="bottom"/>
            <w:hideMark/>
          </w:tcPr>
          <w:p w14:paraId="5528834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8.3%</w:t>
            </w:r>
          </w:p>
        </w:tc>
      </w:tr>
      <w:tr w:rsidR="00931E93" w:rsidRPr="00986C6D" w14:paraId="0674C215" w14:textId="77777777" w:rsidTr="00154DE3">
        <w:trPr>
          <w:trHeight w:val="263"/>
        </w:trPr>
        <w:tc>
          <w:tcPr>
            <w:tcW w:w="600" w:type="dxa"/>
            <w:tcBorders>
              <w:top w:val="nil"/>
              <w:left w:val="single" w:sz="4" w:space="0" w:color="auto"/>
              <w:bottom w:val="nil"/>
              <w:right w:val="nil"/>
            </w:tcBorders>
            <w:shd w:val="clear" w:color="auto" w:fill="auto"/>
            <w:noWrap/>
            <w:vAlign w:val="bottom"/>
            <w:hideMark/>
          </w:tcPr>
          <w:p w14:paraId="4F5FA88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23D0CCD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Mean (SD), kg/m</w:t>
            </w:r>
            <w:r w:rsidRPr="00986C6D">
              <w:rPr>
                <w:rFonts w:ascii="Times New Roman" w:eastAsia="Times New Roman" w:hAnsi="Times New Roman" w:cs="Times New Roman"/>
                <w:color w:val="000000"/>
                <w:sz w:val="20"/>
                <w:szCs w:val="20"/>
                <w:vertAlign w:val="superscript"/>
                <w:lang w:eastAsia="en-GB"/>
              </w:rPr>
              <w:t>2</w:t>
            </w:r>
          </w:p>
        </w:tc>
        <w:tc>
          <w:tcPr>
            <w:tcW w:w="1068" w:type="dxa"/>
            <w:tcBorders>
              <w:top w:val="nil"/>
              <w:left w:val="nil"/>
              <w:bottom w:val="nil"/>
              <w:right w:val="nil"/>
            </w:tcBorders>
            <w:shd w:val="clear" w:color="auto" w:fill="auto"/>
            <w:noWrap/>
            <w:vAlign w:val="bottom"/>
            <w:hideMark/>
          </w:tcPr>
          <w:p w14:paraId="1C4FE5E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26.9 (5.8) </w:t>
            </w:r>
          </w:p>
        </w:tc>
        <w:tc>
          <w:tcPr>
            <w:tcW w:w="664" w:type="dxa"/>
            <w:tcBorders>
              <w:top w:val="nil"/>
              <w:left w:val="nil"/>
              <w:bottom w:val="nil"/>
              <w:right w:val="nil"/>
            </w:tcBorders>
            <w:shd w:val="clear" w:color="auto" w:fill="auto"/>
            <w:noWrap/>
            <w:vAlign w:val="bottom"/>
            <w:hideMark/>
          </w:tcPr>
          <w:p w14:paraId="4033511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0BBAC37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27.8 (5.8) </w:t>
            </w:r>
          </w:p>
        </w:tc>
        <w:tc>
          <w:tcPr>
            <w:tcW w:w="664" w:type="dxa"/>
            <w:tcBorders>
              <w:top w:val="nil"/>
              <w:left w:val="nil"/>
              <w:bottom w:val="nil"/>
              <w:right w:val="nil"/>
            </w:tcBorders>
            <w:shd w:val="clear" w:color="auto" w:fill="auto"/>
            <w:noWrap/>
            <w:vAlign w:val="bottom"/>
            <w:hideMark/>
          </w:tcPr>
          <w:p w14:paraId="16E9531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10268A2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28.2 (5.7) </w:t>
            </w:r>
          </w:p>
        </w:tc>
        <w:tc>
          <w:tcPr>
            <w:tcW w:w="664" w:type="dxa"/>
            <w:tcBorders>
              <w:top w:val="nil"/>
              <w:left w:val="nil"/>
              <w:bottom w:val="nil"/>
              <w:right w:val="single" w:sz="4" w:space="0" w:color="auto"/>
            </w:tcBorders>
            <w:shd w:val="clear" w:color="auto" w:fill="auto"/>
            <w:noWrap/>
            <w:vAlign w:val="bottom"/>
            <w:hideMark/>
          </w:tcPr>
          <w:p w14:paraId="318ED55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4F9BE01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31.8 (7.3) </w:t>
            </w:r>
          </w:p>
        </w:tc>
        <w:tc>
          <w:tcPr>
            <w:tcW w:w="664" w:type="dxa"/>
            <w:tcBorders>
              <w:top w:val="nil"/>
              <w:left w:val="nil"/>
              <w:bottom w:val="nil"/>
              <w:right w:val="nil"/>
            </w:tcBorders>
            <w:shd w:val="clear" w:color="auto" w:fill="auto"/>
            <w:noWrap/>
            <w:vAlign w:val="bottom"/>
            <w:hideMark/>
          </w:tcPr>
          <w:p w14:paraId="29EFEE7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749C934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31.2 (6.6) </w:t>
            </w:r>
          </w:p>
        </w:tc>
        <w:tc>
          <w:tcPr>
            <w:tcW w:w="664" w:type="dxa"/>
            <w:tcBorders>
              <w:top w:val="nil"/>
              <w:left w:val="nil"/>
              <w:bottom w:val="nil"/>
              <w:right w:val="nil"/>
            </w:tcBorders>
            <w:shd w:val="clear" w:color="auto" w:fill="auto"/>
            <w:noWrap/>
            <w:vAlign w:val="bottom"/>
            <w:hideMark/>
          </w:tcPr>
          <w:p w14:paraId="35CB56F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78" w:type="dxa"/>
            <w:tcBorders>
              <w:top w:val="nil"/>
              <w:left w:val="nil"/>
              <w:bottom w:val="nil"/>
              <w:right w:val="nil"/>
            </w:tcBorders>
            <w:shd w:val="clear" w:color="auto" w:fill="auto"/>
            <w:noWrap/>
            <w:vAlign w:val="bottom"/>
            <w:hideMark/>
          </w:tcPr>
          <w:p w14:paraId="54D4673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30.9 (6.2) </w:t>
            </w:r>
          </w:p>
        </w:tc>
        <w:tc>
          <w:tcPr>
            <w:tcW w:w="517" w:type="dxa"/>
            <w:tcBorders>
              <w:top w:val="nil"/>
              <w:left w:val="nil"/>
              <w:bottom w:val="nil"/>
              <w:right w:val="single" w:sz="4" w:space="0" w:color="auto"/>
            </w:tcBorders>
            <w:shd w:val="clear" w:color="auto" w:fill="auto"/>
            <w:noWrap/>
            <w:vAlign w:val="bottom"/>
            <w:hideMark/>
          </w:tcPr>
          <w:p w14:paraId="7389BF1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67F22FCB"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4846425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4A6B217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Missing</w:t>
            </w:r>
          </w:p>
        </w:tc>
        <w:tc>
          <w:tcPr>
            <w:tcW w:w="1068" w:type="dxa"/>
            <w:tcBorders>
              <w:top w:val="nil"/>
              <w:left w:val="nil"/>
              <w:bottom w:val="nil"/>
              <w:right w:val="nil"/>
            </w:tcBorders>
            <w:shd w:val="clear" w:color="auto" w:fill="auto"/>
            <w:noWrap/>
            <w:vAlign w:val="bottom"/>
            <w:hideMark/>
          </w:tcPr>
          <w:p w14:paraId="0AEF149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22,840 </w:t>
            </w:r>
          </w:p>
        </w:tc>
        <w:tc>
          <w:tcPr>
            <w:tcW w:w="664" w:type="dxa"/>
            <w:tcBorders>
              <w:top w:val="nil"/>
              <w:left w:val="nil"/>
              <w:bottom w:val="nil"/>
              <w:right w:val="nil"/>
            </w:tcBorders>
            <w:shd w:val="clear" w:color="auto" w:fill="auto"/>
            <w:noWrap/>
            <w:vAlign w:val="bottom"/>
            <w:hideMark/>
          </w:tcPr>
          <w:p w14:paraId="10F4C5B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1951921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4,125 </w:t>
            </w:r>
          </w:p>
        </w:tc>
        <w:tc>
          <w:tcPr>
            <w:tcW w:w="664" w:type="dxa"/>
            <w:tcBorders>
              <w:top w:val="nil"/>
              <w:left w:val="nil"/>
              <w:bottom w:val="nil"/>
              <w:right w:val="nil"/>
            </w:tcBorders>
            <w:shd w:val="clear" w:color="auto" w:fill="auto"/>
            <w:noWrap/>
            <w:vAlign w:val="bottom"/>
            <w:hideMark/>
          </w:tcPr>
          <w:p w14:paraId="695E2DF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5D15F34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453 </w:t>
            </w:r>
          </w:p>
        </w:tc>
        <w:tc>
          <w:tcPr>
            <w:tcW w:w="664" w:type="dxa"/>
            <w:tcBorders>
              <w:top w:val="nil"/>
              <w:left w:val="nil"/>
              <w:bottom w:val="nil"/>
              <w:right w:val="single" w:sz="4" w:space="0" w:color="auto"/>
            </w:tcBorders>
            <w:shd w:val="clear" w:color="auto" w:fill="auto"/>
            <w:noWrap/>
            <w:vAlign w:val="bottom"/>
            <w:hideMark/>
          </w:tcPr>
          <w:p w14:paraId="2E2304D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107DBDB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93,825 </w:t>
            </w:r>
          </w:p>
        </w:tc>
        <w:tc>
          <w:tcPr>
            <w:tcW w:w="664" w:type="dxa"/>
            <w:tcBorders>
              <w:top w:val="nil"/>
              <w:left w:val="nil"/>
              <w:bottom w:val="nil"/>
              <w:right w:val="nil"/>
            </w:tcBorders>
            <w:shd w:val="clear" w:color="auto" w:fill="auto"/>
            <w:noWrap/>
            <w:vAlign w:val="bottom"/>
            <w:hideMark/>
          </w:tcPr>
          <w:p w14:paraId="42E3065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1A78208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28,515 </w:t>
            </w:r>
          </w:p>
        </w:tc>
        <w:tc>
          <w:tcPr>
            <w:tcW w:w="664" w:type="dxa"/>
            <w:tcBorders>
              <w:top w:val="nil"/>
              <w:left w:val="nil"/>
              <w:bottom w:val="nil"/>
              <w:right w:val="nil"/>
            </w:tcBorders>
            <w:shd w:val="clear" w:color="auto" w:fill="auto"/>
            <w:noWrap/>
            <w:vAlign w:val="bottom"/>
            <w:hideMark/>
          </w:tcPr>
          <w:p w14:paraId="0D85003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78" w:type="dxa"/>
            <w:tcBorders>
              <w:top w:val="nil"/>
              <w:left w:val="nil"/>
              <w:bottom w:val="nil"/>
              <w:right w:val="nil"/>
            </w:tcBorders>
            <w:shd w:val="clear" w:color="auto" w:fill="auto"/>
            <w:noWrap/>
            <w:vAlign w:val="bottom"/>
            <w:hideMark/>
          </w:tcPr>
          <w:p w14:paraId="4264F1C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5,530 </w:t>
            </w:r>
          </w:p>
        </w:tc>
        <w:tc>
          <w:tcPr>
            <w:tcW w:w="517" w:type="dxa"/>
            <w:tcBorders>
              <w:top w:val="nil"/>
              <w:left w:val="nil"/>
              <w:bottom w:val="nil"/>
              <w:right w:val="single" w:sz="4" w:space="0" w:color="auto"/>
            </w:tcBorders>
            <w:shd w:val="clear" w:color="auto" w:fill="auto"/>
            <w:noWrap/>
            <w:vAlign w:val="bottom"/>
            <w:hideMark/>
          </w:tcPr>
          <w:p w14:paraId="359D207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72050AF0" w14:textId="77777777" w:rsidTr="00154DE3">
        <w:trPr>
          <w:trHeight w:val="233"/>
        </w:trPr>
        <w:tc>
          <w:tcPr>
            <w:tcW w:w="2520" w:type="dxa"/>
            <w:gridSpan w:val="2"/>
            <w:tcBorders>
              <w:top w:val="nil"/>
              <w:left w:val="single" w:sz="4" w:space="0" w:color="auto"/>
              <w:bottom w:val="nil"/>
              <w:right w:val="single" w:sz="4" w:space="0" w:color="000000"/>
            </w:tcBorders>
            <w:shd w:val="clear" w:color="auto" w:fill="auto"/>
            <w:noWrap/>
            <w:vAlign w:val="bottom"/>
            <w:hideMark/>
          </w:tcPr>
          <w:p w14:paraId="5120670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Systolic blood pressure</w:t>
            </w:r>
          </w:p>
        </w:tc>
        <w:tc>
          <w:tcPr>
            <w:tcW w:w="1068" w:type="dxa"/>
            <w:tcBorders>
              <w:top w:val="nil"/>
              <w:left w:val="nil"/>
              <w:bottom w:val="nil"/>
              <w:right w:val="nil"/>
            </w:tcBorders>
            <w:shd w:val="clear" w:color="auto" w:fill="auto"/>
            <w:noWrap/>
            <w:vAlign w:val="bottom"/>
            <w:hideMark/>
          </w:tcPr>
          <w:p w14:paraId="631E0B3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664" w:type="dxa"/>
            <w:tcBorders>
              <w:top w:val="nil"/>
              <w:left w:val="nil"/>
              <w:bottom w:val="nil"/>
              <w:right w:val="nil"/>
            </w:tcBorders>
            <w:shd w:val="clear" w:color="auto" w:fill="auto"/>
            <w:noWrap/>
            <w:vAlign w:val="bottom"/>
            <w:hideMark/>
          </w:tcPr>
          <w:p w14:paraId="12A0AD8C"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392E9DAA"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4C635960"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1A6890D1"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38886CB4"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64BF19D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664" w:type="dxa"/>
            <w:tcBorders>
              <w:top w:val="nil"/>
              <w:left w:val="nil"/>
              <w:bottom w:val="nil"/>
              <w:right w:val="nil"/>
            </w:tcBorders>
            <w:shd w:val="clear" w:color="auto" w:fill="auto"/>
            <w:noWrap/>
            <w:vAlign w:val="bottom"/>
            <w:hideMark/>
          </w:tcPr>
          <w:p w14:paraId="125049B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2D29CDAC"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37C41C8C"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178" w:type="dxa"/>
            <w:tcBorders>
              <w:top w:val="nil"/>
              <w:left w:val="nil"/>
              <w:bottom w:val="nil"/>
              <w:right w:val="nil"/>
            </w:tcBorders>
            <w:shd w:val="clear" w:color="auto" w:fill="auto"/>
            <w:noWrap/>
            <w:vAlign w:val="bottom"/>
            <w:hideMark/>
          </w:tcPr>
          <w:p w14:paraId="7987F143"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517" w:type="dxa"/>
            <w:tcBorders>
              <w:top w:val="nil"/>
              <w:left w:val="nil"/>
              <w:bottom w:val="nil"/>
              <w:right w:val="single" w:sz="4" w:space="0" w:color="auto"/>
            </w:tcBorders>
            <w:shd w:val="clear" w:color="auto" w:fill="auto"/>
            <w:noWrap/>
            <w:vAlign w:val="bottom"/>
            <w:hideMark/>
          </w:tcPr>
          <w:p w14:paraId="6F3F7F5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6427D070"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46818D67"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731A77C4"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&lt;120 mmHg</w:t>
            </w:r>
          </w:p>
        </w:tc>
        <w:tc>
          <w:tcPr>
            <w:tcW w:w="1068" w:type="dxa"/>
            <w:tcBorders>
              <w:top w:val="nil"/>
              <w:left w:val="nil"/>
              <w:bottom w:val="nil"/>
              <w:right w:val="nil"/>
            </w:tcBorders>
            <w:shd w:val="clear" w:color="auto" w:fill="auto"/>
            <w:noWrap/>
            <w:vAlign w:val="bottom"/>
            <w:hideMark/>
          </w:tcPr>
          <w:p w14:paraId="597181C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5,290 </w:t>
            </w:r>
          </w:p>
        </w:tc>
        <w:tc>
          <w:tcPr>
            <w:tcW w:w="664" w:type="dxa"/>
            <w:tcBorders>
              <w:top w:val="nil"/>
              <w:left w:val="nil"/>
              <w:bottom w:val="nil"/>
              <w:right w:val="nil"/>
            </w:tcBorders>
            <w:shd w:val="clear" w:color="auto" w:fill="auto"/>
            <w:noWrap/>
            <w:vAlign w:val="bottom"/>
            <w:hideMark/>
          </w:tcPr>
          <w:p w14:paraId="728BA42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25.7%</w:t>
            </w:r>
          </w:p>
        </w:tc>
        <w:tc>
          <w:tcPr>
            <w:tcW w:w="1068" w:type="dxa"/>
            <w:tcBorders>
              <w:top w:val="nil"/>
              <w:left w:val="nil"/>
              <w:bottom w:val="nil"/>
              <w:right w:val="nil"/>
            </w:tcBorders>
            <w:shd w:val="clear" w:color="auto" w:fill="auto"/>
            <w:noWrap/>
            <w:vAlign w:val="bottom"/>
            <w:hideMark/>
          </w:tcPr>
          <w:p w14:paraId="72253A3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13,550 </w:t>
            </w:r>
          </w:p>
        </w:tc>
        <w:tc>
          <w:tcPr>
            <w:tcW w:w="664" w:type="dxa"/>
            <w:tcBorders>
              <w:top w:val="nil"/>
              <w:left w:val="nil"/>
              <w:bottom w:val="nil"/>
              <w:right w:val="nil"/>
            </w:tcBorders>
            <w:shd w:val="clear" w:color="auto" w:fill="auto"/>
            <w:noWrap/>
            <w:vAlign w:val="bottom"/>
            <w:hideMark/>
          </w:tcPr>
          <w:p w14:paraId="193840D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22.4%</w:t>
            </w:r>
          </w:p>
        </w:tc>
        <w:tc>
          <w:tcPr>
            <w:tcW w:w="1068" w:type="dxa"/>
            <w:tcBorders>
              <w:top w:val="nil"/>
              <w:left w:val="nil"/>
              <w:bottom w:val="nil"/>
              <w:right w:val="nil"/>
            </w:tcBorders>
            <w:shd w:val="clear" w:color="auto" w:fill="auto"/>
            <w:noWrap/>
            <w:vAlign w:val="bottom"/>
            <w:hideMark/>
          </w:tcPr>
          <w:p w14:paraId="1E1CCD6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16,170 </w:t>
            </w:r>
          </w:p>
        </w:tc>
        <w:tc>
          <w:tcPr>
            <w:tcW w:w="664" w:type="dxa"/>
            <w:tcBorders>
              <w:top w:val="nil"/>
              <w:left w:val="nil"/>
              <w:bottom w:val="nil"/>
              <w:right w:val="nil"/>
            </w:tcBorders>
            <w:shd w:val="clear" w:color="auto" w:fill="auto"/>
            <w:noWrap/>
            <w:vAlign w:val="bottom"/>
            <w:hideMark/>
          </w:tcPr>
          <w:p w14:paraId="5201AD7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20.1%</w:t>
            </w:r>
          </w:p>
        </w:tc>
        <w:tc>
          <w:tcPr>
            <w:tcW w:w="1049" w:type="dxa"/>
            <w:tcBorders>
              <w:top w:val="nil"/>
              <w:left w:val="single" w:sz="4" w:space="0" w:color="auto"/>
              <w:bottom w:val="nil"/>
              <w:right w:val="nil"/>
            </w:tcBorders>
            <w:shd w:val="clear" w:color="auto" w:fill="auto"/>
            <w:noWrap/>
            <w:vAlign w:val="bottom"/>
            <w:hideMark/>
          </w:tcPr>
          <w:p w14:paraId="256839B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8,435 </w:t>
            </w:r>
          </w:p>
        </w:tc>
        <w:tc>
          <w:tcPr>
            <w:tcW w:w="664" w:type="dxa"/>
            <w:tcBorders>
              <w:top w:val="nil"/>
              <w:left w:val="nil"/>
              <w:bottom w:val="nil"/>
              <w:right w:val="nil"/>
            </w:tcBorders>
            <w:shd w:val="clear" w:color="auto" w:fill="auto"/>
            <w:noWrap/>
            <w:vAlign w:val="bottom"/>
            <w:hideMark/>
          </w:tcPr>
          <w:p w14:paraId="2A7A337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11.9%</w:t>
            </w:r>
          </w:p>
        </w:tc>
        <w:tc>
          <w:tcPr>
            <w:tcW w:w="1198" w:type="dxa"/>
            <w:tcBorders>
              <w:top w:val="nil"/>
              <w:left w:val="nil"/>
              <w:bottom w:val="nil"/>
              <w:right w:val="nil"/>
            </w:tcBorders>
            <w:shd w:val="clear" w:color="auto" w:fill="auto"/>
            <w:noWrap/>
            <w:vAlign w:val="bottom"/>
            <w:hideMark/>
          </w:tcPr>
          <w:p w14:paraId="2D16036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45,110 </w:t>
            </w:r>
          </w:p>
        </w:tc>
        <w:tc>
          <w:tcPr>
            <w:tcW w:w="664" w:type="dxa"/>
            <w:tcBorders>
              <w:top w:val="nil"/>
              <w:left w:val="nil"/>
              <w:bottom w:val="nil"/>
              <w:right w:val="nil"/>
            </w:tcBorders>
            <w:shd w:val="clear" w:color="auto" w:fill="auto"/>
            <w:noWrap/>
            <w:vAlign w:val="bottom"/>
            <w:hideMark/>
          </w:tcPr>
          <w:p w14:paraId="408C3FD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11.8%</w:t>
            </w:r>
          </w:p>
        </w:tc>
        <w:tc>
          <w:tcPr>
            <w:tcW w:w="1178" w:type="dxa"/>
            <w:tcBorders>
              <w:top w:val="nil"/>
              <w:left w:val="nil"/>
              <w:bottom w:val="nil"/>
              <w:right w:val="nil"/>
            </w:tcBorders>
            <w:shd w:val="clear" w:color="auto" w:fill="auto"/>
            <w:noWrap/>
            <w:vAlign w:val="bottom"/>
            <w:hideMark/>
          </w:tcPr>
          <w:p w14:paraId="5F7AA76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101,330 </w:t>
            </w:r>
          </w:p>
        </w:tc>
        <w:tc>
          <w:tcPr>
            <w:tcW w:w="517" w:type="dxa"/>
            <w:tcBorders>
              <w:top w:val="nil"/>
              <w:left w:val="nil"/>
              <w:bottom w:val="nil"/>
              <w:right w:val="single" w:sz="4" w:space="0" w:color="auto"/>
            </w:tcBorders>
            <w:shd w:val="clear" w:color="auto" w:fill="auto"/>
            <w:noWrap/>
            <w:vAlign w:val="bottom"/>
            <w:hideMark/>
          </w:tcPr>
          <w:p w14:paraId="7F75C58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11.5%</w:t>
            </w:r>
          </w:p>
        </w:tc>
      </w:tr>
      <w:tr w:rsidR="00931E93" w:rsidRPr="00986C6D" w14:paraId="1547FDEF"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66745764"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18497717"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120-129 mmHg</w:t>
            </w:r>
          </w:p>
        </w:tc>
        <w:tc>
          <w:tcPr>
            <w:tcW w:w="1068" w:type="dxa"/>
            <w:tcBorders>
              <w:top w:val="nil"/>
              <w:left w:val="nil"/>
              <w:bottom w:val="nil"/>
              <w:right w:val="nil"/>
            </w:tcBorders>
            <w:shd w:val="clear" w:color="auto" w:fill="auto"/>
            <w:noWrap/>
            <w:vAlign w:val="bottom"/>
            <w:hideMark/>
          </w:tcPr>
          <w:p w14:paraId="556A661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5,025 </w:t>
            </w:r>
          </w:p>
        </w:tc>
        <w:tc>
          <w:tcPr>
            <w:tcW w:w="664" w:type="dxa"/>
            <w:tcBorders>
              <w:top w:val="nil"/>
              <w:left w:val="nil"/>
              <w:bottom w:val="nil"/>
              <w:right w:val="nil"/>
            </w:tcBorders>
            <w:shd w:val="clear" w:color="auto" w:fill="auto"/>
            <w:noWrap/>
            <w:vAlign w:val="bottom"/>
            <w:hideMark/>
          </w:tcPr>
          <w:p w14:paraId="6DDAD3F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24.4%</w:t>
            </w:r>
          </w:p>
        </w:tc>
        <w:tc>
          <w:tcPr>
            <w:tcW w:w="1068" w:type="dxa"/>
            <w:tcBorders>
              <w:top w:val="nil"/>
              <w:left w:val="nil"/>
              <w:bottom w:val="nil"/>
              <w:right w:val="nil"/>
            </w:tcBorders>
            <w:shd w:val="clear" w:color="auto" w:fill="auto"/>
            <w:noWrap/>
            <w:vAlign w:val="bottom"/>
            <w:hideMark/>
          </w:tcPr>
          <w:p w14:paraId="7F03C97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14,915 </w:t>
            </w:r>
          </w:p>
        </w:tc>
        <w:tc>
          <w:tcPr>
            <w:tcW w:w="664" w:type="dxa"/>
            <w:tcBorders>
              <w:top w:val="nil"/>
              <w:left w:val="nil"/>
              <w:bottom w:val="nil"/>
              <w:right w:val="nil"/>
            </w:tcBorders>
            <w:shd w:val="clear" w:color="auto" w:fill="auto"/>
            <w:noWrap/>
            <w:vAlign w:val="bottom"/>
            <w:hideMark/>
          </w:tcPr>
          <w:p w14:paraId="4F54760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24.7%</w:t>
            </w:r>
          </w:p>
        </w:tc>
        <w:tc>
          <w:tcPr>
            <w:tcW w:w="1068" w:type="dxa"/>
            <w:tcBorders>
              <w:top w:val="nil"/>
              <w:left w:val="nil"/>
              <w:bottom w:val="nil"/>
              <w:right w:val="nil"/>
            </w:tcBorders>
            <w:shd w:val="clear" w:color="auto" w:fill="auto"/>
            <w:noWrap/>
            <w:vAlign w:val="bottom"/>
            <w:hideMark/>
          </w:tcPr>
          <w:p w14:paraId="7640D35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19,560 </w:t>
            </w:r>
          </w:p>
        </w:tc>
        <w:tc>
          <w:tcPr>
            <w:tcW w:w="664" w:type="dxa"/>
            <w:tcBorders>
              <w:top w:val="nil"/>
              <w:left w:val="nil"/>
              <w:bottom w:val="nil"/>
              <w:right w:val="nil"/>
            </w:tcBorders>
            <w:shd w:val="clear" w:color="auto" w:fill="auto"/>
            <w:noWrap/>
            <w:vAlign w:val="bottom"/>
            <w:hideMark/>
          </w:tcPr>
          <w:p w14:paraId="2FF99B6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24.3%</w:t>
            </w:r>
          </w:p>
        </w:tc>
        <w:tc>
          <w:tcPr>
            <w:tcW w:w="1049" w:type="dxa"/>
            <w:tcBorders>
              <w:top w:val="nil"/>
              <w:left w:val="single" w:sz="4" w:space="0" w:color="auto"/>
              <w:bottom w:val="nil"/>
              <w:right w:val="nil"/>
            </w:tcBorders>
            <w:shd w:val="clear" w:color="auto" w:fill="auto"/>
            <w:noWrap/>
            <w:vAlign w:val="bottom"/>
            <w:hideMark/>
          </w:tcPr>
          <w:p w14:paraId="15CBD21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13,010 </w:t>
            </w:r>
          </w:p>
        </w:tc>
        <w:tc>
          <w:tcPr>
            <w:tcW w:w="664" w:type="dxa"/>
            <w:tcBorders>
              <w:top w:val="nil"/>
              <w:left w:val="nil"/>
              <w:bottom w:val="nil"/>
              <w:right w:val="nil"/>
            </w:tcBorders>
            <w:shd w:val="clear" w:color="auto" w:fill="auto"/>
            <w:noWrap/>
            <w:vAlign w:val="bottom"/>
            <w:hideMark/>
          </w:tcPr>
          <w:p w14:paraId="474809C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18.3%</w:t>
            </w:r>
          </w:p>
        </w:tc>
        <w:tc>
          <w:tcPr>
            <w:tcW w:w="1198" w:type="dxa"/>
            <w:tcBorders>
              <w:top w:val="nil"/>
              <w:left w:val="nil"/>
              <w:bottom w:val="nil"/>
              <w:right w:val="nil"/>
            </w:tcBorders>
            <w:shd w:val="clear" w:color="auto" w:fill="auto"/>
            <w:noWrap/>
            <w:vAlign w:val="bottom"/>
            <w:hideMark/>
          </w:tcPr>
          <w:p w14:paraId="31AD264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77,300 </w:t>
            </w:r>
          </w:p>
        </w:tc>
        <w:tc>
          <w:tcPr>
            <w:tcW w:w="664" w:type="dxa"/>
            <w:tcBorders>
              <w:top w:val="nil"/>
              <w:left w:val="nil"/>
              <w:bottom w:val="nil"/>
              <w:right w:val="nil"/>
            </w:tcBorders>
            <w:shd w:val="clear" w:color="auto" w:fill="auto"/>
            <w:noWrap/>
            <w:vAlign w:val="bottom"/>
            <w:hideMark/>
          </w:tcPr>
          <w:p w14:paraId="5AA2A16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20.2%</w:t>
            </w:r>
          </w:p>
        </w:tc>
        <w:tc>
          <w:tcPr>
            <w:tcW w:w="1178" w:type="dxa"/>
            <w:tcBorders>
              <w:top w:val="nil"/>
              <w:left w:val="nil"/>
              <w:bottom w:val="nil"/>
              <w:right w:val="nil"/>
            </w:tcBorders>
            <w:shd w:val="clear" w:color="auto" w:fill="auto"/>
            <w:noWrap/>
            <w:vAlign w:val="bottom"/>
            <w:hideMark/>
          </w:tcPr>
          <w:p w14:paraId="2C17A37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180,965 </w:t>
            </w:r>
          </w:p>
        </w:tc>
        <w:tc>
          <w:tcPr>
            <w:tcW w:w="517" w:type="dxa"/>
            <w:tcBorders>
              <w:top w:val="nil"/>
              <w:left w:val="nil"/>
              <w:bottom w:val="nil"/>
              <w:right w:val="single" w:sz="4" w:space="0" w:color="auto"/>
            </w:tcBorders>
            <w:shd w:val="clear" w:color="auto" w:fill="auto"/>
            <w:noWrap/>
            <w:vAlign w:val="bottom"/>
            <w:hideMark/>
          </w:tcPr>
          <w:p w14:paraId="21E625E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20.6%</w:t>
            </w:r>
          </w:p>
        </w:tc>
      </w:tr>
      <w:tr w:rsidR="00931E93" w:rsidRPr="00986C6D" w14:paraId="17EE77D3"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05E5817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50A431DB"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130-139 mmHg</w:t>
            </w:r>
          </w:p>
        </w:tc>
        <w:tc>
          <w:tcPr>
            <w:tcW w:w="1068" w:type="dxa"/>
            <w:tcBorders>
              <w:top w:val="nil"/>
              <w:left w:val="nil"/>
              <w:bottom w:val="nil"/>
              <w:right w:val="nil"/>
            </w:tcBorders>
            <w:shd w:val="clear" w:color="auto" w:fill="auto"/>
            <w:noWrap/>
            <w:vAlign w:val="bottom"/>
            <w:hideMark/>
          </w:tcPr>
          <w:p w14:paraId="46197BE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4,905 </w:t>
            </w:r>
          </w:p>
        </w:tc>
        <w:tc>
          <w:tcPr>
            <w:tcW w:w="664" w:type="dxa"/>
            <w:tcBorders>
              <w:top w:val="nil"/>
              <w:left w:val="nil"/>
              <w:bottom w:val="nil"/>
              <w:right w:val="nil"/>
            </w:tcBorders>
            <w:shd w:val="clear" w:color="auto" w:fill="auto"/>
            <w:noWrap/>
            <w:vAlign w:val="bottom"/>
            <w:hideMark/>
          </w:tcPr>
          <w:p w14:paraId="5AB3CCA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23.8%</w:t>
            </w:r>
          </w:p>
        </w:tc>
        <w:tc>
          <w:tcPr>
            <w:tcW w:w="1068" w:type="dxa"/>
            <w:tcBorders>
              <w:top w:val="nil"/>
              <w:left w:val="nil"/>
              <w:bottom w:val="nil"/>
              <w:right w:val="nil"/>
            </w:tcBorders>
            <w:shd w:val="clear" w:color="auto" w:fill="auto"/>
            <w:noWrap/>
            <w:vAlign w:val="bottom"/>
            <w:hideMark/>
          </w:tcPr>
          <w:p w14:paraId="3EBED3D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15,695 </w:t>
            </w:r>
          </w:p>
        </w:tc>
        <w:tc>
          <w:tcPr>
            <w:tcW w:w="664" w:type="dxa"/>
            <w:tcBorders>
              <w:top w:val="nil"/>
              <w:left w:val="nil"/>
              <w:bottom w:val="nil"/>
              <w:right w:val="nil"/>
            </w:tcBorders>
            <w:shd w:val="clear" w:color="auto" w:fill="auto"/>
            <w:noWrap/>
            <w:vAlign w:val="bottom"/>
            <w:hideMark/>
          </w:tcPr>
          <w:p w14:paraId="39D0FF2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26.0%</w:t>
            </w:r>
          </w:p>
        </w:tc>
        <w:tc>
          <w:tcPr>
            <w:tcW w:w="1068" w:type="dxa"/>
            <w:tcBorders>
              <w:top w:val="nil"/>
              <w:left w:val="nil"/>
              <w:bottom w:val="nil"/>
              <w:right w:val="nil"/>
            </w:tcBorders>
            <w:shd w:val="clear" w:color="auto" w:fill="auto"/>
            <w:noWrap/>
            <w:vAlign w:val="bottom"/>
            <w:hideMark/>
          </w:tcPr>
          <w:p w14:paraId="21D82E5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22,270 </w:t>
            </w:r>
          </w:p>
        </w:tc>
        <w:tc>
          <w:tcPr>
            <w:tcW w:w="664" w:type="dxa"/>
            <w:tcBorders>
              <w:top w:val="nil"/>
              <w:left w:val="nil"/>
              <w:bottom w:val="nil"/>
              <w:right w:val="nil"/>
            </w:tcBorders>
            <w:shd w:val="clear" w:color="auto" w:fill="auto"/>
            <w:noWrap/>
            <w:vAlign w:val="bottom"/>
            <w:hideMark/>
          </w:tcPr>
          <w:p w14:paraId="7D759C0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27.7%</w:t>
            </w:r>
          </w:p>
        </w:tc>
        <w:tc>
          <w:tcPr>
            <w:tcW w:w="1049" w:type="dxa"/>
            <w:tcBorders>
              <w:top w:val="nil"/>
              <w:left w:val="single" w:sz="4" w:space="0" w:color="auto"/>
              <w:bottom w:val="nil"/>
              <w:right w:val="nil"/>
            </w:tcBorders>
            <w:shd w:val="clear" w:color="auto" w:fill="auto"/>
            <w:noWrap/>
            <w:vAlign w:val="bottom"/>
            <w:hideMark/>
          </w:tcPr>
          <w:p w14:paraId="23EFF17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18,590 </w:t>
            </w:r>
          </w:p>
        </w:tc>
        <w:tc>
          <w:tcPr>
            <w:tcW w:w="664" w:type="dxa"/>
            <w:tcBorders>
              <w:top w:val="nil"/>
              <w:left w:val="nil"/>
              <w:bottom w:val="nil"/>
              <w:right w:val="nil"/>
            </w:tcBorders>
            <w:shd w:val="clear" w:color="auto" w:fill="auto"/>
            <w:noWrap/>
            <w:vAlign w:val="bottom"/>
            <w:hideMark/>
          </w:tcPr>
          <w:p w14:paraId="470F472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26.2%</w:t>
            </w:r>
          </w:p>
        </w:tc>
        <w:tc>
          <w:tcPr>
            <w:tcW w:w="1198" w:type="dxa"/>
            <w:tcBorders>
              <w:top w:val="nil"/>
              <w:left w:val="nil"/>
              <w:bottom w:val="nil"/>
              <w:right w:val="nil"/>
            </w:tcBorders>
            <w:shd w:val="clear" w:color="auto" w:fill="auto"/>
            <w:noWrap/>
            <w:vAlign w:val="bottom"/>
            <w:hideMark/>
          </w:tcPr>
          <w:p w14:paraId="3029BD1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115,735 </w:t>
            </w:r>
          </w:p>
        </w:tc>
        <w:tc>
          <w:tcPr>
            <w:tcW w:w="664" w:type="dxa"/>
            <w:tcBorders>
              <w:top w:val="nil"/>
              <w:left w:val="nil"/>
              <w:bottom w:val="nil"/>
              <w:right w:val="nil"/>
            </w:tcBorders>
            <w:shd w:val="clear" w:color="auto" w:fill="auto"/>
            <w:noWrap/>
            <w:vAlign w:val="bottom"/>
            <w:hideMark/>
          </w:tcPr>
          <w:p w14:paraId="4C4738D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30.2%</w:t>
            </w:r>
          </w:p>
        </w:tc>
        <w:tc>
          <w:tcPr>
            <w:tcW w:w="1178" w:type="dxa"/>
            <w:tcBorders>
              <w:top w:val="nil"/>
              <w:left w:val="nil"/>
              <w:bottom w:val="nil"/>
              <w:right w:val="nil"/>
            </w:tcBorders>
            <w:shd w:val="clear" w:color="auto" w:fill="auto"/>
            <w:noWrap/>
            <w:vAlign w:val="bottom"/>
            <w:hideMark/>
          </w:tcPr>
          <w:p w14:paraId="635BD5F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278,080 </w:t>
            </w:r>
          </w:p>
        </w:tc>
        <w:tc>
          <w:tcPr>
            <w:tcW w:w="517" w:type="dxa"/>
            <w:tcBorders>
              <w:top w:val="nil"/>
              <w:left w:val="nil"/>
              <w:bottom w:val="nil"/>
              <w:right w:val="single" w:sz="4" w:space="0" w:color="auto"/>
            </w:tcBorders>
            <w:shd w:val="clear" w:color="auto" w:fill="auto"/>
            <w:noWrap/>
            <w:vAlign w:val="bottom"/>
            <w:hideMark/>
          </w:tcPr>
          <w:p w14:paraId="552C1A0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31.7%</w:t>
            </w:r>
          </w:p>
        </w:tc>
      </w:tr>
      <w:tr w:rsidR="00931E93" w:rsidRPr="00986C6D" w14:paraId="459492D6"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32779CD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31C9A181"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≥140 mmHg</w:t>
            </w:r>
          </w:p>
        </w:tc>
        <w:tc>
          <w:tcPr>
            <w:tcW w:w="1068" w:type="dxa"/>
            <w:tcBorders>
              <w:top w:val="nil"/>
              <w:left w:val="nil"/>
              <w:bottom w:val="nil"/>
              <w:right w:val="nil"/>
            </w:tcBorders>
            <w:shd w:val="clear" w:color="auto" w:fill="auto"/>
            <w:noWrap/>
            <w:vAlign w:val="bottom"/>
            <w:hideMark/>
          </w:tcPr>
          <w:p w14:paraId="1F4595D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5,395 </w:t>
            </w:r>
          </w:p>
        </w:tc>
        <w:tc>
          <w:tcPr>
            <w:tcW w:w="664" w:type="dxa"/>
            <w:tcBorders>
              <w:top w:val="nil"/>
              <w:left w:val="nil"/>
              <w:bottom w:val="nil"/>
              <w:right w:val="nil"/>
            </w:tcBorders>
            <w:shd w:val="clear" w:color="auto" w:fill="auto"/>
            <w:noWrap/>
            <w:vAlign w:val="bottom"/>
            <w:hideMark/>
          </w:tcPr>
          <w:p w14:paraId="4B918FD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26.2%</w:t>
            </w:r>
          </w:p>
        </w:tc>
        <w:tc>
          <w:tcPr>
            <w:tcW w:w="1068" w:type="dxa"/>
            <w:tcBorders>
              <w:top w:val="nil"/>
              <w:left w:val="nil"/>
              <w:bottom w:val="nil"/>
              <w:right w:val="nil"/>
            </w:tcBorders>
            <w:shd w:val="clear" w:color="auto" w:fill="auto"/>
            <w:noWrap/>
            <w:vAlign w:val="bottom"/>
            <w:hideMark/>
          </w:tcPr>
          <w:p w14:paraId="2A47792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16,285 </w:t>
            </w:r>
          </w:p>
        </w:tc>
        <w:tc>
          <w:tcPr>
            <w:tcW w:w="664" w:type="dxa"/>
            <w:tcBorders>
              <w:top w:val="nil"/>
              <w:left w:val="nil"/>
              <w:bottom w:val="nil"/>
              <w:right w:val="nil"/>
            </w:tcBorders>
            <w:shd w:val="clear" w:color="auto" w:fill="auto"/>
            <w:noWrap/>
            <w:vAlign w:val="bottom"/>
            <w:hideMark/>
          </w:tcPr>
          <w:p w14:paraId="12FEBAE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26.9%</w:t>
            </w:r>
          </w:p>
        </w:tc>
        <w:tc>
          <w:tcPr>
            <w:tcW w:w="1068" w:type="dxa"/>
            <w:tcBorders>
              <w:top w:val="nil"/>
              <w:left w:val="nil"/>
              <w:bottom w:val="nil"/>
              <w:right w:val="nil"/>
            </w:tcBorders>
            <w:shd w:val="clear" w:color="auto" w:fill="auto"/>
            <w:noWrap/>
            <w:vAlign w:val="bottom"/>
            <w:hideMark/>
          </w:tcPr>
          <w:p w14:paraId="515540E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22,525 </w:t>
            </w:r>
          </w:p>
        </w:tc>
        <w:tc>
          <w:tcPr>
            <w:tcW w:w="664" w:type="dxa"/>
            <w:tcBorders>
              <w:top w:val="nil"/>
              <w:left w:val="nil"/>
              <w:bottom w:val="nil"/>
              <w:right w:val="nil"/>
            </w:tcBorders>
            <w:shd w:val="clear" w:color="auto" w:fill="auto"/>
            <w:noWrap/>
            <w:vAlign w:val="bottom"/>
            <w:hideMark/>
          </w:tcPr>
          <w:p w14:paraId="4EA7C9F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28.0%</w:t>
            </w:r>
          </w:p>
        </w:tc>
        <w:tc>
          <w:tcPr>
            <w:tcW w:w="1049" w:type="dxa"/>
            <w:tcBorders>
              <w:top w:val="nil"/>
              <w:left w:val="single" w:sz="4" w:space="0" w:color="auto"/>
              <w:bottom w:val="nil"/>
              <w:right w:val="nil"/>
            </w:tcBorders>
            <w:shd w:val="clear" w:color="auto" w:fill="auto"/>
            <w:noWrap/>
            <w:vAlign w:val="bottom"/>
            <w:hideMark/>
          </w:tcPr>
          <w:p w14:paraId="15FBDFB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30,945 </w:t>
            </w:r>
          </w:p>
        </w:tc>
        <w:tc>
          <w:tcPr>
            <w:tcW w:w="664" w:type="dxa"/>
            <w:tcBorders>
              <w:top w:val="nil"/>
              <w:left w:val="nil"/>
              <w:bottom w:val="nil"/>
              <w:right w:val="nil"/>
            </w:tcBorders>
            <w:shd w:val="clear" w:color="auto" w:fill="auto"/>
            <w:noWrap/>
            <w:vAlign w:val="bottom"/>
            <w:hideMark/>
          </w:tcPr>
          <w:p w14:paraId="7AC2919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43.6%</w:t>
            </w:r>
          </w:p>
        </w:tc>
        <w:tc>
          <w:tcPr>
            <w:tcW w:w="1198" w:type="dxa"/>
            <w:tcBorders>
              <w:top w:val="nil"/>
              <w:left w:val="nil"/>
              <w:bottom w:val="nil"/>
              <w:right w:val="nil"/>
            </w:tcBorders>
            <w:shd w:val="clear" w:color="auto" w:fill="auto"/>
            <w:noWrap/>
            <w:vAlign w:val="bottom"/>
            <w:hideMark/>
          </w:tcPr>
          <w:p w14:paraId="155983A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145,220 </w:t>
            </w:r>
          </w:p>
        </w:tc>
        <w:tc>
          <w:tcPr>
            <w:tcW w:w="664" w:type="dxa"/>
            <w:tcBorders>
              <w:top w:val="nil"/>
              <w:left w:val="nil"/>
              <w:bottom w:val="nil"/>
              <w:right w:val="nil"/>
            </w:tcBorders>
            <w:shd w:val="clear" w:color="auto" w:fill="auto"/>
            <w:noWrap/>
            <w:vAlign w:val="bottom"/>
            <w:hideMark/>
          </w:tcPr>
          <w:p w14:paraId="261CD0D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37.9%</w:t>
            </w:r>
          </w:p>
        </w:tc>
        <w:tc>
          <w:tcPr>
            <w:tcW w:w="1178" w:type="dxa"/>
            <w:tcBorders>
              <w:top w:val="nil"/>
              <w:left w:val="nil"/>
              <w:bottom w:val="nil"/>
              <w:right w:val="nil"/>
            </w:tcBorders>
            <w:shd w:val="clear" w:color="auto" w:fill="auto"/>
            <w:noWrap/>
            <w:vAlign w:val="bottom"/>
            <w:hideMark/>
          </w:tcPr>
          <w:p w14:paraId="3A83EDB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317,195 </w:t>
            </w:r>
          </w:p>
        </w:tc>
        <w:tc>
          <w:tcPr>
            <w:tcW w:w="517" w:type="dxa"/>
            <w:tcBorders>
              <w:top w:val="nil"/>
              <w:left w:val="nil"/>
              <w:bottom w:val="nil"/>
              <w:right w:val="single" w:sz="4" w:space="0" w:color="auto"/>
            </w:tcBorders>
            <w:shd w:val="clear" w:color="auto" w:fill="auto"/>
            <w:noWrap/>
            <w:vAlign w:val="bottom"/>
            <w:hideMark/>
          </w:tcPr>
          <w:p w14:paraId="7244699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36.1%</w:t>
            </w:r>
          </w:p>
        </w:tc>
      </w:tr>
      <w:tr w:rsidR="00931E93" w:rsidRPr="00986C6D" w14:paraId="5D13906D"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6FD1FDA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65FD98D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Missing</w:t>
            </w:r>
          </w:p>
        </w:tc>
        <w:tc>
          <w:tcPr>
            <w:tcW w:w="1068" w:type="dxa"/>
            <w:tcBorders>
              <w:top w:val="nil"/>
              <w:left w:val="nil"/>
              <w:bottom w:val="nil"/>
              <w:right w:val="nil"/>
            </w:tcBorders>
            <w:shd w:val="clear" w:color="auto" w:fill="auto"/>
            <w:noWrap/>
            <w:vAlign w:val="bottom"/>
            <w:hideMark/>
          </w:tcPr>
          <w:p w14:paraId="4CDD0C3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16,625 </w:t>
            </w:r>
          </w:p>
        </w:tc>
        <w:tc>
          <w:tcPr>
            <w:tcW w:w="664" w:type="dxa"/>
            <w:tcBorders>
              <w:top w:val="nil"/>
              <w:left w:val="nil"/>
              <w:bottom w:val="nil"/>
              <w:right w:val="nil"/>
            </w:tcBorders>
            <w:shd w:val="clear" w:color="auto" w:fill="auto"/>
            <w:noWrap/>
            <w:vAlign w:val="bottom"/>
            <w:hideMark/>
          </w:tcPr>
          <w:p w14:paraId="572A052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02146FF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790 </w:t>
            </w:r>
          </w:p>
        </w:tc>
        <w:tc>
          <w:tcPr>
            <w:tcW w:w="664" w:type="dxa"/>
            <w:tcBorders>
              <w:top w:val="nil"/>
              <w:left w:val="nil"/>
              <w:bottom w:val="nil"/>
              <w:right w:val="nil"/>
            </w:tcBorders>
            <w:shd w:val="clear" w:color="auto" w:fill="auto"/>
            <w:noWrap/>
            <w:vAlign w:val="bottom"/>
            <w:hideMark/>
          </w:tcPr>
          <w:p w14:paraId="6518963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7B48D33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105 </w:t>
            </w:r>
          </w:p>
        </w:tc>
        <w:tc>
          <w:tcPr>
            <w:tcW w:w="664" w:type="dxa"/>
            <w:tcBorders>
              <w:top w:val="nil"/>
              <w:left w:val="nil"/>
              <w:bottom w:val="nil"/>
              <w:right w:val="nil"/>
            </w:tcBorders>
            <w:shd w:val="clear" w:color="auto" w:fill="auto"/>
            <w:noWrap/>
            <w:vAlign w:val="bottom"/>
            <w:hideMark/>
          </w:tcPr>
          <w:p w14:paraId="33DBDE2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14E5D9F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61,145 </w:t>
            </w:r>
          </w:p>
        </w:tc>
        <w:tc>
          <w:tcPr>
            <w:tcW w:w="664" w:type="dxa"/>
            <w:tcBorders>
              <w:top w:val="nil"/>
              <w:left w:val="nil"/>
              <w:right w:val="nil"/>
            </w:tcBorders>
            <w:shd w:val="clear" w:color="auto" w:fill="auto"/>
            <w:noWrap/>
            <w:vAlign w:val="bottom"/>
            <w:hideMark/>
          </w:tcPr>
          <w:p w14:paraId="50E82FE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right w:val="nil"/>
            </w:tcBorders>
            <w:shd w:val="clear" w:color="auto" w:fill="auto"/>
            <w:noWrap/>
            <w:vAlign w:val="bottom"/>
            <w:hideMark/>
          </w:tcPr>
          <w:p w14:paraId="7683645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3,695 </w:t>
            </w:r>
          </w:p>
        </w:tc>
        <w:tc>
          <w:tcPr>
            <w:tcW w:w="664" w:type="dxa"/>
            <w:tcBorders>
              <w:top w:val="nil"/>
              <w:left w:val="nil"/>
              <w:right w:val="nil"/>
            </w:tcBorders>
            <w:shd w:val="clear" w:color="auto" w:fill="auto"/>
            <w:noWrap/>
            <w:vAlign w:val="bottom"/>
            <w:hideMark/>
          </w:tcPr>
          <w:p w14:paraId="29AD8E9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78" w:type="dxa"/>
            <w:tcBorders>
              <w:top w:val="nil"/>
              <w:left w:val="nil"/>
              <w:right w:val="nil"/>
            </w:tcBorders>
            <w:shd w:val="clear" w:color="auto" w:fill="auto"/>
            <w:noWrap/>
            <w:vAlign w:val="bottom"/>
            <w:hideMark/>
          </w:tcPr>
          <w:p w14:paraId="0243EBD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1,035 </w:t>
            </w:r>
          </w:p>
        </w:tc>
        <w:tc>
          <w:tcPr>
            <w:tcW w:w="517" w:type="dxa"/>
            <w:tcBorders>
              <w:top w:val="nil"/>
              <w:left w:val="nil"/>
              <w:bottom w:val="nil"/>
              <w:right w:val="single" w:sz="4" w:space="0" w:color="auto"/>
            </w:tcBorders>
            <w:shd w:val="clear" w:color="auto" w:fill="auto"/>
            <w:noWrap/>
            <w:vAlign w:val="bottom"/>
            <w:hideMark/>
          </w:tcPr>
          <w:p w14:paraId="02BB0DF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358325F4" w14:textId="77777777" w:rsidTr="00154DE3">
        <w:trPr>
          <w:trHeight w:val="395"/>
        </w:trPr>
        <w:tc>
          <w:tcPr>
            <w:tcW w:w="2520" w:type="dxa"/>
            <w:gridSpan w:val="2"/>
            <w:tcBorders>
              <w:top w:val="nil"/>
              <w:left w:val="single" w:sz="4" w:space="0" w:color="auto"/>
              <w:bottom w:val="nil"/>
              <w:right w:val="single" w:sz="4" w:space="0" w:color="000000"/>
            </w:tcBorders>
            <w:shd w:val="clear" w:color="auto" w:fill="auto"/>
            <w:noWrap/>
            <w:vAlign w:val="bottom"/>
            <w:hideMark/>
          </w:tcPr>
          <w:p w14:paraId="52989250"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Cholesterol</w:t>
            </w:r>
          </w:p>
        </w:tc>
        <w:tc>
          <w:tcPr>
            <w:tcW w:w="1068" w:type="dxa"/>
            <w:tcBorders>
              <w:top w:val="nil"/>
              <w:left w:val="nil"/>
              <w:bottom w:val="nil"/>
              <w:right w:val="nil"/>
            </w:tcBorders>
            <w:shd w:val="clear" w:color="auto" w:fill="auto"/>
            <w:noWrap/>
            <w:vAlign w:val="bottom"/>
            <w:hideMark/>
          </w:tcPr>
          <w:p w14:paraId="4231EEC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664" w:type="dxa"/>
            <w:tcBorders>
              <w:top w:val="nil"/>
              <w:left w:val="nil"/>
              <w:bottom w:val="nil"/>
              <w:right w:val="nil"/>
            </w:tcBorders>
            <w:shd w:val="clear" w:color="auto" w:fill="auto"/>
            <w:noWrap/>
            <w:vAlign w:val="bottom"/>
            <w:hideMark/>
          </w:tcPr>
          <w:p w14:paraId="10A197AB"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22443305"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2D660DA0"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3F257F8D"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1C9B288E"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076F8B6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664" w:type="dxa"/>
            <w:tcBorders>
              <w:top w:val="nil"/>
              <w:left w:val="nil"/>
              <w:bottom w:val="nil"/>
              <w:right w:val="nil"/>
            </w:tcBorders>
            <w:shd w:val="clear" w:color="auto" w:fill="auto"/>
            <w:noWrap/>
            <w:vAlign w:val="bottom"/>
            <w:hideMark/>
          </w:tcPr>
          <w:p w14:paraId="5D42E02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699D2E4C"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4E06116B"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178" w:type="dxa"/>
            <w:tcBorders>
              <w:top w:val="nil"/>
              <w:left w:val="nil"/>
              <w:bottom w:val="nil"/>
              <w:right w:val="nil"/>
            </w:tcBorders>
            <w:shd w:val="clear" w:color="auto" w:fill="auto"/>
            <w:noWrap/>
            <w:vAlign w:val="bottom"/>
            <w:hideMark/>
          </w:tcPr>
          <w:p w14:paraId="59D720B8"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517" w:type="dxa"/>
            <w:tcBorders>
              <w:top w:val="nil"/>
              <w:left w:val="nil"/>
              <w:bottom w:val="nil"/>
              <w:right w:val="single" w:sz="4" w:space="0" w:color="auto"/>
            </w:tcBorders>
            <w:shd w:val="clear" w:color="auto" w:fill="auto"/>
            <w:noWrap/>
            <w:vAlign w:val="bottom"/>
            <w:hideMark/>
          </w:tcPr>
          <w:p w14:paraId="2D0F0D6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19BA1DE5"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0353D830"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4299550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&lt;5 mol/l</w:t>
            </w:r>
          </w:p>
        </w:tc>
        <w:tc>
          <w:tcPr>
            <w:tcW w:w="1068" w:type="dxa"/>
            <w:tcBorders>
              <w:top w:val="nil"/>
              <w:left w:val="nil"/>
              <w:bottom w:val="nil"/>
              <w:right w:val="nil"/>
            </w:tcBorders>
            <w:shd w:val="clear" w:color="auto" w:fill="auto"/>
            <w:noWrap/>
            <w:vAlign w:val="bottom"/>
            <w:hideMark/>
          </w:tcPr>
          <w:p w14:paraId="0F607C4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6,605 </w:t>
            </w:r>
          </w:p>
        </w:tc>
        <w:tc>
          <w:tcPr>
            <w:tcW w:w="664" w:type="dxa"/>
            <w:tcBorders>
              <w:top w:val="nil"/>
              <w:left w:val="nil"/>
              <w:bottom w:val="nil"/>
              <w:right w:val="nil"/>
            </w:tcBorders>
            <w:shd w:val="clear" w:color="auto" w:fill="auto"/>
            <w:noWrap/>
            <w:vAlign w:val="bottom"/>
            <w:hideMark/>
          </w:tcPr>
          <w:p w14:paraId="038BEB1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66.4%</w:t>
            </w:r>
          </w:p>
        </w:tc>
        <w:tc>
          <w:tcPr>
            <w:tcW w:w="1068" w:type="dxa"/>
            <w:tcBorders>
              <w:top w:val="nil"/>
              <w:left w:val="nil"/>
              <w:bottom w:val="nil"/>
              <w:right w:val="nil"/>
            </w:tcBorders>
            <w:shd w:val="clear" w:color="auto" w:fill="auto"/>
            <w:noWrap/>
            <w:vAlign w:val="bottom"/>
            <w:hideMark/>
          </w:tcPr>
          <w:p w14:paraId="29C66F2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40,465 </w:t>
            </w:r>
          </w:p>
        </w:tc>
        <w:tc>
          <w:tcPr>
            <w:tcW w:w="664" w:type="dxa"/>
            <w:tcBorders>
              <w:top w:val="nil"/>
              <w:left w:val="nil"/>
              <w:bottom w:val="nil"/>
              <w:right w:val="nil"/>
            </w:tcBorders>
            <w:shd w:val="clear" w:color="auto" w:fill="auto"/>
            <w:noWrap/>
            <w:vAlign w:val="bottom"/>
            <w:hideMark/>
          </w:tcPr>
          <w:p w14:paraId="3CA3F66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71.0%</w:t>
            </w:r>
          </w:p>
        </w:tc>
        <w:tc>
          <w:tcPr>
            <w:tcW w:w="1068" w:type="dxa"/>
            <w:tcBorders>
              <w:top w:val="nil"/>
              <w:left w:val="nil"/>
              <w:bottom w:val="nil"/>
              <w:right w:val="nil"/>
            </w:tcBorders>
            <w:shd w:val="clear" w:color="auto" w:fill="auto"/>
            <w:noWrap/>
            <w:vAlign w:val="bottom"/>
            <w:hideMark/>
          </w:tcPr>
          <w:p w14:paraId="79318EB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60,935 </w:t>
            </w:r>
          </w:p>
        </w:tc>
        <w:tc>
          <w:tcPr>
            <w:tcW w:w="664" w:type="dxa"/>
            <w:tcBorders>
              <w:top w:val="nil"/>
              <w:left w:val="nil"/>
              <w:bottom w:val="nil"/>
              <w:right w:val="nil"/>
            </w:tcBorders>
            <w:shd w:val="clear" w:color="auto" w:fill="auto"/>
            <w:noWrap/>
            <w:vAlign w:val="bottom"/>
            <w:hideMark/>
          </w:tcPr>
          <w:p w14:paraId="7D3CB12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75.7%</w:t>
            </w:r>
          </w:p>
        </w:tc>
        <w:tc>
          <w:tcPr>
            <w:tcW w:w="1049" w:type="dxa"/>
            <w:tcBorders>
              <w:top w:val="nil"/>
              <w:left w:val="single" w:sz="4" w:space="0" w:color="auto"/>
              <w:bottom w:val="nil"/>
              <w:right w:val="nil"/>
            </w:tcBorders>
            <w:shd w:val="clear" w:color="auto" w:fill="auto"/>
            <w:noWrap/>
            <w:vAlign w:val="bottom"/>
            <w:hideMark/>
          </w:tcPr>
          <w:p w14:paraId="1C65520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31,690 </w:t>
            </w:r>
          </w:p>
        </w:tc>
        <w:tc>
          <w:tcPr>
            <w:tcW w:w="664" w:type="dxa"/>
            <w:tcBorders>
              <w:top w:val="nil"/>
              <w:left w:val="nil"/>
              <w:bottom w:val="nil"/>
            </w:tcBorders>
            <w:shd w:val="clear" w:color="auto" w:fill="auto"/>
            <w:noWrap/>
            <w:vAlign w:val="bottom"/>
            <w:hideMark/>
          </w:tcPr>
          <w:p w14:paraId="7608B22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68.5%</w:t>
            </w:r>
          </w:p>
        </w:tc>
        <w:tc>
          <w:tcPr>
            <w:tcW w:w="1198" w:type="dxa"/>
            <w:tcBorders>
              <w:top w:val="nil"/>
              <w:bottom w:val="nil"/>
            </w:tcBorders>
            <w:shd w:val="clear" w:color="auto" w:fill="auto"/>
            <w:noWrap/>
            <w:vAlign w:val="bottom"/>
            <w:hideMark/>
          </w:tcPr>
          <w:p w14:paraId="46A86E2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290,895 </w:t>
            </w:r>
          </w:p>
        </w:tc>
        <w:tc>
          <w:tcPr>
            <w:tcW w:w="664" w:type="dxa"/>
            <w:tcBorders>
              <w:top w:val="nil"/>
              <w:bottom w:val="nil"/>
            </w:tcBorders>
            <w:shd w:val="clear" w:color="auto" w:fill="auto"/>
            <w:noWrap/>
            <w:vAlign w:val="bottom"/>
            <w:hideMark/>
          </w:tcPr>
          <w:p w14:paraId="4697515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78.1%</w:t>
            </w:r>
          </w:p>
        </w:tc>
        <w:tc>
          <w:tcPr>
            <w:tcW w:w="1178" w:type="dxa"/>
            <w:tcBorders>
              <w:top w:val="nil"/>
              <w:bottom w:val="nil"/>
              <w:right w:val="nil"/>
            </w:tcBorders>
            <w:shd w:val="clear" w:color="auto" w:fill="auto"/>
            <w:noWrap/>
            <w:vAlign w:val="bottom"/>
            <w:hideMark/>
          </w:tcPr>
          <w:p w14:paraId="3618821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719,025 </w:t>
            </w:r>
          </w:p>
        </w:tc>
        <w:tc>
          <w:tcPr>
            <w:tcW w:w="517" w:type="dxa"/>
            <w:tcBorders>
              <w:top w:val="nil"/>
              <w:left w:val="nil"/>
              <w:bottom w:val="nil"/>
              <w:right w:val="single" w:sz="4" w:space="0" w:color="auto"/>
            </w:tcBorders>
            <w:shd w:val="clear" w:color="auto" w:fill="auto"/>
            <w:noWrap/>
            <w:vAlign w:val="bottom"/>
            <w:hideMark/>
          </w:tcPr>
          <w:p w14:paraId="6544C15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82.0%</w:t>
            </w:r>
          </w:p>
        </w:tc>
      </w:tr>
      <w:tr w:rsidR="00931E93" w:rsidRPr="00986C6D" w14:paraId="07A6876A"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14199444"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34599F6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 mol/l</w:t>
            </w:r>
          </w:p>
        </w:tc>
        <w:tc>
          <w:tcPr>
            <w:tcW w:w="1068" w:type="dxa"/>
            <w:tcBorders>
              <w:top w:val="nil"/>
              <w:left w:val="nil"/>
              <w:bottom w:val="nil"/>
              <w:right w:val="nil"/>
            </w:tcBorders>
            <w:shd w:val="clear" w:color="auto" w:fill="auto"/>
            <w:noWrap/>
            <w:vAlign w:val="bottom"/>
            <w:hideMark/>
          </w:tcPr>
          <w:p w14:paraId="6D456D8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3,345 </w:t>
            </w:r>
          </w:p>
        </w:tc>
        <w:tc>
          <w:tcPr>
            <w:tcW w:w="664" w:type="dxa"/>
            <w:tcBorders>
              <w:top w:val="nil"/>
              <w:left w:val="nil"/>
              <w:bottom w:val="nil"/>
              <w:right w:val="nil"/>
            </w:tcBorders>
            <w:shd w:val="clear" w:color="auto" w:fill="auto"/>
            <w:noWrap/>
            <w:vAlign w:val="bottom"/>
            <w:hideMark/>
          </w:tcPr>
          <w:p w14:paraId="1B8729C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33.6%</w:t>
            </w:r>
          </w:p>
        </w:tc>
        <w:tc>
          <w:tcPr>
            <w:tcW w:w="1068" w:type="dxa"/>
            <w:tcBorders>
              <w:top w:val="nil"/>
              <w:left w:val="nil"/>
              <w:bottom w:val="nil"/>
              <w:right w:val="nil"/>
            </w:tcBorders>
            <w:shd w:val="clear" w:color="auto" w:fill="auto"/>
            <w:noWrap/>
            <w:vAlign w:val="bottom"/>
            <w:hideMark/>
          </w:tcPr>
          <w:p w14:paraId="2B5ACCC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16,525 </w:t>
            </w:r>
          </w:p>
        </w:tc>
        <w:tc>
          <w:tcPr>
            <w:tcW w:w="664" w:type="dxa"/>
            <w:tcBorders>
              <w:top w:val="nil"/>
              <w:left w:val="nil"/>
              <w:bottom w:val="nil"/>
              <w:right w:val="nil"/>
            </w:tcBorders>
            <w:shd w:val="clear" w:color="auto" w:fill="auto"/>
            <w:noWrap/>
            <w:vAlign w:val="bottom"/>
            <w:hideMark/>
          </w:tcPr>
          <w:p w14:paraId="556EB01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29.0%</w:t>
            </w:r>
          </w:p>
        </w:tc>
        <w:tc>
          <w:tcPr>
            <w:tcW w:w="1068" w:type="dxa"/>
            <w:tcBorders>
              <w:top w:val="nil"/>
              <w:left w:val="nil"/>
              <w:bottom w:val="nil"/>
              <w:right w:val="nil"/>
            </w:tcBorders>
            <w:shd w:val="clear" w:color="auto" w:fill="auto"/>
            <w:noWrap/>
            <w:vAlign w:val="bottom"/>
            <w:hideMark/>
          </w:tcPr>
          <w:p w14:paraId="1265DB8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19,545 </w:t>
            </w:r>
          </w:p>
        </w:tc>
        <w:tc>
          <w:tcPr>
            <w:tcW w:w="664" w:type="dxa"/>
            <w:tcBorders>
              <w:top w:val="nil"/>
              <w:left w:val="nil"/>
              <w:bottom w:val="nil"/>
              <w:right w:val="nil"/>
            </w:tcBorders>
            <w:shd w:val="clear" w:color="auto" w:fill="auto"/>
            <w:noWrap/>
            <w:vAlign w:val="bottom"/>
            <w:hideMark/>
          </w:tcPr>
          <w:p w14:paraId="68A402A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24.3%</w:t>
            </w:r>
          </w:p>
        </w:tc>
        <w:tc>
          <w:tcPr>
            <w:tcW w:w="1049" w:type="dxa"/>
            <w:tcBorders>
              <w:top w:val="nil"/>
              <w:left w:val="single" w:sz="4" w:space="0" w:color="auto"/>
              <w:bottom w:val="nil"/>
              <w:right w:val="nil"/>
            </w:tcBorders>
            <w:shd w:val="clear" w:color="auto" w:fill="auto"/>
            <w:noWrap/>
            <w:vAlign w:val="bottom"/>
            <w:hideMark/>
          </w:tcPr>
          <w:p w14:paraId="7707232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14,595 </w:t>
            </w:r>
          </w:p>
        </w:tc>
        <w:tc>
          <w:tcPr>
            <w:tcW w:w="664" w:type="dxa"/>
            <w:tcBorders>
              <w:top w:val="nil"/>
              <w:left w:val="nil"/>
              <w:bottom w:val="nil"/>
            </w:tcBorders>
            <w:shd w:val="clear" w:color="auto" w:fill="auto"/>
            <w:noWrap/>
            <w:vAlign w:val="bottom"/>
            <w:hideMark/>
          </w:tcPr>
          <w:p w14:paraId="67DD530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31.5%</w:t>
            </w:r>
          </w:p>
        </w:tc>
        <w:tc>
          <w:tcPr>
            <w:tcW w:w="1198" w:type="dxa"/>
            <w:tcBorders>
              <w:top w:val="nil"/>
              <w:bottom w:val="nil"/>
            </w:tcBorders>
            <w:shd w:val="clear" w:color="auto" w:fill="auto"/>
            <w:noWrap/>
            <w:vAlign w:val="bottom"/>
            <w:hideMark/>
          </w:tcPr>
          <w:p w14:paraId="30C64FA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81,550 </w:t>
            </w:r>
          </w:p>
        </w:tc>
        <w:tc>
          <w:tcPr>
            <w:tcW w:w="664" w:type="dxa"/>
            <w:tcBorders>
              <w:top w:val="nil"/>
              <w:bottom w:val="nil"/>
            </w:tcBorders>
            <w:shd w:val="clear" w:color="auto" w:fill="auto"/>
            <w:noWrap/>
            <w:vAlign w:val="bottom"/>
            <w:hideMark/>
          </w:tcPr>
          <w:p w14:paraId="42EB01B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21.9%</w:t>
            </w:r>
          </w:p>
        </w:tc>
        <w:tc>
          <w:tcPr>
            <w:tcW w:w="1178" w:type="dxa"/>
            <w:tcBorders>
              <w:top w:val="nil"/>
              <w:bottom w:val="nil"/>
              <w:right w:val="nil"/>
            </w:tcBorders>
            <w:shd w:val="clear" w:color="auto" w:fill="auto"/>
            <w:noWrap/>
            <w:vAlign w:val="bottom"/>
            <w:hideMark/>
          </w:tcPr>
          <w:p w14:paraId="4CAE15A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158,140 </w:t>
            </w:r>
          </w:p>
        </w:tc>
        <w:tc>
          <w:tcPr>
            <w:tcW w:w="517" w:type="dxa"/>
            <w:tcBorders>
              <w:top w:val="nil"/>
              <w:left w:val="nil"/>
              <w:bottom w:val="nil"/>
              <w:right w:val="single" w:sz="4" w:space="0" w:color="auto"/>
            </w:tcBorders>
            <w:shd w:val="clear" w:color="auto" w:fill="auto"/>
            <w:noWrap/>
            <w:vAlign w:val="bottom"/>
            <w:hideMark/>
          </w:tcPr>
          <w:p w14:paraId="4D81CD1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18.0%</w:t>
            </w:r>
          </w:p>
        </w:tc>
      </w:tr>
      <w:tr w:rsidR="00931E93" w:rsidRPr="00986C6D" w14:paraId="3065CCA7"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1AA591A0"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5CD06FBB"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Missing</w:t>
            </w:r>
          </w:p>
        </w:tc>
        <w:tc>
          <w:tcPr>
            <w:tcW w:w="1068" w:type="dxa"/>
            <w:tcBorders>
              <w:top w:val="nil"/>
              <w:left w:val="nil"/>
              <w:bottom w:val="nil"/>
              <w:right w:val="nil"/>
            </w:tcBorders>
            <w:shd w:val="clear" w:color="auto" w:fill="auto"/>
            <w:noWrap/>
            <w:vAlign w:val="bottom"/>
            <w:hideMark/>
          </w:tcPr>
          <w:p w14:paraId="435B332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27,285 </w:t>
            </w:r>
          </w:p>
        </w:tc>
        <w:tc>
          <w:tcPr>
            <w:tcW w:w="664" w:type="dxa"/>
            <w:tcBorders>
              <w:top w:val="nil"/>
              <w:left w:val="nil"/>
              <w:bottom w:val="nil"/>
              <w:right w:val="nil"/>
            </w:tcBorders>
            <w:shd w:val="clear" w:color="auto" w:fill="auto"/>
            <w:noWrap/>
            <w:vAlign w:val="bottom"/>
            <w:hideMark/>
          </w:tcPr>
          <w:p w14:paraId="1CC606F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7405A9C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4,240 </w:t>
            </w:r>
          </w:p>
        </w:tc>
        <w:tc>
          <w:tcPr>
            <w:tcW w:w="664" w:type="dxa"/>
            <w:tcBorders>
              <w:top w:val="nil"/>
              <w:left w:val="nil"/>
              <w:bottom w:val="nil"/>
              <w:right w:val="nil"/>
            </w:tcBorders>
            <w:shd w:val="clear" w:color="auto" w:fill="auto"/>
            <w:noWrap/>
            <w:vAlign w:val="bottom"/>
            <w:hideMark/>
          </w:tcPr>
          <w:p w14:paraId="184F7A7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3C1AA14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155 </w:t>
            </w:r>
          </w:p>
        </w:tc>
        <w:tc>
          <w:tcPr>
            <w:tcW w:w="664" w:type="dxa"/>
            <w:tcBorders>
              <w:top w:val="nil"/>
              <w:left w:val="nil"/>
              <w:bottom w:val="nil"/>
              <w:right w:val="nil"/>
            </w:tcBorders>
            <w:shd w:val="clear" w:color="auto" w:fill="auto"/>
            <w:noWrap/>
            <w:vAlign w:val="bottom"/>
            <w:hideMark/>
          </w:tcPr>
          <w:p w14:paraId="64A98CB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5788083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85,840 </w:t>
            </w:r>
          </w:p>
        </w:tc>
        <w:tc>
          <w:tcPr>
            <w:tcW w:w="664" w:type="dxa"/>
            <w:tcBorders>
              <w:top w:val="nil"/>
              <w:left w:val="nil"/>
              <w:bottom w:val="nil"/>
            </w:tcBorders>
            <w:shd w:val="clear" w:color="auto" w:fill="auto"/>
            <w:noWrap/>
            <w:vAlign w:val="bottom"/>
            <w:hideMark/>
          </w:tcPr>
          <w:p w14:paraId="18B1227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bottom w:val="nil"/>
            </w:tcBorders>
            <w:shd w:val="clear" w:color="auto" w:fill="auto"/>
            <w:noWrap/>
            <w:vAlign w:val="bottom"/>
            <w:hideMark/>
          </w:tcPr>
          <w:p w14:paraId="5E84174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14,615 </w:t>
            </w:r>
          </w:p>
        </w:tc>
        <w:tc>
          <w:tcPr>
            <w:tcW w:w="664" w:type="dxa"/>
            <w:tcBorders>
              <w:top w:val="nil"/>
              <w:bottom w:val="nil"/>
            </w:tcBorders>
            <w:shd w:val="clear" w:color="auto" w:fill="auto"/>
            <w:noWrap/>
            <w:vAlign w:val="bottom"/>
            <w:hideMark/>
          </w:tcPr>
          <w:p w14:paraId="0C7EF0A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78" w:type="dxa"/>
            <w:tcBorders>
              <w:top w:val="nil"/>
              <w:bottom w:val="nil"/>
              <w:right w:val="nil"/>
            </w:tcBorders>
            <w:shd w:val="clear" w:color="auto" w:fill="auto"/>
            <w:noWrap/>
            <w:vAlign w:val="bottom"/>
            <w:hideMark/>
          </w:tcPr>
          <w:p w14:paraId="7CE28D3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1,445 </w:t>
            </w:r>
          </w:p>
        </w:tc>
        <w:tc>
          <w:tcPr>
            <w:tcW w:w="517" w:type="dxa"/>
            <w:tcBorders>
              <w:top w:val="nil"/>
              <w:left w:val="nil"/>
              <w:bottom w:val="nil"/>
              <w:right w:val="single" w:sz="4" w:space="0" w:color="auto"/>
            </w:tcBorders>
            <w:shd w:val="clear" w:color="auto" w:fill="auto"/>
            <w:noWrap/>
            <w:vAlign w:val="bottom"/>
            <w:hideMark/>
          </w:tcPr>
          <w:p w14:paraId="1A50FF7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7CFEB255"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4C68FAA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eGFR</w:t>
            </w:r>
          </w:p>
        </w:tc>
        <w:tc>
          <w:tcPr>
            <w:tcW w:w="1920" w:type="dxa"/>
            <w:tcBorders>
              <w:top w:val="nil"/>
              <w:left w:val="nil"/>
              <w:bottom w:val="nil"/>
              <w:right w:val="single" w:sz="4" w:space="0" w:color="auto"/>
            </w:tcBorders>
            <w:shd w:val="clear" w:color="auto" w:fill="auto"/>
            <w:noWrap/>
            <w:vAlign w:val="bottom"/>
            <w:hideMark/>
          </w:tcPr>
          <w:p w14:paraId="7263FC21"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068" w:type="dxa"/>
            <w:tcBorders>
              <w:top w:val="nil"/>
              <w:left w:val="nil"/>
              <w:bottom w:val="nil"/>
              <w:right w:val="nil"/>
            </w:tcBorders>
            <w:shd w:val="clear" w:color="auto" w:fill="auto"/>
            <w:noWrap/>
            <w:vAlign w:val="bottom"/>
            <w:hideMark/>
          </w:tcPr>
          <w:p w14:paraId="00CC71A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664" w:type="dxa"/>
            <w:tcBorders>
              <w:top w:val="nil"/>
              <w:left w:val="nil"/>
              <w:bottom w:val="nil"/>
              <w:right w:val="nil"/>
            </w:tcBorders>
            <w:shd w:val="clear" w:color="auto" w:fill="auto"/>
            <w:noWrap/>
            <w:vAlign w:val="bottom"/>
            <w:hideMark/>
          </w:tcPr>
          <w:p w14:paraId="3E31E512"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1B2DBA9C"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445CB429"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3378594B"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2B066844"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2FDAC04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664" w:type="dxa"/>
            <w:tcBorders>
              <w:top w:val="nil"/>
              <w:left w:val="nil"/>
              <w:bottom w:val="nil"/>
              <w:right w:val="nil"/>
            </w:tcBorders>
            <w:shd w:val="clear" w:color="auto" w:fill="auto"/>
            <w:noWrap/>
            <w:vAlign w:val="bottom"/>
            <w:hideMark/>
          </w:tcPr>
          <w:p w14:paraId="760E8FB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27AC8DB1"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21C47EEB"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178" w:type="dxa"/>
            <w:tcBorders>
              <w:top w:val="nil"/>
              <w:left w:val="nil"/>
              <w:bottom w:val="nil"/>
              <w:right w:val="nil"/>
            </w:tcBorders>
            <w:shd w:val="clear" w:color="auto" w:fill="auto"/>
            <w:noWrap/>
            <w:vAlign w:val="bottom"/>
            <w:hideMark/>
          </w:tcPr>
          <w:p w14:paraId="0A45B905"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517" w:type="dxa"/>
            <w:tcBorders>
              <w:top w:val="nil"/>
              <w:left w:val="nil"/>
              <w:bottom w:val="nil"/>
              <w:right w:val="single" w:sz="4" w:space="0" w:color="auto"/>
            </w:tcBorders>
            <w:shd w:val="clear" w:color="auto" w:fill="auto"/>
            <w:noWrap/>
            <w:vAlign w:val="bottom"/>
            <w:hideMark/>
          </w:tcPr>
          <w:p w14:paraId="2FD7986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2BBDE48C"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520C5DF0"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3F7CB227"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≥90</w:t>
            </w:r>
          </w:p>
        </w:tc>
        <w:tc>
          <w:tcPr>
            <w:tcW w:w="1068" w:type="dxa"/>
            <w:tcBorders>
              <w:top w:val="nil"/>
              <w:left w:val="nil"/>
              <w:bottom w:val="nil"/>
              <w:right w:val="nil"/>
            </w:tcBorders>
            <w:shd w:val="clear" w:color="auto" w:fill="auto"/>
            <w:noWrap/>
            <w:vAlign w:val="bottom"/>
            <w:hideMark/>
          </w:tcPr>
          <w:p w14:paraId="2DCB669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5,445 </w:t>
            </w:r>
          </w:p>
        </w:tc>
        <w:tc>
          <w:tcPr>
            <w:tcW w:w="664" w:type="dxa"/>
            <w:tcBorders>
              <w:top w:val="nil"/>
              <w:left w:val="nil"/>
              <w:bottom w:val="nil"/>
              <w:right w:val="nil"/>
            </w:tcBorders>
            <w:shd w:val="clear" w:color="auto" w:fill="auto"/>
            <w:noWrap/>
            <w:vAlign w:val="bottom"/>
            <w:hideMark/>
          </w:tcPr>
          <w:p w14:paraId="6F2AD82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45.7%</w:t>
            </w:r>
          </w:p>
        </w:tc>
        <w:tc>
          <w:tcPr>
            <w:tcW w:w="1068" w:type="dxa"/>
            <w:tcBorders>
              <w:top w:val="nil"/>
              <w:left w:val="nil"/>
              <w:bottom w:val="nil"/>
              <w:right w:val="nil"/>
            </w:tcBorders>
            <w:shd w:val="clear" w:color="auto" w:fill="auto"/>
            <w:noWrap/>
            <w:vAlign w:val="bottom"/>
            <w:hideMark/>
          </w:tcPr>
          <w:p w14:paraId="59B3970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25,340 </w:t>
            </w:r>
          </w:p>
        </w:tc>
        <w:tc>
          <w:tcPr>
            <w:tcW w:w="664" w:type="dxa"/>
            <w:tcBorders>
              <w:top w:val="nil"/>
              <w:left w:val="nil"/>
              <w:bottom w:val="nil"/>
              <w:right w:val="nil"/>
            </w:tcBorders>
            <w:shd w:val="clear" w:color="auto" w:fill="auto"/>
            <w:noWrap/>
            <w:vAlign w:val="bottom"/>
            <w:hideMark/>
          </w:tcPr>
          <w:p w14:paraId="59B5C46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44.1%</w:t>
            </w:r>
          </w:p>
        </w:tc>
        <w:tc>
          <w:tcPr>
            <w:tcW w:w="1068" w:type="dxa"/>
            <w:tcBorders>
              <w:top w:val="nil"/>
              <w:left w:val="nil"/>
              <w:bottom w:val="nil"/>
              <w:right w:val="nil"/>
            </w:tcBorders>
            <w:shd w:val="clear" w:color="auto" w:fill="auto"/>
            <w:noWrap/>
            <w:vAlign w:val="bottom"/>
            <w:hideMark/>
          </w:tcPr>
          <w:p w14:paraId="2D3B991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31,945 </w:t>
            </w:r>
          </w:p>
        </w:tc>
        <w:tc>
          <w:tcPr>
            <w:tcW w:w="664" w:type="dxa"/>
            <w:tcBorders>
              <w:top w:val="nil"/>
              <w:left w:val="nil"/>
              <w:bottom w:val="nil"/>
              <w:right w:val="nil"/>
            </w:tcBorders>
            <w:shd w:val="clear" w:color="auto" w:fill="auto"/>
            <w:noWrap/>
            <w:vAlign w:val="bottom"/>
            <w:hideMark/>
          </w:tcPr>
          <w:p w14:paraId="626D487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40.0%</w:t>
            </w:r>
          </w:p>
        </w:tc>
        <w:tc>
          <w:tcPr>
            <w:tcW w:w="1049" w:type="dxa"/>
            <w:tcBorders>
              <w:top w:val="nil"/>
              <w:left w:val="single" w:sz="4" w:space="0" w:color="auto"/>
              <w:bottom w:val="nil"/>
              <w:right w:val="nil"/>
            </w:tcBorders>
            <w:shd w:val="clear" w:color="auto" w:fill="auto"/>
            <w:noWrap/>
            <w:vAlign w:val="bottom"/>
            <w:hideMark/>
          </w:tcPr>
          <w:p w14:paraId="15811AA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15,875 </w:t>
            </w:r>
          </w:p>
        </w:tc>
        <w:tc>
          <w:tcPr>
            <w:tcW w:w="664" w:type="dxa"/>
            <w:tcBorders>
              <w:top w:val="nil"/>
              <w:left w:val="nil"/>
              <w:bottom w:val="nil"/>
              <w:right w:val="nil"/>
            </w:tcBorders>
            <w:shd w:val="clear" w:color="auto" w:fill="auto"/>
            <w:noWrap/>
            <w:vAlign w:val="bottom"/>
            <w:hideMark/>
          </w:tcPr>
          <w:p w14:paraId="14E7447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30.3%</w:t>
            </w:r>
          </w:p>
        </w:tc>
        <w:tc>
          <w:tcPr>
            <w:tcW w:w="1198" w:type="dxa"/>
            <w:tcBorders>
              <w:top w:val="nil"/>
              <w:left w:val="nil"/>
              <w:bottom w:val="nil"/>
              <w:right w:val="nil"/>
            </w:tcBorders>
            <w:shd w:val="clear" w:color="auto" w:fill="auto"/>
            <w:noWrap/>
            <w:vAlign w:val="bottom"/>
            <w:hideMark/>
          </w:tcPr>
          <w:p w14:paraId="073A68F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108,095 </w:t>
            </w:r>
          </w:p>
        </w:tc>
        <w:tc>
          <w:tcPr>
            <w:tcW w:w="664" w:type="dxa"/>
            <w:tcBorders>
              <w:top w:val="nil"/>
              <w:left w:val="nil"/>
              <w:bottom w:val="nil"/>
              <w:right w:val="nil"/>
            </w:tcBorders>
            <w:shd w:val="clear" w:color="auto" w:fill="auto"/>
            <w:noWrap/>
            <w:vAlign w:val="bottom"/>
            <w:hideMark/>
          </w:tcPr>
          <w:p w14:paraId="66DA90F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29.0%</w:t>
            </w:r>
          </w:p>
        </w:tc>
        <w:tc>
          <w:tcPr>
            <w:tcW w:w="1178" w:type="dxa"/>
            <w:tcBorders>
              <w:top w:val="nil"/>
              <w:left w:val="nil"/>
              <w:bottom w:val="nil"/>
              <w:right w:val="nil"/>
            </w:tcBorders>
            <w:shd w:val="clear" w:color="auto" w:fill="auto"/>
            <w:noWrap/>
            <w:vAlign w:val="bottom"/>
            <w:hideMark/>
          </w:tcPr>
          <w:p w14:paraId="69F94D5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228,940 </w:t>
            </w:r>
          </w:p>
        </w:tc>
        <w:tc>
          <w:tcPr>
            <w:tcW w:w="517" w:type="dxa"/>
            <w:tcBorders>
              <w:top w:val="nil"/>
              <w:left w:val="nil"/>
              <w:bottom w:val="nil"/>
              <w:right w:val="single" w:sz="4" w:space="0" w:color="auto"/>
            </w:tcBorders>
            <w:shd w:val="clear" w:color="auto" w:fill="auto"/>
            <w:noWrap/>
            <w:vAlign w:val="bottom"/>
            <w:hideMark/>
          </w:tcPr>
          <w:p w14:paraId="1C19FAF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26.1%</w:t>
            </w:r>
          </w:p>
        </w:tc>
      </w:tr>
      <w:tr w:rsidR="00931E93" w:rsidRPr="00986C6D" w14:paraId="5C76EDAE"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2EF58A47"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1CC6A13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60-89</w:t>
            </w:r>
          </w:p>
        </w:tc>
        <w:tc>
          <w:tcPr>
            <w:tcW w:w="1068" w:type="dxa"/>
            <w:tcBorders>
              <w:top w:val="nil"/>
              <w:left w:val="nil"/>
              <w:bottom w:val="nil"/>
              <w:right w:val="nil"/>
            </w:tcBorders>
            <w:shd w:val="clear" w:color="auto" w:fill="auto"/>
            <w:noWrap/>
            <w:vAlign w:val="bottom"/>
            <w:hideMark/>
          </w:tcPr>
          <w:p w14:paraId="0B2338D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4,650 </w:t>
            </w:r>
          </w:p>
        </w:tc>
        <w:tc>
          <w:tcPr>
            <w:tcW w:w="664" w:type="dxa"/>
            <w:tcBorders>
              <w:top w:val="nil"/>
              <w:left w:val="nil"/>
              <w:bottom w:val="nil"/>
              <w:right w:val="nil"/>
            </w:tcBorders>
            <w:shd w:val="clear" w:color="auto" w:fill="auto"/>
            <w:noWrap/>
            <w:vAlign w:val="bottom"/>
            <w:hideMark/>
          </w:tcPr>
          <w:p w14:paraId="61472CC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39.1%</w:t>
            </w:r>
          </w:p>
        </w:tc>
        <w:tc>
          <w:tcPr>
            <w:tcW w:w="1068" w:type="dxa"/>
            <w:tcBorders>
              <w:top w:val="nil"/>
              <w:left w:val="nil"/>
              <w:bottom w:val="nil"/>
              <w:right w:val="nil"/>
            </w:tcBorders>
            <w:shd w:val="clear" w:color="auto" w:fill="auto"/>
            <w:noWrap/>
            <w:vAlign w:val="bottom"/>
            <w:hideMark/>
          </w:tcPr>
          <w:p w14:paraId="028D7E0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24,385 </w:t>
            </w:r>
          </w:p>
        </w:tc>
        <w:tc>
          <w:tcPr>
            <w:tcW w:w="664" w:type="dxa"/>
            <w:tcBorders>
              <w:top w:val="nil"/>
              <w:left w:val="nil"/>
              <w:bottom w:val="nil"/>
              <w:right w:val="nil"/>
            </w:tcBorders>
            <w:shd w:val="clear" w:color="auto" w:fill="auto"/>
            <w:noWrap/>
            <w:vAlign w:val="bottom"/>
            <w:hideMark/>
          </w:tcPr>
          <w:p w14:paraId="09287AB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42.4%</w:t>
            </w:r>
          </w:p>
        </w:tc>
        <w:tc>
          <w:tcPr>
            <w:tcW w:w="1068" w:type="dxa"/>
            <w:tcBorders>
              <w:top w:val="nil"/>
              <w:left w:val="nil"/>
              <w:bottom w:val="nil"/>
              <w:right w:val="nil"/>
            </w:tcBorders>
            <w:shd w:val="clear" w:color="auto" w:fill="auto"/>
            <w:noWrap/>
            <w:vAlign w:val="bottom"/>
            <w:hideMark/>
          </w:tcPr>
          <w:p w14:paraId="70F8330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35,280 </w:t>
            </w:r>
          </w:p>
        </w:tc>
        <w:tc>
          <w:tcPr>
            <w:tcW w:w="664" w:type="dxa"/>
            <w:tcBorders>
              <w:top w:val="nil"/>
              <w:left w:val="nil"/>
              <w:bottom w:val="nil"/>
              <w:right w:val="nil"/>
            </w:tcBorders>
            <w:shd w:val="clear" w:color="auto" w:fill="auto"/>
            <w:noWrap/>
            <w:vAlign w:val="bottom"/>
            <w:hideMark/>
          </w:tcPr>
          <w:p w14:paraId="7CCA194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44.2%</w:t>
            </w:r>
          </w:p>
        </w:tc>
        <w:tc>
          <w:tcPr>
            <w:tcW w:w="1049" w:type="dxa"/>
            <w:tcBorders>
              <w:top w:val="nil"/>
              <w:left w:val="single" w:sz="4" w:space="0" w:color="auto"/>
              <w:bottom w:val="nil"/>
              <w:right w:val="nil"/>
            </w:tcBorders>
            <w:shd w:val="clear" w:color="auto" w:fill="auto"/>
            <w:noWrap/>
            <w:vAlign w:val="bottom"/>
            <w:hideMark/>
          </w:tcPr>
          <w:p w14:paraId="70398F7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24,440 </w:t>
            </w:r>
          </w:p>
        </w:tc>
        <w:tc>
          <w:tcPr>
            <w:tcW w:w="664" w:type="dxa"/>
            <w:tcBorders>
              <w:top w:val="nil"/>
              <w:left w:val="nil"/>
              <w:bottom w:val="nil"/>
              <w:right w:val="nil"/>
            </w:tcBorders>
            <w:shd w:val="clear" w:color="auto" w:fill="auto"/>
            <w:noWrap/>
            <w:vAlign w:val="bottom"/>
            <w:hideMark/>
          </w:tcPr>
          <w:p w14:paraId="6B40AE4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46.6%</w:t>
            </w:r>
          </w:p>
        </w:tc>
        <w:tc>
          <w:tcPr>
            <w:tcW w:w="1198" w:type="dxa"/>
            <w:tcBorders>
              <w:top w:val="nil"/>
              <w:left w:val="nil"/>
              <w:bottom w:val="nil"/>
              <w:right w:val="nil"/>
            </w:tcBorders>
            <w:shd w:val="clear" w:color="auto" w:fill="auto"/>
            <w:noWrap/>
            <w:vAlign w:val="bottom"/>
            <w:hideMark/>
          </w:tcPr>
          <w:p w14:paraId="2B69C31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188,230 </w:t>
            </w:r>
          </w:p>
        </w:tc>
        <w:tc>
          <w:tcPr>
            <w:tcW w:w="664" w:type="dxa"/>
            <w:tcBorders>
              <w:top w:val="nil"/>
              <w:left w:val="nil"/>
              <w:bottom w:val="nil"/>
              <w:right w:val="nil"/>
            </w:tcBorders>
            <w:shd w:val="clear" w:color="auto" w:fill="auto"/>
            <w:noWrap/>
            <w:vAlign w:val="bottom"/>
            <w:hideMark/>
          </w:tcPr>
          <w:p w14:paraId="136EFEB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50.5%</w:t>
            </w:r>
          </w:p>
        </w:tc>
        <w:tc>
          <w:tcPr>
            <w:tcW w:w="1178" w:type="dxa"/>
            <w:tcBorders>
              <w:top w:val="nil"/>
              <w:left w:val="nil"/>
              <w:bottom w:val="nil"/>
              <w:right w:val="nil"/>
            </w:tcBorders>
            <w:shd w:val="clear" w:color="auto" w:fill="auto"/>
            <w:noWrap/>
            <w:vAlign w:val="bottom"/>
            <w:hideMark/>
          </w:tcPr>
          <w:p w14:paraId="242F4BE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453,280 </w:t>
            </w:r>
          </w:p>
        </w:tc>
        <w:tc>
          <w:tcPr>
            <w:tcW w:w="517" w:type="dxa"/>
            <w:tcBorders>
              <w:top w:val="nil"/>
              <w:left w:val="nil"/>
              <w:bottom w:val="nil"/>
              <w:right w:val="single" w:sz="4" w:space="0" w:color="auto"/>
            </w:tcBorders>
            <w:shd w:val="clear" w:color="auto" w:fill="auto"/>
            <w:noWrap/>
            <w:vAlign w:val="bottom"/>
            <w:hideMark/>
          </w:tcPr>
          <w:p w14:paraId="45800CC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51.7%</w:t>
            </w:r>
          </w:p>
        </w:tc>
      </w:tr>
      <w:tr w:rsidR="00931E93" w:rsidRPr="00986C6D" w14:paraId="23277876"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59891FA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7C91062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45-59</w:t>
            </w:r>
          </w:p>
        </w:tc>
        <w:tc>
          <w:tcPr>
            <w:tcW w:w="1068" w:type="dxa"/>
            <w:tcBorders>
              <w:top w:val="nil"/>
              <w:left w:val="nil"/>
              <w:bottom w:val="nil"/>
              <w:right w:val="nil"/>
            </w:tcBorders>
            <w:shd w:val="clear" w:color="auto" w:fill="auto"/>
            <w:noWrap/>
            <w:vAlign w:val="bottom"/>
            <w:hideMark/>
          </w:tcPr>
          <w:p w14:paraId="62A65CB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925 </w:t>
            </w:r>
          </w:p>
        </w:tc>
        <w:tc>
          <w:tcPr>
            <w:tcW w:w="664" w:type="dxa"/>
            <w:tcBorders>
              <w:top w:val="nil"/>
              <w:left w:val="nil"/>
              <w:bottom w:val="nil"/>
              <w:right w:val="nil"/>
            </w:tcBorders>
            <w:shd w:val="clear" w:color="auto" w:fill="auto"/>
            <w:noWrap/>
            <w:vAlign w:val="bottom"/>
            <w:hideMark/>
          </w:tcPr>
          <w:p w14:paraId="233EA74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7.8%</w:t>
            </w:r>
          </w:p>
        </w:tc>
        <w:tc>
          <w:tcPr>
            <w:tcW w:w="1068" w:type="dxa"/>
            <w:tcBorders>
              <w:top w:val="nil"/>
              <w:left w:val="nil"/>
              <w:bottom w:val="nil"/>
              <w:right w:val="nil"/>
            </w:tcBorders>
            <w:shd w:val="clear" w:color="auto" w:fill="auto"/>
            <w:noWrap/>
            <w:vAlign w:val="bottom"/>
            <w:hideMark/>
          </w:tcPr>
          <w:p w14:paraId="35A4126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4,470 </w:t>
            </w:r>
          </w:p>
        </w:tc>
        <w:tc>
          <w:tcPr>
            <w:tcW w:w="664" w:type="dxa"/>
            <w:tcBorders>
              <w:top w:val="nil"/>
              <w:left w:val="nil"/>
              <w:bottom w:val="nil"/>
              <w:right w:val="nil"/>
            </w:tcBorders>
            <w:shd w:val="clear" w:color="auto" w:fill="auto"/>
            <w:noWrap/>
            <w:vAlign w:val="bottom"/>
            <w:hideMark/>
          </w:tcPr>
          <w:p w14:paraId="7261E6E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7.8%</w:t>
            </w:r>
          </w:p>
        </w:tc>
        <w:tc>
          <w:tcPr>
            <w:tcW w:w="1068" w:type="dxa"/>
            <w:tcBorders>
              <w:top w:val="nil"/>
              <w:left w:val="nil"/>
              <w:bottom w:val="nil"/>
              <w:right w:val="nil"/>
            </w:tcBorders>
            <w:shd w:val="clear" w:color="auto" w:fill="auto"/>
            <w:noWrap/>
            <w:vAlign w:val="bottom"/>
            <w:hideMark/>
          </w:tcPr>
          <w:p w14:paraId="30E5348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7,975 </w:t>
            </w:r>
          </w:p>
        </w:tc>
        <w:tc>
          <w:tcPr>
            <w:tcW w:w="664" w:type="dxa"/>
            <w:tcBorders>
              <w:top w:val="nil"/>
              <w:left w:val="nil"/>
              <w:bottom w:val="nil"/>
              <w:right w:val="nil"/>
            </w:tcBorders>
            <w:shd w:val="clear" w:color="auto" w:fill="auto"/>
            <w:noWrap/>
            <w:vAlign w:val="bottom"/>
            <w:hideMark/>
          </w:tcPr>
          <w:p w14:paraId="641D8A8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c>
          <w:tcPr>
            <w:tcW w:w="1049" w:type="dxa"/>
            <w:tcBorders>
              <w:top w:val="nil"/>
              <w:left w:val="single" w:sz="4" w:space="0" w:color="auto"/>
              <w:bottom w:val="nil"/>
              <w:right w:val="nil"/>
            </w:tcBorders>
            <w:shd w:val="clear" w:color="auto" w:fill="auto"/>
            <w:noWrap/>
            <w:vAlign w:val="bottom"/>
            <w:hideMark/>
          </w:tcPr>
          <w:p w14:paraId="5C58CC5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7,205 </w:t>
            </w:r>
          </w:p>
        </w:tc>
        <w:tc>
          <w:tcPr>
            <w:tcW w:w="664" w:type="dxa"/>
            <w:tcBorders>
              <w:top w:val="nil"/>
              <w:left w:val="nil"/>
              <w:bottom w:val="nil"/>
              <w:right w:val="nil"/>
            </w:tcBorders>
            <w:shd w:val="clear" w:color="auto" w:fill="auto"/>
            <w:noWrap/>
            <w:vAlign w:val="bottom"/>
            <w:hideMark/>
          </w:tcPr>
          <w:p w14:paraId="55A4EBC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13.7%</w:t>
            </w:r>
          </w:p>
        </w:tc>
        <w:tc>
          <w:tcPr>
            <w:tcW w:w="1198" w:type="dxa"/>
            <w:tcBorders>
              <w:top w:val="nil"/>
              <w:left w:val="nil"/>
              <w:bottom w:val="nil"/>
              <w:right w:val="nil"/>
            </w:tcBorders>
            <w:shd w:val="clear" w:color="auto" w:fill="auto"/>
            <w:noWrap/>
            <w:vAlign w:val="bottom"/>
            <w:hideMark/>
          </w:tcPr>
          <w:p w14:paraId="32F5B23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50,665 </w:t>
            </w:r>
          </w:p>
        </w:tc>
        <w:tc>
          <w:tcPr>
            <w:tcW w:w="664" w:type="dxa"/>
            <w:tcBorders>
              <w:top w:val="nil"/>
              <w:left w:val="nil"/>
              <w:bottom w:val="nil"/>
              <w:right w:val="nil"/>
            </w:tcBorders>
            <w:shd w:val="clear" w:color="auto" w:fill="auto"/>
            <w:noWrap/>
            <w:vAlign w:val="bottom"/>
            <w:hideMark/>
          </w:tcPr>
          <w:p w14:paraId="16C1E28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13.6%</w:t>
            </w:r>
          </w:p>
        </w:tc>
        <w:tc>
          <w:tcPr>
            <w:tcW w:w="1178" w:type="dxa"/>
            <w:tcBorders>
              <w:top w:val="nil"/>
              <w:left w:val="nil"/>
              <w:bottom w:val="nil"/>
              <w:right w:val="nil"/>
            </w:tcBorders>
            <w:shd w:val="clear" w:color="auto" w:fill="auto"/>
            <w:noWrap/>
            <w:vAlign w:val="bottom"/>
            <w:hideMark/>
          </w:tcPr>
          <w:p w14:paraId="271C685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133,305 </w:t>
            </w:r>
          </w:p>
        </w:tc>
        <w:tc>
          <w:tcPr>
            <w:tcW w:w="517" w:type="dxa"/>
            <w:tcBorders>
              <w:top w:val="nil"/>
              <w:left w:val="nil"/>
              <w:bottom w:val="nil"/>
              <w:right w:val="single" w:sz="4" w:space="0" w:color="auto"/>
            </w:tcBorders>
            <w:shd w:val="clear" w:color="auto" w:fill="auto"/>
            <w:noWrap/>
            <w:vAlign w:val="bottom"/>
            <w:hideMark/>
          </w:tcPr>
          <w:p w14:paraId="07DC229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15.2%</w:t>
            </w:r>
          </w:p>
        </w:tc>
      </w:tr>
      <w:tr w:rsidR="00931E93" w:rsidRPr="00986C6D" w14:paraId="1C719E3C"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3C45018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3E58C73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30-44</w:t>
            </w:r>
          </w:p>
        </w:tc>
        <w:tc>
          <w:tcPr>
            <w:tcW w:w="1068" w:type="dxa"/>
            <w:tcBorders>
              <w:top w:val="nil"/>
              <w:left w:val="nil"/>
              <w:bottom w:val="nil"/>
              <w:right w:val="nil"/>
            </w:tcBorders>
            <w:shd w:val="clear" w:color="auto" w:fill="auto"/>
            <w:noWrap/>
            <w:vAlign w:val="bottom"/>
            <w:hideMark/>
          </w:tcPr>
          <w:p w14:paraId="6EDFC97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480 </w:t>
            </w:r>
          </w:p>
        </w:tc>
        <w:tc>
          <w:tcPr>
            <w:tcW w:w="664" w:type="dxa"/>
            <w:tcBorders>
              <w:top w:val="nil"/>
              <w:left w:val="nil"/>
              <w:bottom w:val="nil"/>
              <w:right w:val="nil"/>
            </w:tcBorders>
            <w:shd w:val="clear" w:color="auto" w:fill="auto"/>
            <w:noWrap/>
            <w:vAlign w:val="bottom"/>
            <w:hideMark/>
          </w:tcPr>
          <w:p w14:paraId="1A40F2C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4.0%</w:t>
            </w:r>
          </w:p>
        </w:tc>
        <w:tc>
          <w:tcPr>
            <w:tcW w:w="1068" w:type="dxa"/>
            <w:tcBorders>
              <w:top w:val="nil"/>
              <w:left w:val="nil"/>
              <w:bottom w:val="nil"/>
              <w:right w:val="nil"/>
            </w:tcBorders>
            <w:shd w:val="clear" w:color="auto" w:fill="auto"/>
            <w:noWrap/>
            <w:vAlign w:val="bottom"/>
            <w:hideMark/>
          </w:tcPr>
          <w:p w14:paraId="48AEDBF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2,045 </w:t>
            </w:r>
          </w:p>
        </w:tc>
        <w:tc>
          <w:tcPr>
            <w:tcW w:w="664" w:type="dxa"/>
            <w:tcBorders>
              <w:top w:val="nil"/>
              <w:left w:val="nil"/>
              <w:bottom w:val="nil"/>
              <w:right w:val="nil"/>
            </w:tcBorders>
            <w:shd w:val="clear" w:color="auto" w:fill="auto"/>
            <w:noWrap/>
            <w:vAlign w:val="bottom"/>
            <w:hideMark/>
          </w:tcPr>
          <w:p w14:paraId="77396F7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3.6%</w:t>
            </w:r>
          </w:p>
        </w:tc>
        <w:tc>
          <w:tcPr>
            <w:tcW w:w="1068" w:type="dxa"/>
            <w:tcBorders>
              <w:top w:val="nil"/>
              <w:left w:val="nil"/>
              <w:bottom w:val="nil"/>
              <w:right w:val="nil"/>
            </w:tcBorders>
            <w:shd w:val="clear" w:color="auto" w:fill="auto"/>
            <w:noWrap/>
            <w:vAlign w:val="bottom"/>
            <w:hideMark/>
          </w:tcPr>
          <w:p w14:paraId="717709A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3,410 </w:t>
            </w:r>
          </w:p>
        </w:tc>
        <w:tc>
          <w:tcPr>
            <w:tcW w:w="664" w:type="dxa"/>
            <w:tcBorders>
              <w:top w:val="nil"/>
              <w:left w:val="nil"/>
              <w:bottom w:val="nil"/>
              <w:right w:val="nil"/>
            </w:tcBorders>
            <w:shd w:val="clear" w:color="auto" w:fill="auto"/>
            <w:noWrap/>
            <w:vAlign w:val="bottom"/>
            <w:hideMark/>
          </w:tcPr>
          <w:p w14:paraId="7EBAB75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4.3%</w:t>
            </w:r>
          </w:p>
        </w:tc>
        <w:tc>
          <w:tcPr>
            <w:tcW w:w="1049" w:type="dxa"/>
            <w:tcBorders>
              <w:top w:val="nil"/>
              <w:left w:val="single" w:sz="4" w:space="0" w:color="auto"/>
              <w:bottom w:val="nil"/>
              <w:right w:val="nil"/>
            </w:tcBorders>
            <w:shd w:val="clear" w:color="auto" w:fill="auto"/>
            <w:noWrap/>
            <w:vAlign w:val="bottom"/>
            <w:hideMark/>
          </w:tcPr>
          <w:p w14:paraId="5C17824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3,510 </w:t>
            </w:r>
          </w:p>
        </w:tc>
        <w:tc>
          <w:tcPr>
            <w:tcW w:w="664" w:type="dxa"/>
            <w:tcBorders>
              <w:top w:val="nil"/>
              <w:left w:val="nil"/>
              <w:bottom w:val="nil"/>
              <w:right w:val="nil"/>
            </w:tcBorders>
            <w:shd w:val="clear" w:color="auto" w:fill="auto"/>
            <w:noWrap/>
            <w:vAlign w:val="bottom"/>
            <w:hideMark/>
          </w:tcPr>
          <w:p w14:paraId="0CEEC92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6.7%</w:t>
            </w:r>
          </w:p>
        </w:tc>
        <w:tc>
          <w:tcPr>
            <w:tcW w:w="1198" w:type="dxa"/>
            <w:tcBorders>
              <w:top w:val="nil"/>
              <w:left w:val="nil"/>
              <w:bottom w:val="nil"/>
              <w:right w:val="nil"/>
            </w:tcBorders>
            <w:shd w:val="clear" w:color="auto" w:fill="auto"/>
            <w:noWrap/>
            <w:vAlign w:val="bottom"/>
            <w:hideMark/>
          </w:tcPr>
          <w:p w14:paraId="3FA67B7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19,420 </w:t>
            </w:r>
          </w:p>
        </w:tc>
        <w:tc>
          <w:tcPr>
            <w:tcW w:w="664" w:type="dxa"/>
            <w:tcBorders>
              <w:top w:val="nil"/>
              <w:left w:val="nil"/>
              <w:bottom w:val="nil"/>
              <w:right w:val="nil"/>
            </w:tcBorders>
            <w:shd w:val="clear" w:color="auto" w:fill="auto"/>
            <w:noWrap/>
            <w:vAlign w:val="bottom"/>
            <w:hideMark/>
          </w:tcPr>
          <w:p w14:paraId="70DC19F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5.2%</w:t>
            </w:r>
          </w:p>
        </w:tc>
        <w:tc>
          <w:tcPr>
            <w:tcW w:w="1178" w:type="dxa"/>
            <w:tcBorders>
              <w:top w:val="nil"/>
              <w:left w:val="nil"/>
              <w:bottom w:val="nil"/>
              <w:right w:val="nil"/>
            </w:tcBorders>
            <w:shd w:val="clear" w:color="auto" w:fill="auto"/>
            <w:noWrap/>
            <w:vAlign w:val="bottom"/>
            <w:hideMark/>
          </w:tcPr>
          <w:p w14:paraId="46DDE5D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50,740 </w:t>
            </w:r>
          </w:p>
        </w:tc>
        <w:tc>
          <w:tcPr>
            <w:tcW w:w="517" w:type="dxa"/>
            <w:tcBorders>
              <w:top w:val="nil"/>
              <w:left w:val="nil"/>
              <w:bottom w:val="nil"/>
              <w:right w:val="single" w:sz="4" w:space="0" w:color="auto"/>
            </w:tcBorders>
            <w:shd w:val="clear" w:color="auto" w:fill="auto"/>
            <w:noWrap/>
            <w:vAlign w:val="bottom"/>
            <w:hideMark/>
          </w:tcPr>
          <w:p w14:paraId="49C818F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5.8%</w:t>
            </w:r>
          </w:p>
        </w:tc>
      </w:tr>
      <w:tr w:rsidR="00931E93" w:rsidRPr="00986C6D" w14:paraId="6267CC54"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4DD01E9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44335D6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15-29</w:t>
            </w:r>
          </w:p>
        </w:tc>
        <w:tc>
          <w:tcPr>
            <w:tcW w:w="1068" w:type="dxa"/>
            <w:tcBorders>
              <w:top w:val="nil"/>
              <w:left w:val="nil"/>
              <w:bottom w:val="nil"/>
              <w:right w:val="nil"/>
            </w:tcBorders>
            <w:shd w:val="clear" w:color="auto" w:fill="auto"/>
            <w:noWrap/>
            <w:vAlign w:val="bottom"/>
            <w:hideMark/>
          </w:tcPr>
          <w:p w14:paraId="01940A2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220 </w:t>
            </w:r>
          </w:p>
        </w:tc>
        <w:tc>
          <w:tcPr>
            <w:tcW w:w="664" w:type="dxa"/>
            <w:tcBorders>
              <w:top w:val="nil"/>
              <w:left w:val="nil"/>
              <w:bottom w:val="nil"/>
              <w:right w:val="nil"/>
            </w:tcBorders>
            <w:shd w:val="clear" w:color="auto" w:fill="auto"/>
            <w:noWrap/>
            <w:vAlign w:val="bottom"/>
            <w:hideMark/>
          </w:tcPr>
          <w:p w14:paraId="275513D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1.8%</w:t>
            </w:r>
          </w:p>
        </w:tc>
        <w:tc>
          <w:tcPr>
            <w:tcW w:w="1068" w:type="dxa"/>
            <w:tcBorders>
              <w:top w:val="nil"/>
              <w:left w:val="nil"/>
              <w:bottom w:val="nil"/>
              <w:right w:val="nil"/>
            </w:tcBorders>
            <w:shd w:val="clear" w:color="auto" w:fill="auto"/>
            <w:noWrap/>
            <w:vAlign w:val="bottom"/>
            <w:hideMark/>
          </w:tcPr>
          <w:p w14:paraId="05E6EB0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795 </w:t>
            </w:r>
          </w:p>
        </w:tc>
        <w:tc>
          <w:tcPr>
            <w:tcW w:w="664" w:type="dxa"/>
            <w:tcBorders>
              <w:top w:val="nil"/>
              <w:left w:val="nil"/>
              <w:bottom w:val="nil"/>
              <w:right w:val="nil"/>
            </w:tcBorders>
            <w:shd w:val="clear" w:color="auto" w:fill="auto"/>
            <w:noWrap/>
            <w:vAlign w:val="bottom"/>
            <w:hideMark/>
          </w:tcPr>
          <w:p w14:paraId="06D2912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1.4%</w:t>
            </w:r>
          </w:p>
        </w:tc>
        <w:tc>
          <w:tcPr>
            <w:tcW w:w="1068" w:type="dxa"/>
            <w:tcBorders>
              <w:top w:val="nil"/>
              <w:left w:val="nil"/>
              <w:bottom w:val="nil"/>
              <w:right w:val="nil"/>
            </w:tcBorders>
            <w:shd w:val="clear" w:color="auto" w:fill="auto"/>
            <w:noWrap/>
            <w:vAlign w:val="bottom"/>
            <w:hideMark/>
          </w:tcPr>
          <w:p w14:paraId="5716F95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1,045 </w:t>
            </w:r>
          </w:p>
        </w:tc>
        <w:tc>
          <w:tcPr>
            <w:tcW w:w="664" w:type="dxa"/>
            <w:tcBorders>
              <w:top w:val="nil"/>
              <w:left w:val="nil"/>
              <w:bottom w:val="nil"/>
              <w:right w:val="nil"/>
            </w:tcBorders>
            <w:shd w:val="clear" w:color="auto" w:fill="auto"/>
            <w:noWrap/>
            <w:vAlign w:val="bottom"/>
            <w:hideMark/>
          </w:tcPr>
          <w:p w14:paraId="276960D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w:t>
            </w:r>
          </w:p>
        </w:tc>
        <w:tc>
          <w:tcPr>
            <w:tcW w:w="1049" w:type="dxa"/>
            <w:tcBorders>
              <w:top w:val="nil"/>
              <w:left w:val="single" w:sz="4" w:space="0" w:color="auto"/>
              <w:bottom w:val="nil"/>
              <w:right w:val="nil"/>
            </w:tcBorders>
            <w:shd w:val="clear" w:color="auto" w:fill="auto"/>
            <w:noWrap/>
            <w:vAlign w:val="bottom"/>
            <w:hideMark/>
          </w:tcPr>
          <w:p w14:paraId="10B486B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1,085 </w:t>
            </w:r>
          </w:p>
        </w:tc>
        <w:tc>
          <w:tcPr>
            <w:tcW w:w="664" w:type="dxa"/>
            <w:tcBorders>
              <w:top w:val="nil"/>
              <w:left w:val="nil"/>
              <w:bottom w:val="nil"/>
              <w:right w:val="nil"/>
            </w:tcBorders>
            <w:shd w:val="clear" w:color="auto" w:fill="auto"/>
            <w:noWrap/>
            <w:vAlign w:val="bottom"/>
            <w:hideMark/>
          </w:tcPr>
          <w:p w14:paraId="78A13BA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2.1%</w:t>
            </w:r>
          </w:p>
        </w:tc>
        <w:tc>
          <w:tcPr>
            <w:tcW w:w="1198" w:type="dxa"/>
            <w:tcBorders>
              <w:top w:val="nil"/>
              <w:left w:val="nil"/>
              <w:bottom w:val="nil"/>
              <w:right w:val="nil"/>
            </w:tcBorders>
            <w:shd w:val="clear" w:color="auto" w:fill="auto"/>
            <w:noWrap/>
            <w:vAlign w:val="bottom"/>
            <w:hideMark/>
          </w:tcPr>
          <w:p w14:paraId="5C7A445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4,690 </w:t>
            </w:r>
          </w:p>
        </w:tc>
        <w:tc>
          <w:tcPr>
            <w:tcW w:w="664" w:type="dxa"/>
            <w:tcBorders>
              <w:top w:val="nil"/>
              <w:left w:val="nil"/>
              <w:bottom w:val="nil"/>
              <w:right w:val="nil"/>
            </w:tcBorders>
            <w:shd w:val="clear" w:color="auto" w:fill="auto"/>
            <w:noWrap/>
            <w:vAlign w:val="bottom"/>
            <w:hideMark/>
          </w:tcPr>
          <w:p w14:paraId="599CB35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w:t>
            </w:r>
          </w:p>
        </w:tc>
        <w:tc>
          <w:tcPr>
            <w:tcW w:w="1178" w:type="dxa"/>
            <w:tcBorders>
              <w:top w:val="nil"/>
              <w:left w:val="nil"/>
              <w:bottom w:val="nil"/>
              <w:right w:val="nil"/>
            </w:tcBorders>
            <w:shd w:val="clear" w:color="auto" w:fill="auto"/>
            <w:noWrap/>
            <w:vAlign w:val="bottom"/>
            <w:hideMark/>
          </w:tcPr>
          <w:p w14:paraId="6B9811F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9,910 </w:t>
            </w:r>
          </w:p>
        </w:tc>
        <w:tc>
          <w:tcPr>
            <w:tcW w:w="517" w:type="dxa"/>
            <w:tcBorders>
              <w:top w:val="nil"/>
              <w:left w:val="nil"/>
              <w:bottom w:val="nil"/>
              <w:right w:val="single" w:sz="4" w:space="0" w:color="auto"/>
            </w:tcBorders>
            <w:shd w:val="clear" w:color="auto" w:fill="auto"/>
            <w:noWrap/>
            <w:vAlign w:val="bottom"/>
            <w:hideMark/>
          </w:tcPr>
          <w:p w14:paraId="43F67EB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w:t>
            </w:r>
          </w:p>
        </w:tc>
      </w:tr>
      <w:tr w:rsidR="00931E93" w:rsidRPr="00986C6D" w14:paraId="524D71CA"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4316A5E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56E784A1"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&lt;15</w:t>
            </w:r>
          </w:p>
        </w:tc>
        <w:tc>
          <w:tcPr>
            <w:tcW w:w="1068" w:type="dxa"/>
            <w:tcBorders>
              <w:top w:val="nil"/>
              <w:left w:val="nil"/>
              <w:bottom w:val="nil"/>
              <w:right w:val="nil"/>
            </w:tcBorders>
            <w:shd w:val="clear" w:color="auto" w:fill="auto"/>
            <w:noWrap/>
            <w:vAlign w:val="bottom"/>
            <w:hideMark/>
          </w:tcPr>
          <w:p w14:paraId="0AD7FC0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190 </w:t>
            </w:r>
          </w:p>
        </w:tc>
        <w:tc>
          <w:tcPr>
            <w:tcW w:w="664" w:type="dxa"/>
            <w:tcBorders>
              <w:top w:val="nil"/>
              <w:left w:val="nil"/>
              <w:bottom w:val="nil"/>
              <w:right w:val="nil"/>
            </w:tcBorders>
            <w:shd w:val="clear" w:color="auto" w:fill="auto"/>
            <w:noWrap/>
            <w:vAlign w:val="bottom"/>
            <w:hideMark/>
          </w:tcPr>
          <w:p w14:paraId="1AECE68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1.6%</w:t>
            </w:r>
          </w:p>
        </w:tc>
        <w:tc>
          <w:tcPr>
            <w:tcW w:w="1068" w:type="dxa"/>
            <w:tcBorders>
              <w:top w:val="nil"/>
              <w:left w:val="nil"/>
              <w:bottom w:val="nil"/>
              <w:right w:val="nil"/>
            </w:tcBorders>
            <w:shd w:val="clear" w:color="auto" w:fill="auto"/>
            <w:noWrap/>
            <w:vAlign w:val="bottom"/>
            <w:hideMark/>
          </w:tcPr>
          <w:p w14:paraId="0D5462D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445 </w:t>
            </w:r>
          </w:p>
        </w:tc>
        <w:tc>
          <w:tcPr>
            <w:tcW w:w="664" w:type="dxa"/>
            <w:tcBorders>
              <w:top w:val="nil"/>
              <w:left w:val="nil"/>
              <w:bottom w:val="nil"/>
              <w:right w:val="nil"/>
            </w:tcBorders>
            <w:shd w:val="clear" w:color="auto" w:fill="auto"/>
            <w:noWrap/>
            <w:vAlign w:val="bottom"/>
            <w:hideMark/>
          </w:tcPr>
          <w:p w14:paraId="795FD85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0.8%</w:t>
            </w:r>
          </w:p>
        </w:tc>
        <w:tc>
          <w:tcPr>
            <w:tcW w:w="1068" w:type="dxa"/>
            <w:tcBorders>
              <w:top w:val="nil"/>
              <w:left w:val="nil"/>
              <w:bottom w:val="nil"/>
              <w:right w:val="nil"/>
            </w:tcBorders>
            <w:shd w:val="clear" w:color="auto" w:fill="auto"/>
            <w:noWrap/>
            <w:vAlign w:val="bottom"/>
            <w:hideMark/>
          </w:tcPr>
          <w:p w14:paraId="6CFBA1C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250 </w:t>
            </w:r>
          </w:p>
        </w:tc>
        <w:tc>
          <w:tcPr>
            <w:tcW w:w="664" w:type="dxa"/>
            <w:tcBorders>
              <w:top w:val="nil"/>
              <w:left w:val="nil"/>
              <w:bottom w:val="nil"/>
              <w:right w:val="nil"/>
            </w:tcBorders>
            <w:shd w:val="clear" w:color="auto" w:fill="auto"/>
            <w:noWrap/>
            <w:vAlign w:val="bottom"/>
            <w:hideMark/>
          </w:tcPr>
          <w:p w14:paraId="0C7B1CC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0.3%</w:t>
            </w:r>
          </w:p>
        </w:tc>
        <w:tc>
          <w:tcPr>
            <w:tcW w:w="1049" w:type="dxa"/>
            <w:tcBorders>
              <w:top w:val="nil"/>
              <w:left w:val="single" w:sz="4" w:space="0" w:color="auto"/>
              <w:bottom w:val="nil"/>
              <w:right w:val="nil"/>
            </w:tcBorders>
            <w:shd w:val="clear" w:color="auto" w:fill="auto"/>
            <w:noWrap/>
            <w:vAlign w:val="bottom"/>
            <w:hideMark/>
          </w:tcPr>
          <w:p w14:paraId="6A0CAA8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350 </w:t>
            </w:r>
          </w:p>
        </w:tc>
        <w:tc>
          <w:tcPr>
            <w:tcW w:w="664" w:type="dxa"/>
            <w:tcBorders>
              <w:top w:val="nil"/>
              <w:left w:val="nil"/>
              <w:bottom w:val="nil"/>
              <w:right w:val="nil"/>
            </w:tcBorders>
            <w:shd w:val="clear" w:color="auto" w:fill="auto"/>
            <w:noWrap/>
            <w:vAlign w:val="bottom"/>
            <w:hideMark/>
          </w:tcPr>
          <w:p w14:paraId="02F6F6E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0.7%</w:t>
            </w:r>
          </w:p>
        </w:tc>
        <w:tc>
          <w:tcPr>
            <w:tcW w:w="1198" w:type="dxa"/>
            <w:tcBorders>
              <w:top w:val="nil"/>
              <w:left w:val="nil"/>
              <w:bottom w:val="nil"/>
              <w:right w:val="nil"/>
            </w:tcBorders>
            <w:shd w:val="clear" w:color="auto" w:fill="auto"/>
            <w:noWrap/>
            <w:vAlign w:val="bottom"/>
            <w:hideMark/>
          </w:tcPr>
          <w:p w14:paraId="5769D68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1,325 </w:t>
            </w:r>
          </w:p>
        </w:tc>
        <w:tc>
          <w:tcPr>
            <w:tcW w:w="664" w:type="dxa"/>
            <w:tcBorders>
              <w:top w:val="nil"/>
              <w:left w:val="nil"/>
              <w:bottom w:val="nil"/>
              <w:right w:val="nil"/>
            </w:tcBorders>
            <w:shd w:val="clear" w:color="auto" w:fill="auto"/>
            <w:noWrap/>
            <w:vAlign w:val="bottom"/>
            <w:hideMark/>
          </w:tcPr>
          <w:p w14:paraId="1258BDA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0.4%</w:t>
            </w:r>
          </w:p>
        </w:tc>
        <w:tc>
          <w:tcPr>
            <w:tcW w:w="1178" w:type="dxa"/>
            <w:tcBorders>
              <w:top w:val="nil"/>
              <w:left w:val="nil"/>
              <w:bottom w:val="nil"/>
              <w:right w:val="nil"/>
            </w:tcBorders>
            <w:shd w:val="clear" w:color="auto" w:fill="auto"/>
            <w:noWrap/>
            <w:vAlign w:val="bottom"/>
            <w:hideMark/>
          </w:tcPr>
          <w:p w14:paraId="716FDB9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1,175 </w:t>
            </w:r>
          </w:p>
        </w:tc>
        <w:tc>
          <w:tcPr>
            <w:tcW w:w="517" w:type="dxa"/>
            <w:tcBorders>
              <w:top w:val="nil"/>
              <w:left w:val="nil"/>
              <w:bottom w:val="nil"/>
              <w:right w:val="single" w:sz="4" w:space="0" w:color="auto"/>
            </w:tcBorders>
            <w:shd w:val="clear" w:color="auto" w:fill="auto"/>
            <w:noWrap/>
            <w:vAlign w:val="bottom"/>
            <w:hideMark/>
          </w:tcPr>
          <w:p w14:paraId="6B485E1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0.1%</w:t>
            </w:r>
          </w:p>
        </w:tc>
      </w:tr>
      <w:tr w:rsidR="00931E93" w:rsidRPr="00986C6D" w14:paraId="6F8BBA70"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0013347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7BD08A2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Missing</w:t>
            </w:r>
          </w:p>
        </w:tc>
        <w:tc>
          <w:tcPr>
            <w:tcW w:w="1068" w:type="dxa"/>
            <w:tcBorders>
              <w:top w:val="nil"/>
              <w:left w:val="nil"/>
              <w:bottom w:val="nil"/>
              <w:right w:val="nil"/>
            </w:tcBorders>
            <w:shd w:val="clear" w:color="auto" w:fill="auto"/>
            <w:noWrap/>
            <w:vAlign w:val="bottom"/>
            <w:hideMark/>
          </w:tcPr>
          <w:p w14:paraId="0A50DA9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25,335 </w:t>
            </w:r>
          </w:p>
        </w:tc>
        <w:tc>
          <w:tcPr>
            <w:tcW w:w="664" w:type="dxa"/>
            <w:tcBorders>
              <w:top w:val="nil"/>
              <w:left w:val="nil"/>
              <w:bottom w:val="nil"/>
              <w:right w:val="nil"/>
            </w:tcBorders>
            <w:shd w:val="clear" w:color="auto" w:fill="auto"/>
            <w:noWrap/>
            <w:vAlign w:val="bottom"/>
            <w:hideMark/>
          </w:tcPr>
          <w:p w14:paraId="5ADF24B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3D90EB2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3,750 </w:t>
            </w:r>
          </w:p>
        </w:tc>
        <w:tc>
          <w:tcPr>
            <w:tcW w:w="664" w:type="dxa"/>
            <w:tcBorders>
              <w:top w:val="nil"/>
              <w:left w:val="nil"/>
              <w:bottom w:val="nil"/>
              <w:right w:val="nil"/>
            </w:tcBorders>
            <w:shd w:val="clear" w:color="auto" w:fill="auto"/>
            <w:noWrap/>
            <w:vAlign w:val="bottom"/>
            <w:hideMark/>
          </w:tcPr>
          <w:p w14:paraId="7B9A337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65B58FE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725 </w:t>
            </w:r>
          </w:p>
        </w:tc>
        <w:tc>
          <w:tcPr>
            <w:tcW w:w="664" w:type="dxa"/>
            <w:tcBorders>
              <w:top w:val="nil"/>
              <w:left w:val="nil"/>
              <w:bottom w:val="nil"/>
              <w:right w:val="nil"/>
            </w:tcBorders>
            <w:shd w:val="clear" w:color="auto" w:fill="auto"/>
            <w:noWrap/>
            <w:vAlign w:val="bottom"/>
            <w:hideMark/>
          </w:tcPr>
          <w:p w14:paraId="015EA74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2744FDA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79,655 </w:t>
            </w:r>
          </w:p>
        </w:tc>
        <w:tc>
          <w:tcPr>
            <w:tcW w:w="664" w:type="dxa"/>
            <w:tcBorders>
              <w:top w:val="nil"/>
              <w:left w:val="nil"/>
              <w:bottom w:val="nil"/>
              <w:right w:val="nil"/>
            </w:tcBorders>
            <w:shd w:val="clear" w:color="auto" w:fill="auto"/>
            <w:noWrap/>
            <w:vAlign w:val="bottom"/>
            <w:hideMark/>
          </w:tcPr>
          <w:p w14:paraId="1CC3D0D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1F3010B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14,640 </w:t>
            </w:r>
          </w:p>
        </w:tc>
        <w:tc>
          <w:tcPr>
            <w:tcW w:w="664" w:type="dxa"/>
            <w:tcBorders>
              <w:top w:val="nil"/>
              <w:left w:val="nil"/>
              <w:bottom w:val="nil"/>
              <w:right w:val="nil"/>
            </w:tcBorders>
            <w:shd w:val="clear" w:color="auto" w:fill="auto"/>
            <w:noWrap/>
            <w:vAlign w:val="bottom"/>
            <w:hideMark/>
          </w:tcPr>
          <w:p w14:paraId="11FE836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78" w:type="dxa"/>
            <w:tcBorders>
              <w:top w:val="nil"/>
              <w:left w:val="nil"/>
              <w:bottom w:val="nil"/>
              <w:right w:val="nil"/>
            </w:tcBorders>
            <w:shd w:val="clear" w:color="auto" w:fill="auto"/>
            <w:noWrap/>
            <w:vAlign w:val="bottom"/>
            <w:hideMark/>
          </w:tcPr>
          <w:p w14:paraId="6C02ED3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1,255 </w:t>
            </w:r>
          </w:p>
        </w:tc>
        <w:tc>
          <w:tcPr>
            <w:tcW w:w="517" w:type="dxa"/>
            <w:tcBorders>
              <w:top w:val="nil"/>
              <w:left w:val="nil"/>
              <w:bottom w:val="nil"/>
              <w:right w:val="single" w:sz="4" w:space="0" w:color="auto"/>
            </w:tcBorders>
            <w:shd w:val="clear" w:color="auto" w:fill="auto"/>
            <w:noWrap/>
            <w:vAlign w:val="bottom"/>
            <w:hideMark/>
          </w:tcPr>
          <w:p w14:paraId="4753A91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6C87C44D" w14:textId="77777777" w:rsidTr="00154DE3">
        <w:trPr>
          <w:trHeight w:val="233"/>
        </w:trPr>
        <w:tc>
          <w:tcPr>
            <w:tcW w:w="2520" w:type="dxa"/>
            <w:gridSpan w:val="2"/>
            <w:tcBorders>
              <w:top w:val="nil"/>
              <w:left w:val="single" w:sz="4" w:space="0" w:color="auto"/>
              <w:bottom w:val="nil"/>
              <w:right w:val="single" w:sz="4" w:space="0" w:color="000000"/>
            </w:tcBorders>
            <w:shd w:val="clear" w:color="auto" w:fill="auto"/>
            <w:noWrap/>
            <w:vAlign w:val="bottom"/>
            <w:hideMark/>
          </w:tcPr>
          <w:p w14:paraId="5E7C530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Prior hospital admission</w:t>
            </w:r>
          </w:p>
        </w:tc>
        <w:tc>
          <w:tcPr>
            <w:tcW w:w="1068" w:type="dxa"/>
            <w:tcBorders>
              <w:top w:val="nil"/>
              <w:left w:val="nil"/>
              <w:bottom w:val="nil"/>
              <w:right w:val="nil"/>
            </w:tcBorders>
            <w:shd w:val="clear" w:color="auto" w:fill="auto"/>
            <w:noWrap/>
            <w:vAlign w:val="bottom"/>
            <w:hideMark/>
          </w:tcPr>
          <w:p w14:paraId="6289DC3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664" w:type="dxa"/>
            <w:tcBorders>
              <w:top w:val="nil"/>
              <w:left w:val="nil"/>
              <w:bottom w:val="nil"/>
              <w:right w:val="nil"/>
            </w:tcBorders>
            <w:shd w:val="clear" w:color="auto" w:fill="auto"/>
            <w:noWrap/>
            <w:vAlign w:val="bottom"/>
            <w:hideMark/>
          </w:tcPr>
          <w:p w14:paraId="5DD28F1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068" w:type="dxa"/>
            <w:tcBorders>
              <w:top w:val="nil"/>
              <w:left w:val="nil"/>
              <w:bottom w:val="nil"/>
              <w:right w:val="nil"/>
            </w:tcBorders>
            <w:shd w:val="clear" w:color="auto" w:fill="auto"/>
            <w:noWrap/>
            <w:vAlign w:val="bottom"/>
            <w:hideMark/>
          </w:tcPr>
          <w:p w14:paraId="71C9108B"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498C8980"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68" w:type="dxa"/>
            <w:tcBorders>
              <w:top w:val="nil"/>
              <w:left w:val="nil"/>
              <w:bottom w:val="nil"/>
              <w:right w:val="nil"/>
            </w:tcBorders>
            <w:shd w:val="clear" w:color="auto" w:fill="auto"/>
            <w:noWrap/>
            <w:vAlign w:val="bottom"/>
            <w:hideMark/>
          </w:tcPr>
          <w:p w14:paraId="2F83C7A5"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6D8EDE1B"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049" w:type="dxa"/>
            <w:tcBorders>
              <w:top w:val="nil"/>
              <w:left w:val="single" w:sz="4" w:space="0" w:color="auto"/>
              <w:bottom w:val="nil"/>
              <w:right w:val="nil"/>
            </w:tcBorders>
            <w:shd w:val="clear" w:color="auto" w:fill="auto"/>
            <w:noWrap/>
            <w:vAlign w:val="bottom"/>
            <w:hideMark/>
          </w:tcPr>
          <w:p w14:paraId="1CEB917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664" w:type="dxa"/>
            <w:tcBorders>
              <w:top w:val="nil"/>
              <w:left w:val="nil"/>
              <w:bottom w:val="nil"/>
              <w:right w:val="nil"/>
            </w:tcBorders>
            <w:shd w:val="clear" w:color="auto" w:fill="auto"/>
            <w:noWrap/>
            <w:vAlign w:val="bottom"/>
            <w:hideMark/>
          </w:tcPr>
          <w:p w14:paraId="143966F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p>
        </w:tc>
        <w:tc>
          <w:tcPr>
            <w:tcW w:w="1198" w:type="dxa"/>
            <w:tcBorders>
              <w:top w:val="nil"/>
              <w:left w:val="nil"/>
              <w:bottom w:val="nil"/>
              <w:right w:val="nil"/>
            </w:tcBorders>
            <w:shd w:val="clear" w:color="auto" w:fill="auto"/>
            <w:noWrap/>
            <w:vAlign w:val="bottom"/>
            <w:hideMark/>
          </w:tcPr>
          <w:p w14:paraId="792FE38D"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664" w:type="dxa"/>
            <w:tcBorders>
              <w:top w:val="nil"/>
              <w:left w:val="nil"/>
              <w:bottom w:val="nil"/>
              <w:right w:val="nil"/>
            </w:tcBorders>
            <w:shd w:val="clear" w:color="auto" w:fill="auto"/>
            <w:noWrap/>
            <w:vAlign w:val="bottom"/>
            <w:hideMark/>
          </w:tcPr>
          <w:p w14:paraId="3D397F8D"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1178" w:type="dxa"/>
            <w:tcBorders>
              <w:top w:val="nil"/>
              <w:left w:val="nil"/>
              <w:bottom w:val="nil"/>
              <w:right w:val="nil"/>
            </w:tcBorders>
            <w:shd w:val="clear" w:color="auto" w:fill="auto"/>
            <w:noWrap/>
            <w:vAlign w:val="bottom"/>
            <w:hideMark/>
          </w:tcPr>
          <w:p w14:paraId="61DF0A47" w14:textId="77777777" w:rsidR="00931E93" w:rsidRPr="00986C6D" w:rsidRDefault="00931E93" w:rsidP="00154DE3">
            <w:pPr>
              <w:spacing w:after="0" w:line="240" w:lineRule="auto"/>
              <w:jc w:val="right"/>
              <w:rPr>
                <w:rFonts w:ascii="Times New Roman" w:eastAsia="Times New Roman" w:hAnsi="Times New Roman" w:cs="Times New Roman"/>
                <w:sz w:val="20"/>
                <w:szCs w:val="20"/>
                <w:lang w:eastAsia="en-GB"/>
              </w:rPr>
            </w:pPr>
          </w:p>
        </w:tc>
        <w:tc>
          <w:tcPr>
            <w:tcW w:w="517" w:type="dxa"/>
            <w:tcBorders>
              <w:top w:val="nil"/>
              <w:left w:val="nil"/>
              <w:bottom w:val="nil"/>
              <w:right w:val="single" w:sz="4" w:space="0" w:color="auto"/>
            </w:tcBorders>
            <w:shd w:val="clear" w:color="auto" w:fill="auto"/>
            <w:noWrap/>
            <w:vAlign w:val="bottom"/>
            <w:hideMark/>
          </w:tcPr>
          <w:p w14:paraId="449A3FA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r>
      <w:tr w:rsidR="00931E93" w:rsidRPr="00986C6D" w14:paraId="33BE63C9"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2F829C6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40B6305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Myocardial infarction</w:t>
            </w:r>
          </w:p>
        </w:tc>
        <w:tc>
          <w:tcPr>
            <w:tcW w:w="1068" w:type="dxa"/>
            <w:tcBorders>
              <w:top w:val="nil"/>
              <w:left w:val="nil"/>
              <w:bottom w:val="nil"/>
              <w:right w:val="nil"/>
            </w:tcBorders>
            <w:shd w:val="clear" w:color="auto" w:fill="auto"/>
            <w:noWrap/>
            <w:vAlign w:val="bottom"/>
            <w:hideMark/>
          </w:tcPr>
          <w:p w14:paraId="28698A85"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340 </w:t>
            </w:r>
          </w:p>
        </w:tc>
        <w:tc>
          <w:tcPr>
            <w:tcW w:w="664" w:type="dxa"/>
            <w:tcBorders>
              <w:top w:val="nil"/>
              <w:left w:val="nil"/>
              <w:bottom w:val="nil"/>
              <w:right w:val="nil"/>
            </w:tcBorders>
            <w:shd w:val="clear" w:color="auto" w:fill="auto"/>
            <w:noWrap/>
            <w:vAlign w:val="bottom"/>
            <w:hideMark/>
          </w:tcPr>
          <w:p w14:paraId="73F3CF0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0.9%</w:t>
            </w:r>
          </w:p>
        </w:tc>
        <w:tc>
          <w:tcPr>
            <w:tcW w:w="1068" w:type="dxa"/>
            <w:tcBorders>
              <w:top w:val="nil"/>
              <w:left w:val="nil"/>
              <w:bottom w:val="nil"/>
              <w:right w:val="nil"/>
            </w:tcBorders>
            <w:shd w:val="clear" w:color="auto" w:fill="auto"/>
            <w:noWrap/>
            <w:vAlign w:val="bottom"/>
            <w:hideMark/>
          </w:tcPr>
          <w:p w14:paraId="6B5A410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785 </w:t>
            </w:r>
          </w:p>
        </w:tc>
        <w:tc>
          <w:tcPr>
            <w:tcW w:w="664" w:type="dxa"/>
            <w:tcBorders>
              <w:top w:val="nil"/>
              <w:left w:val="nil"/>
              <w:bottom w:val="nil"/>
              <w:right w:val="nil"/>
            </w:tcBorders>
            <w:shd w:val="clear" w:color="auto" w:fill="auto"/>
            <w:noWrap/>
            <w:vAlign w:val="bottom"/>
            <w:hideMark/>
          </w:tcPr>
          <w:p w14:paraId="007D31D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w:t>
            </w:r>
          </w:p>
        </w:tc>
        <w:tc>
          <w:tcPr>
            <w:tcW w:w="1068" w:type="dxa"/>
            <w:tcBorders>
              <w:top w:val="nil"/>
              <w:left w:val="nil"/>
              <w:bottom w:val="nil"/>
              <w:right w:val="nil"/>
            </w:tcBorders>
            <w:shd w:val="clear" w:color="auto" w:fill="auto"/>
            <w:noWrap/>
            <w:vAlign w:val="bottom"/>
            <w:hideMark/>
          </w:tcPr>
          <w:p w14:paraId="5DEEA50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1,285 </w:t>
            </w:r>
          </w:p>
        </w:tc>
        <w:tc>
          <w:tcPr>
            <w:tcW w:w="664" w:type="dxa"/>
            <w:tcBorders>
              <w:top w:val="nil"/>
              <w:left w:val="nil"/>
              <w:bottom w:val="nil"/>
              <w:right w:val="nil"/>
            </w:tcBorders>
            <w:shd w:val="clear" w:color="auto" w:fill="auto"/>
            <w:noWrap/>
            <w:vAlign w:val="bottom"/>
            <w:hideMark/>
          </w:tcPr>
          <w:p w14:paraId="273EE5A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1.6%</w:t>
            </w:r>
          </w:p>
        </w:tc>
        <w:tc>
          <w:tcPr>
            <w:tcW w:w="1049" w:type="dxa"/>
            <w:tcBorders>
              <w:top w:val="nil"/>
              <w:left w:val="single" w:sz="4" w:space="0" w:color="auto"/>
              <w:bottom w:val="nil"/>
              <w:right w:val="nil"/>
            </w:tcBorders>
            <w:shd w:val="clear" w:color="auto" w:fill="auto"/>
            <w:noWrap/>
            <w:vAlign w:val="bottom"/>
            <w:hideMark/>
          </w:tcPr>
          <w:p w14:paraId="32FCF54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2,445 </w:t>
            </w:r>
          </w:p>
        </w:tc>
        <w:tc>
          <w:tcPr>
            <w:tcW w:w="664" w:type="dxa"/>
            <w:tcBorders>
              <w:top w:val="nil"/>
              <w:left w:val="nil"/>
              <w:bottom w:val="nil"/>
              <w:right w:val="nil"/>
            </w:tcBorders>
            <w:shd w:val="clear" w:color="auto" w:fill="auto"/>
            <w:noWrap/>
            <w:vAlign w:val="bottom"/>
            <w:hideMark/>
          </w:tcPr>
          <w:p w14:paraId="2D59CAA8"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1.9%</w:t>
            </w:r>
          </w:p>
        </w:tc>
        <w:tc>
          <w:tcPr>
            <w:tcW w:w="1198" w:type="dxa"/>
            <w:tcBorders>
              <w:top w:val="nil"/>
              <w:left w:val="nil"/>
              <w:bottom w:val="nil"/>
              <w:right w:val="nil"/>
            </w:tcBorders>
            <w:shd w:val="clear" w:color="auto" w:fill="auto"/>
            <w:noWrap/>
            <w:vAlign w:val="bottom"/>
            <w:hideMark/>
          </w:tcPr>
          <w:p w14:paraId="68C0552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7,750 </w:t>
            </w:r>
          </w:p>
        </w:tc>
        <w:tc>
          <w:tcPr>
            <w:tcW w:w="664" w:type="dxa"/>
            <w:tcBorders>
              <w:top w:val="nil"/>
              <w:left w:val="nil"/>
              <w:bottom w:val="nil"/>
              <w:right w:val="nil"/>
            </w:tcBorders>
            <w:shd w:val="clear" w:color="auto" w:fill="auto"/>
            <w:noWrap/>
            <w:vAlign w:val="bottom"/>
            <w:hideMark/>
          </w:tcPr>
          <w:p w14:paraId="359006B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w:t>
            </w:r>
          </w:p>
        </w:tc>
        <w:tc>
          <w:tcPr>
            <w:tcW w:w="1178" w:type="dxa"/>
            <w:tcBorders>
              <w:top w:val="nil"/>
              <w:left w:val="nil"/>
              <w:bottom w:val="nil"/>
              <w:right w:val="nil"/>
            </w:tcBorders>
            <w:shd w:val="clear" w:color="auto" w:fill="auto"/>
            <w:noWrap/>
            <w:vAlign w:val="bottom"/>
            <w:hideMark/>
          </w:tcPr>
          <w:p w14:paraId="715DBDB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17,425 </w:t>
            </w:r>
          </w:p>
        </w:tc>
        <w:tc>
          <w:tcPr>
            <w:tcW w:w="517" w:type="dxa"/>
            <w:tcBorders>
              <w:top w:val="nil"/>
              <w:left w:val="nil"/>
              <w:bottom w:val="nil"/>
              <w:right w:val="single" w:sz="4" w:space="0" w:color="auto"/>
            </w:tcBorders>
            <w:shd w:val="clear" w:color="auto" w:fill="auto"/>
            <w:noWrap/>
            <w:vAlign w:val="bottom"/>
            <w:hideMark/>
          </w:tcPr>
          <w:p w14:paraId="34441AA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2.0%</w:t>
            </w:r>
          </w:p>
        </w:tc>
      </w:tr>
      <w:tr w:rsidR="00931E93" w:rsidRPr="00986C6D" w14:paraId="69B4A669"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2A06F2EF"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67A2774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Stroke</w:t>
            </w:r>
          </w:p>
        </w:tc>
        <w:tc>
          <w:tcPr>
            <w:tcW w:w="1068" w:type="dxa"/>
            <w:tcBorders>
              <w:top w:val="nil"/>
              <w:left w:val="nil"/>
              <w:bottom w:val="nil"/>
              <w:right w:val="nil"/>
            </w:tcBorders>
            <w:shd w:val="clear" w:color="auto" w:fill="auto"/>
            <w:noWrap/>
            <w:vAlign w:val="bottom"/>
            <w:hideMark/>
          </w:tcPr>
          <w:p w14:paraId="5EC7422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355 </w:t>
            </w:r>
          </w:p>
        </w:tc>
        <w:tc>
          <w:tcPr>
            <w:tcW w:w="664" w:type="dxa"/>
            <w:tcBorders>
              <w:top w:val="nil"/>
              <w:left w:val="nil"/>
              <w:bottom w:val="nil"/>
              <w:right w:val="nil"/>
            </w:tcBorders>
            <w:shd w:val="clear" w:color="auto" w:fill="auto"/>
            <w:noWrap/>
            <w:vAlign w:val="bottom"/>
            <w:hideMark/>
          </w:tcPr>
          <w:p w14:paraId="1D40A33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0.9%</w:t>
            </w:r>
          </w:p>
        </w:tc>
        <w:tc>
          <w:tcPr>
            <w:tcW w:w="1068" w:type="dxa"/>
            <w:tcBorders>
              <w:top w:val="nil"/>
              <w:left w:val="nil"/>
              <w:bottom w:val="nil"/>
              <w:right w:val="nil"/>
            </w:tcBorders>
            <w:shd w:val="clear" w:color="auto" w:fill="auto"/>
            <w:noWrap/>
            <w:vAlign w:val="bottom"/>
            <w:hideMark/>
          </w:tcPr>
          <w:p w14:paraId="53C2236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595 </w:t>
            </w:r>
          </w:p>
        </w:tc>
        <w:tc>
          <w:tcPr>
            <w:tcW w:w="664" w:type="dxa"/>
            <w:tcBorders>
              <w:top w:val="nil"/>
              <w:left w:val="nil"/>
              <w:bottom w:val="nil"/>
              <w:right w:val="nil"/>
            </w:tcBorders>
            <w:shd w:val="clear" w:color="auto" w:fill="auto"/>
            <w:noWrap/>
            <w:vAlign w:val="bottom"/>
            <w:hideMark/>
          </w:tcPr>
          <w:p w14:paraId="59D64AD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w:t>
            </w:r>
          </w:p>
        </w:tc>
        <w:tc>
          <w:tcPr>
            <w:tcW w:w="1068" w:type="dxa"/>
            <w:tcBorders>
              <w:top w:val="nil"/>
              <w:left w:val="nil"/>
              <w:bottom w:val="nil"/>
              <w:right w:val="nil"/>
            </w:tcBorders>
            <w:shd w:val="clear" w:color="auto" w:fill="auto"/>
            <w:noWrap/>
            <w:vAlign w:val="bottom"/>
            <w:hideMark/>
          </w:tcPr>
          <w:p w14:paraId="0D01FB1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810 </w:t>
            </w:r>
          </w:p>
        </w:tc>
        <w:tc>
          <w:tcPr>
            <w:tcW w:w="664" w:type="dxa"/>
            <w:tcBorders>
              <w:top w:val="nil"/>
              <w:left w:val="nil"/>
              <w:bottom w:val="nil"/>
              <w:right w:val="nil"/>
            </w:tcBorders>
            <w:shd w:val="clear" w:color="auto" w:fill="auto"/>
            <w:noWrap/>
            <w:vAlign w:val="bottom"/>
            <w:hideMark/>
          </w:tcPr>
          <w:p w14:paraId="2009704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w:t>
            </w:r>
          </w:p>
        </w:tc>
        <w:tc>
          <w:tcPr>
            <w:tcW w:w="1049" w:type="dxa"/>
            <w:tcBorders>
              <w:top w:val="nil"/>
              <w:left w:val="single" w:sz="4" w:space="0" w:color="auto"/>
              <w:bottom w:val="nil"/>
              <w:right w:val="nil"/>
            </w:tcBorders>
            <w:shd w:val="clear" w:color="auto" w:fill="auto"/>
            <w:noWrap/>
            <w:vAlign w:val="bottom"/>
            <w:hideMark/>
          </w:tcPr>
          <w:p w14:paraId="25260B7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2,895 </w:t>
            </w:r>
          </w:p>
        </w:tc>
        <w:tc>
          <w:tcPr>
            <w:tcW w:w="664" w:type="dxa"/>
            <w:tcBorders>
              <w:top w:val="nil"/>
              <w:left w:val="nil"/>
              <w:bottom w:val="nil"/>
              <w:right w:val="nil"/>
            </w:tcBorders>
            <w:shd w:val="clear" w:color="auto" w:fill="auto"/>
            <w:noWrap/>
            <w:vAlign w:val="bottom"/>
            <w:hideMark/>
          </w:tcPr>
          <w:p w14:paraId="3F93D29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2.2%</w:t>
            </w:r>
          </w:p>
        </w:tc>
        <w:tc>
          <w:tcPr>
            <w:tcW w:w="1198" w:type="dxa"/>
            <w:tcBorders>
              <w:top w:val="nil"/>
              <w:left w:val="nil"/>
              <w:bottom w:val="nil"/>
              <w:right w:val="nil"/>
            </w:tcBorders>
            <w:shd w:val="clear" w:color="auto" w:fill="auto"/>
            <w:noWrap/>
            <w:vAlign w:val="bottom"/>
            <w:hideMark/>
          </w:tcPr>
          <w:p w14:paraId="2502C15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6,140 </w:t>
            </w:r>
          </w:p>
        </w:tc>
        <w:tc>
          <w:tcPr>
            <w:tcW w:w="664" w:type="dxa"/>
            <w:tcBorders>
              <w:top w:val="nil"/>
              <w:left w:val="nil"/>
              <w:bottom w:val="nil"/>
              <w:right w:val="nil"/>
            </w:tcBorders>
            <w:shd w:val="clear" w:color="auto" w:fill="auto"/>
            <w:noWrap/>
            <w:vAlign w:val="bottom"/>
            <w:hideMark/>
          </w:tcPr>
          <w:p w14:paraId="75BF582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1.6%</w:t>
            </w:r>
          </w:p>
        </w:tc>
        <w:tc>
          <w:tcPr>
            <w:tcW w:w="1178" w:type="dxa"/>
            <w:tcBorders>
              <w:top w:val="nil"/>
              <w:left w:val="nil"/>
              <w:bottom w:val="nil"/>
              <w:right w:val="nil"/>
            </w:tcBorders>
            <w:shd w:val="clear" w:color="auto" w:fill="auto"/>
            <w:noWrap/>
            <w:vAlign w:val="bottom"/>
            <w:hideMark/>
          </w:tcPr>
          <w:p w14:paraId="48A5C98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11,090 </w:t>
            </w:r>
          </w:p>
        </w:tc>
        <w:tc>
          <w:tcPr>
            <w:tcW w:w="517" w:type="dxa"/>
            <w:tcBorders>
              <w:top w:val="nil"/>
              <w:left w:val="nil"/>
              <w:bottom w:val="nil"/>
              <w:right w:val="single" w:sz="4" w:space="0" w:color="auto"/>
            </w:tcBorders>
            <w:shd w:val="clear" w:color="auto" w:fill="auto"/>
            <w:noWrap/>
            <w:vAlign w:val="bottom"/>
            <w:hideMark/>
          </w:tcPr>
          <w:p w14:paraId="1B3209F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w:t>
            </w:r>
          </w:p>
        </w:tc>
      </w:tr>
      <w:tr w:rsidR="00931E93" w:rsidRPr="00986C6D" w14:paraId="5EFA3AE2"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52610301"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6EBD16A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Heart failure</w:t>
            </w:r>
          </w:p>
        </w:tc>
        <w:tc>
          <w:tcPr>
            <w:tcW w:w="1068" w:type="dxa"/>
            <w:tcBorders>
              <w:top w:val="nil"/>
              <w:left w:val="nil"/>
              <w:bottom w:val="nil"/>
              <w:right w:val="nil"/>
            </w:tcBorders>
            <w:shd w:val="clear" w:color="auto" w:fill="auto"/>
            <w:noWrap/>
            <w:vAlign w:val="bottom"/>
            <w:hideMark/>
          </w:tcPr>
          <w:p w14:paraId="671BD87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420 </w:t>
            </w:r>
          </w:p>
        </w:tc>
        <w:tc>
          <w:tcPr>
            <w:tcW w:w="664" w:type="dxa"/>
            <w:tcBorders>
              <w:top w:val="nil"/>
              <w:left w:val="nil"/>
              <w:bottom w:val="nil"/>
              <w:right w:val="nil"/>
            </w:tcBorders>
            <w:shd w:val="clear" w:color="auto" w:fill="auto"/>
            <w:noWrap/>
            <w:vAlign w:val="bottom"/>
            <w:hideMark/>
          </w:tcPr>
          <w:p w14:paraId="324C438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w:t>
            </w:r>
          </w:p>
        </w:tc>
        <w:tc>
          <w:tcPr>
            <w:tcW w:w="1068" w:type="dxa"/>
            <w:tcBorders>
              <w:top w:val="nil"/>
              <w:left w:val="nil"/>
              <w:bottom w:val="nil"/>
              <w:right w:val="nil"/>
            </w:tcBorders>
            <w:shd w:val="clear" w:color="auto" w:fill="auto"/>
            <w:noWrap/>
            <w:vAlign w:val="bottom"/>
            <w:hideMark/>
          </w:tcPr>
          <w:p w14:paraId="32C7FE1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850 </w:t>
            </w:r>
          </w:p>
        </w:tc>
        <w:tc>
          <w:tcPr>
            <w:tcW w:w="664" w:type="dxa"/>
            <w:tcBorders>
              <w:top w:val="nil"/>
              <w:left w:val="nil"/>
              <w:bottom w:val="nil"/>
              <w:right w:val="nil"/>
            </w:tcBorders>
            <w:shd w:val="clear" w:color="auto" w:fill="auto"/>
            <w:noWrap/>
            <w:vAlign w:val="bottom"/>
            <w:hideMark/>
          </w:tcPr>
          <w:p w14:paraId="3D6AB27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1.4%</w:t>
            </w:r>
          </w:p>
        </w:tc>
        <w:tc>
          <w:tcPr>
            <w:tcW w:w="1068" w:type="dxa"/>
            <w:tcBorders>
              <w:top w:val="nil"/>
              <w:left w:val="nil"/>
              <w:bottom w:val="nil"/>
              <w:right w:val="nil"/>
            </w:tcBorders>
            <w:shd w:val="clear" w:color="auto" w:fill="auto"/>
            <w:noWrap/>
            <w:vAlign w:val="bottom"/>
            <w:hideMark/>
          </w:tcPr>
          <w:p w14:paraId="414D1C0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1,315 </w:t>
            </w:r>
          </w:p>
        </w:tc>
        <w:tc>
          <w:tcPr>
            <w:tcW w:w="664" w:type="dxa"/>
            <w:tcBorders>
              <w:top w:val="nil"/>
              <w:left w:val="nil"/>
              <w:bottom w:val="nil"/>
              <w:right w:val="nil"/>
            </w:tcBorders>
            <w:shd w:val="clear" w:color="auto" w:fill="auto"/>
            <w:noWrap/>
            <w:vAlign w:val="bottom"/>
            <w:hideMark/>
          </w:tcPr>
          <w:p w14:paraId="4638229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1.6%</w:t>
            </w:r>
          </w:p>
        </w:tc>
        <w:tc>
          <w:tcPr>
            <w:tcW w:w="1049" w:type="dxa"/>
            <w:tcBorders>
              <w:top w:val="nil"/>
              <w:left w:val="single" w:sz="4" w:space="0" w:color="auto"/>
              <w:bottom w:val="nil"/>
              <w:right w:val="nil"/>
            </w:tcBorders>
            <w:shd w:val="clear" w:color="auto" w:fill="auto"/>
            <w:noWrap/>
            <w:vAlign w:val="bottom"/>
            <w:hideMark/>
          </w:tcPr>
          <w:p w14:paraId="7294A91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3,290 </w:t>
            </w:r>
          </w:p>
        </w:tc>
        <w:tc>
          <w:tcPr>
            <w:tcW w:w="664" w:type="dxa"/>
            <w:tcBorders>
              <w:top w:val="nil"/>
              <w:left w:val="nil"/>
              <w:bottom w:val="nil"/>
              <w:right w:val="nil"/>
            </w:tcBorders>
            <w:shd w:val="clear" w:color="auto" w:fill="auto"/>
            <w:noWrap/>
            <w:vAlign w:val="bottom"/>
            <w:hideMark/>
          </w:tcPr>
          <w:p w14:paraId="4C28B3B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2.5%</w:t>
            </w:r>
          </w:p>
        </w:tc>
        <w:tc>
          <w:tcPr>
            <w:tcW w:w="1198" w:type="dxa"/>
            <w:tcBorders>
              <w:top w:val="nil"/>
              <w:left w:val="nil"/>
              <w:bottom w:val="nil"/>
              <w:right w:val="nil"/>
            </w:tcBorders>
            <w:shd w:val="clear" w:color="auto" w:fill="auto"/>
            <w:noWrap/>
            <w:vAlign w:val="bottom"/>
            <w:hideMark/>
          </w:tcPr>
          <w:p w14:paraId="50829EB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8,845 </w:t>
            </w:r>
          </w:p>
        </w:tc>
        <w:tc>
          <w:tcPr>
            <w:tcW w:w="664" w:type="dxa"/>
            <w:tcBorders>
              <w:top w:val="nil"/>
              <w:left w:val="nil"/>
              <w:bottom w:val="nil"/>
              <w:right w:val="nil"/>
            </w:tcBorders>
            <w:shd w:val="clear" w:color="auto" w:fill="auto"/>
            <w:noWrap/>
            <w:vAlign w:val="bottom"/>
            <w:hideMark/>
          </w:tcPr>
          <w:p w14:paraId="3E1081C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2.3%</w:t>
            </w:r>
          </w:p>
        </w:tc>
        <w:tc>
          <w:tcPr>
            <w:tcW w:w="1178" w:type="dxa"/>
            <w:tcBorders>
              <w:top w:val="nil"/>
              <w:left w:val="nil"/>
              <w:bottom w:val="nil"/>
              <w:right w:val="nil"/>
            </w:tcBorders>
            <w:shd w:val="clear" w:color="auto" w:fill="auto"/>
            <w:noWrap/>
            <w:vAlign w:val="bottom"/>
            <w:hideMark/>
          </w:tcPr>
          <w:p w14:paraId="1A50070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19,065 </w:t>
            </w:r>
          </w:p>
        </w:tc>
        <w:tc>
          <w:tcPr>
            <w:tcW w:w="517" w:type="dxa"/>
            <w:tcBorders>
              <w:top w:val="nil"/>
              <w:left w:val="nil"/>
              <w:bottom w:val="nil"/>
              <w:right w:val="single" w:sz="4" w:space="0" w:color="auto"/>
            </w:tcBorders>
            <w:shd w:val="clear" w:color="auto" w:fill="auto"/>
            <w:noWrap/>
            <w:vAlign w:val="bottom"/>
            <w:hideMark/>
          </w:tcPr>
          <w:p w14:paraId="0B29D5C2"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2.2%</w:t>
            </w:r>
          </w:p>
        </w:tc>
      </w:tr>
      <w:tr w:rsidR="00931E93" w:rsidRPr="00986C6D" w14:paraId="7E874023" w14:textId="77777777" w:rsidTr="00154DE3">
        <w:trPr>
          <w:trHeight w:val="233"/>
        </w:trPr>
        <w:tc>
          <w:tcPr>
            <w:tcW w:w="600" w:type="dxa"/>
            <w:tcBorders>
              <w:top w:val="nil"/>
              <w:left w:val="single" w:sz="4" w:space="0" w:color="auto"/>
              <w:bottom w:val="nil"/>
              <w:right w:val="nil"/>
            </w:tcBorders>
            <w:shd w:val="clear" w:color="auto" w:fill="auto"/>
            <w:noWrap/>
            <w:vAlign w:val="bottom"/>
            <w:hideMark/>
          </w:tcPr>
          <w:p w14:paraId="40B1CDE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nil"/>
              <w:right w:val="single" w:sz="4" w:space="0" w:color="auto"/>
            </w:tcBorders>
            <w:shd w:val="clear" w:color="auto" w:fill="auto"/>
            <w:noWrap/>
            <w:vAlign w:val="bottom"/>
            <w:hideMark/>
          </w:tcPr>
          <w:p w14:paraId="00354D5F"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Respiratory disease</w:t>
            </w:r>
          </w:p>
        </w:tc>
        <w:tc>
          <w:tcPr>
            <w:tcW w:w="1068" w:type="dxa"/>
            <w:tcBorders>
              <w:top w:val="nil"/>
              <w:left w:val="nil"/>
              <w:bottom w:val="nil"/>
              <w:right w:val="nil"/>
            </w:tcBorders>
            <w:shd w:val="clear" w:color="auto" w:fill="auto"/>
            <w:noWrap/>
            <w:vAlign w:val="bottom"/>
            <w:hideMark/>
          </w:tcPr>
          <w:p w14:paraId="17E5F44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4,245 </w:t>
            </w:r>
          </w:p>
        </w:tc>
        <w:tc>
          <w:tcPr>
            <w:tcW w:w="664" w:type="dxa"/>
            <w:tcBorders>
              <w:top w:val="nil"/>
              <w:left w:val="nil"/>
              <w:bottom w:val="nil"/>
              <w:right w:val="nil"/>
            </w:tcBorders>
            <w:shd w:val="clear" w:color="auto" w:fill="auto"/>
            <w:noWrap/>
            <w:vAlign w:val="bottom"/>
            <w:hideMark/>
          </w:tcPr>
          <w:p w14:paraId="6BDA100E"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11.4%</w:t>
            </w:r>
          </w:p>
        </w:tc>
        <w:tc>
          <w:tcPr>
            <w:tcW w:w="1068" w:type="dxa"/>
            <w:tcBorders>
              <w:top w:val="nil"/>
              <w:left w:val="nil"/>
              <w:bottom w:val="nil"/>
              <w:right w:val="nil"/>
            </w:tcBorders>
            <w:shd w:val="clear" w:color="auto" w:fill="auto"/>
            <w:noWrap/>
            <w:vAlign w:val="bottom"/>
            <w:hideMark/>
          </w:tcPr>
          <w:p w14:paraId="27A6C86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6,615 </w:t>
            </w:r>
          </w:p>
        </w:tc>
        <w:tc>
          <w:tcPr>
            <w:tcW w:w="664" w:type="dxa"/>
            <w:tcBorders>
              <w:top w:val="nil"/>
              <w:left w:val="nil"/>
              <w:bottom w:val="nil"/>
              <w:right w:val="nil"/>
            </w:tcBorders>
            <w:shd w:val="clear" w:color="auto" w:fill="auto"/>
            <w:noWrap/>
            <w:vAlign w:val="bottom"/>
            <w:hideMark/>
          </w:tcPr>
          <w:p w14:paraId="4461EE7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10.8%</w:t>
            </w:r>
          </w:p>
        </w:tc>
        <w:tc>
          <w:tcPr>
            <w:tcW w:w="1068" w:type="dxa"/>
            <w:tcBorders>
              <w:top w:val="nil"/>
              <w:left w:val="nil"/>
              <w:bottom w:val="nil"/>
              <w:right w:val="nil"/>
            </w:tcBorders>
            <w:shd w:val="clear" w:color="auto" w:fill="auto"/>
            <w:noWrap/>
            <w:vAlign w:val="bottom"/>
            <w:hideMark/>
          </w:tcPr>
          <w:p w14:paraId="7C05C156"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8,575 </w:t>
            </w:r>
          </w:p>
        </w:tc>
        <w:tc>
          <w:tcPr>
            <w:tcW w:w="664" w:type="dxa"/>
            <w:tcBorders>
              <w:top w:val="nil"/>
              <w:left w:val="nil"/>
              <w:bottom w:val="nil"/>
              <w:right w:val="nil"/>
            </w:tcBorders>
            <w:shd w:val="clear" w:color="auto" w:fill="auto"/>
            <w:noWrap/>
            <w:vAlign w:val="bottom"/>
            <w:hideMark/>
          </w:tcPr>
          <w:p w14:paraId="03D7015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10.6%</w:t>
            </w:r>
          </w:p>
        </w:tc>
        <w:tc>
          <w:tcPr>
            <w:tcW w:w="1049" w:type="dxa"/>
            <w:tcBorders>
              <w:top w:val="nil"/>
              <w:left w:val="single" w:sz="4" w:space="0" w:color="auto"/>
              <w:bottom w:val="nil"/>
              <w:right w:val="nil"/>
            </w:tcBorders>
            <w:shd w:val="clear" w:color="auto" w:fill="auto"/>
            <w:noWrap/>
            <w:vAlign w:val="bottom"/>
            <w:hideMark/>
          </w:tcPr>
          <w:p w14:paraId="6A5B659B"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13,825 </w:t>
            </w:r>
          </w:p>
        </w:tc>
        <w:tc>
          <w:tcPr>
            <w:tcW w:w="664" w:type="dxa"/>
            <w:tcBorders>
              <w:top w:val="nil"/>
              <w:left w:val="nil"/>
              <w:bottom w:val="nil"/>
              <w:right w:val="nil"/>
            </w:tcBorders>
            <w:shd w:val="clear" w:color="auto" w:fill="auto"/>
            <w:noWrap/>
            <w:vAlign w:val="bottom"/>
            <w:hideMark/>
          </w:tcPr>
          <w:p w14:paraId="4F55E6F1"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10.5%</w:t>
            </w:r>
          </w:p>
        </w:tc>
        <w:tc>
          <w:tcPr>
            <w:tcW w:w="1198" w:type="dxa"/>
            <w:tcBorders>
              <w:top w:val="nil"/>
              <w:left w:val="nil"/>
              <w:bottom w:val="nil"/>
              <w:right w:val="nil"/>
            </w:tcBorders>
            <w:shd w:val="clear" w:color="auto" w:fill="auto"/>
            <w:noWrap/>
            <w:vAlign w:val="bottom"/>
            <w:hideMark/>
          </w:tcPr>
          <w:p w14:paraId="2D897A2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39,045 </w:t>
            </w:r>
          </w:p>
        </w:tc>
        <w:tc>
          <w:tcPr>
            <w:tcW w:w="664" w:type="dxa"/>
            <w:tcBorders>
              <w:top w:val="nil"/>
              <w:left w:val="nil"/>
              <w:bottom w:val="nil"/>
              <w:right w:val="nil"/>
            </w:tcBorders>
            <w:shd w:val="clear" w:color="auto" w:fill="auto"/>
            <w:noWrap/>
            <w:vAlign w:val="bottom"/>
            <w:hideMark/>
          </w:tcPr>
          <w:p w14:paraId="0E1FF267"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10.1%</w:t>
            </w:r>
          </w:p>
        </w:tc>
        <w:tc>
          <w:tcPr>
            <w:tcW w:w="1178" w:type="dxa"/>
            <w:tcBorders>
              <w:top w:val="nil"/>
              <w:left w:val="nil"/>
              <w:bottom w:val="nil"/>
              <w:right w:val="nil"/>
            </w:tcBorders>
            <w:shd w:val="clear" w:color="auto" w:fill="auto"/>
            <w:noWrap/>
            <w:vAlign w:val="bottom"/>
            <w:hideMark/>
          </w:tcPr>
          <w:p w14:paraId="7AA310C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87,765 </w:t>
            </w:r>
          </w:p>
        </w:tc>
        <w:tc>
          <w:tcPr>
            <w:tcW w:w="517" w:type="dxa"/>
            <w:tcBorders>
              <w:top w:val="nil"/>
              <w:left w:val="nil"/>
              <w:bottom w:val="nil"/>
              <w:right w:val="single" w:sz="4" w:space="0" w:color="auto"/>
            </w:tcBorders>
            <w:shd w:val="clear" w:color="auto" w:fill="auto"/>
            <w:noWrap/>
            <w:vAlign w:val="bottom"/>
            <w:hideMark/>
          </w:tcPr>
          <w:p w14:paraId="5CC7F82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r>
      <w:tr w:rsidR="00931E93" w:rsidRPr="00986C6D" w14:paraId="7F44960C" w14:textId="77777777" w:rsidTr="00154DE3">
        <w:trPr>
          <w:trHeight w:val="233"/>
        </w:trPr>
        <w:tc>
          <w:tcPr>
            <w:tcW w:w="600" w:type="dxa"/>
            <w:tcBorders>
              <w:top w:val="nil"/>
              <w:left w:val="single" w:sz="4" w:space="0" w:color="auto"/>
              <w:bottom w:val="single" w:sz="4" w:space="0" w:color="auto"/>
              <w:right w:val="nil"/>
            </w:tcBorders>
            <w:shd w:val="clear" w:color="auto" w:fill="auto"/>
            <w:noWrap/>
            <w:vAlign w:val="bottom"/>
            <w:hideMark/>
          </w:tcPr>
          <w:p w14:paraId="25B46E5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w:t>
            </w:r>
          </w:p>
        </w:tc>
        <w:tc>
          <w:tcPr>
            <w:tcW w:w="1920" w:type="dxa"/>
            <w:tcBorders>
              <w:top w:val="nil"/>
              <w:left w:val="nil"/>
              <w:bottom w:val="single" w:sz="4" w:space="0" w:color="auto"/>
              <w:right w:val="single" w:sz="4" w:space="0" w:color="auto"/>
            </w:tcBorders>
            <w:shd w:val="clear" w:color="auto" w:fill="auto"/>
            <w:noWrap/>
            <w:vAlign w:val="bottom"/>
            <w:hideMark/>
          </w:tcPr>
          <w:p w14:paraId="15FA8BC7"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Cancer</w:t>
            </w:r>
          </w:p>
        </w:tc>
        <w:tc>
          <w:tcPr>
            <w:tcW w:w="1068" w:type="dxa"/>
            <w:tcBorders>
              <w:top w:val="nil"/>
              <w:left w:val="nil"/>
              <w:bottom w:val="single" w:sz="4" w:space="0" w:color="auto"/>
              <w:right w:val="nil"/>
            </w:tcBorders>
            <w:shd w:val="clear" w:color="auto" w:fill="auto"/>
            <w:noWrap/>
            <w:vAlign w:val="bottom"/>
            <w:hideMark/>
          </w:tcPr>
          <w:p w14:paraId="47D1084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450 </w:t>
            </w:r>
          </w:p>
        </w:tc>
        <w:tc>
          <w:tcPr>
            <w:tcW w:w="664" w:type="dxa"/>
            <w:tcBorders>
              <w:top w:val="nil"/>
              <w:left w:val="nil"/>
              <w:bottom w:val="single" w:sz="4" w:space="0" w:color="auto"/>
              <w:right w:val="nil"/>
            </w:tcBorders>
            <w:shd w:val="clear" w:color="auto" w:fill="auto"/>
            <w:noWrap/>
            <w:vAlign w:val="bottom"/>
            <w:hideMark/>
          </w:tcPr>
          <w:p w14:paraId="3937E52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w:t>
            </w:r>
          </w:p>
        </w:tc>
        <w:tc>
          <w:tcPr>
            <w:tcW w:w="1068" w:type="dxa"/>
            <w:tcBorders>
              <w:top w:val="nil"/>
              <w:left w:val="nil"/>
              <w:bottom w:val="single" w:sz="4" w:space="0" w:color="auto"/>
              <w:right w:val="nil"/>
            </w:tcBorders>
            <w:shd w:val="clear" w:color="auto" w:fill="auto"/>
            <w:noWrap/>
            <w:vAlign w:val="bottom"/>
            <w:hideMark/>
          </w:tcPr>
          <w:p w14:paraId="305F2D69"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1,040 </w:t>
            </w:r>
          </w:p>
        </w:tc>
        <w:tc>
          <w:tcPr>
            <w:tcW w:w="664" w:type="dxa"/>
            <w:tcBorders>
              <w:top w:val="nil"/>
              <w:left w:val="nil"/>
              <w:bottom w:val="single" w:sz="4" w:space="0" w:color="auto"/>
              <w:right w:val="nil"/>
            </w:tcBorders>
            <w:shd w:val="clear" w:color="auto" w:fill="auto"/>
            <w:noWrap/>
            <w:vAlign w:val="bottom"/>
            <w:hideMark/>
          </w:tcPr>
          <w:p w14:paraId="4E5DF4FA"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1.7%</w:t>
            </w:r>
          </w:p>
        </w:tc>
        <w:tc>
          <w:tcPr>
            <w:tcW w:w="1068" w:type="dxa"/>
            <w:tcBorders>
              <w:top w:val="nil"/>
              <w:left w:val="nil"/>
              <w:bottom w:val="single" w:sz="4" w:space="0" w:color="auto"/>
              <w:right w:val="nil"/>
            </w:tcBorders>
            <w:shd w:val="clear" w:color="auto" w:fill="auto"/>
            <w:noWrap/>
            <w:vAlign w:val="bottom"/>
            <w:hideMark/>
          </w:tcPr>
          <w:p w14:paraId="058C00E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1,895 </w:t>
            </w:r>
          </w:p>
        </w:tc>
        <w:tc>
          <w:tcPr>
            <w:tcW w:w="664" w:type="dxa"/>
            <w:tcBorders>
              <w:top w:val="nil"/>
              <w:left w:val="nil"/>
              <w:bottom w:val="single" w:sz="4" w:space="0" w:color="auto"/>
              <w:right w:val="nil"/>
            </w:tcBorders>
            <w:shd w:val="clear" w:color="auto" w:fill="auto"/>
            <w:noWrap/>
            <w:vAlign w:val="bottom"/>
            <w:hideMark/>
          </w:tcPr>
          <w:p w14:paraId="670A53FC"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2.4%</w:t>
            </w:r>
          </w:p>
        </w:tc>
        <w:tc>
          <w:tcPr>
            <w:tcW w:w="1049" w:type="dxa"/>
            <w:tcBorders>
              <w:top w:val="nil"/>
              <w:left w:val="single" w:sz="4" w:space="0" w:color="auto"/>
              <w:bottom w:val="single" w:sz="4" w:space="0" w:color="auto"/>
              <w:right w:val="nil"/>
            </w:tcBorders>
            <w:shd w:val="clear" w:color="auto" w:fill="auto"/>
            <w:noWrap/>
            <w:vAlign w:val="bottom"/>
            <w:hideMark/>
          </w:tcPr>
          <w:p w14:paraId="1244D6B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3,975 </w:t>
            </w:r>
          </w:p>
        </w:tc>
        <w:tc>
          <w:tcPr>
            <w:tcW w:w="664" w:type="dxa"/>
            <w:tcBorders>
              <w:top w:val="nil"/>
              <w:left w:val="nil"/>
              <w:bottom w:val="single" w:sz="4" w:space="0" w:color="auto"/>
              <w:right w:val="nil"/>
            </w:tcBorders>
            <w:shd w:val="clear" w:color="auto" w:fill="auto"/>
            <w:noWrap/>
            <w:vAlign w:val="bottom"/>
            <w:hideMark/>
          </w:tcPr>
          <w:p w14:paraId="75EF1BF3"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3.0%</w:t>
            </w:r>
          </w:p>
        </w:tc>
        <w:tc>
          <w:tcPr>
            <w:tcW w:w="1198" w:type="dxa"/>
            <w:tcBorders>
              <w:top w:val="nil"/>
              <w:left w:val="nil"/>
              <w:bottom w:val="single" w:sz="4" w:space="0" w:color="auto"/>
              <w:right w:val="nil"/>
            </w:tcBorders>
            <w:shd w:val="clear" w:color="auto" w:fill="auto"/>
            <w:noWrap/>
            <w:vAlign w:val="bottom"/>
            <w:hideMark/>
          </w:tcPr>
          <w:p w14:paraId="71102CD0"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14,350 </w:t>
            </w:r>
          </w:p>
        </w:tc>
        <w:tc>
          <w:tcPr>
            <w:tcW w:w="664" w:type="dxa"/>
            <w:tcBorders>
              <w:top w:val="nil"/>
              <w:left w:val="nil"/>
              <w:bottom w:val="single" w:sz="4" w:space="0" w:color="auto"/>
              <w:right w:val="nil"/>
            </w:tcBorders>
            <w:shd w:val="clear" w:color="auto" w:fill="auto"/>
            <w:noWrap/>
            <w:vAlign w:val="bottom"/>
            <w:hideMark/>
          </w:tcPr>
          <w:p w14:paraId="14942B5D"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3.7%</w:t>
            </w:r>
          </w:p>
        </w:tc>
        <w:tc>
          <w:tcPr>
            <w:tcW w:w="1178" w:type="dxa"/>
            <w:tcBorders>
              <w:top w:val="nil"/>
              <w:left w:val="nil"/>
              <w:bottom w:val="single" w:sz="4" w:space="0" w:color="auto"/>
              <w:right w:val="nil"/>
            </w:tcBorders>
            <w:shd w:val="clear" w:color="auto" w:fill="auto"/>
            <w:noWrap/>
            <w:vAlign w:val="bottom"/>
            <w:hideMark/>
          </w:tcPr>
          <w:p w14:paraId="135055BF"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36,615 </w:t>
            </w:r>
          </w:p>
        </w:tc>
        <w:tc>
          <w:tcPr>
            <w:tcW w:w="517" w:type="dxa"/>
            <w:tcBorders>
              <w:top w:val="nil"/>
              <w:left w:val="nil"/>
              <w:bottom w:val="single" w:sz="4" w:space="0" w:color="auto"/>
              <w:right w:val="single" w:sz="4" w:space="0" w:color="auto"/>
            </w:tcBorders>
            <w:shd w:val="clear" w:color="auto" w:fill="auto"/>
            <w:noWrap/>
            <w:vAlign w:val="bottom"/>
            <w:hideMark/>
          </w:tcPr>
          <w:p w14:paraId="0BF63464" w14:textId="77777777" w:rsidR="00931E93" w:rsidRPr="00986C6D" w:rsidRDefault="00931E93" w:rsidP="00154DE3">
            <w:pPr>
              <w:spacing w:after="0" w:line="240" w:lineRule="auto"/>
              <w:jc w:val="right"/>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4.2%</w:t>
            </w:r>
          </w:p>
        </w:tc>
      </w:tr>
    </w:tbl>
    <w:p w14:paraId="053D53A2" w14:textId="77777777" w:rsidR="00931E93" w:rsidRPr="00986C6D" w:rsidRDefault="00931E93" w:rsidP="00931E93">
      <w:pPr>
        <w:spacing w:line="360" w:lineRule="auto"/>
        <w:rPr>
          <w:rFonts w:ascii="Arial" w:hAnsi="Arial"/>
        </w:rPr>
      </w:pPr>
    </w:p>
    <w:p w14:paraId="3B9DAE84" w14:textId="1CBE1857" w:rsidR="00931E93" w:rsidRDefault="00931E93">
      <w:r>
        <w:br w:type="page"/>
      </w:r>
    </w:p>
    <w:p w14:paraId="43B874B5" w14:textId="7DE5827E"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Table 2: Number, crude rate and age and sex standardised of deaths by number of care processes received and type of diabetes</w:t>
      </w:r>
    </w:p>
    <w:tbl>
      <w:tblPr>
        <w:tblW w:w="15198" w:type="dxa"/>
        <w:tblInd w:w="1"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97"/>
        <w:gridCol w:w="1839"/>
        <w:gridCol w:w="946"/>
        <w:gridCol w:w="1557"/>
        <w:gridCol w:w="2126"/>
        <w:gridCol w:w="867"/>
        <w:gridCol w:w="1560"/>
        <w:gridCol w:w="1542"/>
        <w:gridCol w:w="866"/>
        <w:gridCol w:w="1559"/>
        <w:gridCol w:w="1563"/>
      </w:tblGrid>
      <w:tr w:rsidR="00931E93" w:rsidRPr="00986C6D" w14:paraId="6EBA1A88" w14:textId="77777777" w:rsidTr="00154DE3">
        <w:trPr>
          <w:trHeight w:val="233"/>
        </w:trPr>
        <w:tc>
          <w:tcPr>
            <w:tcW w:w="2736" w:type="dxa"/>
            <w:gridSpan w:val="2"/>
            <w:vMerge w:val="restart"/>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8B573B8"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 </w:t>
            </w:r>
          </w:p>
        </w:tc>
        <w:tc>
          <w:tcPr>
            <w:tcW w:w="4629" w:type="dxa"/>
            <w:gridSpan w:val="3"/>
            <w:tcBorders>
              <w:top w:val="single" w:sz="4" w:space="0" w:color="auto"/>
              <w:left w:val="single" w:sz="4" w:space="0" w:color="auto"/>
              <w:bottom w:val="nil"/>
              <w:right w:val="single" w:sz="4" w:space="0" w:color="auto"/>
            </w:tcBorders>
            <w:noWrap/>
            <w:tcMar>
              <w:top w:w="0" w:type="dxa"/>
              <w:left w:w="108" w:type="dxa"/>
              <w:bottom w:w="0" w:type="dxa"/>
              <w:right w:w="108" w:type="dxa"/>
            </w:tcMar>
            <w:vAlign w:val="bottom"/>
            <w:hideMark/>
          </w:tcPr>
          <w:p w14:paraId="14254718"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 5 care processes</w:t>
            </w:r>
          </w:p>
        </w:tc>
        <w:tc>
          <w:tcPr>
            <w:tcW w:w="3969" w:type="dxa"/>
            <w:gridSpan w:val="3"/>
            <w:tcBorders>
              <w:top w:val="single" w:sz="4" w:space="0" w:color="auto"/>
              <w:left w:val="single" w:sz="4" w:space="0" w:color="auto"/>
              <w:bottom w:val="nil"/>
              <w:right w:val="single" w:sz="4" w:space="0" w:color="auto"/>
            </w:tcBorders>
            <w:noWrap/>
            <w:tcMar>
              <w:top w:w="0" w:type="dxa"/>
              <w:left w:w="108" w:type="dxa"/>
              <w:bottom w:w="0" w:type="dxa"/>
              <w:right w:w="108" w:type="dxa"/>
            </w:tcMar>
            <w:vAlign w:val="bottom"/>
            <w:hideMark/>
          </w:tcPr>
          <w:p w14:paraId="752510BF"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6-7 care processes</w:t>
            </w:r>
          </w:p>
        </w:tc>
        <w:tc>
          <w:tcPr>
            <w:tcW w:w="3864" w:type="dxa"/>
            <w:gridSpan w:val="3"/>
            <w:tcBorders>
              <w:top w:val="single" w:sz="4" w:space="0" w:color="auto"/>
              <w:left w:val="single" w:sz="4" w:space="0" w:color="auto"/>
              <w:bottom w:val="nil"/>
            </w:tcBorders>
            <w:noWrap/>
            <w:tcMar>
              <w:top w:w="0" w:type="dxa"/>
              <w:left w:w="108" w:type="dxa"/>
              <w:bottom w:w="0" w:type="dxa"/>
              <w:right w:w="108" w:type="dxa"/>
            </w:tcMar>
            <w:vAlign w:val="bottom"/>
            <w:hideMark/>
          </w:tcPr>
          <w:p w14:paraId="2A0075F6"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8 care processes</w:t>
            </w:r>
          </w:p>
        </w:tc>
      </w:tr>
      <w:tr w:rsidR="00931E93" w:rsidRPr="00986C6D" w14:paraId="77CC1AE6" w14:textId="77777777" w:rsidTr="00154DE3">
        <w:trPr>
          <w:trHeight w:val="930"/>
        </w:trPr>
        <w:tc>
          <w:tcPr>
            <w:tcW w:w="0" w:type="auto"/>
            <w:gridSpan w:val="2"/>
            <w:vMerge/>
            <w:tcBorders>
              <w:top w:val="nil"/>
              <w:bottom w:val="single" w:sz="4" w:space="0" w:color="auto"/>
              <w:right w:val="single" w:sz="4" w:space="0" w:color="auto"/>
            </w:tcBorders>
            <w:vAlign w:val="center"/>
            <w:hideMark/>
          </w:tcPr>
          <w:p w14:paraId="7498CE23" w14:textId="77777777" w:rsidR="00931E93" w:rsidRPr="00986C6D" w:rsidRDefault="00931E93" w:rsidP="00154DE3">
            <w:pPr>
              <w:rPr>
                <w:rFonts w:ascii="Times New Roman" w:hAnsi="Times New Roman" w:cs="Times New Roman"/>
                <w:sz w:val="20"/>
                <w:szCs w:val="20"/>
              </w:rPr>
            </w:pPr>
          </w:p>
        </w:tc>
        <w:tc>
          <w:tcPr>
            <w:tcW w:w="946" w:type="dxa"/>
            <w:tcBorders>
              <w:top w:val="nil"/>
              <w:left w:val="single" w:sz="4" w:space="0" w:color="auto"/>
              <w:bottom w:val="single" w:sz="4" w:space="0" w:color="auto"/>
            </w:tcBorders>
            <w:tcMar>
              <w:top w:w="0" w:type="dxa"/>
              <w:left w:w="108" w:type="dxa"/>
              <w:bottom w:w="0" w:type="dxa"/>
              <w:right w:w="108" w:type="dxa"/>
            </w:tcMar>
            <w:hideMark/>
          </w:tcPr>
          <w:p w14:paraId="252902F0"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sz w:val="20"/>
                <w:szCs w:val="20"/>
              </w:rPr>
              <w:t>N</w:t>
            </w:r>
          </w:p>
        </w:tc>
        <w:tc>
          <w:tcPr>
            <w:tcW w:w="1557" w:type="dxa"/>
            <w:tcBorders>
              <w:top w:val="nil"/>
              <w:bottom w:val="single" w:sz="4" w:space="0" w:color="auto"/>
            </w:tcBorders>
            <w:tcMar>
              <w:top w:w="0" w:type="dxa"/>
              <w:left w:w="108" w:type="dxa"/>
              <w:bottom w:w="0" w:type="dxa"/>
              <w:right w:w="108" w:type="dxa"/>
            </w:tcMar>
            <w:hideMark/>
          </w:tcPr>
          <w:p w14:paraId="31626C28"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Crude rate per 1000 person years</w:t>
            </w:r>
          </w:p>
        </w:tc>
        <w:tc>
          <w:tcPr>
            <w:tcW w:w="2126" w:type="dxa"/>
            <w:tcBorders>
              <w:top w:val="nil"/>
              <w:bottom w:val="single" w:sz="4" w:space="0" w:color="auto"/>
              <w:right w:val="single" w:sz="4" w:space="0" w:color="auto"/>
            </w:tcBorders>
            <w:tcMar>
              <w:top w:w="0" w:type="dxa"/>
              <w:left w:w="108" w:type="dxa"/>
              <w:bottom w:w="0" w:type="dxa"/>
              <w:right w:w="108" w:type="dxa"/>
            </w:tcMar>
            <w:hideMark/>
          </w:tcPr>
          <w:p w14:paraId="27DC1280"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Age and sex standardised rate per 1000 person years</w:t>
            </w:r>
          </w:p>
        </w:tc>
        <w:tc>
          <w:tcPr>
            <w:tcW w:w="867" w:type="dxa"/>
            <w:tcBorders>
              <w:top w:val="nil"/>
              <w:left w:val="single" w:sz="4" w:space="0" w:color="auto"/>
              <w:bottom w:val="single" w:sz="4" w:space="0" w:color="auto"/>
            </w:tcBorders>
            <w:tcMar>
              <w:top w:w="0" w:type="dxa"/>
              <w:left w:w="108" w:type="dxa"/>
              <w:bottom w:w="0" w:type="dxa"/>
              <w:right w:w="108" w:type="dxa"/>
            </w:tcMar>
            <w:hideMark/>
          </w:tcPr>
          <w:p w14:paraId="40BE756B"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sz w:val="20"/>
                <w:szCs w:val="20"/>
              </w:rPr>
              <w:t>N</w:t>
            </w:r>
          </w:p>
        </w:tc>
        <w:tc>
          <w:tcPr>
            <w:tcW w:w="1560" w:type="dxa"/>
            <w:tcBorders>
              <w:top w:val="nil"/>
              <w:bottom w:val="single" w:sz="4" w:space="0" w:color="auto"/>
            </w:tcBorders>
            <w:tcMar>
              <w:top w:w="0" w:type="dxa"/>
              <w:left w:w="108" w:type="dxa"/>
              <w:bottom w:w="0" w:type="dxa"/>
              <w:right w:w="108" w:type="dxa"/>
            </w:tcMar>
            <w:hideMark/>
          </w:tcPr>
          <w:p w14:paraId="65AB5732"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Crude rate per 1000 person years</w:t>
            </w:r>
          </w:p>
        </w:tc>
        <w:tc>
          <w:tcPr>
            <w:tcW w:w="1542" w:type="dxa"/>
            <w:tcBorders>
              <w:top w:val="nil"/>
              <w:bottom w:val="single" w:sz="4" w:space="0" w:color="auto"/>
              <w:right w:val="single" w:sz="4" w:space="0" w:color="auto"/>
            </w:tcBorders>
            <w:tcMar>
              <w:top w:w="0" w:type="dxa"/>
              <w:left w:w="108" w:type="dxa"/>
              <w:bottom w:w="0" w:type="dxa"/>
              <w:right w:w="108" w:type="dxa"/>
            </w:tcMar>
            <w:hideMark/>
          </w:tcPr>
          <w:p w14:paraId="793D0462"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Age and sex standardised rate per 1000 person years</w:t>
            </w:r>
          </w:p>
        </w:tc>
        <w:tc>
          <w:tcPr>
            <w:tcW w:w="742" w:type="dxa"/>
            <w:tcBorders>
              <w:top w:val="nil"/>
              <w:left w:val="single" w:sz="4" w:space="0" w:color="auto"/>
              <w:bottom w:val="single" w:sz="4" w:space="0" w:color="auto"/>
            </w:tcBorders>
            <w:tcMar>
              <w:top w:w="0" w:type="dxa"/>
              <w:left w:w="108" w:type="dxa"/>
              <w:bottom w:w="0" w:type="dxa"/>
              <w:right w:w="108" w:type="dxa"/>
            </w:tcMar>
            <w:hideMark/>
          </w:tcPr>
          <w:p w14:paraId="34DE2108"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sz w:val="20"/>
                <w:szCs w:val="20"/>
              </w:rPr>
              <w:t>N</w:t>
            </w:r>
          </w:p>
        </w:tc>
        <w:tc>
          <w:tcPr>
            <w:tcW w:w="1559" w:type="dxa"/>
            <w:tcBorders>
              <w:top w:val="nil"/>
              <w:bottom w:val="single" w:sz="4" w:space="0" w:color="auto"/>
            </w:tcBorders>
            <w:tcMar>
              <w:top w:w="0" w:type="dxa"/>
              <w:left w:w="108" w:type="dxa"/>
              <w:bottom w:w="0" w:type="dxa"/>
              <w:right w:w="108" w:type="dxa"/>
            </w:tcMar>
            <w:hideMark/>
          </w:tcPr>
          <w:p w14:paraId="48A60C71"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Crude rate per 1000 person years</w:t>
            </w:r>
          </w:p>
        </w:tc>
        <w:tc>
          <w:tcPr>
            <w:tcW w:w="1563" w:type="dxa"/>
            <w:tcBorders>
              <w:top w:val="nil"/>
              <w:bottom w:val="single" w:sz="4" w:space="0" w:color="auto"/>
            </w:tcBorders>
            <w:tcMar>
              <w:top w:w="0" w:type="dxa"/>
              <w:left w:w="108" w:type="dxa"/>
              <w:bottom w:w="0" w:type="dxa"/>
              <w:right w:w="108" w:type="dxa"/>
            </w:tcMar>
            <w:hideMark/>
          </w:tcPr>
          <w:p w14:paraId="25383168"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Age and sex standardised rate per 1000 person years</w:t>
            </w:r>
          </w:p>
        </w:tc>
      </w:tr>
      <w:tr w:rsidR="00931E93" w:rsidRPr="00986C6D" w14:paraId="3FACDFCC" w14:textId="77777777" w:rsidTr="00154DE3">
        <w:trPr>
          <w:trHeight w:val="233"/>
        </w:trPr>
        <w:tc>
          <w:tcPr>
            <w:tcW w:w="897" w:type="dxa"/>
            <w:vMerge w:val="restart"/>
            <w:tcBorders>
              <w:top w:val="single" w:sz="4" w:space="0" w:color="auto"/>
              <w:bottom w:val="nil"/>
            </w:tcBorders>
            <w:tcMar>
              <w:top w:w="0" w:type="dxa"/>
              <w:left w:w="108" w:type="dxa"/>
              <w:bottom w:w="0" w:type="dxa"/>
              <w:right w:w="108" w:type="dxa"/>
            </w:tcMar>
            <w:hideMark/>
          </w:tcPr>
          <w:p w14:paraId="6C30EBA1" w14:textId="77777777" w:rsidR="00931E93" w:rsidRPr="00986C6D" w:rsidRDefault="00931E93" w:rsidP="00154DE3">
            <w:pPr>
              <w:pStyle w:val="xmsonormal"/>
              <w:rPr>
                <w:rFonts w:ascii="Times New Roman" w:hAnsi="Times New Roman" w:cs="Times New Roman"/>
                <w:sz w:val="20"/>
                <w:szCs w:val="20"/>
              </w:rPr>
            </w:pPr>
            <w:r w:rsidRPr="00986C6D">
              <w:rPr>
                <w:rFonts w:ascii="Times New Roman" w:hAnsi="Times New Roman" w:cs="Times New Roman"/>
                <w:color w:val="000000"/>
                <w:sz w:val="20"/>
                <w:szCs w:val="20"/>
              </w:rPr>
              <w:t>Type 1 diabetes</w:t>
            </w:r>
          </w:p>
        </w:tc>
        <w:tc>
          <w:tcPr>
            <w:tcW w:w="1839" w:type="dxa"/>
            <w:tcBorders>
              <w:top w:val="single" w:sz="4" w:space="0" w:color="auto"/>
              <w:bottom w:val="nil"/>
              <w:right w:val="single" w:sz="4" w:space="0" w:color="auto"/>
            </w:tcBorders>
            <w:noWrap/>
            <w:tcMar>
              <w:top w:w="0" w:type="dxa"/>
              <w:left w:w="108" w:type="dxa"/>
              <w:bottom w:w="0" w:type="dxa"/>
              <w:right w:w="108" w:type="dxa"/>
            </w:tcMar>
            <w:vAlign w:val="bottom"/>
            <w:hideMark/>
          </w:tcPr>
          <w:p w14:paraId="2BCC65EB" w14:textId="77777777" w:rsidR="00931E93" w:rsidRPr="00986C6D" w:rsidRDefault="00931E93" w:rsidP="00154DE3">
            <w:pPr>
              <w:pStyle w:val="xmsonormal"/>
              <w:rPr>
                <w:rFonts w:ascii="Times New Roman" w:hAnsi="Times New Roman" w:cs="Times New Roman"/>
                <w:sz w:val="20"/>
                <w:szCs w:val="20"/>
              </w:rPr>
            </w:pPr>
            <w:r w:rsidRPr="00986C6D">
              <w:rPr>
                <w:rFonts w:ascii="Times New Roman" w:hAnsi="Times New Roman" w:cs="Times New Roman"/>
                <w:color w:val="000000"/>
                <w:sz w:val="20"/>
                <w:szCs w:val="20"/>
              </w:rPr>
              <w:t>All causes</w:t>
            </w:r>
          </w:p>
        </w:tc>
        <w:tc>
          <w:tcPr>
            <w:tcW w:w="946" w:type="dxa"/>
            <w:tcBorders>
              <w:top w:val="single" w:sz="4" w:space="0" w:color="auto"/>
              <w:left w:val="single" w:sz="4" w:space="0" w:color="auto"/>
              <w:bottom w:val="nil"/>
            </w:tcBorders>
            <w:noWrap/>
            <w:tcMar>
              <w:top w:w="0" w:type="dxa"/>
              <w:left w:w="108" w:type="dxa"/>
              <w:bottom w:w="0" w:type="dxa"/>
              <w:right w:w="108" w:type="dxa"/>
            </w:tcMar>
            <w:vAlign w:val="bottom"/>
            <w:hideMark/>
          </w:tcPr>
          <w:p w14:paraId="5B6EA789"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4,512 </w:t>
            </w:r>
          </w:p>
        </w:tc>
        <w:tc>
          <w:tcPr>
            <w:tcW w:w="1557" w:type="dxa"/>
            <w:tcBorders>
              <w:top w:val="single" w:sz="4" w:space="0" w:color="auto"/>
              <w:bottom w:val="nil"/>
            </w:tcBorders>
            <w:noWrap/>
            <w:tcMar>
              <w:top w:w="0" w:type="dxa"/>
              <w:left w:w="108" w:type="dxa"/>
              <w:bottom w:w="0" w:type="dxa"/>
              <w:right w:w="108" w:type="dxa"/>
            </w:tcMar>
            <w:vAlign w:val="bottom"/>
            <w:hideMark/>
          </w:tcPr>
          <w:p w14:paraId="3F1E1154"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16 (15.5-16.5)</w:t>
            </w:r>
          </w:p>
        </w:tc>
        <w:tc>
          <w:tcPr>
            <w:tcW w:w="2126" w:type="dxa"/>
            <w:tcBorders>
              <w:top w:val="single" w:sz="4" w:space="0" w:color="auto"/>
              <w:bottom w:val="nil"/>
              <w:right w:val="single" w:sz="4" w:space="0" w:color="auto"/>
            </w:tcBorders>
            <w:noWrap/>
            <w:tcMar>
              <w:top w:w="0" w:type="dxa"/>
              <w:left w:w="108" w:type="dxa"/>
              <w:bottom w:w="0" w:type="dxa"/>
              <w:right w:w="108" w:type="dxa"/>
            </w:tcMar>
            <w:vAlign w:val="bottom"/>
            <w:hideMark/>
          </w:tcPr>
          <w:p w14:paraId="7F8BA631"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33.5 (32.3-34.8)</w:t>
            </w:r>
          </w:p>
        </w:tc>
        <w:tc>
          <w:tcPr>
            <w:tcW w:w="867" w:type="dxa"/>
            <w:tcBorders>
              <w:top w:val="single" w:sz="4" w:space="0" w:color="auto"/>
              <w:left w:val="single" w:sz="4" w:space="0" w:color="auto"/>
              <w:bottom w:val="nil"/>
            </w:tcBorders>
            <w:noWrap/>
            <w:tcMar>
              <w:top w:w="0" w:type="dxa"/>
              <w:left w:w="108" w:type="dxa"/>
              <w:bottom w:w="0" w:type="dxa"/>
              <w:right w:w="108" w:type="dxa"/>
            </w:tcMar>
            <w:vAlign w:val="bottom"/>
            <w:hideMark/>
          </w:tcPr>
          <w:p w14:paraId="2B73AE79"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8,660 </w:t>
            </w:r>
          </w:p>
        </w:tc>
        <w:tc>
          <w:tcPr>
            <w:tcW w:w="1560" w:type="dxa"/>
            <w:tcBorders>
              <w:top w:val="single" w:sz="4" w:space="0" w:color="auto"/>
              <w:bottom w:val="nil"/>
            </w:tcBorders>
            <w:noWrap/>
            <w:tcMar>
              <w:top w:w="0" w:type="dxa"/>
              <w:left w:w="108" w:type="dxa"/>
              <w:bottom w:w="0" w:type="dxa"/>
              <w:right w:w="108" w:type="dxa"/>
            </w:tcMar>
            <w:vAlign w:val="bottom"/>
            <w:hideMark/>
          </w:tcPr>
          <w:p w14:paraId="0FF9176D"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18.8 (18.4-19.2)</w:t>
            </w:r>
          </w:p>
        </w:tc>
        <w:tc>
          <w:tcPr>
            <w:tcW w:w="1542" w:type="dxa"/>
            <w:tcBorders>
              <w:top w:val="single" w:sz="4" w:space="0" w:color="auto"/>
              <w:bottom w:val="nil"/>
              <w:right w:val="single" w:sz="4" w:space="0" w:color="auto"/>
            </w:tcBorders>
            <w:noWrap/>
            <w:tcMar>
              <w:top w:w="0" w:type="dxa"/>
              <w:left w:w="108" w:type="dxa"/>
              <w:bottom w:w="0" w:type="dxa"/>
              <w:right w:w="108" w:type="dxa"/>
            </w:tcMar>
            <w:vAlign w:val="bottom"/>
            <w:hideMark/>
          </w:tcPr>
          <w:p w14:paraId="62045E4D"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34.4 (33-35.9)</w:t>
            </w:r>
          </w:p>
        </w:tc>
        <w:tc>
          <w:tcPr>
            <w:tcW w:w="742" w:type="dxa"/>
            <w:tcBorders>
              <w:top w:val="single" w:sz="4" w:space="0" w:color="auto"/>
              <w:left w:val="single" w:sz="4" w:space="0" w:color="auto"/>
              <w:bottom w:val="nil"/>
            </w:tcBorders>
            <w:noWrap/>
            <w:tcMar>
              <w:top w:w="0" w:type="dxa"/>
              <w:left w:w="108" w:type="dxa"/>
              <w:bottom w:w="0" w:type="dxa"/>
              <w:right w:w="108" w:type="dxa"/>
            </w:tcMar>
            <w:vAlign w:val="bottom"/>
            <w:hideMark/>
          </w:tcPr>
          <w:p w14:paraId="5CA2A888"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 13,743 </w:t>
            </w:r>
          </w:p>
        </w:tc>
        <w:tc>
          <w:tcPr>
            <w:tcW w:w="1559" w:type="dxa"/>
            <w:tcBorders>
              <w:top w:val="single" w:sz="4" w:space="0" w:color="auto"/>
              <w:bottom w:val="nil"/>
            </w:tcBorders>
            <w:noWrap/>
            <w:tcMar>
              <w:top w:w="0" w:type="dxa"/>
              <w:left w:w="108" w:type="dxa"/>
              <w:bottom w:w="0" w:type="dxa"/>
              <w:right w:w="108" w:type="dxa"/>
            </w:tcMar>
            <w:vAlign w:val="bottom"/>
            <w:hideMark/>
          </w:tcPr>
          <w:p w14:paraId="67284D35"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22.9 (22.5-23.3)</w:t>
            </w:r>
          </w:p>
        </w:tc>
        <w:tc>
          <w:tcPr>
            <w:tcW w:w="1563" w:type="dxa"/>
            <w:tcBorders>
              <w:top w:val="single" w:sz="4" w:space="0" w:color="auto"/>
              <w:bottom w:val="nil"/>
            </w:tcBorders>
            <w:noWrap/>
            <w:tcMar>
              <w:top w:w="0" w:type="dxa"/>
              <w:left w:w="108" w:type="dxa"/>
              <w:bottom w:w="0" w:type="dxa"/>
              <w:right w:w="108" w:type="dxa"/>
            </w:tcMar>
            <w:vAlign w:val="bottom"/>
            <w:hideMark/>
          </w:tcPr>
          <w:p w14:paraId="1026E85D"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30.7 (29.6-31.8)</w:t>
            </w:r>
          </w:p>
        </w:tc>
      </w:tr>
      <w:tr w:rsidR="00931E93" w:rsidRPr="00986C6D" w14:paraId="156FBB8B" w14:textId="77777777" w:rsidTr="00154DE3">
        <w:trPr>
          <w:trHeight w:val="233"/>
        </w:trPr>
        <w:tc>
          <w:tcPr>
            <w:tcW w:w="0" w:type="auto"/>
            <w:vMerge/>
            <w:tcBorders>
              <w:top w:val="nil"/>
              <w:bottom w:val="nil"/>
            </w:tcBorders>
            <w:vAlign w:val="center"/>
            <w:hideMark/>
          </w:tcPr>
          <w:p w14:paraId="66126ECC" w14:textId="77777777" w:rsidR="00931E93" w:rsidRPr="00986C6D" w:rsidRDefault="00931E93" w:rsidP="00154DE3">
            <w:pPr>
              <w:rPr>
                <w:rFonts w:ascii="Times New Roman" w:hAnsi="Times New Roman" w:cs="Times New Roman"/>
                <w:sz w:val="20"/>
                <w:szCs w:val="20"/>
              </w:rPr>
            </w:pPr>
          </w:p>
        </w:tc>
        <w:tc>
          <w:tcPr>
            <w:tcW w:w="1839" w:type="dxa"/>
            <w:tcBorders>
              <w:top w:val="nil"/>
              <w:bottom w:val="nil"/>
              <w:right w:val="single" w:sz="4" w:space="0" w:color="auto"/>
            </w:tcBorders>
            <w:noWrap/>
            <w:tcMar>
              <w:top w:w="0" w:type="dxa"/>
              <w:left w:w="108" w:type="dxa"/>
              <w:bottom w:w="0" w:type="dxa"/>
              <w:right w:w="108" w:type="dxa"/>
            </w:tcMar>
            <w:vAlign w:val="bottom"/>
            <w:hideMark/>
          </w:tcPr>
          <w:p w14:paraId="6C317235" w14:textId="77777777" w:rsidR="00931E93" w:rsidRPr="00986C6D" w:rsidRDefault="00931E93" w:rsidP="00154DE3">
            <w:pPr>
              <w:pStyle w:val="xmsonormal"/>
              <w:rPr>
                <w:rFonts w:ascii="Times New Roman" w:hAnsi="Times New Roman" w:cs="Times New Roman"/>
                <w:sz w:val="20"/>
                <w:szCs w:val="20"/>
              </w:rPr>
            </w:pPr>
            <w:r w:rsidRPr="00986C6D">
              <w:rPr>
                <w:rFonts w:ascii="Times New Roman" w:hAnsi="Times New Roman" w:cs="Times New Roman"/>
                <w:color w:val="000000"/>
                <w:sz w:val="20"/>
                <w:szCs w:val="20"/>
              </w:rPr>
              <w:t>Cardiovascular disease</w:t>
            </w:r>
          </w:p>
        </w:tc>
        <w:tc>
          <w:tcPr>
            <w:tcW w:w="946" w:type="dxa"/>
            <w:tcBorders>
              <w:top w:val="nil"/>
              <w:left w:val="single" w:sz="4" w:space="0" w:color="auto"/>
              <w:bottom w:val="nil"/>
            </w:tcBorders>
            <w:noWrap/>
            <w:tcMar>
              <w:top w:w="0" w:type="dxa"/>
              <w:left w:w="108" w:type="dxa"/>
              <w:bottom w:w="0" w:type="dxa"/>
              <w:right w:w="108" w:type="dxa"/>
            </w:tcMar>
            <w:vAlign w:val="bottom"/>
            <w:hideMark/>
          </w:tcPr>
          <w:p w14:paraId="3FF73CE3"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1,503 </w:t>
            </w:r>
          </w:p>
        </w:tc>
        <w:tc>
          <w:tcPr>
            <w:tcW w:w="1557" w:type="dxa"/>
            <w:tcBorders>
              <w:top w:val="nil"/>
              <w:bottom w:val="nil"/>
            </w:tcBorders>
            <w:noWrap/>
            <w:tcMar>
              <w:top w:w="0" w:type="dxa"/>
              <w:left w:w="108" w:type="dxa"/>
              <w:bottom w:w="0" w:type="dxa"/>
              <w:right w:w="108" w:type="dxa"/>
            </w:tcMar>
            <w:vAlign w:val="bottom"/>
            <w:hideMark/>
          </w:tcPr>
          <w:p w14:paraId="0AE79E05"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5.3 (5.1-5.6)</w:t>
            </w:r>
          </w:p>
        </w:tc>
        <w:tc>
          <w:tcPr>
            <w:tcW w:w="2126" w:type="dxa"/>
            <w:tcBorders>
              <w:top w:val="nil"/>
              <w:bottom w:val="nil"/>
              <w:right w:val="single" w:sz="4" w:space="0" w:color="auto"/>
            </w:tcBorders>
            <w:noWrap/>
            <w:tcMar>
              <w:top w:w="0" w:type="dxa"/>
              <w:left w:w="108" w:type="dxa"/>
              <w:bottom w:w="0" w:type="dxa"/>
              <w:right w:w="108" w:type="dxa"/>
            </w:tcMar>
            <w:vAlign w:val="bottom"/>
            <w:hideMark/>
          </w:tcPr>
          <w:p w14:paraId="72A5D937"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11.1 (10.5-11.8)</w:t>
            </w:r>
          </w:p>
        </w:tc>
        <w:tc>
          <w:tcPr>
            <w:tcW w:w="867" w:type="dxa"/>
            <w:tcBorders>
              <w:top w:val="nil"/>
              <w:left w:val="single" w:sz="4" w:space="0" w:color="auto"/>
              <w:bottom w:val="nil"/>
            </w:tcBorders>
            <w:noWrap/>
            <w:tcMar>
              <w:top w:w="0" w:type="dxa"/>
              <w:left w:w="108" w:type="dxa"/>
              <w:bottom w:w="0" w:type="dxa"/>
              <w:right w:w="108" w:type="dxa"/>
            </w:tcMar>
            <w:vAlign w:val="bottom"/>
            <w:hideMark/>
          </w:tcPr>
          <w:p w14:paraId="5F8B040C"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2,922 </w:t>
            </w:r>
          </w:p>
        </w:tc>
        <w:tc>
          <w:tcPr>
            <w:tcW w:w="1560" w:type="dxa"/>
            <w:tcBorders>
              <w:top w:val="nil"/>
              <w:bottom w:val="nil"/>
            </w:tcBorders>
            <w:noWrap/>
            <w:tcMar>
              <w:top w:w="0" w:type="dxa"/>
              <w:left w:w="108" w:type="dxa"/>
              <w:bottom w:w="0" w:type="dxa"/>
              <w:right w:w="108" w:type="dxa"/>
            </w:tcMar>
            <w:vAlign w:val="bottom"/>
            <w:hideMark/>
          </w:tcPr>
          <w:p w14:paraId="73271DF1"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6.3 (6.1-6.6)</w:t>
            </w:r>
          </w:p>
        </w:tc>
        <w:tc>
          <w:tcPr>
            <w:tcW w:w="1542" w:type="dxa"/>
            <w:tcBorders>
              <w:top w:val="nil"/>
              <w:bottom w:val="nil"/>
              <w:right w:val="single" w:sz="4" w:space="0" w:color="auto"/>
            </w:tcBorders>
            <w:noWrap/>
            <w:tcMar>
              <w:top w:w="0" w:type="dxa"/>
              <w:left w:w="108" w:type="dxa"/>
              <w:bottom w:w="0" w:type="dxa"/>
              <w:right w:w="108" w:type="dxa"/>
            </w:tcMar>
            <w:vAlign w:val="bottom"/>
            <w:hideMark/>
          </w:tcPr>
          <w:p w14:paraId="3EB4A1BC"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11.2 (10.4-12)</w:t>
            </w:r>
          </w:p>
        </w:tc>
        <w:tc>
          <w:tcPr>
            <w:tcW w:w="742" w:type="dxa"/>
            <w:tcBorders>
              <w:top w:val="nil"/>
              <w:left w:val="single" w:sz="4" w:space="0" w:color="auto"/>
              <w:bottom w:val="nil"/>
            </w:tcBorders>
            <w:noWrap/>
            <w:tcMar>
              <w:top w:w="0" w:type="dxa"/>
              <w:left w:w="108" w:type="dxa"/>
              <w:bottom w:w="0" w:type="dxa"/>
              <w:right w:w="108" w:type="dxa"/>
            </w:tcMar>
            <w:vAlign w:val="bottom"/>
            <w:hideMark/>
          </w:tcPr>
          <w:p w14:paraId="32AD7473"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 4,808 </w:t>
            </w:r>
          </w:p>
        </w:tc>
        <w:tc>
          <w:tcPr>
            <w:tcW w:w="1559" w:type="dxa"/>
            <w:tcBorders>
              <w:top w:val="nil"/>
              <w:bottom w:val="nil"/>
            </w:tcBorders>
            <w:noWrap/>
            <w:tcMar>
              <w:top w:w="0" w:type="dxa"/>
              <w:left w:w="108" w:type="dxa"/>
              <w:bottom w:w="0" w:type="dxa"/>
              <w:right w:w="108" w:type="dxa"/>
            </w:tcMar>
            <w:vAlign w:val="bottom"/>
            <w:hideMark/>
          </w:tcPr>
          <w:p w14:paraId="435940BC"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8 (7.8-8.3)</w:t>
            </w:r>
          </w:p>
        </w:tc>
        <w:tc>
          <w:tcPr>
            <w:tcW w:w="1563" w:type="dxa"/>
            <w:tcBorders>
              <w:top w:val="nil"/>
              <w:bottom w:val="nil"/>
            </w:tcBorders>
            <w:noWrap/>
            <w:tcMar>
              <w:top w:w="0" w:type="dxa"/>
              <w:left w:w="108" w:type="dxa"/>
              <w:bottom w:w="0" w:type="dxa"/>
              <w:right w:w="108" w:type="dxa"/>
            </w:tcMar>
            <w:vAlign w:val="bottom"/>
            <w:hideMark/>
          </w:tcPr>
          <w:p w14:paraId="521547C9"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10 (9.4-10.5)</w:t>
            </w:r>
          </w:p>
        </w:tc>
      </w:tr>
      <w:tr w:rsidR="00931E93" w:rsidRPr="00986C6D" w14:paraId="5CA898B4" w14:textId="77777777" w:rsidTr="00154DE3">
        <w:trPr>
          <w:trHeight w:val="233"/>
        </w:trPr>
        <w:tc>
          <w:tcPr>
            <w:tcW w:w="0" w:type="auto"/>
            <w:vMerge/>
            <w:tcBorders>
              <w:top w:val="nil"/>
              <w:bottom w:val="nil"/>
            </w:tcBorders>
            <w:vAlign w:val="center"/>
            <w:hideMark/>
          </w:tcPr>
          <w:p w14:paraId="7A7A8EF2" w14:textId="77777777" w:rsidR="00931E93" w:rsidRPr="00986C6D" w:rsidRDefault="00931E93" w:rsidP="00154DE3">
            <w:pPr>
              <w:rPr>
                <w:rFonts w:ascii="Times New Roman" w:hAnsi="Times New Roman" w:cs="Times New Roman"/>
                <w:sz w:val="20"/>
                <w:szCs w:val="20"/>
              </w:rPr>
            </w:pPr>
          </w:p>
        </w:tc>
        <w:tc>
          <w:tcPr>
            <w:tcW w:w="1839" w:type="dxa"/>
            <w:tcBorders>
              <w:top w:val="nil"/>
              <w:bottom w:val="nil"/>
              <w:right w:val="single" w:sz="4" w:space="0" w:color="auto"/>
            </w:tcBorders>
            <w:noWrap/>
            <w:tcMar>
              <w:top w:w="0" w:type="dxa"/>
              <w:left w:w="108" w:type="dxa"/>
              <w:bottom w:w="0" w:type="dxa"/>
              <w:right w:w="108" w:type="dxa"/>
            </w:tcMar>
            <w:vAlign w:val="bottom"/>
            <w:hideMark/>
          </w:tcPr>
          <w:p w14:paraId="4ACAD6BF" w14:textId="45831781" w:rsidR="00931E93" w:rsidRPr="00986C6D" w:rsidRDefault="00931E93" w:rsidP="00154DE3">
            <w:pPr>
              <w:pStyle w:val="xmsonormal"/>
              <w:rPr>
                <w:rFonts w:ascii="Times New Roman" w:hAnsi="Times New Roman" w:cs="Times New Roman"/>
                <w:sz w:val="20"/>
                <w:szCs w:val="20"/>
              </w:rPr>
            </w:pPr>
            <w:r w:rsidRPr="00986C6D">
              <w:rPr>
                <w:rFonts w:ascii="Times New Roman" w:hAnsi="Times New Roman" w:cs="Times New Roman"/>
                <w:color w:val="000000"/>
                <w:sz w:val="20"/>
                <w:szCs w:val="20"/>
              </w:rPr>
              <w:t>Diabetes specific causes</w:t>
            </w:r>
            <w:r w:rsidR="004F635D">
              <w:rPr>
                <w:rFonts w:ascii="Times New Roman" w:hAnsi="Times New Roman" w:cs="Times New Roman"/>
                <w:color w:val="000000"/>
                <w:sz w:val="20"/>
                <w:szCs w:val="20"/>
              </w:rPr>
              <w:t>*</w:t>
            </w:r>
          </w:p>
        </w:tc>
        <w:tc>
          <w:tcPr>
            <w:tcW w:w="946" w:type="dxa"/>
            <w:tcBorders>
              <w:top w:val="nil"/>
              <w:left w:val="single" w:sz="4" w:space="0" w:color="auto"/>
              <w:bottom w:val="nil"/>
            </w:tcBorders>
            <w:noWrap/>
            <w:tcMar>
              <w:top w:w="0" w:type="dxa"/>
              <w:left w:w="108" w:type="dxa"/>
              <w:bottom w:w="0" w:type="dxa"/>
              <w:right w:w="108" w:type="dxa"/>
            </w:tcMar>
            <w:vAlign w:val="bottom"/>
            <w:hideMark/>
          </w:tcPr>
          <w:p w14:paraId="629D288A"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765 </w:t>
            </w:r>
          </w:p>
        </w:tc>
        <w:tc>
          <w:tcPr>
            <w:tcW w:w="1557" w:type="dxa"/>
            <w:tcBorders>
              <w:top w:val="nil"/>
              <w:bottom w:val="nil"/>
            </w:tcBorders>
            <w:noWrap/>
            <w:tcMar>
              <w:top w:w="0" w:type="dxa"/>
              <w:left w:w="108" w:type="dxa"/>
              <w:bottom w:w="0" w:type="dxa"/>
              <w:right w:w="108" w:type="dxa"/>
            </w:tcMar>
            <w:vAlign w:val="bottom"/>
            <w:hideMark/>
          </w:tcPr>
          <w:p w14:paraId="42291717"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2.7 (2.5-2.9)</w:t>
            </w:r>
          </w:p>
        </w:tc>
        <w:tc>
          <w:tcPr>
            <w:tcW w:w="2126" w:type="dxa"/>
            <w:tcBorders>
              <w:top w:val="nil"/>
              <w:bottom w:val="nil"/>
              <w:right w:val="single" w:sz="4" w:space="0" w:color="auto"/>
            </w:tcBorders>
            <w:noWrap/>
            <w:tcMar>
              <w:top w:w="0" w:type="dxa"/>
              <w:left w:w="108" w:type="dxa"/>
              <w:bottom w:w="0" w:type="dxa"/>
              <w:right w:w="108" w:type="dxa"/>
            </w:tcMar>
            <w:vAlign w:val="bottom"/>
            <w:hideMark/>
          </w:tcPr>
          <w:p w14:paraId="3D67A8D8"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4.6 (4.1-5)</w:t>
            </w:r>
          </w:p>
        </w:tc>
        <w:tc>
          <w:tcPr>
            <w:tcW w:w="867" w:type="dxa"/>
            <w:tcBorders>
              <w:top w:val="nil"/>
              <w:left w:val="single" w:sz="4" w:space="0" w:color="auto"/>
              <w:bottom w:val="nil"/>
            </w:tcBorders>
            <w:noWrap/>
            <w:tcMar>
              <w:top w:w="0" w:type="dxa"/>
              <w:left w:w="108" w:type="dxa"/>
              <w:bottom w:w="0" w:type="dxa"/>
              <w:right w:w="108" w:type="dxa"/>
            </w:tcMar>
            <w:vAlign w:val="bottom"/>
            <w:hideMark/>
          </w:tcPr>
          <w:p w14:paraId="4CC537FE"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1,317 </w:t>
            </w:r>
          </w:p>
        </w:tc>
        <w:tc>
          <w:tcPr>
            <w:tcW w:w="1560" w:type="dxa"/>
            <w:tcBorders>
              <w:top w:val="nil"/>
              <w:bottom w:val="nil"/>
            </w:tcBorders>
            <w:noWrap/>
            <w:tcMar>
              <w:top w:w="0" w:type="dxa"/>
              <w:left w:w="108" w:type="dxa"/>
              <w:bottom w:w="0" w:type="dxa"/>
              <w:right w:w="108" w:type="dxa"/>
            </w:tcMar>
            <w:vAlign w:val="bottom"/>
            <w:hideMark/>
          </w:tcPr>
          <w:p w14:paraId="4501D6BA"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2.9 (2.7-3)</w:t>
            </w:r>
          </w:p>
        </w:tc>
        <w:tc>
          <w:tcPr>
            <w:tcW w:w="1542" w:type="dxa"/>
            <w:tcBorders>
              <w:top w:val="nil"/>
              <w:bottom w:val="nil"/>
              <w:right w:val="single" w:sz="4" w:space="0" w:color="auto"/>
            </w:tcBorders>
            <w:noWrap/>
            <w:tcMar>
              <w:top w:w="0" w:type="dxa"/>
              <w:left w:w="108" w:type="dxa"/>
              <w:bottom w:w="0" w:type="dxa"/>
              <w:right w:w="108" w:type="dxa"/>
            </w:tcMar>
            <w:vAlign w:val="bottom"/>
            <w:hideMark/>
          </w:tcPr>
          <w:p w14:paraId="72977409"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4.9 (4.4-5.5)</w:t>
            </w:r>
          </w:p>
        </w:tc>
        <w:tc>
          <w:tcPr>
            <w:tcW w:w="742" w:type="dxa"/>
            <w:tcBorders>
              <w:top w:val="nil"/>
              <w:left w:val="single" w:sz="4" w:space="0" w:color="auto"/>
              <w:bottom w:val="nil"/>
            </w:tcBorders>
            <w:noWrap/>
            <w:tcMar>
              <w:top w:w="0" w:type="dxa"/>
              <w:left w:w="108" w:type="dxa"/>
              <w:bottom w:w="0" w:type="dxa"/>
              <w:right w:w="108" w:type="dxa"/>
            </w:tcMar>
            <w:vAlign w:val="bottom"/>
            <w:hideMark/>
          </w:tcPr>
          <w:p w14:paraId="374B6EA3"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 1,709 </w:t>
            </w:r>
          </w:p>
        </w:tc>
        <w:tc>
          <w:tcPr>
            <w:tcW w:w="1559" w:type="dxa"/>
            <w:tcBorders>
              <w:top w:val="nil"/>
              <w:bottom w:val="nil"/>
            </w:tcBorders>
            <w:noWrap/>
            <w:tcMar>
              <w:top w:w="0" w:type="dxa"/>
              <w:left w:w="108" w:type="dxa"/>
              <w:bottom w:w="0" w:type="dxa"/>
              <w:right w:w="108" w:type="dxa"/>
            </w:tcMar>
            <w:vAlign w:val="bottom"/>
            <w:hideMark/>
          </w:tcPr>
          <w:p w14:paraId="63E0364F"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2.9 (2.7-3)</w:t>
            </w:r>
          </w:p>
        </w:tc>
        <w:tc>
          <w:tcPr>
            <w:tcW w:w="1563" w:type="dxa"/>
            <w:tcBorders>
              <w:top w:val="nil"/>
              <w:bottom w:val="nil"/>
            </w:tcBorders>
            <w:noWrap/>
            <w:tcMar>
              <w:top w:w="0" w:type="dxa"/>
              <w:left w:w="108" w:type="dxa"/>
              <w:bottom w:w="0" w:type="dxa"/>
              <w:right w:w="108" w:type="dxa"/>
            </w:tcMar>
            <w:vAlign w:val="bottom"/>
            <w:hideMark/>
          </w:tcPr>
          <w:p w14:paraId="2B905F66"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4 (3.5-4.4)</w:t>
            </w:r>
          </w:p>
        </w:tc>
      </w:tr>
      <w:tr w:rsidR="00931E93" w:rsidRPr="00986C6D" w14:paraId="09FEDBB0" w14:textId="77777777" w:rsidTr="00154DE3">
        <w:trPr>
          <w:trHeight w:val="233"/>
        </w:trPr>
        <w:tc>
          <w:tcPr>
            <w:tcW w:w="0" w:type="auto"/>
            <w:vMerge/>
            <w:tcBorders>
              <w:top w:val="nil"/>
              <w:bottom w:val="nil"/>
            </w:tcBorders>
            <w:vAlign w:val="center"/>
            <w:hideMark/>
          </w:tcPr>
          <w:p w14:paraId="4AF72AA0" w14:textId="77777777" w:rsidR="00931E93" w:rsidRPr="00986C6D" w:rsidRDefault="00931E93" w:rsidP="00154DE3">
            <w:pPr>
              <w:rPr>
                <w:rFonts w:ascii="Times New Roman" w:hAnsi="Times New Roman" w:cs="Times New Roman"/>
                <w:sz w:val="20"/>
                <w:szCs w:val="20"/>
              </w:rPr>
            </w:pPr>
          </w:p>
        </w:tc>
        <w:tc>
          <w:tcPr>
            <w:tcW w:w="1839" w:type="dxa"/>
            <w:tcBorders>
              <w:top w:val="nil"/>
              <w:bottom w:val="nil"/>
              <w:right w:val="single" w:sz="4" w:space="0" w:color="auto"/>
            </w:tcBorders>
            <w:noWrap/>
            <w:tcMar>
              <w:top w:w="0" w:type="dxa"/>
              <w:left w:w="108" w:type="dxa"/>
              <w:bottom w:w="0" w:type="dxa"/>
              <w:right w:w="108" w:type="dxa"/>
            </w:tcMar>
            <w:vAlign w:val="bottom"/>
            <w:hideMark/>
          </w:tcPr>
          <w:p w14:paraId="072B11EC" w14:textId="77777777" w:rsidR="00931E93" w:rsidRPr="00986C6D" w:rsidRDefault="00931E93" w:rsidP="00154DE3">
            <w:pPr>
              <w:pStyle w:val="xmsonormal"/>
              <w:rPr>
                <w:rFonts w:ascii="Times New Roman" w:hAnsi="Times New Roman" w:cs="Times New Roman"/>
                <w:sz w:val="20"/>
                <w:szCs w:val="20"/>
              </w:rPr>
            </w:pPr>
            <w:r w:rsidRPr="00986C6D">
              <w:rPr>
                <w:rFonts w:ascii="Times New Roman" w:hAnsi="Times New Roman" w:cs="Times New Roman"/>
                <w:color w:val="000000"/>
                <w:sz w:val="20"/>
                <w:szCs w:val="20"/>
              </w:rPr>
              <w:t>Renal failure</w:t>
            </w:r>
          </w:p>
        </w:tc>
        <w:tc>
          <w:tcPr>
            <w:tcW w:w="946" w:type="dxa"/>
            <w:tcBorders>
              <w:top w:val="nil"/>
              <w:left w:val="single" w:sz="4" w:space="0" w:color="auto"/>
              <w:bottom w:val="nil"/>
            </w:tcBorders>
            <w:noWrap/>
            <w:tcMar>
              <w:top w:w="0" w:type="dxa"/>
              <w:left w:w="108" w:type="dxa"/>
              <w:bottom w:w="0" w:type="dxa"/>
              <w:right w:w="108" w:type="dxa"/>
            </w:tcMar>
            <w:vAlign w:val="bottom"/>
            <w:hideMark/>
          </w:tcPr>
          <w:p w14:paraId="1A5B3D63"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26 </w:t>
            </w:r>
          </w:p>
        </w:tc>
        <w:tc>
          <w:tcPr>
            <w:tcW w:w="1557" w:type="dxa"/>
            <w:tcBorders>
              <w:top w:val="nil"/>
              <w:bottom w:val="nil"/>
            </w:tcBorders>
            <w:noWrap/>
            <w:tcMar>
              <w:top w:w="0" w:type="dxa"/>
              <w:left w:w="108" w:type="dxa"/>
              <w:bottom w:w="0" w:type="dxa"/>
              <w:right w:w="108" w:type="dxa"/>
            </w:tcMar>
            <w:vAlign w:val="bottom"/>
            <w:hideMark/>
          </w:tcPr>
          <w:p w14:paraId="394ED0B6"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0.09 (0.06-0.14)</w:t>
            </w:r>
          </w:p>
        </w:tc>
        <w:tc>
          <w:tcPr>
            <w:tcW w:w="2126" w:type="dxa"/>
            <w:tcBorders>
              <w:top w:val="nil"/>
              <w:bottom w:val="nil"/>
              <w:right w:val="single" w:sz="4" w:space="0" w:color="auto"/>
            </w:tcBorders>
            <w:noWrap/>
            <w:tcMar>
              <w:top w:w="0" w:type="dxa"/>
              <w:left w:w="108" w:type="dxa"/>
              <w:bottom w:w="0" w:type="dxa"/>
              <w:right w:w="108" w:type="dxa"/>
            </w:tcMar>
            <w:vAlign w:val="bottom"/>
            <w:hideMark/>
          </w:tcPr>
          <w:p w14:paraId="1FA9B67A"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0.2 (0.1-0.3)</w:t>
            </w:r>
          </w:p>
        </w:tc>
        <w:tc>
          <w:tcPr>
            <w:tcW w:w="867" w:type="dxa"/>
            <w:tcBorders>
              <w:top w:val="nil"/>
              <w:left w:val="single" w:sz="4" w:space="0" w:color="auto"/>
              <w:bottom w:val="nil"/>
            </w:tcBorders>
            <w:noWrap/>
            <w:tcMar>
              <w:top w:w="0" w:type="dxa"/>
              <w:left w:w="108" w:type="dxa"/>
              <w:bottom w:w="0" w:type="dxa"/>
              <w:right w:w="108" w:type="dxa"/>
            </w:tcMar>
            <w:vAlign w:val="bottom"/>
            <w:hideMark/>
          </w:tcPr>
          <w:p w14:paraId="4CCA306D"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51 </w:t>
            </w:r>
          </w:p>
        </w:tc>
        <w:tc>
          <w:tcPr>
            <w:tcW w:w="1560" w:type="dxa"/>
            <w:tcBorders>
              <w:top w:val="nil"/>
              <w:bottom w:val="nil"/>
            </w:tcBorders>
            <w:noWrap/>
            <w:tcMar>
              <w:top w:w="0" w:type="dxa"/>
              <w:left w:w="108" w:type="dxa"/>
              <w:bottom w:w="0" w:type="dxa"/>
              <w:right w:w="108" w:type="dxa"/>
            </w:tcMar>
            <w:vAlign w:val="bottom"/>
            <w:hideMark/>
          </w:tcPr>
          <w:p w14:paraId="03B091BB"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0.11 (0.08-0.15)</w:t>
            </w:r>
          </w:p>
        </w:tc>
        <w:tc>
          <w:tcPr>
            <w:tcW w:w="1542" w:type="dxa"/>
            <w:tcBorders>
              <w:top w:val="nil"/>
              <w:bottom w:val="nil"/>
              <w:right w:val="single" w:sz="4" w:space="0" w:color="auto"/>
            </w:tcBorders>
            <w:noWrap/>
            <w:tcMar>
              <w:top w:w="0" w:type="dxa"/>
              <w:left w:w="108" w:type="dxa"/>
              <w:bottom w:w="0" w:type="dxa"/>
              <w:right w:w="108" w:type="dxa"/>
            </w:tcMar>
            <w:vAlign w:val="bottom"/>
            <w:hideMark/>
          </w:tcPr>
          <w:p w14:paraId="27D35507"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0.2 (0.1-0.2)</w:t>
            </w:r>
          </w:p>
        </w:tc>
        <w:tc>
          <w:tcPr>
            <w:tcW w:w="742" w:type="dxa"/>
            <w:tcBorders>
              <w:top w:val="nil"/>
              <w:left w:val="single" w:sz="4" w:space="0" w:color="auto"/>
              <w:bottom w:val="nil"/>
            </w:tcBorders>
            <w:noWrap/>
            <w:tcMar>
              <w:top w:w="0" w:type="dxa"/>
              <w:left w:w="108" w:type="dxa"/>
              <w:bottom w:w="0" w:type="dxa"/>
              <w:right w:w="108" w:type="dxa"/>
            </w:tcMar>
            <w:vAlign w:val="bottom"/>
            <w:hideMark/>
          </w:tcPr>
          <w:p w14:paraId="7171B9D1"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59 </w:t>
            </w:r>
          </w:p>
        </w:tc>
        <w:tc>
          <w:tcPr>
            <w:tcW w:w="1559" w:type="dxa"/>
            <w:tcBorders>
              <w:top w:val="nil"/>
              <w:bottom w:val="nil"/>
            </w:tcBorders>
            <w:noWrap/>
            <w:tcMar>
              <w:top w:w="0" w:type="dxa"/>
              <w:left w:w="108" w:type="dxa"/>
              <w:bottom w:w="0" w:type="dxa"/>
              <w:right w:w="108" w:type="dxa"/>
            </w:tcMar>
            <w:vAlign w:val="bottom"/>
            <w:hideMark/>
          </w:tcPr>
          <w:p w14:paraId="32F283AF"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0.1 (0.07-0.13)</w:t>
            </w:r>
          </w:p>
        </w:tc>
        <w:tc>
          <w:tcPr>
            <w:tcW w:w="1563" w:type="dxa"/>
            <w:tcBorders>
              <w:top w:val="nil"/>
              <w:bottom w:val="nil"/>
            </w:tcBorders>
            <w:noWrap/>
            <w:tcMar>
              <w:top w:w="0" w:type="dxa"/>
              <w:left w:w="108" w:type="dxa"/>
              <w:bottom w:w="0" w:type="dxa"/>
              <w:right w:w="108" w:type="dxa"/>
            </w:tcMar>
            <w:vAlign w:val="bottom"/>
            <w:hideMark/>
          </w:tcPr>
          <w:p w14:paraId="1CB294B0"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0.1 (0.1-0.2)</w:t>
            </w:r>
          </w:p>
        </w:tc>
      </w:tr>
      <w:tr w:rsidR="00931E93" w:rsidRPr="00986C6D" w14:paraId="081540E3" w14:textId="77777777" w:rsidTr="00154DE3">
        <w:trPr>
          <w:trHeight w:val="233"/>
        </w:trPr>
        <w:tc>
          <w:tcPr>
            <w:tcW w:w="0" w:type="auto"/>
            <w:vMerge/>
            <w:tcBorders>
              <w:top w:val="nil"/>
              <w:bottom w:val="nil"/>
            </w:tcBorders>
            <w:vAlign w:val="center"/>
            <w:hideMark/>
          </w:tcPr>
          <w:p w14:paraId="113EA7D0" w14:textId="77777777" w:rsidR="00931E93" w:rsidRPr="00986C6D" w:rsidRDefault="00931E93" w:rsidP="00154DE3">
            <w:pPr>
              <w:rPr>
                <w:rFonts w:ascii="Times New Roman" w:hAnsi="Times New Roman" w:cs="Times New Roman"/>
                <w:sz w:val="20"/>
                <w:szCs w:val="20"/>
              </w:rPr>
            </w:pPr>
          </w:p>
        </w:tc>
        <w:tc>
          <w:tcPr>
            <w:tcW w:w="1839" w:type="dxa"/>
            <w:tcBorders>
              <w:top w:val="nil"/>
              <w:bottom w:val="nil"/>
              <w:right w:val="single" w:sz="4" w:space="0" w:color="auto"/>
            </w:tcBorders>
            <w:noWrap/>
            <w:tcMar>
              <w:top w:w="0" w:type="dxa"/>
              <w:left w:w="108" w:type="dxa"/>
              <w:bottom w:w="0" w:type="dxa"/>
              <w:right w:w="108" w:type="dxa"/>
            </w:tcMar>
            <w:vAlign w:val="bottom"/>
            <w:hideMark/>
          </w:tcPr>
          <w:p w14:paraId="2BB884DF" w14:textId="77777777" w:rsidR="00931E93" w:rsidRPr="00986C6D" w:rsidRDefault="00931E93" w:rsidP="00154DE3">
            <w:pPr>
              <w:pStyle w:val="xmsonormal"/>
              <w:rPr>
                <w:rFonts w:ascii="Times New Roman" w:hAnsi="Times New Roman" w:cs="Times New Roman"/>
                <w:sz w:val="20"/>
                <w:szCs w:val="20"/>
              </w:rPr>
            </w:pPr>
            <w:r w:rsidRPr="00986C6D">
              <w:rPr>
                <w:rFonts w:ascii="Times New Roman" w:hAnsi="Times New Roman" w:cs="Times New Roman"/>
                <w:color w:val="000000"/>
                <w:sz w:val="20"/>
                <w:szCs w:val="20"/>
              </w:rPr>
              <w:t>Cancer</w:t>
            </w:r>
          </w:p>
        </w:tc>
        <w:tc>
          <w:tcPr>
            <w:tcW w:w="946" w:type="dxa"/>
            <w:tcBorders>
              <w:top w:val="nil"/>
              <w:left w:val="single" w:sz="4" w:space="0" w:color="auto"/>
              <w:bottom w:val="nil"/>
            </w:tcBorders>
            <w:noWrap/>
            <w:tcMar>
              <w:top w:w="0" w:type="dxa"/>
              <w:left w:w="108" w:type="dxa"/>
              <w:bottom w:w="0" w:type="dxa"/>
              <w:right w:w="108" w:type="dxa"/>
            </w:tcMar>
            <w:vAlign w:val="bottom"/>
            <w:hideMark/>
          </w:tcPr>
          <w:p w14:paraId="60CE1C3A"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570 </w:t>
            </w:r>
          </w:p>
        </w:tc>
        <w:tc>
          <w:tcPr>
            <w:tcW w:w="1557" w:type="dxa"/>
            <w:tcBorders>
              <w:top w:val="nil"/>
              <w:bottom w:val="nil"/>
            </w:tcBorders>
            <w:noWrap/>
            <w:tcMar>
              <w:top w:w="0" w:type="dxa"/>
              <w:left w:w="108" w:type="dxa"/>
              <w:bottom w:w="0" w:type="dxa"/>
              <w:right w:w="108" w:type="dxa"/>
            </w:tcMar>
            <w:vAlign w:val="bottom"/>
            <w:hideMark/>
          </w:tcPr>
          <w:p w14:paraId="5E1DC645"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2 (1.9-2.2)</w:t>
            </w:r>
          </w:p>
        </w:tc>
        <w:tc>
          <w:tcPr>
            <w:tcW w:w="2126" w:type="dxa"/>
            <w:tcBorders>
              <w:top w:val="nil"/>
              <w:bottom w:val="nil"/>
              <w:right w:val="single" w:sz="4" w:space="0" w:color="auto"/>
            </w:tcBorders>
            <w:noWrap/>
            <w:tcMar>
              <w:top w:w="0" w:type="dxa"/>
              <w:left w:w="108" w:type="dxa"/>
              <w:bottom w:w="0" w:type="dxa"/>
              <w:right w:w="108" w:type="dxa"/>
            </w:tcMar>
            <w:vAlign w:val="bottom"/>
            <w:hideMark/>
          </w:tcPr>
          <w:p w14:paraId="374C1FCE"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4.4 (4-4.9)</w:t>
            </w:r>
          </w:p>
        </w:tc>
        <w:tc>
          <w:tcPr>
            <w:tcW w:w="867" w:type="dxa"/>
            <w:tcBorders>
              <w:top w:val="nil"/>
              <w:left w:val="single" w:sz="4" w:space="0" w:color="auto"/>
              <w:bottom w:val="nil"/>
            </w:tcBorders>
            <w:noWrap/>
            <w:tcMar>
              <w:top w:w="0" w:type="dxa"/>
              <w:left w:w="108" w:type="dxa"/>
              <w:bottom w:w="0" w:type="dxa"/>
              <w:right w:w="108" w:type="dxa"/>
            </w:tcMar>
            <w:vAlign w:val="bottom"/>
            <w:hideMark/>
          </w:tcPr>
          <w:p w14:paraId="7E6CFA66"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1,371 </w:t>
            </w:r>
          </w:p>
        </w:tc>
        <w:tc>
          <w:tcPr>
            <w:tcW w:w="1560" w:type="dxa"/>
            <w:tcBorders>
              <w:top w:val="nil"/>
              <w:bottom w:val="nil"/>
            </w:tcBorders>
            <w:noWrap/>
            <w:tcMar>
              <w:top w:w="0" w:type="dxa"/>
              <w:left w:w="108" w:type="dxa"/>
              <w:bottom w:w="0" w:type="dxa"/>
              <w:right w:w="108" w:type="dxa"/>
            </w:tcMar>
            <w:vAlign w:val="bottom"/>
            <w:hideMark/>
          </w:tcPr>
          <w:p w14:paraId="35CF0FB8"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3 (2.8-3.1)</w:t>
            </w:r>
          </w:p>
        </w:tc>
        <w:tc>
          <w:tcPr>
            <w:tcW w:w="1542" w:type="dxa"/>
            <w:tcBorders>
              <w:top w:val="nil"/>
              <w:bottom w:val="nil"/>
              <w:right w:val="single" w:sz="4" w:space="0" w:color="auto"/>
            </w:tcBorders>
            <w:noWrap/>
            <w:tcMar>
              <w:top w:w="0" w:type="dxa"/>
              <w:left w:w="108" w:type="dxa"/>
              <w:bottom w:w="0" w:type="dxa"/>
              <w:right w:w="108" w:type="dxa"/>
            </w:tcMar>
            <w:vAlign w:val="bottom"/>
            <w:hideMark/>
          </w:tcPr>
          <w:p w14:paraId="639AD8A3"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4.7 (4.3-5.1)</w:t>
            </w:r>
          </w:p>
        </w:tc>
        <w:tc>
          <w:tcPr>
            <w:tcW w:w="742" w:type="dxa"/>
            <w:tcBorders>
              <w:top w:val="nil"/>
              <w:left w:val="single" w:sz="4" w:space="0" w:color="auto"/>
              <w:bottom w:val="nil"/>
            </w:tcBorders>
            <w:noWrap/>
            <w:tcMar>
              <w:top w:w="0" w:type="dxa"/>
              <w:left w:w="108" w:type="dxa"/>
              <w:bottom w:w="0" w:type="dxa"/>
              <w:right w:w="108" w:type="dxa"/>
            </w:tcMar>
            <w:vAlign w:val="bottom"/>
            <w:hideMark/>
          </w:tcPr>
          <w:p w14:paraId="4675DA67"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 2,518 </w:t>
            </w:r>
          </w:p>
        </w:tc>
        <w:tc>
          <w:tcPr>
            <w:tcW w:w="1559" w:type="dxa"/>
            <w:tcBorders>
              <w:top w:val="nil"/>
              <w:bottom w:val="nil"/>
            </w:tcBorders>
            <w:noWrap/>
            <w:tcMar>
              <w:top w:w="0" w:type="dxa"/>
              <w:left w:w="108" w:type="dxa"/>
              <w:bottom w:w="0" w:type="dxa"/>
              <w:right w:w="108" w:type="dxa"/>
            </w:tcMar>
            <w:vAlign w:val="bottom"/>
            <w:hideMark/>
          </w:tcPr>
          <w:p w14:paraId="32487E8E"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4.2 (4-4.4)</w:t>
            </w:r>
          </w:p>
        </w:tc>
        <w:tc>
          <w:tcPr>
            <w:tcW w:w="1563" w:type="dxa"/>
            <w:tcBorders>
              <w:top w:val="nil"/>
              <w:bottom w:val="nil"/>
            </w:tcBorders>
            <w:noWrap/>
            <w:tcMar>
              <w:top w:w="0" w:type="dxa"/>
              <w:left w:w="108" w:type="dxa"/>
              <w:bottom w:w="0" w:type="dxa"/>
              <w:right w:w="108" w:type="dxa"/>
            </w:tcMar>
            <w:vAlign w:val="bottom"/>
            <w:hideMark/>
          </w:tcPr>
          <w:p w14:paraId="222BDEF6"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4.7 (4.5-4.9)</w:t>
            </w:r>
          </w:p>
        </w:tc>
      </w:tr>
      <w:tr w:rsidR="00931E93" w:rsidRPr="00986C6D" w14:paraId="457EB02D" w14:textId="77777777" w:rsidTr="00154DE3">
        <w:trPr>
          <w:trHeight w:val="233"/>
        </w:trPr>
        <w:tc>
          <w:tcPr>
            <w:tcW w:w="0" w:type="auto"/>
            <w:vMerge/>
            <w:tcBorders>
              <w:top w:val="nil"/>
              <w:bottom w:val="single" w:sz="4" w:space="0" w:color="auto"/>
            </w:tcBorders>
            <w:vAlign w:val="center"/>
            <w:hideMark/>
          </w:tcPr>
          <w:p w14:paraId="3266FCD0" w14:textId="77777777" w:rsidR="00931E93" w:rsidRPr="00986C6D" w:rsidRDefault="00931E93" w:rsidP="00154DE3">
            <w:pPr>
              <w:rPr>
                <w:rFonts w:ascii="Times New Roman" w:hAnsi="Times New Roman" w:cs="Times New Roman"/>
                <w:sz w:val="20"/>
                <w:szCs w:val="20"/>
              </w:rPr>
            </w:pPr>
          </w:p>
        </w:tc>
        <w:tc>
          <w:tcPr>
            <w:tcW w:w="1839" w:type="dxa"/>
            <w:tcBorders>
              <w:top w:val="nil"/>
              <w:bottom w:val="single" w:sz="4" w:space="0" w:color="auto"/>
              <w:right w:val="single" w:sz="4" w:space="0" w:color="auto"/>
            </w:tcBorders>
            <w:noWrap/>
            <w:tcMar>
              <w:top w:w="0" w:type="dxa"/>
              <w:left w:w="108" w:type="dxa"/>
              <w:bottom w:w="0" w:type="dxa"/>
              <w:right w:w="108" w:type="dxa"/>
            </w:tcMar>
            <w:vAlign w:val="bottom"/>
            <w:hideMark/>
          </w:tcPr>
          <w:p w14:paraId="33FD81D1" w14:textId="77777777" w:rsidR="00931E93" w:rsidRPr="00986C6D" w:rsidRDefault="00931E93" w:rsidP="00154DE3">
            <w:pPr>
              <w:pStyle w:val="xmsonormal"/>
              <w:rPr>
                <w:rFonts w:ascii="Times New Roman" w:hAnsi="Times New Roman" w:cs="Times New Roman"/>
                <w:sz w:val="20"/>
                <w:szCs w:val="20"/>
              </w:rPr>
            </w:pPr>
            <w:r w:rsidRPr="00986C6D">
              <w:rPr>
                <w:rFonts w:ascii="Times New Roman" w:hAnsi="Times New Roman" w:cs="Times New Roman"/>
                <w:color w:val="000000"/>
                <w:sz w:val="20"/>
                <w:szCs w:val="20"/>
              </w:rPr>
              <w:t>Respiratory disease</w:t>
            </w:r>
          </w:p>
        </w:tc>
        <w:tc>
          <w:tcPr>
            <w:tcW w:w="946" w:type="dxa"/>
            <w:tcBorders>
              <w:top w:val="nil"/>
              <w:left w:val="single" w:sz="4" w:space="0" w:color="auto"/>
              <w:bottom w:val="single" w:sz="4" w:space="0" w:color="auto"/>
            </w:tcBorders>
            <w:noWrap/>
            <w:tcMar>
              <w:top w:w="0" w:type="dxa"/>
              <w:left w:w="108" w:type="dxa"/>
              <w:bottom w:w="0" w:type="dxa"/>
              <w:right w:w="108" w:type="dxa"/>
            </w:tcMar>
            <w:vAlign w:val="bottom"/>
            <w:hideMark/>
          </w:tcPr>
          <w:p w14:paraId="1F6A08FE"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452 </w:t>
            </w:r>
          </w:p>
        </w:tc>
        <w:tc>
          <w:tcPr>
            <w:tcW w:w="1557" w:type="dxa"/>
            <w:tcBorders>
              <w:top w:val="nil"/>
              <w:bottom w:val="single" w:sz="4" w:space="0" w:color="auto"/>
            </w:tcBorders>
            <w:noWrap/>
            <w:tcMar>
              <w:top w:w="0" w:type="dxa"/>
              <w:left w:w="108" w:type="dxa"/>
              <w:bottom w:w="0" w:type="dxa"/>
              <w:right w:w="108" w:type="dxa"/>
            </w:tcMar>
            <w:vAlign w:val="bottom"/>
            <w:hideMark/>
          </w:tcPr>
          <w:p w14:paraId="41E7B87D"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1.6 (1.5-1.8)</w:t>
            </w:r>
          </w:p>
        </w:tc>
        <w:tc>
          <w:tcPr>
            <w:tcW w:w="2126" w:type="dxa"/>
            <w:tcBorders>
              <w:top w:val="nil"/>
              <w:bottom w:val="single" w:sz="4" w:space="0" w:color="auto"/>
              <w:right w:val="single" w:sz="4" w:space="0" w:color="auto"/>
            </w:tcBorders>
            <w:noWrap/>
            <w:tcMar>
              <w:top w:w="0" w:type="dxa"/>
              <w:left w:w="108" w:type="dxa"/>
              <w:bottom w:w="0" w:type="dxa"/>
              <w:right w:w="108" w:type="dxa"/>
            </w:tcMar>
            <w:vAlign w:val="bottom"/>
            <w:hideMark/>
          </w:tcPr>
          <w:p w14:paraId="719D606F"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4.1 (3.6-4.5)</w:t>
            </w:r>
          </w:p>
        </w:tc>
        <w:tc>
          <w:tcPr>
            <w:tcW w:w="867" w:type="dxa"/>
            <w:tcBorders>
              <w:top w:val="nil"/>
              <w:left w:val="single" w:sz="4" w:space="0" w:color="auto"/>
              <w:bottom w:val="single" w:sz="4" w:space="0" w:color="auto"/>
            </w:tcBorders>
            <w:noWrap/>
            <w:tcMar>
              <w:top w:w="0" w:type="dxa"/>
              <w:left w:w="108" w:type="dxa"/>
              <w:bottom w:w="0" w:type="dxa"/>
              <w:right w:w="108" w:type="dxa"/>
            </w:tcMar>
            <w:vAlign w:val="bottom"/>
            <w:hideMark/>
          </w:tcPr>
          <w:p w14:paraId="3D897809"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999 </w:t>
            </w:r>
          </w:p>
        </w:tc>
        <w:tc>
          <w:tcPr>
            <w:tcW w:w="1560" w:type="dxa"/>
            <w:tcBorders>
              <w:top w:val="nil"/>
              <w:bottom w:val="single" w:sz="4" w:space="0" w:color="auto"/>
            </w:tcBorders>
            <w:noWrap/>
            <w:tcMar>
              <w:top w:w="0" w:type="dxa"/>
              <w:left w:w="108" w:type="dxa"/>
              <w:bottom w:w="0" w:type="dxa"/>
              <w:right w:w="108" w:type="dxa"/>
            </w:tcMar>
            <w:vAlign w:val="bottom"/>
            <w:hideMark/>
          </w:tcPr>
          <w:p w14:paraId="5DCED8E5"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2.2 (2-2.3)</w:t>
            </w:r>
          </w:p>
        </w:tc>
        <w:tc>
          <w:tcPr>
            <w:tcW w:w="1542" w:type="dxa"/>
            <w:tcBorders>
              <w:top w:val="nil"/>
              <w:bottom w:val="single" w:sz="4" w:space="0" w:color="auto"/>
              <w:right w:val="single" w:sz="4" w:space="0" w:color="auto"/>
            </w:tcBorders>
            <w:noWrap/>
            <w:tcMar>
              <w:top w:w="0" w:type="dxa"/>
              <w:left w:w="108" w:type="dxa"/>
              <w:bottom w:w="0" w:type="dxa"/>
              <w:right w:w="108" w:type="dxa"/>
            </w:tcMar>
            <w:vAlign w:val="bottom"/>
            <w:hideMark/>
          </w:tcPr>
          <w:p w14:paraId="6363AB0C"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4.9 (4.2-5.5)</w:t>
            </w:r>
          </w:p>
        </w:tc>
        <w:tc>
          <w:tcPr>
            <w:tcW w:w="742" w:type="dxa"/>
            <w:tcBorders>
              <w:top w:val="nil"/>
              <w:left w:val="single" w:sz="4" w:space="0" w:color="auto"/>
              <w:bottom w:val="single" w:sz="4" w:space="0" w:color="auto"/>
            </w:tcBorders>
            <w:noWrap/>
            <w:tcMar>
              <w:top w:w="0" w:type="dxa"/>
              <w:left w:w="108" w:type="dxa"/>
              <w:bottom w:w="0" w:type="dxa"/>
              <w:right w:w="108" w:type="dxa"/>
            </w:tcMar>
            <w:vAlign w:val="bottom"/>
            <w:hideMark/>
          </w:tcPr>
          <w:p w14:paraId="01A5CDBF"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 1,602 </w:t>
            </w:r>
          </w:p>
        </w:tc>
        <w:tc>
          <w:tcPr>
            <w:tcW w:w="1559" w:type="dxa"/>
            <w:tcBorders>
              <w:top w:val="nil"/>
              <w:bottom w:val="single" w:sz="4" w:space="0" w:color="auto"/>
            </w:tcBorders>
            <w:noWrap/>
            <w:tcMar>
              <w:top w:w="0" w:type="dxa"/>
              <w:left w:w="108" w:type="dxa"/>
              <w:bottom w:w="0" w:type="dxa"/>
              <w:right w:w="108" w:type="dxa"/>
            </w:tcMar>
            <w:vAlign w:val="bottom"/>
            <w:hideMark/>
          </w:tcPr>
          <w:p w14:paraId="50D2B875"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2.7 (2.5-2.8)</w:t>
            </w:r>
          </w:p>
        </w:tc>
        <w:tc>
          <w:tcPr>
            <w:tcW w:w="1563" w:type="dxa"/>
            <w:tcBorders>
              <w:top w:val="nil"/>
              <w:bottom w:val="single" w:sz="4" w:space="0" w:color="auto"/>
            </w:tcBorders>
            <w:noWrap/>
            <w:tcMar>
              <w:top w:w="0" w:type="dxa"/>
              <w:left w:w="108" w:type="dxa"/>
              <w:bottom w:w="0" w:type="dxa"/>
              <w:right w:w="108" w:type="dxa"/>
            </w:tcMar>
            <w:vAlign w:val="bottom"/>
            <w:hideMark/>
          </w:tcPr>
          <w:p w14:paraId="3EFB3074"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3.9 (3.5-4.4)</w:t>
            </w:r>
          </w:p>
        </w:tc>
      </w:tr>
      <w:tr w:rsidR="00931E93" w:rsidRPr="00986C6D" w14:paraId="2F9A067F" w14:textId="77777777" w:rsidTr="00154DE3">
        <w:trPr>
          <w:trHeight w:val="233"/>
        </w:trPr>
        <w:tc>
          <w:tcPr>
            <w:tcW w:w="897" w:type="dxa"/>
            <w:vMerge w:val="restart"/>
            <w:tcBorders>
              <w:top w:val="single" w:sz="4" w:space="0" w:color="auto"/>
            </w:tcBorders>
            <w:tcMar>
              <w:top w:w="0" w:type="dxa"/>
              <w:left w:w="108" w:type="dxa"/>
              <w:bottom w:w="0" w:type="dxa"/>
              <w:right w:w="108" w:type="dxa"/>
            </w:tcMar>
            <w:hideMark/>
          </w:tcPr>
          <w:p w14:paraId="2839869D" w14:textId="50116BD4" w:rsidR="00931E93" w:rsidRPr="00986C6D" w:rsidRDefault="00931E93" w:rsidP="00154DE3">
            <w:pPr>
              <w:pStyle w:val="xmsonormal"/>
              <w:rPr>
                <w:rFonts w:ascii="Times New Roman" w:hAnsi="Times New Roman" w:cs="Times New Roman"/>
                <w:sz w:val="20"/>
                <w:szCs w:val="20"/>
              </w:rPr>
            </w:pPr>
            <w:r w:rsidRPr="00986C6D">
              <w:rPr>
                <w:rFonts w:ascii="Times New Roman" w:hAnsi="Times New Roman" w:cs="Times New Roman"/>
                <w:color w:val="000000"/>
                <w:sz w:val="20"/>
                <w:szCs w:val="20"/>
              </w:rPr>
              <w:t>Type 2 diabetes</w:t>
            </w:r>
          </w:p>
        </w:tc>
        <w:tc>
          <w:tcPr>
            <w:tcW w:w="1839" w:type="dxa"/>
            <w:tcBorders>
              <w:top w:val="single" w:sz="4" w:space="0" w:color="auto"/>
              <w:right w:val="single" w:sz="4" w:space="0" w:color="auto"/>
            </w:tcBorders>
            <w:noWrap/>
            <w:tcMar>
              <w:top w:w="0" w:type="dxa"/>
              <w:left w:w="108" w:type="dxa"/>
              <w:bottom w:w="0" w:type="dxa"/>
              <w:right w:w="108" w:type="dxa"/>
            </w:tcMar>
            <w:vAlign w:val="bottom"/>
            <w:hideMark/>
          </w:tcPr>
          <w:p w14:paraId="41EE0DD3" w14:textId="77777777" w:rsidR="00931E93" w:rsidRPr="00986C6D" w:rsidRDefault="00931E93" w:rsidP="00154DE3">
            <w:pPr>
              <w:pStyle w:val="xmsonormal"/>
              <w:rPr>
                <w:rFonts w:ascii="Times New Roman" w:hAnsi="Times New Roman" w:cs="Times New Roman"/>
                <w:sz w:val="20"/>
                <w:szCs w:val="20"/>
              </w:rPr>
            </w:pPr>
            <w:r w:rsidRPr="00986C6D">
              <w:rPr>
                <w:rFonts w:ascii="Times New Roman" w:hAnsi="Times New Roman" w:cs="Times New Roman"/>
                <w:color w:val="000000"/>
                <w:sz w:val="20"/>
                <w:szCs w:val="20"/>
              </w:rPr>
              <w:t>All causes</w:t>
            </w:r>
          </w:p>
        </w:tc>
        <w:tc>
          <w:tcPr>
            <w:tcW w:w="946" w:type="dxa"/>
            <w:tcBorders>
              <w:top w:val="single" w:sz="4" w:space="0" w:color="auto"/>
              <w:left w:val="single" w:sz="4" w:space="0" w:color="auto"/>
            </w:tcBorders>
            <w:noWrap/>
            <w:tcMar>
              <w:top w:w="0" w:type="dxa"/>
              <w:left w:w="108" w:type="dxa"/>
              <w:bottom w:w="0" w:type="dxa"/>
              <w:right w:w="108" w:type="dxa"/>
            </w:tcMar>
            <w:vAlign w:val="bottom"/>
            <w:hideMark/>
          </w:tcPr>
          <w:p w14:paraId="64953ADB"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37,586 </w:t>
            </w:r>
          </w:p>
        </w:tc>
        <w:tc>
          <w:tcPr>
            <w:tcW w:w="1557" w:type="dxa"/>
            <w:tcBorders>
              <w:top w:val="single" w:sz="4" w:space="0" w:color="auto"/>
            </w:tcBorders>
            <w:noWrap/>
            <w:tcMar>
              <w:top w:w="0" w:type="dxa"/>
              <w:left w:w="108" w:type="dxa"/>
              <w:bottom w:w="0" w:type="dxa"/>
              <w:right w:w="108" w:type="dxa"/>
            </w:tcMar>
            <w:vAlign w:val="bottom"/>
            <w:hideMark/>
          </w:tcPr>
          <w:p w14:paraId="4BFFD047"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41 (40.6-41.4)</w:t>
            </w:r>
          </w:p>
        </w:tc>
        <w:tc>
          <w:tcPr>
            <w:tcW w:w="2126" w:type="dxa"/>
            <w:tcBorders>
              <w:top w:val="single" w:sz="4" w:space="0" w:color="auto"/>
              <w:right w:val="single" w:sz="4" w:space="0" w:color="auto"/>
            </w:tcBorders>
            <w:noWrap/>
            <w:tcMar>
              <w:top w:w="0" w:type="dxa"/>
              <w:left w:w="108" w:type="dxa"/>
              <w:bottom w:w="0" w:type="dxa"/>
              <w:right w:w="108" w:type="dxa"/>
            </w:tcMar>
            <w:vAlign w:val="bottom"/>
            <w:hideMark/>
          </w:tcPr>
          <w:p w14:paraId="2FE62323"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30.8 (30.4-31.1)</w:t>
            </w:r>
          </w:p>
        </w:tc>
        <w:tc>
          <w:tcPr>
            <w:tcW w:w="867" w:type="dxa"/>
            <w:tcBorders>
              <w:top w:val="single" w:sz="4" w:space="0" w:color="auto"/>
              <w:left w:val="single" w:sz="4" w:space="0" w:color="auto"/>
            </w:tcBorders>
            <w:noWrap/>
            <w:tcMar>
              <w:top w:w="0" w:type="dxa"/>
              <w:left w:w="108" w:type="dxa"/>
              <w:bottom w:w="0" w:type="dxa"/>
              <w:right w:w="108" w:type="dxa"/>
            </w:tcMar>
            <w:vAlign w:val="bottom"/>
            <w:hideMark/>
          </w:tcPr>
          <w:p w14:paraId="2ADECC69"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107,006 </w:t>
            </w:r>
          </w:p>
        </w:tc>
        <w:tc>
          <w:tcPr>
            <w:tcW w:w="1560" w:type="dxa"/>
            <w:tcBorders>
              <w:top w:val="single" w:sz="4" w:space="0" w:color="auto"/>
            </w:tcBorders>
            <w:noWrap/>
            <w:tcMar>
              <w:top w:w="0" w:type="dxa"/>
              <w:left w:w="108" w:type="dxa"/>
              <w:bottom w:w="0" w:type="dxa"/>
              <w:right w:w="108" w:type="dxa"/>
            </w:tcMar>
            <w:vAlign w:val="bottom"/>
            <w:hideMark/>
          </w:tcPr>
          <w:p w14:paraId="405491B1"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39.3 (39-39.5)</w:t>
            </w:r>
          </w:p>
        </w:tc>
        <w:tc>
          <w:tcPr>
            <w:tcW w:w="1542" w:type="dxa"/>
            <w:tcBorders>
              <w:top w:val="single" w:sz="4" w:space="0" w:color="auto"/>
              <w:right w:val="single" w:sz="4" w:space="0" w:color="auto"/>
            </w:tcBorders>
            <w:noWrap/>
            <w:tcMar>
              <w:top w:w="0" w:type="dxa"/>
              <w:left w:w="108" w:type="dxa"/>
              <w:bottom w:w="0" w:type="dxa"/>
              <w:right w:w="108" w:type="dxa"/>
            </w:tcMar>
            <w:vAlign w:val="bottom"/>
            <w:hideMark/>
          </w:tcPr>
          <w:p w14:paraId="0765F9F6"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27.5 (27.2-27.7)</w:t>
            </w:r>
          </w:p>
        </w:tc>
        <w:tc>
          <w:tcPr>
            <w:tcW w:w="742" w:type="dxa"/>
            <w:tcBorders>
              <w:top w:val="single" w:sz="4" w:space="0" w:color="auto"/>
              <w:left w:val="single" w:sz="4" w:space="0" w:color="auto"/>
            </w:tcBorders>
            <w:noWrap/>
            <w:tcMar>
              <w:top w:w="0" w:type="dxa"/>
              <w:left w:w="108" w:type="dxa"/>
              <w:bottom w:w="0" w:type="dxa"/>
              <w:right w:w="108" w:type="dxa"/>
            </w:tcMar>
            <w:vAlign w:val="bottom"/>
            <w:hideMark/>
          </w:tcPr>
          <w:p w14:paraId="6E3310DB"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243,501 </w:t>
            </w:r>
          </w:p>
        </w:tc>
        <w:tc>
          <w:tcPr>
            <w:tcW w:w="1559" w:type="dxa"/>
            <w:tcBorders>
              <w:top w:val="single" w:sz="4" w:space="0" w:color="auto"/>
            </w:tcBorders>
            <w:noWrap/>
            <w:tcMar>
              <w:top w:w="0" w:type="dxa"/>
              <w:left w:w="108" w:type="dxa"/>
              <w:bottom w:w="0" w:type="dxa"/>
              <w:right w:w="108" w:type="dxa"/>
            </w:tcMar>
            <w:vAlign w:val="bottom"/>
            <w:hideMark/>
          </w:tcPr>
          <w:p w14:paraId="381A8E21"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39.2 (39-39.4)</w:t>
            </w:r>
          </w:p>
        </w:tc>
        <w:tc>
          <w:tcPr>
            <w:tcW w:w="1563" w:type="dxa"/>
            <w:tcBorders>
              <w:top w:val="single" w:sz="4" w:space="0" w:color="auto"/>
            </w:tcBorders>
            <w:noWrap/>
            <w:tcMar>
              <w:top w:w="0" w:type="dxa"/>
              <w:left w:w="108" w:type="dxa"/>
              <w:bottom w:w="0" w:type="dxa"/>
              <w:right w:w="108" w:type="dxa"/>
            </w:tcMar>
            <w:vAlign w:val="bottom"/>
            <w:hideMark/>
          </w:tcPr>
          <w:p w14:paraId="6DCB6978"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25.2 (25-25.4)</w:t>
            </w:r>
          </w:p>
        </w:tc>
      </w:tr>
      <w:tr w:rsidR="00931E93" w:rsidRPr="00986C6D" w14:paraId="32974BC8" w14:textId="77777777" w:rsidTr="00154DE3">
        <w:trPr>
          <w:trHeight w:val="233"/>
        </w:trPr>
        <w:tc>
          <w:tcPr>
            <w:tcW w:w="0" w:type="auto"/>
            <w:vMerge/>
            <w:vAlign w:val="center"/>
            <w:hideMark/>
          </w:tcPr>
          <w:p w14:paraId="42F8112D" w14:textId="77777777" w:rsidR="00931E93" w:rsidRPr="00986C6D" w:rsidRDefault="00931E93" w:rsidP="00154DE3">
            <w:pPr>
              <w:rPr>
                <w:rFonts w:ascii="Times New Roman" w:hAnsi="Times New Roman" w:cs="Times New Roman"/>
                <w:sz w:val="20"/>
                <w:szCs w:val="20"/>
              </w:rPr>
            </w:pPr>
          </w:p>
        </w:tc>
        <w:tc>
          <w:tcPr>
            <w:tcW w:w="1839" w:type="dxa"/>
            <w:tcBorders>
              <w:right w:val="single" w:sz="4" w:space="0" w:color="auto"/>
            </w:tcBorders>
            <w:noWrap/>
            <w:tcMar>
              <w:top w:w="0" w:type="dxa"/>
              <w:left w:w="108" w:type="dxa"/>
              <w:bottom w:w="0" w:type="dxa"/>
              <w:right w:w="108" w:type="dxa"/>
            </w:tcMar>
            <w:vAlign w:val="bottom"/>
            <w:hideMark/>
          </w:tcPr>
          <w:p w14:paraId="41B7B96C" w14:textId="77777777" w:rsidR="00931E93" w:rsidRPr="00986C6D" w:rsidRDefault="00931E93" w:rsidP="00154DE3">
            <w:pPr>
              <w:pStyle w:val="xmsonormal"/>
              <w:rPr>
                <w:rFonts w:ascii="Times New Roman" w:hAnsi="Times New Roman" w:cs="Times New Roman"/>
                <w:sz w:val="20"/>
                <w:szCs w:val="20"/>
              </w:rPr>
            </w:pPr>
            <w:r w:rsidRPr="00986C6D">
              <w:rPr>
                <w:rFonts w:ascii="Times New Roman" w:hAnsi="Times New Roman" w:cs="Times New Roman"/>
                <w:color w:val="000000"/>
                <w:sz w:val="20"/>
                <w:szCs w:val="20"/>
              </w:rPr>
              <w:t>Cardiovascular disease</w:t>
            </w:r>
          </w:p>
        </w:tc>
        <w:tc>
          <w:tcPr>
            <w:tcW w:w="946" w:type="dxa"/>
            <w:tcBorders>
              <w:left w:val="single" w:sz="4" w:space="0" w:color="auto"/>
            </w:tcBorders>
            <w:noWrap/>
            <w:tcMar>
              <w:top w:w="0" w:type="dxa"/>
              <w:left w:w="108" w:type="dxa"/>
              <w:bottom w:w="0" w:type="dxa"/>
              <w:right w:w="108" w:type="dxa"/>
            </w:tcMar>
            <w:vAlign w:val="bottom"/>
            <w:hideMark/>
          </w:tcPr>
          <w:p w14:paraId="4051486A"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11,689 </w:t>
            </w:r>
          </w:p>
        </w:tc>
        <w:tc>
          <w:tcPr>
            <w:tcW w:w="1557" w:type="dxa"/>
            <w:noWrap/>
            <w:tcMar>
              <w:top w:w="0" w:type="dxa"/>
              <w:left w:w="108" w:type="dxa"/>
              <w:bottom w:w="0" w:type="dxa"/>
              <w:right w:w="108" w:type="dxa"/>
            </w:tcMar>
            <w:vAlign w:val="bottom"/>
            <w:hideMark/>
          </w:tcPr>
          <w:p w14:paraId="0953DEBB"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12.8 (12.5-13)</w:t>
            </w:r>
          </w:p>
        </w:tc>
        <w:tc>
          <w:tcPr>
            <w:tcW w:w="2126" w:type="dxa"/>
            <w:tcBorders>
              <w:right w:val="single" w:sz="4" w:space="0" w:color="auto"/>
            </w:tcBorders>
            <w:noWrap/>
            <w:tcMar>
              <w:top w:w="0" w:type="dxa"/>
              <w:left w:w="108" w:type="dxa"/>
              <w:bottom w:w="0" w:type="dxa"/>
              <w:right w:w="108" w:type="dxa"/>
            </w:tcMar>
            <w:vAlign w:val="bottom"/>
            <w:hideMark/>
          </w:tcPr>
          <w:p w14:paraId="719465B3"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9.4 (9.2-9.5)</w:t>
            </w:r>
          </w:p>
        </w:tc>
        <w:tc>
          <w:tcPr>
            <w:tcW w:w="867" w:type="dxa"/>
            <w:tcBorders>
              <w:left w:val="single" w:sz="4" w:space="0" w:color="auto"/>
            </w:tcBorders>
            <w:noWrap/>
            <w:tcMar>
              <w:top w:w="0" w:type="dxa"/>
              <w:left w:w="108" w:type="dxa"/>
              <w:bottom w:w="0" w:type="dxa"/>
              <w:right w:w="108" w:type="dxa"/>
            </w:tcMar>
            <w:vAlign w:val="bottom"/>
            <w:hideMark/>
          </w:tcPr>
          <w:p w14:paraId="650E85F3"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33,265 </w:t>
            </w:r>
          </w:p>
        </w:tc>
        <w:tc>
          <w:tcPr>
            <w:tcW w:w="1560" w:type="dxa"/>
            <w:noWrap/>
            <w:tcMar>
              <w:top w:w="0" w:type="dxa"/>
              <w:left w:w="108" w:type="dxa"/>
              <w:bottom w:w="0" w:type="dxa"/>
              <w:right w:w="108" w:type="dxa"/>
            </w:tcMar>
            <w:vAlign w:val="bottom"/>
            <w:hideMark/>
          </w:tcPr>
          <w:p w14:paraId="7935BA47"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12.2 (12.1-12.3)</w:t>
            </w:r>
          </w:p>
        </w:tc>
        <w:tc>
          <w:tcPr>
            <w:tcW w:w="1542" w:type="dxa"/>
            <w:tcBorders>
              <w:right w:val="single" w:sz="4" w:space="0" w:color="auto"/>
            </w:tcBorders>
            <w:noWrap/>
            <w:tcMar>
              <w:top w:w="0" w:type="dxa"/>
              <w:left w:w="108" w:type="dxa"/>
              <w:bottom w:w="0" w:type="dxa"/>
              <w:right w:w="108" w:type="dxa"/>
            </w:tcMar>
            <w:vAlign w:val="bottom"/>
            <w:hideMark/>
          </w:tcPr>
          <w:p w14:paraId="1D38316D"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8.3 (8.2-8.4)</w:t>
            </w:r>
          </w:p>
        </w:tc>
        <w:tc>
          <w:tcPr>
            <w:tcW w:w="742" w:type="dxa"/>
            <w:tcBorders>
              <w:left w:val="single" w:sz="4" w:space="0" w:color="auto"/>
            </w:tcBorders>
            <w:noWrap/>
            <w:tcMar>
              <w:top w:w="0" w:type="dxa"/>
              <w:left w:w="108" w:type="dxa"/>
              <w:bottom w:w="0" w:type="dxa"/>
              <w:right w:w="108" w:type="dxa"/>
            </w:tcMar>
            <w:vAlign w:val="bottom"/>
            <w:hideMark/>
          </w:tcPr>
          <w:p w14:paraId="0FCCF15A"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 75,399 </w:t>
            </w:r>
          </w:p>
        </w:tc>
        <w:tc>
          <w:tcPr>
            <w:tcW w:w="1559" w:type="dxa"/>
            <w:noWrap/>
            <w:tcMar>
              <w:top w:w="0" w:type="dxa"/>
              <w:left w:w="108" w:type="dxa"/>
              <w:bottom w:w="0" w:type="dxa"/>
              <w:right w:w="108" w:type="dxa"/>
            </w:tcMar>
            <w:vAlign w:val="bottom"/>
            <w:hideMark/>
          </w:tcPr>
          <w:p w14:paraId="4453B980"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12.1 (12.1-12.2)</w:t>
            </w:r>
          </w:p>
        </w:tc>
        <w:tc>
          <w:tcPr>
            <w:tcW w:w="1563" w:type="dxa"/>
            <w:noWrap/>
            <w:tcMar>
              <w:top w:w="0" w:type="dxa"/>
              <w:left w:w="108" w:type="dxa"/>
              <w:bottom w:w="0" w:type="dxa"/>
              <w:right w:w="108" w:type="dxa"/>
            </w:tcMar>
            <w:vAlign w:val="bottom"/>
            <w:hideMark/>
          </w:tcPr>
          <w:p w14:paraId="5B0038FE"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7.7 (7.6-7.8)</w:t>
            </w:r>
          </w:p>
        </w:tc>
      </w:tr>
      <w:tr w:rsidR="00931E93" w:rsidRPr="00986C6D" w14:paraId="69C55DE9" w14:textId="77777777" w:rsidTr="00154DE3">
        <w:trPr>
          <w:trHeight w:val="233"/>
        </w:trPr>
        <w:tc>
          <w:tcPr>
            <w:tcW w:w="0" w:type="auto"/>
            <w:vMerge/>
            <w:vAlign w:val="center"/>
            <w:hideMark/>
          </w:tcPr>
          <w:p w14:paraId="7142F385" w14:textId="77777777" w:rsidR="00931E93" w:rsidRPr="00986C6D" w:rsidRDefault="00931E93" w:rsidP="00154DE3">
            <w:pPr>
              <w:rPr>
                <w:rFonts w:ascii="Times New Roman" w:hAnsi="Times New Roman" w:cs="Times New Roman"/>
                <w:sz w:val="20"/>
                <w:szCs w:val="20"/>
              </w:rPr>
            </w:pPr>
          </w:p>
        </w:tc>
        <w:tc>
          <w:tcPr>
            <w:tcW w:w="1839" w:type="dxa"/>
            <w:tcBorders>
              <w:right w:val="single" w:sz="4" w:space="0" w:color="auto"/>
            </w:tcBorders>
            <w:noWrap/>
            <w:tcMar>
              <w:top w:w="0" w:type="dxa"/>
              <w:left w:w="108" w:type="dxa"/>
              <w:bottom w:w="0" w:type="dxa"/>
              <w:right w:w="108" w:type="dxa"/>
            </w:tcMar>
            <w:vAlign w:val="bottom"/>
            <w:hideMark/>
          </w:tcPr>
          <w:p w14:paraId="30853A8A" w14:textId="512995EA" w:rsidR="00931E93" w:rsidRPr="00986C6D" w:rsidRDefault="00931E93" w:rsidP="00154DE3">
            <w:pPr>
              <w:pStyle w:val="xmsonormal"/>
              <w:rPr>
                <w:rFonts w:ascii="Times New Roman" w:hAnsi="Times New Roman" w:cs="Times New Roman"/>
                <w:sz w:val="20"/>
                <w:szCs w:val="20"/>
              </w:rPr>
            </w:pPr>
            <w:r w:rsidRPr="00986C6D">
              <w:rPr>
                <w:rFonts w:ascii="Times New Roman" w:hAnsi="Times New Roman" w:cs="Times New Roman"/>
                <w:color w:val="000000"/>
                <w:sz w:val="20"/>
                <w:szCs w:val="20"/>
              </w:rPr>
              <w:t>Diabetes specific causes</w:t>
            </w:r>
            <w:r w:rsidR="004F635D">
              <w:rPr>
                <w:rFonts w:ascii="Times New Roman" w:hAnsi="Times New Roman" w:cs="Times New Roman"/>
                <w:color w:val="000000"/>
                <w:sz w:val="20"/>
                <w:szCs w:val="20"/>
              </w:rPr>
              <w:t>*</w:t>
            </w:r>
          </w:p>
        </w:tc>
        <w:tc>
          <w:tcPr>
            <w:tcW w:w="946" w:type="dxa"/>
            <w:tcBorders>
              <w:left w:val="single" w:sz="4" w:space="0" w:color="auto"/>
            </w:tcBorders>
            <w:noWrap/>
            <w:tcMar>
              <w:top w:w="0" w:type="dxa"/>
              <w:left w:w="108" w:type="dxa"/>
              <w:bottom w:w="0" w:type="dxa"/>
              <w:right w:w="108" w:type="dxa"/>
            </w:tcMar>
            <w:vAlign w:val="bottom"/>
            <w:hideMark/>
          </w:tcPr>
          <w:p w14:paraId="0223987A"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2,536 </w:t>
            </w:r>
          </w:p>
        </w:tc>
        <w:tc>
          <w:tcPr>
            <w:tcW w:w="1557" w:type="dxa"/>
            <w:noWrap/>
            <w:tcMar>
              <w:top w:w="0" w:type="dxa"/>
              <w:left w:w="108" w:type="dxa"/>
              <w:bottom w:w="0" w:type="dxa"/>
              <w:right w:w="108" w:type="dxa"/>
            </w:tcMar>
            <w:vAlign w:val="bottom"/>
            <w:hideMark/>
          </w:tcPr>
          <w:p w14:paraId="2A9D39B8"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2.8 (2.7-2.9)</w:t>
            </w:r>
          </w:p>
        </w:tc>
        <w:tc>
          <w:tcPr>
            <w:tcW w:w="2126" w:type="dxa"/>
            <w:tcBorders>
              <w:right w:val="single" w:sz="4" w:space="0" w:color="auto"/>
            </w:tcBorders>
            <w:noWrap/>
            <w:tcMar>
              <w:top w:w="0" w:type="dxa"/>
              <w:left w:w="108" w:type="dxa"/>
              <w:bottom w:w="0" w:type="dxa"/>
              <w:right w:w="108" w:type="dxa"/>
            </w:tcMar>
            <w:vAlign w:val="bottom"/>
            <w:hideMark/>
          </w:tcPr>
          <w:p w14:paraId="6CBC0090"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2.1 (4.1-2.2)</w:t>
            </w:r>
          </w:p>
        </w:tc>
        <w:tc>
          <w:tcPr>
            <w:tcW w:w="867" w:type="dxa"/>
            <w:tcBorders>
              <w:left w:val="single" w:sz="4" w:space="0" w:color="auto"/>
            </w:tcBorders>
            <w:noWrap/>
            <w:tcMar>
              <w:top w:w="0" w:type="dxa"/>
              <w:left w:w="108" w:type="dxa"/>
              <w:bottom w:w="0" w:type="dxa"/>
              <w:right w:w="108" w:type="dxa"/>
            </w:tcMar>
            <w:vAlign w:val="bottom"/>
            <w:hideMark/>
          </w:tcPr>
          <w:p w14:paraId="036E986A"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6,237 </w:t>
            </w:r>
          </w:p>
        </w:tc>
        <w:tc>
          <w:tcPr>
            <w:tcW w:w="1560" w:type="dxa"/>
            <w:noWrap/>
            <w:tcMar>
              <w:top w:w="0" w:type="dxa"/>
              <w:left w:w="108" w:type="dxa"/>
              <w:bottom w:w="0" w:type="dxa"/>
              <w:right w:w="108" w:type="dxa"/>
            </w:tcMar>
            <w:vAlign w:val="bottom"/>
            <w:hideMark/>
          </w:tcPr>
          <w:p w14:paraId="44D9D6FA"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2.3 (2.2-2.3)</w:t>
            </w:r>
          </w:p>
        </w:tc>
        <w:tc>
          <w:tcPr>
            <w:tcW w:w="1542" w:type="dxa"/>
            <w:tcBorders>
              <w:right w:val="single" w:sz="4" w:space="0" w:color="auto"/>
            </w:tcBorders>
            <w:noWrap/>
            <w:tcMar>
              <w:top w:w="0" w:type="dxa"/>
              <w:left w:w="108" w:type="dxa"/>
              <w:bottom w:w="0" w:type="dxa"/>
              <w:right w:w="108" w:type="dxa"/>
            </w:tcMar>
            <w:vAlign w:val="bottom"/>
            <w:hideMark/>
          </w:tcPr>
          <w:p w14:paraId="7418FEB2"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1.8 (1.8-1.9)</w:t>
            </w:r>
          </w:p>
        </w:tc>
        <w:tc>
          <w:tcPr>
            <w:tcW w:w="742" w:type="dxa"/>
            <w:tcBorders>
              <w:left w:val="single" w:sz="4" w:space="0" w:color="auto"/>
            </w:tcBorders>
            <w:noWrap/>
            <w:tcMar>
              <w:top w:w="0" w:type="dxa"/>
              <w:left w:w="108" w:type="dxa"/>
              <w:bottom w:w="0" w:type="dxa"/>
              <w:right w:w="108" w:type="dxa"/>
            </w:tcMar>
            <w:vAlign w:val="bottom"/>
            <w:hideMark/>
          </w:tcPr>
          <w:p w14:paraId="7DEFF69C"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 12,432 </w:t>
            </w:r>
          </w:p>
        </w:tc>
        <w:tc>
          <w:tcPr>
            <w:tcW w:w="1559" w:type="dxa"/>
            <w:noWrap/>
            <w:tcMar>
              <w:top w:w="0" w:type="dxa"/>
              <w:left w:w="108" w:type="dxa"/>
              <w:bottom w:w="0" w:type="dxa"/>
              <w:right w:w="108" w:type="dxa"/>
            </w:tcMar>
            <w:vAlign w:val="bottom"/>
            <w:hideMark/>
          </w:tcPr>
          <w:p w14:paraId="79D4B9ED"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2 (2-2)</w:t>
            </w:r>
          </w:p>
        </w:tc>
        <w:tc>
          <w:tcPr>
            <w:tcW w:w="1563" w:type="dxa"/>
            <w:noWrap/>
            <w:tcMar>
              <w:top w:w="0" w:type="dxa"/>
              <w:left w:w="108" w:type="dxa"/>
              <w:bottom w:w="0" w:type="dxa"/>
              <w:right w:w="108" w:type="dxa"/>
            </w:tcMar>
            <w:vAlign w:val="bottom"/>
            <w:hideMark/>
          </w:tcPr>
          <w:p w14:paraId="70EDB1A8"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1.5 (1.5-1.6)</w:t>
            </w:r>
          </w:p>
        </w:tc>
      </w:tr>
      <w:tr w:rsidR="00931E93" w:rsidRPr="00986C6D" w14:paraId="62FF3149" w14:textId="77777777" w:rsidTr="00154DE3">
        <w:trPr>
          <w:trHeight w:val="233"/>
        </w:trPr>
        <w:tc>
          <w:tcPr>
            <w:tcW w:w="0" w:type="auto"/>
            <w:vMerge/>
            <w:vAlign w:val="center"/>
            <w:hideMark/>
          </w:tcPr>
          <w:p w14:paraId="53B0926E" w14:textId="77777777" w:rsidR="00931E93" w:rsidRPr="00986C6D" w:rsidRDefault="00931E93" w:rsidP="00154DE3">
            <w:pPr>
              <w:rPr>
                <w:rFonts w:ascii="Times New Roman" w:hAnsi="Times New Roman" w:cs="Times New Roman"/>
                <w:sz w:val="20"/>
                <w:szCs w:val="20"/>
              </w:rPr>
            </w:pPr>
          </w:p>
        </w:tc>
        <w:tc>
          <w:tcPr>
            <w:tcW w:w="1839" w:type="dxa"/>
            <w:tcBorders>
              <w:right w:val="single" w:sz="4" w:space="0" w:color="auto"/>
            </w:tcBorders>
            <w:noWrap/>
            <w:tcMar>
              <w:top w:w="0" w:type="dxa"/>
              <w:left w:w="108" w:type="dxa"/>
              <w:bottom w:w="0" w:type="dxa"/>
              <w:right w:w="108" w:type="dxa"/>
            </w:tcMar>
            <w:vAlign w:val="bottom"/>
            <w:hideMark/>
          </w:tcPr>
          <w:p w14:paraId="37EE572F" w14:textId="77777777" w:rsidR="00931E93" w:rsidRPr="00986C6D" w:rsidRDefault="00931E93" w:rsidP="00154DE3">
            <w:pPr>
              <w:pStyle w:val="xmsonormal"/>
              <w:rPr>
                <w:rFonts w:ascii="Times New Roman" w:hAnsi="Times New Roman" w:cs="Times New Roman"/>
                <w:sz w:val="20"/>
                <w:szCs w:val="20"/>
              </w:rPr>
            </w:pPr>
            <w:r w:rsidRPr="00986C6D">
              <w:rPr>
                <w:rFonts w:ascii="Times New Roman" w:hAnsi="Times New Roman" w:cs="Times New Roman"/>
                <w:color w:val="000000"/>
                <w:sz w:val="20"/>
                <w:szCs w:val="20"/>
              </w:rPr>
              <w:t>Renal failure</w:t>
            </w:r>
          </w:p>
        </w:tc>
        <w:tc>
          <w:tcPr>
            <w:tcW w:w="946" w:type="dxa"/>
            <w:tcBorders>
              <w:left w:val="single" w:sz="4" w:space="0" w:color="auto"/>
            </w:tcBorders>
            <w:noWrap/>
            <w:tcMar>
              <w:top w:w="0" w:type="dxa"/>
              <w:left w:w="108" w:type="dxa"/>
              <w:bottom w:w="0" w:type="dxa"/>
              <w:right w:w="108" w:type="dxa"/>
            </w:tcMar>
            <w:vAlign w:val="bottom"/>
            <w:hideMark/>
          </w:tcPr>
          <w:p w14:paraId="4D937C04"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230 </w:t>
            </w:r>
          </w:p>
        </w:tc>
        <w:tc>
          <w:tcPr>
            <w:tcW w:w="1557" w:type="dxa"/>
            <w:noWrap/>
            <w:tcMar>
              <w:top w:w="0" w:type="dxa"/>
              <w:left w:w="108" w:type="dxa"/>
              <w:bottom w:w="0" w:type="dxa"/>
              <w:right w:w="108" w:type="dxa"/>
            </w:tcMar>
            <w:vAlign w:val="bottom"/>
            <w:hideMark/>
          </w:tcPr>
          <w:p w14:paraId="2E098C68"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0.25 (0.22-0.29)</w:t>
            </w:r>
          </w:p>
        </w:tc>
        <w:tc>
          <w:tcPr>
            <w:tcW w:w="2126" w:type="dxa"/>
            <w:tcBorders>
              <w:right w:val="single" w:sz="4" w:space="0" w:color="auto"/>
            </w:tcBorders>
            <w:noWrap/>
            <w:tcMar>
              <w:top w:w="0" w:type="dxa"/>
              <w:left w:w="108" w:type="dxa"/>
              <w:bottom w:w="0" w:type="dxa"/>
              <w:right w:w="108" w:type="dxa"/>
            </w:tcMar>
            <w:vAlign w:val="bottom"/>
            <w:hideMark/>
          </w:tcPr>
          <w:p w14:paraId="3F5C3B49"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0.2 (0.2-0.2)</w:t>
            </w:r>
          </w:p>
        </w:tc>
        <w:tc>
          <w:tcPr>
            <w:tcW w:w="867" w:type="dxa"/>
            <w:tcBorders>
              <w:left w:val="single" w:sz="4" w:space="0" w:color="auto"/>
            </w:tcBorders>
            <w:noWrap/>
            <w:tcMar>
              <w:top w:w="0" w:type="dxa"/>
              <w:left w:w="108" w:type="dxa"/>
              <w:bottom w:w="0" w:type="dxa"/>
              <w:right w:w="108" w:type="dxa"/>
            </w:tcMar>
            <w:vAlign w:val="bottom"/>
            <w:hideMark/>
          </w:tcPr>
          <w:p w14:paraId="505B40A0"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672 </w:t>
            </w:r>
          </w:p>
        </w:tc>
        <w:tc>
          <w:tcPr>
            <w:tcW w:w="1560" w:type="dxa"/>
            <w:noWrap/>
            <w:tcMar>
              <w:top w:w="0" w:type="dxa"/>
              <w:left w:w="108" w:type="dxa"/>
              <w:bottom w:w="0" w:type="dxa"/>
              <w:right w:w="108" w:type="dxa"/>
            </w:tcMar>
            <w:vAlign w:val="bottom"/>
            <w:hideMark/>
          </w:tcPr>
          <w:p w14:paraId="57CB238C"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0.25 (0.23-0.27)</w:t>
            </w:r>
          </w:p>
        </w:tc>
        <w:tc>
          <w:tcPr>
            <w:tcW w:w="1542" w:type="dxa"/>
            <w:tcBorders>
              <w:right w:val="single" w:sz="4" w:space="0" w:color="auto"/>
            </w:tcBorders>
            <w:noWrap/>
            <w:tcMar>
              <w:top w:w="0" w:type="dxa"/>
              <w:left w:w="108" w:type="dxa"/>
              <w:bottom w:w="0" w:type="dxa"/>
              <w:right w:w="108" w:type="dxa"/>
            </w:tcMar>
            <w:vAlign w:val="bottom"/>
            <w:hideMark/>
          </w:tcPr>
          <w:p w14:paraId="271FA181"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0.2 (0.2-0.2)</w:t>
            </w:r>
          </w:p>
        </w:tc>
        <w:tc>
          <w:tcPr>
            <w:tcW w:w="742" w:type="dxa"/>
            <w:tcBorders>
              <w:left w:val="single" w:sz="4" w:space="0" w:color="auto"/>
            </w:tcBorders>
            <w:noWrap/>
            <w:tcMar>
              <w:top w:w="0" w:type="dxa"/>
              <w:left w:w="108" w:type="dxa"/>
              <w:bottom w:w="0" w:type="dxa"/>
              <w:right w:w="108" w:type="dxa"/>
            </w:tcMar>
            <w:vAlign w:val="bottom"/>
            <w:hideMark/>
          </w:tcPr>
          <w:p w14:paraId="03839E12"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 1,417 </w:t>
            </w:r>
          </w:p>
        </w:tc>
        <w:tc>
          <w:tcPr>
            <w:tcW w:w="1559" w:type="dxa"/>
            <w:noWrap/>
            <w:tcMar>
              <w:top w:w="0" w:type="dxa"/>
              <w:left w:w="108" w:type="dxa"/>
              <w:bottom w:w="0" w:type="dxa"/>
              <w:right w:w="108" w:type="dxa"/>
            </w:tcMar>
            <w:vAlign w:val="bottom"/>
            <w:hideMark/>
          </w:tcPr>
          <w:p w14:paraId="6B53C199"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0.23 (0.22-0.24)</w:t>
            </w:r>
          </w:p>
        </w:tc>
        <w:tc>
          <w:tcPr>
            <w:tcW w:w="1563" w:type="dxa"/>
            <w:noWrap/>
            <w:tcMar>
              <w:top w:w="0" w:type="dxa"/>
              <w:left w:w="108" w:type="dxa"/>
              <w:bottom w:w="0" w:type="dxa"/>
              <w:right w:w="108" w:type="dxa"/>
            </w:tcMar>
            <w:vAlign w:val="bottom"/>
            <w:hideMark/>
          </w:tcPr>
          <w:p w14:paraId="0736F91B"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0.2 (0.1-0.2)</w:t>
            </w:r>
          </w:p>
        </w:tc>
      </w:tr>
      <w:tr w:rsidR="00931E93" w:rsidRPr="00986C6D" w14:paraId="414D9C21" w14:textId="77777777" w:rsidTr="00154DE3">
        <w:trPr>
          <w:trHeight w:val="233"/>
        </w:trPr>
        <w:tc>
          <w:tcPr>
            <w:tcW w:w="0" w:type="auto"/>
            <w:vMerge/>
            <w:vAlign w:val="center"/>
            <w:hideMark/>
          </w:tcPr>
          <w:p w14:paraId="7312AB5D" w14:textId="77777777" w:rsidR="00931E93" w:rsidRPr="00986C6D" w:rsidRDefault="00931E93" w:rsidP="00154DE3">
            <w:pPr>
              <w:rPr>
                <w:rFonts w:ascii="Times New Roman" w:hAnsi="Times New Roman" w:cs="Times New Roman"/>
                <w:sz w:val="20"/>
                <w:szCs w:val="20"/>
              </w:rPr>
            </w:pPr>
          </w:p>
        </w:tc>
        <w:tc>
          <w:tcPr>
            <w:tcW w:w="1839" w:type="dxa"/>
            <w:tcBorders>
              <w:right w:val="single" w:sz="4" w:space="0" w:color="auto"/>
            </w:tcBorders>
            <w:noWrap/>
            <w:tcMar>
              <w:top w:w="0" w:type="dxa"/>
              <w:left w:w="108" w:type="dxa"/>
              <w:bottom w:w="0" w:type="dxa"/>
              <w:right w:w="108" w:type="dxa"/>
            </w:tcMar>
            <w:vAlign w:val="bottom"/>
            <w:hideMark/>
          </w:tcPr>
          <w:p w14:paraId="2E44F391" w14:textId="77777777" w:rsidR="00931E93" w:rsidRPr="00986C6D" w:rsidRDefault="00931E93" w:rsidP="00154DE3">
            <w:pPr>
              <w:pStyle w:val="xmsonormal"/>
              <w:rPr>
                <w:rFonts w:ascii="Times New Roman" w:hAnsi="Times New Roman" w:cs="Times New Roman"/>
                <w:sz w:val="20"/>
                <w:szCs w:val="20"/>
              </w:rPr>
            </w:pPr>
            <w:r w:rsidRPr="00986C6D">
              <w:rPr>
                <w:rFonts w:ascii="Times New Roman" w:hAnsi="Times New Roman" w:cs="Times New Roman"/>
                <w:color w:val="000000"/>
                <w:sz w:val="20"/>
                <w:szCs w:val="20"/>
              </w:rPr>
              <w:t>Cancer</w:t>
            </w:r>
          </w:p>
        </w:tc>
        <w:tc>
          <w:tcPr>
            <w:tcW w:w="946" w:type="dxa"/>
            <w:tcBorders>
              <w:left w:val="single" w:sz="4" w:space="0" w:color="auto"/>
            </w:tcBorders>
            <w:noWrap/>
            <w:tcMar>
              <w:top w:w="0" w:type="dxa"/>
              <w:left w:w="108" w:type="dxa"/>
              <w:bottom w:w="0" w:type="dxa"/>
              <w:right w:w="108" w:type="dxa"/>
            </w:tcMar>
            <w:vAlign w:val="bottom"/>
            <w:hideMark/>
          </w:tcPr>
          <w:p w14:paraId="2640C0FE"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6,281 </w:t>
            </w:r>
          </w:p>
        </w:tc>
        <w:tc>
          <w:tcPr>
            <w:tcW w:w="1557" w:type="dxa"/>
            <w:noWrap/>
            <w:tcMar>
              <w:top w:w="0" w:type="dxa"/>
              <w:left w:w="108" w:type="dxa"/>
              <w:bottom w:w="0" w:type="dxa"/>
              <w:right w:w="108" w:type="dxa"/>
            </w:tcMar>
            <w:vAlign w:val="bottom"/>
            <w:hideMark/>
          </w:tcPr>
          <w:p w14:paraId="1D389669"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6.9 (6.7-7)</w:t>
            </w:r>
          </w:p>
        </w:tc>
        <w:tc>
          <w:tcPr>
            <w:tcW w:w="2126" w:type="dxa"/>
            <w:tcBorders>
              <w:right w:val="single" w:sz="4" w:space="0" w:color="auto"/>
            </w:tcBorders>
            <w:noWrap/>
            <w:tcMar>
              <w:top w:w="0" w:type="dxa"/>
              <w:left w:w="108" w:type="dxa"/>
              <w:bottom w:w="0" w:type="dxa"/>
              <w:right w:w="108" w:type="dxa"/>
            </w:tcMar>
            <w:vAlign w:val="bottom"/>
            <w:hideMark/>
          </w:tcPr>
          <w:p w14:paraId="1EEEEE39"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4.8 (4.7-4.9)</w:t>
            </w:r>
          </w:p>
        </w:tc>
        <w:tc>
          <w:tcPr>
            <w:tcW w:w="867" w:type="dxa"/>
            <w:tcBorders>
              <w:left w:val="single" w:sz="4" w:space="0" w:color="auto"/>
            </w:tcBorders>
            <w:noWrap/>
            <w:tcMar>
              <w:top w:w="0" w:type="dxa"/>
              <w:left w:w="108" w:type="dxa"/>
              <w:bottom w:w="0" w:type="dxa"/>
              <w:right w:w="108" w:type="dxa"/>
            </w:tcMar>
            <w:vAlign w:val="bottom"/>
            <w:hideMark/>
          </w:tcPr>
          <w:p w14:paraId="4F35BD66"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22,833 </w:t>
            </w:r>
          </w:p>
        </w:tc>
        <w:tc>
          <w:tcPr>
            <w:tcW w:w="1560" w:type="dxa"/>
            <w:noWrap/>
            <w:tcMar>
              <w:top w:w="0" w:type="dxa"/>
              <w:left w:w="108" w:type="dxa"/>
              <w:bottom w:w="0" w:type="dxa"/>
              <w:right w:w="108" w:type="dxa"/>
            </w:tcMar>
            <w:vAlign w:val="bottom"/>
            <w:hideMark/>
          </w:tcPr>
          <w:p w14:paraId="5BAFD0D6"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8.4 (8.3-8.5)</w:t>
            </w:r>
          </w:p>
        </w:tc>
        <w:tc>
          <w:tcPr>
            <w:tcW w:w="1542" w:type="dxa"/>
            <w:tcBorders>
              <w:right w:val="single" w:sz="4" w:space="0" w:color="auto"/>
            </w:tcBorders>
            <w:noWrap/>
            <w:tcMar>
              <w:top w:w="0" w:type="dxa"/>
              <w:left w:w="108" w:type="dxa"/>
              <w:bottom w:w="0" w:type="dxa"/>
              <w:right w:w="108" w:type="dxa"/>
            </w:tcMar>
            <w:vAlign w:val="bottom"/>
            <w:hideMark/>
          </w:tcPr>
          <w:p w14:paraId="02EB9955"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5.1 (5-5.2)</w:t>
            </w:r>
          </w:p>
        </w:tc>
        <w:tc>
          <w:tcPr>
            <w:tcW w:w="742" w:type="dxa"/>
            <w:tcBorders>
              <w:left w:val="single" w:sz="4" w:space="0" w:color="auto"/>
            </w:tcBorders>
            <w:noWrap/>
            <w:tcMar>
              <w:top w:w="0" w:type="dxa"/>
              <w:left w:w="108" w:type="dxa"/>
              <w:bottom w:w="0" w:type="dxa"/>
              <w:right w:w="108" w:type="dxa"/>
            </w:tcMar>
            <w:vAlign w:val="bottom"/>
            <w:hideMark/>
          </w:tcPr>
          <w:p w14:paraId="23660176" w14:textId="77777777" w:rsidR="00931E93" w:rsidRPr="00986C6D" w:rsidRDefault="00931E93" w:rsidP="00154DE3">
            <w:pPr>
              <w:pStyle w:val="xmsonormal"/>
              <w:jc w:val="right"/>
              <w:rPr>
                <w:rFonts w:ascii="Times New Roman" w:hAnsi="Times New Roman" w:cs="Times New Roman"/>
                <w:sz w:val="20"/>
                <w:szCs w:val="20"/>
              </w:rPr>
            </w:pPr>
            <w:r w:rsidRPr="00986C6D">
              <w:rPr>
                <w:rFonts w:ascii="Times New Roman" w:hAnsi="Times New Roman" w:cs="Times New Roman"/>
                <w:color w:val="000000"/>
                <w:sz w:val="20"/>
                <w:szCs w:val="20"/>
              </w:rPr>
              <w:t xml:space="preserve"> 58,621 </w:t>
            </w:r>
          </w:p>
        </w:tc>
        <w:tc>
          <w:tcPr>
            <w:tcW w:w="1559" w:type="dxa"/>
            <w:noWrap/>
            <w:tcMar>
              <w:top w:w="0" w:type="dxa"/>
              <w:left w:w="108" w:type="dxa"/>
              <w:bottom w:w="0" w:type="dxa"/>
              <w:right w:w="108" w:type="dxa"/>
            </w:tcMar>
            <w:vAlign w:val="bottom"/>
            <w:hideMark/>
          </w:tcPr>
          <w:p w14:paraId="1B52CC76"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9.4 (9.4-9.5)</w:t>
            </w:r>
          </w:p>
        </w:tc>
        <w:tc>
          <w:tcPr>
            <w:tcW w:w="1563" w:type="dxa"/>
            <w:noWrap/>
            <w:tcMar>
              <w:top w:w="0" w:type="dxa"/>
              <w:left w:w="108" w:type="dxa"/>
              <w:bottom w:w="0" w:type="dxa"/>
              <w:right w:w="108" w:type="dxa"/>
            </w:tcMar>
            <w:vAlign w:val="bottom"/>
            <w:hideMark/>
          </w:tcPr>
          <w:p w14:paraId="527A8503" w14:textId="77777777" w:rsidR="00931E93" w:rsidRPr="00986C6D" w:rsidRDefault="00931E93" w:rsidP="00154DE3">
            <w:pPr>
              <w:pStyle w:val="xmsonormal"/>
              <w:jc w:val="center"/>
              <w:rPr>
                <w:rFonts w:ascii="Times New Roman" w:hAnsi="Times New Roman" w:cs="Times New Roman"/>
                <w:sz w:val="20"/>
                <w:szCs w:val="20"/>
              </w:rPr>
            </w:pPr>
            <w:r w:rsidRPr="00986C6D">
              <w:rPr>
                <w:rFonts w:ascii="Times New Roman" w:hAnsi="Times New Roman" w:cs="Times New Roman"/>
                <w:color w:val="000000"/>
                <w:sz w:val="20"/>
                <w:szCs w:val="20"/>
              </w:rPr>
              <w:t>5.2 (5.2-5.3)</w:t>
            </w:r>
          </w:p>
        </w:tc>
      </w:tr>
      <w:tr w:rsidR="00931E93" w:rsidRPr="009B2E5C" w14:paraId="45EAC541" w14:textId="77777777" w:rsidTr="00154DE3">
        <w:trPr>
          <w:trHeight w:val="233"/>
        </w:trPr>
        <w:tc>
          <w:tcPr>
            <w:tcW w:w="0" w:type="auto"/>
            <w:vMerge/>
            <w:vAlign w:val="center"/>
            <w:hideMark/>
          </w:tcPr>
          <w:p w14:paraId="596B883C" w14:textId="77777777" w:rsidR="00931E93" w:rsidRPr="009B2E5C" w:rsidRDefault="00931E93" w:rsidP="00154DE3">
            <w:pPr>
              <w:rPr>
                <w:rFonts w:asciiTheme="majorBidi" w:hAnsiTheme="majorBidi" w:cstheme="majorBidi"/>
                <w:sz w:val="20"/>
                <w:szCs w:val="20"/>
              </w:rPr>
            </w:pPr>
          </w:p>
        </w:tc>
        <w:tc>
          <w:tcPr>
            <w:tcW w:w="1839" w:type="dxa"/>
            <w:tcBorders>
              <w:right w:val="single" w:sz="4" w:space="0" w:color="auto"/>
            </w:tcBorders>
            <w:noWrap/>
            <w:tcMar>
              <w:top w:w="0" w:type="dxa"/>
              <w:left w:w="108" w:type="dxa"/>
              <w:bottom w:w="0" w:type="dxa"/>
              <w:right w:w="108" w:type="dxa"/>
            </w:tcMar>
            <w:vAlign w:val="bottom"/>
            <w:hideMark/>
          </w:tcPr>
          <w:p w14:paraId="0D56555E" w14:textId="77777777" w:rsidR="00931E93" w:rsidRPr="009B2E5C" w:rsidRDefault="00931E93" w:rsidP="00154DE3">
            <w:pPr>
              <w:pStyle w:val="xmsonormal"/>
              <w:rPr>
                <w:rFonts w:asciiTheme="majorBidi" w:hAnsiTheme="majorBidi" w:cstheme="majorBidi"/>
                <w:sz w:val="20"/>
                <w:szCs w:val="20"/>
              </w:rPr>
            </w:pPr>
            <w:r w:rsidRPr="009B2E5C">
              <w:rPr>
                <w:rFonts w:asciiTheme="majorBidi" w:hAnsiTheme="majorBidi" w:cstheme="majorBidi"/>
                <w:color w:val="000000"/>
                <w:sz w:val="20"/>
                <w:szCs w:val="20"/>
              </w:rPr>
              <w:t>Respiratory disease</w:t>
            </w:r>
          </w:p>
        </w:tc>
        <w:tc>
          <w:tcPr>
            <w:tcW w:w="946" w:type="dxa"/>
            <w:tcBorders>
              <w:left w:val="single" w:sz="4" w:space="0" w:color="auto"/>
              <w:bottom w:val="single" w:sz="4" w:space="0" w:color="auto"/>
            </w:tcBorders>
            <w:noWrap/>
            <w:tcMar>
              <w:top w:w="0" w:type="dxa"/>
              <w:left w:w="108" w:type="dxa"/>
              <w:bottom w:w="0" w:type="dxa"/>
              <w:right w:w="108" w:type="dxa"/>
            </w:tcMar>
            <w:vAlign w:val="bottom"/>
            <w:hideMark/>
          </w:tcPr>
          <w:p w14:paraId="4415BC62" w14:textId="77777777" w:rsidR="00931E93" w:rsidRPr="009B2E5C" w:rsidRDefault="00931E93" w:rsidP="00154DE3">
            <w:pPr>
              <w:pStyle w:val="xmsonormal"/>
              <w:jc w:val="right"/>
              <w:rPr>
                <w:rFonts w:asciiTheme="majorBidi" w:hAnsiTheme="majorBidi" w:cstheme="majorBidi"/>
                <w:sz w:val="20"/>
                <w:szCs w:val="20"/>
              </w:rPr>
            </w:pPr>
            <w:r w:rsidRPr="009B2E5C">
              <w:rPr>
                <w:rFonts w:asciiTheme="majorBidi" w:hAnsiTheme="majorBidi" w:cstheme="majorBidi"/>
                <w:color w:val="000000"/>
                <w:sz w:val="20"/>
                <w:szCs w:val="20"/>
              </w:rPr>
              <w:t xml:space="preserve">5,000 </w:t>
            </w:r>
          </w:p>
        </w:tc>
        <w:tc>
          <w:tcPr>
            <w:tcW w:w="1557" w:type="dxa"/>
            <w:tcBorders>
              <w:bottom w:val="single" w:sz="4" w:space="0" w:color="auto"/>
            </w:tcBorders>
            <w:noWrap/>
            <w:tcMar>
              <w:top w:w="0" w:type="dxa"/>
              <w:left w:w="108" w:type="dxa"/>
              <w:bottom w:w="0" w:type="dxa"/>
              <w:right w:w="108" w:type="dxa"/>
            </w:tcMar>
            <w:vAlign w:val="bottom"/>
            <w:hideMark/>
          </w:tcPr>
          <w:p w14:paraId="10E8CF26" w14:textId="77777777" w:rsidR="00931E93" w:rsidRPr="009B2E5C" w:rsidRDefault="00931E93" w:rsidP="00154DE3">
            <w:pPr>
              <w:pStyle w:val="xmsonormal"/>
              <w:jc w:val="center"/>
              <w:rPr>
                <w:rFonts w:asciiTheme="majorBidi" w:hAnsiTheme="majorBidi" w:cstheme="majorBidi"/>
                <w:sz w:val="20"/>
                <w:szCs w:val="20"/>
              </w:rPr>
            </w:pPr>
            <w:r w:rsidRPr="009B2E5C">
              <w:rPr>
                <w:rFonts w:asciiTheme="majorBidi" w:hAnsiTheme="majorBidi" w:cstheme="majorBidi"/>
                <w:color w:val="000000"/>
                <w:sz w:val="20"/>
                <w:szCs w:val="20"/>
              </w:rPr>
              <w:t>5.5 (5.3-5.6)</w:t>
            </w:r>
          </w:p>
        </w:tc>
        <w:tc>
          <w:tcPr>
            <w:tcW w:w="2126" w:type="dxa"/>
            <w:tcBorders>
              <w:bottom w:val="single" w:sz="4" w:space="0" w:color="auto"/>
              <w:right w:val="single" w:sz="4" w:space="0" w:color="auto"/>
            </w:tcBorders>
            <w:noWrap/>
            <w:tcMar>
              <w:top w:w="0" w:type="dxa"/>
              <w:left w:w="108" w:type="dxa"/>
              <w:bottom w:w="0" w:type="dxa"/>
              <w:right w:w="108" w:type="dxa"/>
            </w:tcMar>
            <w:vAlign w:val="bottom"/>
            <w:hideMark/>
          </w:tcPr>
          <w:p w14:paraId="4E5FAC96" w14:textId="77777777" w:rsidR="00931E93" w:rsidRPr="009B2E5C" w:rsidRDefault="00931E93" w:rsidP="00154DE3">
            <w:pPr>
              <w:pStyle w:val="xmsonormal"/>
              <w:jc w:val="center"/>
              <w:rPr>
                <w:rFonts w:asciiTheme="majorBidi" w:hAnsiTheme="majorBidi" w:cstheme="majorBidi"/>
                <w:sz w:val="20"/>
                <w:szCs w:val="20"/>
              </w:rPr>
            </w:pPr>
            <w:r w:rsidRPr="009B2E5C">
              <w:rPr>
                <w:rFonts w:asciiTheme="majorBidi" w:hAnsiTheme="majorBidi" w:cstheme="majorBidi"/>
                <w:color w:val="000000"/>
                <w:sz w:val="20"/>
                <w:szCs w:val="20"/>
              </w:rPr>
              <w:t>4 (3.9-4.2)</w:t>
            </w:r>
          </w:p>
        </w:tc>
        <w:tc>
          <w:tcPr>
            <w:tcW w:w="867" w:type="dxa"/>
            <w:tcBorders>
              <w:left w:val="single" w:sz="4" w:space="0" w:color="auto"/>
            </w:tcBorders>
            <w:noWrap/>
            <w:tcMar>
              <w:top w:w="0" w:type="dxa"/>
              <w:left w:w="108" w:type="dxa"/>
              <w:bottom w:w="0" w:type="dxa"/>
              <w:right w:w="108" w:type="dxa"/>
            </w:tcMar>
            <w:vAlign w:val="bottom"/>
            <w:hideMark/>
          </w:tcPr>
          <w:p w14:paraId="476CD0C8" w14:textId="77777777" w:rsidR="00931E93" w:rsidRPr="009B2E5C" w:rsidRDefault="00931E93" w:rsidP="00154DE3">
            <w:pPr>
              <w:pStyle w:val="xmsonormal"/>
              <w:jc w:val="right"/>
              <w:rPr>
                <w:rFonts w:asciiTheme="majorBidi" w:hAnsiTheme="majorBidi" w:cstheme="majorBidi"/>
                <w:sz w:val="20"/>
                <w:szCs w:val="20"/>
              </w:rPr>
            </w:pPr>
            <w:r w:rsidRPr="009B2E5C">
              <w:rPr>
                <w:rFonts w:asciiTheme="majorBidi" w:hAnsiTheme="majorBidi" w:cstheme="majorBidi"/>
                <w:color w:val="000000"/>
                <w:sz w:val="20"/>
                <w:szCs w:val="20"/>
              </w:rPr>
              <w:t xml:space="preserve">14,699 </w:t>
            </w:r>
          </w:p>
        </w:tc>
        <w:tc>
          <w:tcPr>
            <w:tcW w:w="1560" w:type="dxa"/>
            <w:tcBorders>
              <w:bottom w:val="single" w:sz="4" w:space="0" w:color="auto"/>
            </w:tcBorders>
            <w:noWrap/>
            <w:tcMar>
              <w:top w:w="0" w:type="dxa"/>
              <w:left w:w="108" w:type="dxa"/>
              <w:bottom w:w="0" w:type="dxa"/>
              <w:right w:w="108" w:type="dxa"/>
            </w:tcMar>
            <w:vAlign w:val="bottom"/>
            <w:hideMark/>
          </w:tcPr>
          <w:p w14:paraId="34925DC7" w14:textId="77777777" w:rsidR="00931E93" w:rsidRPr="009B2E5C" w:rsidRDefault="00931E93" w:rsidP="00154DE3">
            <w:pPr>
              <w:pStyle w:val="xmsonormal"/>
              <w:jc w:val="center"/>
              <w:rPr>
                <w:rFonts w:asciiTheme="majorBidi" w:hAnsiTheme="majorBidi" w:cstheme="majorBidi"/>
                <w:sz w:val="20"/>
                <w:szCs w:val="20"/>
              </w:rPr>
            </w:pPr>
            <w:r w:rsidRPr="009B2E5C">
              <w:rPr>
                <w:rFonts w:asciiTheme="majorBidi" w:hAnsiTheme="majorBidi" w:cstheme="majorBidi"/>
                <w:color w:val="000000"/>
                <w:sz w:val="20"/>
                <w:szCs w:val="20"/>
              </w:rPr>
              <w:t>5.4 (5.3-5.5)</w:t>
            </w:r>
          </w:p>
        </w:tc>
        <w:tc>
          <w:tcPr>
            <w:tcW w:w="1542" w:type="dxa"/>
            <w:tcBorders>
              <w:bottom w:val="single" w:sz="4" w:space="0" w:color="auto"/>
              <w:right w:val="single" w:sz="4" w:space="0" w:color="auto"/>
            </w:tcBorders>
            <w:noWrap/>
            <w:tcMar>
              <w:top w:w="0" w:type="dxa"/>
              <w:left w:w="108" w:type="dxa"/>
              <w:bottom w:w="0" w:type="dxa"/>
              <w:right w:w="108" w:type="dxa"/>
            </w:tcMar>
            <w:vAlign w:val="bottom"/>
            <w:hideMark/>
          </w:tcPr>
          <w:p w14:paraId="6E245BF4" w14:textId="77777777" w:rsidR="00931E93" w:rsidRPr="009B2E5C" w:rsidRDefault="00931E93" w:rsidP="00154DE3">
            <w:pPr>
              <w:pStyle w:val="xmsonormal"/>
              <w:jc w:val="center"/>
              <w:rPr>
                <w:rFonts w:asciiTheme="majorBidi" w:hAnsiTheme="majorBidi" w:cstheme="majorBidi"/>
                <w:sz w:val="20"/>
                <w:szCs w:val="20"/>
              </w:rPr>
            </w:pPr>
            <w:r w:rsidRPr="009B2E5C">
              <w:rPr>
                <w:rFonts w:asciiTheme="majorBidi" w:hAnsiTheme="majorBidi" w:cstheme="majorBidi"/>
                <w:color w:val="000000"/>
                <w:sz w:val="20"/>
                <w:szCs w:val="20"/>
              </w:rPr>
              <w:t>3.9 (3.8-4)</w:t>
            </w:r>
          </w:p>
        </w:tc>
        <w:tc>
          <w:tcPr>
            <w:tcW w:w="742" w:type="dxa"/>
            <w:tcBorders>
              <w:left w:val="single" w:sz="4" w:space="0" w:color="auto"/>
            </w:tcBorders>
            <w:noWrap/>
            <w:tcMar>
              <w:top w:w="0" w:type="dxa"/>
              <w:left w:w="108" w:type="dxa"/>
              <w:bottom w:w="0" w:type="dxa"/>
              <w:right w:w="108" w:type="dxa"/>
            </w:tcMar>
            <w:vAlign w:val="bottom"/>
            <w:hideMark/>
          </w:tcPr>
          <w:p w14:paraId="03E8967B" w14:textId="77777777" w:rsidR="00931E93" w:rsidRPr="009B2E5C" w:rsidRDefault="00931E93" w:rsidP="00154DE3">
            <w:pPr>
              <w:pStyle w:val="xmsonormal"/>
              <w:jc w:val="right"/>
              <w:rPr>
                <w:rFonts w:asciiTheme="majorBidi" w:hAnsiTheme="majorBidi" w:cstheme="majorBidi"/>
                <w:sz w:val="20"/>
                <w:szCs w:val="20"/>
              </w:rPr>
            </w:pPr>
            <w:r w:rsidRPr="009B2E5C">
              <w:rPr>
                <w:rFonts w:asciiTheme="majorBidi" w:hAnsiTheme="majorBidi" w:cstheme="majorBidi"/>
                <w:color w:val="000000"/>
                <w:sz w:val="20"/>
                <w:szCs w:val="20"/>
              </w:rPr>
              <w:t xml:space="preserve"> 33,477 </w:t>
            </w:r>
          </w:p>
        </w:tc>
        <w:tc>
          <w:tcPr>
            <w:tcW w:w="1559" w:type="dxa"/>
            <w:noWrap/>
            <w:tcMar>
              <w:top w:w="0" w:type="dxa"/>
              <w:left w:w="108" w:type="dxa"/>
              <w:bottom w:w="0" w:type="dxa"/>
              <w:right w:w="108" w:type="dxa"/>
            </w:tcMar>
            <w:vAlign w:val="bottom"/>
            <w:hideMark/>
          </w:tcPr>
          <w:p w14:paraId="0CE1A376" w14:textId="77777777" w:rsidR="00931E93" w:rsidRPr="009B2E5C" w:rsidRDefault="00931E93" w:rsidP="00154DE3">
            <w:pPr>
              <w:pStyle w:val="xmsonormal"/>
              <w:jc w:val="center"/>
              <w:rPr>
                <w:rFonts w:asciiTheme="majorBidi" w:hAnsiTheme="majorBidi" w:cstheme="majorBidi"/>
                <w:sz w:val="20"/>
                <w:szCs w:val="20"/>
              </w:rPr>
            </w:pPr>
            <w:r w:rsidRPr="009B2E5C">
              <w:rPr>
                <w:rFonts w:asciiTheme="majorBidi" w:hAnsiTheme="majorBidi" w:cstheme="majorBidi"/>
                <w:color w:val="000000"/>
                <w:sz w:val="20"/>
                <w:szCs w:val="20"/>
              </w:rPr>
              <w:t>5.4 (5.3-5.4)</w:t>
            </w:r>
          </w:p>
        </w:tc>
        <w:tc>
          <w:tcPr>
            <w:tcW w:w="1563" w:type="dxa"/>
            <w:noWrap/>
            <w:tcMar>
              <w:top w:w="0" w:type="dxa"/>
              <w:left w:w="108" w:type="dxa"/>
              <w:bottom w:w="0" w:type="dxa"/>
              <w:right w:w="108" w:type="dxa"/>
            </w:tcMar>
            <w:vAlign w:val="bottom"/>
            <w:hideMark/>
          </w:tcPr>
          <w:p w14:paraId="474890E0" w14:textId="77777777" w:rsidR="00931E93" w:rsidRPr="009B2E5C" w:rsidRDefault="00931E93" w:rsidP="00154DE3">
            <w:pPr>
              <w:pStyle w:val="xmsonormal"/>
              <w:jc w:val="center"/>
              <w:rPr>
                <w:rFonts w:asciiTheme="majorBidi" w:hAnsiTheme="majorBidi" w:cstheme="majorBidi"/>
                <w:sz w:val="20"/>
                <w:szCs w:val="20"/>
              </w:rPr>
            </w:pPr>
            <w:r w:rsidRPr="009B2E5C">
              <w:rPr>
                <w:rFonts w:asciiTheme="majorBidi" w:hAnsiTheme="majorBidi" w:cstheme="majorBidi"/>
                <w:color w:val="000000"/>
                <w:sz w:val="20"/>
                <w:szCs w:val="20"/>
              </w:rPr>
              <w:t>3.6 (3.5-3.6)</w:t>
            </w:r>
          </w:p>
        </w:tc>
      </w:tr>
    </w:tbl>
    <w:p w14:paraId="323CFB62" w14:textId="583F6123" w:rsidR="00931E93" w:rsidRPr="009B2E5C" w:rsidRDefault="004F635D" w:rsidP="00931E93">
      <w:pPr>
        <w:spacing w:after="0" w:line="240" w:lineRule="auto"/>
        <w:rPr>
          <w:rFonts w:asciiTheme="majorBidi" w:hAnsiTheme="majorBidi" w:cstheme="majorBidi"/>
        </w:rPr>
      </w:pPr>
      <w:r w:rsidRPr="009B2E5C">
        <w:rPr>
          <w:rFonts w:asciiTheme="majorBidi" w:hAnsiTheme="majorBidi" w:cstheme="majorBidi"/>
        </w:rPr>
        <w:t xml:space="preserve">* </w:t>
      </w:r>
      <w:r w:rsidR="001237C2" w:rsidRPr="009B2E5C">
        <w:rPr>
          <w:rFonts w:asciiTheme="majorBidi" w:hAnsiTheme="majorBidi" w:cstheme="majorBidi"/>
        </w:rPr>
        <w:t>Diabetes Me</w:t>
      </w:r>
      <w:r w:rsidR="00F2042B" w:rsidRPr="009B2E5C">
        <w:rPr>
          <w:rFonts w:asciiTheme="majorBidi" w:hAnsiTheme="majorBidi" w:cstheme="majorBidi"/>
        </w:rPr>
        <w:t xml:space="preserve">llitus </w:t>
      </w:r>
      <w:r w:rsidR="00D57303" w:rsidRPr="009B2E5C">
        <w:rPr>
          <w:rFonts w:asciiTheme="majorBidi" w:hAnsiTheme="majorBidi" w:cstheme="majorBidi"/>
        </w:rPr>
        <w:t>(ICD-10 codes E10-E14)</w:t>
      </w:r>
      <w:r w:rsidR="00302F85" w:rsidRPr="009B2E5C">
        <w:rPr>
          <w:rFonts w:asciiTheme="majorBidi" w:hAnsiTheme="majorBidi" w:cstheme="majorBidi"/>
        </w:rPr>
        <w:t>, drug induced hypoglycaemia without coma (E16.</w:t>
      </w:r>
      <w:r w:rsidR="009B2E5C" w:rsidRPr="009B2E5C">
        <w:rPr>
          <w:rFonts w:asciiTheme="majorBidi" w:hAnsiTheme="majorBidi" w:cstheme="majorBidi"/>
        </w:rPr>
        <w:t>0) and unspecified hypoglycaemia (E16.2)</w:t>
      </w:r>
    </w:p>
    <w:p w14:paraId="34148FAD" w14:textId="77777777" w:rsidR="004F635D" w:rsidRDefault="004F635D" w:rsidP="00931E93">
      <w:pPr>
        <w:spacing w:after="0" w:line="240" w:lineRule="auto"/>
      </w:pPr>
    </w:p>
    <w:p w14:paraId="013D9369" w14:textId="4CD21FA3" w:rsidR="004F635D" w:rsidRDefault="004F635D" w:rsidP="00931E93">
      <w:pPr>
        <w:spacing w:after="0" w:line="240" w:lineRule="auto"/>
        <w:sectPr w:rsidR="004F635D" w:rsidSect="00931E93">
          <w:pgSz w:w="16838" w:h="11906" w:orient="landscape"/>
          <w:pgMar w:top="1440" w:right="1440" w:bottom="1440" w:left="1440" w:header="708" w:footer="708" w:gutter="0"/>
          <w:cols w:space="708"/>
          <w:docGrid w:linePitch="360"/>
        </w:sectPr>
      </w:pPr>
    </w:p>
    <w:p w14:paraId="68CC07AB" w14:textId="345A8DC7" w:rsidR="00931E93" w:rsidRPr="008E43AC" w:rsidRDefault="00931E93" w:rsidP="008E43AC">
      <w:pPr>
        <w:spacing w:after="0" w:line="480" w:lineRule="auto"/>
        <w:rPr>
          <w:rFonts w:asciiTheme="minorBidi" w:hAnsiTheme="minorBidi"/>
          <w:sz w:val="24"/>
          <w:szCs w:val="24"/>
        </w:rPr>
      </w:pPr>
      <w:bookmarkStart w:id="0" w:name="_Hlk77149341"/>
      <w:r w:rsidRPr="008E43AC">
        <w:rPr>
          <w:rFonts w:asciiTheme="minorBidi" w:hAnsiTheme="minorBidi"/>
          <w:sz w:val="24"/>
          <w:szCs w:val="24"/>
        </w:rPr>
        <w:t>Table 3: Hazard ratios for mortality associated with the number of care processes recorded between 1</w:t>
      </w:r>
      <w:r w:rsidRPr="001F6EFC">
        <w:rPr>
          <w:rFonts w:asciiTheme="minorBidi" w:hAnsiTheme="minorBidi"/>
          <w:sz w:val="24"/>
          <w:szCs w:val="24"/>
          <w:vertAlign w:val="superscript"/>
        </w:rPr>
        <w:t>st</w:t>
      </w:r>
      <w:r w:rsidRPr="008E43AC">
        <w:rPr>
          <w:rFonts w:asciiTheme="minorBidi" w:hAnsiTheme="minorBidi"/>
          <w:sz w:val="24"/>
          <w:szCs w:val="24"/>
        </w:rPr>
        <w:t xml:space="preserve"> January 2009 and 31</w:t>
      </w:r>
      <w:r w:rsidRPr="001F6EFC">
        <w:rPr>
          <w:rFonts w:asciiTheme="minorBidi" w:hAnsiTheme="minorBidi"/>
          <w:sz w:val="24"/>
          <w:szCs w:val="24"/>
          <w:vertAlign w:val="superscript"/>
        </w:rPr>
        <w:t>st</w:t>
      </w:r>
      <w:r w:rsidRPr="008E43AC">
        <w:rPr>
          <w:rFonts w:asciiTheme="minorBidi" w:hAnsiTheme="minorBidi"/>
          <w:sz w:val="24"/>
          <w:szCs w:val="24"/>
        </w:rPr>
        <w:t xml:space="preserve"> March 2010 for people with type 1 diabetes and type 2 diabetes, all-cause mortality with different adjustments and cause-specific mortality</w:t>
      </w:r>
    </w:p>
    <w:tbl>
      <w:tblPr>
        <w:tblW w:w="8642" w:type="dxa"/>
        <w:tblLook w:val="04A0" w:firstRow="1" w:lastRow="0" w:firstColumn="1" w:lastColumn="0" w:noHBand="0" w:noVBand="1"/>
      </w:tblPr>
      <w:tblGrid>
        <w:gridCol w:w="2263"/>
        <w:gridCol w:w="1560"/>
        <w:gridCol w:w="2409"/>
        <w:gridCol w:w="2410"/>
      </w:tblGrid>
      <w:tr w:rsidR="00931E93" w:rsidRPr="00986C6D" w14:paraId="7E0B6A54" w14:textId="77777777" w:rsidTr="00154DE3">
        <w:trPr>
          <w:trHeight w:val="263"/>
        </w:trPr>
        <w:tc>
          <w:tcPr>
            <w:tcW w:w="2263" w:type="dxa"/>
            <w:tcBorders>
              <w:top w:val="single" w:sz="4" w:space="0" w:color="auto"/>
              <w:left w:val="single" w:sz="4" w:space="0" w:color="auto"/>
              <w:bottom w:val="nil"/>
              <w:right w:val="nil"/>
            </w:tcBorders>
            <w:shd w:val="clear" w:color="auto" w:fill="auto"/>
            <w:noWrap/>
            <w:hideMark/>
          </w:tcPr>
          <w:p w14:paraId="5A16E53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Cause of death</w:t>
            </w:r>
          </w:p>
        </w:tc>
        <w:tc>
          <w:tcPr>
            <w:tcW w:w="1560" w:type="dxa"/>
            <w:tcBorders>
              <w:top w:val="single" w:sz="4" w:space="0" w:color="auto"/>
              <w:left w:val="single" w:sz="4" w:space="0" w:color="auto"/>
              <w:bottom w:val="nil"/>
              <w:right w:val="nil"/>
            </w:tcBorders>
            <w:shd w:val="clear" w:color="auto" w:fill="auto"/>
          </w:tcPr>
          <w:p w14:paraId="3B6531B3"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Care processes received </w:t>
            </w:r>
          </w:p>
        </w:tc>
        <w:tc>
          <w:tcPr>
            <w:tcW w:w="2409" w:type="dxa"/>
            <w:tcBorders>
              <w:top w:val="single" w:sz="4" w:space="0" w:color="auto"/>
              <w:left w:val="single" w:sz="4" w:space="0" w:color="auto"/>
              <w:bottom w:val="nil"/>
              <w:right w:val="nil"/>
            </w:tcBorders>
            <w:shd w:val="clear" w:color="auto" w:fill="auto"/>
            <w:noWrap/>
            <w:hideMark/>
          </w:tcPr>
          <w:p w14:paraId="34307705"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Type 1 diabetes</w:t>
            </w:r>
          </w:p>
        </w:tc>
        <w:tc>
          <w:tcPr>
            <w:tcW w:w="2410" w:type="dxa"/>
            <w:tcBorders>
              <w:top w:val="single" w:sz="4" w:space="0" w:color="auto"/>
              <w:left w:val="nil"/>
              <w:bottom w:val="nil"/>
              <w:right w:val="single" w:sz="4" w:space="0" w:color="auto"/>
            </w:tcBorders>
            <w:shd w:val="clear" w:color="auto" w:fill="auto"/>
            <w:noWrap/>
            <w:hideMark/>
          </w:tcPr>
          <w:p w14:paraId="4252D03C"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Type 2 diabetes</w:t>
            </w:r>
          </w:p>
        </w:tc>
      </w:tr>
      <w:tr w:rsidR="00931E93" w:rsidRPr="00986C6D" w14:paraId="76CAA3F1" w14:textId="77777777" w:rsidTr="00154DE3">
        <w:trPr>
          <w:trHeight w:val="263"/>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6FB253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All causes</w:t>
            </w:r>
            <w:r w:rsidRPr="00986C6D">
              <w:rPr>
                <w:rFonts w:ascii="Times New Roman" w:eastAsia="Times New Roman" w:hAnsi="Times New Roman" w:cs="Times New Roman"/>
                <w:color w:val="000000"/>
                <w:sz w:val="20"/>
                <w:szCs w:val="20"/>
                <w:vertAlign w:val="superscript"/>
                <w:lang w:eastAsia="en-GB"/>
              </w:rPr>
              <w:t>1</w:t>
            </w:r>
          </w:p>
        </w:tc>
        <w:tc>
          <w:tcPr>
            <w:tcW w:w="1560" w:type="dxa"/>
            <w:tcBorders>
              <w:top w:val="single" w:sz="4" w:space="0" w:color="auto"/>
              <w:left w:val="single" w:sz="4" w:space="0" w:color="auto"/>
              <w:bottom w:val="nil"/>
              <w:right w:val="nil"/>
            </w:tcBorders>
            <w:shd w:val="clear" w:color="auto" w:fill="auto"/>
            <w:noWrap/>
            <w:vAlign w:val="bottom"/>
            <w:hideMark/>
          </w:tcPr>
          <w:p w14:paraId="3BD0271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 </w:t>
            </w:r>
          </w:p>
        </w:tc>
        <w:tc>
          <w:tcPr>
            <w:tcW w:w="2409" w:type="dxa"/>
            <w:tcBorders>
              <w:top w:val="single" w:sz="4" w:space="0" w:color="auto"/>
              <w:left w:val="single" w:sz="4" w:space="0" w:color="auto"/>
              <w:bottom w:val="nil"/>
              <w:right w:val="nil"/>
            </w:tcBorders>
            <w:shd w:val="clear" w:color="auto" w:fill="auto"/>
            <w:noWrap/>
            <w:vAlign w:val="bottom"/>
            <w:hideMark/>
          </w:tcPr>
          <w:p w14:paraId="3B77A0D3"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1.35 (1.29 - 1.41)</w:t>
            </w:r>
          </w:p>
        </w:tc>
        <w:tc>
          <w:tcPr>
            <w:tcW w:w="2410" w:type="dxa"/>
            <w:tcBorders>
              <w:top w:val="single" w:sz="4" w:space="0" w:color="auto"/>
              <w:left w:val="nil"/>
              <w:bottom w:val="nil"/>
              <w:right w:val="single" w:sz="4" w:space="0" w:color="auto"/>
            </w:tcBorders>
            <w:shd w:val="clear" w:color="auto" w:fill="auto"/>
            <w:noWrap/>
            <w:vAlign w:val="bottom"/>
            <w:hideMark/>
          </w:tcPr>
          <w:p w14:paraId="77619CD6"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1.36 (1.34 - 1.38)</w:t>
            </w:r>
          </w:p>
        </w:tc>
      </w:tr>
      <w:tr w:rsidR="00931E93" w:rsidRPr="00986C6D" w14:paraId="27B725CA" w14:textId="77777777" w:rsidTr="00154DE3">
        <w:trPr>
          <w:trHeight w:val="263"/>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57004B7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nil"/>
              <w:right w:val="nil"/>
            </w:tcBorders>
            <w:shd w:val="clear" w:color="auto" w:fill="auto"/>
            <w:noWrap/>
            <w:vAlign w:val="bottom"/>
            <w:hideMark/>
          </w:tcPr>
          <w:p w14:paraId="415BD1E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 or 7</w:t>
            </w:r>
          </w:p>
        </w:tc>
        <w:tc>
          <w:tcPr>
            <w:tcW w:w="2409" w:type="dxa"/>
            <w:tcBorders>
              <w:top w:val="nil"/>
              <w:left w:val="single" w:sz="4" w:space="0" w:color="auto"/>
              <w:bottom w:val="nil"/>
              <w:right w:val="nil"/>
            </w:tcBorders>
            <w:shd w:val="clear" w:color="auto" w:fill="auto"/>
            <w:noWrap/>
            <w:vAlign w:val="bottom"/>
            <w:hideMark/>
          </w:tcPr>
          <w:p w14:paraId="7A902AD6"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1.17 (1.14 - 1.2)</w:t>
            </w:r>
          </w:p>
        </w:tc>
        <w:tc>
          <w:tcPr>
            <w:tcW w:w="2410" w:type="dxa"/>
            <w:tcBorders>
              <w:top w:val="nil"/>
              <w:left w:val="nil"/>
              <w:bottom w:val="nil"/>
              <w:right w:val="single" w:sz="4" w:space="0" w:color="auto"/>
            </w:tcBorders>
            <w:shd w:val="clear" w:color="auto" w:fill="auto"/>
            <w:noWrap/>
            <w:vAlign w:val="bottom"/>
            <w:hideMark/>
          </w:tcPr>
          <w:p w14:paraId="07C83C1F"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1.15 (1.14 - 1.16)</w:t>
            </w:r>
          </w:p>
        </w:tc>
      </w:tr>
      <w:tr w:rsidR="00931E93" w:rsidRPr="00986C6D" w14:paraId="0BF16CAC" w14:textId="77777777" w:rsidTr="00154DE3">
        <w:trPr>
          <w:trHeight w:val="263"/>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3831768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single" w:sz="4" w:space="0" w:color="auto"/>
              <w:right w:val="nil"/>
            </w:tcBorders>
            <w:shd w:val="clear" w:color="auto" w:fill="auto"/>
            <w:noWrap/>
            <w:vAlign w:val="bottom"/>
            <w:hideMark/>
          </w:tcPr>
          <w:p w14:paraId="5C9CB8B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All 8 </w:t>
            </w:r>
          </w:p>
        </w:tc>
        <w:tc>
          <w:tcPr>
            <w:tcW w:w="2409" w:type="dxa"/>
            <w:tcBorders>
              <w:top w:val="nil"/>
              <w:left w:val="single" w:sz="4" w:space="0" w:color="auto"/>
              <w:bottom w:val="single" w:sz="4" w:space="0" w:color="auto"/>
              <w:right w:val="nil"/>
            </w:tcBorders>
            <w:shd w:val="clear" w:color="auto" w:fill="auto"/>
            <w:noWrap/>
            <w:vAlign w:val="bottom"/>
            <w:hideMark/>
          </w:tcPr>
          <w:p w14:paraId="0367FE22"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c>
          <w:tcPr>
            <w:tcW w:w="2410" w:type="dxa"/>
            <w:tcBorders>
              <w:top w:val="nil"/>
              <w:left w:val="nil"/>
              <w:bottom w:val="single" w:sz="4" w:space="0" w:color="auto"/>
              <w:right w:val="single" w:sz="4" w:space="0" w:color="auto"/>
            </w:tcBorders>
            <w:shd w:val="clear" w:color="auto" w:fill="auto"/>
            <w:noWrap/>
            <w:vAlign w:val="bottom"/>
            <w:hideMark/>
          </w:tcPr>
          <w:p w14:paraId="478D1F2A"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r>
      <w:tr w:rsidR="00931E93" w:rsidRPr="00986C6D" w14:paraId="0EA7A172" w14:textId="77777777" w:rsidTr="00154DE3">
        <w:trPr>
          <w:trHeight w:val="263"/>
        </w:trPr>
        <w:tc>
          <w:tcPr>
            <w:tcW w:w="2263" w:type="dxa"/>
            <w:vMerge w:val="restart"/>
            <w:tcBorders>
              <w:top w:val="nil"/>
              <w:left w:val="single" w:sz="4" w:space="0" w:color="auto"/>
              <w:bottom w:val="single" w:sz="4" w:space="0" w:color="000000"/>
              <w:right w:val="single" w:sz="4" w:space="0" w:color="auto"/>
            </w:tcBorders>
            <w:shd w:val="clear" w:color="auto" w:fill="auto"/>
            <w:noWrap/>
            <w:hideMark/>
          </w:tcPr>
          <w:p w14:paraId="47E2B0D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All causes</w:t>
            </w:r>
            <w:r w:rsidRPr="00986C6D">
              <w:rPr>
                <w:rFonts w:ascii="Times New Roman" w:eastAsia="Times New Roman" w:hAnsi="Times New Roman" w:cs="Times New Roman"/>
                <w:color w:val="000000"/>
                <w:sz w:val="20"/>
                <w:szCs w:val="20"/>
                <w:vertAlign w:val="superscript"/>
                <w:lang w:eastAsia="en-GB"/>
              </w:rPr>
              <w:t>2</w:t>
            </w:r>
          </w:p>
        </w:tc>
        <w:tc>
          <w:tcPr>
            <w:tcW w:w="1560" w:type="dxa"/>
            <w:tcBorders>
              <w:top w:val="nil"/>
              <w:left w:val="single" w:sz="4" w:space="0" w:color="auto"/>
              <w:bottom w:val="nil"/>
              <w:right w:val="nil"/>
            </w:tcBorders>
            <w:shd w:val="clear" w:color="auto" w:fill="auto"/>
            <w:noWrap/>
            <w:vAlign w:val="bottom"/>
            <w:hideMark/>
          </w:tcPr>
          <w:p w14:paraId="5EA7F8D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 </w:t>
            </w:r>
          </w:p>
        </w:tc>
        <w:tc>
          <w:tcPr>
            <w:tcW w:w="2409" w:type="dxa"/>
            <w:tcBorders>
              <w:top w:val="nil"/>
              <w:left w:val="single" w:sz="4" w:space="0" w:color="auto"/>
              <w:bottom w:val="nil"/>
              <w:right w:val="nil"/>
            </w:tcBorders>
            <w:shd w:val="clear" w:color="auto" w:fill="auto"/>
            <w:noWrap/>
            <w:vAlign w:val="bottom"/>
            <w:hideMark/>
          </w:tcPr>
          <w:p w14:paraId="6D01E874"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1.38 (1.29 - 1.47)</w:t>
            </w:r>
          </w:p>
        </w:tc>
        <w:tc>
          <w:tcPr>
            <w:tcW w:w="2410" w:type="dxa"/>
            <w:tcBorders>
              <w:top w:val="nil"/>
              <w:left w:val="nil"/>
              <w:bottom w:val="nil"/>
              <w:right w:val="single" w:sz="4" w:space="0" w:color="auto"/>
            </w:tcBorders>
            <w:shd w:val="clear" w:color="auto" w:fill="auto"/>
            <w:noWrap/>
            <w:vAlign w:val="bottom"/>
            <w:hideMark/>
          </w:tcPr>
          <w:p w14:paraId="7D3FAB9D"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1.33 (1.3 - 1.35)</w:t>
            </w:r>
          </w:p>
        </w:tc>
      </w:tr>
      <w:tr w:rsidR="00931E93" w:rsidRPr="00986C6D" w14:paraId="742BC4D5" w14:textId="77777777" w:rsidTr="00154DE3">
        <w:trPr>
          <w:trHeight w:val="263"/>
        </w:trPr>
        <w:tc>
          <w:tcPr>
            <w:tcW w:w="2263" w:type="dxa"/>
            <w:vMerge/>
            <w:tcBorders>
              <w:top w:val="nil"/>
              <w:left w:val="single" w:sz="4" w:space="0" w:color="auto"/>
              <w:bottom w:val="single" w:sz="4" w:space="0" w:color="000000"/>
              <w:right w:val="single" w:sz="4" w:space="0" w:color="auto"/>
            </w:tcBorders>
            <w:vAlign w:val="center"/>
            <w:hideMark/>
          </w:tcPr>
          <w:p w14:paraId="4FE94C2F"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nil"/>
              <w:right w:val="nil"/>
            </w:tcBorders>
            <w:shd w:val="clear" w:color="auto" w:fill="auto"/>
            <w:noWrap/>
            <w:vAlign w:val="bottom"/>
            <w:hideMark/>
          </w:tcPr>
          <w:p w14:paraId="441C82A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 or 7</w:t>
            </w:r>
          </w:p>
        </w:tc>
        <w:tc>
          <w:tcPr>
            <w:tcW w:w="2409" w:type="dxa"/>
            <w:tcBorders>
              <w:top w:val="nil"/>
              <w:left w:val="single" w:sz="4" w:space="0" w:color="auto"/>
              <w:bottom w:val="nil"/>
              <w:right w:val="nil"/>
            </w:tcBorders>
            <w:shd w:val="clear" w:color="auto" w:fill="auto"/>
            <w:noWrap/>
            <w:vAlign w:val="bottom"/>
            <w:hideMark/>
          </w:tcPr>
          <w:p w14:paraId="14CC7FB5"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1.12 (1.09 - 1.16)</w:t>
            </w:r>
          </w:p>
        </w:tc>
        <w:tc>
          <w:tcPr>
            <w:tcW w:w="2410" w:type="dxa"/>
            <w:tcBorders>
              <w:top w:val="nil"/>
              <w:left w:val="nil"/>
              <w:bottom w:val="nil"/>
              <w:right w:val="single" w:sz="4" w:space="0" w:color="auto"/>
            </w:tcBorders>
            <w:shd w:val="clear" w:color="auto" w:fill="auto"/>
            <w:noWrap/>
            <w:vAlign w:val="bottom"/>
            <w:hideMark/>
          </w:tcPr>
          <w:p w14:paraId="044C0A17"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 (1.09 - 1.11)</w:t>
            </w:r>
          </w:p>
        </w:tc>
      </w:tr>
      <w:tr w:rsidR="00931E93" w:rsidRPr="00986C6D" w14:paraId="2F088D6C" w14:textId="77777777" w:rsidTr="00154DE3">
        <w:trPr>
          <w:trHeight w:val="263"/>
        </w:trPr>
        <w:tc>
          <w:tcPr>
            <w:tcW w:w="2263" w:type="dxa"/>
            <w:vMerge/>
            <w:tcBorders>
              <w:top w:val="nil"/>
              <w:left w:val="single" w:sz="4" w:space="0" w:color="auto"/>
              <w:bottom w:val="single" w:sz="4" w:space="0" w:color="000000"/>
              <w:right w:val="single" w:sz="4" w:space="0" w:color="auto"/>
            </w:tcBorders>
            <w:vAlign w:val="center"/>
            <w:hideMark/>
          </w:tcPr>
          <w:p w14:paraId="4E2B0D3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nil"/>
              <w:right w:val="nil"/>
            </w:tcBorders>
            <w:shd w:val="clear" w:color="auto" w:fill="auto"/>
            <w:noWrap/>
            <w:vAlign w:val="bottom"/>
            <w:hideMark/>
          </w:tcPr>
          <w:p w14:paraId="64A728A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All 8 </w:t>
            </w:r>
          </w:p>
        </w:tc>
        <w:tc>
          <w:tcPr>
            <w:tcW w:w="2409" w:type="dxa"/>
            <w:tcBorders>
              <w:top w:val="nil"/>
              <w:left w:val="single" w:sz="4" w:space="0" w:color="auto"/>
              <w:bottom w:val="nil"/>
              <w:right w:val="nil"/>
            </w:tcBorders>
            <w:shd w:val="clear" w:color="auto" w:fill="auto"/>
            <w:noWrap/>
            <w:vAlign w:val="bottom"/>
            <w:hideMark/>
          </w:tcPr>
          <w:p w14:paraId="7BCEC263"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c>
          <w:tcPr>
            <w:tcW w:w="2410" w:type="dxa"/>
            <w:tcBorders>
              <w:top w:val="nil"/>
              <w:left w:val="nil"/>
              <w:bottom w:val="nil"/>
              <w:right w:val="single" w:sz="4" w:space="0" w:color="auto"/>
            </w:tcBorders>
            <w:shd w:val="clear" w:color="auto" w:fill="auto"/>
            <w:noWrap/>
            <w:vAlign w:val="bottom"/>
            <w:hideMark/>
          </w:tcPr>
          <w:p w14:paraId="4604539D"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r>
      <w:tr w:rsidR="00931E93" w:rsidRPr="00986C6D" w14:paraId="42200059" w14:textId="77777777" w:rsidTr="00154DE3">
        <w:trPr>
          <w:trHeight w:val="263"/>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626247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All causes</w:t>
            </w:r>
            <w:r w:rsidRPr="00986C6D">
              <w:rPr>
                <w:rFonts w:ascii="Times New Roman" w:eastAsia="Times New Roman" w:hAnsi="Times New Roman" w:cs="Times New Roman"/>
                <w:color w:val="000000"/>
                <w:sz w:val="20"/>
                <w:szCs w:val="20"/>
                <w:vertAlign w:val="superscript"/>
                <w:lang w:eastAsia="en-GB"/>
              </w:rPr>
              <w:t>3</w:t>
            </w:r>
          </w:p>
        </w:tc>
        <w:tc>
          <w:tcPr>
            <w:tcW w:w="1560" w:type="dxa"/>
            <w:tcBorders>
              <w:top w:val="single" w:sz="4" w:space="0" w:color="auto"/>
              <w:left w:val="single" w:sz="4" w:space="0" w:color="auto"/>
              <w:bottom w:val="nil"/>
              <w:right w:val="nil"/>
            </w:tcBorders>
            <w:shd w:val="clear" w:color="auto" w:fill="auto"/>
            <w:noWrap/>
            <w:vAlign w:val="bottom"/>
            <w:hideMark/>
          </w:tcPr>
          <w:p w14:paraId="305237A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 </w:t>
            </w:r>
          </w:p>
        </w:tc>
        <w:tc>
          <w:tcPr>
            <w:tcW w:w="2409" w:type="dxa"/>
            <w:tcBorders>
              <w:top w:val="single" w:sz="4" w:space="0" w:color="auto"/>
              <w:left w:val="single" w:sz="4" w:space="0" w:color="auto"/>
              <w:bottom w:val="nil"/>
              <w:right w:val="nil"/>
            </w:tcBorders>
            <w:shd w:val="clear" w:color="auto" w:fill="auto"/>
            <w:noWrap/>
            <w:vAlign w:val="bottom"/>
            <w:hideMark/>
          </w:tcPr>
          <w:p w14:paraId="5D2E120E"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1.37 (1.28 - 1.46)</w:t>
            </w:r>
          </w:p>
        </w:tc>
        <w:tc>
          <w:tcPr>
            <w:tcW w:w="2410" w:type="dxa"/>
            <w:tcBorders>
              <w:top w:val="single" w:sz="4" w:space="0" w:color="auto"/>
              <w:left w:val="nil"/>
              <w:bottom w:val="nil"/>
              <w:right w:val="single" w:sz="4" w:space="0" w:color="auto"/>
            </w:tcBorders>
            <w:shd w:val="clear" w:color="auto" w:fill="auto"/>
            <w:noWrap/>
            <w:vAlign w:val="bottom"/>
            <w:hideMark/>
          </w:tcPr>
          <w:p w14:paraId="4B777DC0"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1.32 (1.3 - 1.35)</w:t>
            </w:r>
          </w:p>
        </w:tc>
      </w:tr>
      <w:tr w:rsidR="00931E93" w:rsidRPr="00986C6D" w14:paraId="2D040D17" w14:textId="77777777" w:rsidTr="00154DE3">
        <w:trPr>
          <w:trHeight w:val="263"/>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60BA28C0"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nil"/>
              <w:right w:val="nil"/>
            </w:tcBorders>
            <w:shd w:val="clear" w:color="auto" w:fill="auto"/>
            <w:noWrap/>
            <w:vAlign w:val="bottom"/>
            <w:hideMark/>
          </w:tcPr>
          <w:p w14:paraId="60BA467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 or 7</w:t>
            </w:r>
          </w:p>
        </w:tc>
        <w:tc>
          <w:tcPr>
            <w:tcW w:w="2409" w:type="dxa"/>
            <w:tcBorders>
              <w:top w:val="nil"/>
              <w:left w:val="single" w:sz="4" w:space="0" w:color="auto"/>
              <w:bottom w:val="nil"/>
              <w:right w:val="nil"/>
            </w:tcBorders>
            <w:shd w:val="clear" w:color="auto" w:fill="auto"/>
            <w:noWrap/>
            <w:vAlign w:val="bottom"/>
            <w:hideMark/>
          </w:tcPr>
          <w:p w14:paraId="652DE83E"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1.11 (1.08 - 1.14)</w:t>
            </w:r>
          </w:p>
        </w:tc>
        <w:tc>
          <w:tcPr>
            <w:tcW w:w="2410" w:type="dxa"/>
            <w:tcBorders>
              <w:top w:val="nil"/>
              <w:left w:val="nil"/>
              <w:bottom w:val="nil"/>
              <w:right w:val="single" w:sz="4" w:space="0" w:color="auto"/>
            </w:tcBorders>
            <w:shd w:val="clear" w:color="auto" w:fill="auto"/>
            <w:noWrap/>
            <w:vAlign w:val="bottom"/>
            <w:hideMark/>
          </w:tcPr>
          <w:p w14:paraId="2D338863"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 (1.09 - 1.11)</w:t>
            </w:r>
          </w:p>
        </w:tc>
      </w:tr>
      <w:tr w:rsidR="00931E93" w:rsidRPr="00986C6D" w14:paraId="1685E719" w14:textId="77777777" w:rsidTr="00154DE3">
        <w:trPr>
          <w:trHeight w:val="263"/>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0F76FE01"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single" w:sz="4" w:space="0" w:color="auto"/>
              <w:right w:val="nil"/>
            </w:tcBorders>
            <w:shd w:val="clear" w:color="auto" w:fill="auto"/>
            <w:noWrap/>
            <w:vAlign w:val="bottom"/>
            <w:hideMark/>
          </w:tcPr>
          <w:p w14:paraId="62FB2D40"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All 8 </w:t>
            </w:r>
          </w:p>
        </w:tc>
        <w:tc>
          <w:tcPr>
            <w:tcW w:w="2409" w:type="dxa"/>
            <w:tcBorders>
              <w:top w:val="nil"/>
              <w:left w:val="single" w:sz="4" w:space="0" w:color="auto"/>
              <w:bottom w:val="single" w:sz="4" w:space="0" w:color="auto"/>
              <w:right w:val="nil"/>
            </w:tcBorders>
            <w:shd w:val="clear" w:color="auto" w:fill="auto"/>
            <w:noWrap/>
            <w:vAlign w:val="bottom"/>
            <w:hideMark/>
          </w:tcPr>
          <w:p w14:paraId="5903D5A0"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c>
          <w:tcPr>
            <w:tcW w:w="2410" w:type="dxa"/>
            <w:tcBorders>
              <w:top w:val="nil"/>
              <w:left w:val="nil"/>
              <w:bottom w:val="single" w:sz="4" w:space="0" w:color="auto"/>
              <w:right w:val="single" w:sz="4" w:space="0" w:color="auto"/>
            </w:tcBorders>
            <w:shd w:val="clear" w:color="auto" w:fill="auto"/>
            <w:noWrap/>
            <w:vAlign w:val="bottom"/>
            <w:hideMark/>
          </w:tcPr>
          <w:p w14:paraId="0327521D"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r>
      <w:tr w:rsidR="00931E93" w:rsidRPr="00986C6D" w14:paraId="290F0EB4" w14:textId="77777777" w:rsidTr="00154DE3">
        <w:trPr>
          <w:trHeight w:val="263"/>
        </w:trPr>
        <w:tc>
          <w:tcPr>
            <w:tcW w:w="2263" w:type="dxa"/>
            <w:vMerge w:val="restart"/>
            <w:tcBorders>
              <w:top w:val="nil"/>
              <w:left w:val="single" w:sz="4" w:space="0" w:color="auto"/>
              <w:bottom w:val="single" w:sz="4" w:space="0" w:color="000000"/>
              <w:right w:val="single" w:sz="4" w:space="0" w:color="auto"/>
            </w:tcBorders>
            <w:shd w:val="clear" w:color="auto" w:fill="auto"/>
            <w:noWrap/>
            <w:hideMark/>
          </w:tcPr>
          <w:p w14:paraId="29FF654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Cardiovascular disease</w:t>
            </w:r>
            <w:r w:rsidRPr="00986C6D">
              <w:rPr>
                <w:rFonts w:ascii="Times New Roman" w:eastAsia="Times New Roman" w:hAnsi="Times New Roman" w:cs="Times New Roman"/>
                <w:color w:val="000000"/>
                <w:sz w:val="20"/>
                <w:szCs w:val="20"/>
                <w:vertAlign w:val="superscript"/>
                <w:lang w:eastAsia="en-GB"/>
              </w:rPr>
              <w:t>3</w:t>
            </w:r>
          </w:p>
        </w:tc>
        <w:tc>
          <w:tcPr>
            <w:tcW w:w="1560" w:type="dxa"/>
            <w:tcBorders>
              <w:top w:val="nil"/>
              <w:left w:val="single" w:sz="4" w:space="0" w:color="auto"/>
              <w:bottom w:val="nil"/>
              <w:right w:val="nil"/>
            </w:tcBorders>
            <w:shd w:val="clear" w:color="auto" w:fill="auto"/>
            <w:noWrap/>
            <w:vAlign w:val="bottom"/>
            <w:hideMark/>
          </w:tcPr>
          <w:p w14:paraId="45DD324E"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 </w:t>
            </w:r>
          </w:p>
        </w:tc>
        <w:tc>
          <w:tcPr>
            <w:tcW w:w="2409" w:type="dxa"/>
            <w:tcBorders>
              <w:top w:val="nil"/>
              <w:left w:val="single" w:sz="4" w:space="0" w:color="auto"/>
              <w:bottom w:val="nil"/>
              <w:right w:val="nil"/>
            </w:tcBorders>
            <w:shd w:val="clear" w:color="auto" w:fill="auto"/>
            <w:noWrap/>
            <w:vAlign w:val="bottom"/>
            <w:hideMark/>
          </w:tcPr>
          <w:p w14:paraId="51DFA830"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1.32 (1.18 - 1.48)</w:t>
            </w:r>
          </w:p>
        </w:tc>
        <w:tc>
          <w:tcPr>
            <w:tcW w:w="2410" w:type="dxa"/>
            <w:tcBorders>
              <w:top w:val="nil"/>
              <w:left w:val="nil"/>
              <w:bottom w:val="nil"/>
              <w:right w:val="single" w:sz="4" w:space="0" w:color="auto"/>
            </w:tcBorders>
            <w:shd w:val="clear" w:color="auto" w:fill="auto"/>
            <w:noWrap/>
            <w:vAlign w:val="bottom"/>
            <w:hideMark/>
          </w:tcPr>
          <w:p w14:paraId="0C4408B7"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1.28 (1.24 - 1.33)</w:t>
            </w:r>
          </w:p>
        </w:tc>
      </w:tr>
      <w:tr w:rsidR="00931E93" w:rsidRPr="00986C6D" w14:paraId="7B97C466" w14:textId="77777777" w:rsidTr="00154DE3">
        <w:trPr>
          <w:trHeight w:val="263"/>
        </w:trPr>
        <w:tc>
          <w:tcPr>
            <w:tcW w:w="2263" w:type="dxa"/>
            <w:vMerge/>
            <w:tcBorders>
              <w:top w:val="nil"/>
              <w:left w:val="single" w:sz="4" w:space="0" w:color="auto"/>
              <w:bottom w:val="single" w:sz="4" w:space="0" w:color="000000"/>
              <w:right w:val="single" w:sz="4" w:space="0" w:color="auto"/>
            </w:tcBorders>
            <w:vAlign w:val="center"/>
            <w:hideMark/>
          </w:tcPr>
          <w:p w14:paraId="41B3C80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nil"/>
              <w:right w:val="nil"/>
            </w:tcBorders>
            <w:shd w:val="clear" w:color="auto" w:fill="auto"/>
            <w:noWrap/>
            <w:vAlign w:val="bottom"/>
            <w:hideMark/>
          </w:tcPr>
          <w:p w14:paraId="290DE76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 or 7</w:t>
            </w:r>
          </w:p>
        </w:tc>
        <w:tc>
          <w:tcPr>
            <w:tcW w:w="2409" w:type="dxa"/>
            <w:tcBorders>
              <w:top w:val="nil"/>
              <w:left w:val="single" w:sz="4" w:space="0" w:color="auto"/>
              <w:bottom w:val="nil"/>
              <w:right w:val="nil"/>
            </w:tcBorders>
            <w:shd w:val="clear" w:color="auto" w:fill="auto"/>
            <w:noWrap/>
            <w:vAlign w:val="bottom"/>
            <w:hideMark/>
          </w:tcPr>
          <w:p w14:paraId="1572FDA3"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1.06 (1.01 - 1.11)</w:t>
            </w:r>
          </w:p>
        </w:tc>
        <w:tc>
          <w:tcPr>
            <w:tcW w:w="2410" w:type="dxa"/>
            <w:tcBorders>
              <w:top w:val="nil"/>
              <w:left w:val="nil"/>
              <w:bottom w:val="nil"/>
              <w:right w:val="single" w:sz="4" w:space="0" w:color="auto"/>
            </w:tcBorders>
            <w:shd w:val="clear" w:color="auto" w:fill="auto"/>
            <w:noWrap/>
            <w:vAlign w:val="bottom"/>
            <w:hideMark/>
          </w:tcPr>
          <w:p w14:paraId="777917ED"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1.09 (1.07 - 1.1)</w:t>
            </w:r>
          </w:p>
        </w:tc>
      </w:tr>
      <w:tr w:rsidR="00931E93" w:rsidRPr="00986C6D" w14:paraId="203277E6" w14:textId="77777777" w:rsidTr="00154DE3">
        <w:trPr>
          <w:trHeight w:val="263"/>
        </w:trPr>
        <w:tc>
          <w:tcPr>
            <w:tcW w:w="2263" w:type="dxa"/>
            <w:vMerge/>
            <w:tcBorders>
              <w:top w:val="nil"/>
              <w:left w:val="single" w:sz="4" w:space="0" w:color="auto"/>
              <w:bottom w:val="single" w:sz="4" w:space="0" w:color="000000"/>
              <w:right w:val="single" w:sz="4" w:space="0" w:color="auto"/>
            </w:tcBorders>
            <w:vAlign w:val="center"/>
            <w:hideMark/>
          </w:tcPr>
          <w:p w14:paraId="08566D14"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nil"/>
              <w:right w:val="nil"/>
            </w:tcBorders>
            <w:shd w:val="clear" w:color="auto" w:fill="auto"/>
            <w:noWrap/>
            <w:vAlign w:val="bottom"/>
            <w:hideMark/>
          </w:tcPr>
          <w:p w14:paraId="76A33AA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All 8 </w:t>
            </w:r>
          </w:p>
        </w:tc>
        <w:tc>
          <w:tcPr>
            <w:tcW w:w="2409" w:type="dxa"/>
            <w:tcBorders>
              <w:top w:val="nil"/>
              <w:left w:val="single" w:sz="4" w:space="0" w:color="auto"/>
              <w:bottom w:val="nil"/>
              <w:right w:val="nil"/>
            </w:tcBorders>
            <w:shd w:val="clear" w:color="auto" w:fill="auto"/>
            <w:noWrap/>
            <w:vAlign w:val="bottom"/>
            <w:hideMark/>
          </w:tcPr>
          <w:p w14:paraId="6F0E272E"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c>
          <w:tcPr>
            <w:tcW w:w="2410" w:type="dxa"/>
            <w:tcBorders>
              <w:top w:val="nil"/>
              <w:left w:val="nil"/>
              <w:bottom w:val="nil"/>
              <w:right w:val="single" w:sz="4" w:space="0" w:color="auto"/>
            </w:tcBorders>
            <w:shd w:val="clear" w:color="auto" w:fill="auto"/>
            <w:noWrap/>
            <w:vAlign w:val="bottom"/>
            <w:hideMark/>
          </w:tcPr>
          <w:p w14:paraId="0D01FC23"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r>
      <w:tr w:rsidR="00931E93" w:rsidRPr="00986C6D" w14:paraId="3586D03A" w14:textId="77777777" w:rsidTr="00154DE3">
        <w:trPr>
          <w:trHeight w:val="263"/>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B2E7A5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Cancer</w:t>
            </w:r>
            <w:r w:rsidRPr="00986C6D">
              <w:rPr>
                <w:rFonts w:ascii="Times New Roman" w:eastAsia="Times New Roman" w:hAnsi="Times New Roman" w:cs="Times New Roman"/>
                <w:color w:val="000000"/>
                <w:sz w:val="20"/>
                <w:szCs w:val="20"/>
                <w:vertAlign w:val="superscript"/>
                <w:lang w:eastAsia="en-GB"/>
              </w:rPr>
              <w:t>3</w:t>
            </w:r>
          </w:p>
        </w:tc>
        <w:tc>
          <w:tcPr>
            <w:tcW w:w="1560" w:type="dxa"/>
            <w:tcBorders>
              <w:top w:val="single" w:sz="4" w:space="0" w:color="auto"/>
              <w:left w:val="single" w:sz="4" w:space="0" w:color="auto"/>
              <w:bottom w:val="nil"/>
              <w:right w:val="nil"/>
            </w:tcBorders>
            <w:shd w:val="clear" w:color="auto" w:fill="auto"/>
            <w:noWrap/>
            <w:vAlign w:val="bottom"/>
            <w:hideMark/>
          </w:tcPr>
          <w:p w14:paraId="51180F8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 </w:t>
            </w:r>
          </w:p>
        </w:tc>
        <w:tc>
          <w:tcPr>
            <w:tcW w:w="2409" w:type="dxa"/>
            <w:tcBorders>
              <w:top w:val="single" w:sz="4" w:space="0" w:color="auto"/>
              <w:left w:val="single" w:sz="4" w:space="0" w:color="auto"/>
              <w:bottom w:val="nil"/>
              <w:right w:val="nil"/>
            </w:tcBorders>
            <w:shd w:val="clear" w:color="auto" w:fill="auto"/>
            <w:noWrap/>
            <w:vAlign w:val="bottom"/>
            <w:hideMark/>
          </w:tcPr>
          <w:p w14:paraId="2318A987"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1.23 (1.04 - 1.46)</w:t>
            </w:r>
          </w:p>
        </w:tc>
        <w:tc>
          <w:tcPr>
            <w:tcW w:w="2410" w:type="dxa"/>
            <w:tcBorders>
              <w:top w:val="single" w:sz="4" w:space="0" w:color="auto"/>
              <w:left w:val="nil"/>
              <w:bottom w:val="nil"/>
              <w:right w:val="single" w:sz="4" w:space="0" w:color="auto"/>
            </w:tcBorders>
            <w:shd w:val="clear" w:color="auto" w:fill="auto"/>
            <w:noWrap/>
            <w:vAlign w:val="bottom"/>
            <w:hideMark/>
          </w:tcPr>
          <w:p w14:paraId="042C60B6"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1.06 (1.01 - 1.12)</w:t>
            </w:r>
          </w:p>
        </w:tc>
      </w:tr>
      <w:tr w:rsidR="00931E93" w:rsidRPr="00986C6D" w14:paraId="16605B6C" w14:textId="77777777" w:rsidTr="00154DE3">
        <w:trPr>
          <w:trHeight w:val="263"/>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0FEF1E0F"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nil"/>
              <w:right w:val="nil"/>
            </w:tcBorders>
            <w:shd w:val="clear" w:color="auto" w:fill="auto"/>
            <w:noWrap/>
            <w:vAlign w:val="bottom"/>
            <w:hideMark/>
          </w:tcPr>
          <w:p w14:paraId="6360E8E2"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 or 7</w:t>
            </w:r>
          </w:p>
        </w:tc>
        <w:tc>
          <w:tcPr>
            <w:tcW w:w="2409" w:type="dxa"/>
            <w:tcBorders>
              <w:top w:val="nil"/>
              <w:left w:val="single" w:sz="4" w:space="0" w:color="auto"/>
              <w:bottom w:val="nil"/>
              <w:right w:val="nil"/>
            </w:tcBorders>
            <w:shd w:val="clear" w:color="auto" w:fill="auto"/>
            <w:noWrap/>
            <w:vAlign w:val="bottom"/>
            <w:hideMark/>
          </w:tcPr>
          <w:p w14:paraId="17D3123A"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1.03 (0.95 - 1.1)</w:t>
            </w:r>
          </w:p>
        </w:tc>
        <w:tc>
          <w:tcPr>
            <w:tcW w:w="2410" w:type="dxa"/>
            <w:tcBorders>
              <w:top w:val="nil"/>
              <w:left w:val="nil"/>
              <w:bottom w:val="nil"/>
              <w:right w:val="single" w:sz="4" w:space="0" w:color="auto"/>
            </w:tcBorders>
            <w:shd w:val="clear" w:color="auto" w:fill="auto"/>
            <w:noWrap/>
            <w:vAlign w:val="bottom"/>
            <w:hideMark/>
          </w:tcPr>
          <w:p w14:paraId="176EF2AB"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 (0.98 - 1.02)</w:t>
            </w:r>
          </w:p>
        </w:tc>
      </w:tr>
      <w:tr w:rsidR="00931E93" w:rsidRPr="00986C6D" w14:paraId="07AB5C6B" w14:textId="77777777" w:rsidTr="00154DE3">
        <w:trPr>
          <w:trHeight w:val="263"/>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099FF4C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single" w:sz="4" w:space="0" w:color="auto"/>
              <w:right w:val="nil"/>
            </w:tcBorders>
            <w:shd w:val="clear" w:color="auto" w:fill="auto"/>
            <w:noWrap/>
            <w:vAlign w:val="bottom"/>
            <w:hideMark/>
          </w:tcPr>
          <w:p w14:paraId="587E7F7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All 8 </w:t>
            </w:r>
          </w:p>
        </w:tc>
        <w:tc>
          <w:tcPr>
            <w:tcW w:w="2409" w:type="dxa"/>
            <w:tcBorders>
              <w:top w:val="nil"/>
              <w:left w:val="single" w:sz="4" w:space="0" w:color="auto"/>
              <w:bottom w:val="single" w:sz="4" w:space="0" w:color="auto"/>
              <w:right w:val="nil"/>
            </w:tcBorders>
            <w:shd w:val="clear" w:color="auto" w:fill="auto"/>
            <w:noWrap/>
            <w:vAlign w:val="bottom"/>
            <w:hideMark/>
          </w:tcPr>
          <w:p w14:paraId="07EDA84B"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c>
          <w:tcPr>
            <w:tcW w:w="2410" w:type="dxa"/>
            <w:tcBorders>
              <w:top w:val="nil"/>
              <w:left w:val="nil"/>
              <w:bottom w:val="single" w:sz="4" w:space="0" w:color="auto"/>
              <w:right w:val="single" w:sz="4" w:space="0" w:color="auto"/>
            </w:tcBorders>
            <w:shd w:val="clear" w:color="auto" w:fill="auto"/>
            <w:noWrap/>
            <w:vAlign w:val="bottom"/>
            <w:hideMark/>
          </w:tcPr>
          <w:p w14:paraId="435DFC78"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r>
      <w:tr w:rsidR="00931E93" w:rsidRPr="00986C6D" w14:paraId="48412A09" w14:textId="77777777" w:rsidTr="00154DE3">
        <w:trPr>
          <w:trHeight w:val="263"/>
        </w:trPr>
        <w:tc>
          <w:tcPr>
            <w:tcW w:w="2263" w:type="dxa"/>
            <w:vMerge w:val="restart"/>
            <w:tcBorders>
              <w:top w:val="nil"/>
              <w:left w:val="single" w:sz="4" w:space="0" w:color="auto"/>
              <w:bottom w:val="single" w:sz="4" w:space="0" w:color="000000"/>
              <w:right w:val="single" w:sz="4" w:space="0" w:color="auto"/>
            </w:tcBorders>
            <w:shd w:val="clear" w:color="auto" w:fill="auto"/>
            <w:noWrap/>
            <w:hideMark/>
          </w:tcPr>
          <w:p w14:paraId="540519A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Respiratory disease</w:t>
            </w:r>
            <w:r w:rsidRPr="00986C6D">
              <w:rPr>
                <w:rFonts w:ascii="Times New Roman" w:eastAsia="Times New Roman" w:hAnsi="Times New Roman" w:cs="Times New Roman"/>
                <w:color w:val="000000"/>
                <w:sz w:val="20"/>
                <w:szCs w:val="20"/>
                <w:vertAlign w:val="superscript"/>
                <w:lang w:eastAsia="en-GB"/>
              </w:rPr>
              <w:t>3</w:t>
            </w:r>
          </w:p>
        </w:tc>
        <w:tc>
          <w:tcPr>
            <w:tcW w:w="1560" w:type="dxa"/>
            <w:tcBorders>
              <w:top w:val="nil"/>
              <w:left w:val="single" w:sz="4" w:space="0" w:color="auto"/>
              <w:bottom w:val="nil"/>
              <w:right w:val="nil"/>
            </w:tcBorders>
            <w:shd w:val="clear" w:color="auto" w:fill="auto"/>
            <w:noWrap/>
            <w:vAlign w:val="bottom"/>
            <w:hideMark/>
          </w:tcPr>
          <w:p w14:paraId="62B6495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 </w:t>
            </w:r>
          </w:p>
        </w:tc>
        <w:tc>
          <w:tcPr>
            <w:tcW w:w="2409" w:type="dxa"/>
            <w:tcBorders>
              <w:top w:val="nil"/>
              <w:left w:val="single" w:sz="4" w:space="0" w:color="auto"/>
              <w:bottom w:val="nil"/>
              <w:right w:val="nil"/>
            </w:tcBorders>
            <w:shd w:val="clear" w:color="auto" w:fill="auto"/>
            <w:noWrap/>
            <w:vAlign w:val="bottom"/>
            <w:hideMark/>
          </w:tcPr>
          <w:p w14:paraId="0628DD30"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1.45 (1.19 - 1.76)</w:t>
            </w:r>
          </w:p>
        </w:tc>
        <w:tc>
          <w:tcPr>
            <w:tcW w:w="2410" w:type="dxa"/>
            <w:tcBorders>
              <w:top w:val="nil"/>
              <w:left w:val="nil"/>
              <w:bottom w:val="nil"/>
              <w:right w:val="single" w:sz="4" w:space="0" w:color="auto"/>
            </w:tcBorders>
            <w:shd w:val="clear" w:color="auto" w:fill="auto"/>
            <w:noWrap/>
            <w:vAlign w:val="bottom"/>
            <w:hideMark/>
          </w:tcPr>
          <w:p w14:paraId="68BA2598"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1.41 (1.33 - 1.49)</w:t>
            </w:r>
          </w:p>
        </w:tc>
      </w:tr>
      <w:tr w:rsidR="00931E93" w:rsidRPr="00986C6D" w14:paraId="1FE252F4" w14:textId="77777777" w:rsidTr="00154DE3">
        <w:trPr>
          <w:trHeight w:val="263"/>
        </w:trPr>
        <w:tc>
          <w:tcPr>
            <w:tcW w:w="2263" w:type="dxa"/>
            <w:vMerge/>
            <w:tcBorders>
              <w:top w:val="nil"/>
              <w:left w:val="single" w:sz="4" w:space="0" w:color="auto"/>
              <w:bottom w:val="single" w:sz="4" w:space="0" w:color="000000"/>
              <w:right w:val="single" w:sz="4" w:space="0" w:color="auto"/>
            </w:tcBorders>
            <w:vAlign w:val="center"/>
            <w:hideMark/>
          </w:tcPr>
          <w:p w14:paraId="06F671BE"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nil"/>
              <w:right w:val="nil"/>
            </w:tcBorders>
            <w:shd w:val="clear" w:color="auto" w:fill="auto"/>
            <w:noWrap/>
            <w:vAlign w:val="bottom"/>
            <w:hideMark/>
          </w:tcPr>
          <w:p w14:paraId="37762AAA"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 or 7</w:t>
            </w:r>
          </w:p>
        </w:tc>
        <w:tc>
          <w:tcPr>
            <w:tcW w:w="2409" w:type="dxa"/>
            <w:tcBorders>
              <w:top w:val="nil"/>
              <w:left w:val="single" w:sz="4" w:space="0" w:color="auto"/>
              <w:bottom w:val="nil"/>
              <w:right w:val="nil"/>
            </w:tcBorders>
            <w:shd w:val="clear" w:color="auto" w:fill="auto"/>
            <w:noWrap/>
            <w:vAlign w:val="bottom"/>
            <w:hideMark/>
          </w:tcPr>
          <w:p w14:paraId="4B4F8EC7"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1.19 (1.1 - 1.3)</w:t>
            </w:r>
          </w:p>
        </w:tc>
        <w:tc>
          <w:tcPr>
            <w:tcW w:w="2410" w:type="dxa"/>
            <w:tcBorders>
              <w:top w:val="nil"/>
              <w:left w:val="nil"/>
              <w:bottom w:val="nil"/>
              <w:right w:val="single" w:sz="4" w:space="0" w:color="auto"/>
            </w:tcBorders>
            <w:shd w:val="clear" w:color="auto" w:fill="auto"/>
            <w:noWrap/>
            <w:vAlign w:val="bottom"/>
            <w:hideMark/>
          </w:tcPr>
          <w:p w14:paraId="46254C06"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1.14 (1.12 - 1.17)</w:t>
            </w:r>
          </w:p>
        </w:tc>
      </w:tr>
      <w:tr w:rsidR="00931E93" w:rsidRPr="00986C6D" w14:paraId="358F31F5" w14:textId="77777777" w:rsidTr="00154DE3">
        <w:trPr>
          <w:trHeight w:val="263"/>
        </w:trPr>
        <w:tc>
          <w:tcPr>
            <w:tcW w:w="2263" w:type="dxa"/>
            <w:vMerge/>
            <w:tcBorders>
              <w:top w:val="nil"/>
              <w:left w:val="single" w:sz="4" w:space="0" w:color="auto"/>
              <w:bottom w:val="single" w:sz="4" w:space="0" w:color="000000"/>
              <w:right w:val="single" w:sz="4" w:space="0" w:color="auto"/>
            </w:tcBorders>
            <w:vAlign w:val="center"/>
            <w:hideMark/>
          </w:tcPr>
          <w:p w14:paraId="48952D2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nil"/>
              <w:right w:val="nil"/>
            </w:tcBorders>
            <w:shd w:val="clear" w:color="auto" w:fill="auto"/>
            <w:noWrap/>
            <w:vAlign w:val="bottom"/>
            <w:hideMark/>
          </w:tcPr>
          <w:p w14:paraId="1DF1710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All 8 </w:t>
            </w:r>
          </w:p>
        </w:tc>
        <w:tc>
          <w:tcPr>
            <w:tcW w:w="2409" w:type="dxa"/>
            <w:tcBorders>
              <w:top w:val="nil"/>
              <w:left w:val="single" w:sz="4" w:space="0" w:color="auto"/>
              <w:bottom w:val="nil"/>
              <w:right w:val="nil"/>
            </w:tcBorders>
            <w:shd w:val="clear" w:color="auto" w:fill="auto"/>
            <w:noWrap/>
            <w:vAlign w:val="bottom"/>
            <w:hideMark/>
          </w:tcPr>
          <w:p w14:paraId="528A072A"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c>
          <w:tcPr>
            <w:tcW w:w="2410" w:type="dxa"/>
            <w:tcBorders>
              <w:top w:val="nil"/>
              <w:left w:val="nil"/>
              <w:bottom w:val="nil"/>
              <w:right w:val="single" w:sz="4" w:space="0" w:color="auto"/>
            </w:tcBorders>
            <w:shd w:val="clear" w:color="auto" w:fill="auto"/>
            <w:noWrap/>
            <w:vAlign w:val="bottom"/>
            <w:hideMark/>
          </w:tcPr>
          <w:p w14:paraId="1441A622"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r>
      <w:tr w:rsidR="00931E93" w:rsidRPr="00986C6D" w14:paraId="7C86B624" w14:textId="77777777" w:rsidTr="00154DE3">
        <w:trPr>
          <w:trHeight w:val="263"/>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517C420B"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Diabetes specific causes</w:t>
            </w:r>
            <w:r w:rsidRPr="00986C6D">
              <w:rPr>
                <w:rFonts w:ascii="Times New Roman" w:eastAsia="Times New Roman" w:hAnsi="Times New Roman" w:cs="Times New Roman"/>
                <w:color w:val="000000"/>
                <w:sz w:val="20"/>
                <w:szCs w:val="20"/>
                <w:vertAlign w:val="superscript"/>
                <w:lang w:eastAsia="en-GB"/>
              </w:rPr>
              <w:t>3</w:t>
            </w:r>
          </w:p>
        </w:tc>
        <w:tc>
          <w:tcPr>
            <w:tcW w:w="1560" w:type="dxa"/>
            <w:tcBorders>
              <w:top w:val="single" w:sz="4" w:space="0" w:color="auto"/>
              <w:left w:val="single" w:sz="4" w:space="0" w:color="auto"/>
              <w:bottom w:val="nil"/>
              <w:right w:val="nil"/>
            </w:tcBorders>
            <w:shd w:val="clear" w:color="auto" w:fill="auto"/>
            <w:noWrap/>
            <w:vAlign w:val="bottom"/>
            <w:hideMark/>
          </w:tcPr>
          <w:p w14:paraId="26FE891F"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 </w:t>
            </w:r>
          </w:p>
        </w:tc>
        <w:tc>
          <w:tcPr>
            <w:tcW w:w="2409" w:type="dxa"/>
            <w:tcBorders>
              <w:top w:val="single" w:sz="4" w:space="0" w:color="auto"/>
              <w:left w:val="single" w:sz="4" w:space="0" w:color="auto"/>
              <w:bottom w:val="nil"/>
              <w:right w:val="nil"/>
            </w:tcBorders>
            <w:shd w:val="clear" w:color="auto" w:fill="auto"/>
            <w:noWrap/>
            <w:vAlign w:val="bottom"/>
            <w:hideMark/>
          </w:tcPr>
          <w:p w14:paraId="0DDF3E09"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1.16 (0.98 - 1.36)</w:t>
            </w:r>
          </w:p>
        </w:tc>
        <w:tc>
          <w:tcPr>
            <w:tcW w:w="2410" w:type="dxa"/>
            <w:tcBorders>
              <w:top w:val="single" w:sz="4" w:space="0" w:color="auto"/>
              <w:left w:val="nil"/>
              <w:bottom w:val="nil"/>
              <w:right w:val="single" w:sz="4" w:space="0" w:color="auto"/>
            </w:tcBorders>
            <w:shd w:val="clear" w:color="auto" w:fill="auto"/>
            <w:noWrap/>
            <w:vAlign w:val="bottom"/>
            <w:hideMark/>
          </w:tcPr>
          <w:p w14:paraId="485B9598"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1.37 (1.26 - 1.49)</w:t>
            </w:r>
          </w:p>
        </w:tc>
      </w:tr>
      <w:tr w:rsidR="00931E93" w:rsidRPr="00986C6D" w14:paraId="5D9B62F8" w14:textId="77777777" w:rsidTr="00154DE3">
        <w:trPr>
          <w:trHeight w:val="263"/>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57067FAF"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nil"/>
              <w:right w:val="nil"/>
            </w:tcBorders>
            <w:shd w:val="clear" w:color="auto" w:fill="auto"/>
            <w:noWrap/>
            <w:vAlign w:val="bottom"/>
            <w:hideMark/>
          </w:tcPr>
          <w:p w14:paraId="2F5D391D"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 or 7</w:t>
            </w:r>
          </w:p>
        </w:tc>
        <w:tc>
          <w:tcPr>
            <w:tcW w:w="2409" w:type="dxa"/>
            <w:tcBorders>
              <w:top w:val="nil"/>
              <w:left w:val="single" w:sz="4" w:space="0" w:color="auto"/>
              <w:bottom w:val="nil"/>
              <w:right w:val="nil"/>
            </w:tcBorders>
            <w:shd w:val="clear" w:color="auto" w:fill="auto"/>
            <w:noWrap/>
            <w:vAlign w:val="bottom"/>
            <w:hideMark/>
          </w:tcPr>
          <w:p w14:paraId="2664CD87"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1.15 (1.06 - 1.24)</w:t>
            </w:r>
          </w:p>
        </w:tc>
        <w:tc>
          <w:tcPr>
            <w:tcW w:w="2410" w:type="dxa"/>
            <w:tcBorders>
              <w:top w:val="nil"/>
              <w:left w:val="nil"/>
              <w:bottom w:val="nil"/>
              <w:right w:val="single" w:sz="4" w:space="0" w:color="auto"/>
            </w:tcBorders>
            <w:shd w:val="clear" w:color="auto" w:fill="auto"/>
            <w:noWrap/>
            <w:vAlign w:val="bottom"/>
            <w:hideMark/>
          </w:tcPr>
          <w:p w14:paraId="042D6C2B"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1.18 (1.14 - 1.22)</w:t>
            </w:r>
          </w:p>
        </w:tc>
      </w:tr>
      <w:tr w:rsidR="00931E93" w:rsidRPr="00986C6D" w14:paraId="0B7DBDD0" w14:textId="77777777" w:rsidTr="00154DE3">
        <w:trPr>
          <w:trHeight w:val="263"/>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2D30AA86"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single" w:sz="4" w:space="0" w:color="auto"/>
              <w:right w:val="nil"/>
            </w:tcBorders>
            <w:shd w:val="clear" w:color="auto" w:fill="auto"/>
            <w:noWrap/>
            <w:vAlign w:val="bottom"/>
            <w:hideMark/>
          </w:tcPr>
          <w:p w14:paraId="3F0A95C5"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All 8 </w:t>
            </w:r>
          </w:p>
        </w:tc>
        <w:tc>
          <w:tcPr>
            <w:tcW w:w="2409" w:type="dxa"/>
            <w:tcBorders>
              <w:top w:val="nil"/>
              <w:left w:val="single" w:sz="4" w:space="0" w:color="auto"/>
              <w:bottom w:val="single" w:sz="4" w:space="0" w:color="auto"/>
              <w:right w:val="nil"/>
            </w:tcBorders>
            <w:shd w:val="clear" w:color="auto" w:fill="auto"/>
            <w:noWrap/>
            <w:vAlign w:val="bottom"/>
            <w:hideMark/>
          </w:tcPr>
          <w:p w14:paraId="14207E29"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c>
          <w:tcPr>
            <w:tcW w:w="2410" w:type="dxa"/>
            <w:tcBorders>
              <w:top w:val="nil"/>
              <w:left w:val="nil"/>
              <w:bottom w:val="single" w:sz="4" w:space="0" w:color="auto"/>
              <w:right w:val="single" w:sz="4" w:space="0" w:color="auto"/>
            </w:tcBorders>
            <w:shd w:val="clear" w:color="auto" w:fill="auto"/>
            <w:noWrap/>
            <w:vAlign w:val="bottom"/>
            <w:hideMark/>
          </w:tcPr>
          <w:p w14:paraId="3D94AB55"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r>
      <w:tr w:rsidR="00931E93" w:rsidRPr="00986C6D" w14:paraId="06AAF423" w14:textId="77777777" w:rsidTr="00154DE3">
        <w:trPr>
          <w:trHeight w:val="263"/>
        </w:trPr>
        <w:tc>
          <w:tcPr>
            <w:tcW w:w="2263" w:type="dxa"/>
            <w:vMerge w:val="restart"/>
            <w:tcBorders>
              <w:top w:val="nil"/>
              <w:left w:val="single" w:sz="4" w:space="0" w:color="auto"/>
              <w:bottom w:val="single" w:sz="4" w:space="0" w:color="000000"/>
              <w:right w:val="single" w:sz="4" w:space="0" w:color="auto"/>
            </w:tcBorders>
            <w:shd w:val="clear" w:color="auto" w:fill="auto"/>
            <w:noWrap/>
            <w:hideMark/>
          </w:tcPr>
          <w:p w14:paraId="71E7978C"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Renal failure</w:t>
            </w:r>
            <w:r w:rsidRPr="00986C6D">
              <w:rPr>
                <w:rFonts w:ascii="Times New Roman" w:eastAsia="Times New Roman" w:hAnsi="Times New Roman" w:cs="Times New Roman"/>
                <w:color w:val="000000"/>
                <w:sz w:val="20"/>
                <w:szCs w:val="20"/>
                <w:vertAlign w:val="superscript"/>
                <w:lang w:eastAsia="en-GB"/>
              </w:rPr>
              <w:t>3</w:t>
            </w:r>
          </w:p>
        </w:tc>
        <w:tc>
          <w:tcPr>
            <w:tcW w:w="1560" w:type="dxa"/>
            <w:tcBorders>
              <w:top w:val="nil"/>
              <w:left w:val="single" w:sz="4" w:space="0" w:color="auto"/>
              <w:bottom w:val="nil"/>
              <w:right w:val="nil"/>
            </w:tcBorders>
            <w:shd w:val="clear" w:color="auto" w:fill="auto"/>
            <w:noWrap/>
            <w:vAlign w:val="bottom"/>
            <w:hideMark/>
          </w:tcPr>
          <w:p w14:paraId="5CADBE88"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 5 </w:t>
            </w:r>
          </w:p>
        </w:tc>
        <w:tc>
          <w:tcPr>
            <w:tcW w:w="2409" w:type="dxa"/>
            <w:tcBorders>
              <w:top w:val="nil"/>
              <w:left w:val="single" w:sz="4" w:space="0" w:color="auto"/>
              <w:bottom w:val="nil"/>
              <w:right w:val="nil"/>
            </w:tcBorders>
            <w:shd w:val="clear" w:color="auto" w:fill="auto"/>
            <w:noWrap/>
            <w:vAlign w:val="bottom"/>
            <w:hideMark/>
          </w:tcPr>
          <w:p w14:paraId="10735E2C"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1.52 (0.66 - 3.51)</w:t>
            </w:r>
          </w:p>
        </w:tc>
        <w:tc>
          <w:tcPr>
            <w:tcW w:w="2410" w:type="dxa"/>
            <w:tcBorders>
              <w:top w:val="nil"/>
              <w:left w:val="nil"/>
              <w:bottom w:val="nil"/>
              <w:right w:val="single" w:sz="4" w:space="0" w:color="auto"/>
            </w:tcBorders>
            <w:shd w:val="clear" w:color="auto" w:fill="auto"/>
            <w:noWrap/>
            <w:vAlign w:val="bottom"/>
            <w:hideMark/>
          </w:tcPr>
          <w:p w14:paraId="34F06DA4"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1.27 (0.98 - 1.66)</w:t>
            </w:r>
          </w:p>
        </w:tc>
      </w:tr>
      <w:tr w:rsidR="00931E93" w:rsidRPr="00986C6D" w14:paraId="28A9B4E5" w14:textId="77777777" w:rsidTr="00154DE3">
        <w:trPr>
          <w:trHeight w:val="263"/>
        </w:trPr>
        <w:tc>
          <w:tcPr>
            <w:tcW w:w="2263" w:type="dxa"/>
            <w:vMerge/>
            <w:tcBorders>
              <w:top w:val="nil"/>
              <w:left w:val="single" w:sz="4" w:space="0" w:color="auto"/>
              <w:bottom w:val="single" w:sz="4" w:space="0" w:color="000000"/>
              <w:right w:val="single" w:sz="4" w:space="0" w:color="auto"/>
            </w:tcBorders>
            <w:vAlign w:val="center"/>
            <w:hideMark/>
          </w:tcPr>
          <w:p w14:paraId="6764A819"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nil"/>
              <w:right w:val="nil"/>
            </w:tcBorders>
            <w:shd w:val="clear" w:color="auto" w:fill="auto"/>
            <w:noWrap/>
            <w:vAlign w:val="bottom"/>
            <w:hideMark/>
          </w:tcPr>
          <w:p w14:paraId="1B91A891"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6 or 7</w:t>
            </w:r>
          </w:p>
        </w:tc>
        <w:tc>
          <w:tcPr>
            <w:tcW w:w="2409" w:type="dxa"/>
            <w:tcBorders>
              <w:top w:val="nil"/>
              <w:left w:val="single" w:sz="4" w:space="0" w:color="auto"/>
              <w:bottom w:val="nil"/>
              <w:right w:val="nil"/>
            </w:tcBorders>
            <w:shd w:val="clear" w:color="auto" w:fill="auto"/>
            <w:noWrap/>
            <w:vAlign w:val="bottom"/>
            <w:hideMark/>
          </w:tcPr>
          <w:p w14:paraId="3DFC8237"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1.24 (0.81 - 1.89)</w:t>
            </w:r>
          </w:p>
        </w:tc>
        <w:tc>
          <w:tcPr>
            <w:tcW w:w="2410" w:type="dxa"/>
            <w:tcBorders>
              <w:top w:val="nil"/>
              <w:left w:val="nil"/>
              <w:bottom w:val="nil"/>
              <w:right w:val="single" w:sz="4" w:space="0" w:color="auto"/>
            </w:tcBorders>
            <w:shd w:val="clear" w:color="auto" w:fill="auto"/>
            <w:noWrap/>
            <w:vAlign w:val="bottom"/>
            <w:hideMark/>
          </w:tcPr>
          <w:p w14:paraId="1B1C5305"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1.13 (1.01 - 1.25)</w:t>
            </w:r>
          </w:p>
        </w:tc>
      </w:tr>
      <w:tr w:rsidR="00931E93" w:rsidRPr="00986C6D" w14:paraId="5F7A8818" w14:textId="77777777" w:rsidTr="00154DE3">
        <w:trPr>
          <w:trHeight w:val="263"/>
        </w:trPr>
        <w:tc>
          <w:tcPr>
            <w:tcW w:w="2263" w:type="dxa"/>
            <w:vMerge/>
            <w:tcBorders>
              <w:top w:val="nil"/>
              <w:left w:val="single" w:sz="4" w:space="0" w:color="auto"/>
              <w:bottom w:val="single" w:sz="4" w:space="0" w:color="000000"/>
              <w:right w:val="single" w:sz="4" w:space="0" w:color="auto"/>
            </w:tcBorders>
            <w:vAlign w:val="center"/>
            <w:hideMark/>
          </w:tcPr>
          <w:p w14:paraId="118D7303"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p>
        </w:tc>
        <w:tc>
          <w:tcPr>
            <w:tcW w:w="1560" w:type="dxa"/>
            <w:tcBorders>
              <w:top w:val="nil"/>
              <w:left w:val="single" w:sz="4" w:space="0" w:color="auto"/>
              <w:bottom w:val="single" w:sz="4" w:space="0" w:color="auto"/>
              <w:right w:val="nil"/>
            </w:tcBorders>
            <w:shd w:val="clear" w:color="auto" w:fill="auto"/>
            <w:noWrap/>
            <w:vAlign w:val="bottom"/>
            <w:hideMark/>
          </w:tcPr>
          <w:p w14:paraId="7A81E7F1" w14:textId="77777777" w:rsidR="00931E93" w:rsidRPr="00986C6D" w:rsidRDefault="00931E93" w:rsidP="00154DE3">
            <w:pPr>
              <w:spacing w:after="0" w:line="240" w:lineRule="auto"/>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 xml:space="preserve">All 8 </w:t>
            </w:r>
          </w:p>
        </w:tc>
        <w:tc>
          <w:tcPr>
            <w:tcW w:w="2409" w:type="dxa"/>
            <w:tcBorders>
              <w:top w:val="nil"/>
              <w:left w:val="single" w:sz="4" w:space="0" w:color="auto"/>
              <w:bottom w:val="single" w:sz="4" w:space="0" w:color="auto"/>
              <w:right w:val="nil"/>
            </w:tcBorders>
            <w:shd w:val="clear" w:color="auto" w:fill="auto"/>
            <w:noWrap/>
            <w:vAlign w:val="bottom"/>
            <w:hideMark/>
          </w:tcPr>
          <w:p w14:paraId="64AC0F0C"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c>
          <w:tcPr>
            <w:tcW w:w="2410" w:type="dxa"/>
            <w:tcBorders>
              <w:top w:val="nil"/>
              <w:left w:val="nil"/>
              <w:bottom w:val="single" w:sz="4" w:space="0" w:color="auto"/>
              <w:right w:val="single" w:sz="4" w:space="0" w:color="auto"/>
            </w:tcBorders>
            <w:shd w:val="clear" w:color="auto" w:fill="auto"/>
            <w:noWrap/>
            <w:vAlign w:val="bottom"/>
            <w:hideMark/>
          </w:tcPr>
          <w:p w14:paraId="37CA1AFF" w14:textId="77777777" w:rsidR="00931E93" w:rsidRPr="00986C6D" w:rsidRDefault="00931E93" w:rsidP="00154DE3">
            <w:pPr>
              <w:spacing w:after="0" w:line="240" w:lineRule="auto"/>
              <w:jc w:val="center"/>
              <w:rPr>
                <w:rFonts w:ascii="Times New Roman" w:eastAsia="Times New Roman" w:hAnsi="Times New Roman" w:cs="Times New Roman"/>
                <w:color w:val="000000"/>
                <w:sz w:val="20"/>
                <w:szCs w:val="20"/>
                <w:lang w:eastAsia="en-GB"/>
              </w:rPr>
            </w:pPr>
            <w:r w:rsidRPr="00986C6D">
              <w:rPr>
                <w:rFonts w:ascii="Times New Roman" w:eastAsia="Times New Roman" w:hAnsi="Times New Roman" w:cs="Times New Roman"/>
                <w:color w:val="000000"/>
                <w:sz w:val="20"/>
                <w:szCs w:val="20"/>
                <w:lang w:eastAsia="en-GB"/>
              </w:rPr>
              <w:t>1.00</w:t>
            </w:r>
          </w:p>
        </w:tc>
      </w:tr>
    </w:tbl>
    <w:p w14:paraId="61FDB633" w14:textId="77777777"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vertAlign w:val="superscript"/>
        </w:rPr>
        <w:t>1</w:t>
      </w:r>
      <w:r w:rsidRPr="008E43AC">
        <w:rPr>
          <w:rFonts w:asciiTheme="minorBidi" w:hAnsiTheme="minorBidi"/>
          <w:sz w:val="24"/>
          <w:szCs w:val="24"/>
        </w:rPr>
        <w:t xml:space="preserve"> – Adjusted for age, sex, ethnicity, deprivation, smoking</w:t>
      </w:r>
    </w:p>
    <w:p w14:paraId="5D43A954" w14:textId="77777777"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vertAlign w:val="superscript"/>
        </w:rPr>
        <w:t>2</w:t>
      </w:r>
      <w:r w:rsidRPr="008E43AC">
        <w:rPr>
          <w:rFonts w:asciiTheme="minorBidi" w:hAnsiTheme="minorBidi"/>
          <w:sz w:val="24"/>
          <w:szCs w:val="24"/>
        </w:rPr>
        <w:t xml:space="preserve"> – Adjusted for Age, sex, ethnicity, deprivation, smoking, HbA</w:t>
      </w:r>
      <w:r w:rsidRPr="001F6EFC">
        <w:rPr>
          <w:rFonts w:asciiTheme="minorBidi" w:hAnsiTheme="minorBidi"/>
          <w:sz w:val="24"/>
          <w:szCs w:val="24"/>
          <w:vertAlign w:val="subscript"/>
        </w:rPr>
        <w:t>1c</w:t>
      </w:r>
      <w:r w:rsidRPr="008E43AC">
        <w:rPr>
          <w:rFonts w:asciiTheme="minorBidi" w:hAnsiTheme="minorBidi"/>
          <w:sz w:val="24"/>
          <w:szCs w:val="24"/>
        </w:rPr>
        <w:t>, systolic blood pressure, cholesterol, BMI, duration of diagnosis</w:t>
      </w:r>
    </w:p>
    <w:p w14:paraId="10FDE8BB" w14:textId="7DE25446"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vertAlign w:val="superscript"/>
        </w:rPr>
        <w:t>3</w:t>
      </w:r>
      <w:r w:rsidRPr="008E43AC">
        <w:rPr>
          <w:rFonts w:asciiTheme="minorBidi" w:hAnsiTheme="minorBidi"/>
          <w:sz w:val="24"/>
          <w:szCs w:val="24"/>
        </w:rPr>
        <w:t xml:space="preserve"> – Adjusted for age, sex, ethnicity, deprivation, smoking, HbA</w:t>
      </w:r>
      <w:r w:rsidRPr="001F6EFC">
        <w:rPr>
          <w:rFonts w:asciiTheme="minorBidi" w:hAnsiTheme="minorBidi"/>
          <w:sz w:val="24"/>
          <w:szCs w:val="24"/>
          <w:vertAlign w:val="subscript"/>
        </w:rPr>
        <w:t>1c</w:t>
      </w:r>
      <w:r w:rsidRPr="008E43AC">
        <w:rPr>
          <w:rFonts w:asciiTheme="minorBidi" w:hAnsiTheme="minorBidi"/>
          <w:sz w:val="24"/>
          <w:szCs w:val="24"/>
        </w:rPr>
        <w:t>, systolic blood pressure, cholesterol, BMI, durations of diagnosis, eGFR, prior hospital admission for myocardial infarction, stroke, heart failure, respiratory disease and cancer</w:t>
      </w:r>
    </w:p>
    <w:p w14:paraId="6EC804A0" w14:textId="77777777" w:rsidR="00931E93" w:rsidRDefault="00931E93">
      <w:r>
        <w:br w:type="page"/>
      </w:r>
    </w:p>
    <w:bookmarkEnd w:id="0"/>
    <w:p w14:paraId="7EB4EC83" w14:textId="52BB137F" w:rsidR="00931E93" w:rsidRDefault="00931E93" w:rsidP="008E43AC">
      <w:pPr>
        <w:spacing w:after="0" w:line="480" w:lineRule="auto"/>
        <w:rPr>
          <w:rFonts w:asciiTheme="minorBidi" w:hAnsiTheme="minorBidi"/>
          <w:sz w:val="24"/>
          <w:szCs w:val="24"/>
        </w:rPr>
      </w:pPr>
      <w:r w:rsidRPr="008E43AC">
        <w:rPr>
          <w:rFonts w:asciiTheme="minorBidi" w:hAnsiTheme="minorBidi"/>
          <w:sz w:val="24"/>
          <w:szCs w:val="24"/>
        </w:rPr>
        <w:t>Figure 1a: Forest plot of HR for all-cause mortality associated with number of care processes recorded between 1</w:t>
      </w:r>
      <w:r w:rsidRPr="001F6EFC">
        <w:rPr>
          <w:rFonts w:asciiTheme="minorBidi" w:hAnsiTheme="minorBidi"/>
          <w:sz w:val="24"/>
          <w:szCs w:val="24"/>
          <w:vertAlign w:val="superscript"/>
        </w:rPr>
        <w:t>st</w:t>
      </w:r>
      <w:r w:rsidRPr="008E43AC">
        <w:rPr>
          <w:rFonts w:asciiTheme="minorBidi" w:hAnsiTheme="minorBidi"/>
          <w:sz w:val="24"/>
          <w:szCs w:val="24"/>
        </w:rPr>
        <w:t xml:space="preserve"> January 2009 and 31</w:t>
      </w:r>
      <w:r w:rsidRPr="001F6EFC">
        <w:rPr>
          <w:rFonts w:asciiTheme="minorBidi" w:hAnsiTheme="minorBidi"/>
          <w:sz w:val="24"/>
          <w:szCs w:val="24"/>
          <w:vertAlign w:val="superscript"/>
        </w:rPr>
        <w:t>st</w:t>
      </w:r>
      <w:r w:rsidRPr="008E43AC">
        <w:rPr>
          <w:rFonts w:asciiTheme="minorBidi" w:hAnsiTheme="minorBidi"/>
          <w:sz w:val="24"/>
          <w:szCs w:val="24"/>
        </w:rPr>
        <w:t xml:space="preserve"> March 2010 stratified by sex, age and ethnicity for people with type 1 diabetes</w:t>
      </w:r>
    </w:p>
    <w:p w14:paraId="6DE7DC9B" w14:textId="0E1A87C9" w:rsidR="005F4BF2" w:rsidRPr="008E43AC" w:rsidRDefault="00076E52" w:rsidP="008E43AC">
      <w:pPr>
        <w:spacing w:after="0" w:line="480" w:lineRule="auto"/>
        <w:rPr>
          <w:rFonts w:asciiTheme="minorBidi" w:hAnsiTheme="minorBidi"/>
          <w:sz w:val="24"/>
          <w:szCs w:val="24"/>
        </w:rPr>
      </w:pPr>
      <w:r>
        <w:rPr>
          <w:noProof/>
        </w:rPr>
        <w:drawing>
          <wp:inline distT="0" distB="0" distL="0" distR="0" wp14:anchorId="20F7AB89" wp14:editId="1847E39D">
            <wp:extent cx="5731510" cy="5963285"/>
            <wp:effectExtent l="0" t="0" r="2540" b="0"/>
            <wp:docPr id="1" name="Picture 1" descr="Box and whiske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ox and whisker chart&#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963285"/>
                    </a:xfrm>
                    <a:prstGeom prst="rect">
                      <a:avLst/>
                    </a:prstGeom>
                    <a:noFill/>
                    <a:ln>
                      <a:noFill/>
                    </a:ln>
                  </pic:spPr>
                </pic:pic>
              </a:graphicData>
            </a:graphic>
          </wp:inline>
        </w:drawing>
      </w:r>
    </w:p>
    <w:p w14:paraId="5D527057" w14:textId="325B92B1" w:rsidR="00931E93" w:rsidRDefault="00931E93" w:rsidP="00931E93">
      <w:pPr>
        <w:spacing w:after="0" w:line="240" w:lineRule="auto"/>
        <w:rPr>
          <w:rFonts w:ascii="Arial" w:hAnsi="Arial"/>
          <w:noProof/>
          <w:lang w:eastAsia="en-GB"/>
        </w:rPr>
      </w:pPr>
    </w:p>
    <w:p w14:paraId="3749393F" w14:textId="77777777" w:rsidR="004D14F3" w:rsidRDefault="004D14F3">
      <w:pPr>
        <w:rPr>
          <w:rFonts w:asciiTheme="minorBidi" w:hAnsiTheme="minorBidi"/>
          <w:sz w:val="24"/>
          <w:szCs w:val="24"/>
        </w:rPr>
      </w:pPr>
      <w:r>
        <w:rPr>
          <w:rFonts w:asciiTheme="minorBidi" w:hAnsiTheme="minorBidi"/>
          <w:sz w:val="24"/>
          <w:szCs w:val="24"/>
        </w:rPr>
        <w:br w:type="page"/>
      </w:r>
    </w:p>
    <w:p w14:paraId="773DA218" w14:textId="29CCF7C0" w:rsidR="00931E93" w:rsidRPr="008E43AC" w:rsidRDefault="00931E93" w:rsidP="008E43AC">
      <w:pPr>
        <w:spacing w:after="0" w:line="480" w:lineRule="auto"/>
        <w:rPr>
          <w:rFonts w:asciiTheme="minorBidi" w:hAnsiTheme="minorBidi"/>
          <w:sz w:val="24"/>
          <w:szCs w:val="24"/>
        </w:rPr>
      </w:pPr>
      <w:r w:rsidRPr="008E43AC">
        <w:rPr>
          <w:rFonts w:asciiTheme="minorBidi" w:hAnsiTheme="minorBidi"/>
          <w:sz w:val="24"/>
          <w:szCs w:val="24"/>
        </w:rPr>
        <w:t>Figure 1b: Forest plot of HR for all-cause mortality associated with number of care processes recorded between 1</w:t>
      </w:r>
      <w:r w:rsidRPr="001F6EFC">
        <w:rPr>
          <w:rFonts w:asciiTheme="minorBidi" w:hAnsiTheme="minorBidi"/>
          <w:sz w:val="24"/>
          <w:szCs w:val="24"/>
          <w:vertAlign w:val="superscript"/>
        </w:rPr>
        <w:t>st</w:t>
      </w:r>
      <w:r w:rsidRPr="008E43AC">
        <w:rPr>
          <w:rFonts w:asciiTheme="minorBidi" w:hAnsiTheme="minorBidi"/>
          <w:sz w:val="24"/>
          <w:szCs w:val="24"/>
        </w:rPr>
        <w:t xml:space="preserve"> January 2009 and 31</w:t>
      </w:r>
      <w:r w:rsidRPr="001F6EFC">
        <w:rPr>
          <w:rFonts w:asciiTheme="minorBidi" w:hAnsiTheme="minorBidi"/>
          <w:sz w:val="24"/>
          <w:szCs w:val="24"/>
          <w:vertAlign w:val="superscript"/>
        </w:rPr>
        <w:t>st</w:t>
      </w:r>
      <w:r w:rsidRPr="008E43AC">
        <w:rPr>
          <w:rFonts w:asciiTheme="minorBidi" w:hAnsiTheme="minorBidi"/>
          <w:sz w:val="24"/>
          <w:szCs w:val="24"/>
        </w:rPr>
        <w:t xml:space="preserve"> March 2010 stratified by sex, age and ethnicity for people with type 2 diabetes</w:t>
      </w:r>
    </w:p>
    <w:p w14:paraId="39C045B1" w14:textId="6A48D709" w:rsidR="00931E93" w:rsidRDefault="00E949BD" w:rsidP="00931E93">
      <w:pPr>
        <w:spacing w:after="0" w:line="240" w:lineRule="auto"/>
      </w:pPr>
      <w:r>
        <w:rPr>
          <w:noProof/>
        </w:rPr>
        <w:drawing>
          <wp:inline distT="0" distB="0" distL="0" distR="0" wp14:anchorId="0A7C9867" wp14:editId="69D36D68">
            <wp:extent cx="5731510" cy="5963285"/>
            <wp:effectExtent l="0" t="0" r="254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5963285"/>
                    </a:xfrm>
                    <a:prstGeom prst="rect">
                      <a:avLst/>
                    </a:prstGeom>
                    <a:noFill/>
                    <a:ln>
                      <a:noFill/>
                    </a:ln>
                  </pic:spPr>
                </pic:pic>
              </a:graphicData>
            </a:graphic>
          </wp:inline>
        </w:drawing>
      </w:r>
    </w:p>
    <w:sectPr w:rsidR="00931E93" w:rsidSect="00931E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E28A" w14:textId="77777777" w:rsidR="00AD6F92" w:rsidRDefault="00AD6F92" w:rsidP="00931E93">
      <w:pPr>
        <w:spacing w:after="0" w:line="240" w:lineRule="auto"/>
      </w:pPr>
      <w:r>
        <w:separator/>
      </w:r>
    </w:p>
  </w:endnote>
  <w:endnote w:type="continuationSeparator" w:id="0">
    <w:p w14:paraId="74D2D0BB" w14:textId="77777777" w:rsidR="00AD6F92" w:rsidRDefault="00AD6F92" w:rsidP="00931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058678"/>
      <w:docPartObj>
        <w:docPartGallery w:val="Page Numbers (Bottom of Page)"/>
        <w:docPartUnique/>
      </w:docPartObj>
    </w:sdtPr>
    <w:sdtEndPr>
      <w:rPr>
        <w:noProof/>
      </w:rPr>
    </w:sdtEndPr>
    <w:sdtContent>
      <w:p w14:paraId="0A4FF620" w14:textId="4F94FF00" w:rsidR="00BD1AD8" w:rsidRDefault="00BD1AD8" w:rsidP="00931E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7344" w14:textId="77777777" w:rsidR="00AD6F92" w:rsidRDefault="00AD6F92" w:rsidP="00931E93">
      <w:pPr>
        <w:spacing w:after="0" w:line="240" w:lineRule="auto"/>
      </w:pPr>
      <w:r>
        <w:separator/>
      </w:r>
    </w:p>
  </w:footnote>
  <w:footnote w:type="continuationSeparator" w:id="0">
    <w:p w14:paraId="0119A1D8" w14:textId="77777777" w:rsidR="00AD6F92" w:rsidRDefault="00AD6F92" w:rsidP="00931E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14EA"/>
    <w:multiLevelType w:val="hybridMultilevel"/>
    <w:tmpl w:val="20AE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14AD6"/>
    <w:multiLevelType w:val="hybridMultilevel"/>
    <w:tmpl w:val="6334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5D1AC3"/>
    <w:multiLevelType w:val="hybridMultilevel"/>
    <w:tmpl w:val="B7246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A0110"/>
    <w:multiLevelType w:val="hybridMultilevel"/>
    <w:tmpl w:val="D5B4F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093D99"/>
    <w:multiLevelType w:val="hybridMultilevel"/>
    <w:tmpl w:val="8E887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93"/>
    <w:rsid w:val="00000C99"/>
    <w:rsid w:val="0000314B"/>
    <w:rsid w:val="0002687F"/>
    <w:rsid w:val="00031CDC"/>
    <w:rsid w:val="00040951"/>
    <w:rsid w:val="000415ED"/>
    <w:rsid w:val="00054A9A"/>
    <w:rsid w:val="00055010"/>
    <w:rsid w:val="0005790B"/>
    <w:rsid w:val="00067D88"/>
    <w:rsid w:val="00072EC2"/>
    <w:rsid w:val="0007398D"/>
    <w:rsid w:val="00076A9F"/>
    <w:rsid w:val="00076E52"/>
    <w:rsid w:val="00080830"/>
    <w:rsid w:val="00085BA1"/>
    <w:rsid w:val="00091A1E"/>
    <w:rsid w:val="00092E04"/>
    <w:rsid w:val="000938C3"/>
    <w:rsid w:val="000B76E9"/>
    <w:rsid w:val="000C31EA"/>
    <w:rsid w:val="000D4216"/>
    <w:rsid w:val="000D4BA2"/>
    <w:rsid w:val="000D7FEA"/>
    <w:rsid w:val="000F5ACF"/>
    <w:rsid w:val="001143AB"/>
    <w:rsid w:val="00117F53"/>
    <w:rsid w:val="001237C2"/>
    <w:rsid w:val="00127303"/>
    <w:rsid w:val="00132128"/>
    <w:rsid w:val="00154DE3"/>
    <w:rsid w:val="00172AD0"/>
    <w:rsid w:val="00192638"/>
    <w:rsid w:val="001A1BEB"/>
    <w:rsid w:val="001B7E21"/>
    <w:rsid w:val="001D0B1E"/>
    <w:rsid w:val="001D230F"/>
    <w:rsid w:val="001E1124"/>
    <w:rsid w:val="001E3965"/>
    <w:rsid w:val="001F6EFC"/>
    <w:rsid w:val="0021391C"/>
    <w:rsid w:val="0021571F"/>
    <w:rsid w:val="00217AC8"/>
    <w:rsid w:val="00217D7C"/>
    <w:rsid w:val="0022287D"/>
    <w:rsid w:val="00240181"/>
    <w:rsid w:val="00266AF5"/>
    <w:rsid w:val="00274EC5"/>
    <w:rsid w:val="00275D15"/>
    <w:rsid w:val="002811CE"/>
    <w:rsid w:val="00290108"/>
    <w:rsid w:val="00290F21"/>
    <w:rsid w:val="002A2943"/>
    <w:rsid w:val="002B4A09"/>
    <w:rsid w:val="002C31AA"/>
    <w:rsid w:val="002D18E7"/>
    <w:rsid w:val="002E3BA9"/>
    <w:rsid w:val="002E6F39"/>
    <w:rsid w:val="00300456"/>
    <w:rsid w:val="003022A8"/>
    <w:rsid w:val="00302F85"/>
    <w:rsid w:val="003157D4"/>
    <w:rsid w:val="0032508D"/>
    <w:rsid w:val="00326568"/>
    <w:rsid w:val="00340588"/>
    <w:rsid w:val="00341024"/>
    <w:rsid w:val="00360E8E"/>
    <w:rsid w:val="00362664"/>
    <w:rsid w:val="00377022"/>
    <w:rsid w:val="003770C0"/>
    <w:rsid w:val="003B4A2B"/>
    <w:rsid w:val="003D132C"/>
    <w:rsid w:val="003D5BB3"/>
    <w:rsid w:val="003E19CF"/>
    <w:rsid w:val="003E1B15"/>
    <w:rsid w:val="003E6393"/>
    <w:rsid w:val="003E7326"/>
    <w:rsid w:val="003F0396"/>
    <w:rsid w:val="00404F04"/>
    <w:rsid w:val="0040628F"/>
    <w:rsid w:val="00407E6B"/>
    <w:rsid w:val="004129E7"/>
    <w:rsid w:val="004303BA"/>
    <w:rsid w:val="004377B8"/>
    <w:rsid w:val="004456CF"/>
    <w:rsid w:val="00462719"/>
    <w:rsid w:val="004963CC"/>
    <w:rsid w:val="004B18CD"/>
    <w:rsid w:val="004C339E"/>
    <w:rsid w:val="004D079B"/>
    <w:rsid w:val="004D14F3"/>
    <w:rsid w:val="004D45A5"/>
    <w:rsid w:val="004F285D"/>
    <w:rsid w:val="004F635D"/>
    <w:rsid w:val="004F7145"/>
    <w:rsid w:val="00500E9C"/>
    <w:rsid w:val="0050132E"/>
    <w:rsid w:val="00503D76"/>
    <w:rsid w:val="0055239A"/>
    <w:rsid w:val="0056336D"/>
    <w:rsid w:val="00583A4D"/>
    <w:rsid w:val="00597B09"/>
    <w:rsid w:val="005B1501"/>
    <w:rsid w:val="005B7D1A"/>
    <w:rsid w:val="005C1491"/>
    <w:rsid w:val="005D3DB6"/>
    <w:rsid w:val="005E27E6"/>
    <w:rsid w:val="005E4B0F"/>
    <w:rsid w:val="005E60FF"/>
    <w:rsid w:val="005E68C9"/>
    <w:rsid w:val="005F2AEA"/>
    <w:rsid w:val="005F4BF2"/>
    <w:rsid w:val="006008AE"/>
    <w:rsid w:val="00602EC9"/>
    <w:rsid w:val="006034D3"/>
    <w:rsid w:val="00615C12"/>
    <w:rsid w:val="0062049F"/>
    <w:rsid w:val="00621342"/>
    <w:rsid w:val="006255E8"/>
    <w:rsid w:val="00640942"/>
    <w:rsid w:val="00646AED"/>
    <w:rsid w:val="00652799"/>
    <w:rsid w:val="00656594"/>
    <w:rsid w:val="006626F2"/>
    <w:rsid w:val="00662E75"/>
    <w:rsid w:val="00665EB3"/>
    <w:rsid w:val="0067253F"/>
    <w:rsid w:val="006725C6"/>
    <w:rsid w:val="006773F6"/>
    <w:rsid w:val="006774C3"/>
    <w:rsid w:val="006A4928"/>
    <w:rsid w:val="006D01B4"/>
    <w:rsid w:val="006F14DB"/>
    <w:rsid w:val="006F5D9F"/>
    <w:rsid w:val="00701DAC"/>
    <w:rsid w:val="00711DE8"/>
    <w:rsid w:val="00713414"/>
    <w:rsid w:val="00713637"/>
    <w:rsid w:val="00727B68"/>
    <w:rsid w:val="00731DC4"/>
    <w:rsid w:val="00733585"/>
    <w:rsid w:val="007378F7"/>
    <w:rsid w:val="00750F5F"/>
    <w:rsid w:val="00766E46"/>
    <w:rsid w:val="007902B3"/>
    <w:rsid w:val="00790B23"/>
    <w:rsid w:val="0079199A"/>
    <w:rsid w:val="007B123B"/>
    <w:rsid w:val="007B32A0"/>
    <w:rsid w:val="007C3083"/>
    <w:rsid w:val="007C3721"/>
    <w:rsid w:val="007C394E"/>
    <w:rsid w:val="007E0B74"/>
    <w:rsid w:val="007E217E"/>
    <w:rsid w:val="00802DB8"/>
    <w:rsid w:val="008147E6"/>
    <w:rsid w:val="00830478"/>
    <w:rsid w:val="008530B8"/>
    <w:rsid w:val="00856B99"/>
    <w:rsid w:val="00874589"/>
    <w:rsid w:val="00880155"/>
    <w:rsid w:val="008A2E15"/>
    <w:rsid w:val="008A4F95"/>
    <w:rsid w:val="008B601E"/>
    <w:rsid w:val="008D0631"/>
    <w:rsid w:val="008D0B5A"/>
    <w:rsid w:val="008D1F04"/>
    <w:rsid w:val="008D6400"/>
    <w:rsid w:val="008E033E"/>
    <w:rsid w:val="008E43AC"/>
    <w:rsid w:val="008E4DC5"/>
    <w:rsid w:val="008F51E6"/>
    <w:rsid w:val="0090334A"/>
    <w:rsid w:val="00903F95"/>
    <w:rsid w:val="009133F9"/>
    <w:rsid w:val="00930ED6"/>
    <w:rsid w:val="00931E93"/>
    <w:rsid w:val="00952629"/>
    <w:rsid w:val="00954EA0"/>
    <w:rsid w:val="00974431"/>
    <w:rsid w:val="00990459"/>
    <w:rsid w:val="00993305"/>
    <w:rsid w:val="0099466A"/>
    <w:rsid w:val="009A7EE6"/>
    <w:rsid w:val="009B2E5C"/>
    <w:rsid w:val="009D4DC3"/>
    <w:rsid w:val="009E76D8"/>
    <w:rsid w:val="009F02B8"/>
    <w:rsid w:val="009F322D"/>
    <w:rsid w:val="00A07878"/>
    <w:rsid w:val="00A216B7"/>
    <w:rsid w:val="00A27FB1"/>
    <w:rsid w:val="00A30547"/>
    <w:rsid w:val="00A357FC"/>
    <w:rsid w:val="00A56128"/>
    <w:rsid w:val="00A61EDF"/>
    <w:rsid w:val="00A635B7"/>
    <w:rsid w:val="00A7691F"/>
    <w:rsid w:val="00A8134D"/>
    <w:rsid w:val="00A81886"/>
    <w:rsid w:val="00A81E82"/>
    <w:rsid w:val="00A91189"/>
    <w:rsid w:val="00AA5BA4"/>
    <w:rsid w:val="00AB47E8"/>
    <w:rsid w:val="00AD6F92"/>
    <w:rsid w:val="00AF46D8"/>
    <w:rsid w:val="00B07C34"/>
    <w:rsid w:val="00B2054B"/>
    <w:rsid w:val="00B4769A"/>
    <w:rsid w:val="00B53E9F"/>
    <w:rsid w:val="00B600EB"/>
    <w:rsid w:val="00B62A1E"/>
    <w:rsid w:val="00B64CE4"/>
    <w:rsid w:val="00B70A69"/>
    <w:rsid w:val="00B8569F"/>
    <w:rsid w:val="00B95A74"/>
    <w:rsid w:val="00BA1A15"/>
    <w:rsid w:val="00BB2456"/>
    <w:rsid w:val="00BB3F44"/>
    <w:rsid w:val="00BC490C"/>
    <w:rsid w:val="00BD1AD8"/>
    <w:rsid w:val="00BE0753"/>
    <w:rsid w:val="00BF259D"/>
    <w:rsid w:val="00C34418"/>
    <w:rsid w:val="00C358D6"/>
    <w:rsid w:val="00C365BD"/>
    <w:rsid w:val="00C40E81"/>
    <w:rsid w:val="00C45B61"/>
    <w:rsid w:val="00C473E9"/>
    <w:rsid w:val="00C51ECD"/>
    <w:rsid w:val="00C5200C"/>
    <w:rsid w:val="00C53074"/>
    <w:rsid w:val="00C647E4"/>
    <w:rsid w:val="00C67EE5"/>
    <w:rsid w:val="00C73549"/>
    <w:rsid w:val="00C84C60"/>
    <w:rsid w:val="00C8738B"/>
    <w:rsid w:val="00CA08FA"/>
    <w:rsid w:val="00CA6DF0"/>
    <w:rsid w:val="00CC088C"/>
    <w:rsid w:val="00CD134B"/>
    <w:rsid w:val="00CF5405"/>
    <w:rsid w:val="00D014BD"/>
    <w:rsid w:val="00D06CB1"/>
    <w:rsid w:val="00D17D58"/>
    <w:rsid w:val="00D513F9"/>
    <w:rsid w:val="00D57303"/>
    <w:rsid w:val="00D71F55"/>
    <w:rsid w:val="00D822DC"/>
    <w:rsid w:val="00D86D6D"/>
    <w:rsid w:val="00D90EDE"/>
    <w:rsid w:val="00D92BD6"/>
    <w:rsid w:val="00DA3078"/>
    <w:rsid w:val="00DD154D"/>
    <w:rsid w:val="00DD567E"/>
    <w:rsid w:val="00DE2BC6"/>
    <w:rsid w:val="00DE641B"/>
    <w:rsid w:val="00E0135B"/>
    <w:rsid w:val="00E04989"/>
    <w:rsid w:val="00E05BE1"/>
    <w:rsid w:val="00E35639"/>
    <w:rsid w:val="00E42594"/>
    <w:rsid w:val="00E4274D"/>
    <w:rsid w:val="00E56CE0"/>
    <w:rsid w:val="00E63690"/>
    <w:rsid w:val="00E64F5B"/>
    <w:rsid w:val="00E720DC"/>
    <w:rsid w:val="00E8366E"/>
    <w:rsid w:val="00E91F26"/>
    <w:rsid w:val="00E949BD"/>
    <w:rsid w:val="00EB0032"/>
    <w:rsid w:val="00EC3A96"/>
    <w:rsid w:val="00ED14EB"/>
    <w:rsid w:val="00ED3F17"/>
    <w:rsid w:val="00EF5B44"/>
    <w:rsid w:val="00EF67D3"/>
    <w:rsid w:val="00F060FD"/>
    <w:rsid w:val="00F2042B"/>
    <w:rsid w:val="00F40832"/>
    <w:rsid w:val="00F4220A"/>
    <w:rsid w:val="00F50F81"/>
    <w:rsid w:val="00F54B09"/>
    <w:rsid w:val="00F81A34"/>
    <w:rsid w:val="00F97496"/>
    <w:rsid w:val="00FE6994"/>
    <w:rsid w:val="00FF4B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BA8D41"/>
  <w15:chartTrackingRefBased/>
  <w15:docId w15:val="{AFECDD30-0BAB-4B59-B5BB-C814AD68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E93"/>
    <w:pPr>
      <w:ind w:left="720"/>
      <w:contextualSpacing/>
    </w:pPr>
    <w:rPr>
      <w:rFonts w:ascii="Calibri" w:eastAsia="Calibri" w:hAnsi="Calibri" w:cs="Arial"/>
      <w:lang w:eastAsia="en-US"/>
    </w:rPr>
  </w:style>
  <w:style w:type="character" w:styleId="CommentReference">
    <w:name w:val="annotation reference"/>
    <w:uiPriority w:val="99"/>
    <w:semiHidden/>
    <w:unhideWhenUsed/>
    <w:rsid w:val="00931E93"/>
    <w:rPr>
      <w:sz w:val="16"/>
      <w:szCs w:val="16"/>
    </w:rPr>
  </w:style>
  <w:style w:type="paragraph" w:styleId="CommentText">
    <w:name w:val="annotation text"/>
    <w:basedOn w:val="Normal"/>
    <w:link w:val="CommentTextChar"/>
    <w:uiPriority w:val="99"/>
    <w:semiHidden/>
    <w:unhideWhenUsed/>
    <w:rsid w:val="00931E93"/>
    <w:pPr>
      <w:spacing w:line="240" w:lineRule="auto"/>
    </w:pPr>
    <w:rPr>
      <w:rFonts w:ascii="Calibri" w:eastAsia="Calibri" w:hAnsi="Calibri" w:cs="Arial"/>
      <w:sz w:val="20"/>
      <w:szCs w:val="20"/>
      <w:lang w:eastAsia="en-US"/>
    </w:rPr>
  </w:style>
  <w:style w:type="character" w:customStyle="1" w:styleId="CommentTextChar">
    <w:name w:val="Comment Text Char"/>
    <w:basedOn w:val="DefaultParagraphFont"/>
    <w:link w:val="CommentText"/>
    <w:uiPriority w:val="99"/>
    <w:semiHidden/>
    <w:rsid w:val="00931E93"/>
    <w:rPr>
      <w:rFonts w:ascii="Calibri" w:eastAsia="Calibri" w:hAnsi="Calibri" w:cs="Arial"/>
      <w:sz w:val="20"/>
      <w:szCs w:val="20"/>
      <w:lang w:eastAsia="en-US"/>
    </w:rPr>
  </w:style>
  <w:style w:type="paragraph" w:styleId="BalloonText">
    <w:name w:val="Balloon Text"/>
    <w:basedOn w:val="Normal"/>
    <w:link w:val="BalloonTextChar"/>
    <w:uiPriority w:val="99"/>
    <w:semiHidden/>
    <w:unhideWhenUsed/>
    <w:rsid w:val="00931E93"/>
    <w:pPr>
      <w:spacing w:after="0" w:line="240" w:lineRule="auto"/>
    </w:pPr>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931E93"/>
    <w:rPr>
      <w:rFonts w:ascii="Segoe UI" w:eastAsia="Calibr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931E93"/>
    <w:rPr>
      <w:b/>
      <w:bCs/>
    </w:rPr>
  </w:style>
  <w:style w:type="character" w:customStyle="1" w:styleId="CommentSubjectChar">
    <w:name w:val="Comment Subject Char"/>
    <w:basedOn w:val="CommentTextChar"/>
    <w:link w:val="CommentSubject"/>
    <w:uiPriority w:val="99"/>
    <w:semiHidden/>
    <w:rsid w:val="00931E93"/>
    <w:rPr>
      <w:rFonts w:ascii="Calibri" w:eastAsia="Calibri" w:hAnsi="Calibri" w:cs="Arial"/>
      <w:b/>
      <w:bCs/>
      <w:sz w:val="20"/>
      <w:szCs w:val="20"/>
      <w:lang w:eastAsia="en-US"/>
    </w:rPr>
  </w:style>
  <w:style w:type="paragraph" w:styleId="EndnoteText">
    <w:name w:val="endnote text"/>
    <w:basedOn w:val="Normal"/>
    <w:link w:val="EndnoteTextChar"/>
    <w:uiPriority w:val="99"/>
    <w:semiHidden/>
    <w:unhideWhenUsed/>
    <w:rsid w:val="00931E93"/>
    <w:pPr>
      <w:spacing w:after="0" w:line="240" w:lineRule="auto"/>
    </w:pPr>
    <w:rPr>
      <w:rFonts w:ascii="Calibri" w:eastAsia="Calibri" w:hAnsi="Calibri" w:cs="Arial"/>
      <w:sz w:val="20"/>
      <w:szCs w:val="20"/>
      <w:lang w:eastAsia="en-US"/>
    </w:rPr>
  </w:style>
  <w:style w:type="character" w:customStyle="1" w:styleId="EndnoteTextChar">
    <w:name w:val="Endnote Text Char"/>
    <w:basedOn w:val="DefaultParagraphFont"/>
    <w:link w:val="EndnoteText"/>
    <w:uiPriority w:val="99"/>
    <w:semiHidden/>
    <w:rsid w:val="00931E93"/>
    <w:rPr>
      <w:rFonts w:ascii="Calibri" w:eastAsia="Calibri" w:hAnsi="Calibri" w:cs="Arial"/>
      <w:sz w:val="20"/>
      <w:szCs w:val="20"/>
      <w:lang w:eastAsia="en-US"/>
    </w:rPr>
  </w:style>
  <w:style w:type="character" w:styleId="EndnoteReference">
    <w:name w:val="endnote reference"/>
    <w:uiPriority w:val="99"/>
    <w:semiHidden/>
    <w:unhideWhenUsed/>
    <w:rsid w:val="00931E93"/>
    <w:rPr>
      <w:vertAlign w:val="superscript"/>
    </w:rPr>
  </w:style>
  <w:style w:type="paragraph" w:styleId="NormalWeb">
    <w:name w:val="Normal (Web)"/>
    <w:basedOn w:val="Normal"/>
    <w:uiPriority w:val="99"/>
    <w:semiHidden/>
    <w:unhideWhenUsed/>
    <w:rsid w:val="00931E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931E93"/>
    <w:pPr>
      <w:spacing w:after="0"/>
      <w:jc w:val="center"/>
    </w:pPr>
    <w:rPr>
      <w:rFonts w:ascii="Calibri" w:eastAsia="Calibri" w:hAnsi="Calibri" w:cs="Calibri"/>
      <w:noProof/>
      <w:lang w:val="en-US" w:eastAsia="en-US"/>
    </w:rPr>
  </w:style>
  <w:style w:type="character" w:customStyle="1" w:styleId="EndNoteBibliographyTitleChar">
    <w:name w:val="EndNote Bibliography Title Char"/>
    <w:link w:val="EndNoteBibliographyTitle"/>
    <w:rsid w:val="00931E93"/>
    <w:rPr>
      <w:rFonts w:ascii="Calibri" w:eastAsia="Calibri" w:hAnsi="Calibri" w:cs="Calibri"/>
      <w:noProof/>
      <w:lang w:val="en-US" w:eastAsia="en-US"/>
    </w:rPr>
  </w:style>
  <w:style w:type="paragraph" w:customStyle="1" w:styleId="EndNoteBibliography">
    <w:name w:val="EndNote Bibliography"/>
    <w:basedOn w:val="Normal"/>
    <w:link w:val="EndNoteBibliographyChar"/>
    <w:rsid w:val="00931E93"/>
    <w:pPr>
      <w:spacing w:line="240" w:lineRule="auto"/>
    </w:pPr>
    <w:rPr>
      <w:rFonts w:ascii="Calibri" w:eastAsia="Calibri" w:hAnsi="Calibri" w:cs="Calibri"/>
      <w:noProof/>
      <w:lang w:val="en-US" w:eastAsia="en-US"/>
    </w:rPr>
  </w:style>
  <w:style w:type="character" w:customStyle="1" w:styleId="EndNoteBibliographyChar">
    <w:name w:val="EndNote Bibliography Char"/>
    <w:link w:val="EndNoteBibliography"/>
    <w:rsid w:val="00931E93"/>
    <w:rPr>
      <w:rFonts w:ascii="Calibri" w:eastAsia="Calibri" w:hAnsi="Calibri" w:cs="Calibri"/>
      <w:noProof/>
      <w:lang w:val="en-US" w:eastAsia="en-US"/>
    </w:rPr>
  </w:style>
  <w:style w:type="character" w:styleId="Hyperlink">
    <w:name w:val="Hyperlink"/>
    <w:uiPriority w:val="99"/>
    <w:unhideWhenUsed/>
    <w:rsid w:val="00931E93"/>
    <w:rPr>
      <w:color w:val="0000FF"/>
      <w:u w:val="single"/>
    </w:rPr>
  </w:style>
  <w:style w:type="character" w:customStyle="1" w:styleId="UnresolvedMention1">
    <w:name w:val="Unresolved Mention1"/>
    <w:uiPriority w:val="99"/>
    <w:semiHidden/>
    <w:unhideWhenUsed/>
    <w:rsid w:val="00931E93"/>
    <w:rPr>
      <w:color w:val="605E5C"/>
      <w:shd w:val="clear" w:color="auto" w:fill="E1DFDD"/>
    </w:rPr>
  </w:style>
  <w:style w:type="character" w:styleId="Strong">
    <w:name w:val="Strong"/>
    <w:uiPriority w:val="22"/>
    <w:qFormat/>
    <w:rsid w:val="00931E93"/>
    <w:rPr>
      <w:b/>
      <w:bCs/>
    </w:rPr>
  </w:style>
  <w:style w:type="paragraph" w:styleId="Revision">
    <w:name w:val="Revision"/>
    <w:hidden/>
    <w:uiPriority w:val="99"/>
    <w:semiHidden/>
    <w:rsid w:val="00931E93"/>
    <w:pPr>
      <w:spacing w:after="0" w:line="240" w:lineRule="auto"/>
    </w:pPr>
    <w:rPr>
      <w:rFonts w:ascii="Calibri" w:eastAsia="Calibri" w:hAnsi="Calibri" w:cs="Arial"/>
      <w:lang w:eastAsia="en-US"/>
    </w:rPr>
  </w:style>
  <w:style w:type="paragraph" w:styleId="Header">
    <w:name w:val="header"/>
    <w:basedOn w:val="Normal"/>
    <w:link w:val="HeaderChar"/>
    <w:uiPriority w:val="99"/>
    <w:unhideWhenUsed/>
    <w:rsid w:val="00931E93"/>
    <w:pPr>
      <w:tabs>
        <w:tab w:val="center" w:pos="4680"/>
        <w:tab w:val="right" w:pos="9360"/>
      </w:tabs>
      <w:spacing w:after="0" w:line="240" w:lineRule="auto"/>
    </w:pPr>
    <w:rPr>
      <w:rFonts w:ascii="Calibri" w:eastAsia="Calibri" w:hAnsi="Calibri" w:cs="Arial"/>
      <w:lang w:eastAsia="en-US"/>
    </w:rPr>
  </w:style>
  <w:style w:type="character" w:customStyle="1" w:styleId="HeaderChar">
    <w:name w:val="Header Char"/>
    <w:basedOn w:val="DefaultParagraphFont"/>
    <w:link w:val="Header"/>
    <w:uiPriority w:val="99"/>
    <w:rsid w:val="00931E93"/>
    <w:rPr>
      <w:rFonts w:ascii="Calibri" w:eastAsia="Calibri" w:hAnsi="Calibri" w:cs="Arial"/>
      <w:lang w:eastAsia="en-US"/>
    </w:rPr>
  </w:style>
  <w:style w:type="paragraph" w:styleId="Footer">
    <w:name w:val="footer"/>
    <w:basedOn w:val="Normal"/>
    <w:link w:val="FooterChar"/>
    <w:uiPriority w:val="99"/>
    <w:unhideWhenUsed/>
    <w:rsid w:val="00931E93"/>
    <w:pPr>
      <w:tabs>
        <w:tab w:val="center" w:pos="4680"/>
        <w:tab w:val="right" w:pos="9360"/>
      </w:tabs>
      <w:spacing w:after="0" w:line="240" w:lineRule="auto"/>
    </w:pPr>
    <w:rPr>
      <w:rFonts w:ascii="Calibri" w:eastAsia="Calibri" w:hAnsi="Calibri" w:cs="Arial"/>
      <w:lang w:eastAsia="en-US"/>
    </w:rPr>
  </w:style>
  <w:style w:type="character" w:customStyle="1" w:styleId="FooterChar">
    <w:name w:val="Footer Char"/>
    <w:basedOn w:val="DefaultParagraphFont"/>
    <w:link w:val="Footer"/>
    <w:uiPriority w:val="99"/>
    <w:rsid w:val="00931E93"/>
    <w:rPr>
      <w:rFonts w:ascii="Calibri" w:eastAsia="Calibri" w:hAnsi="Calibri" w:cs="Arial"/>
      <w:lang w:eastAsia="en-US"/>
    </w:rPr>
  </w:style>
  <w:style w:type="character" w:customStyle="1" w:styleId="UnresolvedMention2">
    <w:name w:val="Unresolved Mention2"/>
    <w:uiPriority w:val="99"/>
    <w:semiHidden/>
    <w:unhideWhenUsed/>
    <w:rsid w:val="00931E93"/>
    <w:rPr>
      <w:color w:val="605E5C"/>
      <w:shd w:val="clear" w:color="auto" w:fill="E1DFDD"/>
    </w:rPr>
  </w:style>
  <w:style w:type="character" w:styleId="FollowedHyperlink">
    <w:name w:val="FollowedHyperlink"/>
    <w:uiPriority w:val="99"/>
    <w:semiHidden/>
    <w:unhideWhenUsed/>
    <w:rsid w:val="00931E93"/>
    <w:rPr>
      <w:color w:val="954F72"/>
      <w:u w:val="single"/>
    </w:rPr>
  </w:style>
  <w:style w:type="character" w:customStyle="1" w:styleId="UnresolvedMention3">
    <w:name w:val="Unresolved Mention3"/>
    <w:uiPriority w:val="99"/>
    <w:semiHidden/>
    <w:unhideWhenUsed/>
    <w:rsid w:val="00931E93"/>
    <w:rPr>
      <w:color w:val="605E5C"/>
      <w:shd w:val="clear" w:color="auto" w:fill="E1DFDD"/>
    </w:rPr>
  </w:style>
  <w:style w:type="paragraph" w:customStyle="1" w:styleId="xmsonormal">
    <w:name w:val="x_msonormal"/>
    <w:basedOn w:val="Normal"/>
    <w:uiPriority w:val="99"/>
    <w:rsid w:val="00931E93"/>
    <w:pPr>
      <w:spacing w:after="0" w:line="240" w:lineRule="auto"/>
    </w:pPr>
    <w:rPr>
      <w:rFonts w:ascii="Calibri" w:eastAsia="Calibri" w:hAnsi="Calibri" w:cs="Calibri"/>
      <w:lang w:eastAsia="en-GB"/>
    </w:rPr>
  </w:style>
  <w:style w:type="character" w:styleId="UnresolvedMention">
    <w:name w:val="Unresolved Mention"/>
    <w:uiPriority w:val="99"/>
    <w:semiHidden/>
    <w:unhideWhenUsed/>
    <w:rsid w:val="00931E93"/>
    <w:rPr>
      <w:color w:val="605E5C"/>
      <w:shd w:val="clear" w:color="auto" w:fill="E1DFDD"/>
    </w:rPr>
  </w:style>
  <w:style w:type="paragraph" w:customStyle="1" w:styleId="msonormal0">
    <w:name w:val="msonormal"/>
    <w:basedOn w:val="Normal"/>
    <w:rsid w:val="00931E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931E93"/>
    <w:pPr>
      <w:spacing w:before="100" w:beforeAutospacing="1" w:after="100" w:afterAutospacing="1" w:line="240" w:lineRule="auto"/>
    </w:pPr>
    <w:rPr>
      <w:rFonts w:ascii="Calibri" w:eastAsia="Times New Roman" w:hAnsi="Calibri" w:cs="Calibri"/>
      <w:color w:val="000000"/>
      <w:sz w:val="16"/>
      <w:szCs w:val="16"/>
      <w:lang w:eastAsia="en-GB"/>
    </w:rPr>
  </w:style>
  <w:style w:type="paragraph" w:customStyle="1" w:styleId="xl65">
    <w:name w:val="xl65"/>
    <w:basedOn w:val="Normal"/>
    <w:rsid w:val="00931E93"/>
    <w:pPr>
      <w:spacing w:before="100" w:beforeAutospacing="1" w:after="100" w:afterAutospacing="1" w:line="240" w:lineRule="auto"/>
    </w:pPr>
    <w:rPr>
      <w:rFonts w:ascii="Calibri" w:eastAsia="Times New Roman" w:hAnsi="Calibri" w:cs="Calibri"/>
      <w:sz w:val="18"/>
      <w:szCs w:val="18"/>
      <w:lang w:eastAsia="en-GB"/>
    </w:rPr>
  </w:style>
  <w:style w:type="paragraph" w:customStyle="1" w:styleId="xl66">
    <w:name w:val="xl66"/>
    <w:basedOn w:val="Normal"/>
    <w:rsid w:val="00931E93"/>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16"/>
      <w:szCs w:val="16"/>
      <w:lang w:eastAsia="en-GB"/>
    </w:rPr>
  </w:style>
  <w:style w:type="paragraph" w:customStyle="1" w:styleId="xl67">
    <w:name w:val="xl67"/>
    <w:basedOn w:val="Normal"/>
    <w:rsid w:val="00931E93"/>
    <w:pPr>
      <w:pBdr>
        <w:top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16"/>
      <w:szCs w:val="16"/>
      <w:lang w:eastAsia="en-GB"/>
    </w:rPr>
  </w:style>
  <w:style w:type="paragraph" w:customStyle="1" w:styleId="xl68">
    <w:name w:val="xl68"/>
    <w:basedOn w:val="Normal"/>
    <w:rsid w:val="00931E93"/>
    <w:pPr>
      <w:pBdr>
        <w:top w:val="single" w:sz="4" w:space="0" w:color="auto"/>
      </w:pBdr>
      <w:spacing w:before="100" w:beforeAutospacing="1" w:after="100" w:afterAutospacing="1" w:line="240" w:lineRule="auto"/>
      <w:jc w:val="center"/>
    </w:pPr>
    <w:rPr>
      <w:rFonts w:ascii="Calibri" w:eastAsia="Times New Roman" w:hAnsi="Calibri" w:cs="Calibri"/>
      <w:sz w:val="16"/>
      <w:szCs w:val="16"/>
      <w:lang w:eastAsia="en-GB"/>
    </w:rPr>
  </w:style>
  <w:style w:type="paragraph" w:customStyle="1" w:styleId="xl69">
    <w:name w:val="xl69"/>
    <w:basedOn w:val="Normal"/>
    <w:rsid w:val="00931E93"/>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16"/>
      <w:szCs w:val="16"/>
      <w:lang w:eastAsia="en-GB"/>
    </w:rPr>
  </w:style>
  <w:style w:type="paragraph" w:customStyle="1" w:styleId="xl70">
    <w:name w:val="xl70"/>
    <w:basedOn w:val="Normal"/>
    <w:rsid w:val="00931E93"/>
    <w:pPr>
      <w:pBdr>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16"/>
      <w:szCs w:val="16"/>
      <w:lang w:eastAsia="en-GB"/>
    </w:rPr>
  </w:style>
  <w:style w:type="paragraph" w:customStyle="1" w:styleId="xl71">
    <w:name w:val="xl71"/>
    <w:basedOn w:val="Normal"/>
    <w:rsid w:val="00931E93"/>
    <w:pPr>
      <w:pBdr>
        <w:bottom w:val="single" w:sz="4" w:space="0" w:color="auto"/>
      </w:pBdr>
      <w:spacing w:before="100" w:beforeAutospacing="1" w:after="100" w:afterAutospacing="1" w:line="240" w:lineRule="auto"/>
      <w:jc w:val="center"/>
    </w:pPr>
    <w:rPr>
      <w:rFonts w:ascii="Calibri" w:eastAsia="Times New Roman" w:hAnsi="Calibri" w:cs="Calibri"/>
      <w:sz w:val="16"/>
      <w:szCs w:val="16"/>
      <w:lang w:eastAsia="en-GB"/>
    </w:rPr>
  </w:style>
  <w:style w:type="paragraph" w:customStyle="1" w:styleId="xl72">
    <w:name w:val="xl72"/>
    <w:basedOn w:val="Normal"/>
    <w:rsid w:val="00931E93"/>
    <w:pPr>
      <w:pBdr>
        <w:left w:val="single" w:sz="4" w:space="0" w:color="auto"/>
      </w:pBdr>
      <w:spacing w:before="100" w:beforeAutospacing="1" w:after="100" w:afterAutospacing="1" w:line="240" w:lineRule="auto"/>
    </w:pPr>
    <w:rPr>
      <w:rFonts w:ascii="Calibri" w:eastAsia="Times New Roman" w:hAnsi="Calibri" w:cs="Calibri"/>
      <w:sz w:val="16"/>
      <w:szCs w:val="16"/>
      <w:lang w:eastAsia="en-GB"/>
    </w:rPr>
  </w:style>
  <w:style w:type="paragraph" w:customStyle="1" w:styleId="xl73">
    <w:name w:val="xl73"/>
    <w:basedOn w:val="Normal"/>
    <w:rsid w:val="00931E93"/>
    <w:pPr>
      <w:pBdr>
        <w:right w:val="single" w:sz="4" w:space="0" w:color="auto"/>
      </w:pBdr>
      <w:spacing w:before="100" w:beforeAutospacing="1" w:after="100" w:afterAutospacing="1" w:line="240" w:lineRule="auto"/>
    </w:pPr>
    <w:rPr>
      <w:rFonts w:ascii="Calibri" w:eastAsia="Times New Roman" w:hAnsi="Calibri" w:cs="Calibri"/>
      <w:sz w:val="16"/>
      <w:szCs w:val="16"/>
      <w:lang w:eastAsia="en-GB"/>
    </w:rPr>
  </w:style>
  <w:style w:type="paragraph" w:customStyle="1" w:styleId="xl74">
    <w:name w:val="xl74"/>
    <w:basedOn w:val="Normal"/>
    <w:rsid w:val="00931E93"/>
    <w:pPr>
      <w:pBdr>
        <w:left w:val="single" w:sz="4" w:space="0" w:color="auto"/>
      </w:pBdr>
      <w:spacing w:before="100" w:beforeAutospacing="1" w:after="100" w:afterAutospacing="1" w:line="240" w:lineRule="auto"/>
    </w:pPr>
    <w:rPr>
      <w:rFonts w:ascii="Calibri" w:eastAsia="Times New Roman" w:hAnsi="Calibri" w:cs="Calibri"/>
      <w:sz w:val="16"/>
      <w:szCs w:val="16"/>
      <w:lang w:eastAsia="en-GB"/>
    </w:rPr>
  </w:style>
  <w:style w:type="paragraph" w:customStyle="1" w:styleId="xl75">
    <w:name w:val="xl75"/>
    <w:basedOn w:val="Normal"/>
    <w:rsid w:val="00931E93"/>
    <w:pPr>
      <w:spacing w:before="100" w:beforeAutospacing="1" w:after="100" w:afterAutospacing="1" w:line="240" w:lineRule="auto"/>
    </w:pPr>
    <w:rPr>
      <w:rFonts w:ascii="Calibri" w:eastAsia="Times New Roman" w:hAnsi="Calibri" w:cs="Calibri"/>
      <w:sz w:val="16"/>
      <w:szCs w:val="16"/>
      <w:lang w:eastAsia="en-GB"/>
    </w:rPr>
  </w:style>
  <w:style w:type="paragraph" w:customStyle="1" w:styleId="xl76">
    <w:name w:val="xl76"/>
    <w:basedOn w:val="Normal"/>
    <w:rsid w:val="00931E93"/>
    <w:pPr>
      <w:pBdr>
        <w:right w:val="single" w:sz="4" w:space="0" w:color="auto"/>
      </w:pBdr>
      <w:spacing w:before="100" w:beforeAutospacing="1" w:after="100" w:afterAutospacing="1" w:line="240" w:lineRule="auto"/>
    </w:pPr>
    <w:rPr>
      <w:rFonts w:ascii="Calibri" w:eastAsia="Times New Roman" w:hAnsi="Calibri" w:cs="Calibri"/>
      <w:sz w:val="16"/>
      <w:szCs w:val="16"/>
      <w:lang w:eastAsia="en-GB"/>
    </w:rPr>
  </w:style>
  <w:style w:type="paragraph" w:customStyle="1" w:styleId="xl77">
    <w:name w:val="xl77"/>
    <w:basedOn w:val="Normal"/>
    <w:rsid w:val="00931E93"/>
    <w:pPr>
      <w:spacing w:before="100" w:beforeAutospacing="1" w:after="100" w:afterAutospacing="1" w:line="240" w:lineRule="auto"/>
    </w:pPr>
    <w:rPr>
      <w:rFonts w:ascii="Calibri" w:eastAsia="Times New Roman" w:hAnsi="Calibri" w:cs="Calibri"/>
      <w:sz w:val="16"/>
      <w:szCs w:val="16"/>
      <w:lang w:eastAsia="en-GB"/>
    </w:rPr>
  </w:style>
  <w:style w:type="paragraph" w:customStyle="1" w:styleId="xl78">
    <w:name w:val="xl78"/>
    <w:basedOn w:val="Normal"/>
    <w:rsid w:val="00931E93"/>
    <w:pPr>
      <w:pBdr>
        <w:left w:val="single" w:sz="4" w:space="0" w:color="auto"/>
      </w:pBdr>
      <w:spacing w:before="100" w:beforeAutospacing="1" w:after="100" w:afterAutospacing="1" w:line="240" w:lineRule="auto"/>
    </w:pPr>
    <w:rPr>
      <w:rFonts w:ascii="Calibri" w:eastAsia="Times New Roman" w:hAnsi="Calibri" w:cs="Calibri"/>
      <w:sz w:val="16"/>
      <w:szCs w:val="16"/>
      <w:lang w:eastAsia="en-GB"/>
    </w:rPr>
  </w:style>
  <w:style w:type="paragraph" w:customStyle="1" w:styleId="xl79">
    <w:name w:val="xl79"/>
    <w:basedOn w:val="Normal"/>
    <w:rsid w:val="00931E93"/>
    <w:pPr>
      <w:spacing w:before="100" w:beforeAutospacing="1" w:after="100" w:afterAutospacing="1" w:line="240" w:lineRule="auto"/>
    </w:pPr>
    <w:rPr>
      <w:rFonts w:ascii="Calibri" w:eastAsia="Times New Roman" w:hAnsi="Calibri" w:cs="Calibri"/>
      <w:sz w:val="16"/>
      <w:szCs w:val="16"/>
      <w:lang w:eastAsia="en-GB"/>
    </w:rPr>
  </w:style>
  <w:style w:type="paragraph" w:customStyle="1" w:styleId="xl80">
    <w:name w:val="xl80"/>
    <w:basedOn w:val="Normal"/>
    <w:rsid w:val="00931E93"/>
    <w:pPr>
      <w:pBdr>
        <w:right w:val="single" w:sz="4" w:space="0" w:color="auto"/>
      </w:pBdr>
      <w:spacing w:before="100" w:beforeAutospacing="1" w:after="100" w:afterAutospacing="1" w:line="240" w:lineRule="auto"/>
    </w:pPr>
    <w:rPr>
      <w:rFonts w:ascii="Calibri" w:eastAsia="Times New Roman" w:hAnsi="Calibri" w:cs="Calibri"/>
      <w:sz w:val="16"/>
      <w:szCs w:val="16"/>
      <w:lang w:eastAsia="en-GB"/>
    </w:rPr>
  </w:style>
  <w:style w:type="paragraph" w:customStyle="1" w:styleId="xl81">
    <w:name w:val="xl81"/>
    <w:basedOn w:val="Normal"/>
    <w:rsid w:val="00931E93"/>
    <w:pPr>
      <w:pBdr>
        <w:left w:val="single" w:sz="4" w:space="0" w:color="auto"/>
      </w:pBdr>
      <w:spacing w:before="100" w:beforeAutospacing="1" w:after="100" w:afterAutospacing="1" w:line="240" w:lineRule="auto"/>
      <w:jc w:val="center"/>
    </w:pPr>
    <w:rPr>
      <w:rFonts w:ascii="Calibri" w:eastAsia="Times New Roman" w:hAnsi="Calibri" w:cs="Calibri"/>
      <w:sz w:val="16"/>
      <w:szCs w:val="16"/>
      <w:lang w:eastAsia="en-GB"/>
    </w:rPr>
  </w:style>
  <w:style w:type="paragraph" w:customStyle="1" w:styleId="xl82">
    <w:name w:val="xl82"/>
    <w:basedOn w:val="Normal"/>
    <w:rsid w:val="00931E93"/>
    <w:pPr>
      <w:spacing w:before="100" w:beforeAutospacing="1" w:after="100" w:afterAutospacing="1" w:line="240" w:lineRule="auto"/>
      <w:jc w:val="center"/>
    </w:pPr>
    <w:rPr>
      <w:rFonts w:ascii="Calibri" w:eastAsia="Times New Roman" w:hAnsi="Calibri" w:cs="Calibri"/>
      <w:sz w:val="16"/>
      <w:szCs w:val="16"/>
      <w:lang w:eastAsia="en-GB"/>
    </w:rPr>
  </w:style>
  <w:style w:type="paragraph" w:customStyle="1" w:styleId="xl83">
    <w:name w:val="xl83"/>
    <w:basedOn w:val="Normal"/>
    <w:rsid w:val="00931E93"/>
    <w:pPr>
      <w:pBdr>
        <w:right w:val="single" w:sz="4" w:space="0" w:color="auto"/>
      </w:pBdr>
      <w:spacing w:before="100" w:beforeAutospacing="1" w:after="100" w:afterAutospacing="1" w:line="240" w:lineRule="auto"/>
      <w:jc w:val="center"/>
    </w:pPr>
    <w:rPr>
      <w:rFonts w:ascii="Calibri" w:eastAsia="Times New Roman" w:hAnsi="Calibri" w:cs="Calibri"/>
      <w:sz w:val="16"/>
      <w:szCs w:val="16"/>
      <w:lang w:eastAsia="en-GB"/>
    </w:rPr>
  </w:style>
  <w:style w:type="paragraph" w:customStyle="1" w:styleId="xl84">
    <w:name w:val="xl84"/>
    <w:basedOn w:val="Normal"/>
    <w:rsid w:val="00931E93"/>
    <w:pPr>
      <w:spacing w:before="100" w:beforeAutospacing="1" w:after="100" w:afterAutospacing="1" w:line="240" w:lineRule="auto"/>
      <w:jc w:val="center"/>
    </w:pPr>
    <w:rPr>
      <w:rFonts w:ascii="Calibri" w:eastAsia="Times New Roman" w:hAnsi="Calibri" w:cs="Calibri"/>
      <w:sz w:val="16"/>
      <w:szCs w:val="16"/>
      <w:lang w:eastAsia="en-GB"/>
    </w:rPr>
  </w:style>
  <w:style w:type="paragraph" w:customStyle="1" w:styleId="xl85">
    <w:name w:val="xl85"/>
    <w:basedOn w:val="Normal"/>
    <w:rsid w:val="00931E93"/>
    <w:pPr>
      <w:pBdr>
        <w:right w:val="single" w:sz="4" w:space="0" w:color="auto"/>
      </w:pBdr>
      <w:spacing w:before="100" w:beforeAutospacing="1" w:after="100" w:afterAutospacing="1" w:line="240" w:lineRule="auto"/>
      <w:jc w:val="center"/>
    </w:pPr>
    <w:rPr>
      <w:rFonts w:ascii="Calibri" w:eastAsia="Times New Roman" w:hAnsi="Calibri" w:cs="Calibri"/>
      <w:sz w:val="16"/>
      <w:szCs w:val="16"/>
      <w:lang w:eastAsia="en-GB"/>
    </w:rPr>
  </w:style>
  <w:style w:type="paragraph" w:customStyle="1" w:styleId="xl86">
    <w:name w:val="xl86"/>
    <w:basedOn w:val="Normal"/>
    <w:rsid w:val="00931E93"/>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16"/>
      <w:szCs w:val="16"/>
      <w:lang w:eastAsia="en-GB"/>
    </w:rPr>
  </w:style>
  <w:style w:type="paragraph" w:customStyle="1" w:styleId="xl87">
    <w:name w:val="xl87"/>
    <w:basedOn w:val="Normal"/>
    <w:rsid w:val="00931E93"/>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16"/>
      <w:szCs w:val="16"/>
      <w:lang w:eastAsia="en-GB"/>
    </w:rPr>
  </w:style>
  <w:style w:type="paragraph" w:customStyle="1" w:styleId="xl88">
    <w:name w:val="xl88"/>
    <w:basedOn w:val="Normal"/>
    <w:rsid w:val="00931E93"/>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16"/>
      <w:szCs w:val="16"/>
      <w:lang w:eastAsia="en-GB"/>
    </w:rPr>
  </w:style>
  <w:style w:type="paragraph" w:customStyle="1" w:styleId="xl89">
    <w:name w:val="xl89"/>
    <w:basedOn w:val="Normal"/>
    <w:rsid w:val="00931E93"/>
    <w:pPr>
      <w:pBdr>
        <w:bottom w:val="single" w:sz="4" w:space="0" w:color="auto"/>
      </w:pBdr>
      <w:spacing w:before="100" w:beforeAutospacing="1" w:after="100" w:afterAutospacing="1" w:line="240" w:lineRule="auto"/>
    </w:pPr>
    <w:rPr>
      <w:rFonts w:ascii="Calibri" w:eastAsia="Times New Roman" w:hAnsi="Calibri" w:cs="Calibri"/>
      <w:sz w:val="16"/>
      <w:szCs w:val="16"/>
      <w:lang w:eastAsia="en-GB"/>
    </w:rPr>
  </w:style>
  <w:style w:type="paragraph" w:customStyle="1" w:styleId="xl90">
    <w:name w:val="xl90"/>
    <w:basedOn w:val="Normal"/>
    <w:rsid w:val="00931E93"/>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16"/>
      <w:szCs w:val="16"/>
      <w:lang w:eastAsia="en-GB"/>
    </w:rPr>
  </w:style>
  <w:style w:type="paragraph" w:customStyle="1" w:styleId="xl63">
    <w:name w:val="xl63"/>
    <w:basedOn w:val="Normal"/>
    <w:rsid w:val="00931E93"/>
    <w:pPr>
      <w:spacing w:before="100" w:beforeAutospacing="1" w:after="100" w:afterAutospacing="1" w:line="240" w:lineRule="auto"/>
    </w:pPr>
    <w:rPr>
      <w:rFonts w:ascii="Calibri" w:eastAsia="Times New Roman" w:hAnsi="Calibri" w:cs="Calibri"/>
      <w:sz w:val="18"/>
      <w:szCs w:val="18"/>
      <w:lang w:eastAsia="en-GB"/>
    </w:rPr>
  </w:style>
  <w:style w:type="paragraph" w:customStyle="1" w:styleId="xl64">
    <w:name w:val="xl64"/>
    <w:basedOn w:val="Normal"/>
    <w:rsid w:val="00931E93"/>
    <w:pPr>
      <w:spacing w:before="100" w:beforeAutospacing="1" w:after="100" w:afterAutospacing="1" w:line="240" w:lineRule="auto"/>
    </w:pPr>
    <w:rPr>
      <w:rFonts w:ascii="Calibri" w:eastAsia="Times New Roman" w:hAnsi="Calibri" w:cs="Calibri"/>
      <w:sz w:val="14"/>
      <w:szCs w:val="14"/>
      <w:lang w:eastAsia="en-GB"/>
    </w:rPr>
  </w:style>
  <w:style w:type="paragraph" w:styleId="PlainText">
    <w:name w:val="Plain Text"/>
    <w:basedOn w:val="Normal"/>
    <w:link w:val="PlainTextChar"/>
    <w:uiPriority w:val="99"/>
    <w:unhideWhenUsed/>
    <w:rsid w:val="003E1B15"/>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3E1B15"/>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7A121-3CBE-47AB-AED0-CFDDC393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15573</Words>
  <Characters>88771</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Coyle</dc:creator>
  <cp:keywords/>
  <dc:description/>
  <cp:lastModifiedBy>Liz Coyle</cp:lastModifiedBy>
  <cp:revision>3</cp:revision>
  <dcterms:created xsi:type="dcterms:W3CDTF">2021-08-16T08:52:00Z</dcterms:created>
  <dcterms:modified xsi:type="dcterms:W3CDTF">2021-08-16T08:55:00Z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3910d20b-1a65-3884-96bf-40e3d9ffd9e1</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http://www.zotero.org/styles/american-medical-association-no-url</vt:lpwstr>
  </property>
  <property fmtid="{D5CDD505-2E9C-101B-9397-08002B2CF9AE}" pid="8" name="Mendeley Recent Style Name 1_1">
    <vt:lpwstr>American Medical Association 11th edition (no URL)</vt:lpwstr>
  </property>
  <property fmtid="{D5CDD505-2E9C-101B-9397-08002B2CF9AE}" pid="9" name="Mendeley Recent Style Id 2_1">
    <vt:lpwstr>http://www.zotero.org/styles/current-diabetes-reports</vt:lpwstr>
  </property>
  <property fmtid="{D5CDD505-2E9C-101B-9397-08002B2CF9AE}" pid="10" name="Mendeley Recent Style Name 2_1">
    <vt:lpwstr>Current Diabetes Reports</vt:lpwstr>
  </property>
  <property fmtid="{D5CDD505-2E9C-101B-9397-08002B2CF9AE}" pid="11" name="Mendeley Recent Style Id 3_1">
    <vt:lpwstr>http://www.zotero.org/styles/diabetes-care</vt:lpwstr>
  </property>
  <property fmtid="{D5CDD505-2E9C-101B-9397-08002B2CF9AE}" pid="12" name="Mendeley Recent Style Name 3_1">
    <vt:lpwstr>Diabetes Care</vt:lpwstr>
  </property>
  <property fmtid="{D5CDD505-2E9C-101B-9397-08002B2CF9AE}" pid="13" name="Mendeley Recent Style Id 4_1">
    <vt:lpwstr>http://www.zotero.org/styles/jama</vt:lpwstr>
  </property>
  <property fmtid="{D5CDD505-2E9C-101B-9397-08002B2CF9AE}" pid="14" name="Mendeley Recent Style Name 4_1">
    <vt:lpwstr>JAMA (The Journal of the American Medical Association)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http://www.zotero.org/styles/obesity-medicine</vt:lpwstr>
  </property>
  <property fmtid="{D5CDD505-2E9C-101B-9397-08002B2CF9AE}" pid="18" name="Mendeley Recent Style Name 6_1">
    <vt:lpwstr>Obesity Medicine</vt:lpwstr>
  </property>
  <property fmtid="{D5CDD505-2E9C-101B-9397-08002B2CF9AE}" pid="19" name="Mendeley Recent Style Id 7_1">
    <vt:lpwstr>http://www.zotero.org/styles/the-lancet</vt:lpwstr>
  </property>
  <property fmtid="{D5CDD505-2E9C-101B-9397-08002B2CF9AE}" pid="20" name="Mendeley Recent Style Name 7_1">
    <vt:lpwstr>The Lancet</vt:lpwstr>
  </property>
  <property fmtid="{D5CDD505-2E9C-101B-9397-08002B2CF9AE}" pid="21" name="Mendeley Recent Style Id 8_1">
    <vt:lpwstr>http://www.zotero.org/styles/the-new-england-journal-of-medicine</vt:lpwstr>
  </property>
  <property fmtid="{D5CDD505-2E9C-101B-9397-08002B2CF9AE}" pid="22" name="Mendeley Recent Style Name 8_1">
    <vt:lpwstr>The New England Journal of Medicine</vt:lpwstr>
  </property>
  <property fmtid="{D5CDD505-2E9C-101B-9397-08002B2CF9AE}" pid="23" name="Mendeley Recent Style Id 9_1">
    <vt:lpwstr>http://www.zotero.org/styles/wiley-vch-books</vt:lpwstr>
  </property>
  <property fmtid="{D5CDD505-2E9C-101B-9397-08002B2CF9AE}" pid="24" name="Mendeley Recent Style Name 9_1">
    <vt:lpwstr>Wiley-VCH books</vt:lpwstr>
  </property>
</Properties>
</file>