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5FEA7" w14:textId="77777777" w:rsidR="00FF4921" w:rsidRPr="000817CB" w:rsidRDefault="00FF4921" w:rsidP="00FF4921">
      <w:pPr>
        <w:pStyle w:val="MDPI11articletype"/>
        <w:rPr>
          <w:b/>
          <w:bCs/>
        </w:rPr>
      </w:pPr>
      <w:r w:rsidRPr="000817CB">
        <w:t>Article</w:t>
      </w:r>
    </w:p>
    <w:p w14:paraId="4B571712" w14:textId="77777777" w:rsidR="00F709B0" w:rsidRPr="000817CB" w:rsidRDefault="00F709B0" w:rsidP="00FF4921">
      <w:pPr>
        <w:pStyle w:val="MDPI12title"/>
      </w:pPr>
      <w:r w:rsidRPr="000817CB">
        <w:t xml:space="preserve">Dietary supplementation with transgenic </w:t>
      </w:r>
      <w:r w:rsidRPr="000817CB">
        <w:rPr>
          <w:i/>
        </w:rPr>
        <w:t>Camelina sativa</w:t>
      </w:r>
      <w:r w:rsidRPr="000817CB">
        <w:t xml:space="preserve"> oil containing 20:5n-3 and 22:6n-3 or fish oil induces differential changes in the transcriptome of CD3</w:t>
      </w:r>
      <w:r w:rsidRPr="000817CB">
        <w:rPr>
          <w:vertAlign w:val="superscript"/>
        </w:rPr>
        <w:t xml:space="preserve">+ </w:t>
      </w:r>
      <w:r w:rsidRPr="000817CB">
        <w:t>T lymphocytes</w:t>
      </w:r>
    </w:p>
    <w:p w14:paraId="671CF58A" w14:textId="77777777" w:rsidR="00F709B0" w:rsidRPr="000817CB" w:rsidRDefault="00F709B0" w:rsidP="00FF4921">
      <w:pPr>
        <w:pStyle w:val="MDPI13authornames"/>
      </w:pPr>
      <w:r w:rsidRPr="000817CB">
        <w:t>Annette L. West</w:t>
      </w:r>
      <w:r w:rsidRPr="000817CB">
        <w:rPr>
          <w:vertAlign w:val="superscript"/>
        </w:rPr>
        <w:t>1</w:t>
      </w:r>
      <w:r w:rsidRPr="000817CB">
        <w:t>, Elizabeth A. Miles</w:t>
      </w:r>
      <w:r w:rsidRPr="000817CB">
        <w:rPr>
          <w:vertAlign w:val="superscript"/>
        </w:rPr>
        <w:t>1</w:t>
      </w:r>
      <w:r w:rsidRPr="000817CB">
        <w:t xml:space="preserve">, </w:t>
      </w:r>
      <w:proofErr w:type="spellStart"/>
      <w:r w:rsidRPr="000817CB">
        <w:t>Lihua</w:t>
      </w:r>
      <w:proofErr w:type="spellEnd"/>
      <w:r w:rsidRPr="000817CB">
        <w:t xml:space="preserve"> Han</w:t>
      </w:r>
      <w:r w:rsidRPr="000817CB">
        <w:rPr>
          <w:vertAlign w:val="superscript"/>
        </w:rPr>
        <w:t>2</w:t>
      </w:r>
      <w:r w:rsidRPr="000817CB">
        <w:t>, Karen A. Lillycrop</w:t>
      </w:r>
      <w:r w:rsidRPr="000817CB">
        <w:rPr>
          <w:vertAlign w:val="superscript"/>
        </w:rPr>
        <w:t>3</w:t>
      </w:r>
      <w:r w:rsidRPr="000817CB">
        <w:t>, Johnathan A. Napier</w:t>
      </w:r>
      <w:r w:rsidRPr="000817CB">
        <w:rPr>
          <w:vertAlign w:val="superscript"/>
        </w:rPr>
        <w:t>2</w:t>
      </w:r>
      <w:r w:rsidRPr="000817CB">
        <w:t>, Philip C. Calder</w:t>
      </w:r>
      <w:r w:rsidRPr="000817CB">
        <w:rPr>
          <w:vertAlign w:val="superscript"/>
        </w:rPr>
        <w:t>1,4</w:t>
      </w:r>
      <w:r w:rsidR="00FF4921" w:rsidRPr="000817CB">
        <w:t xml:space="preserve"> and </w:t>
      </w:r>
      <w:r w:rsidRPr="000817CB">
        <w:t>Graham C. Burdge</w:t>
      </w:r>
      <w:r w:rsidRPr="000817CB">
        <w:rPr>
          <w:vertAlign w:val="superscript"/>
        </w:rPr>
        <w:t>1</w:t>
      </w:r>
      <w:r w:rsidRPr="000817CB">
        <w:t>*</w:t>
      </w:r>
    </w:p>
    <w:p w14:paraId="5D048D77" w14:textId="77777777" w:rsidR="00F709B0" w:rsidRPr="000817CB" w:rsidRDefault="00F709B0" w:rsidP="00FF4921">
      <w:pPr>
        <w:pStyle w:val="MDPI16affiliation"/>
        <w:ind w:left="2608" w:firstLine="0"/>
      </w:pPr>
      <w:r w:rsidRPr="000817CB">
        <w:rPr>
          <w:vertAlign w:val="superscript"/>
        </w:rPr>
        <w:t>1</w:t>
      </w:r>
      <w:r w:rsidRPr="000817CB">
        <w:t>School of Human Development and Health, Faculty of Medicine, University of Southampton, Southampton SO16 6YD, UK</w:t>
      </w:r>
    </w:p>
    <w:p w14:paraId="12B4025F" w14:textId="77777777" w:rsidR="00F709B0" w:rsidRPr="000817CB" w:rsidRDefault="00F709B0" w:rsidP="00FF4921">
      <w:pPr>
        <w:pStyle w:val="MDPI16affiliation"/>
        <w:ind w:left="2608" w:firstLine="0"/>
        <w:rPr>
          <w:vertAlign w:val="superscript"/>
        </w:rPr>
      </w:pPr>
      <w:r w:rsidRPr="000817CB">
        <w:rPr>
          <w:vertAlign w:val="superscript"/>
        </w:rPr>
        <w:t>2</w:t>
      </w:r>
      <w:r w:rsidRPr="000817CB">
        <w:t xml:space="preserve">Department of Plant Sciences, Rothamsted Research, </w:t>
      </w:r>
      <w:proofErr w:type="spellStart"/>
      <w:r w:rsidRPr="000817CB">
        <w:t>Harpenden</w:t>
      </w:r>
      <w:proofErr w:type="spellEnd"/>
      <w:r w:rsidRPr="000817CB">
        <w:t xml:space="preserve"> AL5 2JQ, UK</w:t>
      </w:r>
      <w:r w:rsidRPr="000817CB">
        <w:rPr>
          <w:vertAlign w:val="superscript"/>
        </w:rPr>
        <w:t xml:space="preserve"> </w:t>
      </w:r>
    </w:p>
    <w:p w14:paraId="1ECBBED2" w14:textId="77777777" w:rsidR="00F709B0" w:rsidRPr="000817CB" w:rsidRDefault="00F709B0" w:rsidP="00FF4921">
      <w:pPr>
        <w:pStyle w:val="MDPI16affiliation"/>
        <w:ind w:left="2608" w:firstLine="0"/>
      </w:pPr>
      <w:r w:rsidRPr="000817CB">
        <w:rPr>
          <w:vertAlign w:val="superscript"/>
        </w:rPr>
        <w:t>3</w:t>
      </w:r>
      <w:r w:rsidRPr="000817CB">
        <w:t>Centre for Biological Sciences, Faculty of Environmental and Life Sciences, University of Southampton, Southampton SO17 1BJ, UK</w:t>
      </w:r>
    </w:p>
    <w:p w14:paraId="09643CA2" w14:textId="77777777" w:rsidR="00F709B0" w:rsidRPr="000817CB" w:rsidRDefault="00F709B0" w:rsidP="00FF4921">
      <w:pPr>
        <w:pStyle w:val="MDPI16affiliation"/>
        <w:ind w:left="2608" w:firstLine="0"/>
      </w:pPr>
      <w:r w:rsidRPr="000817CB">
        <w:rPr>
          <w:vertAlign w:val="superscript"/>
        </w:rPr>
        <w:t>4</w:t>
      </w:r>
      <w:r w:rsidRPr="000817CB">
        <w:t>NIHR Southampton Biomedical Research Centre, University Hospital Southampton NHS Foundation Trust and University of Southampton, Southampton SO16 6YD, UK</w:t>
      </w:r>
    </w:p>
    <w:p w14:paraId="06B59160" w14:textId="77777777" w:rsidR="00902660" w:rsidRPr="000817CB" w:rsidRDefault="00FF4921" w:rsidP="00FF4921">
      <w:pPr>
        <w:pStyle w:val="MDPI16affiliation"/>
      </w:pPr>
      <w:r w:rsidRPr="000817CB">
        <w:rPr>
          <w:b/>
        </w:rPr>
        <w:t>*</w:t>
      </w:r>
      <w:r w:rsidRPr="000817CB">
        <w:rPr>
          <w:vertAlign w:val="superscript"/>
        </w:rPr>
        <w:tab/>
        <w:t xml:space="preserve">Correspondence: </w:t>
      </w:r>
      <w:r w:rsidR="00F709B0" w:rsidRPr="000817CB">
        <w:t>to: Professor GC Burdge, School of Human Development and Health, Faculty of Medicine, University of Southampton, Southampton, Hampshire SO16 6YD, United Kingdom. g.c.burdge@soton.ac.uk; Telephone +44 (0)2381205259</w:t>
      </w:r>
    </w:p>
    <w:tbl>
      <w:tblPr>
        <w:tblpPr w:leftFromText="198" w:rightFromText="198" w:vertAnchor="page" w:horzAnchor="margin" w:tblpY="10246"/>
        <w:tblW w:w="2410" w:type="dxa"/>
        <w:tblLayout w:type="fixed"/>
        <w:tblCellMar>
          <w:left w:w="0" w:type="dxa"/>
          <w:right w:w="0" w:type="dxa"/>
        </w:tblCellMar>
        <w:tblLook w:val="04A0" w:firstRow="1" w:lastRow="0" w:firstColumn="1" w:lastColumn="0" w:noHBand="0" w:noVBand="1"/>
      </w:tblPr>
      <w:tblGrid>
        <w:gridCol w:w="2410"/>
      </w:tblGrid>
      <w:tr w:rsidR="00902660" w:rsidRPr="00D15AC3" w14:paraId="19442315" w14:textId="77777777" w:rsidTr="0031522D">
        <w:tc>
          <w:tcPr>
            <w:tcW w:w="2410" w:type="dxa"/>
            <w:shd w:val="clear" w:color="auto" w:fill="auto"/>
          </w:tcPr>
          <w:p w14:paraId="765E818F" w14:textId="77777777" w:rsidR="00902660" w:rsidRPr="00E22B91" w:rsidRDefault="00902660" w:rsidP="0031522D">
            <w:pPr>
              <w:pStyle w:val="MDPI61Citation"/>
              <w:spacing w:line="240" w:lineRule="exact"/>
            </w:pPr>
            <w:r w:rsidRPr="00E22B91">
              <w:rPr>
                <w:b/>
              </w:rPr>
              <w:t>Citation:</w:t>
            </w:r>
            <w:r w:rsidRPr="00D15AC3">
              <w:t xml:space="preserve"> </w:t>
            </w:r>
            <w:proofErr w:type="spellStart"/>
            <w:r>
              <w:t>Lastname</w:t>
            </w:r>
            <w:proofErr w:type="spellEnd"/>
            <w:r>
              <w:t xml:space="preserve">, F.; </w:t>
            </w:r>
            <w:proofErr w:type="spellStart"/>
            <w:r>
              <w:t>Lastname</w:t>
            </w:r>
            <w:proofErr w:type="spellEnd"/>
            <w:r>
              <w:t xml:space="preserve">, F.; Last-name, F. Title. </w:t>
            </w:r>
            <w:r>
              <w:rPr>
                <w:i/>
              </w:rPr>
              <w:t xml:space="preserve">Nutrients </w:t>
            </w:r>
            <w:r w:rsidRPr="00743AB9">
              <w:rPr>
                <w:b/>
              </w:rPr>
              <w:t>2021</w:t>
            </w:r>
            <w:r>
              <w:t xml:space="preserve">, </w:t>
            </w:r>
            <w:r w:rsidRPr="00743AB9">
              <w:rPr>
                <w:i/>
              </w:rPr>
              <w:t>13</w:t>
            </w:r>
            <w:r>
              <w:t>, x. https://doi.org/10.3390/xxxxx</w:t>
            </w:r>
          </w:p>
          <w:p w14:paraId="229D3460" w14:textId="77777777" w:rsidR="00902660" w:rsidRPr="00550626" w:rsidRDefault="00902660" w:rsidP="0031522D">
            <w:pPr>
              <w:pStyle w:val="MDPI14history"/>
              <w:spacing w:before="240"/>
              <w:rPr>
                <w:szCs w:val="14"/>
              </w:rPr>
            </w:pPr>
            <w:r w:rsidRPr="00550626">
              <w:rPr>
                <w:szCs w:val="14"/>
              </w:rPr>
              <w:t xml:space="preserve">Received: </w:t>
            </w:r>
            <w:r w:rsidRPr="00D945EC">
              <w:rPr>
                <w:szCs w:val="14"/>
              </w:rPr>
              <w:t>date</w:t>
            </w:r>
          </w:p>
          <w:p w14:paraId="03EF103C" w14:textId="77777777" w:rsidR="00902660" w:rsidRPr="00550626" w:rsidRDefault="00902660" w:rsidP="0031522D">
            <w:pPr>
              <w:pStyle w:val="MDPI14history"/>
              <w:rPr>
                <w:szCs w:val="14"/>
              </w:rPr>
            </w:pPr>
            <w:r w:rsidRPr="00550626">
              <w:rPr>
                <w:szCs w:val="14"/>
              </w:rPr>
              <w:t xml:space="preserve">Accepted: </w:t>
            </w:r>
            <w:r w:rsidRPr="00D945EC">
              <w:rPr>
                <w:szCs w:val="14"/>
              </w:rPr>
              <w:t>date</w:t>
            </w:r>
          </w:p>
          <w:p w14:paraId="054E7A9C" w14:textId="77777777" w:rsidR="00902660" w:rsidRPr="00550626" w:rsidRDefault="00902660" w:rsidP="0031522D">
            <w:pPr>
              <w:pStyle w:val="MDPI14history"/>
              <w:spacing w:after="240"/>
              <w:rPr>
                <w:szCs w:val="14"/>
              </w:rPr>
            </w:pPr>
            <w:r w:rsidRPr="00550626">
              <w:rPr>
                <w:szCs w:val="14"/>
              </w:rPr>
              <w:t xml:space="preserve">Published: </w:t>
            </w:r>
            <w:r w:rsidRPr="00D945EC">
              <w:rPr>
                <w:szCs w:val="14"/>
              </w:rPr>
              <w:t>date</w:t>
            </w:r>
          </w:p>
          <w:p w14:paraId="2EC2579D" w14:textId="77777777" w:rsidR="00902660" w:rsidRPr="00D15AC3" w:rsidRDefault="00902660" w:rsidP="0031522D">
            <w:pPr>
              <w:pStyle w:val="MDPI63Notes"/>
            </w:pPr>
            <w:r w:rsidRPr="00D15AC3">
              <w:rPr>
                <w:b/>
              </w:rPr>
              <w:t>Publisher’s Note:</w:t>
            </w:r>
            <w:r w:rsidRPr="00D15AC3">
              <w:t xml:space="preserve"> MDPI stays neutral with regard to jurisdictional claims in published maps and institutional affiliations.</w:t>
            </w:r>
          </w:p>
          <w:p w14:paraId="70A7EA90" w14:textId="73231C2D" w:rsidR="00902660" w:rsidRPr="00D15AC3" w:rsidRDefault="00902660" w:rsidP="0031522D">
            <w:pPr>
              <w:adjustRightInd w:val="0"/>
              <w:snapToGrid w:val="0"/>
              <w:spacing w:before="240" w:line="240" w:lineRule="atLeast"/>
              <w:ind w:right="113"/>
              <w:rPr>
                <w:rFonts w:eastAsia="DengXian"/>
                <w:bCs/>
                <w:sz w:val="14"/>
                <w:szCs w:val="14"/>
                <w:lang w:bidi="en-US"/>
              </w:rPr>
            </w:pPr>
            <w:r w:rsidRPr="00D15AC3">
              <w:rPr>
                <w:rFonts w:eastAsia="DengXian"/>
                <w:noProof/>
              </w:rPr>
              <w:drawing>
                <wp:inline distT="0" distB="0" distL="0" distR="0" wp14:anchorId="7E96B303" wp14:editId="7CBCD422">
                  <wp:extent cx="693420" cy="251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p>
          <w:p w14:paraId="74DE8FEB" w14:textId="77777777" w:rsidR="00902660" w:rsidRPr="00D15AC3" w:rsidRDefault="00902660" w:rsidP="0031522D">
            <w:pPr>
              <w:adjustRightInd w:val="0"/>
              <w:snapToGrid w:val="0"/>
              <w:spacing w:before="60" w:line="240" w:lineRule="atLeast"/>
              <w:ind w:right="113"/>
              <w:rPr>
                <w:rFonts w:eastAsia="DengXian"/>
                <w:bCs/>
                <w:sz w:val="14"/>
                <w:szCs w:val="14"/>
                <w:lang w:bidi="en-US"/>
              </w:rPr>
            </w:pPr>
            <w:r w:rsidRPr="00D15AC3">
              <w:rPr>
                <w:rFonts w:eastAsia="DengXian"/>
                <w:b/>
                <w:bCs/>
                <w:sz w:val="14"/>
                <w:szCs w:val="14"/>
                <w:lang w:bidi="en-US"/>
              </w:rPr>
              <w:t>Copyright:</w:t>
            </w:r>
            <w:r w:rsidRPr="00D15AC3">
              <w:rPr>
                <w:rFonts w:eastAsia="DengXian"/>
                <w:bCs/>
                <w:sz w:val="14"/>
                <w:szCs w:val="14"/>
                <w:lang w:bidi="en-US"/>
              </w:rPr>
              <w:t xml:space="preserve"> © 2020 </w:t>
            </w:r>
            <w:r>
              <w:rPr>
                <w:rFonts w:eastAsia="DengXian"/>
                <w:bCs/>
                <w:sz w:val="14"/>
                <w:szCs w:val="14"/>
                <w:lang w:bidi="en-US"/>
              </w:rPr>
              <w:t xml:space="preserve">by the authors. Submitted for possible open access publication under the terms and conditions of the Creative Commons </w:t>
            </w:r>
            <w:r w:rsidRPr="00D15AC3">
              <w:rPr>
                <w:rFonts w:eastAsia="DengXian"/>
                <w:bCs/>
                <w:sz w:val="14"/>
                <w:szCs w:val="14"/>
                <w:lang w:bidi="en-US"/>
              </w:rPr>
              <w:t>Attribution (CC BY) license (http://creativecommons.org/licenses/by/4.0/).</w:t>
            </w:r>
          </w:p>
        </w:tc>
      </w:tr>
    </w:tbl>
    <w:p w14:paraId="195B4DEA" w14:textId="77777777" w:rsidR="00F709B0" w:rsidRPr="000817CB" w:rsidRDefault="00F709B0" w:rsidP="00FF4921">
      <w:pPr>
        <w:pStyle w:val="MDPI17abstract"/>
        <w:rPr>
          <w:b/>
          <w:bCs/>
        </w:rPr>
      </w:pPr>
      <w:r w:rsidRPr="000817CB">
        <w:rPr>
          <w:b/>
          <w:bCs/>
        </w:rPr>
        <w:t>Abstract</w:t>
      </w:r>
      <w:r w:rsidR="00FF4921" w:rsidRPr="000817CB">
        <w:rPr>
          <w:rFonts w:ascii="SimSun" w:eastAsia="SimSun" w:hAnsi="SimSun" w:cs="SimSun" w:hint="eastAsia"/>
          <w:b/>
          <w:bCs/>
          <w:lang w:eastAsia="zh-CN"/>
        </w:rPr>
        <w:t>:</w:t>
      </w:r>
      <w:r w:rsidR="00FF4921" w:rsidRPr="000817CB">
        <w:rPr>
          <w:rFonts w:ascii="SimSun" w:eastAsia="SimSun" w:hAnsi="SimSun" w:cs="SimSun"/>
          <w:b/>
          <w:bCs/>
          <w:lang w:eastAsia="zh-CN"/>
        </w:rPr>
        <w:t xml:space="preserve"> </w:t>
      </w:r>
      <w:proofErr w:type="spellStart"/>
      <w:r w:rsidRPr="000817CB">
        <w:t>Eicosapentaenoic</w:t>
      </w:r>
      <w:proofErr w:type="spellEnd"/>
      <w:r w:rsidRPr="000817CB">
        <w:t xml:space="preserve"> acid (20:5n-3) and docosahexaenoic acid (22:6n-3) are important for leukocyte function.  This study investigated whether consuming transgenic </w:t>
      </w:r>
      <w:r w:rsidRPr="000817CB">
        <w:rPr>
          <w:i/>
          <w:iCs/>
        </w:rPr>
        <w:t>Camelina sativa</w:t>
      </w:r>
      <w:r w:rsidRPr="000817CB">
        <w:t xml:space="preserve"> (</w:t>
      </w:r>
      <w:proofErr w:type="spellStart"/>
      <w:r w:rsidRPr="000817CB">
        <w:t>t</w:t>
      </w:r>
      <w:r w:rsidRPr="000817CB">
        <w:rPr>
          <w:i/>
        </w:rPr>
        <w:t>CS</w:t>
      </w:r>
      <w:r w:rsidRPr="000817CB">
        <w:t>O</w:t>
      </w:r>
      <w:proofErr w:type="spellEnd"/>
      <w:r w:rsidRPr="000817CB">
        <w:t xml:space="preserve">) seed oil containing both 20:5n-3 and 22:6n-3 is as effective as fish oil (FO) for increasing the 20:5n-3 and 22:6n-3 content of leukocytes and altering mitogen-induced changes to the T cell transcriptome.  Healthy adults (n = 31) consumed 450mg/day 20:5n-3 plus 22:6n-3 from either FO or </w:t>
      </w:r>
      <w:proofErr w:type="spellStart"/>
      <w:r w:rsidRPr="000817CB">
        <w:t>t</w:t>
      </w:r>
      <w:r w:rsidRPr="000817CB">
        <w:rPr>
          <w:i/>
          <w:iCs/>
        </w:rPr>
        <w:t>CS</w:t>
      </w:r>
      <w:r w:rsidRPr="000817CB">
        <w:t>O</w:t>
      </w:r>
      <w:proofErr w:type="spellEnd"/>
      <w:r w:rsidRPr="000817CB">
        <w:t xml:space="preserve"> for 8 weeks.  Blood was collected before and after the intervention.  20:5n-3 and 22:6n-3 incorporation from </w:t>
      </w:r>
      <w:proofErr w:type="spellStart"/>
      <w:r w:rsidRPr="000817CB">
        <w:t>t</w:t>
      </w:r>
      <w:r w:rsidRPr="000817CB">
        <w:rPr>
          <w:i/>
        </w:rPr>
        <w:t>CS</w:t>
      </w:r>
      <w:r w:rsidRPr="000817CB">
        <w:t>O</w:t>
      </w:r>
      <w:proofErr w:type="spellEnd"/>
      <w:r w:rsidRPr="000817CB">
        <w:t xml:space="preserve"> into leukocyte total lipids was comparable to FO.  The relative expression of the transcriptomes of mitogen-stimulated versus unstimulated T lymphocytes in a subgroup of 16 women  / test oil showed 4,390 transcripts were differentially expressed at Baseline (59% up-regulated), 4,769 (57% up-regulated) after FO and 3,443 (38% up-regulated) after </w:t>
      </w:r>
      <w:proofErr w:type="spellStart"/>
      <w:r w:rsidRPr="000817CB">
        <w:t>t</w:t>
      </w:r>
      <w:r w:rsidRPr="000817CB">
        <w:rPr>
          <w:i/>
          <w:iCs/>
        </w:rPr>
        <w:t>CS</w:t>
      </w:r>
      <w:r w:rsidRPr="000817CB">
        <w:t>O</w:t>
      </w:r>
      <w:proofErr w:type="spellEnd"/>
      <w:r w:rsidRPr="000817CB">
        <w:t xml:space="preserve"> supplementation.  The 20 most altered transcripts after supplementation differed between test oils.  The most altered pathways were associated with cell proliferation and immune function.  In conclusion,  20:5n-3 and 22:6n-3 incorporation into T cells from </w:t>
      </w:r>
      <w:proofErr w:type="spellStart"/>
      <w:r w:rsidRPr="000817CB">
        <w:t>t</w:t>
      </w:r>
      <w:r w:rsidRPr="000817CB">
        <w:rPr>
          <w:i/>
          <w:iCs/>
        </w:rPr>
        <w:t>CS</w:t>
      </w:r>
      <w:r w:rsidRPr="000817CB">
        <w:t>O</w:t>
      </w:r>
      <w:proofErr w:type="spellEnd"/>
      <w:r w:rsidRPr="000817CB">
        <w:t xml:space="preserve"> was comparable to FO and can modify mitogen-induced changes in the T cell transcriptome contingent on the lipid matrix of the oil.   </w:t>
      </w:r>
    </w:p>
    <w:p w14:paraId="5EC8C1D4" w14:textId="77777777" w:rsidR="00FF4921" w:rsidRPr="000817CB" w:rsidRDefault="00FF4921" w:rsidP="00FF4921">
      <w:pPr>
        <w:pStyle w:val="MDPI18keywords"/>
      </w:pPr>
      <w:r w:rsidRPr="000817CB">
        <w:rPr>
          <w:b/>
          <w:bCs/>
        </w:rPr>
        <w:t>Keywords:</w:t>
      </w:r>
      <w:r w:rsidR="00F709B0" w:rsidRPr="000817CB">
        <w:rPr>
          <w:b/>
        </w:rPr>
        <w:t xml:space="preserve"> </w:t>
      </w:r>
      <w:r w:rsidR="00F709B0" w:rsidRPr="000817CB">
        <w:t xml:space="preserve"> Omega-3</w:t>
      </w:r>
      <w:r w:rsidRPr="000817CB">
        <w:t xml:space="preserve">; </w:t>
      </w:r>
      <w:r w:rsidR="00F709B0" w:rsidRPr="000817CB">
        <w:t>RNAseq</w:t>
      </w:r>
      <w:r w:rsidRPr="000817CB">
        <w:t xml:space="preserve">; </w:t>
      </w:r>
      <w:r w:rsidR="00F709B0" w:rsidRPr="000817CB">
        <w:t>T lymphocyte</w:t>
      </w:r>
      <w:r w:rsidRPr="000817CB">
        <w:t xml:space="preserve">; </w:t>
      </w:r>
      <w:r w:rsidR="00F709B0" w:rsidRPr="000817CB">
        <w:t>transgenic plant</w:t>
      </w:r>
      <w:r w:rsidRPr="000817CB">
        <w:t xml:space="preserve">; </w:t>
      </w:r>
      <w:r w:rsidR="00F709B0" w:rsidRPr="000817CB">
        <w:t>fish oil</w:t>
      </w:r>
      <w:r w:rsidRPr="000817CB">
        <w:t xml:space="preserve">; </w:t>
      </w:r>
      <w:proofErr w:type="spellStart"/>
      <w:r w:rsidR="00F709B0" w:rsidRPr="000817CB">
        <w:t>eicosapentaenoic</w:t>
      </w:r>
      <w:proofErr w:type="spellEnd"/>
      <w:r w:rsidR="00F709B0" w:rsidRPr="000817CB">
        <w:t xml:space="preserve"> acid</w:t>
      </w:r>
      <w:r w:rsidRPr="000817CB">
        <w:t xml:space="preserve">; </w:t>
      </w:r>
      <w:r w:rsidR="00F709B0" w:rsidRPr="000817CB">
        <w:t xml:space="preserve">docosahexaenoic acid </w:t>
      </w:r>
    </w:p>
    <w:p w14:paraId="56C0C837" w14:textId="77777777" w:rsidR="00F709B0" w:rsidRPr="000817CB" w:rsidRDefault="00FF4921" w:rsidP="00FF4921">
      <w:pPr>
        <w:pStyle w:val="MDPI21heading1"/>
      </w:pPr>
      <w:r w:rsidRPr="000817CB">
        <w:t xml:space="preserve">1. </w:t>
      </w:r>
      <w:r w:rsidR="00F709B0" w:rsidRPr="000817CB">
        <w:t>Introduction</w:t>
      </w:r>
    </w:p>
    <w:p w14:paraId="3CCDDCE4" w14:textId="77777777" w:rsidR="00F709B0" w:rsidRPr="000817CB" w:rsidRDefault="00F709B0" w:rsidP="00FF4921">
      <w:pPr>
        <w:pStyle w:val="MDPI31text"/>
      </w:pPr>
      <w:r w:rsidRPr="000817CB">
        <w:t>The omega-3 polyunsaturated fatty acids (PUFA) eicosapentaenoic acid (20:5n-3 and docosahexaenoic acid (22:6n-3) are important components of cell membranes that are required for normal tissue function and development.  The proportions of these PUFA in the lipid bilayer can influence cell function by conferring fluidity on the lipid bilayer and so influence the activities of integral membrane proteins.  For example, reducing the amount of 22:6n-3 in retinal cell membranes can impair rhodopsin activation</w:t>
      </w:r>
      <w:r w:rsidRPr="000817CB">
        <w:rPr>
          <w:noProof/>
        </w:rPr>
        <w:t xml:space="preserve"> [1]</w:t>
      </w:r>
      <w:r w:rsidRPr="000817CB">
        <w:t xml:space="preserve"> and visual function</w:t>
      </w:r>
      <w:r w:rsidRPr="000817CB">
        <w:rPr>
          <w:noProof/>
        </w:rPr>
        <w:t xml:space="preserve"> [2]</w:t>
      </w:r>
      <w:r w:rsidRPr="000817CB">
        <w:t>.  20:5n-3 and 22:6n-3 can also modulate gene transcription via the activities of ligand-activated transcription factors</w:t>
      </w:r>
      <w:r w:rsidRPr="000817CB">
        <w:rPr>
          <w:noProof/>
        </w:rPr>
        <w:t xml:space="preserve"> [3]</w:t>
      </w:r>
      <w:r w:rsidRPr="000817CB">
        <w:t xml:space="preserve">, namely peroxisome proliferator-activated receptors, and by inducing changes in the epigenome </w:t>
      </w:r>
      <w:r w:rsidRPr="000817CB">
        <w:rPr>
          <w:noProof/>
        </w:rPr>
        <w:t>[4]</w:t>
      </w:r>
      <w:r w:rsidRPr="000817CB">
        <w:t>.</w:t>
      </w:r>
    </w:p>
    <w:p w14:paraId="409FFAC8" w14:textId="0110C5B7" w:rsidR="00F709B0" w:rsidRPr="000817CB" w:rsidRDefault="00F709B0" w:rsidP="00FF4921">
      <w:pPr>
        <w:pStyle w:val="MDPI31text"/>
      </w:pPr>
      <w:r w:rsidRPr="000817CB">
        <w:tab/>
        <w:t>Oily fish are the primary dietary source of 20:5n-3 and 22:6n-3, although meat and dairy foods may also contribute to the total intake of these PUFA</w:t>
      </w:r>
      <w:r w:rsidRPr="000817CB">
        <w:rPr>
          <w:noProof/>
        </w:rPr>
        <w:t xml:space="preserve"> [5]</w:t>
      </w:r>
      <w:r w:rsidRPr="000817CB">
        <w:t>.   Dietary supplementation with fish oil (FO) can modify the immune response</w:t>
      </w:r>
      <w:r w:rsidRPr="000817CB">
        <w:rPr>
          <w:noProof/>
        </w:rPr>
        <w:t xml:space="preserve"> [6]</w:t>
      </w:r>
      <w:r w:rsidRPr="000817CB">
        <w:t xml:space="preserve">.  20:5n-3 and 22:6n-3 are </w:t>
      </w:r>
      <w:r w:rsidRPr="000817CB">
        <w:lastRenderedPageBreak/>
        <w:t>incorporated into peripheral blood mononuclear cells (PBMCs) in a dose dependent manner</w:t>
      </w:r>
      <w:r w:rsidRPr="000817CB">
        <w:rPr>
          <w:noProof/>
        </w:rPr>
        <w:t xml:space="preserve"> [7]</w:t>
      </w:r>
      <w:r w:rsidRPr="000817CB">
        <w:t xml:space="preserve"> and can reach an equilibrium after 4 weeks dietary supplementation, although immunomodulatory effects were observed within one week of starting the intervention</w:t>
      </w:r>
      <w:r w:rsidRPr="000817CB">
        <w:rPr>
          <w:noProof/>
        </w:rPr>
        <w:t xml:space="preserve"> [8]</w:t>
      </w:r>
      <w:r w:rsidRPr="000817CB">
        <w:t>.   Dietary supplementation with FO can induce a modest reduction in the symptoms of inflammatory disease</w:t>
      </w:r>
      <w:r w:rsidR="009442EB">
        <w:t>s</w:t>
      </w:r>
      <w:r w:rsidRPr="000817CB">
        <w:t xml:space="preserve"> such as rheumatoid arthritis</w:t>
      </w:r>
      <w:r w:rsidRPr="000817CB">
        <w:rPr>
          <w:noProof/>
        </w:rPr>
        <w:t xml:space="preserve"> [9]</w:t>
      </w:r>
      <w:r w:rsidRPr="000817CB">
        <w:t>.   Such anti-inflammatory effects involve partial displacement of 20:4n-6 by 20:5n-3 from cell membranes and increased synthesis of less biologically active eicosanoids derived from 20:5n-3, namely 3-series prostaglandins (PG)  and 5-series leukotrienes</w:t>
      </w:r>
      <w:r w:rsidRPr="000817CB">
        <w:rPr>
          <w:noProof/>
        </w:rPr>
        <w:t xml:space="preserve"> [10-12]</w:t>
      </w:r>
      <w:r w:rsidRPr="000817CB">
        <w:t>, reduction in the production of more pro-inflammatory PGE</w:t>
      </w:r>
      <w:r w:rsidRPr="000817CB">
        <w:rPr>
          <w:vertAlign w:val="subscript"/>
        </w:rPr>
        <w:t>2</w:t>
      </w:r>
      <w:r w:rsidRPr="000817CB">
        <w:t xml:space="preserve"> and 4-series leukotrienes from mononuclear cells</w:t>
      </w:r>
      <w:r w:rsidRPr="000817CB">
        <w:rPr>
          <w:noProof/>
        </w:rPr>
        <w:t xml:space="preserve"> [13-15]</w:t>
      </w:r>
      <w:r w:rsidRPr="000817CB">
        <w:t xml:space="preserve"> and decreased secretion of leukotriene B</w:t>
      </w:r>
      <w:r w:rsidRPr="000817CB">
        <w:rPr>
          <w:vertAlign w:val="subscript"/>
        </w:rPr>
        <w:t>4</w:t>
      </w:r>
      <w:r w:rsidRPr="000817CB">
        <w:t xml:space="preserve"> by neutrophils and monocytes</w:t>
      </w:r>
      <w:r w:rsidRPr="000817CB">
        <w:rPr>
          <w:noProof/>
        </w:rPr>
        <w:t xml:space="preserve"> [16-19]</w:t>
      </w:r>
      <w:r w:rsidRPr="000817CB">
        <w:t xml:space="preserve">.   In addition,  amelioration of an inflammatory response by 20:5n-3 and 22:6n-3 may involve increased synthesis anti-inflammatory and inflammation resolving mediators, namely </w:t>
      </w:r>
      <w:r w:rsidRPr="000817CB">
        <w:rPr>
          <w:bCs/>
        </w:rPr>
        <w:t>resolvins</w:t>
      </w:r>
      <w:r w:rsidRPr="000817CB">
        <w:t xml:space="preserve">, </w:t>
      </w:r>
      <w:r w:rsidRPr="000817CB">
        <w:rPr>
          <w:bCs/>
        </w:rPr>
        <w:t>protectins</w:t>
      </w:r>
      <w:r w:rsidRPr="000817CB">
        <w:t xml:space="preserve"> and maresins</w:t>
      </w:r>
      <w:r w:rsidRPr="000817CB">
        <w:rPr>
          <w:noProof/>
        </w:rPr>
        <w:t xml:space="preserve"> [20]</w:t>
      </w:r>
      <w:r w:rsidRPr="000817CB">
        <w:t xml:space="preserve">.  </w:t>
      </w:r>
    </w:p>
    <w:p w14:paraId="5464B055" w14:textId="74B11D6D" w:rsidR="00F709B0" w:rsidRPr="000817CB" w:rsidRDefault="00F709B0" w:rsidP="00FF4921">
      <w:pPr>
        <w:pStyle w:val="MDPI31text"/>
      </w:pPr>
      <w:r w:rsidRPr="000817CB">
        <w:tab/>
        <w:t>General consumption of 20:5n-3 and 22:6n-3 in UK adults is 50% of the 450mg (20:5n-3 plus 22:6n-3) per day recommended by the UK Government</w:t>
      </w:r>
      <w:r w:rsidRPr="000817CB">
        <w:rPr>
          <w:noProof/>
        </w:rPr>
        <w:t xml:space="preserve"> [5,21,22]</w:t>
      </w:r>
      <w:r w:rsidRPr="000817CB">
        <w:t xml:space="preserve">.  Failure to achieve recommended intakes reflects food choices that exclude oily fish on the grounds of cost or unpalatability or personal preference, and concerns about contamination with environmental pollutants and sustainability of marine sources </w:t>
      </w:r>
      <w:r w:rsidRPr="000817CB">
        <w:rPr>
          <w:noProof/>
        </w:rPr>
        <w:t>[5,21]</w:t>
      </w:r>
      <w:r w:rsidRPr="000817CB">
        <w:t>.  20:5n-3 and 22:6n-3 intakes by individuals who exclude all animal-derived foods may be close to zero</w:t>
      </w:r>
      <w:r w:rsidRPr="000817CB">
        <w:rPr>
          <w:noProof/>
        </w:rPr>
        <w:t xml:space="preserve"> [23]</w:t>
      </w:r>
      <w:r w:rsidRPr="000817CB">
        <w:t xml:space="preserve">.  Fish oil (FO) is a supplemental source of 20:5n-3 and 22:6n-3.  A transgenic strain of </w:t>
      </w:r>
      <w:r w:rsidRPr="000817CB">
        <w:rPr>
          <w:i/>
        </w:rPr>
        <w:t>Camelina sativa</w:t>
      </w:r>
      <w:r w:rsidRPr="000817CB">
        <w:t xml:space="preserve"> has been developed that produces a seed oil (</w:t>
      </w:r>
      <w:proofErr w:type="spellStart"/>
      <w:r w:rsidRPr="000817CB">
        <w:t>tCSO</w:t>
      </w:r>
      <w:proofErr w:type="spellEnd"/>
      <w:r w:rsidRPr="000817CB">
        <w:t xml:space="preserve"> ) containing similar amounts of both 20:5n-5 and 22:6n-3 as found in FO </w:t>
      </w:r>
      <w:r w:rsidRPr="000817CB">
        <w:rPr>
          <w:noProof/>
        </w:rPr>
        <w:t xml:space="preserve"> [24]</w:t>
      </w:r>
      <w:r w:rsidRPr="000817CB">
        <w:t xml:space="preserve"> and is as effective as FO as a source of these fatty acids in the human diet</w:t>
      </w:r>
      <w:r w:rsidRPr="000817CB">
        <w:rPr>
          <w:noProof/>
        </w:rPr>
        <w:t xml:space="preserve"> [25,26]</w:t>
      </w:r>
      <w:r w:rsidRPr="000817CB">
        <w:t>.  However, it is not known whether this seed oil can induce changes in leukocytes that are comparable to those associated with increased consumption of FO or oily fish.</w:t>
      </w:r>
    </w:p>
    <w:p w14:paraId="35CD9960" w14:textId="77777777" w:rsidR="00F709B0" w:rsidRPr="000817CB" w:rsidRDefault="00F709B0" w:rsidP="00FF4921">
      <w:pPr>
        <w:pStyle w:val="MDPI31text"/>
      </w:pPr>
      <w:r w:rsidRPr="000817CB">
        <w:tab/>
        <w:t xml:space="preserve">To address this, we compared the effect of dietary supplementation with </w:t>
      </w:r>
      <w:proofErr w:type="spellStart"/>
      <w:r w:rsidRPr="000817CB">
        <w:t>t</w:t>
      </w:r>
      <w:r w:rsidRPr="000817CB">
        <w:rPr>
          <w:i/>
        </w:rPr>
        <w:t>CS</w:t>
      </w:r>
      <w:r w:rsidRPr="000817CB">
        <w:rPr>
          <w:iCs/>
        </w:rPr>
        <w:t>O</w:t>
      </w:r>
      <w:proofErr w:type="spellEnd"/>
      <w:r w:rsidRPr="000817CB">
        <w:rPr>
          <w:i/>
        </w:rPr>
        <w:t xml:space="preserve"> </w:t>
      </w:r>
      <w:r w:rsidRPr="000817CB">
        <w:t xml:space="preserve">or FO on the incorporation of 20:5n-3 and 22:6n-3 into PBMCs and on mitogen-induced changes in the T cell transcriptome.        </w:t>
      </w:r>
    </w:p>
    <w:p w14:paraId="2B81D251" w14:textId="77777777" w:rsidR="00F709B0" w:rsidRPr="000817CB" w:rsidRDefault="00FF4921" w:rsidP="00FF4921">
      <w:pPr>
        <w:pStyle w:val="MDPI21heading1"/>
      </w:pPr>
      <w:r w:rsidRPr="000817CB">
        <w:t xml:space="preserve">2. </w:t>
      </w:r>
      <w:r w:rsidR="00F709B0" w:rsidRPr="000817CB">
        <w:t>Methods</w:t>
      </w:r>
    </w:p>
    <w:p w14:paraId="2E6E2A1E" w14:textId="77777777" w:rsidR="00F709B0" w:rsidRPr="000817CB" w:rsidRDefault="00FF4921" w:rsidP="00FF4921">
      <w:pPr>
        <w:pStyle w:val="MDPI22heading2"/>
      </w:pPr>
      <w:r w:rsidRPr="000817CB">
        <w:t xml:space="preserve">2.1. </w:t>
      </w:r>
      <w:r w:rsidR="00F709B0" w:rsidRPr="000817CB">
        <w:t>Preparation of seed oil from transgenic C. sativa</w:t>
      </w:r>
    </w:p>
    <w:p w14:paraId="53529FAF" w14:textId="77777777" w:rsidR="00F709B0" w:rsidRPr="000817CB" w:rsidRDefault="00F709B0" w:rsidP="00FF4921">
      <w:pPr>
        <w:pStyle w:val="MDPI31text"/>
      </w:pPr>
      <w:proofErr w:type="spellStart"/>
      <w:r w:rsidRPr="000817CB">
        <w:t>t</w:t>
      </w:r>
      <w:r w:rsidRPr="000817CB">
        <w:rPr>
          <w:i/>
          <w:iCs/>
        </w:rPr>
        <w:t>CS</w:t>
      </w:r>
      <w:r w:rsidRPr="000817CB">
        <w:t>O</w:t>
      </w:r>
      <w:proofErr w:type="spellEnd"/>
      <w:r w:rsidRPr="000817CB">
        <w:t xml:space="preserve"> was prepared as described</w:t>
      </w:r>
      <w:r w:rsidRPr="000817CB">
        <w:rPr>
          <w:noProof/>
        </w:rPr>
        <w:t xml:space="preserve"> [25]</w:t>
      </w:r>
      <w:r w:rsidRPr="000817CB">
        <w:t xml:space="preserve">.  Briefly, homozygous T3 generation transgenic </w:t>
      </w:r>
      <w:r w:rsidRPr="000817CB">
        <w:rPr>
          <w:i/>
        </w:rPr>
        <w:t>C. sativa</w:t>
      </w:r>
      <w:r w:rsidRPr="000817CB">
        <w:t xml:space="preserve"> plants producing a seed oil containing 20:5n-3 and 22:6n-3</w:t>
      </w:r>
      <w:r w:rsidRPr="000817CB">
        <w:rPr>
          <w:noProof/>
        </w:rPr>
        <w:t xml:space="preserve"> [24]</w:t>
      </w:r>
      <w:r w:rsidRPr="000817CB">
        <w:t xml:space="preserve"> were grown in a biological containment glasshouse with 16 h light – 8 h dark cycles (illumination of 400 </w:t>
      </w:r>
      <w:proofErr w:type="spellStart"/>
      <w:r w:rsidRPr="000817CB">
        <w:t>μmol</w:t>
      </w:r>
      <w:proofErr w:type="spellEnd"/>
      <w:r w:rsidRPr="000817CB">
        <w:t>/m</w:t>
      </w:r>
      <w:r w:rsidRPr="000817CB">
        <w:rPr>
          <w:vertAlign w:val="superscript"/>
        </w:rPr>
        <w:t>2</w:t>
      </w:r>
      <w:r w:rsidRPr="000817CB">
        <w:t xml:space="preserve"> per second) and 23°C (day) to 18°C (night) cycles at 50–60 % relative humidity</w:t>
      </w:r>
      <w:r w:rsidRPr="000817CB">
        <w:rPr>
          <w:noProof/>
        </w:rPr>
        <w:t xml:space="preserve"> [25]</w:t>
      </w:r>
      <w:r w:rsidRPr="000817CB">
        <w:t>.  Seeds were harvested and threshed, and the oil was then extracted and processed for human consumption by POS Bio-Sciences</w:t>
      </w:r>
      <w:r w:rsidRPr="000817CB">
        <w:rPr>
          <w:noProof/>
        </w:rPr>
        <w:t xml:space="preserve"> [25]</w:t>
      </w:r>
      <w:r w:rsidRPr="000817CB">
        <w:t>.</w:t>
      </w:r>
    </w:p>
    <w:p w14:paraId="23C4CDCC" w14:textId="77777777" w:rsidR="00F709B0" w:rsidRPr="000817CB" w:rsidRDefault="00FF4921" w:rsidP="00FF4921">
      <w:pPr>
        <w:pStyle w:val="MDPI22heading2"/>
        <w:spacing w:before="240"/>
      </w:pPr>
      <w:r w:rsidRPr="000817CB">
        <w:t xml:space="preserve">2.2. </w:t>
      </w:r>
      <w:r w:rsidR="00F709B0" w:rsidRPr="000817CB">
        <w:t xml:space="preserve">Dietary supplementation </w:t>
      </w:r>
    </w:p>
    <w:p w14:paraId="5017E10D" w14:textId="5351D726" w:rsidR="00511D9B" w:rsidRPr="000817CB" w:rsidRDefault="00F709B0" w:rsidP="00FF4921">
      <w:pPr>
        <w:pStyle w:val="MDPI31text"/>
      </w:pPr>
      <w:r w:rsidRPr="000817CB">
        <w:t>The details of the dietary supplementation study have been reported previously</w:t>
      </w:r>
      <w:r w:rsidRPr="000817CB">
        <w:rPr>
          <w:noProof/>
        </w:rPr>
        <w:t xml:space="preserve"> [25]</w:t>
      </w:r>
      <w:r w:rsidRPr="000817CB">
        <w:t xml:space="preserve">.  Briefly, </w:t>
      </w:r>
      <w:r w:rsidR="009442EB">
        <w:t>t</w:t>
      </w:r>
      <w:r w:rsidRPr="000817CB">
        <w:t>hirty-one healthy men and women who enrolled in the study were between 18 and 75 years of age, with BMI between 18·5 and 30·0 kg/m</w:t>
      </w:r>
      <w:r w:rsidRPr="000817CB">
        <w:rPr>
          <w:vertAlign w:val="superscript"/>
        </w:rPr>
        <w:t>2</w:t>
      </w:r>
      <w:r w:rsidRPr="000817CB">
        <w:t>, were normotensive and had non-fasting total cholesterol and glucose concentrations within normal ranges (Table 1).  Volunteers who did not meet these criteria or habitually consumed any dietary oil supplements or more than one oily fish meal per week, were unable to provide written informed consent, were pregnant or intending to become pregnant, were receiving treatment for clinician diagnosed chronic illness or had any food allergy were excluded.  Because acute incorporation of 20:5n-3 and 22:6n-3 into blood lipids did not differ between sexes</w:t>
      </w:r>
      <w:r w:rsidRPr="000817CB">
        <w:rPr>
          <w:noProof/>
        </w:rPr>
        <w:t xml:space="preserve"> [25]</w:t>
      </w:r>
      <w:r w:rsidRPr="000817CB">
        <w:t>, the participants were studied as a single group of mixed ages and sexes (Table 1).  In order to match the groups assigned to each test oil, a subgroup of sixteen women</w:t>
      </w:r>
      <w:r w:rsidR="00DF2138">
        <w:t xml:space="preserve"> </w:t>
      </w:r>
      <w:r w:rsidR="00746D2E">
        <w:t xml:space="preserve">from which the </w:t>
      </w:r>
      <w:r w:rsidR="00DF2138">
        <w:t xml:space="preserve">highest </w:t>
      </w:r>
      <w:r w:rsidR="00746D2E">
        <w:t xml:space="preserve">T cell </w:t>
      </w:r>
      <w:r w:rsidR="00DF2138">
        <w:t xml:space="preserve">RNA </w:t>
      </w:r>
      <w:r w:rsidR="00746D2E">
        <w:t xml:space="preserve">was produced </w:t>
      </w:r>
      <w:r w:rsidR="00DF2138">
        <w:t xml:space="preserve">were selected </w:t>
      </w:r>
      <w:r w:rsidRPr="000817CB">
        <w:t xml:space="preserve">for RNAseq analysis (Table 1). </w:t>
      </w:r>
      <w:r w:rsidR="00DF2138">
        <w:t xml:space="preserve"> Samples collected from men were not included in these analyses because of insufficient numbers of male participants to match the groups.</w:t>
      </w:r>
      <w:r w:rsidRPr="000817CB">
        <w:t xml:space="preserve">    </w:t>
      </w:r>
    </w:p>
    <w:p w14:paraId="3F2196AD" w14:textId="77777777" w:rsidR="00511D9B" w:rsidRPr="000817CB" w:rsidRDefault="00511D9B" w:rsidP="00511D9B">
      <w:pPr>
        <w:rPr>
          <w:rFonts w:ascii="Palatino Linotype" w:hAnsi="Palatino Linotype"/>
          <w:snapToGrid w:val="0"/>
          <w:color w:val="000000"/>
          <w:sz w:val="20"/>
          <w:szCs w:val="22"/>
          <w:lang w:val="en-US" w:eastAsia="de-DE" w:bidi="en-US"/>
        </w:rPr>
      </w:pPr>
      <w:r w:rsidRPr="000817CB">
        <w:lastRenderedPageBreak/>
        <w:br w:type="page"/>
      </w:r>
    </w:p>
    <w:p w14:paraId="069E345B" w14:textId="77777777" w:rsidR="00511D9B" w:rsidRPr="000817CB" w:rsidRDefault="00511D9B" w:rsidP="00511D9B">
      <w:pPr>
        <w:pStyle w:val="MDPI41tablecaption"/>
        <w:ind w:left="425" w:right="425"/>
        <w:jc w:val="both"/>
      </w:pPr>
      <w:r w:rsidRPr="000817CB">
        <w:rPr>
          <w:b/>
          <w:bCs/>
        </w:rPr>
        <w:lastRenderedPageBreak/>
        <w:t xml:space="preserve">Table 1. </w:t>
      </w:r>
      <w:r w:rsidRPr="000817CB">
        <w:t xml:space="preserve">Characteristics of participants.  Values are mean ± SEM.  There were no significant differences by Student’s unpaired t test between males and females, and all females and the RNAseq subgroup at Baseline.  *All participants in the RNAseq subgroup were female.  ‡Comparison between the FO and </w:t>
      </w:r>
      <w:proofErr w:type="spellStart"/>
      <w:r w:rsidRPr="000817CB">
        <w:t>t</w:t>
      </w:r>
      <w:r w:rsidRPr="000817CB">
        <w:rPr>
          <w:i/>
        </w:rPr>
        <w:t>CS</w:t>
      </w:r>
      <w:r w:rsidRPr="000817CB">
        <w:t>O</w:t>
      </w:r>
      <w:proofErr w:type="spellEnd"/>
      <w:r w:rsidRPr="000817CB">
        <w:t xml:space="preserve"> </w:t>
      </w:r>
      <w:proofErr w:type="spellStart"/>
      <w:r w:rsidRPr="000817CB">
        <w:t>RNAseq</w:t>
      </w:r>
      <w:proofErr w:type="spellEnd"/>
      <w:r w:rsidRPr="000817CB">
        <w:t xml:space="preserve"> subgroups by Student’s unpaired t test.</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09"/>
        <w:gridCol w:w="1308"/>
        <w:gridCol w:w="1308"/>
        <w:gridCol w:w="1308"/>
        <w:gridCol w:w="1308"/>
        <w:gridCol w:w="1308"/>
        <w:gridCol w:w="1308"/>
        <w:gridCol w:w="1308"/>
      </w:tblGrid>
      <w:tr w:rsidR="00511D9B" w:rsidRPr="000817CB" w14:paraId="0C276C0B" w14:textId="77777777" w:rsidTr="00511D9B">
        <w:trPr>
          <w:jc w:val="center"/>
        </w:trPr>
        <w:tc>
          <w:tcPr>
            <w:tcW w:w="0" w:type="dxa"/>
            <w:tcBorders>
              <w:top w:val="single" w:sz="8" w:space="0" w:color="auto"/>
              <w:bottom w:val="single" w:sz="4" w:space="0" w:color="auto"/>
            </w:tcBorders>
            <w:shd w:val="clear" w:color="auto" w:fill="auto"/>
            <w:vAlign w:val="center"/>
          </w:tcPr>
          <w:p w14:paraId="7E4B41CD"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0" w:type="dxa"/>
            <w:tcBorders>
              <w:top w:val="single" w:sz="8" w:space="0" w:color="auto"/>
              <w:bottom w:val="single" w:sz="4" w:space="0" w:color="auto"/>
            </w:tcBorders>
            <w:shd w:val="clear" w:color="auto" w:fill="auto"/>
            <w:vAlign w:val="center"/>
          </w:tcPr>
          <w:p w14:paraId="28283EE6"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Whole group</w:t>
            </w:r>
          </w:p>
        </w:tc>
        <w:tc>
          <w:tcPr>
            <w:tcW w:w="0" w:type="dxa"/>
            <w:tcBorders>
              <w:top w:val="single" w:sz="8" w:space="0" w:color="auto"/>
              <w:bottom w:val="single" w:sz="4" w:space="0" w:color="auto"/>
            </w:tcBorders>
            <w:shd w:val="clear" w:color="auto" w:fill="auto"/>
            <w:vAlign w:val="center"/>
          </w:tcPr>
          <w:p w14:paraId="2B01C6E9"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Males</w:t>
            </w:r>
          </w:p>
        </w:tc>
        <w:tc>
          <w:tcPr>
            <w:tcW w:w="0" w:type="dxa"/>
            <w:tcBorders>
              <w:top w:val="single" w:sz="8" w:space="0" w:color="auto"/>
              <w:bottom w:val="single" w:sz="4" w:space="0" w:color="auto"/>
            </w:tcBorders>
            <w:shd w:val="clear" w:color="auto" w:fill="auto"/>
            <w:vAlign w:val="center"/>
          </w:tcPr>
          <w:p w14:paraId="7E38ABD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Females</w:t>
            </w:r>
          </w:p>
        </w:tc>
        <w:tc>
          <w:tcPr>
            <w:tcW w:w="0" w:type="dxa"/>
            <w:gridSpan w:val="4"/>
            <w:tcBorders>
              <w:top w:val="single" w:sz="8" w:space="0" w:color="auto"/>
              <w:bottom w:val="single" w:sz="4" w:space="0" w:color="auto"/>
            </w:tcBorders>
            <w:shd w:val="clear" w:color="auto" w:fill="auto"/>
            <w:vAlign w:val="center"/>
          </w:tcPr>
          <w:p w14:paraId="5F243C3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b/>
            </w:r>
            <w:r w:rsidRPr="000817CB">
              <w:rPr>
                <w:rFonts w:ascii="Times New Roman" w:hAnsi="Times New Roman" w:cs="Times New Roman"/>
                <w:sz w:val="20"/>
              </w:rPr>
              <w:tab/>
            </w:r>
            <w:proofErr w:type="spellStart"/>
            <w:r w:rsidRPr="000817CB">
              <w:rPr>
                <w:rFonts w:ascii="Times New Roman" w:hAnsi="Times New Roman" w:cs="Times New Roman"/>
                <w:sz w:val="20"/>
              </w:rPr>
              <w:t>RNAseq</w:t>
            </w:r>
            <w:proofErr w:type="spellEnd"/>
            <w:r w:rsidRPr="000817CB">
              <w:rPr>
                <w:rFonts w:ascii="Times New Roman" w:hAnsi="Times New Roman" w:cs="Times New Roman"/>
                <w:sz w:val="20"/>
              </w:rPr>
              <w:t xml:space="preserve"> subgroup*</w:t>
            </w:r>
          </w:p>
        </w:tc>
      </w:tr>
      <w:tr w:rsidR="00511D9B" w:rsidRPr="000817CB" w14:paraId="4B7131E1" w14:textId="77777777" w:rsidTr="00511D9B">
        <w:trPr>
          <w:jc w:val="center"/>
        </w:trPr>
        <w:tc>
          <w:tcPr>
            <w:tcW w:w="0" w:type="dxa"/>
            <w:tcBorders>
              <w:top w:val="single" w:sz="4" w:space="0" w:color="auto"/>
              <w:bottom w:val="single" w:sz="4" w:space="0" w:color="auto"/>
            </w:tcBorders>
            <w:shd w:val="clear" w:color="auto" w:fill="auto"/>
            <w:vAlign w:val="center"/>
          </w:tcPr>
          <w:p w14:paraId="5F6895D8"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0" w:type="dxa"/>
            <w:tcBorders>
              <w:top w:val="single" w:sz="4" w:space="0" w:color="auto"/>
              <w:bottom w:val="single" w:sz="4" w:space="0" w:color="auto"/>
            </w:tcBorders>
            <w:shd w:val="clear" w:color="auto" w:fill="auto"/>
            <w:vAlign w:val="center"/>
          </w:tcPr>
          <w:p w14:paraId="4A4973FB"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0" w:type="dxa"/>
            <w:tcBorders>
              <w:top w:val="single" w:sz="4" w:space="0" w:color="auto"/>
              <w:bottom w:val="single" w:sz="4" w:space="0" w:color="auto"/>
            </w:tcBorders>
            <w:shd w:val="clear" w:color="auto" w:fill="auto"/>
            <w:vAlign w:val="center"/>
          </w:tcPr>
          <w:p w14:paraId="7EF34F54"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0" w:type="dxa"/>
            <w:tcBorders>
              <w:top w:val="single" w:sz="4" w:space="0" w:color="auto"/>
            </w:tcBorders>
            <w:shd w:val="clear" w:color="auto" w:fill="auto"/>
            <w:vAlign w:val="center"/>
          </w:tcPr>
          <w:p w14:paraId="57373FF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c>
          <w:tcPr>
            <w:tcW w:w="0" w:type="dxa"/>
            <w:tcBorders>
              <w:top w:val="single" w:sz="4" w:space="0" w:color="auto"/>
              <w:bottom w:val="single" w:sz="4" w:space="0" w:color="auto"/>
            </w:tcBorders>
            <w:shd w:val="clear" w:color="auto" w:fill="auto"/>
            <w:vAlign w:val="center"/>
          </w:tcPr>
          <w:p w14:paraId="7D9E3A6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All (Baseline)</w:t>
            </w:r>
          </w:p>
        </w:tc>
        <w:tc>
          <w:tcPr>
            <w:tcW w:w="0" w:type="dxa"/>
            <w:tcBorders>
              <w:top w:val="single" w:sz="4" w:space="0" w:color="auto"/>
              <w:bottom w:val="single" w:sz="4" w:space="0" w:color="auto"/>
            </w:tcBorders>
            <w:shd w:val="clear" w:color="auto" w:fill="auto"/>
            <w:vAlign w:val="center"/>
          </w:tcPr>
          <w:p w14:paraId="3A33606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FO group</w:t>
            </w:r>
          </w:p>
        </w:tc>
        <w:tc>
          <w:tcPr>
            <w:tcW w:w="0" w:type="dxa"/>
            <w:tcBorders>
              <w:top w:val="single" w:sz="4" w:space="0" w:color="auto"/>
              <w:bottom w:val="single" w:sz="4" w:space="0" w:color="auto"/>
            </w:tcBorders>
            <w:shd w:val="clear" w:color="auto" w:fill="auto"/>
            <w:vAlign w:val="center"/>
          </w:tcPr>
          <w:p w14:paraId="60071BB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roofErr w:type="spellStart"/>
            <w:r w:rsidRPr="000817CB">
              <w:rPr>
                <w:rFonts w:ascii="Times New Roman" w:hAnsi="Times New Roman" w:cs="Times New Roman"/>
                <w:sz w:val="20"/>
              </w:rPr>
              <w:t>t</w:t>
            </w:r>
            <w:r w:rsidRPr="000817CB">
              <w:rPr>
                <w:rFonts w:ascii="Times New Roman" w:hAnsi="Times New Roman" w:cs="Times New Roman"/>
                <w:i/>
                <w:sz w:val="20"/>
              </w:rPr>
              <w:t>CS</w:t>
            </w:r>
            <w:r w:rsidRPr="000817CB">
              <w:rPr>
                <w:rFonts w:ascii="Times New Roman" w:hAnsi="Times New Roman" w:cs="Times New Roman"/>
                <w:sz w:val="20"/>
              </w:rPr>
              <w:t>O</w:t>
            </w:r>
            <w:proofErr w:type="spellEnd"/>
            <w:r w:rsidRPr="000817CB">
              <w:rPr>
                <w:rFonts w:ascii="Times New Roman" w:hAnsi="Times New Roman" w:cs="Times New Roman"/>
                <w:sz w:val="20"/>
              </w:rPr>
              <w:t xml:space="preserve"> group</w:t>
            </w:r>
          </w:p>
        </w:tc>
        <w:tc>
          <w:tcPr>
            <w:tcW w:w="0" w:type="dxa"/>
            <w:tcBorders>
              <w:top w:val="single" w:sz="4" w:space="0" w:color="auto"/>
              <w:bottom w:val="single" w:sz="4" w:space="0" w:color="auto"/>
            </w:tcBorders>
            <w:shd w:val="clear" w:color="auto" w:fill="auto"/>
            <w:vAlign w:val="center"/>
          </w:tcPr>
          <w:p w14:paraId="0BBF782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vertAlign w:val="superscript"/>
              </w:rPr>
              <w:t>‡</w:t>
            </w:r>
            <w:r w:rsidRPr="000817CB">
              <w:rPr>
                <w:rFonts w:ascii="Times New Roman" w:hAnsi="Times New Roman" w:cs="Times New Roman"/>
                <w:sz w:val="20"/>
              </w:rPr>
              <w:t>T test</w:t>
            </w:r>
          </w:p>
        </w:tc>
      </w:tr>
      <w:tr w:rsidR="00511D9B" w:rsidRPr="000817CB" w14:paraId="4F7F7692" w14:textId="77777777" w:rsidTr="00511D9B">
        <w:trPr>
          <w:jc w:val="center"/>
        </w:trPr>
        <w:tc>
          <w:tcPr>
            <w:tcW w:w="0" w:type="dxa"/>
            <w:tcBorders>
              <w:top w:val="single" w:sz="4" w:space="0" w:color="auto"/>
            </w:tcBorders>
            <w:shd w:val="clear" w:color="auto" w:fill="auto"/>
            <w:vAlign w:val="center"/>
          </w:tcPr>
          <w:p w14:paraId="50936A0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n</w:t>
            </w:r>
          </w:p>
        </w:tc>
        <w:tc>
          <w:tcPr>
            <w:tcW w:w="0" w:type="dxa"/>
            <w:tcBorders>
              <w:top w:val="single" w:sz="4" w:space="0" w:color="auto"/>
            </w:tcBorders>
            <w:shd w:val="clear" w:color="auto" w:fill="auto"/>
            <w:vAlign w:val="center"/>
          </w:tcPr>
          <w:p w14:paraId="4257F1A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31</w:t>
            </w:r>
          </w:p>
        </w:tc>
        <w:tc>
          <w:tcPr>
            <w:tcW w:w="0" w:type="dxa"/>
            <w:tcBorders>
              <w:top w:val="single" w:sz="4" w:space="0" w:color="auto"/>
            </w:tcBorders>
            <w:shd w:val="clear" w:color="auto" w:fill="auto"/>
            <w:vAlign w:val="center"/>
          </w:tcPr>
          <w:p w14:paraId="42DE5C5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w:t>
            </w:r>
          </w:p>
        </w:tc>
        <w:tc>
          <w:tcPr>
            <w:tcW w:w="0" w:type="dxa"/>
            <w:tcBorders>
              <w:top w:val="single" w:sz="4" w:space="0" w:color="auto"/>
            </w:tcBorders>
            <w:shd w:val="clear" w:color="auto" w:fill="auto"/>
            <w:vAlign w:val="center"/>
          </w:tcPr>
          <w:p w14:paraId="6789A38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w:t>
            </w:r>
          </w:p>
        </w:tc>
        <w:tc>
          <w:tcPr>
            <w:tcW w:w="0" w:type="dxa"/>
            <w:tcBorders>
              <w:top w:val="single" w:sz="4" w:space="0" w:color="auto"/>
            </w:tcBorders>
            <w:shd w:val="clear" w:color="auto" w:fill="auto"/>
            <w:vAlign w:val="center"/>
          </w:tcPr>
          <w:p w14:paraId="2652C8F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w:t>
            </w:r>
          </w:p>
        </w:tc>
        <w:tc>
          <w:tcPr>
            <w:tcW w:w="0" w:type="dxa"/>
            <w:tcBorders>
              <w:top w:val="single" w:sz="4" w:space="0" w:color="auto"/>
            </w:tcBorders>
            <w:shd w:val="clear" w:color="auto" w:fill="auto"/>
            <w:vAlign w:val="center"/>
          </w:tcPr>
          <w:p w14:paraId="50F530B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w:t>
            </w:r>
          </w:p>
        </w:tc>
        <w:tc>
          <w:tcPr>
            <w:tcW w:w="0" w:type="dxa"/>
            <w:tcBorders>
              <w:top w:val="single" w:sz="4" w:space="0" w:color="auto"/>
            </w:tcBorders>
            <w:shd w:val="clear" w:color="auto" w:fill="auto"/>
            <w:vAlign w:val="center"/>
          </w:tcPr>
          <w:p w14:paraId="695A5C5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w:t>
            </w:r>
          </w:p>
        </w:tc>
        <w:tc>
          <w:tcPr>
            <w:tcW w:w="0" w:type="dxa"/>
            <w:tcBorders>
              <w:top w:val="single" w:sz="4" w:space="0" w:color="auto"/>
            </w:tcBorders>
            <w:shd w:val="clear" w:color="auto" w:fill="auto"/>
            <w:vAlign w:val="center"/>
          </w:tcPr>
          <w:p w14:paraId="4A94F4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w:t>
            </w:r>
          </w:p>
        </w:tc>
      </w:tr>
      <w:tr w:rsidR="00511D9B" w:rsidRPr="000817CB" w14:paraId="0F47652B" w14:textId="77777777" w:rsidTr="00511D9B">
        <w:trPr>
          <w:jc w:val="center"/>
        </w:trPr>
        <w:tc>
          <w:tcPr>
            <w:tcW w:w="0" w:type="dxa"/>
            <w:shd w:val="clear" w:color="auto" w:fill="auto"/>
            <w:vAlign w:val="center"/>
          </w:tcPr>
          <w:p w14:paraId="67F497A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Age (years)</w:t>
            </w:r>
          </w:p>
        </w:tc>
        <w:tc>
          <w:tcPr>
            <w:tcW w:w="0" w:type="dxa"/>
            <w:shd w:val="clear" w:color="auto" w:fill="auto"/>
            <w:vAlign w:val="center"/>
          </w:tcPr>
          <w:p w14:paraId="2D6BC37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44.6 ± 3.4</w:t>
            </w:r>
          </w:p>
        </w:tc>
        <w:tc>
          <w:tcPr>
            <w:tcW w:w="0" w:type="dxa"/>
            <w:shd w:val="clear" w:color="auto" w:fill="auto"/>
            <w:vAlign w:val="center"/>
          </w:tcPr>
          <w:p w14:paraId="1A37144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46.6 ± 5.3</w:t>
            </w:r>
          </w:p>
        </w:tc>
        <w:tc>
          <w:tcPr>
            <w:tcW w:w="0" w:type="dxa"/>
            <w:shd w:val="clear" w:color="auto" w:fill="auto"/>
            <w:vAlign w:val="center"/>
          </w:tcPr>
          <w:p w14:paraId="4E11FCC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43.1 ± 4.9</w:t>
            </w:r>
          </w:p>
        </w:tc>
        <w:tc>
          <w:tcPr>
            <w:tcW w:w="0" w:type="dxa"/>
            <w:shd w:val="clear" w:color="auto" w:fill="auto"/>
            <w:vAlign w:val="center"/>
          </w:tcPr>
          <w:p w14:paraId="231A2F7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44.4 ± 5.5</w:t>
            </w:r>
          </w:p>
        </w:tc>
        <w:tc>
          <w:tcPr>
            <w:tcW w:w="0" w:type="dxa"/>
            <w:shd w:val="clear" w:color="auto" w:fill="auto"/>
            <w:vAlign w:val="center"/>
          </w:tcPr>
          <w:p w14:paraId="3E9C8AC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40.1 ± 7.9</w:t>
            </w:r>
          </w:p>
        </w:tc>
        <w:tc>
          <w:tcPr>
            <w:tcW w:w="0" w:type="dxa"/>
            <w:shd w:val="clear" w:color="auto" w:fill="auto"/>
            <w:vAlign w:val="center"/>
          </w:tcPr>
          <w:p w14:paraId="1685C3C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46.1 ± 7.6</w:t>
            </w:r>
          </w:p>
        </w:tc>
        <w:tc>
          <w:tcPr>
            <w:tcW w:w="0" w:type="dxa"/>
            <w:shd w:val="clear" w:color="auto" w:fill="auto"/>
            <w:vAlign w:val="center"/>
          </w:tcPr>
          <w:p w14:paraId="24B3581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10204"/>
                <w:sz w:val="20"/>
              </w:rPr>
              <w:t>0.595</w:t>
            </w:r>
          </w:p>
        </w:tc>
      </w:tr>
      <w:tr w:rsidR="00511D9B" w:rsidRPr="000817CB" w14:paraId="526E62AD" w14:textId="77777777" w:rsidTr="00511D9B">
        <w:trPr>
          <w:jc w:val="center"/>
        </w:trPr>
        <w:tc>
          <w:tcPr>
            <w:tcW w:w="0" w:type="dxa"/>
            <w:shd w:val="clear" w:color="auto" w:fill="auto"/>
            <w:vAlign w:val="center"/>
          </w:tcPr>
          <w:p w14:paraId="4100CAE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BMI (kg/m</w:t>
            </w:r>
            <w:r w:rsidRPr="000817CB">
              <w:rPr>
                <w:rFonts w:ascii="Times New Roman" w:hAnsi="Times New Roman" w:cs="Times New Roman"/>
                <w:sz w:val="20"/>
                <w:vertAlign w:val="superscript"/>
              </w:rPr>
              <w:t>2</w:t>
            </w:r>
            <w:r w:rsidRPr="000817CB">
              <w:rPr>
                <w:rFonts w:ascii="Times New Roman" w:hAnsi="Times New Roman" w:cs="Times New Roman"/>
                <w:sz w:val="20"/>
              </w:rPr>
              <w:t>)</w:t>
            </w:r>
          </w:p>
        </w:tc>
        <w:tc>
          <w:tcPr>
            <w:tcW w:w="0" w:type="dxa"/>
            <w:shd w:val="clear" w:color="auto" w:fill="auto"/>
            <w:vAlign w:val="center"/>
          </w:tcPr>
          <w:p w14:paraId="5676020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24.5 ± 0.5</w:t>
            </w:r>
          </w:p>
        </w:tc>
        <w:tc>
          <w:tcPr>
            <w:tcW w:w="0" w:type="dxa"/>
            <w:shd w:val="clear" w:color="auto" w:fill="auto"/>
            <w:vAlign w:val="center"/>
          </w:tcPr>
          <w:p w14:paraId="083879C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25.2 ± 0.8</w:t>
            </w:r>
          </w:p>
        </w:tc>
        <w:tc>
          <w:tcPr>
            <w:tcW w:w="0" w:type="dxa"/>
            <w:shd w:val="clear" w:color="auto" w:fill="auto"/>
            <w:vAlign w:val="center"/>
          </w:tcPr>
          <w:p w14:paraId="79A543D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23.9 ± 0.6</w:t>
            </w:r>
          </w:p>
        </w:tc>
        <w:tc>
          <w:tcPr>
            <w:tcW w:w="0" w:type="dxa"/>
            <w:shd w:val="clear" w:color="auto" w:fill="auto"/>
            <w:vAlign w:val="center"/>
          </w:tcPr>
          <w:p w14:paraId="5429CE2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26.6 ± 5.5</w:t>
            </w:r>
          </w:p>
        </w:tc>
        <w:tc>
          <w:tcPr>
            <w:tcW w:w="0" w:type="dxa"/>
            <w:shd w:val="clear" w:color="auto" w:fill="auto"/>
            <w:vAlign w:val="center"/>
          </w:tcPr>
          <w:p w14:paraId="62D5953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23.2 ± 1.3</w:t>
            </w:r>
          </w:p>
        </w:tc>
        <w:tc>
          <w:tcPr>
            <w:tcW w:w="0" w:type="dxa"/>
            <w:shd w:val="clear" w:color="auto" w:fill="auto"/>
            <w:vAlign w:val="center"/>
          </w:tcPr>
          <w:p w14:paraId="36CB296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24.3 ± 0.7</w:t>
            </w:r>
          </w:p>
        </w:tc>
        <w:tc>
          <w:tcPr>
            <w:tcW w:w="0" w:type="dxa"/>
            <w:shd w:val="clear" w:color="auto" w:fill="auto"/>
            <w:vAlign w:val="center"/>
          </w:tcPr>
          <w:p w14:paraId="2B00A2B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10204"/>
                <w:sz w:val="20"/>
              </w:rPr>
              <w:t>0.468</w:t>
            </w:r>
          </w:p>
        </w:tc>
      </w:tr>
      <w:tr w:rsidR="00511D9B" w:rsidRPr="000817CB" w14:paraId="3FF705F7" w14:textId="77777777" w:rsidTr="00511D9B">
        <w:trPr>
          <w:jc w:val="center"/>
        </w:trPr>
        <w:tc>
          <w:tcPr>
            <w:tcW w:w="0" w:type="dxa"/>
            <w:shd w:val="clear" w:color="auto" w:fill="auto"/>
            <w:vAlign w:val="center"/>
          </w:tcPr>
          <w:p w14:paraId="6FCC62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Systolic bp (mm Hg)</w:t>
            </w:r>
          </w:p>
        </w:tc>
        <w:tc>
          <w:tcPr>
            <w:tcW w:w="0" w:type="dxa"/>
            <w:shd w:val="clear" w:color="auto" w:fill="auto"/>
            <w:vAlign w:val="center"/>
          </w:tcPr>
          <w:p w14:paraId="0EF68DF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118 ± 2</w:t>
            </w:r>
          </w:p>
        </w:tc>
        <w:tc>
          <w:tcPr>
            <w:tcW w:w="0" w:type="dxa"/>
            <w:shd w:val="clear" w:color="auto" w:fill="auto"/>
            <w:vAlign w:val="center"/>
          </w:tcPr>
          <w:p w14:paraId="23B1FC2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123 ± 2</w:t>
            </w:r>
          </w:p>
        </w:tc>
        <w:tc>
          <w:tcPr>
            <w:tcW w:w="0" w:type="dxa"/>
            <w:shd w:val="clear" w:color="auto" w:fill="auto"/>
            <w:vAlign w:val="center"/>
          </w:tcPr>
          <w:p w14:paraId="7E23247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114 ± 3.5</w:t>
            </w:r>
          </w:p>
        </w:tc>
        <w:tc>
          <w:tcPr>
            <w:tcW w:w="0" w:type="dxa"/>
            <w:shd w:val="clear" w:color="auto" w:fill="auto"/>
            <w:vAlign w:val="center"/>
          </w:tcPr>
          <w:p w14:paraId="253A708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106 ± 8</w:t>
            </w:r>
          </w:p>
        </w:tc>
        <w:tc>
          <w:tcPr>
            <w:tcW w:w="0" w:type="dxa"/>
            <w:shd w:val="clear" w:color="auto" w:fill="auto"/>
            <w:vAlign w:val="center"/>
          </w:tcPr>
          <w:p w14:paraId="4DFAA9C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117 ± 5.3</w:t>
            </w:r>
          </w:p>
        </w:tc>
        <w:tc>
          <w:tcPr>
            <w:tcW w:w="0" w:type="dxa"/>
            <w:shd w:val="clear" w:color="auto" w:fill="auto"/>
            <w:vAlign w:val="center"/>
          </w:tcPr>
          <w:p w14:paraId="24510C5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111.6 ± 5.8</w:t>
            </w:r>
          </w:p>
        </w:tc>
        <w:tc>
          <w:tcPr>
            <w:tcW w:w="0" w:type="dxa"/>
            <w:shd w:val="clear" w:color="auto" w:fill="auto"/>
            <w:vAlign w:val="center"/>
          </w:tcPr>
          <w:p w14:paraId="5454456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10204"/>
                <w:sz w:val="20"/>
              </w:rPr>
              <w:t>0.522</w:t>
            </w:r>
          </w:p>
        </w:tc>
      </w:tr>
      <w:tr w:rsidR="00511D9B" w:rsidRPr="000817CB" w14:paraId="498B4058" w14:textId="77777777" w:rsidTr="00511D9B">
        <w:trPr>
          <w:jc w:val="center"/>
        </w:trPr>
        <w:tc>
          <w:tcPr>
            <w:tcW w:w="0" w:type="dxa"/>
            <w:shd w:val="clear" w:color="auto" w:fill="auto"/>
            <w:vAlign w:val="center"/>
          </w:tcPr>
          <w:p w14:paraId="02AC992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Diastolic bp (mm Hg)</w:t>
            </w:r>
          </w:p>
        </w:tc>
        <w:tc>
          <w:tcPr>
            <w:tcW w:w="0" w:type="dxa"/>
            <w:shd w:val="clear" w:color="auto" w:fill="auto"/>
            <w:vAlign w:val="center"/>
          </w:tcPr>
          <w:p w14:paraId="327BCDB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69 ± 2</w:t>
            </w:r>
          </w:p>
        </w:tc>
        <w:tc>
          <w:tcPr>
            <w:tcW w:w="0" w:type="dxa"/>
            <w:shd w:val="clear" w:color="auto" w:fill="auto"/>
            <w:vAlign w:val="center"/>
          </w:tcPr>
          <w:p w14:paraId="528F1AC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 ± 2</w:t>
            </w:r>
          </w:p>
        </w:tc>
        <w:tc>
          <w:tcPr>
            <w:tcW w:w="0" w:type="dxa"/>
            <w:shd w:val="clear" w:color="auto" w:fill="auto"/>
            <w:vAlign w:val="center"/>
          </w:tcPr>
          <w:p w14:paraId="5703317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66 ± 2</w:t>
            </w:r>
          </w:p>
        </w:tc>
        <w:tc>
          <w:tcPr>
            <w:tcW w:w="0" w:type="dxa"/>
            <w:shd w:val="clear" w:color="auto" w:fill="auto"/>
            <w:vAlign w:val="center"/>
          </w:tcPr>
          <w:p w14:paraId="308D6EA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65 ± 2</w:t>
            </w:r>
          </w:p>
        </w:tc>
        <w:tc>
          <w:tcPr>
            <w:tcW w:w="0" w:type="dxa"/>
            <w:shd w:val="clear" w:color="auto" w:fill="auto"/>
            <w:vAlign w:val="center"/>
          </w:tcPr>
          <w:p w14:paraId="3CDB075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66.9 ± 2.8</w:t>
            </w:r>
          </w:p>
        </w:tc>
        <w:tc>
          <w:tcPr>
            <w:tcW w:w="0" w:type="dxa"/>
            <w:shd w:val="clear" w:color="auto" w:fill="auto"/>
            <w:vAlign w:val="center"/>
          </w:tcPr>
          <w:p w14:paraId="39B6369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65.3 ± 2.9</w:t>
            </w:r>
          </w:p>
        </w:tc>
        <w:tc>
          <w:tcPr>
            <w:tcW w:w="0" w:type="dxa"/>
            <w:shd w:val="clear" w:color="auto" w:fill="auto"/>
            <w:vAlign w:val="center"/>
          </w:tcPr>
          <w:p w14:paraId="1E58A3A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10204"/>
                <w:sz w:val="20"/>
              </w:rPr>
              <w:t>0.713</w:t>
            </w:r>
          </w:p>
        </w:tc>
      </w:tr>
      <w:tr w:rsidR="00511D9B" w:rsidRPr="000817CB" w14:paraId="1D6D7D4D" w14:textId="77777777" w:rsidTr="00511D9B">
        <w:trPr>
          <w:jc w:val="center"/>
        </w:trPr>
        <w:tc>
          <w:tcPr>
            <w:tcW w:w="0" w:type="dxa"/>
            <w:shd w:val="clear" w:color="auto" w:fill="auto"/>
            <w:vAlign w:val="center"/>
          </w:tcPr>
          <w:p w14:paraId="7E30416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Glucose (mmol/l)</w:t>
            </w:r>
          </w:p>
        </w:tc>
        <w:tc>
          <w:tcPr>
            <w:tcW w:w="0" w:type="dxa"/>
            <w:shd w:val="clear" w:color="auto" w:fill="auto"/>
            <w:vAlign w:val="center"/>
          </w:tcPr>
          <w:p w14:paraId="1C4A6A5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5.1 ± 0.1</w:t>
            </w:r>
          </w:p>
        </w:tc>
        <w:tc>
          <w:tcPr>
            <w:tcW w:w="0" w:type="dxa"/>
            <w:shd w:val="clear" w:color="auto" w:fill="auto"/>
            <w:vAlign w:val="center"/>
          </w:tcPr>
          <w:p w14:paraId="6DDEFFC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4.9 ± 0.1</w:t>
            </w:r>
          </w:p>
        </w:tc>
        <w:tc>
          <w:tcPr>
            <w:tcW w:w="0" w:type="dxa"/>
            <w:shd w:val="clear" w:color="auto" w:fill="auto"/>
            <w:vAlign w:val="center"/>
          </w:tcPr>
          <w:p w14:paraId="1F080DA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5.3 ± 0.2</w:t>
            </w:r>
          </w:p>
        </w:tc>
        <w:tc>
          <w:tcPr>
            <w:tcW w:w="0" w:type="dxa"/>
            <w:shd w:val="clear" w:color="auto" w:fill="auto"/>
            <w:vAlign w:val="center"/>
          </w:tcPr>
          <w:p w14:paraId="1301744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5.4 ± 0.2</w:t>
            </w:r>
          </w:p>
        </w:tc>
        <w:tc>
          <w:tcPr>
            <w:tcW w:w="0" w:type="dxa"/>
            <w:shd w:val="clear" w:color="auto" w:fill="auto"/>
            <w:vAlign w:val="center"/>
          </w:tcPr>
          <w:p w14:paraId="39D7684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 xml:space="preserve">5.1 ± 0.2 </w:t>
            </w:r>
          </w:p>
        </w:tc>
        <w:tc>
          <w:tcPr>
            <w:tcW w:w="0" w:type="dxa"/>
            <w:shd w:val="clear" w:color="auto" w:fill="auto"/>
            <w:vAlign w:val="center"/>
          </w:tcPr>
          <w:p w14:paraId="17C7DEA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5.6 ± 0.4</w:t>
            </w:r>
          </w:p>
        </w:tc>
        <w:tc>
          <w:tcPr>
            <w:tcW w:w="0" w:type="dxa"/>
            <w:shd w:val="clear" w:color="auto" w:fill="auto"/>
            <w:vAlign w:val="center"/>
          </w:tcPr>
          <w:p w14:paraId="69B69B3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10204"/>
                <w:sz w:val="20"/>
              </w:rPr>
              <w:t>0.258</w:t>
            </w:r>
          </w:p>
        </w:tc>
      </w:tr>
      <w:tr w:rsidR="00511D9B" w:rsidRPr="000817CB" w14:paraId="3FF9219A" w14:textId="77777777" w:rsidTr="00511D9B">
        <w:trPr>
          <w:jc w:val="center"/>
        </w:trPr>
        <w:tc>
          <w:tcPr>
            <w:tcW w:w="0" w:type="dxa"/>
            <w:tcBorders>
              <w:bottom w:val="single" w:sz="8" w:space="0" w:color="auto"/>
            </w:tcBorders>
            <w:shd w:val="clear" w:color="auto" w:fill="auto"/>
            <w:vAlign w:val="center"/>
          </w:tcPr>
          <w:p w14:paraId="0C6CB12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Cholesterol (mmol/l)</w:t>
            </w:r>
          </w:p>
        </w:tc>
        <w:tc>
          <w:tcPr>
            <w:tcW w:w="0" w:type="dxa"/>
            <w:tcBorders>
              <w:bottom w:val="single" w:sz="8" w:space="0" w:color="auto"/>
            </w:tcBorders>
            <w:shd w:val="clear" w:color="auto" w:fill="auto"/>
            <w:vAlign w:val="center"/>
          </w:tcPr>
          <w:p w14:paraId="40D568F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4.9 ± 0.2</w:t>
            </w:r>
          </w:p>
        </w:tc>
        <w:tc>
          <w:tcPr>
            <w:tcW w:w="0" w:type="dxa"/>
            <w:tcBorders>
              <w:bottom w:val="single" w:sz="8" w:space="0" w:color="auto"/>
            </w:tcBorders>
            <w:shd w:val="clear" w:color="auto" w:fill="auto"/>
            <w:vAlign w:val="center"/>
          </w:tcPr>
          <w:p w14:paraId="56284A8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4.8 ± 0.2</w:t>
            </w:r>
          </w:p>
        </w:tc>
        <w:tc>
          <w:tcPr>
            <w:tcW w:w="0" w:type="dxa"/>
            <w:tcBorders>
              <w:bottom w:val="single" w:sz="8" w:space="0" w:color="auto"/>
            </w:tcBorders>
            <w:shd w:val="clear" w:color="auto" w:fill="auto"/>
            <w:vAlign w:val="center"/>
          </w:tcPr>
          <w:p w14:paraId="62C020D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5.0 ± 0.3</w:t>
            </w:r>
          </w:p>
        </w:tc>
        <w:tc>
          <w:tcPr>
            <w:tcW w:w="0" w:type="dxa"/>
            <w:tcBorders>
              <w:bottom w:val="single" w:sz="8" w:space="0" w:color="auto"/>
            </w:tcBorders>
            <w:shd w:val="clear" w:color="auto" w:fill="auto"/>
            <w:vAlign w:val="center"/>
          </w:tcPr>
          <w:p w14:paraId="7FB8C55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b/>
              <w:t>5.2 ± 0.3</w:t>
            </w:r>
          </w:p>
        </w:tc>
        <w:tc>
          <w:tcPr>
            <w:tcW w:w="0" w:type="dxa"/>
            <w:tcBorders>
              <w:bottom w:val="single" w:sz="8" w:space="0" w:color="auto"/>
            </w:tcBorders>
            <w:shd w:val="clear" w:color="auto" w:fill="auto"/>
            <w:vAlign w:val="center"/>
          </w:tcPr>
          <w:p w14:paraId="6E77E11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5.2 ± 0.4</w:t>
            </w:r>
          </w:p>
        </w:tc>
        <w:tc>
          <w:tcPr>
            <w:tcW w:w="0" w:type="dxa"/>
            <w:tcBorders>
              <w:bottom w:val="single" w:sz="8" w:space="0" w:color="auto"/>
            </w:tcBorders>
            <w:shd w:val="clear" w:color="auto" w:fill="auto"/>
            <w:vAlign w:val="center"/>
          </w:tcPr>
          <w:p w14:paraId="08030FA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4.9 ± 0.5</w:t>
            </w:r>
          </w:p>
        </w:tc>
        <w:tc>
          <w:tcPr>
            <w:tcW w:w="0" w:type="dxa"/>
            <w:tcBorders>
              <w:bottom w:val="single" w:sz="8" w:space="0" w:color="auto"/>
            </w:tcBorders>
            <w:shd w:val="clear" w:color="auto" w:fill="auto"/>
            <w:vAlign w:val="center"/>
          </w:tcPr>
          <w:p w14:paraId="787BC9C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10204"/>
                <w:sz w:val="20"/>
              </w:rPr>
              <w:t>0.665</w:t>
            </w:r>
          </w:p>
        </w:tc>
      </w:tr>
    </w:tbl>
    <w:p w14:paraId="538AD4E8" w14:textId="77777777" w:rsidR="00511D9B" w:rsidRPr="000817CB" w:rsidRDefault="00511D9B" w:rsidP="00511D9B">
      <w:pPr>
        <w:adjustRightInd w:val="0"/>
        <w:snapToGrid w:val="0"/>
        <w:spacing w:line="228" w:lineRule="auto"/>
        <w:ind w:left="425" w:hanging="425"/>
        <w:jc w:val="both"/>
        <w:rPr>
          <w:sz w:val="18"/>
        </w:rPr>
      </w:pPr>
    </w:p>
    <w:p w14:paraId="10169875" w14:textId="63E0A05B" w:rsidR="00F709B0" w:rsidRPr="000817CB" w:rsidRDefault="00F709B0" w:rsidP="00FF4921">
      <w:pPr>
        <w:pStyle w:val="MDPI31text"/>
      </w:pPr>
      <w:r w:rsidRPr="000817CB">
        <w:tab/>
        <w:t>The trial had a single blinded crossover design, because it was not possible to conceal the odour of the FO from the participants</w:t>
      </w:r>
      <w:r w:rsidRPr="000817CB">
        <w:rPr>
          <w:noProof/>
        </w:rPr>
        <w:t xml:space="preserve"> [25]</w:t>
      </w:r>
      <w:r w:rsidRPr="000817CB">
        <w:t xml:space="preserve">.  Those who took part were randomised using a random number generator (www.random.org) to consume either the </w:t>
      </w:r>
      <w:proofErr w:type="spellStart"/>
      <w:r w:rsidRPr="000817CB">
        <w:t>t</w:t>
      </w:r>
      <w:r w:rsidRPr="000817CB">
        <w:rPr>
          <w:i/>
        </w:rPr>
        <w:t>CS</w:t>
      </w:r>
      <w:r w:rsidRPr="000817CB">
        <w:rPr>
          <w:iCs/>
        </w:rPr>
        <w:t>O</w:t>
      </w:r>
      <w:proofErr w:type="spellEnd"/>
      <w:r w:rsidRPr="000817CB">
        <w:t xml:space="preserve"> (2.4 ml / day) or a commercial blended FO (Simply Timeless®, Omega-3 fish oil plus cod liver oil; Seven Seas, 1.6 ml / day) in random order for 56 days followed by 42 days washout during which participants consumed their habitual diet and then consumed the other test oil for 56 days.  However, because of the risk of carry over between phases of supplementation, only data for samples collected during the first period of supplementation are reported here. The test oils were matched to provide approximately 450 mg 20:5n-3 plus 22:6n-3 per day based on the amount recommended by the UK Government</w:t>
      </w:r>
      <w:r w:rsidRPr="000817CB">
        <w:rPr>
          <w:noProof/>
        </w:rPr>
        <w:t xml:space="preserve"> [22]</w:t>
      </w:r>
      <w:r w:rsidRPr="000817CB">
        <w:t>.  Daily and cumulative intakes of fatty acids from the test oils are shown in Table 2.  Participants dispensed the appropriate volume of test oil using an oral dosing syringe and consumed this with food. Compliance was assessed by the change in weight of the bottles containing the test oils compared to the expected weight change.  After fasting for 12 hours, venous blood samples (40 ml) were collected into tubes containing lithium heparin anticoagulant at the start and end of each period of supplementation, and separated into plasma and cell fractions</w:t>
      </w:r>
      <w:r w:rsidRPr="000817CB">
        <w:rPr>
          <w:noProof/>
        </w:rPr>
        <w:t xml:space="preserve"> [25]</w:t>
      </w:r>
      <w:r w:rsidRPr="000817CB">
        <w:t xml:space="preserve">.  PBMCs were isolated by using </w:t>
      </w:r>
      <w:proofErr w:type="spellStart"/>
      <w:r w:rsidRPr="000817CB">
        <w:t>Histopaque</w:t>
      </w:r>
      <w:proofErr w:type="spellEnd"/>
      <w:r w:rsidRPr="000817CB">
        <w:t xml:space="preserve"> density gradient centrifugation</w:t>
      </w:r>
      <w:r w:rsidRPr="000817CB">
        <w:rPr>
          <w:noProof/>
        </w:rPr>
        <w:t xml:space="preserve"> [27]</w:t>
      </w:r>
      <w:r w:rsidRPr="000817CB">
        <w:t xml:space="preserve">.   Plasma and PBMCs were stored at </w:t>
      </w:r>
      <w:r w:rsidRPr="000817CB">
        <w:rPr>
          <w:rFonts w:eastAsia="AdvOT8608a8d1+22"/>
        </w:rPr>
        <w:t>−</w:t>
      </w:r>
      <w:r w:rsidRPr="000817CB">
        <w:t xml:space="preserve">80°C before analysis of fatty acid composition. </w:t>
      </w:r>
      <w:r w:rsidR="0031522D">
        <w:t>Any participants who exhibited symptoms of infection were asked to postpone blood sampling until they were asymptomatic and then for a further 14 days.</w:t>
      </w:r>
    </w:p>
    <w:p w14:paraId="4DE3819E" w14:textId="77777777" w:rsidR="00511D9B" w:rsidRPr="000817CB" w:rsidRDefault="00511D9B" w:rsidP="00511D9B">
      <w:pPr>
        <w:pStyle w:val="MDPI41tablecaption"/>
      </w:pPr>
      <w:r w:rsidRPr="000817CB">
        <w:rPr>
          <w:b/>
          <w:bCs/>
        </w:rPr>
        <w:t xml:space="preserve">Table 2. </w:t>
      </w:r>
      <w:r w:rsidRPr="000817CB">
        <w:t xml:space="preserve">Fatty acid provision from test oil supplements.  Values are the amounts of each fatty acid provided by </w:t>
      </w:r>
      <w:proofErr w:type="spellStart"/>
      <w:r w:rsidRPr="000817CB">
        <w:t>t</w:t>
      </w:r>
      <w:r w:rsidRPr="000817CB">
        <w:rPr>
          <w:i/>
        </w:rPr>
        <w:t>CS</w:t>
      </w:r>
      <w:r w:rsidRPr="000817CB">
        <w:t>O</w:t>
      </w:r>
      <w:proofErr w:type="spellEnd"/>
      <w:r w:rsidRPr="000817CB">
        <w:t xml:space="preserve"> or FO to each participant daily and the cumulative amount provided over the 56 days intervention period.  MUFA, monounsaturated fatty acids, PUFA, polyunsaturated fatty acids, SFA, saturated fatty acids.</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93"/>
        <w:gridCol w:w="2093"/>
        <w:gridCol w:w="2093"/>
        <w:gridCol w:w="2093"/>
        <w:gridCol w:w="2093"/>
      </w:tblGrid>
      <w:tr w:rsidR="00511D9B" w:rsidRPr="000817CB" w14:paraId="75E918C5" w14:textId="77777777" w:rsidTr="00511D9B">
        <w:trPr>
          <w:jc w:val="center"/>
        </w:trPr>
        <w:tc>
          <w:tcPr>
            <w:tcW w:w="0" w:type="dxa"/>
            <w:tcBorders>
              <w:top w:val="single" w:sz="8" w:space="0" w:color="auto"/>
            </w:tcBorders>
            <w:shd w:val="clear" w:color="auto" w:fill="auto"/>
            <w:vAlign w:val="center"/>
          </w:tcPr>
          <w:p w14:paraId="2BF05E52"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Fatty acid</w:t>
            </w:r>
          </w:p>
        </w:tc>
        <w:tc>
          <w:tcPr>
            <w:tcW w:w="0" w:type="dxa"/>
            <w:gridSpan w:val="2"/>
            <w:tcBorders>
              <w:top w:val="single" w:sz="8" w:space="0" w:color="auto"/>
              <w:bottom w:val="single" w:sz="4" w:space="0" w:color="auto"/>
            </w:tcBorders>
            <w:shd w:val="clear" w:color="auto" w:fill="auto"/>
            <w:vAlign w:val="center"/>
          </w:tcPr>
          <w:p w14:paraId="3F5F340D"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Daily provision (mg / day)</w:t>
            </w:r>
          </w:p>
        </w:tc>
        <w:tc>
          <w:tcPr>
            <w:tcW w:w="0" w:type="dxa"/>
            <w:gridSpan w:val="2"/>
            <w:tcBorders>
              <w:top w:val="single" w:sz="8" w:space="0" w:color="auto"/>
              <w:bottom w:val="single" w:sz="4" w:space="0" w:color="auto"/>
            </w:tcBorders>
            <w:shd w:val="clear" w:color="auto" w:fill="auto"/>
            <w:vAlign w:val="center"/>
          </w:tcPr>
          <w:p w14:paraId="425C9C6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Cumulative provision (g over 56 days)</w:t>
            </w:r>
          </w:p>
        </w:tc>
      </w:tr>
      <w:tr w:rsidR="00511D9B" w:rsidRPr="000817CB" w14:paraId="5E9144C6" w14:textId="77777777" w:rsidTr="00511D9B">
        <w:trPr>
          <w:jc w:val="center"/>
        </w:trPr>
        <w:tc>
          <w:tcPr>
            <w:tcW w:w="0" w:type="dxa"/>
            <w:tcBorders>
              <w:bottom w:val="single" w:sz="4" w:space="0" w:color="auto"/>
            </w:tcBorders>
            <w:shd w:val="clear" w:color="auto" w:fill="auto"/>
            <w:vAlign w:val="center"/>
          </w:tcPr>
          <w:p w14:paraId="0A68395A"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0" w:type="dxa"/>
            <w:tcBorders>
              <w:top w:val="single" w:sz="4" w:space="0" w:color="auto"/>
              <w:bottom w:val="single" w:sz="4" w:space="0" w:color="auto"/>
            </w:tcBorders>
            <w:shd w:val="clear" w:color="auto" w:fill="auto"/>
            <w:vAlign w:val="center"/>
          </w:tcPr>
          <w:p w14:paraId="5B6CE7DE"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FO</w:t>
            </w:r>
          </w:p>
        </w:tc>
        <w:tc>
          <w:tcPr>
            <w:tcW w:w="0" w:type="dxa"/>
            <w:tcBorders>
              <w:top w:val="single" w:sz="4" w:space="0" w:color="auto"/>
              <w:bottom w:val="single" w:sz="4" w:space="0" w:color="auto"/>
            </w:tcBorders>
            <w:shd w:val="clear" w:color="auto" w:fill="auto"/>
            <w:vAlign w:val="center"/>
          </w:tcPr>
          <w:p w14:paraId="7C0815F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roofErr w:type="spellStart"/>
            <w:r w:rsidRPr="000817CB">
              <w:rPr>
                <w:rFonts w:ascii="Times New Roman" w:hAnsi="Times New Roman" w:cs="Times New Roman"/>
                <w:sz w:val="20"/>
              </w:rPr>
              <w:t>t</w:t>
            </w:r>
            <w:r w:rsidRPr="000817CB">
              <w:rPr>
                <w:rFonts w:ascii="Times New Roman" w:hAnsi="Times New Roman" w:cs="Times New Roman"/>
                <w:i/>
                <w:sz w:val="20"/>
              </w:rPr>
              <w:t>CS</w:t>
            </w:r>
            <w:r w:rsidRPr="000817CB">
              <w:rPr>
                <w:rFonts w:ascii="Times New Roman" w:hAnsi="Times New Roman" w:cs="Times New Roman"/>
                <w:sz w:val="20"/>
              </w:rPr>
              <w:t>O</w:t>
            </w:r>
            <w:proofErr w:type="spellEnd"/>
          </w:p>
        </w:tc>
        <w:tc>
          <w:tcPr>
            <w:tcW w:w="0" w:type="dxa"/>
            <w:tcBorders>
              <w:top w:val="single" w:sz="4" w:space="0" w:color="auto"/>
              <w:bottom w:val="single" w:sz="4" w:space="0" w:color="auto"/>
            </w:tcBorders>
            <w:shd w:val="clear" w:color="auto" w:fill="auto"/>
            <w:vAlign w:val="center"/>
          </w:tcPr>
          <w:p w14:paraId="5D40DC7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FO</w:t>
            </w:r>
          </w:p>
        </w:tc>
        <w:tc>
          <w:tcPr>
            <w:tcW w:w="0" w:type="dxa"/>
            <w:tcBorders>
              <w:top w:val="single" w:sz="4" w:space="0" w:color="auto"/>
              <w:bottom w:val="single" w:sz="4" w:space="0" w:color="auto"/>
            </w:tcBorders>
            <w:shd w:val="clear" w:color="auto" w:fill="auto"/>
            <w:vAlign w:val="center"/>
          </w:tcPr>
          <w:p w14:paraId="1C575CD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roofErr w:type="spellStart"/>
            <w:r w:rsidRPr="000817CB">
              <w:rPr>
                <w:rFonts w:ascii="Times New Roman" w:hAnsi="Times New Roman" w:cs="Times New Roman"/>
                <w:sz w:val="20"/>
              </w:rPr>
              <w:t>t</w:t>
            </w:r>
            <w:r w:rsidRPr="000817CB">
              <w:rPr>
                <w:rFonts w:ascii="Times New Roman" w:hAnsi="Times New Roman" w:cs="Times New Roman"/>
                <w:i/>
                <w:sz w:val="20"/>
              </w:rPr>
              <w:t>CS</w:t>
            </w:r>
            <w:r w:rsidRPr="000817CB">
              <w:rPr>
                <w:rFonts w:ascii="Times New Roman" w:hAnsi="Times New Roman" w:cs="Times New Roman"/>
                <w:sz w:val="20"/>
              </w:rPr>
              <w:t>O</w:t>
            </w:r>
            <w:proofErr w:type="spellEnd"/>
          </w:p>
        </w:tc>
      </w:tr>
      <w:tr w:rsidR="00511D9B" w:rsidRPr="000817CB" w14:paraId="0E3E3F08" w14:textId="77777777" w:rsidTr="00511D9B">
        <w:trPr>
          <w:jc w:val="center"/>
        </w:trPr>
        <w:tc>
          <w:tcPr>
            <w:tcW w:w="0" w:type="dxa"/>
            <w:tcBorders>
              <w:top w:val="single" w:sz="4" w:space="0" w:color="auto"/>
            </w:tcBorders>
            <w:shd w:val="clear" w:color="auto" w:fill="auto"/>
            <w:vAlign w:val="center"/>
          </w:tcPr>
          <w:p w14:paraId="0608414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14:0</w:t>
            </w:r>
          </w:p>
        </w:tc>
        <w:tc>
          <w:tcPr>
            <w:tcW w:w="0" w:type="dxa"/>
            <w:tcBorders>
              <w:top w:val="single" w:sz="4" w:space="0" w:color="auto"/>
            </w:tcBorders>
            <w:shd w:val="clear" w:color="auto" w:fill="auto"/>
            <w:vAlign w:val="center"/>
          </w:tcPr>
          <w:p w14:paraId="05BC7F4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100</w:t>
            </w:r>
          </w:p>
        </w:tc>
        <w:tc>
          <w:tcPr>
            <w:tcW w:w="0" w:type="dxa"/>
            <w:tcBorders>
              <w:top w:val="single" w:sz="4" w:space="0" w:color="auto"/>
            </w:tcBorders>
            <w:shd w:val="clear" w:color="auto" w:fill="auto"/>
            <w:vAlign w:val="center"/>
          </w:tcPr>
          <w:p w14:paraId="2B6CB69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w:t>
            </w:r>
          </w:p>
        </w:tc>
        <w:tc>
          <w:tcPr>
            <w:tcW w:w="0" w:type="dxa"/>
            <w:tcBorders>
              <w:top w:val="single" w:sz="4" w:space="0" w:color="auto"/>
            </w:tcBorders>
            <w:shd w:val="clear" w:color="auto" w:fill="auto"/>
            <w:vAlign w:val="center"/>
          </w:tcPr>
          <w:p w14:paraId="04A698B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5.6</w:t>
            </w:r>
          </w:p>
        </w:tc>
        <w:tc>
          <w:tcPr>
            <w:tcW w:w="0" w:type="dxa"/>
            <w:tcBorders>
              <w:top w:val="single" w:sz="4" w:space="0" w:color="auto"/>
            </w:tcBorders>
            <w:shd w:val="clear" w:color="auto" w:fill="auto"/>
            <w:vAlign w:val="center"/>
          </w:tcPr>
          <w:p w14:paraId="063DDC6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w:t>
            </w:r>
          </w:p>
        </w:tc>
      </w:tr>
      <w:tr w:rsidR="00511D9B" w:rsidRPr="000817CB" w14:paraId="66DF3F8C" w14:textId="77777777" w:rsidTr="00511D9B">
        <w:trPr>
          <w:jc w:val="center"/>
        </w:trPr>
        <w:tc>
          <w:tcPr>
            <w:tcW w:w="0" w:type="dxa"/>
            <w:shd w:val="clear" w:color="auto" w:fill="auto"/>
            <w:vAlign w:val="center"/>
          </w:tcPr>
          <w:p w14:paraId="0504CBE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16:0</w:t>
            </w:r>
          </w:p>
        </w:tc>
        <w:tc>
          <w:tcPr>
            <w:tcW w:w="0" w:type="dxa"/>
            <w:shd w:val="clear" w:color="auto" w:fill="auto"/>
            <w:vAlign w:val="center"/>
          </w:tcPr>
          <w:p w14:paraId="241041E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232</w:t>
            </w:r>
          </w:p>
        </w:tc>
        <w:tc>
          <w:tcPr>
            <w:tcW w:w="0" w:type="dxa"/>
            <w:shd w:val="clear" w:color="auto" w:fill="auto"/>
            <w:vAlign w:val="center"/>
          </w:tcPr>
          <w:p w14:paraId="1EBC151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156</w:t>
            </w:r>
          </w:p>
        </w:tc>
        <w:tc>
          <w:tcPr>
            <w:tcW w:w="0" w:type="dxa"/>
            <w:shd w:val="clear" w:color="auto" w:fill="auto"/>
            <w:vAlign w:val="center"/>
          </w:tcPr>
          <w:p w14:paraId="3082616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13.0</w:t>
            </w:r>
          </w:p>
        </w:tc>
        <w:tc>
          <w:tcPr>
            <w:tcW w:w="0" w:type="dxa"/>
            <w:shd w:val="clear" w:color="auto" w:fill="auto"/>
            <w:vAlign w:val="center"/>
          </w:tcPr>
          <w:p w14:paraId="14DFC04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8.7</w:t>
            </w:r>
          </w:p>
        </w:tc>
      </w:tr>
      <w:tr w:rsidR="00511D9B" w:rsidRPr="000817CB" w14:paraId="2F19614E" w14:textId="77777777" w:rsidTr="00511D9B">
        <w:trPr>
          <w:jc w:val="center"/>
        </w:trPr>
        <w:tc>
          <w:tcPr>
            <w:tcW w:w="0" w:type="dxa"/>
            <w:shd w:val="clear" w:color="auto" w:fill="auto"/>
            <w:vAlign w:val="center"/>
          </w:tcPr>
          <w:p w14:paraId="1D95D81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18:0</w:t>
            </w:r>
          </w:p>
        </w:tc>
        <w:tc>
          <w:tcPr>
            <w:tcW w:w="0" w:type="dxa"/>
            <w:shd w:val="clear" w:color="auto" w:fill="auto"/>
            <w:vAlign w:val="center"/>
          </w:tcPr>
          <w:p w14:paraId="188EE7D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45</w:t>
            </w:r>
          </w:p>
        </w:tc>
        <w:tc>
          <w:tcPr>
            <w:tcW w:w="0" w:type="dxa"/>
            <w:shd w:val="clear" w:color="auto" w:fill="auto"/>
            <w:vAlign w:val="center"/>
          </w:tcPr>
          <w:p w14:paraId="3D60A02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130</w:t>
            </w:r>
          </w:p>
        </w:tc>
        <w:tc>
          <w:tcPr>
            <w:tcW w:w="0" w:type="dxa"/>
            <w:shd w:val="clear" w:color="auto" w:fill="auto"/>
            <w:vAlign w:val="center"/>
          </w:tcPr>
          <w:p w14:paraId="3EEE01B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2.5</w:t>
            </w:r>
          </w:p>
        </w:tc>
        <w:tc>
          <w:tcPr>
            <w:tcW w:w="0" w:type="dxa"/>
            <w:shd w:val="clear" w:color="auto" w:fill="auto"/>
            <w:vAlign w:val="center"/>
          </w:tcPr>
          <w:p w14:paraId="4BC3BC3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w:t>
            </w:r>
          </w:p>
        </w:tc>
      </w:tr>
      <w:tr w:rsidR="00511D9B" w:rsidRPr="000817CB" w14:paraId="49A0C949" w14:textId="77777777" w:rsidTr="00511D9B">
        <w:trPr>
          <w:jc w:val="center"/>
        </w:trPr>
        <w:tc>
          <w:tcPr>
            <w:tcW w:w="0" w:type="dxa"/>
            <w:shd w:val="clear" w:color="auto" w:fill="auto"/>
            <w:vAlign w:val="center"/>
          </w:tcPr>
          <w:p w14:paraId="7BB6AB7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20:0</w:t>
            </w:r>
          </w:p>
        </w:tc>
        <w:tc>
          <w:tcPr>
            <w:tcW w:w="0" w:type="dxa"/>
            <w:shd w:val="clear" w:color="auto" w:fill="auto"/>
            <w:vAlign w:val="center"/>
          </w:tcPr>
          <w:p w14:paraId="29DC4AD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w:t>
            </w:r>
          </w:p>
        </w:tc>
        <w:tc>
          <w:tcPr>
            <w:tcW w:w="0" w:type="dxa"/>
            <w:shd w:val="clear" w:color="auto" w:fill="auto"/>
            <w:vAlign w:val="center"/>
          </w:tcPr>
          <w:p w14:paraId="03311CA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68</w:t>
            </w:r>
          </w:p>
        </w:tc>
        <w:tc>
          <w:tcPr>
            <w:tcW w:w="0" w:type="dxa"/>
            <w:shd w:val="clear" w:color="auto" w:fill="auto"/>
            <w:vAlign w:val="center"/>
          </w:tcPr>
          <w:p w14:paraId="0E255C7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0.1</w:t>
            </w:r>
          </w:p>
        </w:tc>
        <w:tc>
          <w:tcPr>
            <w:tcW w:w="0" w:type="dxa"/>
            <w:shd w:val="clear" w:color="auto" w:fill="auto"/>
            <w:vAlign w:val="center"/>
          </w:tcPr>
          <w:p w14:paraId="4A58BEE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3.8</w:t>
            </w:r>
          </w:p>
        </w:tc>
      </w:tr>
      <w:tr w:rsidR="00511D9B" w:rsidRPr="000817CB" w14:paraId="522B8BE2" w14:textId="77777777" w:rsidTr="00511D9B">
        <w:trPr>
          <w:jc w:val="center"/>
        </w:trPr>
        <w:tc>
          <w:tcPr>
            <w:tcW w:w="0" w:type="dxa"/>
            <w:shd w:val="clear" w:color="auto" w:fill="auto"/>
            <w:vAlign w:val="center"/>
          </w:tcPr>
          <w:p w14:paraId="3856CAC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24:0</w:t>
            </w:r>
          </w:p>
        </w:tc>
        <w:tc>
          <w:tcPr>
            <w:tcW w:w="0" w:type="dxa"/>
            <w:shd w:val="clear" w:color="auto" w:fill="auto"/>
            <w:vAlign w:val="center"/>
          </w:tcPr>
          <w:p w14:paraId="74AE75F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w:t>
            </w:r>
          </w:p>
        </w:tc>
        <w:tc>
          <w:tcPr>
            <w:tcW w:w="0" w:type="dxa"/>
            <w:shd w:val="clear" w:color="auto" w:fill="auto"/>
            <w:vAlign w:val="center"/>
          </w:tcPr>
          <w:p w14:paraId="63F10CC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w:t>
            </w:r>
          </w:p>
        </w:tc>
        <w:tc>
          <w:tcPr>
            <w:tcW w:w="0" w:type="dxa"/>
            <w:shd w:val="clear" w:color="auto" w:fill="auto"/>
            <w:vAlign w:val="center"/>
          </w:tcPr>
          <w:p w14:paraId="31840C0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0.1</w:t>
            </w:r>
          </w:p>
        </w:tc>
        <w:tc>
          <w:tcPr>
            <w:tcW w:w="0" w:type="dxa"/>
            <w:shd w:val="clear" w:color="auto" w:fill="auto"/>
            <w:vAlign w:val="center"/>
          </w:tcPr>
          <w:p w14:paraId="31CE4B4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w:t>
            </w:r>
          </w:p>
        </w:tc>
      </w:tr>
      <w:tr w:rsidR="00511D9B" w:rsidRPr="000817CB" w14:paraId="60ED8F7F" w14:textId="77777777" w:rsidTr="00511D9B">
        <w:trPr>
          <w:jc w:val="center"/>
        </w:trPr>
        <w:tc>
          <w:tcPr>
            <w:tcW w:w="0" w:type="dxa"/>
            <w:shd w:val="clear" w:color="auto" w:fill="auto"/>
            <w:vAlign w:val="center"/>
          </w:tcPr>
          <w:p w14:paraId="6BA23EC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Total SFA</w:t>
            </w:r>
          </w:p>
        </w:tc>
        <w:tc>
          <w:tcPr>
            <w:tcW w:w="0" w:type="dxa"/>
            <w:shd w:val="clear" w:color="auto" w:fill="auto"/>
            <w:vAlign w:val="center"/>
          </w:tcPr>
          <w:p w14:paraId="4A505FA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381</w:t>
            </w:r>
          </w:p>
        </w:tc>
        <w:tc>
          <w:tcPr>
            <w:tcW w:w="0" w:type="dxa"/>
            <w:shd w:val="clear" w:color="auto" w:fill="auto"/>
            <w:vAlign w:val="center"/>
          </w:tcPr>
          <w:p w14:paraId="08720BB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380</w:t>
            </w:r>
          </w:p>
        </w:tc>
        <w:tc>
          <w:tcPr>
            <w:tcW w:w="0" w:type="dxa"/>
            <w:shd w:val="clear" w:color="auto" w:fill="auto"/>
            <w:vAlign w:val="center"/>
          </w:tcPr>
          <w:p w14:paraId="1A375B7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21.4</w:t>
            </w:r>
          </w:p>
        </w:tc>
        <w:tc>
          <w:tcPr>
            <w:tcW w:w="0" w:type="dxa"/>
            <w:shd w:val="clear" w:color="auto" w:fill="auto"/>
            <w:vAlign w:val="center"/>
          </w:tcPr>
          <w:p w14:paraId="58BCE01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21.3</w:t>
            </w:r>
          </w:p>
        </w:tc>
      </w:tr>
      <w:tr w:rsidR="00511D9B" w:rsidRPr="000817CB" w14:paraId="68DFFDF8" w14:textId="77777777" w:rsidTr="00511D9B">
        <w:trPr>
          <w:jc w:val="center"/>
        </w:trPr>
        <w:tc>
          <w:tcPr>
            <w:tcW w:w="0" w:type="dxa"/>
            <w:shd w:val="clear" w:color="auto" w:fill="auto"/>
            <w:vAlign w:val="center"/>
          </w:tcPr>
          <w:p w14:paraId="14A6DD5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16:1n-7</w:t>
            </w:r>
          </w:p>
        </w:tc>
        <w:tc>
          <w:tcPr>
            <w:tcW w:w="0" w:type="dxa"/>
            <w:shd w:val="clear" w:color="auto" w:fill="auto"/>
            <w:vAlign w:val="center"/>
          </w:tcPr>
          <w:p w14:paraId="60873E0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139</w:t>
            </w:r>
          </w:p>
        </w:tc>
        <w:tc>
          <w:tcPr>
            <w:tcW w:w="0" w:type="dxa"/>
            <w:shd w:val="clear" w:color="auto" w:fill="auto"/>
            <w:vAlign w:val="center"/>
          </w:tcPr>
          <w:p w14:paraId="3F62AAE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w:t>
            </w:r>
          </w:p>
        </w:tc>
        <w:tc>
          <w:tcPr>
            <w:tcW w:w="0" w:type="dxa"/>
            <w:shd w:val="clear" w:color="auto" w:fill="auto"/>
            <w:vAlign w:val="center"/>
          </w:tcPr>
          <w:p w14:paraId="4743CB3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w:t>
            </w:r>
          </w:p>
        </w:tc>
        <w:tc>
          <w:tcPr>
            <w:tcW w:w="0" w:type="dxa"/>
            <w:shd w:val="clear" w:color="auto" w:fill="auto"/>
            <w:vAlign w:val="center"/>
          </w:tcPr>
          <w:p w14:paraId="0ED6FE2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w:t>
            </w:r>
          </w:p>
        </w:tc>
      </w:tr>
      <w:tr w:rsidR="00511D9B" w:rsidRPr="000817CB" w14:paraId="42DA1D05" w14:textId="77777777" w:rsidTr="00511D9B">
        <w:trPr>
          <w:jc w:val="center"/>
        </w:trPr>
        <w:tc>
          <w:tcPr>
            <w:tcW w:w="0" w:type="dxa"/>
            <w:shd w:val="clear" w:color="auto" w:fill="auto"/>
            <w:vAlign w:val="center"/>
          </w:tcPr>
          <w:p w14:paraId="741F05F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18:1n-9</w:t>
            </w:r>
          </w:p>
        </w:tc>
        <w:tc>
          <w:tcPr>
            <w:tcW w:w="0" w:type="dxa"/>
            <w:shd w:val="clear" w:color="auto" w:fill="auto"/>
            <w:vAlign w:val="center"/>
          </w:tcPr>
          <w:p w14:paraId="6534734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224</w:t>
            </w:r>
          </w:p>
        </w:tc>
        <w:tc>
          <w:tcPr>
            <w:tcW w:w="0" w:type="dxa"/>
            <w:shd w:val="clear" w:color="auto" w:fill="auto"/>
            <w:vAlign w:val="center"/>
          </w:tcPr>
          <w:p w14:paraId="28382F0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139</w:t>
            </w:r>
          </w:p>
        </w:tc>
        <w:tc>
          <w:tcPr>
            <w:tcW w:w="0" w:type="dxa"/>
            <w:shd w:val="clear" w:color="auto" w:fill="auto"/>
            <w:vAlign w:val="center"/>
          </w:tcPr>
          <w:p w14:paraId="0E7037F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12.6</w:t>
            </w:r>
          </w:p>
        </w:tc>
        <w:tc>
          <w:tcPr>
            <w:tcW w:w="0" w:type="dxa"/>
            <w:shd w:val="clear" w:color="auto" w:fill="auto"/>
            <w:vAlign w:val="center"/>
          </w:tcPr>
          <w:p w14:paraId="0220E41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w:t>
            </w:r>
          </w:p>
        </w:tc>
      </w:tr>
      <w:tr w:rsidR="00511D9B" w:rsidRPr="000817CB" w14:paraId="38DDBD25" w14:textId="77777777" w:rsidTr="00511D9B">
        <w:trPr>
          <w:jc w:val="center"/>
        </w:trPr>
        <w:tc>
          <w:tcPr>
            <w:tcW w:w="0" w:type="dxa"/>
            <w:shd w:val="clear" w:color="auto" w:fill="auto"/>
            <w:vAlign w:val="center"/>
          </w:tcPr>
          <w:p w14:paraId="44980F2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18:1n-7</w:t>
            </w:r>
          </w:p>
        </w:tc>
        <w:tc>
          <w:tcPr>
            <w:tcW w:w="0" w:type="dxa"/>
            <w:shd w:val="clear" w:color="auto" w:fill="auto"/>
            <w:vAlign w:val="center"/>
          </w:tcPr>
          <w:p w14:paraId="188B115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63</w:t>
            </w:r>
          </w:p>
        </w:tc>
        <w:tc>
          <w:tcPr>
            <w:tcW w:w="0" w:type="dxa"/>
            <w:shd w:val="clear" w:color="auto" w:fill="auto"/>
            <w:vAlign w:val="center"/>
          </w:tcPr>
          <w:p w14:paraId="2A24B78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37</w:t>
            </w:r>
          </w:p>
        </w:tc>
        <w:tc>
          <w:tcPr>
            <w:tcW w:w="0" w:type="dxa"/>
            <w:shd w:val="clear" w:color="auto" w:fill="auto"/>
            <w:vAlign w:val="center"/>
          </w:tcPr>
          <w:p w14:paraId="5DA0B09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3.5</w:t>
            </w:r>
          </w:p>
        </w:tc>
        <w:tc>
          <w:tcPr>
            <w:tcW w:w="0" w:type="dxa"/>
            <w:shd w:val="clear" w:color="auto" w:fill="auto"/>
            <w:vAlign w:val="center"/>
          </w:tcPr>
          <w:p w14:paraId="78A3A42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2.1</w:t>
            </w:r>
          </w:p>
        </w:tc>
      </w:tr>
      <w:tr w:rsidR="00511D9B" w:rsidRPr="000817CB" w14:paraId="34A236EF" w14:textId="77777777" w:rsidTr="00511D9B">
        <w:trPr>
          <w:jc w:val="center"/>
        </w:trPr>
        <w:tc>
          <w:tcPr>
            <w:tcW w:w="0" w:type="dxa"/>
            <w:shd w:val="clear" w:color="auto" w:fill="auto"/>
            <w:vAlign w:val="center"/>
          </w:tcPr>
          <w:p w14:paraId="2DADFED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20:1n-9</w:t>
            </w:r>
          </w:p>
        </w:tc>
        <w:tc>
          <w:tcPr>
            <w:tcW w:w="0" w:type="dxa"/>
            <w:shd w:val="clear" w:color="auto" w:fill="auto"/>
            <w:vAlign w:val="center"/>
          </w:tcPr>
          <w:p w14:paraId="07168C7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102</w:t>
            </w:r>
          </w:p>
        </w:tc>
        <w:tc>
          <w:tcPr>
            <w:tcW w:w="0" w:type="dxa"/>
            <w:shd w:val="clear" w:color="auto" w:fill="auto"/>
            <w:vAlign w:val="center"/>
          </w:tcPr>
          <w:p w14:paraId="0717B5E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144</w:t>
            </w:r>
          </w:p>
        </w:tc>
        <w:tc>
          <w:tcPr>
            <w:tcW w:w="0" w:type="dxa"/>
            <w:shd w:val="clear" w:color="auto" w:fill="auto"/>
            <w:vAlign w:val="center"/>
          </w:tcPr>
          <w:p w14:paraId="33AB393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5.7</w:t>
            </w:r>
          </w:p>
        </w:tc>
        <w:tc>
          <w:tcPr>
            <w:tcW w:w="0" w:type="dxa"/>
            <w:shd w:val="clear" w:color="auto" w:fill="auto"/>
            <w:vAlign w:val="center"/>
          </w:tcPr>
          <w:p w14:paraId="4ABFA17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w:t>
            </w:r>
          </w:p>
        </w:tc>
      </w:tr>
      <w:tr w:rsidR="00511D9B" w:rsidRPr="000817CB" w14:paraId="0792CC67" w14:textId="77777777" w:rsidTr="00511D9B">
        <w:trPr>
          <w:jc w:val="center"/>
        </w:trPr>
        <w:tc>
          <w:tcPr>
            <w:tcW w:w="0" w:type="dxa"/>
            <w:shd w:val="clear" w:color="auto" w:fill="auto"/>
            <w:vAlign w:val="center"/>
          </w:tcPr>
          <w:p w14:paraId="4E224D7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Total MUFA</w:t>
            </w:r>
          </w:p>
        </w:tc>
        <w:tc>
          <w:tcPr>
            <w:tcW w:w="0" w:type="dxa"/>
            <w:shd w:val="clear" w:color="auto" w:fill="auto"/>
            <w:vAlign w:val="center"/>
          </w:tcPr>
          <w:p w14:paraId="15026B2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527</w:t>
            </w:r>
          </w:p>
        </w:tc>
        <w:tc>
          <w:tcPr>
            <w:tcW w:w="0" w:type="dxa"/>
            <w:shd w:val="clear" w:color="auto" w:fill="auto"/>
            <w:vAlign w:val="center"/>
          </w:tcPr>
          <w:p w14:paraId="18D5955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325</w:t>
            </w:r>
          </w:p>
        </w:tc>
        <w:tc>
          <w:tcPr>
            <w:tcW w:w="0" w:type="dxa"/>
            <w:shd w:val="clear" w:color="auto" w:fill="auto"/>
            <w:vAlign w:val="center"/>
          </w:tcPr>
          <w:p w14:paraId="54CF83E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29.5</w:t>
            </w:r>
          </w:p>
        </w:tc>
        <w:tc>
          <w:tcPr>
            <w:tcW w:w="0" w:type="dxa"/>
            <w:shd w:val="clear" w:color="auto" w:fill="auto"/>
            <w:vAlign w:val="center"/>
          </w:tcPr>
          <w:p w14:paraId="3803DF1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18.2</w:t>
            </w:r>
          </w:p>
        </w:tc>
      </w:tr>
      <w:tr w:rsidR="00511D9B" w:rsidRPr="000817CB" w14:paraId="2AE765F8" w14:textId="77777777" w:rsidTr="00511D9B">
        <w:trPr>
          <w:jc w:val="center"/>
        </w:trPr>
        <w:tc>
          <w:tcPr>
            <w:tcW w:w="0" w:type="dxa"/>
            <w:shd w:val="clear" w:color="auto" w:fill="auto"/>
            <w:vAlign w:val="center"/>
          </w:tcPr>
          <w:p w14:paraId="25B84AB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18:2n-6</w:t>
            </w:r>
          </w:p>
        </w:tc>
        <w:tc>
          <w:tcPr>
            <w:tcW w:w="0" w:type="dxa"/>
            <w:shd w:val="clear" w:color="auto" w:fill="auto"/>
            <w:vAlign w:val="center"/>
          </w:tcPr>
          <w:p w14:paraId="2A17D46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w:t>
            </w:r>
          </w:p>
        </w:tc>
        <w:tc>
          <w:tcPr>
            <w:tcW w:w="0" w:type="dxa"/>
            <w:shd w:val="clear" w:color="auto" w:fill="auto"/>
            <w:vAlign w:val="center"/>
          </w:tcPr>
          <w:p w14:paraId="6F3D5A6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468</w:t>
            </w:r>
          </w:p>
        </w:tc>
        <w:tc>
          <w:tcPr>
            <w:tcW w:w="0" w:type="dxa"/>
            <w:shd w:val="clear" w:color="auto" w:fill="auto"/>
            <w:vAlign w:val="center"/>
          </w:tcPr>
          <w:p w14:paraId="1FC1DE1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w:t>
            </w:r>
          </w:p>
        </w:tc>
        <w:tc>
          <w:tcPr>
            <w:tcW w:w="0" w:type="dxa"/>
            <w:shd w:val="clear" w:color="auto" w:fill="auto"/>
            <w:vAlign w:val="center"/>
          </w:tcPr>
          <w:p w14:paraId="6B72B71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26.2</w:t>
            </w:r>
          </w:p>
        </w:tc>
      </w:tr>
      <w:tr w:rsidR="00511D9B" w:rsidRPr="000817CB" w14:paraId="0CBE293D" w14:textId="77777777" w:rsidTr="00511D9B">
        <w:trPr>
          <w:jc w:val="center"/>
        </w:trPr>
        <w:tc>
          <w:tcPr>
            <w:tcW w:w="0" w:type="dxa"/>
            <w:shd w:val="clear" w:color="auto" w:fill="auto"/>
            <w:vAlign w:val="center"/>
          </w:tcPr>
          <w:p w14:paraId="0A3FA8F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lastRenderedPageBreak/>
              <w:t>18:3n-6</w:t>
            </w:r>
          </w:p>
        </w:tc>
        <w:tc>
          <w:tcPr>
            <w:tcW w:w="0" w:type="dxa"/>
            <w:shd w:val="clear" w:color="auto" w:fill="auto"/>
            <w:vAlign w:val="center"/>
          </w:tcPr>
          <w:p w14:paraId="47411B3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w:t>
            </w:r>
          </w:p>
        </w:tc>
        <w:tc>
          <w:tcPr>
            <w:tcW w:w="0" w:type="dxa"/>
            <w:shd w:val="clear" w:color="auto" w:fill="auto"/>
            <w:vAlign w:val="center"/>
          </w:tcPr>
          <w:p w14:paraId="27BCE10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w:t>
            </w:r>
          </w:p>
        </w:tc>
        <w:tc>
          <w:tcPr>
            <w:tcW w:w="0" w:type="dxa"/>
            <w:shd w:val="clear" w:color="auto" w:fill="auto"/>
            <w:vAlign w:val="center"/>
          </w:tcPr>
          <w:p w14:paraId="14115BD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w:t>
            </w:r>
          </w:p>
        </w:tc>
        <w:tc>
          <w:tcPr>
            <w:tcW w:w="0" w:type="dxa"/>
            <w:shd w:val="clear" w:color="auto" w:fill="auto"/>
            <w:vAlign w:val="center"/>
          </w:tcPr>
          <w:p w14:paraId="78FC93C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4.1</w:t>
            </w:r>
          </w:p>
        </w:tc>
      </w:tr>
      <w:tr w:rsidR="00511D9B" w:rsidRPr="000817CB" w14:paraId="4EE71A59" w14:textId="77777777" w:rsidTr="00511D9B">
        <w:trPr>
          <w:jc w:val="center"/>
        </w:trPr>
        <w:tc>
          <w:tcPr>
            <w:tcW w:w="0" w:type="dxa"/>
            <w:shd w:val="clear" w:color="auto" w:fill="auto"/>
            <w:vAlign w:val="center"/>
          </w:tcPr>
          <w:p w14:paraId="7640CB0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20:2n-6</w:t>
            </w:r>
          </w:p>
        </w:tc>
        <w:tc>
          <w:tcPr>
            <w:tcW w:w="0" w:type="dxa"/>
            <w:shd w:val="clear" w:color="auto" w:fill="auto"/>
            <w:vAlign w:val="center"/>
          </w:tcPr>
          <w:p w14:paraId="2EB9720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w:t>
            </w:r>
          </w:p>
        </w:tc>
        <w:tc>
          <w:tcPr>
            <w:tcW w:w="0" w:type="dxa"/>
            <w:shd w:val="clear" w:color="auto" w:fill="auto"/>
            <w:vAlign w:val="center"/>
          </w:tcPr>
          <w:p w14:paraId="1B596B0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w:t>
            </w:r>
          </w:p>
        </w:tc>
        <w:tc>
          <w:tcPr>
            <w:tcW w:w="0" w:type="dxa"/>
            <w:shd w:val="clear" w:color="auto" w:fill="auto"/>
            <w:vAlign w:val="center"/>
          </w:tcPr>
          <w:p w14:paraId="506B297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w:t>
            </w:r>
          </w:p>
        </w:tc>
        <w:tc>
          <w:tcPr>
            <w:tcW w:w="0" w:type="dxa"/>
            <w:shd w:val="clear" w:color="auto" w:fill="auto"/>
            <w:vAlign w:val="center"/>
          </w:tcPr>
          <w:p w14:paraId="3A223F6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w:t>
            </w:r>
          </w:p>
        </w:tc>
      </w:tr>
      <w:tr w:rsidR="00511D9B" w:rsidRPr="000817CB" w14:paraId="624695C6" w14:textId="77777777" w:rsidTr="00511D9B">
        <w:trPr>
          <w:jc w:val="center"/>
        </w:trPr>
        <w:tc>
          <w:tcPr>
            <w:tcW w:w="0" w:type="dxa"/>
            <w:shd w:val="clear" w:color="auto" w:fill="auto"/>
            <w:vAlign w:val="center"/>
          </w:tcPr>
          <w:p w14:paraId="12EAB08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20:3n-6</w:t>
            </w:r>
          </w:p>
        </w:tc>
        <w:tc>
          <w:tcPr>
            <w:tcW w:w="0" w:type="dxa"/>
            <w:shd w:val="clear" w:color="auto" w:fill="auto"/>
            <w:vAlign w:val="center"/>
          </w:tcPr>
          <w:p w14:paraId="50842AD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w:t>
            </w:r>
          </w:p>
        </w:tc>
        <w:tc>
          <w:tcPr>
            <w:tcW w:w="0" w:type="dxa"/>
            <w:shd w:val="clear" w:color="auto" w:fill="auto"/>
            <w:vAlign w:val="center"/>
          </w:tcPr>
          <w:p w14:paraId="796BC86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21</w:t>
            </w:r>
          </w:p>
        </w:tc>
        <w:tc>
          <w:tcPr>
            <w:tcW w:w="0" w:type="dxa"/>
            <w:shd w:val="clear" w:color="auto" w:fill="auto"/>
            <w:vAlign w:val="center"/>
          </w:tcPr>
          <w:p w14:paraId="36F4ED6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w:t>
            </w:r>
          </w:p>
        </w:tc>
        <w:tc>
          <w:tcPr>
            <w:tcW w:w="0" w:type="dxa"/>
            <w:shd w:val="clear" w:color="auto" w:fill="auto"/>
            <w:vAlign w:val="center"/>
          </w:tcPr>
          <w:p w14:paraId="6D43EF7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w:t>
            </w:r>
          </w:p>
        </w:tc>
      </w:tr>
      <w:tr w:rsidR="00511D9B" w:rsidRPr="000817CB" w14:paraId="7CDC4A6F" w14:textId="77777777" w:rsidTr="00511D9B">
        <w:trPr>
          <w:jc w:val="center"/>
        </w:trPr>
        <w:tc>
          <w:tcPr>
            <w:tcW w:w="0" w:type="dxa"/>
            <w:shd w:val="clear" w:color="auto" w:fill="auto"/>
            <w:vAlign w:val="center"/>
          </w:tcPr>
          <w:p w14:paraId="48ECBC5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20:4n-6</w:t>
            </w:r>
          </w:p>
        </w:tc>
        <w:tc>
          <w:tcPr>
            <w:tcW w:w="0" w:type="dxa"/>
            <w:shd w:val="clear" w:color="auto" w:fill="auto"/>
            <w:vAlign w:val="center"/>
          </w:tcPr>
          <w:p w14:paraId="3D027FF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15</w:t>
            </w:r>
          </w:p>
        </w:tc>
        <w:tc>
          <w:tcPr>
            <w:tcW w:w="0" w:type="dxa"/>
            <w:shd w:val="clear" w:color="auto" w:fill="auto"/>
            <w:vAlign w:val="center"/>
          </w:tcPr>
          <w:p w14:paraId="23F50F1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67</w:t>
            </w:r>
          </w:p>
        </w:tc>
        <w:tc>
          <w:tcPr>
            <w:tcW w:w="0" w:type="dxa"/>
            <w:shd w:val="clear" w:color="auto" w:fill="auto"/>
            <w:vAlign w:val="center"/>
          </w:tcPr>
          <w:p w14:paraId="0B4F9FD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0.9</w:t>
            </w:r>
          </w:p>
        </w:tc>
        <w:tc>
          <w:tcPr>
            <w:tcW w:w="0" w:type="dxa"/>
            <w:shd w:val="clear" w:color="auto" w:fill="auto"/>
            <w:vAlign w:val="center"/>
          </w:tcPr>
          <w:p w14:paraId="08B402C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3.8</w:t>
            </w:r>
          </w:p>
        </w:tc>
      </w:tr>
      <w:tr w:rsidR="00511D9B" w:rsidRPr="000817CB" w14:paraId="42818F91" w14:textId="77777777" w:rsidTr="00511D9B">
        <w:trPr>
          <w:jc w:val="center"/>
        </w:trPr>
        <w:tc>
          <w:tcPr>
            <w:tcW w:w="0" w:type="dxa"/>
            <w:shd w:val="clear" w:color="auto" w:fill="auto"/>
            <w:vAlign w:val="center"/>
          </w:tcPr>
          <w:p w14:paraId="2A208DF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Total n-6 PUFA</w:t>
            </w:r>
          </w:p>
        </w:tc>
        <w:tc>
          <w:tcPr>
            <w:tcW w:w="0" w:type="dxa"/>
            <w:shd w:val="clear" w:color="auto" w:fill="auto"/>
            <w:vAlign w:val="center"/>
          </w:tcPr>
          <w:p w14:paraId="3DF3307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50</w:t>
            </w:r>
          </w:p>
        </w:tc>
        <w:tc>
          <w:tcPr>
            <w:tcW w:w="0" w:type="dxa"/>
            <w:shd w:val="clear" w:color="auto" w:fill="auto"/>
            <w:vAlign w:val="center"/>
          </w:tcPr>
          <w:p w14:paraId="359843F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650</w:t>
            </w:r>
          </w:p>
        </w:tc>
        <w:tc>
          <w:tcPr>
            <w:tcW w:w="0" w:type="dxa"/>
            <w:shd w:val="clear" w:color="auto" w:fill="auto"/>
            <w:vAlign w:val="center"/>
          </w:tcPr>
          <w:p w14:paraId="2D742DA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2.8</w:t>
            </w:r>
          </w:p>
        </w:tc>
        <w:tc>
          <w:tcPr>
            <w:tcW w:w="0" w:type="dxa"/>
            <w:shd w:val="clear" w:color="auto" w:fill="auto"/>
            <w:vAlign w:val="center"/>
          </w:tcPr>
          <w:p w14:paraId="5D09229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36.4</w:t>
            </w:r>
          </w:p>
        </w:tc>
      </w:tr>
      <w:tr w:rsidR="00511D9B" w:rsidRPr="000817CB" w14:paraId="4726BF1F" w14:textId="77777777" w:rsidTr="00511D9B">
        <w:trPr>
          <w:jc w:val="center"/>
        </w:trPr>
        <w:tc>
          <w:tcPr>
            <w:tcW w:w="0" w:type="dxa"/>
            <w:shd w:val="clear" w:color="auto" w:fill="auto"/>
            <w:vAlign w:val="center"/>
          </w:tcPr>
          <w:p w14:paraId="7F6D7FC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18:3n-3</w:t>
            </w:r>
          </w:p>
        </w:tc>
        <w:tc>
          <w:tcPr>
            <w:tcW w:w="0" w:type="dxa"/>
            <w:shd w:val="clear" w:color="auto" w:fill="auto"/>
            <w:vAlign w:val="center"/>
          </w:tcPr>
          <w:p w14:paraId="26CC91F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w:t>
            </w:r>
          </w:p>
        </w:tc>
        <w:tc>
          <w:tcPr>
            <w:tcW w:w="0" w:type="dxa"/>
            <w:shd w:val="clear" w:color="auto" w:fill="auto"/>
            <w:vAlign w:val="center"/>
          </w:tcPr>
          <w:p w14:paraId="1107CCD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321</w:t>
            </w:r>
          </w:p>
        </w:tc>
        <w:tc>
          <w:tcPr>
            <w:tcW w:w="0" w:type="dxa"/>
            <w:shd w:val="clear" w:color="auto" w:fill="auto"/>
            <w:vAlign w:val="center"/>
          </w:tcPr>
          <w:p w14:paraId="734A9C2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0.9</w:t>
            </w:r>
          </w:p>
        </w:tc>
        <w:tc>
          <w:tcPr>
            <w:tcW w:w="0" w:type="dxa"/>
            <w:shd w:val="clear" w:color="auto" w:fill="auto"/>
            <w:vAlign w:val="center"/>
          </w:tcPr>
          <w:p w14:paraId="1055D05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18.0</w:t>
            </w:r>
          </w:p>
        </w:tc>
      </w:tr>
      <w:tr w:rsidR="00511D9B" w:rsidRPr="000817CB" w14:paraId="46790A61" w14:textId="77777777" w:rsidTr="00511D9B">
        <w:trPr>
          <w:jc w:val="center"/>
        </w:trPr>
        <w:tc>
          <w:tcPr>
            <w:tcW w:w="0" w:type="dxa"/>
            <w:shd w:val="clear" w:color="auto" w:fill="auto"/>
            <w:vAlign w:val="center"/>
          </w:tcPr>
          <w:p w14:paraId="347EEB7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20:4n-3</w:t>
            </w:r>
          </w:p>
        </w:tc>
        <w:tc>
          <w:tcPr>
            <w:tcW w:w="0" w:type="dxa"/>
            <w:shd w:val="clear" w:color="auto" w:fill="auto"/>
            <w:vAlign w:val="center"/>
          </w:tcPr>
          <w:p w14:paraId="041C20F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96</w:t>
            </w:r>
          </w:p>
        </w:tc>
        <w:tc>
          <w:tcPr>
            <w:tcW w:w="0" w:type="dxa"/>
            <w:shd w:val="clear" w:color="auto" w:fill="auto"/>
            <w:vAlign w:val="center"/>
          </w:tcPr>
          <w:p w14:paraId="4628F99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66</w:t>
            </w:r>
          </w:p>
        </w:tc>
        <w:tc>
          <w:tcPr>
            <w:tcW w:w="0" w:type="dxa"/>
            <w:shd w:val="clear" w:color="auto" w:fill="auto"/>
            <w:vAlign w:val="center"/>
          </w:tcPr>
          <w:p w14:paraId="2CFD1F7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5.4</w:t>
            </w:r>
          </w:p>
        </w:tc>
        <w:tc>
          <w:tcPr>
            <w:tcW w:w="0" w:type="dxa"/>
            <w:shd w:val="clear" w:color="auto" w:fill="auto"/>
            <w:vAlign w:val="center"/>
          </w:tcPr>
          <w:p w14:paraId="05AC850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3.7</w:t>
            </w:r>
          </w:p>
        </w:tc>
      </w:tr>
      <w:tr w:rsidR="00511D9B" w:rsidRPr="000817CB" w14:paraId="7CBBC3C3" w14:textId="77777777" w:rsidTr="00511D9B">
        <w:trPr>
          <w:jc w:val="center"/>
        </w:trPr>
        <w:tc>
          <w:tcPr>
            <w:tcW w:w="0" w:type="dxa"/>
            <w:shd w:val="clear" w:color="auto" w:fill="auto"/>
            <w:vAlign w:val="center"/>
          </w:tcPr>
          <w:p w14:paraId="2C90101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20:5n-3</w:t>
            </w:r>
          </w:p>
        </w:tc>
        <w:tc>
          <w:tcPr>
            <w:tcW w:w="0" w:type="dxa"/>
            <w:shd w:val="clear" w:color="auto" w:fill="auto"/>
            <w:vAlign w:val="center"/>
          </w:tcPr>
          <w:p w14:paraId="2DC62EE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247</w:t>
            </w:r>
          </w:p>
        </w:tc>
        <w:tc>
          <w:tcPr>
            <w:tcW w:w="0" w:type="dxa"/>
            <w:shd w:val="clear" w:color="auto" w:fill="auto"/>
            <w:vAlign w:val="center"/>
          </w:tcPr>
          <w:p w14:paraId="27031B8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254</w:t>
            </w:r>
          </w:p>
        </w:tc>
        <w:tc>
          <w:tcPr>
            <w:tcW w:w="0" w:type="dxa"/>
            <w:shd w:val="clear" w:color="auto" w:fill="auto"/>
            <w:vAlign w:val="center"/>
          </w:tcPr>
          <w:p w14:paraId="3D4302C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13.8</w:t>
            </w:r>
          </w:p>
        </w:tc>
        <w:tc>
          <w:tcPr>
            <w:tcW w:w="0" w:type="dxa"/>
            <w:shd w:val="clear" w:color="auto" w:fill="auto"/>
            <w:vAlign w:val="center"/>
          </w:tcPr>
          <w:p w14:paraId="4ECF2B4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14.2</w:t>
            </w:r>
          </w:p>
        </w:tc>
      </w:tr>
      <w:tr w:rsidR="00511D9B" w:rsidRPr="000817CB" w14:paraId="737D3CE0" w14:textId="77777777" w:rsidTr="00511D9B">
        <w:trPr>
          <w:jc w:val="center"/>
        </w:trPr>
        <w:tc>
          <w:tcPr>
            <w:tcW w:w="0" w:type="dxa"/>
            <w:shd w:val="clear" w:color="auto" w:fill="auto"/>
            <w:vAlign w:val="center"/>
          </w:tcPr>
          <w:p w14:paraId="4A521DE7"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22:5n-3</w:t>
            </w:r>
          </w:p>
        </w:tc>
        <w:tc>
          <w:tcPr>
            <w:tcW w:w="0" w:type="dxa"/>
            <w:shd w:val="clear" w:color="auto" w:fill="auto"/>
            <w:vAlign w:val="center"/>
          </w:tcPr>
          <w:p w14:paraId="4B520FB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29</w:t>
            </w:r>
          </w:p>
        </w:tc>
        <w:tc>
          <w:tcPr>
            <w:tcW w:w="0" w:type="dxa"/>
            <w:shd w:val="clear" w:color="auto" w:fill="auto"/>
            <w:vAlign w:val="center"/>
          </w:tcPr>
          <w:p w14:paraId="2632CA4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155</w:t>
            </w:r>
          </w:p>
        </w:tc>
        <w:tc>
          <w:tcPr>
            <w:tcW w:w="0" w:type="dxa"/>
            <w:shd w:val="clear" w:color="auto" w:fill="auto"/>
            <w:vAlign w:val="center"/>
          </w:tcPr>
          <w:p w14:paraId="0587195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w:t>
            </w:r>
          </w:p>
        </w:tc>
        <w:tc>
          <w:tcPr>
            <w:tcW w:w="0" w:type="dxa"/>
            <w:shd w:val="clear" w:color="auto" w:fill="auto"/>
            <w:vAlign w:val="center"/>
          </w:tcPr>
          <w:p w14:paraId="2AE377F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8.7</w:t>
            </w:r>
          </w:p>
        </w:tc>
      </w:tr>
      <w:tr w:rsidR="00511D9B" w:rsidRPr="000817CB" w14:paraId="668FD83E" w14:textId="77777777" w:rsidTr="00511D9B">
        <w:trPr>
          <w:jc w:val="center"/>
        </w:trPr>
        <w:tc>
          <w:tcPr>
            <w:tcW w:w="0" w:type="dxa"/>
            <w:shd w:val="clear" w:color="auto" w:fill="auto"/>
            <w:vAlign w:val="center"/>
          </w:tcPr>
          <w:p w14:paraId="269565E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22:6n-3</w:t>
            </w:r>
          </w:p>
        </w:tc>
        <w:tc>
          <w:tcPr>
            <w:tcW w:w="0" w:type="dxa"/>
            <w:shd w:val="clear" w:color="auto" w:fill="auto"/>
            <w:vAlign w:val="center"/>
          </w:tcPr>
          <w:p w14:paraId="4C72DA3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199</w:t>
            </w:r>
          </w:p>
        </w:tc>
        <w:tc>
          <w:tcPr>
            <w:tcW w:w="0" w:type="dxa"/>
            <w:shd w:val="clear" w:color="auto" w:fill="auto"/>
            <w:vAlign w:val="center"/>
          </w:tcPr>
          <w:p w14:paraId="6D2AF3A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202</w:t>
            </w:r>
          </w:p>
        </w:tc>
        <w:tc>
          <w:tcPr>
            <w:tcW w:w="0" w:type="dxa"/>
            <w:shd w:val="clear" w:color="auto" w:fill="auto"/>
            <w:vAlign w:val="center"/>
          </w:tcPr>
          <w:p w14:paraId="23D349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11.1</w:t>
            </w:r>
          </w:p>
        </w:tc>
        <w:tc>
          <w:tcPr>
            <w:tcW w:w="0" w:type="dxa"/>
            <w:shd w:val="clear" w:color="auto" w:fill="auto"/>
            <w:vAlign w:val="center"/>
          </w:tcPr>
          <w:p w14:paraId="7BC242F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11.3</w:t>
            </w:r>
          </w:p>
        </w:tc>
      </w:tr>
      <w:tr w:rsidR="00511D9B" w:rsidRPr="000817CB" w14:paraId="399A76E5" w14:textId="77777777" w:rsidTr="00511D9B">
        <w:trPr>
          <w:jc w:val="center"/>
        </w:trPr>
        <w:tc>
          <w:tcPr>
            <w:tcW w:w="0" w:type="dxa"/>
            <w:shd w:val="clear" w:color="auto" w:fill="auto"/>
            <w:vAlign w:val="center"/>
          </w:tcPr>
          <w:p w14:paraId="3767AC8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EPA+DHA</w:t>
            </w:r>
          </w:p>
        </w:tc>
        <w:tc>
          <w:tcPr>
            <w:tcW w:w="0" w:type="dxa"/>
            <w:shd w:val="clear" w:color="auto" w:fill="auto"/>
            <w:vAlign w:val="center"/>
          </w:tcPr>
          <w:p w14:paraId="1F53518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445</w:t>
            </w:r>
          </w:p>
        </w:tc>
        <w:tc>
          <w:tcPr>
            <w:tcW w:w="0" w:type="dxa"/>
            <w:shd w:val="clear" w:color="auto" w:fill="auto"/>
            <w:vAlign w:val="center"/>
          </w:tcPr>
          <w:p w14:paraId="5A6B534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456</w:t>
            </w:r>
          </w:p>
        </w:tc>
        <w:tc>
          <w:tcPr>
            <w:tcW w:w="0" w:type="dxa"/>
            <w:shd w:val="clear" w:color="auto" w:fill="auto"/>
            <w:vAlign w:val="center"/>
          </w:tcPr>
          <w:p w14:paraId="62669D3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24.9</w:t>
            </w:r>
          </w:p>
        </w:tc>
        <w:tc>
          <w:tcPr>
            <w:tcW w:w="0" w:type="dxa"/>
            <w:shd w:val="clear" w:color="auto" w:fill="auto"/>
            <w:vAlign w:val="center"/>
          </w:tcPr>
          <w:p w14:paraId="15AA195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25.5</w:t>
            </w:r>
          </w:p>
        </w:tc>
      </w:tr>
      <w:tr w:rsidR="00511D9B" w:rsidRPr="000817CB" w14:paraId="59E62052" w14:textId="77777777" w:rsidTr="00511D9B">
        <w:trPr>
          <w:jc w:val="center"/>
        </w:trPr>
        <w:tc>
          <w:tcPr>
            <w:tcW w:w="0" w:type="dxa"/>
            <w:shd w:val="clear" w:color="auto" w:fill="auto"/>
            <w:vAlign w:val="center"/>
          </w:tcPr>
          <w:p w14:paraId="75CFFEB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Total n-3 PUFA</w:t>
            </w:r>
          </w:p>
        </w:tc>
        <w:tc>
          <w:tcPr>
            <w:tcW w:w="0" w:type="dxa"/>
            <w:shd w:val="clear" w:color="auto" w:fill="auto"/>
            <w:vAlign w:val="center"/>
          </w:tcPr>
          <w:p w14:paraId="476A9B6D"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587</w:t>
            </w:r>
          </w:p>
        </w:tc>
        <w:tc>
          <w:tcPr>
            <w:tcW w:w="0" w:type="dxa"/>
            <w:shd w:val="clear" w:color="auto" w:fill="auto"/>
            <w:vAlign w:val="center"/>
          </w:tcPr>
          <w:p w14:paraId="5FD9773E"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998</w:t>
            </w:r>
          </w:p>
        </w:tc>
        <w:tc>
          <w:tcPr>
            <w:tcW w:w="0" w:type="dxa"/>
            <w:shd w:val="clear" w:color="auto" w:fill="auto"/>
            <w:vAlign w:val="center"/>
          </w:tcPr>
          <w:p w14:paraId="34C06CC7"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33</w:t>
            </w:r>
          </w:p>
        </w:tc>
        <w:tc>
          <w:tcPr>
            <w:tcW w:w="0" w:type="dxa"/>
            <w:shd w:val="clear" w:color="auto" w:fill="auto"/>
            <w:vAlign w:val="center"/>
          </w:tcPr>
          <w:p w14:paraId="5519CD4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56</w:t>
            </w:r>
          </w:p>
        </w:tc>
      </w:tr>
      <w:tr w:rsidR="00511D9B" w:rsidRPr="000817CB" w14:paraId="655F8421" w14:textId="77777777" w:rsidTr="00511D9B">
        <w:trPr>
          <w:jc w:val="center"/>
        </w:trPr>
        <w:tc>
          <w:tcPr>
            <w:tcW w:w="0" w:type="dxa"/>
            <w:tcBorders>
              <w:bottom w:val="single" w:sz="8" w:space="0" w:color="auto"/>
            </w:tcBorders>
            <w:shd w:val="clear" w:color="auto" w:fill="auto"/>
            <w:vAlign w:val="center"/>
          </w:tcPr>
          <w:p w14:paraId="6C72D4B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Total fatty acids</w:t>
            </w:r>
          </w:p>
        </w:tc>
        <w:tc>
          <w:tcPr>
            <w:tcW w:w="0" w:type="dxa"/>
            <w:tcBorders>
              <w:bottom w:val="single" w:sz="8" w:space="0" w:color="auto"/>
            </w:tcBorders>
            <w:shd w:val="clear" w:color="auto" w:fill="auto"/>
            <w:vAlign w:val="center"/>
          </w:tcPr>
          <w:p w14:paraId="0C572BA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1,545</w:t>
            </w:r>
          </w:p>
        </w:tc>
        <w:tc>
          <w:tcPr>
            <w:tcW w:w="0" w:type="dxa"/>
            <w:tcBorders>
              <w:bottom w:val="single" w:sz="8" w:space="0" w:color="auto"/>
            </w:tcBorders>
            <w:shd w:val="clear" w:color="auto" w:fill="auto"/>
            <w:vAlign w:val="center"/>
          </w:tcPr>
          <w:p w14:paraId="0733528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2,352</w:t>
            </w:r>
          </w:p>
        </w:tc>
        <w:tc>
          <w:tcPr>
            <w:tcW w:w="0" w:type="dxa"/>
            <w:tcBorders>
              <w:bottom w:val="single" w:sz="8" w:space="0" w:color="auto"/>
            </w:tcBorders>
            <w:shd w:val="clear" w:color="auto" w:fill="auto"/>
            <w:vAlign w:val="center"/>
          </w:tcPr>
          <w:p w14:paraId="56F103B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86.5</w:t>
            </w:r>
          </w:p>
        </w:tc>
        <w:tc>
          <w:tcPr>
            <w:tcW w:w="0" w:type="dxa"/>
            <w:tcBorders>
              <w:bottom w:val="single" w:sz="8" w:space="0" w:color="auto"/>
            </w:tcBorders>
            <w:shd w:val="clear" w:color="auto" w:fill="auto"/>
            <w:vAlign w:val="center"/>
          </w:tcPr>
          <w:p w14:paraId="7728700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131.7</w:t>
            </w:r>
          </w:p>
        </w:tc>
      </w:tr>
    </w:tbl>
    <w:p w14:paraId="1C5CC4ED" w14:textId="77777777" w:rsidR="00F709B0" w:rsidRPr="000817CB" w:rsidRDefault="00FF4921" w:rsidP="00FF4921">
      <w:pPr>
        <w:pStyle w:val="MDPI22heading2"/>
        <w:spacing w:before="240"/>
      </w:pPr>
      <w:r w:rsidRPr="000817CB">
        <w:t xml:space="preserve">2.3. </w:t>
      </w:r>
      <w:r w:rsidR="00F709B0" w:rsidRPr="000817CB">
        <w:t xml:space="preserve">T cell isolation and culture </w:t>
      </w:r>
    </w:p>
    <w:p w14:paraId="2DFB70E5" w14:textId="5672BE89" w:rsidR="00F709B0" w:rsidRPr="000817CB" w:rsidRDefault="00F709B0" w:rsidP="00FF4921">
      <w:pPr>
        <w:pStyle w:val="MDPI31text"/>
      </w:pPr>
      <w:r w:rsidRPr="000817CB">
        <w:t>For RNAseq analysis, CD3</w:t>
      </w:r>
      <w:r w:rsidRPr="000817CB">
        <w:rPr>
          <w:vertAlign w:val="superscript"/>
        </w:rPr>
        <w:t>+</w:t>
      </w:r>
      <w:r w:rsidRPr="000817CB">
        <w:t xml:space="preserve"> T cells were purified from PMBCs by negative selection using the </w:t>
      </w:r>
      <w:proofErr w:type="spellStart"/>
      <w:r w:rsidRPr="000817CB">
        <w:t>EasySep</w:t>
      </w:r>
      <w:proofErr w:type="spellEnd"/>
      <w:r w:rsidRPr="000817CB">
        <w:t>™ Human T Cell Isolation Kit (</w:t>
      </w:r>
      <w:proofErr w:type="spellStart"/>
      <w:r w:rsidRPr="000817CB">
        <w:t>StemCell</w:t>
      </w:r>
      <w:proofErr w:type="spellEnd"/>
      <w:r w:rsidRPr="000817CB">
        <w:t xml:space="preserve"> Technologies) according to the manufacturer’s instructions.  </w:t>
      </w:r>
      <w:r w:rsidR="004E72F7">
        <w:t xml:space="preserve">The proportion of CD3+ cells in the T cell fraction was </w:t>
      </w:r>
      <w:r w:rsidR="00E72B70">
        <w:t xml:space="preserve">determined by flow cytometry and found to be </w:t>
      </w:r>
      <w:r w:rsidR="004E72F7">
        <w:t xml:space="preserve">between </w:t>
      </w:r>
      <w:r w:rsidR="004E72F7">
        <w:rPr>
          <w:rFonts w:ascii="Times New Roman" w:hAnsi="Times New Roman"/>
          <w:lang w:eastAsia="en-GB"/>
        </w:rPr>
        <w:t>80.4% to 87.7%.</w:t>
      </w:r>
    </w:p>
    <w:p w14:paraId="2226CEE5" w14:textId="05B7A85F" w:rsidR="00F709B0" w:rsidRPr="000817CB" w:rsidRDefault="00F709B0" w:rsidP="00FF4921">
      <w:pPr>
        <w:pStyle w:val="MDPI31text"/>
      </w:pPr>
      <w:r w:rsidRPr="000817CB">
        <w:tab/>
        <w:t>Cells were cultured for 48 hours in RPMI-1640 medium (Sigma-Aldrich) containing L-glutamine (2mM), penicillin (100 units/ml) and streptomycin/ (100</w:t>
      </w:r>
      <w:r w:rsidR="00FF4921" w:rsidRPr="000817CB">
        <w:t xml:space="preserve"> </w:t>
      </w:r>
      <w:r w:rsidRPr="000817CB">
        <w:t xml:space="preserve">µg /mL) and 10% (v/v) autologous plasma with or without 10 µg/ml concanavalin A (Sigma-Aldrich).  At 48 hours, cells were collected by centrifugation, washed with PBS and the pellets either frozen directly or resuspended in </w:t>
      </w:r>
      <w:proofErr w:type="spellStart"/>
      <w:r w:rsidRPr="000817CB">
        <w:t>RNAlater</w:t>
      </w:r>
      <w:proofErr w:type="spellEnd"/>
      <w:r w:rsidR="00F674B7">
        <w:t xml:space="preserve"> (</w:t>
      </w:r>
      <w:proofErr w:type="spellStart"/>
      <w:r w:rsidR="00F674B7">
        <w:t>ThermoFisher</w:t>
      </w:r>
      <w:proofErr w:type="spellEnd"/>
      <w:r w:rsidR="00F674B7">
        <w:t xml:space="preserve"> Scientific, UK)</w:t>
      </w:r>
      <w:r w:rsidRPr="000817CB">
        <w:t>, and stored at -80°C.</w:t>
      </w:r>
    </w:p>
    <w:p w14:paraId="45DBE887" w14:textId="77777777" w:rsidR="00F709B0" w:rsidRPr="000817CB" w:rsidRDefault="00FF4921" w:rsidP="00FF4921">
      <w:pPr>
        <w:pStyle w:val="MDPI22heading2"/>
        <w:spacing w:before="240"/>
      </w:pPr>
      <w:r w:rsidRPr="000817CB">
        <w:t xml:space="preserve">2.4. </w:t>
      </w:r>
      <w:r w:rsidR="00F709B0" w:rsidRPr="000817CB">
        <w:t xml:space="preserve">Analysis of fatty acid composition by gas chromatography    </w:t>
      </w:r>
    </w:p>
    <w:p w14:paraId="20746BDF" w14:textId="77777777" w:rsidR="00F709B0" w:rsidRPr="000817CB" w:rsidRDefault="00F709B0" w:rsidP="00FF4921">
      <w:pPr>
        <w:pStyle w:val="MDPI31text"/>
      </w:pPr>
      <w:r w:rsidRPr="000817CB">
        <w:t>Fatty acid analysis of total PBMC lipids was carried out as described</w:t>
      </w:r>
      <w:r w:rsidRPr="000817CB">
        <w:rPr>
          <w:noProof/>
        </w:rPr>
        <w:t xml:space="preserve"> [26]</w:t>
      </w:r>
      <w:r w:rsidRPr="000817CB">
        <w:t>.  Frozen PBMCs were thawed and total cell lipids then extracted with chloroform : methanol (2:1, v/v) containing butylated hydroxytoluene (50 mg/ml)</w:t>
      </w:r>
      <w:r w:rsidRPr="000817CB">
        <w:rPr>
          <w:noProof/>
        </w:rPr>
        <w:t xml:space="preserve"> [28]</w:t>
      </w:r>
      <w:r w:rsidRPr="000817CB">
        <w:t>.   Fatty acid methyl esters (FAMEs) were synthesised by reaction with methanol containing (2% v/v) concentrated sulphuric acid at 50°C for 2 hours.  The reaction was cooled to room temperature and neutralised with a solution of KHCO</w:t>
      </w:r>
      <w:r w:rsidRPr="000817CB">
        <w:rPr>
          <w:vertAlign w:val="subscript"/>
        </w:rPr>
        <w:t>3</w:t>
      </w:r>
      <w:r w:rsidRPr="000817CB">
        <w:t xml:space="preserve"> (0.25 M) and K</w:t>
      </w:r>
      <w:r w:rsidRPr="000817CB">
        <w:rPr>
          <w:vertAlign w:val="subscript"/>
        </w:rPr>
        <w:t>2</w:t>
      </w:r>
      <w:r w:rsidRPr="000817CB">
        <w:t>CO</w:t>
      </w:r>
      <w:r w:rsidRPr="000817CB">
        <w:rPr>
          <w:vertAlign w:val="subscript"/>
        </w:rPr>
        <w:t>3</w:t>
      </w:r>
      <w:r w:rsidRPr="000817CB">
        <w:t xml:space="preserve"> (0.5 M).  FAMEs were collected by repeated extraction of the reaction mixture with hexane</w:t>
      </w:r>
      <w:r w:rsidRPr="000817CB">
        <w:rPr>
          <w:noProof/>
        </w:rPr>
        <w:t xml:space="preserve"> [29]</w:t>
      </w:r>
      <w:r w:rsidRPr="000817CB">
        <w:t xml:space="preserve"> and resolved on a BPX-70 fused silica capillary column (30m× 0·25mm × 25 </w:t>
      </w:r>
      <w:proofErr w:type="spellStart"/>
      <w:r w:rsidRPr="000817CB">
        <w:t>μm</w:t>
      </w:r>
      <w:proofErr w:type="spellEnd"/>
      <w:r w:rsidRPr="000817CB">
        <w:t>) using an Agilent 6890 gas chromatograph equipped with flame ionisation detection</w:t>
      </w:r>
      <w:r w:rsidRPr="000817CB">
        <w:rPr>
          <w:noProof/>
        </w:rPr>
        <w:t xml:space="preserve"> [25]</w:t>
      </w:r>
      <w:r w:rsidRPr="000817CB">
        <w:t>.  Fatty acids were identified by retention times relative to standards (37 FAMES, Sigma- Aldrich).  PBMC fatty acids are expressed as a proportion of total cell fatty acids.</w:t>
      </w:r>
    </w:p>
    <w:p w14:paraId="2D5B01E9" w14:textId="77777777" w:rsidR="00F709B0" w:rsidRPr="000817CB" w:rsidRDefault="00FF4921" w:rsidP="00FF4921">
      <w:pPr>
        <w:pStyle w:val="MDPI22heading2"/>
        <w:spacing w:before="240"/>
      </w:pPr>
      <w:r w:rsidRPr="000817CB">
        <w:t xml:space="preserve">2.5. </w:t>
      </w:r>
      <w:r w:rsidR="00F709B0" w:rsidRPr="000817CB">
        <w:t xml:space="preserve">Analysis of the T cell transcriptome by RNA next generation sequencing </w:t>
      </w:r>
    </w:p>
    <w:p w14:paraId="17650E74" w14:textId="77777777" w:rsidR="00F709B0" w:rsidRPr="000817CB" w:rsidRDefault="00F709B0" w:rsidP="00FF4921">
      <w:pPr>
        <w:pStyle w:val="MDPI31text"/>
      </w:pPr>
      <w:r w:rsidRPr="000817CB">
        <w:t>Total RNA was isolated using</w:t>
      </w:r>
      <w:r w:rsidR="00FF4921" w:rsidRPr="000817CB">
        <w:rPr>
          <w:rStyle w:val="apple-converted-space"/>
        </w:rPr>
        <w:t xml:space="preserve"> </w:t>
      </w:r>
      <w:proofErr w:type="spellStart"/>
      <w:r w:rsidRPr="000817CB">
        <w:rPr>
          <w:iCs/>
        </w:rPr>
        <w:t>mirVana</w:t>
      </w:r>
      <w:proofErr w:type="spellEnd"/>
      <w:r w:rsidR="00FF4921" w:rsidRPr="000817CB">
        <w:rPr>
          <w:rStyle w:val="apple-converted-space"/>
        </w:rPr>
        <w:t xml:space="preserve"> </w:t>
      </w:r>
      <w:r w:rsidRPr="000817CB">
        <w:t>RNA extraction kits (Invitrogen) and then frozen at -80</w:t>
      </w:r>
      <w:r w:rsidRPr="000817CB">
        <w:rPr>
          <w:vertAlign w:val="superscript"/>
        </w:rPr>
        <w:t>o</w:t>
      </w:r>
      <w:r w:rsidRPr="000817CB">
        <w:t xml:space="preserve">C, before being transported on dry ice for </w:t>
      </w:r>
      <w:proofErr w:type="spellStart"/>
      <w:r w:rsidRPr="000817CB">
        <w:t>RNAseq</w:t>
      </w:r>
      <w:proofErr w:type="spellEnd"/>
      <w:r w:rsidRPr="000817CB">
        <w:t xml:space="preserve"> analysis (Omega </w:t>
      </w:r>
      <w:proofErr w:type="spellStart"/>
      <w:r w:rsidRPr="000817CB">
        <w:t>Bioservices</w:t>
      </w:r>
      <w:proofErr w:type="spellEnd"/>
      <w:r w:rsidRPr="000817CB">
        <w:t xml:space="preserve">, GA, USA).  The purity of RNA was assessed using a 2100 </w:t>
      </w:r>
      <w:proofErr w:type="spellStart"/>
      <w:r w:rsidRPr="000817CB">
        <w:t>Bioanalyser</w:t>
      </w:r>
      <w:proofErr w:type="spellEnd"/>
      <w:r w:rsidRPr="000817CB">
        <w:t xml:space="preserve"> (Agilent).  All samples had RIN scores greater than 8.5.  RNA was quantified using the Qubit RNA HS Assay Kit (</w:t>
      </w:r>
      <w:proofErr w:type="spellStart"/>
      <w:r w:rsidRPr="000817CB">
        <w:t>ThermoFisher</w:t>
      </w:r>
      <w:proofErr w:type="spellEnd"/>
      <w:r w:rsidRPr="000817CB">
        <w:t xml:space="preserve"> Scientific).  </w:t>
      </w:r>
    </w:p>
    <w:p w14:paraId="1AE84492" w14:textId="77777777" w:rsidR="00F709B0" w:rsidRPr="000817CB" w:rsidRDefault="00F709B0" w:rsidP="00FF4921">
      <w:pPr>
        <w:pStyle w:val="MDPI31text"/>
        <w:rPr>
          <w:bdr w:val="none" w:sz="0" w:space="0" w:color="auto" w:frame="1"/>
        </w:rPr>
      </w:pPr>
      <w:r w:rsidRPr="000817CB">
        <w:rPr>
          <w:bdr w:val="none" w:sz="0" w:space="0" w:color="auto" w:frame="1"/>
        </w:rPr>
        <w:t xml:space="preserve">RNA sequencing was carried out by </w:t>
      </w:r>
      <w:r w:rsidRPr="000817CB">
        <w:t xml:space="preserve">Omega </w:t>
      </w:r>
      <w:proofErr w:type="spellStart"/>
      <w:r w:rsidRPr="000817CB">
        <w:t>Bioservices</w:t>
      </w:r>
      <w:proofErr w:type="spellEnd"/>
      <w:r w:rsidRPr="000817CB">
        <w:t xml:space="preserve"> (GA, USA).  L</w:t>
      </w:r>
      <w:r w:rsidRPr="000817CB">
        <w:rPr>
          <w:bdr w:val="none" w:sz="0" w:space="0" w:color="auto" w:frame="1"/>
        </w:rPr>
        <w:t xml:space="preserve">ibraries were prepared using the </w:t>
      </w:r>
      <w:proofErr w:type="spellStart"/>
      <w:r w:rsidRPr="000817CB">
        <w:rPr>
          <w:bdr w:val="none" w:sz="0" w:space="0" w:color="auto" w:frame="1"/>
        </w:rPr>
        <w:t>TruSeq</w:t>
      </w:r>
      <w:proofErr w:type="spellEnd"/>
      <w:r w:rsidRPr="000817CB">
        <w:rPr>
          <w:bdr w:val="none" w:sz="0" w:space="0" w:color="auto" w:frame="1"/>
        </w:rPr>
        <w:t xml:space="preserve">® Stranded mRNA Library Preparation kit (Illumina, Inc., San Diego, CA, USA) and quantified using the Promega </w:t>
      </w:r>
      <w:proofErr w:type="spellStart"/>
      <w:r w:rsidRPr="000817CB">
        <w:rPr>
          <w:bdr w:val="none" w:sz="0" w:space="0" w:color="auto" w:frame="1"/>
        </w:rPr>
        <w:t>QuantiFluor</w:t>
      </w:r>
      <w:proofErr w:type="spellEnd"/>
      <w:r w:rsidRPr="000817CB">
        <w:rPr>
          <w:bdr w:val="none" w:sz="0" w:space="0" w:color="auto" w:frame="1"/>
        </w:rPr>
        <w:t xml:space="preserve"> dsDNA System on a </w:t>
      </w:r>
      <w:proofErr w:type="spellStart"/>
      <w:r w:rsidRPr="000817CB">
        <w:rPr>
          <w:bdr w:val="none" w:sz="0" w:space="0" w:color="auto" w:frame="1"/>
        </w:rPr>
        <w:t>Quantus</w:t>
      </w:r>
      <w:proofErr w:type="spellEnd"/>
      <w:r w:rsidRPr="000817CB">
        <w:rPr>
          <w:bdr w:val="none" w:sz="0" w:space="0" w:color="auto" w:frame="1"/>
        </w:rPr>
        <w:t xml:space="preserve"> Fluorometer (Promega, Madison, WI). The size and purity of the libraries were analysed using the High Sensitivity D1000 Screen Tape on an Agilent 2200 </w:t>
      </w:r>
      <w:proofErr w:type="spellStart"/>
      <w:r w:rsidRPr="000817CB">
        <w:rPr>
          <w:bdr w:val="none" w:sz="0" w:space="0" w:color="auto" w:frame="1"/>
        </w:rPr>
        <w:t>TapeStation</w:t>
      </w:r>
      <w:proofErr w:type="spellEnd"/>
      <w:r w:rsidRPr="000817CB">
        <w:rPr>
          <w:bdr w:val="none" w:sz="0" w:space="0" w:color="auto" w:frame="1"/>
        </w:rPr>
        <w:t xml:space="preserve"> instrument. The libraries were normalized, pooled and cluster and pair read sequencing was performed for 150 cycles on a HiSeqX10 instrument (Illumina, Inc. San Diego, CA, USA) (150 read cycles).</w:t>
      </w:r>
      <w:r w:rsidR="00FF4921" w:rsidRPr="000817CB">
        <w:rPr>
          <w:color w:val="201F1E"/>
        </w:rPr>
        <w:t xml:space="preserve"> </w:t>
      </w:r>
    </w:p>
    <w:p w14:paraId="5B9B5301" w14:textId="71C2F6A3" w:rsidR="00F709B0" w:rsidRPr="000817CB" w:rsidRDefault="00F709B0" w:rsidP="00FF4921">
      <w:pPr>
        <w:pStyle w:val="MDPI31text"/>
      </w:pPr>
      <w:r w:rsidRPr="000817CB">
        <w:lastRenderedPageBreak/>
        <w:t xml:space="preserve">Quality control, normalisation and initial data analysis was carried out by Omega </w:t>
      </w:r>
      <w:proofErr w:type="spellStart"/>
      <w:r w:rsidRPr="000817CB">
        <w:t>Bioservices</w:t>
      </w:r>
      <w:proofErr w:type="spellEnd"/>
      <w:r w:rsidRPr="000817CB">
        <w:t xml:space="preserve"> using the Illumina </w:t>
      </w:r>
      <w:proofErr w:type="spellStart"/>
      <w:r w:rsidRPr="000817CB">
        <w:t>Basespace</w:t>
      </w:r>
      <w:proofErr w:type="spellEnd"/>
      <w:r w:rsidRPr="000817CB">
        <w:t xml:space="preserve"> package (Version 2.0.1; </w:t>
      </w:r>
      <w:hyperlink r:id="rId8" w:history="1">
        <w:r w:rsidRPr="000817CB">
          <w:rPr>
            <w:rStyle w:val="Hyperlink"/>
          </w:rPr>
          <w:t>www.illumina.com/products/by-type/informatics-products/basespace-sequence-hub/apps/rna-seq-alignment.html</w:t>
        </w:r>
      </w:hyperlink>
      <w:r w:rsidRPr="000817CB">
        <w:t>).  Sequencing reads were aligned to the</w:t>
      </w:r>
      <w:r w:rsidR="00FF4921" w:rsidRPr="000817CB">
        <w:rPr>
          <w:rStyle w:val="apple-converted-space"/>
        </w:rPr>
        <w:t xml:space="preserve"> </w:t>
      </w:r>
      <w:r w:rsidRPr="000817CB">
        <w:rPr>
          <w:i/>
          <w:iCs/>
        </w:rPr>
        <w:t>Homo sapiens</w:t>
      </w:r>
      <w:r w:rsidRPr="000817CB">
        <w:t xml:space="preserve"> reference genome UCSC hg19</w:t>
      </w:r>
      <w:r w:rsidR="00FF4921" w:rsidRPr="000817CB">
        <w:t xml:space="preserve"> </w:t>
      </w:r>
      <w:r w:rsidRPr="000817CB">
        <w:t>using the STAR RNA sequence aligner</w:t>
      </w:r>
      <w:r w:rsidRPr="000817CB">
        <w:rPr>
          <w:noProof/>
        </w:rPr>
        <w:t xml:space="preserve"> [30]</w:t>
      </w:r>
      <w:r w:rsidRPr="000817CB">
        <w:t>.  Reference genes and transcripts were quantified using the Salmon software package</w:t>
      </w:r>
      <w:r w:rsidRPr="000817CB">
        <w:rPr>
          <w:noProof/>
        </w:rPr>
        <w:t xml:space="preserve"> [31]</w:t>
      </w:r>
      <w:r w:rsidRPr="000817CB">
        <w:t xml:space="preserve">.  The </w:t>
      </w:r>
      <w:proofErr w:type="spellStart"/>
      <w:r w:rsidRPr="000817CB">
        <w:t>Strelka</w:t>
      </w:r>
      <w:proofErr w:type="spellEnd"/>
      <w:r w:rsidRPr="000817CB">
        <w:t xml:space="preserve"> variant caller was used to identifies single nucleotide variants and small indels</w:t>
      </w:r>
      <w:r w:rsidRPr="000817CB">
        <w:rPr>
          <w:noProof/>
        </w:rPr>
        <w:t xml:space="preserve"> [32]</w:t>
      </w:r>
      <w:r w:rsidRPr="000817CB">
        <w:t>.  Gene counts, gene FPKMs, principal component analysis and differential expression were produced using DESeq2</w:t>
      </w:r>
      <w:r w:rsidRPr="000817CB">
        <w:rPr>
          <w:noProof/>
        </w:rPr>
        <w:t xml:space="preserve"> [33]</w:t>
      </w:r>
      <w:r w:rsidRPr="000817CB">
        <w:t>.</w:t>
      </w:r>
      <w:r w:rsidR="00FF4921" w:rsidRPr="000817CB">
        <w:t xml:space="preserve"> </w:t>
      </w:r>
      <w:r w:rsidRPr="000817CB">
        <w:t xml:space="preserve"> Transcripts that differed between stimulated and unstimulated cells by at least 1.2-fold with adjusted P &lt; 0.05 were considered to be differentially expressed.  Pathway analysis was carried out in house using the Ingenuity Pathway Analysis package.  Pathways that differed between unstimulated and stimulated cells by at least 1.2-fold with P &lt; 0.05 and enriched in  ≥ 10 differentially expressed transcripts were considered to be significantly altered.  RNA sequencing data were validated by </w:t>
      </w:r>
      <w:r w:rsidR="0031522D">
        <w:t xml:space="preserve">RT-qPCR </w:t>
      </w:r>
      <w:r w:rsidRPr="000817CB">
        <w:t xml:space="preserve"> using the </w:t>
      </w:r>
      <w:proofErr w:type="spellStart"/>
      <w:r w:rsidRPr="000817CB">
        <w:t>SyberGreen</w:t>
      </w:r>
      <w:proofErr w:type="spellEnd"/>
      <w:r w:rsidRPr="000817CB">
        <w:t xml:space="preserve"> method as described </w:t>
      </w:r>
      <w:r w:rsidRPr="000817CB">
        <w:rPr>
          <w:noProof/>
        </w:rPr>
        <w:t xml:space="preserve"> [34]</w:t>
      </w:r>
      <w:r w:rsidRPr="000817CB">
        <w:t xml:space="preserve"> using primers listed in Supplementary Table 1.  Five genes were chosen at random which differed significantly between unstimulated and stimulated T lymphocytes at baseline and represented the range of mitogen induced changes detected by the arrays.   </w:t>
      </w:r>
    </w:p>
    <w:p w14:paraId="70CC2F84" w14:textId="77777777" w:rsidR="00F709B0" w:rsidRPr="000817CB" w:rsidRDefault="00FF4921" w:rsidP="00FF4921">
      <w:pPr>
        <w:pStyle w:val="MDPI22heading2"/>
        <w:spacing w:before="240"/>
      </w:pPr>
      <w:r w:rsidRPr="000817CB">
        <w:t xml:space="preserve">2.6. </w:t>
      </w:r>
      <w:r w:rsidR="00F709B0" w:rsidRPr="000817CB">
        <w:t>Statistical analysis</w:t>
      </w:r>
    </w:p>
    <w:p w14:paraId="6447D935" w14:textId="77777777" w:rsidR="00F709B0" w:rsidRPr="000817CB" w:rsidRDefault="00F709B0" w:rsidP="00FF4921">
      <w:pPr>
        <w:pStyle w:val="MDPI31text"/>
      </w:pPr>
      <w:r w:rsidRPr="000817CB">
        <w:t xml:space="preserve">Fatty acid composition data are presented as mean ± SEM, unless stated otherwise, and analysed by 2-Way ANOVA with type of oil as a fixed factor and time as a repeated measure with Tukey’s </w:t>
      </w:r>
      <w:r w:rsidRPr="000817CB">
        <w:rPr>
          <w:i/>
          <w:iCs/>
        </w:rPr>
        <w:t>post hoc</w:t>
      </w:r>
      <w:r w:rsidRPr="000817CB">
        <w:t xml:space="preserve"> correction using IBM SPSS Statistics for Windows (Version 26.0, Armonk, NY: IBM Corp).</w:t>
      </w:r>
    </w:p>
    <w:p w14:paraId="3364A2A4" w14:textId="77777777" w:rsidR="00F709B0" w:rsidRPr="000817CB" w:rsidRDefault="00FF4921" w:rsidP="00FF4921">
      <w:pPr>
        <w:pStyle w:val="MDPI21heading1"/>
        <w:rPr>
          <w:bCs/>
        </w:rPr>
      </w:pPr>
      <w:r w:rsidRPr="000817CB">
        <w:t xml:space="preserve">3. </w:t>
      </w:r>
      <w:r w:rsidR="00F709B0" w:rsidRPr="000817CB">
        <w:t>Results</w:t>
      </w:r>
    </w:p>
    <w:p w14:paraId="36C045FF" w14:textId="77777777" w:rsidR="00F709B0" w:rsidRPr="000817CB" w:rsidRDefault="00FF4921" w:rsidP="00FF4921">
      <w:pPr>
        <w:pStyle w:val="MDPI22heading2"/>
      </w:pPr>
      <w:r w:rsidRPr="000817CB">
        <w:t xml:space="preserve">3.1. </w:t>
      </w:r>
      <w:r w:rsidR="00F709B0" w:rsidRPr="000817CB">
        <w:t>Participant characteristics</w:t>
      </w:r>
    </w:p>
    <w:p w14:paraId="094A0801" w14:textId="77777777" w:rsidR="00F709B0" w:rsidRPr="000817CB" w:rsidRDefault="00F709B0" w:rsidP="00FF4921">
      <w:pPr>
        <w:pStyle w:val="MDPI31text"/>
      </w:pPr>
      <w:r w:rsidRPr="000817CB">
        <w:t>Thirty-two men and women were enrolled of which 31 participants completed the study (Table 1).  One participant withdrew from the study because they could not tolerate the taste of the FO</w:t>
      </w:r>
      <w:r w:rsidRPr="000817CB">
        <w:rPr>
          <w:noProof/>
        </w:rPr>
        <w:t xml:space="preserve"> [25]</w:t>
      </w:r>
      <w:r w:rsidRPr="000817CB">
        <w:t xml:space="preserve"> and was consequently excluded from all analyses.  There were no significant differences between groups in the characteristics of the participants.     </w:t>
      </w:r>
    </w:p>
    <w:p w14:paraId="7821C2F6" w14:textId="77777777" w:rsidR="00F709B0" w:rsidRPr="000817CB" w:rsidRDefault="00FF4921" w:rsidP="00FF4921">
      <w:pPr>
        <w:pStyle w:val="MDPI22heading2"/>
        <w:spacing w:before="240"/>
      </w:pPr>
      <w:r w:rsidRPr="000817CB">
        <w:t xml:space="preserve">3.2. </w:t>
      </w:r>
      <w:r w:rsidR="00F709B0" w:rsidRPr="000817CB">
        <w:t>Provision of fatty acids from test oils</w:t>
      </w:r>
    </w:p>
    <w:p w14:paraId="424144D6" w14:textId="77777777" w:rsidR="00F709B0" w:rsidRPr="000817CB" w:rsidRDefault="00F709B0" w:rsidP="00FF4921">
      <w:pPr>
        <w:pStyle w:val="MDPI31text"/>
      </w:pPr>
      <w:r w:rsidRPr="000817CB">
        <w:t xml:space="preserve">The provision of saturated fatty acids (SFA) per day by </w:t>
      </w:r>
      <w:proofErr w:type="spellStart"/>
      <w:r w:rsidRPr="000817CB">
        <w:t>t</w:t>
      </w:r>
      <w:r w:rsidRPr="000817CB">
        <w:rPr>
          <w:i/>
        </w:rPr>
        <w:t>CS</w:t>
      </w:r>
      <w:r w:rsidRPr="000817CB">
        <w:t>O</w:t>
      </w:r>
      <w:proofErr w:type="spellEnd"/>
      <w:r w:rsidRPr="000817CB">
        <w:t xml:space="preserve"> was similar to that from FO (Table 2).  FO provided 1.5-fold more 16:0 than </w:t>
      </w:r>
      <w:proofErr w:type="spellStart"/>
      <w:r w:rsidRPr="000817CB">
        <w:t>t</w:t>
      </w:r>
      <w:r w:rsidRPr="000817CB">
        <w:rPr>
          <w:i/>
        </w:rPr>
        <w:t>CS</w:t>
      </w:r>
      <w:r w:rsidRPr="000817CB">
        <w:t>O</w:t>
      </w:r>
      <w:proofErr w:type="spellEnd"/>
      <w:r w:rsidRPr="000817CB">
        <w:t xml:space="preserve">, while </w:t>
      </w:r>
      <w:proofErr w:type="spellStart"/>
      <w:r w:rsidRPr="000817CB">
        <w:t>t</w:t>
      </w:r>
      <w:r w:rsidRPr="000817CB">
        <w:rPr>
          <w:i/>
        </w:rPr>
        <w:t>CS</w:t>
      </w:r>
      <w:r w:rsidRPr="000817CB">
        <w:t>O</w:t>
      </w:r>
      <w:proofErr w:type="spellEnd"/>
      <w:r w:rsidRPr="000817CB">
        <w:t xml:space="preserve"> provided 3-fold more 18:0 than FO.  The amount of total monounsaturated fatty acids (MUFA) provided by FO was 1.5-fold greater (due primarily to greater amounts of 16:1n-7 and 18:1n-9) than by </w:t>
      </w:r>
      <w:proofErr w:type="spellStart"/>
      <w:r w:rsidRPr="000817CB">
        <w:t>t</w:t>
      </w:r>
      <w:r w:rsidRPr="000817CB">
        <w:rPr>
          <w:i/>
        </w:rPr>
        <w:t>CS</w:t>
      </w:r>
      <w:r w:rsidRPr="000817CB">
        <w:t>O</w:t>
      </w:r>
      <w:proofErr w:type="spellEnd"/>
      <w:r w:rsidRPr="000817CB">
        <w:t xml:space="preserve"> (Table 2).   The total amount of n-6 PUFAs provided by </w:t>
      </w:r>
      <w:proofErr w:type="spellStart"/>
      <w:r w:rsidRPr="000817CB">
        <w:t>t</w:t>
      </w:r>
      <w:r w:rsidRPr="000817CB">
        <w:rPr>
          <w:i/>
        </w:rPr>
        <w:t>CS</w:t>
      </w:r>
      <w:r w:rsidRPr="000817CB">
        <w:t>O</w:t>
      </w:r>
      <w:proofErr w:type="spellEnd"/>
      <w:r w:rsidRPr="000817CB">
        <w:t xml:space="preserve"> was 13-fold greater than that provided by FO due mainly to 20-fold higher 18:2n-6 content of the </w:t>
      </w:r>
      <w:proofErr w:type="spellStart"/>
      <w:r w:rsidRPr="000817CB">
        <w:t>t</w:t>
      </w:r>
      <w:r w:rsidRPr="000817CB">
        <w:rPr>
          <w:i/>
        </w:rPr>
        <w:t>CS</w:t>
      </w:r>
      <w:r w:rsidRPr="000817CB">
        <w:t>O</w:t>
      </w:r>
      <w:proofErr w:type="spellEnd"/>
      <w:r w:rsidRPr="000817CB">
        <w:t xml:space="preserve"> than FO (Table 2).  The total amount of n-3 PUFAs provided by </w:t>
      </w:r>
      <w:proofErr w:type="spellStart"/>
      <w:r w:rsidRPr="000817CB">
        <w:t>t</w:t>
      </w:r>
      <w:r w:rsidRPr="000817CB">
        <w:rPr>
          <w:i/>
        </w:rPr>
        <w:t>CS</w:t>
      </w:r>
      <w:r w:rsidRPr="000817CB">
        <w:t>O</w:t>
      </w:r>
      <w:proofErr w:type="spellEnd"/>
      <w:r w:rsidRPr="000817CB">
        <w:t xml:space="preserve"> was 1.7 fold greater than that provided by FO due mainly to the higher 18:3n-3 (12-fold) and 22:5n-3 (5-fold) content of the </w:t>
      </w:r>
      <w:proofErr w:type="spellStart"/>
      <w:r w:rsidRPr="000817CB">
        <w:t>t</w:t>
      </w:r>
      <w:r w:rsidRPr="000817CB">
        <w:rPr>
          <w:i/>
        </w:rPr>
        <w:t>CS</w:t>
      </w:r>
      <w:r w:rsidRPr="000817CB">
        <w:t>O</w:t>
      </w:r>
      <w:proofErr w:type="spellEnd"/>
      <w:r w:rsidRPr="000817CB">
        <w:t xml:space="preserve">, while 20:5n-3 and 22:6n-3 contents were similar between the test oils (Table 2).  </w:t>
      </w:r>
    </w:p>
    <w:p w14:paraId="5CFAAE1E" w14:textId="77777777" w:rsidR="00F709B0" w:rsidRPr="000817CB" w:rsidRDefault="00FF4921" w:rsidP="00FF4921">
      <w:pPr>
        <w:pStyle w:val="MDPI22heading2"/>
        <w:spacing w:before="240"/>
      </w:pPr>
      <w:r w:rsidRPr="000817CB">
        <w:t xml:space="preserve">3.3. </w:t>
      </w:r>
      <w:r w:rsidR="00F709B0" w:rsidRPr="000817CB">
        <w:t>Effect of dietary supplementation on the fatty acid composition of PBMCs</w:t>
      </w:r>
    </w:p>
    <w:p w14:paraId="17F68FB7" w14:textId="69D21626" w:rsidR="00511D9B" w:rsidRPr="000817CB" w:rsidRDefault="00F709B0" w:rsidP="00FF4921">
      <w:pPr>
        <w:pStyle w:val="MDPI31text"/>
      </w:pPr>
      <w:r w:rsidRPr="000817CB">
        <w:t>Dietary supplementation induced modest, statistically significant reductions in the proportions of 18:1n-7 (</w:t>
      </w:r>
      <w:proofErr w:type="spellStart"/>
      <w:r w:rsidRPr="000817CB">
        <w:t>t</w:t>
      </w:r>
      <w:r w:rsidRPr="000817CB">
        <w:rPr>
          <w:i/>
        </w:rPr>
        <w:t>CS</w:t>
      </w:r>
      <w:r w:rsidRPr="000817CB">
        <w:t>O</w:t>
      </w:r>
      <w:proofErr w:type="spellEnd"/>
      <w:r w:rsidRPr="000817CB">
        <w:t xml:space="preserve"> -7.1%; FO -8%), 18:2n-6 (</w:t>
      </w:r>
      <w:proofErr w:type="spellStart"/>
      <w:r w:rsidRPr="000817CB">
        <w:t>t</w:t>
      </w:r>
      <w:r w:rsidRPr="000817CB">
        <w:rPr>
          <w:i/>
        </w:rPr>
        <w:t>CS</w:t>
      </w:r>
      <w:r w:rsidRPr="000817CB">
        <w:t>O</w:t>
      </w:r>
      <w:proofErr w:type="spellEnd"/>
      <w:r w:rsidRPr="000817CB">
        <w:t xml:space="preserve"> -9%; FO -3%) and 18:3n-6 (</w:t>
      </w:r>
      <w:proofErr w:type="spellStart"/>
      <w:r w:rsidRPr="000817CB">
        <w:t>t</w:t>
      </w:r>
      <w:r w:rsidRPr="000817CB">
        <w:rPr>
          <w:i/>
        </w:rPr>
        <w:t>CSO</w:t>
      </w:r>
      <w:proofErr w:type="spellEnd"/>
      <w:r w:rsidRPr="000817CB">
        <w:t xml:space="preserve"> -20%; FO -40%) in PBMC total lipids (Table 3), although there was no significant effect of the type of test oil.  Dietary supplementation induced significant increases in the proportions of 20:5n-3 (</w:t>
      </w:r>
      <w:proofErr w:type="spellStart"/>
      <w:r w:rsidRPr="000817CB">
        <w:t>t</w:t>
      </w:r>
      <w:r w:rsidRPr="000817CB">
        <w:rPr>
          <w:i/>
        </w:rPr>
        <w:t>CS</w:t>
      </w:r>
      <w:r w:rsidRPr="000817CB">
        <w:rPr>
          <w:iCs/>
        </w:rPr>
        <w:t>O</w:t>
      </w:r>
      <w:proofErr w:type="spellEnd"/>
      <w:r w:rsidRPr="000817CB">
        <w:t xml:space="preserve"> 13%; FO 13%) and 22:6n-3 (</w:t>
      </w:r>
      <w:proofErr w:type="spellStart"/>
      <w:r w:rsidRPr="000817CB">
        <w:t>t</w:t>
      </w:r>
      <w:r w:rsidRPr="000817CB">
        <w:rPr>
          <w:i/>
        </w:rPr>
        <w:t>CS</w:t>
      </w:r>
      <w:r w:rsidRPr="000817CB">
        <w:rPr>
          <w:iCs/>
        </w:rPr>
        <w:t>O</w:t>
      </w:r>
      <w:proofErr w:type="spellEnd"/>
      <w:r w:rsidRPr="000817CB">
        <w:t xml:space="preserve"> 5%; FO 16%) in PBMC total lipids (Table 3).  There was no significant effect of the type of test oil consumed on the proportions of 20:5n-3 and 22:6n-3.  However, there was a significant time x test oil effect on the proportion of 22:5n-3 such that there was a significant increase (29%) following </w:t>
      </w:r>
      <w:proofErr w:type="spellStart"/>
      <w:r w:rsidRPr="000817CB">
        <w:lastRenderedPageBreak/>
        <w:t>t</w:t>
      </w:r>
      <w:r w:rsidRPr="000817CB">
        <w:rPr>
          <w:i/>
        </w:rPr>
        <w:t>CS</w:t>
      </w:r>
      <w:r w:rsidRPr="000817CB">
        <w:t>O</w:t>
      </w:r>
      <w:proofErr w:type="spellEnd"/>
      <w:r w:rsidRPr="000817CB">
        <w:t xml:space="preserve"> supplementation 22:5n-3, but no detectable change after consuming FO (Table 3).  There was no significant effect of dietary supplementation or the type of test oil on the proportion of any of the other fatty acids measured in PBMCs (Table 3).</w:t>
      </w:r>
      <w:r w:rsidR="008652D3">
        <w:t xml:space="preserve">  There were no significant </w:t>
      </w:r>
      <w:r w:rsidR="00235941">
        <w:t xml:space="preserve">differences before or after </w:t>
      </w:r>
      <w:r w:rsidR="008652D3">
        <w:t xml:space="preserve">dietary supplementation with either test oil on the fatty acid composition of PBMCs between the subgroups from which T cells were </w:t>
      </w:r>
      <w:proofErr w:type="spellStart"/>
      <w:r w:rsidR="007C2EC8">
        <w:t>an</w:t>
      </w:r>
      <w:r w:rsidR="00EE0D90">
        <w:t>a</w:t>
      </w:r>
      <w:r w:rsidR="007C2EC8">
        <w:t>lysed</w:t>
      </w:r>
      <w:proofErr w:type="spellEnd"/>
      <w:r w:rsidR="007C2EC8">
        <w:t xml:space="preserve"> by </w:t>
      </w:r>
      <w:proofErr w:type="spellStart"/>
      <w:r w:rsidR="007C2EC8">
        <w:t>RNAseq</w:t>
      </w:r>
      <w:proofErr w:type="spellEnd"/>
      <w:r w:rsidR="007C2EC8">
        <w:t xml:space="preserve"> and the corresponding whole group</w:t>
      </w:r>
      <w:r w:rsidR="00235941">
        <w:t>s</w:t>
      </w:r>
      <w:r w:rsidR="007C2EC8">
        <w:t xml:space="preserve"> (Supplementary Table 2)</w:t>
      </w:r>
      <w:r w:rsidR="008652D3">
        <w:t xml:space="preserve"> </w:t>
      </w:r>
    </w:p>
    <w:p w14:paraId="68F418A6" w14:textId="77777777" w:rsidR="00511D9B" w:rsidRPr="000817CB" w:rsidRDefault="00511D9B" w:rsidP="00511D9B">
      <w:pPr>
        <w:rPr>
          <w:rFonts w:ascii="Palatino Linotype" w:hAnsi="Palatino Linotype"/>
          <w:snapToGrid w:val="0"/>
          <w:color w:val="000000"/>
          <w:sz w:val="20"/>
          <w:szCs w:val="22"/>
          <w:lang w:val="en-US" w:eastAsia="de-DE" w:bidi="en-US"/>
        </w:rPr>
      </w:pPr>
      <w:r w:rsidRPr="000817CB">
        <w:br w:type="page"/>
      </w:r>
    </w:p>
    <w:p w14:paraId="776288D8" w14:textId="5F7CB8E9" w:rsidR="00511D9B" w:rsidRPr="000817CB" w:rsidRDefault="00511D9B" w:rsidP="00511D9B">
      <w:pPr>
        <w:pStyle w:val="MDPI41tablecaption"/>
        <w:ind w:left="425" w:right="425"/>
        <w:jc w:val="both"/>
        <w:rPr>
          <w:b/>
        </w:rPr>
      </w:pPr>
      <w:r w:rsidRPr="000817CB">
        <w:rPr>
          <w:b/>
        </w:rPr>
        <w:lastRenderedPageBreak/>
        <w:t xml:space="preserve">Table 3. </w:t>
      </w:r>
      <w:r w:rsidRPr="000817CB">
        <w:t xml:space="preserve">The </w:t>
      </w:r>
      <w:r w:rsidR="00F823A2">
        <w:t>e</w:t>
      </w:r>
      <w:r w:rsidR="00F823A2" w:rsidRPr="000817CB">
        <w:t xml:space="preserve">ffect </w:t>
      </w:r>
      <w:r w:rsidRPr="000817CB">
        <w:t xml:space="preserve">of dietary supplementation with </w:t>
      </w:r>
      <w:proofErr w:type="spellStart"/>
      <w:r w:rsidRPr="000817CB">
        <w:t>t</w:t>
      </w:r>
      <w:r w:rsidRPr="000817CB">
        <w:rPr>
          <w:i/>
        </w:rPr>
        <w:t>CS</w:t>
      </w:r>
      <w:r w:rsidRPr="000817CB">
        <w:t>O</w:t>
      </w:r>
      <w:proofErr w:type="spellEnd"/>
      <w:r w:rsidRPr="000817CB">
        <w:t xml:space="preserve"> or FO in the fatty acid composition of PBMCs.  Values are mean ± SEM.   Data were analysed by ANOVA with time as a repeated measure and type of oil as a fixed factor for </w:t>
      </w:r>
      <w:r w:rsidR="008652D3">
        <w:t xml:space="preserve">all (n = </w:t>
      </w:r>
      <w:r w:rsidRPr="000817CB">
        <w:t>31</w:t>
      </w:r>
      <w:r w:rsidR="008652D3">
        <w:t>)</w:t>
      </w:r>
      <w:r w:rsidRPr="000817CB">
        <w:t xml:space="preserve"> participants.  df were 1,60</w:t>
      </w:r>
      <w:r w:rsidRPr="000817CB">
        <w:rPr>
          <w:b/>
        </w:rPr>
        <w:t xml:space="preserve">.  </w:t>
      </w:r>
      <w:r w:rsidRPr="000817CB">
        <w:t>There were no single factor effects of the type of test oil.</w:t>
      </w:r>
      <w:r w:rsidR="008652D3">
        <w:t xml:space="preserve">  The fatty acid composition and statistical analyses </w:t>
      </w:r>
      <w:r w:rsidR="00235941">
        <w:t xml:space="preserve">of PBMCs </w:t>
      </w:r>
      <w:r w:rsidR="008652D3">
        <w:t xml:space="preserve">from the subgroup of participants whose samples were used in RNAseq analyses are shown in Supplementary Table </w:t>
      </w:r>
      <w:r w:rsidR="00C13EC3">
        <w:t>2</w:t>
      </w:r>
      <w:r w:rsidR="008652D3">
        <w:t>.</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2"/>
        <w:gridCol w:w="1162"/>
        <w:gridCol w:w="1163"/>
        <w:gridCol w:w="1163"/>
        <w:gridCol w:w="1163"/>
        <w:gridCol w:w="1163"/>
        <w:gridCol w:w="1163"/>
        <w:gridCol w:w="1163"/>
        <w:gridCol w:w="1163"/>
      </w:tblGrid>
      <w:tr w:rsidR="00511D9B" w:rsidRPr="000817CB" w14:paraId="4965B49A" w14:textId="77777777" w:rsidTr="00511D9B">
        <w:trPr>
          <w:jc w:val="center"/>
        </w:trPr>
        <w:tc>
          <w:tcPr>
            <w:tcW w:w="1162" w:type="dxa"/>
            <w:tcBorders>
              <w:top w:val="single" w:sz="8" w:space="0" w:color="auto"/>
              <w:bottom w:val="single" w:sz="4" w:space="0" w:color="auto"/>
            </w:tcBorders>
            <w:shd w:val="clear" w:color="auto" w:fill="auto"/>
            <w:vAlign w:val="center"/>
          </w:tcPr>
          <w:p w14:paraId="1A28BFEE"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4651" w:type="dxa"/>
            <w:gridSpan w:val="4"/>
            <w:tcBorders>
              <w:top w:val="single" w:sz="8" w:space="0" w:color="auto"/>
              <w:bottom w:val="single" w:sz="4" w:space="0" w:color="auto"/>
            </w:tcBorders>
            <w:shd w:val="clear" w:color="auto" w:fill="auto"/>
            <w:vAlign w:val="center"/>
          </w:tcPr>
          <w:p w14:paraId="2857D1DF"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Proportion of total fatty acids</w:t>
            </w:r>
          </w:p>
        </w:tc>
        <w:tc>
          <w:tcPr>
            <w:tcW w:w="4652" w:type="dxa"/>
            <w:gridSpan w:val="4"/>
            <w:tcBorders>
              <w:top w:val="single" w:sz="8" w:space="0" w:color="auto"/>
              <w:bottom w:val="single" w:sz="4" w:space="0" w:color="auto"/>
            </w:tcBorders>
            <w:shd w:val="clear" w:color="auto" w:fill="auto"/>
            <w:vAlign w:val="center"/>
          </w:tcPr>
          <w:p w14:paraId="4C1B2BA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ANOVA</w:t>
            </w:r>
          </w:p>
        </w:tc>
      </w:tr>
      <w:tr w:rsidR="00511D9B" w:rsidRPr="000817CB" w14:paraId="6983B9B6" w14:textId="77777777" w:rsidTr="00511D9B">
        <w:trPr>
          <w:jc w:val="center"/>
        </w:trPr>
        <w:tc>
          <w:tcPr>
            <w:tcW w:w="1162" w:type="dxa"/>
            <w:tcBorders>
              <w:top w:val="single" w:sz="4" w:space="0" w:color="auto"/>
            </w:tcBorders>
            <w:shd w:val="clear" w:color="auto" w:fill="auto"/>
            <w:vAlign w:val="center"/>
          </w:tcPr>
          <w:p w14:paraId="5DCE4E1D"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4651" w:type="dxa"/>
            <w:gridSpan w:val="4"/>
            <w:tcBorders>
              <w:top w:val="single" w:sz="4" w:space="0" w:color="auto"/>
              <w:bottom w:val="single" w:sz="4" w:space="0" w:color="auto"/>
            </w:tcBorders>
            <w:shd w:val="clear" w:color="auto" w:fill="auto"/>
            <w:vAlign w:val="center"/>
          </w:tcPr>
          <w:p w14:paraId="4E978407"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w:t>
            </w:r>
          </w:p>
        </w:tc>
        <w:tc>
          <w:tcPr>
            <w:tcW w:w="2326" w:type="dxa"/>
            <w:gridSpan w:val="2"/>
            <w:tcBorders>
              <w:top w:val="single" w:sz="4" w:space="0" w:color="auto"/>
              <w:bottom w:val="single" w:sz="4" w:space="0" w:color="auto"/>
            </w:tcBorders>
            <w:shd w:val="clear" w:color="auto" w:fill="auto"/>
            <w:vAlign w:val="center"/>
          </w:tcPr>
          <w:p w14:paraId="25B0E40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Time</w:t>
            </w:r>
          </w:p>
        </w:tc>
        <w:tc>
          <w:tcPr>
            <w:tcW w:w="2326" w:type="dxa"/>
            <w:gridSpan w:val="2"/>
            <w:tcBorders>
              <w:top w:val="single" w:sz="4" w:space="0" w:color="auto"/>
              <w:bottom w:val="single" w:sz="4" w:space="0" w:color="auto"/>
            </w:tcBorders>
            <w:shd w:val="clear" w:color="auto" w:fill="auto"/>
            <w:vAlign w:val="center"/>
          </w:tcPr>
          <w:p w14:paraId="0E29829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Time x Test Oil</w:t>
            </w:r>
          </w:p>
        </w:tc>
      </w:tr>
      <w:tr w:rsidR="00511D9B" w:rsidRPr="000817CB" w14:paraId="31205D4E" w14:textId="77777777" w:rsidTr="00511D9B">
        <w:trPr>
          <w:jc w:val="center"/>
        </w:trPr>
        <w:tc>
          <w:tcPr>
            <w:tcW w:w="1162" w:type="dxa"/>
            <w:tcBorders>
              <w:bottom w:val="single" w:sz="4" w:space="0" w:color="auto"/>
            </w:tcBorders>
            <w:shd w:val="clear" w:color="auto" w:fill="auto"/>
            <w:vAlign w:val="center"/>
          </w:tcPr>
          <w:p w14:paraId="7D7879AB"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2325" w:type="dxa"/>
            <w:gridSpan w:val="2"/>
            <w:tcBorders>
              <w:top w:val="single" w:sz="4" w:space="0" w:color="auto"/>
              <w:bottom w:val="single" w:sz="4" w:space="0" w:color="auto"/>
            </w:tcBorders>
            <w:shd w:val="clear" w:color="auto" w:fill="auto"/>
            <w:vAlign w:val="center"/>
          </w:tcPr>
          <w:p w14:paraId="11E08D4F"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FO</w:t>
            </w:r>
          </w:p>
        </w:tc>
        <w:tc>
          <w:tcPr>
            <w:tcW w:w="2326" w:type="dxa"/>
            <w:gridSpan w:val="2"/>
            <w:tcBorders>
              <w:top w:val="single" w:sz="4" w:space="0" w:color="auto"/>
              <w:bottom w:val="single" w:sz="4" w:space="0" w:color="auto"/>
            </w:tcBorders>
            <w:shd w:val="clear" w:color="auto" w:fill="auto"/>
            <w:vAlign w:val="center"/>
          </w:tcPr>
          <w:p w14:paraId="6E99D0A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roofErr w:type="spellStart"/>
            <w:r w:rsidRPr="000817CB">
              <w:rPr>
                <w:rFonts w:ascii="Times New Roman" w:hAnsi="Times New Roman" w:cs="Times New Roman"/>
                <w:sz w:val="20"/>
              </w:rPr>
              <w:t>t</w:t>
            </w:r>
            <w:r w:rsidRPr="000817CB">
              <w:rPr>
                <w:rFonts w:ascii="Times New Roman" w:hAnsi="Times New Roman" w:cs="Times New Roman"/>
                <w:i/>
                <w:sz w:val="20"/>
              </w:rPr>
              <w:t>CS</w:t>
            </w:r>
            <w:r w:rsidRPr="000817CB">
              <w:rPr>
                <w:rFonts w:ascii="Times New Roman" w:hAnsi="Times New Roman" w:cs="Times New Roman"/>
                <w:sz w:val="20"/>
              </w:rPr>
              <w:t>O</w:t>
            </w:r>
            <w:proofErr w:type="spellEnd"/>
          </w:p>
        </w:tc>
        <w:tc>
          <w:tcPr>
            <w:tcW w:w="1163" w:type="dxa"/>
            <w:tcBorders>
              <w:top w:val="single" w:sz="4" w:space="0" w:color="auto"/>
              <w:bottom w:val="single" w:sz="4" w:space="0" w:color="auto"/>
            </w:tcBorders>
            <w:shd w:val="clear" w:color="auto" w:fill="auto"/>
            <w:vAlign w:val="center"/>
          </w:tcPr>
          <w:p w14:paraId="1DE6CFB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F</w:t>
            </w:r>
          </w:p>
        </w:tc>
        <w:tc>
          <w:tcPr>
            <w:tcW w:w="1163" w:type="dxa"/>
            <w:tcBorders>
              <w:top w:val="single" w:sz="4" w:space="0" w:color="auto"/>
              <w:bottom w:val="single" w:sz="4" w:space="0" w:color="auto"/>
            </w:tcBorders>
            <w:shd w:val="clear" w:color="auto" w:fill="auto"/>
            <w:vAlign w:val="center"/>
          </w:tcPr>
          <w:p w14:paraId="3ABC78A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w:t>
            </w:r>
          </w:p>
        </w:tc>
        <w:tc>
          <w:tcPr>
            <w:tcW w:w="1163" w:type="dxa"/>
            <w:tcBorders>
              <w:top w:val="single" w:sz="4" w:space="0" w:color="auto"/>
              <w:bottom w:val="single" w:sz="4" w:space="0" w:color="auto"/>
            </w:tcBorders>
            <w:shd w:val="clear" w:color="auto" w:fill="auto"/>
            <w:vAlign w:val="center"/>
          </w:tcPr>
          <w:p w14:paraId="6B6E57B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F</w:t>
            </w:r>
          </w:p>
        </w:tc>
        <w:tc>
          <w:tcPr>
            <w:tcW w:w="1163" w:type="dxa"/>
            <w:tcBorders>
              <w:top w:val="single" w:sz="4" w:space="0" w:color="auto"/>
              <w:bottom w:val="single" w:sz="4" w:space="0" w:color="auto"/>
            </w:tcBorders>
            <w:shd w:val="clear" w:color="auto" w:fill="auto"/>
            <w:vAlign w:val="center"/>
          </w:tcPr>
          <w:p w14:paraId="032803A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w:t>
            </w:r>
          </w:p>
        </w:tc>
      </w:tr>
      <w:tr w:rsidR="00511D9B" w:rsidRPr="000817CB" w14:paraId="40FC029B" w14:textId="77777777" w:rsidTr="00511D9B">
        <w:trPr>
          <w:jc w:val="center"/>
        </w:trPr>
        <w:tc>
          <w:tcPr>
            <w:tcW w:w="1162" w:type="dxa"/>
            <w:tcBorders>
              <w:top w:val="single" w:sz="4" w:space="0" w:color="auto"/>
            </w:tcBorders>
            <w:shd w:val="clear" w:color="auto" w:fill="auto"/>
            <w:vAlign w:val="center"/>
          </w:tcPr>
          <w:p w14:paraId="41A8520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c>
          <w:tcPr>
            <w:tcW w:w="1162" w:type="dxa"/>
            <w:tcBorders>
              <w:top w:val="single" w:sz="4" w:space="0" w:color="auto"/>
            </w:tcBorders>
            <w:shd w:val="clear" w:color="auto" w:fill="auto"/>
            <w:vAlign w:val="center"/>
          </w:tcPr>
          <w:p w14:paraId="7160AFF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Start</w:t>
            </w:r>
          </w:p>
        </w:tc>
        <w:tc>
          <w:tcPr>
            <w:tcW w:w="1163" w:type="dxa"/>
            <w:tcBorders>
              <w:top w:val="single" w:sz="4" w:space="0" w:color="auto"/>
            </w:tcBorders>
            <w:shd w:val="clear" w:color="auto" w:fill="auto"/>
            <w:vAlign w:val="center"/>
          </w:tcPr>
          <w:p w14:paraId="254B582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End</w:t>
            </w:r>
          </w:p>
        </w:tc>
        <w:tc>
          <w:tcPr>
            <w:tcW w:w="1163" w:type="dxa"/>
            <w:tcBorders>
              <w:top w:val="single" w:sz="4" w:space="0" w:color="auto"/>
            </w:tcBorders>
            <w:shd w:val="clear" w:color="auto" w:fill="auto"/>
            <w:vAlign w:val="center"/>
          </w:tcPr>
          <w:p w14:paraId="56814CF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Start</w:t>
            </w:r>
          </w:p>
        </w:tc>
        <w:tc>
          <w:tcPr>
            <w:tcW w:w="1163" w:type="dxa"/>
            <w:tcBorders>
              <w:top w:val="single" w:sz="4" w:space="0" w:color="auto"/>
            </w:tcBorders>
            <w:shd w:val="clear" w:color="auto" w:fill="auto"/>
            <w:vAlign w:val="center"/>
          </w:tcPr>
          <w:p w14:paraId="3971C10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End</w:t>
            </w:r>
          </w:p>
        </w:tc>
        <w:tc>
          <w:tcPr>
            <w:tcW w:w="1163" w:type="dxa"/>
            <w:tcBorders>
              <w:top w:val="single" w:sz="4" w:space="0" w:color="auto"/>
            </w:tcBorders>
            <w:shd w:val="clear" w:color="auto" w:fill="auto"/>
            <w:vAlign w:val="center"/>
          </w:tcPr>
          <w:p w14:paraId="5C06C63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c>
          <w:tcPr>
            <w:tcW w:w="1163" w:type="dxa"/>
            <w:tcBorders>
              <w:top w:val="single" w:sz="4" w:space="0" w:color="auto"/>
            </w:tcBorders>
            <w:shd w:val="clear" w:color="auto" w:fill="auto"/>
            <w:vAlign w:val="center"/>
          </w:tcPr>
          <w:p w14:paraId="0AF001C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c>
          <w:tcPr>
            <w:tcW w:w="1163" w:type="dxa"/>
            <w:tcBorders>
              <w:top w:val="single" w:sz="4" w:space="0" w:color="auto"/>
            </w:tcBorders>
            <w:shd w:val="clear" w:color="auto" w:fill="auto"/>
            <w:vAlign w:val="center"/>
          </w:tcPr>
          <w:p w14:paraId="3482080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c>
          <w:tcPr>
            <w:tcW w:w="1163" w:type="dxa"/>
            <w:tcBorders>
              <w:top w:val="single" w:sz="4" w:space="0" w:color="auto"/>
            </w:tcBorders>
            <w:shd w:val="clear" w:color="auto" w:fill="auto"/>
            <w:vAlign w:val="center"/>
          </w:tcPr>
          <w:p w14:paraId="7B7B370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r>
      <w:tr w:rsidR="00511D9B" w:rsidRPr="000817CB" w14:paraId="7C3096A5" w14:textId="77777777" w:rsidTr="00511D9B">
        <w:trPr>
          <w:jc w:val="center"/>
        </w:trPr>
        <w:tc>
          <w:tcPr>
            <w:tcW w:w="1162" w:type="dxa"/>
            <w:shd w:val="clear" w:color="auto" w:fill="auto"/>
            <w:vAlign w:val="center"/>
          </w:tcPr>
          <w:p w14:paraId="1EFCCB2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14:0</w:t>
            </w:r>
          </w:p>
        </w:tc>
        <w:tc>
          <w:tcPr>
            <w:tcW w:w="1162" w:type="dxa"/>
            <w:shd w:val="clear" w:color="auto" w:fill="auto"/>
            <w:vAlign w:val="center"/>
          </w:tcPr>
          <w:p w14:paraId="630A5EA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 ± 0.1</w:t>
            </w:r>
          </w:p>
        </w:tc>
        <w:tc>
          <w:tcPr>
            <w:tcW w:w="1163" w:type="dxa"/>
            <w:shd w:val="clear" w:color="auto" w:fill="auto"/>
            <w:vAlign w:val="center"/>
          </w:tcPr>
          <w:p w14:paraId="1FDDEB1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 ± 0.1</w:t>
            </w:r>
          </w:p>
        </w:tc>
        <w:tc>
          <w:tcPr>
            <w:tcW w:w="1163" w:type="dxa"/>
            <w:shd w:val="clear" w:color="auto" w:fill="auto"/>
            <w:vAlign w:val="center"/>
          </w:tcPr>
          <w:p w14:paraId="1F906A3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0.7 ± 0.1</w:t>
            </w:r>
          </w:p>
        </w:tc>
        <w:tc>
          <w:tcPr>
            <w:tcW w:w="1163" w:type="dxa"/>
            <w:shd w:val="clear" w:color="auto" w:fill="auto"/>
            <w:vAlign w:val="center"/>
          </w:tcPr>
          <w:p w14:paraId="02483EF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 ± 0.1</w:t>
            </w:r>
          </w:p>
        </w:tc>
        <w:tc>
          <w:tcPr>
            <w:tcW w:w="1163" w:type="dxa"/>
            <w:shd w:val="clear" w:color="auto" w:fill="auto"/>
            <w:vAlign w:val="center"/>
          </w:tcPr>
          <w:p w14:paraId="28A441E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0.82</w:t>
            </w:r>
          </w:p>
        </w:tc>
        <w:tc>
          <w:tcPr>
            <w:tcW w:w="1163" w:type="dxa"/>
            <w:shd w:val="clear" w:color="auto" w:fill="auto"/>
            <w:vAlign w:val="center"/>
          </w:tcPr>
          <w:p w14:paraId="408203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0.35</w:t>
            </w:r>
          </w:p>
        </w:tc>
        <w:tc>
          <w:tcPr>
            <w:tcW w:w="1163" w:type="dxa"/>
            <w:shd w:val="clear" w:color="auto" w:fill="auto"/>
            <w:vAlign w:val="center"/>
          </w:tcPr>
          <w:p w14:paraId="56D7E29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0.25</w:t>
            </w:r>
          </w:p>
        </w:tc>
        <w:tc>
          <w:tcPr>
            <w:tcW w:w="1163" w:type="dxa"/>
            <w:shd w:val="clear" w:color="auto" w:fill="auto"/>
            <w:vAlign w:val="center"/>
          </w:tcPr>
          <w:p w14:paraId="331D0AB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0.88</w:t>
            </w:r>
          </w:p>
        </w:tc>
      </w:tr>
      <w:tr w:rsidR="00511D9B" w:rsidRPr="000817CB" w14:paraId="2A571EB3" w14:textId="77777777" w:rsidTr="00511D9B">
        <w:trPr>
          <w:jc w:val="center"/>
        </w:trPr>
        <w:tc>
          <w:tcPr>
            <w:tcW w:w="1162" w:type="dxa"/>
            <w:shd w:val="clear" w:color="auto" w:fill="auto"/>
            <w:vAlign w:val="center"/>
          </w:tcPr>
          <w:p w14:paraId="6F10306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16:0</w:t>
            </w:r>
          </w:p>
        </w:tc>
        <w:tc>
          <w:tcPr>
            <w:tcW w:w="1162" w:type="dxa"/>
            <w:shd w:val="clear" w:color="auto" w:fill="auto"/>
            <w:vAlign w:val="center"/>
          </w:tcPr>
          <w:p w14:paraId="5B1EA26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19.8 ± 0.9</w:t>
            </w:r>
          </w:p>
        </w:tc>
        <w:tc>
          <w:tcPr>
            <w:tcW w:w="1163" w:type="dxa"/>
            <w:shd w:val="clear" w:color="auto" w:fill="auto"/>
            <w:vAlign w:val="center"/>
          </w:tcPr>
          <w:p w14:paraId="414A584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19.9 ± 1.2</w:t>
            </w:r>
          </w:p>
        </w:tc>
        <w:tc>
          <w:tcPr>
            <w:tcW w:w="1163" w:type="dxa"/>
            <w:shd w:val="clear" w:color="auto" w:fill="auto"/>
            <w:vAlign w:val="center"/>
          </w:tcPr>
          <w:p w14:paraId="5C28D74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21.3 ± 1.2</w:t>
            </w:r>
          </w:p>
        </w:tc>
        <w:tc>
          <w:tcPr>
            <w:tcW w:w="1163" w:type="dxa"/>
            <w:shd w:val="clear" w:color="auto" w:fill="auto"/>
            <w:vAlign w:val="center"/>
          </w:tcPr>
          <w:p w14:paraId="25D8CAC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18.6 ± 1.2</w:t>
            </w:r>
          </w:p>
        </w:tc>
        <w:tc>
          <w:tcPr>
            <w:tcW w:w="1163" w:type="dxa"/>
            <w:shd w:val="clear" w:color="auto" w:fill="auto"/>
            <w:vAlign w:val="center"/>
          </w:tcPr>
          <w:p w14:paraId="08E8801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3.34</w:t>
            </w:r>
          </w:p>
        </w:tc>
        <w:tc>
          <w:tcPr>
            <w:tcW w:w="1163" w:type="dxa"/>
            <w:shd w:val="clear" w:color="auto" w:fill="auto"/>
            <w:vAlign w:val="center"/>
          </w:tcPr>
          <w:p w14:paraId="5A871B5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0.08</w:t>
            </w:r>
          </w:p>
        </w:tc>
        <w:tc>
          <w:tcPr>
            <w:tcW w:w="1163" w:type="dxa"/>
            <w:shd w:val="clear" w:color="auto" w:fill="auto"/>
            <w:vAlign w:val="center"/>
          </w:tcPr>
          <w:p w14:paraId="0C2FE34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4.14</w:t>
            </w:r>
          </w:p>
        </w:tc>
        <w:tc>
          <w:tcPr>
            <w:tcW w:w="1163" w:type="dxa"/>
            <w:shd w:val="clear" w:color="auto" w:fill="auto"/>
            <w:vAlign w:val="center"/>
          </w:tcPr>
          <w:p w14:paraId="242E96A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0.05</w:t>
            </w:r>
          </w:p>
        </w:tc>
      </w:tr>
      <w:tr w:rsidR="00511D9B" w:rsidRPr="000817CB" w14:paraId="515F05C3" w14:textId="77777777" w:rsidTr="00511D9B">
        <w:trPr>
          <w:jc w:val="center"/>
        </w:trPr>
        <w:tc>
          <w:tcPr>
            <w:tcW w:w="1162" w:type="dxa"/>
            <w:shd w:val="clear" w:color="auto" w:fill="auto"/>
            <w:vAlign w:val="center"/>
          </w:tcPr>
          <w:p w14:paraId="6B41872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16:1n-7</w:t>
            </w:r>
          </w:p>
        </w:tc>
        <w:tc>
          <w:tcPr>
            <w:tcW w:w="1162" w:type="dxa"/>
            <w:shd w:val="clear" w:color="auto" w:fill="auto"/>
            <w:vAlign w:val="center"/>
          </w:tcPr>
          <w:p w14:paraId="4BEBB47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 ± 0.0</w:t>
            </w:r>
          </w:p>
        </w:tc>
        <w:tc>
          <w:tcPr>
            <w:tcW w:w="1163" w:type="dxa"/>
            <w:shd w:val="clear" w:color="auto" w:fill="auto"/>
            <w:vAlign w:val="center"/>
          </w:tcPr>
          <w:p w14:paraId="2C783C6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 ± 0.0</w:t>
            </w:r>
          </w:p>
        </w:tc>
        <w:tc>
          <w:tcPr>
            <w:tcW w:w="1163" w:type="dxa"/>
            <w:shd w:val="clear" w:color="auto" w:fill="auto"/>
            <w:vAlign w:val="center"/>
          </w:tcPr>
          <w:p w14:paraId="1BB16A0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 ± 0.0</w:t>
            </w:r>
          </w:p>
        </w:tc>
        <w:tc>
          <w:tcPr>
            <w:tcW w:w="1163" w:type="dxa"/>
            <w:shd w:val="clear" w:color="auto" w:fill="auto"/>
            <w:vAlign w:val="center"/>
          </w:tcPr>
          <w:p w14:paraId="003E1E2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 ± 0.0</w:t>
            </w:r>
          </w:p>
        </w:tc>
        <w:tc>
          <w:tcPr>
            <w:tcW w:w="1163" w:type="dxa"/>
            <w:shd w:val="clear" w:color="auto" w:fill="auto"/>
            <w:vAlign w:val="center"/>
          </w:tcPr>
          <w:p w14:paraId="6A17CF8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0.04</w:t>
            </w:r>
          </w:p>
        </w:tc>
        <w:tc>
          <w:tcPr>
            <w:tcW w:w="1163" w:type="dxa"/>
            <w:shd w:val="clear" w:color="auto" w:fill="auto"/>
            <w:vAlign w:val="center"/>
          </w:tcPr>
          <w:p w14:paraId="2E81569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0.85</w:t>
            </w:r>
          </w:p>
        </w:tc>
        <w:tc>
          <w:tcPr>
            <w:tcW w:w="1163" w:type="dxa"/>
            <w:shd w:val="clear" w:color="auto" w:fill="auto"/>
            <w:vAlign w:val="center"/>
          </w:tcPr>
          <w:p w14:paraId="32E2EFD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0.42</w:t>
            </w:r>
          </w:p>
        </w:tc>
        <w:tc>
          <w:tcPr>
            <w:tcW w:w="1163" w:type="dxa"/>
            <w:shd w:val="clear" w:color="auto" w:fill="auto"/>
            <w:vAlign w:val="center"/>
          </w:tcPr>
          <w:p w14:paraId="4716D10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0.52</w:t>
            </w:r>
          </w:p>
        </w:tc>
      </w:tr>
      <w:tr w:rsidR="00511D9B" w:rsidRPr="000817CB" w14:paraId="5270C130" w14:textId="77777777" w:rsidTr="00511D9B">
        <w:trPr>
          <w:jc w:val="center"/>
        </w:trPr>
        <w:tc>
          <w:tcPr>
            <w:tcW w:w="1162" w:type="dxa"/>
            <w:shd w:val="clear" w:color="auto" w:fill="auto"/>
            <w:vAlign w:val="center"/>
          </w:tcPr>
          <w:p w14:paraId="456CF77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18:0</w:t>
            </w:r>
          </w:p>
        </w:tc>
        <w:tc>
          <w:tcPr>
            <w:tcW w:w="1162" w:type="dxa"/>
            <w:shd w:val="clear" w:color="auto" w:fill="auto"/>
            <w:vAlign w:val="center"/>
          </w:tcPr>
          <w:p w14:paraId="005E39B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27.7 ± 0.7</w:t>
            </w:r>
          </w:p>
        </w:tc>
        <w:tc>
          <w:tcPr>
            <w:tcW w:w="1163" w:type="dxa"/>
            <w:shd w:val="clear" w:color="auto" w:fill="auto"/>
            <w:vAlign w:val="center"/>
          </w:tcPr>
          <w:p w14:paraId="39D9F9A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27.4 ± 0.5</w:t>
            </w:r>
          </w:p>
        </w:tc>
        <w:tc>
          <w:tcPr>
            <w:tcW w:w="1163" w:type="dxa"/>
            <w:shd w:val="clear" w:color="auto" w:fill="auto"/>
            <w:vAlign w:val="center"/>
          </w:tcPr>
          <w:p w14:paraId="7A4A538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27.6 ± 0.7</w:t>
            </w:r>
          </w:p>
        </w:tc>
        <w:tc>
          <w:tcPr>
            <w:tcW w:w="1163" w:type="dxa"/>
            <w:shd w:val="clear" w:color="auto" w:fill="auto"/>
            <w:vAlign w:val="center"/>
          </w:tcPr>
          <w:p w14:paraId="1073598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27.0 ± 0.8</w:t>
            </w:r>
          </w:p>
        </w:tc>
        <w:tc>
          <w:tcPr>
            <w:tcW w:w="1163" w:type="dxa"/>
            <w:shd w:val="clear" w:color="auto" w:fill="auto"/>
            <w:vAlign w:val="center"/>
          </w:tcPr>
          <w:p w14:paraId="343F6BA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0.83</w:t>
            </w:r>
          </w:p>
        </w:tc>
        <w:tc>
          <w:tcPr>
            <w:tcW w:w="1163" w:type="dxa"/>
            <w:shd w:val="clear" w:color="auto" w:fill="auto"/>
            <w:vAlign w:val="center"/>
          </w:tcPr>
          <w:p w14:paraId="001117E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0.37</w:t>
            </w:r>
          </w:p>
        </w:tc>
        <w:tc>
          <w:tcPr>
            <w:tcW w:w="1163" w:type="dxa"/>
            <w:shd w:val="clear" w:color="auto" w:fill="auto"/>
            <w:vAlign w:val="center"/>
          </w:tcPr>
          <w:p w14:paraId="2ACE713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1.21</w:t>
            </w:r>
          </w:p>
        </w:tc>
        <w:tc>
          <w:tcPr>
            <w:tcW w:w="1163" w:type="dxa"/>
            <w:shd w:val="clear" w:color="auto" w:fill="auto"/>
            <w:vAlign w:val="center"/>
          </w:tcPr>
          <w:p w14:paraId="4CD9968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0.73</w:t>
            </w:r>
          </w:p>
        </w:tc>
      </w:tr>
      <w:tr w:rsidR="00511D9B" w:rsidRPr="000817CB" w14:paraId="6E60ED53" w14:textId="77777777" w:rsidTr="00511D9B">
        <w:trPr>
          <w:jc w:val="center"/>
        </w:trPr>
        <w:tc>
          <w:tcPr>
            <w:tcW w:w="1162" w:type="dxa"/>
            <w:shd w:val="clear" w:color="auto" w:fill="auto"/>
            <w:vAlign w:val="center"/>
          </w:tcPr>
          <w:p w14:paraId="4AB029D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18:1n-9</w:t>
            </w:r>
          </w:p>
        </w:tc>
        <w:tc>
          <w:tcPr>
            <w:tcW w:w="1162" w:type="dxa"/>
            <w:shd w:val="clear" w:color="auto" w:fill="auto"/>
            <w:vAlign w:val="center"/>
          </w:tcPr>
          <w:p w14:paraId="63425AB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14.8 ± 0.5</w:t>
            </w:r>
          </w:p>
        </w:tc>
        <w:tc>
          <w:tcPr>
            <w:tcW w:w="1163" w:type="dxa"/>
            <w:shd w:val="clear" w:color="auto" w:fill="auto"/>
            <w:vAlign w:val="center"/>
          </w:tcPr>
          <w:p w14:paraId="03A0475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15.1 ± 0.4</w:t>
            </w:r>
          </w:p>
        </w:tc>
        <w:tc>
          <w:tcPr>
            <w:tcW w:w="1163" w:type="dxa"/>
            <w:shd w:val="clear" w:color="auto" w:fill="auto"/>
            <w:vAlign w:val="center"/>
          </w:tcPr>
          <w:p w14:paraId="36DD113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13.8 ± 0.5</w:t>
            </w:r>
          </w:p>
        </w:tc>
        <w:tc>
          <w:tcPr>
            <w:tcW w:w="1163" w:type="dxa"/>
            <w:shd w:val="clear" w:color="auto" w:fill="auto"/>
            <w:vAlign w:val="center"/>
          </w:tcPr>
          <w:p w14:paraId="59EB6C6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15.3 ± 0.5</w:t>
            </w:r>
          </w:p>
        </w:tc>
        <w:tc>
          <w:tcPr>
            <w:tcW w:w="1163" w:type="dxa"/>
            <w:shd w:val="clear" w:color="auto" w:fill="auto"/>
            <w:vAlign w:val="center"/>
          </w:tcPr>
          <w:p w14:paraId="37AADFC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5.98</w:t>
            </w:r>
          </w:p>
        </w:tc>
        <w:tc>
          <w:tcPr>
            <w:tcW w:w="1163" w:type="dxa"/>
            <w:shd w:val="clear" w:color="auto" w:fill="auto"/>
            <w:vAlign w:val="center"/>
          </w:tcPr>
          <w:p w14:paraId="31576A6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0.02</w:t>
            </w:r>
          </w:p>
        </w:tc>
        <w:tc>
          <w:tcPr>
            <w:tcW w:w="1163" w:type="dxa"/>
            <w:shd w:val="clear" w:color="auto" w:fill="auto"/>
            <w:vAlign w:val="center"/>
          </w:tcPr>
          <w:p w14:paraId="019A939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2.47</w:t>
            </w:r>
          </w:p>
        </w:tc>
        <w:tc>
          <w:tcPr>
            <w:tcW w:w="1163" w:type="dxa"/>
            <w:shd w:val="clear" w:color="auto" w:fill="auto"/>
            <w:vAlign w:val="center"/>
          </w:tcPr>
          <w:p w14:paraId="221DDAD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0.12</w:t>
            </w:r>
          </w:p>
        </w:tc>
      </w:tr>
      <w:tr w:rsidR="00511D9B" w:rsidRPr="000817CB" w14:paraId="145281DF" w14:textId="77777777" w:rsidTr="00511D9B">
        <w:trPr>
          <w:jc w:val="center"/>
        </w:trPr>
        <w:tc>
          <w:tcPr>
            <w:tcW w:w="1162" w:type="dxa"/>
            <w:shd w:val="clear" w:color="auto" w:fill="auto"/>
            <w:vAlign w:val="center"/>
          </w:tcPr>
          <w:p w14:paraId="177D8D9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18:1n-7</w:t>
            </w:r>
          </w:p>
        </w:tc>
        <w:tc>
          <w:tcPr>
            <w:tcW w:w="1162" w:type="dxa"/>
            <w:shd w:val="clear" w:color="auto" w:fill="auto"/>
            <w:vAlign w:val="center"/>
          </w:tcPr>
          <w:p w14:paraId="46ADA27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 ± 0.1</w:t>
            </w:r>
          </w:p>
        </w:tc>
        <w:tc>
          <w:tcPr>
            <w:tcW w:w="1163" w:type="dxa"/>
            <w:shd w:val="clear" w:color="auto" w:fill="auto"/>
            <w:vAlign w:val="center"/>
          </w:tcPr>
          <w:p w14:paraId="0E3E631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 ± 0.0</w:t>
            </w:r>
          </w:p>
        </w:tc>
        <w:tc>
          <w:tcPr>
            <w:tcW w:w="1163" w:type="dxa"/>
            <w:shd w:val="clear" w:color="auto" w:fill="auto"/>
            <w:vAlign w:val="center"/>
          </w:tcPr>
          <w:p w14:paraId="0A6BEA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 ± 0.0</w:t>
            </w:r>
          </w:p>
        </w:tc>
        <w:tc>
          <w:tcPr>
            <w:tcW w:w="1163" w:type="dxa"/>
            <w:shd w:val="clear" w:color="auto" w:fill="auto"/>
            <w:vAlign w:val="center"/>
          </w:tcPr>
          <w:p w14:paraId="691ABF7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 ± 0.1</w:t>
            </w:r>
          </w:p>
        </w:tc>
        <w:tc>
          <w:tcPr>
            <w:tcW w:w="1163" w:type="dxa"/>
            <w:shd w:val="clear" w:color="auto" w:fill="auto"/>
            <w:vAlign w:val="center"/>
          </w:tcPr>
          <w:p w14:paraId="422F222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6.22</w:t>
            </w:r>
          </w:p>
        </w:tc>
        <w:tc>
          <w:tcPr>
            <w:tcW w:w="1163" w:type="dxa"/>
            <w:shd w:val="clear" w:color="auto" w:fill="auto"/>
            <w:vAlign w:val="center"/>
          </w:tcPr>
          <w:p w14:paraId="253DEC5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0.02</w:t>
            </w:r>
          </w:p>
        </w:tc>
        <w:tc>
          <w:tcPr>
            <w:tcW w:w="1163" w:type="dxa"/>
            <w:shd w:val="clear" w:color="auto" w:fill="auto"/>
            <w:vAlign w:val="center"/>
          </w:tcPr>
          <w:p w14:paraId="539F911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0.01</w:t>
            </w:r>
          </w:p>
        </w:tc>
        <w:tc>
          <w:tcPr>
            <w:tcW w:w="1163" w:type="dxa"/>
            <w:shd w:val="clear" w:color="auto" w:fill="auto"/>
            <w:vAlign w:val="center"/>
          </w:tcPr>
          <w:p w14:paraId="2B8E7CB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0.91</w:t>
            </w:r>
          </w:p>
        </w:tc>
      </w:tr>
      <w:tr w:rsidR="00511D9B" w:rsidRPr="000817CB" w14:paraId="3ECC25B1" w14:textId="77777777" w:rsidTr="00511D9B">
        <w:trPr>
          <w:jc w:val="center"/>
        </w:trPr>
        <w:tc>
          <w:tcPr>
            <w:tcW w:w="1162" w:type="dxa"/>
            <w:shd w:val="clear" w:color="auto" w:fill="auto"/>
            <w:vAlign w:val="center"/>
          </w:tcPr>
          <w:p w14:paraId="3C4D0D3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18:2n-6</w:t>
            </w:r>
          </w:p>
        </w:tc>
        <w:tc>
          <w:tcPr>
            <w:tcW w:w="1162" w:type="dxa"/>
            <w:shd w:val="clear" w:color="auto" w:fill="auto"/>
            <w:vAlign w:val="center"/>
          </w:tcPr>
          <w:p w14:paraId="7301FD6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6.7 ± 0.3</w:t>
            </w:r>
          </w:p>
        </w:tc>
        <w:tc>
          <w:tcPr>
            <w:tcW w:w="1163" w:type="dxa"/>
            <w:shd w:val="clear" w:color="auto" w:fill="auto"/>
            <w:vAlign w:val="center"/>
          </w:tcPr>
          <w:p w14:paraId="2E64531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6.1 ± 0.2</w:t>
            </w:r>
          </w:p>
        </w:tc>
        <w:tc>
          <w:tcPr>
            <w:tcW w:w="1163" w:type="dxa"/>
            <w:shd w:val="clear" w:color="auto" w:fill="auto"/>
            <w:vAlign w:val="center"/>
          </w:tcPr>
          <w:p w14:paraId="59D50D3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6.2 ± 0.2</w:t>
            </w:r>
          </w:p>
        </w:tc>
        <w:tc>
          <w:tcPr>
            <w:tcW w:w="1163" w:type="dxa"/>
            <w:shd w:val="clear" w:color="auto" w:fill="auto"/>
            <w:vAlign w:val="center"/>
          </w:tcPr>
          <w:p w14:paraId="5D6A0CF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6.0 ± 0.2</w:t>
            </w:r>
          </w:p>
        </w:tc>
        <w:tc>
          <w:tcPr>
            <w:tcW w:w="1163" w:type="dxa"/>
            <w:shd w:val="clear" w:color="auto" w:fill="auto"/>
            <w:vAlign w:val="center"/>
          </w:tcPr>
          <w:p w14:paraId="487F585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5.35</w:t>
            </w:r>
          </w:p>
        </w:tc>
        <w:tc>
          <w:tcPr>
            <w:tcW w:w="1163" w:type="dxa"/>
            <w:shd w:val="clear" w:color="auto" w:fill="auto"/>
            <w:vAlign w:val="center"/>
          </w:tcPr>
          <w:p w14:paraId="586CAC7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0.02</w:t>
            </w:r>
          </w:p>
        </w:tc>
        <w:tc>
          <w:tcPr>
            <w:tcW w:w="1163" w:type="dxa"/>
            <w:shd w:val="clear" w:color="auto" w:fill="auto"/>
            <w:vAlign w:val="center"/>
          </w:tcPr>
          <w:p w14:paraId="5C21272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1.36</w:t>
            </w:r>
          </w:p>
        </w:tc>
        <w:tc>
          <w:tcPr>
            <w:tcW w:w="1163" w:type="dxa"/>
            <w:shd w:val="clear" w:color="auto" w:fill="auto"/>
            <w:vAlign w:val="center"/>
          </w:tcPr>
          <w:p w14:paraId="7EE8A9E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0.24</w:t>
            </w:r>
          </w:p>
        </w:tc>
      </w:tr>
      <w:tr w:rsidR="00511D9B" w:rsidRPr="000817CB" w14:paraId="480CDA26" w14:textId="77777777" w:rsidTr="00511D9B">
        <w:trPr>
          <w:jc w:val="center"/>
        </w:trPr>
        <w:tc>
          <w:tcPr>
            <w:tcW w:w="1162" w:type="dxa"/>
            <w:shd w:val="clear" w:color="auto" w:fill="auto"/>
            <w:vAlign w:val="center"/>
          </w:tcPr>
          <w:p w14:paraId="38CED87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18:3n-6</w:t>
            </w:r>
          </w:p>
        </w:tc>
        <w:tc>
          <w:tcPr>
            <w:tcW w:w="1162" w:type="dxa"/>
            <w:shd w:val="clear" w:color="auto" w:fill="auto"/>
            <w:vAlign w:val="center"/>
          </w:tcPr>
          <w:p w14:paraId="7253D71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 ± 0.0</w:t>
            </w:r>
          </w:p>
        </w:tc>
        <w:tc>
          <w:tcPr>
            <w:tcW w:w="1163" w:type="dxa"/>
            <w:shd w:val="clear" w:color="auto" w:fill="auto"/>
            <w:vAlign w:val="center"/>
          </w:tcPr>
          <w:p w14:paraId="156EDF6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 ± 0.0</w:t>
            </w:r>
          </w:p>
        </w:tc>
        <w:tc>
          <w:tcPr>
            <w:tcW w:w="1163" w:type="dxa"/>
            <w:shd w:val="clear" w:color="auto" w:fill="auto"/>
            <w:vAlign w:val="center"/>
          </w:tcPr>
          <w:p w14:paraId="597E254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 ± 0.1</w:t>
            </w:r>
          </w:p>
        </w:tc>
        <w:tc>
          <w:tcPr>
            <w:tcW w:w="1163" w:type="dxa"/>
            <w:shd w:val="clear" w:color="auto" w:fill="auto"/>
            <w:vAlign w:val="center"/>
          </w:tcPr>
          <w:p w14:paraId="5767DB1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 ± 0.0</w:t>
            </w:r>
          </w:p>
        </w:tc>
        <w:tc>
          <w:tcPr>
            <w:tcW w:w="1163" w:type="dxa"/>
            <w:shd w:val="clear" w:color="auto" w:fill="auto"/>
            <w:vAlign w:val="center"/>
          </w:tcPr>
          <w:p w14:paraId="464E0A0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3.895</w:t>
            </w:r>
          </w:p>
        </w:tc>
        <w:tc>
          <w:tcPr>
            <w:tcW w:w="1163" w:type="dxa"/>
            <w:shd w:val="clear" w:color="auto" w:fill="auto"/>
            <w:vAlign w:val="center"/>
          </w:tcPr>
          <w:p w14:paraId="3AE4941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0.04</w:t>
            </w:r>
          </w:p>
        </w:tc>
        <w:tc>
          <w:tcPr>
            <w:tcW w:w="1163" w:type="dxa"/>
            <w:shd w:val="clear" w:color="auto" w:fill="auto"/>
            <w:vAlign w:val="center"/>
          </w:tcPr>
          <w:p w14:paraId="6E127B3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0.42</w:t>
            </w:r>
          </w:p>
        </w:tc>
        <w:tc>
          <w:tcPr>
            <w:tcW w:w="1163" w:type="dxa"/>
            <w:shd w:val="clear" w:color="auto" w:fill="auto"/>
            <w:vAlign w:val="center"/>
          </w:tcPr>
          <w:p w14:paraId="560CE72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0.52</w:t>
            </w:r>
          </w:p>
        </w:tc>
      </w:tr>
      <w:tr w:rsidR="00511D9B" w:rsidRPr="000817CB" w14:paraId="6782CE30" w14:textId="77777777" w:rsidTr="00511D9B">
        <w:trPr>
          <w:jc w:val="center"/>
        </w:trPr>
        <w:tc>
          <w:tcPr>
            <w:tcW w:w="1162" w:type="dxa"/>
            <w:shd w:val="clear" w:color="auto" w:fill="auto"/>
            <w:vAlign w:val="center"/>
          </w:tcPr>
          <w:p w14:paraId="3019BDD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18:3n-3</w:t>
            </w:r>
          </w:p>
        </w:tc>
        <w:tc>
          <w:tcPr>
            <w:tcW w:w="1162" w:type="dxa"/>
            <w:shd w:val="clear" w:color="auto" w:fill="auto"/>
            <w:vAlign w:val="center"/>
          </w:tcPr>
          <w:p w14:paraId="6695D43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 ± 0.1</w:t>
            </w:r>
          </w:p>
        </w:tc>
        <w:tc>
          <w:tcPr>
            <w:tcW w:w="1163" w:type="dxa"/>
            <w:shd w:val="clear" w:color="auto" w:fill="auto"/>
            <w:vAlign w:val="center"/>
          </w:tcPr>
          <w:p w14:paraId="1CFB821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 ± 0.1</w:t>
            </w:r>
          </w:p>
        </w:tc>
        <w:tc>
          <w:tcPr>
            <w:tcW w:w="1163" w:type="dxa"/>
            <w:shd w:val="clear" w:color="auto" w:fill="auto"/>
            <w:vAlign w:val="center"/>
          </w:tcPr>
          <w:p w14:paraId="77BAC86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 ± 0.1</w:t>
            </w:r>
          </w:p>
        </w:tc>
        <w:tc>
          <w:tcPr>
            <w:tcW w:w="1163" w:type="dxa"/>
            <w:shd w:val="clear" w:color="auto" w:fill="auto"/>
            <w:vAlign w:val="center"/>
          </w:tcPr>
          <w:p w14:paraId="53A80B8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 ± 0.1</w:t>
            </w:r>
          </w:p>
        </w:tc>
        <w:tc>
          <w:tcPr>
            <w:tcW w:w="1163" w:type="dxa"/>
            <w:shd w:val="clear" w:color="auto" w:fill="auto"/>
            <w:vAlign w:val="center"/>
          </w:tcPr>
          <w:p w14:paraId="70CE7BA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0.45</w:t>
            </w:r>
          </w:p>
        </w:tc>
        <w:tc>
          <w:tcPr>
            <w:tcW w:w="1163" w:type="dxa"/>
            <w:shd w:val="clear" w:color="auto" w:fill="auto"/>
            <w:vAlign w:val="center"/>
          </w:tcPr>
          <w:p w14:paraId="3C699D9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0.51</w:t>
            </w:r>
          </w:p>
        </w:tc>
        <w:tc>
          <w:tcPr>
            <w:tcW w:w="1163" w:type="dxa"/>
            <w:shd w:val="clear" w:color="auto" w:fill="auto"/>
            <w:vAlign w:val="center"/>
          </w:tcPr>
          <w:p w14:paraId="3ACE81A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0.70</w:t>
            </w:r>
          </w:p>
        </w:tc>
        <w:tc>
          <w:tcPr>
            <w:tcW w:w="1163" w:type="dxa"/>
            <w:shd w:val="clear" w:color="auto" w:fill="auto"/>
            <w:vAlign w:val="center"/>
          </w:tcPr>
          <w:p w14:paraId="1F5052B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0.79</w:t>
            </w:r>
          </w:p>
        </w:tc>
      </w:tr>
      <w:tr w:rsidR="00511D9B" w:rsidRPr="000817CB" w14:paraId="7B64DB02" w14:textId="77777777" w:rsidTr="00511D9B">
        <w:trPr>
          <w:jc w:val="center"/>
        </w:trPr>
        <w:tc>
          <w:tcPr>
            <w:tcW w:w="1162" w:type="dxa"/>
            <w:shd w:val="clear" w:color="auto" w:fill="auto"/>
            <w:vAlign w:val="center"/>
          </w:tcPr>
          <w:p w14:paraId="202CE3C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20:0</w:t>
            </w:r>
          </w:p>
        </w:tc>
        <w:tc>
          <w:tcPr>
            <w:tcW w:w="1162" w:type="dxa"/>
            <w:shd w:val="clear" w:color="auto" w:fill="auto"/>
            <w:vAlign w:val="center"/>
          </w:tcPr>
          <w:p w14:paraId="752A0E3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 ± 0.1</w:t>
            </w:r>
          </w:p>
        </w:tc>
        <w:tc>
          <w:tcPr>
            <w:tcW w:w="1163" w:type="dxa"/>
            <w:shd w:val="clear" w:color="auto" w:fill="auto"/>
            <w:vAlign w:val="center"/>
          </w:tcPr>
          <w:p w14:paraId="696F7F0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 ± 0.1</w:t>
            </w:r>
          </w:p>
        </w:tc>
        <w:tc>
          <w:tcPr>
            <w:tcW w:w="1163" w:type="dxa"/>
            <w:shd w:val="clear" w:color="auto" w:fill="auto"/>
            <w:vAlign w:val="center"/>
          </w:tcPr>
          <w:p w14:paraId="756870D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 ± 0.1</w:t>
            </w:r>
          </w:p>
        </w:tc>
        <w:tc>
          <w:tcPr>
            <w:tcW w:w="1163" w:type="dxa"/>
            <w:shd w:val="clear" w:color="auto" w:fill="auto"/>
            <w:vAlign w:val="center"/>
          </w:tcPr>
          <w:p w14:paraId="42BD4D9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 ± 0.1</w:t>
            </w:r>
          </w:p>
        </w:tc>
        <w:tc>
          <w:tcPr>
            <w:tcW w:w="1163" w:type="dxa"/>
            <w:shd w:val="clear" w:color="auto" w:fill="auto"/>
            <w:vAlign w:val="center"/>
          </w:tcPr>
          <w:p w14:paraId="73561B9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0.79</w:t>
            </w:r>
          </w:p>
        </w:tc>
        <w:tc>
          <w:tcPr>
            <w:tcW w:w="1163" w:type="dxa"/>
            <w:shd w:val="clear" w:color="auto" w:fill="auto"/>
            <w:vAlign w:val="center"/>
          </w:tcPr>
          <w:p w14:paraId="496CDD6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0.39</w:t>
            </w:r>
          </w:p>
        </w:tc>
        <w:tc>
          <w:tcPr>
            <w:tcW w:w="1163" w:type="dxa"/>
            <w:shd w:val="clear" w:color="auto" w:fill="auto"/>
            <w:vAlign w:val="center"/>
          </w:tcPr>
          <w:p w14:paraId="70775E5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1.22</w:t>
            </w:r>
          </w:p>
        </w:tc>
        <w:tc>
          <w:tcPr>
            <w:tcW w:w="1163" w:type="dxa"/>
            <w:shd w:val="clear" w:color="auto" w:fill="auto"/>
            <w:vAlign w:val="center"/>
          </w:tcPr>
          <w:p w14:paraId="2E6BDF5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0.27</w:t>
            </w:r>
          </w:p>
        </w:tc>
      </w:tr>
      <w:tr w:rsidR="00511D9B" w:rsidRPr="000817CB" w14:paraId="1D73A53D" w14:textId="77777777" w:rsidTr="00511D9B">
        <w:trPr>
          <w:jc w:val="center"/>
        </w:trPr>
        <w:tc>
          <w:tcPr>
            <w:tcW w:w="1162" w:type="dxa"/>
            <w:shd w:val="clear" w:color="auto" w:fill="auto"/>
            <w:vAlign w:val="center"/>
          </w:tcPr>
          <w:p w14:paraId="6732CEF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20:1n-9</w:t>
            </w:r>
          </w:p>
        </w:tc>
        <w:tc>
          <w:tcPr>
            <w:tcW w:w="1162" w:type="dxa"/>
            <w:shd w:val="clear" w:color="auto" w:fill="auto"/>
            <w:vAlign w:val="center"/>
          </w:tcPr>
          <w:p w14:paraId="233AC1A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 ± 0.1</w:t>
            </w:r>
          </w:p>
        </w:tc>
        <w:tc>
          <w:tcPr>
            <w:tcW w:w="1163" w:type="dxa"/>
            <w:shd w:val="clear" w:color="auto" w:fill="auto"/>
            <w:vAlign w:val="center"/>
          </w:tcPr>
          <w:p w14:paraId="2024216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 ± 0.1</w:t>
            </w:r>
          </w:p>
        </w:tc>
        <w:tc>
          <w:tcPr>
            <w:tcW w:w="1163" w:type="dxa"/>
            <w:shd w:val="clear" w:color="auto" w:fill="auto"/>
            <w:vAlign w:val="center"/>
          </w:tcPr>
          <w:p w14:paraId="252217F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 ± 0.1</w:t>
            </w:r>
          </w:p>
        </w:tc>
        <w:tc>
          <w:tcPr>
            <w:tcW w:w="1163" w:type="dxa"/>
            <w:shd w:val="clear" w:color="auto" w:fill="auto"/>
            <w:vAlign w:val="center"/>
          </w:tcPr>
          <w:p w14:paraId="27FDB39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 ± 0.1</w:t>
            </w:r>
          </w:p>
        </w:tc>
        <w:tc>
          <w:tcPr>
            <w:tcW w:w="1163" w:type="dxa"/>
            <w:shd w:val="clear" w:color="auto" w:fill="auto"/>
            <w:vAlign w:val="center"/>
          </w:tcPr>
          <w:p w14:paraId="4ADED04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1.65</w:t>
            </w:r>
          </w:p>
        </w:tc>
        <w:tc>
          <w:tcPr>
            <w:tcW w:w="1163" w:type="dxa"/>
            <w:shd w:val="clear" w:color="auto" w:fill="auto"/>
            <w:vAlign w:val="center"/>
          </w:tcPr>
          <w:p w14:paraId="60E88D9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0.20</w:t>
            </w:r>
          </w:p>
        </w:tc>
        <w:tc>
          <w:tcPr>
            <w:tcW w:w="1163" w:type="dxa"/>
            <w:shd w:val="clear" w:color="auto" w:fill="auto"/>
            <w:vAlign w:val="center"/>
          </w:tcPr>
          <w:p w14:paraId="548C4E8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1.35</w:t>
            </w:r>
          </w:p>
        </w:tc>
        <w:tc>
          <w:tcPr>
            <w:tcW w:w="1163" w:type="dxa"/>
            <w:shd w:val="clear" w:color="auto" w:fill="auto"/>
            <w:vAlign w:val="center"/>
          </w:tcPr>
          <w:p w14:paraId="25ADF3E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0.25</w:t>
            </w:r>
          </w:p>
        </w:tc>
      </w:tr>
      <w:tr w:rsidR="00511D9B" w:rsidRPr="000817CB" w14:paraId="131F89AF" w14:textId="77777777" w:rsidTr="00511D9B">
        <w:trPr>
          <w:jc w:val="center"/>
        </w:trPr>
        <w:tc>
          <w:tcPr>
            <w:tcW w:w="1162" w:type="dxa"/>
            <w:shd w:val="clear" w:color="auto" w:fill="auto"/>
            <w:vAlign w:val="center"/>
          </w:tcPr>
          <w:p w14:paraId="7896DC5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20:2n-6</w:t>
            </w:r>
          </w:p>
        </w:tc>
        <w:tc>
          <w:tcPr>
            <w:tcW w:w="1162" w:type="dxa"/>
            <w:shd w:val="clear" w:color="auto" w:fill="auto"/>
            <w:vAlign w:val="center"/>
          </w:tcPr>
          <w:p w14:paraId="4E8FE4E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 ± 0.1</w:t>
            </w:r>
          </w:p>
        </w:tc>
        <w:tc>
          <w:tcPr>
            <w:tcW w:w="1163" w:type="dxa"/>
            <w:shd w:val="clear" w:color="auto" w:fill="auto"/>
            <w:vAlign w:val="center"/>
          </w:tcPr>
          <w:p w14:paraId="014C352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 ± 0.1</w:t>
            </w:r>
          </w:p>
        </w:tc>
        <w:tc>
          <w:tcPr>
            <w:tcW w:w="1163" w:type="dxa"/>
            <w:shd w:val="clear" w:color="auto" w:fill="auto"/>
            <w:vAlign w:val="center"/>
          </w:tcPr>
          <w:p w14:paraId="63A0C3F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 ± 0.1</w:t>
            </w:r>
          </w:p>
        </w:tc>
        <w:tc>
          <w:tcPr>
            <w:tcW w:w="1163" w:type="dxa"/>
            <w:shd w:val="clear" w:color="auto" w:fill="auto"/>
            <w:vAlign w:val="center"/>
          </w:tcPr>
          <w:p w14:paraId="298B5CB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 ± 0.1</w:t>
            </w:r>
          </w:p>
        </w:tc>
        <w:tc>
          <w:tcPr>
            <w:tcW w:w="1163" w:type="dxa"/>
            <w:shd w:val="clear" w:color="auto" w:fill="auto"/>
            <w:vAlign w:val="center"/>
          </w:tcPr>
          <w:p w14:paraId="62707FF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0.001</w:t>
            </w:r>
          </w:p>
        </w:tc>
        <w:tc>
          <w:tcPr>
            <w:tcW w:w="1163" w:type="dxa"/>
            <w:shd w:val="clear" w:color="auto" w:fill="auto"/>
            <w:vAlign w:val="center"/>
          </w:tcPr>
          <w:p w14:paraId="10EA1C5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0.98</w:t>
            </w:r>
          </w:p>
        </w:tc>
        <w:tc>
          <w:tcPr>
            <w:tcW w:w="1163" w:type="dxa"/>
            <w:shd w:val="clear" w:color="auto" w:fill="auto"/>
            <w:vAlign w:val="center"/>
          </w:tcPr>
          <w:p w14:paraId="004F22B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0.55</w:t>
            </w:r>
          </w:p>
        </w:tc>
        <w:tc>
          <w:tcPr>
            <w:tcW w:w="1163" w:type="dxa"/>
            <w:shd w:val="clear" w:color="auto" w:fill="auto"/>
            <w:vAlign w:val="center"/>
          </w:tcPr>
          <w:p w14:paraId="76F43EF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0.46</w:t>
            </w:r>
          </w:p>
        </w:tc>
      </w:tr>
      <w:tr w:rsidR="00511D9B" w:rsidRPr="000817CB" w14:paraId="2D8DD1B1" w14:textId="77777777" w:rsidTr="00511D9B">
        <w:trPr>
          <w:jc w:val="center"/>
        </w:trPr>
        <w:tc>
          <w:tcPr>
            <w:tcW w:w="1162" w:type="dxa"/>
            <w:shd w:val="clear" w:color="auto" w:fill="auto"/>
            <w:vAlign w:val="center"/>
          </w:tcPr>
          <w:p w14:paraId="3BF1B04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20:3n-6</w:t>
            </w:r>
          </w:p>
        </w:tc>
        <w:tc>
          <w:tcPr>
            <w:tcW w:w="1162" w:type="dxa"/>
            <w:shd w:val="clear" w:color="auto" w:fill="auto"/>
            <w:vAlign w:val="center"/>
          </w:tcPr>
          <w:p w14:paraId="4203718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 ± 0.1</w:t>
            </w:r>
          </w:p>
        </w:tc>
        <w:tc>
          <w:tcPr>
            <w:tcW w:w="1163" w:type="dxa"/>
            <w:shd w:val="clear" w:color="auto" w:fill="auto"/>
            <w:vAlign w:val="center"/>
          </w:tcPr>
          <w:p w14:paraId="192604B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 ± 0.1</w:t>
            </w:r>
          </w:p>
        </w:tc>
        <w:tc>
          <w:tcPr>
            <w:tcW w:w="1163" w:type="dxa"/>
            <w:shd w:val="clear" w:color="auto" w:fill="auto"/>
            <w:vAlign w:val="center"/>
          </w:tcPr>
          <w:p w14:paraId="628F58F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 ± 0.1</w:t>
            </w:r>
          </w:p>
        </w:tc>
        <w:tc>
          <w:tcPr>
            <w:tcW w:w="1163" w:type="dxa"/>
            <w:shd w:val="clear" w:color="auto" w:fill="auto"/>
            <w:vAlign w:val="center"/>
          </w:tcPr>
          <w:p w14:paraId="3055B57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1.7 ± 0.1</w:t>
            </w:r>
          </w:p>
        </w:tc>
        <w:tc>
          <w:tcPr>
            <w:tcW w:w="1163" w:type="dxa"/>
            <w:shd w:val="clear" w:color="auto" w:fill="auto"/>
            <w:vAlign w:val="center"/>
          </w:tcPr>
          <w:p w14:paraId="631F114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w:t>
            </w:r>
          </w:p>
        </w:tc>
        <w:tc>
          <w:tcPr>
            <w:tcW w:w="1163" w:type="dxa"/>
            <w:shd w:val="clear" w:color="auto" w:fill="auto"/>
            <w:vAlign w:val="center"/>
          </w:tcPr>
          <w:p w14:paraId="39E6F7C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0.31</w:t>
            </w:r>
          </w:p>
        </w:tc>
        <w:tc>
          <w:tcPr>
            <w:tcW w:w="1163" w:type="dxa"/>
            <w:shd w:val="clear" w:color="auto" w:fill="auto"/>
            <w:vAlign w:val="center"/>
          </w:tcPr>
          <w:p w14:paraId="6CBD955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4.88</w:t>
            </w:r>
          </w:p>
        </w:tc>
        <w:tc>
          <w:tcPr>
            <w:tcW w:w="1163" w:type="dxa"/>
            <w:shd w:val="clear" w:color="auto" w:fill="auto"/>
            <w:vAlign w:val="center"/>
          </w:tcPr>
          <w:p w14:paraId="40162B7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0.07</w:t>
            </w:r>
          </w:p>
        </w:tc>
      </w:tr>
      <w:tr w:rsidR="00511D9B" w:rsidRPr="000817CB" w14:paraId="27D7402D" w14:textId="77777777" w:rsidTr="00511D9B">
        <w:trPr>
          <w:jc w:val="center"/>
        </w:trPr>
        <w:tc>
          <w:tcPr>
            <w:tcW w:w="1162" w:type="dxa"/>
            <w:shd w:val="clear" w:color="auto" w:fill="auto"/>
            <w:vAlign w:val="center"/>
          </w:tcPr>
          <w:p w14:paraId="34B230E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20:4n-6</w:t>
            </w:r>
          </w:p>
        </w:tc>
        <w:tc>
          <w:tcPr>
            <w:tcW w:w="1162" w:type="dxa"/>
            <w:shd w:val="clear" w:color="auto" w:fill="auto"/>
            <w:vAlign w:val="center"/>
          </w:tcPr>
          <w:p w14:paraId="330A808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16.5 ± 0.9</w:t>
            </w:r>
          </w:p>
        </w:tc>
        <w:tc>
          <w:tcPr>
            <w:tcW w:w="1163" w:type="dxa"/>
            <w:shd w:val="clear" w:color="auto" w:fill="auto"/>
            <w:vAlign w:val="center"/>
          </w:tcPr>
          <w:p w14:paraId="34F0C15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16.6 ± 0.9</w:t>
            </w:r>
          </w:p>
        </w:tc>
        <w:tc>
          <w:tcPr>
            <w:tcW w:w="1163" w:type="dxa"/>
            <w:shd w:val="clear" w:color="auto" w:fill="auto"/>
            <w:vAlign w:val="center"/>
          </w:tcPr>
          <w:p w14:paraId="1336C0D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16.3 ± 1.1</w:t>
            </w:r>
          </w:p>
        </w:tc>
        <w:tc>
          <w:tcPr>
            <w:tcW w:w="1163" w:type="dxa"/>
            <w:shd w:val="clear" w:color="auto" w:fill="auto"/>
            <w:vAlign w:val="center"/>
          </w:tcPr>
          <w:p w14:paraId="36919AF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18.4 ± 1.1</w:t>
            </w:r>
          </w:p>
        </w:tc>
        <w:tc>
          <w:tcPr>
            <w:tcW w:w="1163" w:type="dxa"/>
            <w:shd w:val="clear" w:color="auto" w:fill="auto"/>
            <w:vAlign w:val="center"/>
          </w:tcPr>
          <w:p w14:paraId="0AF3479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2.49</w:t>
            </w:r>
          </w:p>
        </w:tc>
        <w:tc>
          <w:tcPr>
            <w:tcW w:w="1163" w:type="dxa"/>
            <w:shd w:val="clear" w:color="auto" w:fill="auto"/>
            <w:vAlign w:val="center"/>
          </w:tcPr>
          <w:p w14:paraId="320ED68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0.12</w:t>
            </w:r>
          </w:p>
        </w:tc>
        <w:tc>
          <w:tcPr>
            <w:tcW w:w="1163" w:type="dxa"/>
            <w:shd w:val="clear" w:color="auto" w:fill="auto"/>
            <w:vAlign w:val="center"/>
          </w:tcPr>
          <w:p w14:paraId="7E48F55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2.42</w:t>
            </w:r>
          </w:p>
        </w:tc>
        <w:tc>
          <w:tcPr>
            <w:tcW w:w="1163" w:type="dxa"/>
            <w:shd w:val="clear" w:color="auto" w:fill="auto"/>
            <w:vAlign w:val="center"/>
          </w:tcPr>
          <w:p w14:paraId="4FF93E4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0.13</w:t>
            </w:r>
          </w:p>
        </w:tc>
      </w:tr>
      <w:tr w:rsidR="00511D9B" w:rsidRPr="000817CB" w14:paraId="7C877B3E" w14:textId="77777777" w:rsidTr="00511D9B">
        <w:trPr>
          <w:jc w:val="center"/>
        </w:trPr>
        <w:tc>
          <w:tcPr>
            <w:tcW w:w="1162" w:type="dxa"/>
            <w:shd w:val="clear" w:color="auto" w:fill="auto"/>
            <w:vAlign w:val="center"/>
          </w:tcPr>
          <w:p w14:paraId="07C5C70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20:5n-3</w:t>
            </w:r>
          </w:p>
        </w:tc>
        <w:tc>
          <w:tcPr>
            <w:tcW w:w="1162" w:type="dxa"/>
            <w:shd w:val="clear" w:color="auto" w:fill="auto"/>
            <w:vAlign w:val="center"/>
          </w:tcPr>
          <w:p w14:paraId="497138B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0.8 ± 0.1</w:t>
            </w:r>
          </w:p>
        </w:tc>
        <w:tc>
          <w:tcPr>
            <w:tcW w:w="1163" w:type="dxa"/>
            <w:shd w:val="clear" w:color="auto" w:fill="auto"/>
            <w:vAlign w:val="center"/>
          </w:tcPr>
          <w:p w14:paraId="179A019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0.9 ± 0.1</w:t>
            </w:r>
          </w:p>
        </w:tc>
        <w:tc>
          <w:tcPr>
            <w:tcW w:w="1163" w:type="dxa"/>
            <w:shd w:val="clear" w:color="auto" w:fill="auto"/>
            <w:vAlign w:val="center"/>
          </w:tcPr>
          <w:p w14:paraId="0A3C361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0.8 ± 0.1</w:t>
            </w:r>
          </w:p>
        </w:tc>
        <w:tc>
          <w:tcPr>
            <w:tcW w:w="1163" w:type="dxa"/>
            <w:shd w:val="clear" w:color="auto" w:fill="auto"/>
            <w:vAlign w:val="center"/>
          </w:tcPr>
          <w:p w14:paraId="42F4766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0.9 ± 0.1</w:t>
            </w:r>
          </w:p>
        </w:tc>
        <w:tc>
          <w:tcPr>
            <w:tcW w:w="1163" w:type="dxa"/>
            <w:shd w:val="clear" w:color="auto" w:fill="auto"/>
            <w:vAlign w:val="center"/>
          </w:tcPr>
          <w:p w14:paraId="376E7FD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4.51</w:t>
            </w:r>
          </w:p>
        </w:tc>
        <w:tc>
          <w:tcPr>
            <w:tcW w:w="1163" w:type="dxa"/>
            <w:shd w:val="clear" w:color="auto" w:fill="auto"/>
            <w:vAlign w:val="center"/>
          </w:tcPr>
          <w:p w14:paraId="252C419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0.04</w:t>
            </w:r>
          </w:p>
        </w:tc>
        <w:tc>
          <w:tcPr>
            <w:tcW w:w="1163" w:type="dxa"/>
            <w:shd w:val="clear" w:color="auto" w:fill="auto"/>
            <w:vAlign w:val="center"/>
          </w:tcPr>
          <w:p w14:paraId="2DDC09F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0.07</w:t>
            </w:r>
          </w:p>
        </w:tc>
        <w:tc>
          <w:tcPr>
            <w:tcW w:w="1163" w:type="dxa"/>
            <w:shd w:val="clear" w:color="auto" w:fill="auto"/>
            <w:vAlign w:val="center"/>
          </w:tcPr>
          <w:p w14:paraId="6D76AAE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0.80</w:t>
            </w:r>
          </w:p>
        </w:tc>
      </w:tr>
      <w:tr w:rsidR="00511D9B" w:rsidRPr="000817CB" w14:paraId="21B35FF9" w14:textId="77777777" w:rsidTr="00511D9B">
        <w:trPr>
          <w:jc w:val="center"/>
        </w:trPr>
        <w:tc>
          <w:tcPr>
            <w:tcW w:w="1162" w:type="dxa"/>
            <w:shd w:val="clear" w:color="auto" w:fill="auto"/>
            <w:vAlign w:val="center"/>
          </w:tcPr>
          <w:p w14:paraId="748FE83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22:5n-3</w:t>
            </w:r>
          </w:p>
        </w:tc>
        <w:tc>
          <w:tcPr>
            <w:tcW w:w="1162" w:type="dxa"/>
            <w:shd w:val="clear" w:color="auto" w:fill="auto"/>
            <w:vAlign w:val="center"/>
          </w:tcPr>
          <w:p w14:paraId="4FCB849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 ± 0.1</w:t>
            </w:r>
          </w:p>
        </w:tc>
        <w:tc>
          <w:tcPr>
            <w:tcW w:w="1163" w:type="dxa"/>
            <w:shd w:val="clear" w:color="auto" w:fill="auto"/>
            <w:vAlign w:val="center"/>
          </w:tcPr>
          <w:p w14:paraId="4DAA077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 ± 0.1</w:t>
            </w:r>
          </w:p>
        </w:tc>
        <w:tc>
          <w:tcPr>
            <w:tcW w:w="1163" w:type="dxa"/>
            <w:shd w:val="clear" w:color="auto" w:fill="auto"/>
            <w:vAlign w:val="center"/>
          </w:tcPr>
          <w:p w14:paraId="0EEC668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1.7 ± 0.1</w:t>
            </w:r>
          </w:p>
        </w:tc>
        <w:tc>
          <w:tcPr>
            <w:tcW w:w="1163" w:type="dxa"/>
            <w:shd w:val="clear" w:color="auto" w:fill="auto"/>
            <w:vAlign w:val="center"/>
          </w:tcPr>
          <w:p w14:paraId="1E26E34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2.2 ± 0.1</w:t>
            </w:r>
          </w:p>
        </w:tc>
        <w:tc>
          <w:tcPr>
            <w:tcW w:w="1163" w:type="dxa"/>
            <w:shd w:val="clear" w:color="auto" w:fill="auto"/>
            <w:vAlign w:val="center"/>
          </w:tcPr>
          <w:p w14:paraId="54EABDA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12.22</w:t>
            </w:r>
          </w:p>
        </w:tc>
        <w:tc>
          <w:tcPr>
            <w:tcW w:w="1163" w:type="dxa"/>
            <w:shd w:val="clear" w:color="auto" w:fill="auto"/>
            <w:vAlign w:val="center"/>
          </w:tcPr>
          <w:p w14:paraId="4C7B018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0.001</w:t>
            </w:r>
          </w:p>
        </w:tc>
        <w:tc>
          <w:tcPr>
            <w:tcW w:w="1163" w:type="dxa"/>
            <w:shd w:val="clear" w:color="auto" w:fill="auto"/>
            <w:vAlign w:val="center"/>
          </w:tcPr>
          <w:p w14:paraId="25F702B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5.35</w:t>
            </w:r>
          </w:p>
        </w:tc>
        <w:tc>
          <w:tcPr>
            <w:tcW w:w="1163" w:type="dxa"/>
            <w:shd w:val="clear" w:color="auto" w:fill="auto"/>
            <w:vAlign w:val="center"/>
          </w:tcPr>
          <w:p w14:paraId="103022C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0.02</w:t>
            </w:r>
          </w:p>
        </w:tc>
      </w:tr>
      <w:tr w:rsidR="00511D9B" w:rsidRPr="000817CB" w14:paraId="40F6195D" w14:textId="77777777" w:rsidTr="00511D9B">
        <w:trPr>
          <w:jc w:val="center"/>
        </w:trPr>
        <w:tc>
          <w:tcPr>
            <w:tcW w:w="1162" w:type="dxa"/>
            <w:tcBorders>
              <w:bottom w:val="single" w:sz="8" w:space="0" w:color="auto"/>
            </w:tcBorders>
            <w:shd w:val="clear" w:color="auto" w:fill="auto"/>
            <w:vAlign w:val="center"/>
          </w:tcPr>
          <w:p w14:paraId="79759CF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22:6n-3</w:t>
            </w:r>
          </w:p>
        </w:tc>
        <w:tc>
          <w:tcPr>
            <w:tcW w:w="1162" w:type="dxa"/>
            <w:tcBorders>
              <w:bottom w:val="single" w:sz="8" w:space="0" w:color="auto"/>
            </w:tcBorders>
            <w:shd w:val="clear" w:color="auto" w:fill="auto"/>
            <w:vAlign w:val="center"/>
          </w:tcPr>
          <w:p w14:paraId="30136A7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2.1 ± 0.1</w:t>
            </w:r>
          </w:p>
        </w:tc>
        <w:tc>
          <w:tcPr>
            <w:tcW w:w="1163" w:type="dxa"/>
            <w:tcBorders>
              <w:bottom w:val="single" w:sz="8" w:space="0" w:color="auto"/>
            </w:tcBorders>
            <w:shd w:val="clear" w:color="auto" w:fill="auto"/>
            <w:vAlign w:val="center"/>
          </w:tcPr>
          <w:p w14:paraId="73E88D6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2.2 ± 0.1</w:t>
            </w:r>
          </w:p>
        </w:tc>
        <w:tc>
          <w:tcPr>
            <w:tcW w:w="1163" w:type="dxa"/>
            <w:tcBorders>
              <w:bottom w:val="single" w:sz="8" w:space="0" w:color="auto"/>
            </w:tcBorders>
            <w:shd w:val="clear" w:color="auto" w:fill="auto"/>
            <w:vAlign w:val="center"/>
          </w:tcPr>
          <w:p w14:paraId="3B84B1E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 ± 0.1</w:t>
            </w:r>
          </w:p>
        </w:tc>
        <w:tc>
          <w:tcPr>
            <w:tcW w:w="1163" w:type="dxa"/>
            <w:tcBorders>
              <w:bottom w:val="single" w:sz="8" w:space="0" w:color="auto"/>
            </w:tcBorders>
            <w:shd w:val="clear" w:color="auto" w:fill="auto"/>
            <w:vAlign w:val="center"/>
          </w:tcPr>
          <w:p w14:paraId="6CA8F77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2.2 ± 0.1</w:t>
            </w:r>
          </w:p>
        </w:tc>
        <w:tc>
          <w:tcPr>
            <w:tcW w:w="1163" w:type="dxa"/>
            <w:tcBorders>
              <w:bottom w:val="single" w:sz="8" w:space="0" w:color="auto"/>
            </w:tcBorders>
            <w:shd w:val="clear" w:color="auto" w:fill="auto"/>
            <w:vAlign w:val="center"/>
          </w:tcPr>
          <w:p w14:paraId="2929FA8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4.20</w:t>
            </w:r>
          </w:p>
        </w:tc>
        <w:tc>
          <w:tcPr>
            <w:tcW w:w="1163" w:type="dxa"/>
            <w:tcBorders>
              <w:bottom w:val="single" w:sz="8" w:space="0" w:color="auto"/>
            </w:tcBorders>
            <w:shd w:val="clear" w:color="auto" w:fill="auto"/>
            <w:vAlign w:val="center"/>
          </w:tcPr>
          <w:p w14:paraId="4A7BE6E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0.04</w:t>
            </w:r>
          </w:p>
        </w:tc>
        <w:tc>
          <w:tcPr>
            <w:tcW w:w="1163" w:type="dxa"/>
            <w:tcBorders>
              <w:bottom w:val="single" w:sz="8" w:space="0" w:color="auto"/>
            </w:tcBorders>
            <w:shd w:val="clear" w:color="auto" w:fill="auto"/>
            <w:vAlign w:val="center"/>
          </w:tcPr>
          <w:p w14:paraId="0E56F78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1.13</w:t>
            </w:r>
          </w:p>
        </w:tc>
        <w:tc>
          <w:tcPr>
            <w:tcW w:w="1163" w:type="dxa"/>
            <w:tcBorders>
              <w:bottom w:val="single" w:sz="8" w:space="0" w:color="auto"/>
            </w:tcBorders>
            <w:shd w:val="clear" w:color="auto" w:fill="auto"/>
            <w:vAlign w:val="center"/>
          </w:tcPr>
          <w:p w14:paraId="3963B3D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0.30</w:t>
            </w:r>
          </w:p>
        </w:tc>
      </w:tr>
    </w:tbl>
    <w:p w14:paraId="3C37E6B8" w14:textId="77777777" w:rsidR="00F709B0" w:rsidRPr="000817CB" w:rsidRDefault="00FF4921" w:rsidP="00FF4921">
      <w:pPr>
        <w:pStyle w:val="MDPI22heading2"/>
        <w:spacing w:before="240"/>
      </w:pPr>
      <w:r w:rsidRPr="000817CB">
        <w:t xml:space="preserve">3.4. </w:t>
      </w:r>
      <w:r w:rsidR="00F709B0" w:rsidRPr="000817CB">
        <w:t>The effect of dietary supplementation on the number of differentially expressed transcripts in activated compared to unstimulated CD3</w:t>
      </w:r>
      <w:r w:rsidR="00F709B0" w:rsidRPr="000817CB">
        <w:rPr>
          <w:vertAlign w:val="superscript"/>
        </w:rPr>
        <w:t>+</w:t>
      </w:r>
      <w:r w:rsidR="00F709B0" w:rsidRPr="000817CB">
        <w:t xml:space="preserve"> T cells</w:t>
      </w:r>
    </w:p>
    <w:p w14:paraId="479AE3D4" w14:textId="4ECE997C" w:rsidR="00F709B0" w:rsidRPr="000817CB" w:rsidRDefault="00F709B0" w:rsidP="00FF4921">
      <w:pPr>
        <w:pStyle w:val="MDPI31text"/>
      </w:pPr>
      <w:r w:rsidRPr="000817CB">
        <w:t xml:space="preserve">The findings of the RNAseq analysis were validated by </w:t>
      </w:r>
      <w:r w:rsidR="0031522D">
        <w:t xml:space="preserve">RT-qPCR </w:t>
      </w:r>
      <w:r w:rsidRPr="000817CB">
        <w:t xml:space="preserve">.  The 5 genes tested showed a significant difference between stimulated and unstimulated cells in the same direction by both techniques (Supplementary Figure 1).    </w:t>
      </w:r>
    </w:p>
    <w:p w14:paraId="1C2324B1" w14:textId="77777777" w:rsidR="00F709B0" w:rsidRPr="000817CB" w:rsidRDefault="00F709B0" w:rsidP="00FF4921">
      <w:pPr>
        <w:pStyle w:val="MDPI31text"/>
      </w:pPr>
      <w:r w:rsidRPr="000817CB">
        <w:tab/>
        <w:t xml:space="preserve">Mitogen stimulation of T cells collected at baseline induced differential expression of 4,310 transcripts of which 2,517 (59.4%) were up-regulated compared to unstimulated cells (Fig. 1A,B).   Mitogen stimulation after FO supplementation induced differential expression compared to unstimulated cells of 4,769 transcripts of which 2,723 (57.1%) were up-regulated (Fig. 1A,B).    Mitogen stimulation after </w:t>
      </w:r>
      <w:proofErr w:type="spellStart"/>
      <w:r w:rsidRPr="000817CB">
        <w:t>t</w:t>
      </w:r>
      <w:r w:rsidRPr="000817CB">
        <w:rPr>
          <w:i/>
        </w:rPr>
        <w:t>CS</w:t>
      </w:r>
      <w:r w:rsidRPr="000817CB">
        <w:rPr>
          <w:iCs/>
        </w:rPr>
        <w:t>O</w:t>
      </w:r>
      <w:proofErr w:type="spellEnd"/>
      <w:r w:rsidRPr="000817CB">
        <w:t xml:space="preserve"> supplementation induced differential expression compared to unstimulated cells of 4,652 transcripts among which 2,514 (54.0%) were up-regulated (Fig. 1A,B).  2,758 Transcripts were expressed differentially at Baseline and after supplementation with either test oil, of which 65.8% were up-regulated.  </w:t>
      </w:r>
    </w:p>
    <w:p w14:paraId="0B436AA1" w14:textId="77777777" w:rsidR="00F709B0" w:rsidRPr="000817CB" w:rsidRDefault="00F709B0" w:rsidP="00FF4921">
      <w:pPr>
        <w:pStyle w:val="MDPI31text"/>
      </w:pPr>
      <w:r w:rsidRPr="000817CB">
        <w:tab/>
        <w:t xml:space="preserve">  Mitogen stimulation at Baseline induced up-regulation of 303 (12.0 %) transcripts that did not overlap with transcripts that were differentially expressed after supplementation with either test oil (Fig. 1A).  Mitogen stimulation after FO supplementation induced up-regulation of 477 (17.5%) transcripts that did not overlap with those up-regulated at Baseline or after </w:t>
      </w:r>
      <w:proofErr w:type="spellStart"/>
      <w:r w:rsidRPr="000817CB">
        <w:t>t</w:t>
      </w:r>
      <w:r w:rsidRPr="000817CB">
        <w:rPr>
          <w:i/>
        </w:rPr>
        <w:t>CS</w:t>
      </w:r>
      <w:r w:rsidRPr="000817CB">
        <w:t>O</w:t>
      </w:r>
      <w:proofErr w:type="spellEnd"/>
      <w:r w:rsidRPr="000817CB">
        <w:t xml:space="preserve"> supplementation.  Mitogen stimulation after </w:t>
      </w:r>
      <w:proofErr w:type="spellStart"/>
      <w:r w:rsidRPr="000817CB">
        <w:t>t</w:t>
      </w:r>
      <w:r w:rsidRPr="000817CB">
        <w:rPr>
          <w:i/>
        </w:rPr>
        <w:t>CS</w:t>
      </w:r>
      <w:r w:rsidRPr="000817CB">
        <w:t>O</w:t>
      </w:r>
      <w:proofErr w:type="spellEnd"/>
      <w:r w:rsidRPr="000817CB">
        <w:t xml:space="preserve"> supplementation induced up-regulation of 320 (12.7%) transcripts that did not overlap with those up-regulated at Baseline or after FO supplementation (Fig. 1A).   2014 Transcripts that were up-regulated at Baseline were also up-regulated after FO supplementation, while 1989 Transcripts that were up-regulated at Baseline were also up-regulated after </w:t>
      </w:r>
      <w:proofErr w:type="spellStart"/>
      <w:r w:rsidRPr="000817CB">
        <w:t>t</w:t>
      </w:r>
      <w:r w:rsidRPr="000817CB">
        <w:rPr>
          <w:i/>
        </w:rPr>
        <w:t>CS</w:t>
      </w:r>
      <w:r w:rsidRPr="000817CB">
        <w:t>O</w:t>
      </w:r>
      <w:proofErr w:type="spellEnd"/>
      <w:r w:rsidRPr="000817CB">
        <w:t xml:space="preserve"> supplementation.  2021 Transcripts were up-regulated by supplementation with both test oils, of which 1986 (98.2%) were also up-regulated at Baseline (Fig. 1A).  </w:t>
      </w:r>
    </w:p>
    <w:p w14:paraId="345E4B2D" w14:textId="77777777" w:rsidR="00F709B0" w:rsidRPr="000817CB" w:rsidRDefault="00F709B0" w:rsidP="00FF4921">
      <w:pPr>
        <w:pStyle w:val="MDPI31text"/>
      </w:pPr>
      <w:r w:rsidRPr="000817CB">
        <w:tab/>
        <w:t xml:space="preserve">Mitogen stimulation at Baseline induced down-regulation of 396 (22.1 %) transcripts that did not overlap with transcripts that were down-regulated after supplementation with either test oil (Fig. 1B).  Mitogen stimulation after FO supplementation induced down-regulation of 616 (30.1%) transcripts that were not down-regulated at Baseline or </w:t>
      </w:r>
      <w:r w:rsidRPr="000817CB">
        <w:lastRenderedPageBreak/>
        <w:t xml:space="preserve">after </w:t>
      </w:r>
      <w:proofErr w:type="spellStart"/>
      <w:r w:rsidRPr="000817CB">
        <w:t>t</w:t>
      </w:r>
      <w:r w:rsidRPr="000817CB">
        <w:rPr>
          <w:i/>
        </w:rPr>
        <w:t>CS</w:t>
      </w:r>
      <w:r w:rsidRPr="000817CB">
        <w:t>O</w:t>
      </w:r>
      <w:proofErr w:type="spellEnd"/>
      <w:r w:rsidRPr="000817CB">
        <w:t xml:space="preserve"> supplementation.  Mitogen stimulation after </w:t>
      </w:r>
      <w:proofErr w:type="spellStart"/>
      <w:r w:rsidRPr="000817CB">
        <w:t>t</w:t>
      </w:r>
      <w:r w:rsidRPr="000817CB">
        <w:rPr>
          <w:i/>
        </w:rPr>
        <w:t>CS</w:t>
      </w:r>
      <w:r w:rsidRPr="000817CB">
        <w:t>O</w:t>
      </w:r>
      <w:proofErr w:type="spellEnd"/>
      <w:r w:rsidRPr="000817CB">
        <w:t xml:space="preserve"> supplementation induced down-regulation of 631 (29.5%) transcripts that were not down-regulated at Baseline or after FO supplementation (Fig. 1B).   1241 (61%) Transcripts that were down-regulated after FO supplementation were also down-regulated by supplementation with </w:t>
      </w:r>
      <w:proofErr w:type="spellStart"/>
      <w:r w:rsidRPr="000817CB">
        <w:t>t</w:t>
      </w:r>
      <w:r w:rsidRPr="000817CB">
        <w:rPr>
          <w:i/>
        </w:rPr>
        <w:t>CS</w:t>
      </w:r>
      <w:r w:rsidRPr="000817CB">
        <w:t>O</w:t>
      </w:r>
      <w:proofErr w:type="spellEnd"/>
      <w:r w:rsidRPr="000817CB">
        <w:t xml:space="preserve"> (Fig. 1B).   </w:t>
      </w:r>
    </w:p>
    <w:p w14:paraId="2076C907" w14:textId="77777777" w:rsidR="00F709B0" w:rsidRPr="000817CB" w:rsidRDefault="00F709B0" w:rsidP="00FF4921">
      <w:pPr>
        <w:pStyle w:val="MDPI31text"/>
      </w:pPr>
      <w:r w:rsidRPr="000817CB">
        <w:tab/>
        <w:t xml:space="preserve">Forty-five (1.8%) of the transcripts up-regulated in mitogen stimulated compared to unstimulated T cells at Baseline were down-regulated after supplementation with FO.  Twenty-five (1%) of the transcripts up-regulated in mitogen stimulated compared to unstimulated T cells at Baseline were down-regulated after supplementation </w:t>
      </w:r>
      <w:proofErr w:type="spellStart"/>
      <w:r w:rsidRPr="000817CB">
        <w:t>t</w:t>
      </w:r>
      <w:r w:rsidRPr="000817CB">
        <w:rPr>
          <w:i/>
        </w:rPr>
        <w:t>CS</w:t>
      </w:r>
      <w:r w:rsidRPr="000817CB">
        <w:t>O</w:t>
      </w:r>
      <w:proofErr w:type="spellEnd"/>
      <w:r w:rsidRPr="000817CB">
        <w:t xml:space="preserve"> (Fig. 2A).  34 (1.8%) Transcripts that were down-regulated at Baseline were up-regulated after FO supplementation. 22 (1.2%) Transcripts that were down-regulated at Baseline were down-regulated after </w:t>
      </w:r>
      <w:proofErr w:type="spellStart"/>
      <w:r w:rsidRPr="000817CB">
        <w:t>t</w:t>
      </w:r>
      <w:r w:rsidRPr="000817CB">
        <w:rPr>
          <w:i/>
        </w:rPr>
        <w:t>CS</w:t>
      </w:r>
      <w:r w:rsidRPr="000817CB">
        <w:t>O</w:t>
      </w:r>
      <w:proofErr w:type="spellEnd"/>
      <w:r w:rsidRPr="000817CB">
        <w:t xml:space="preserve"> supplementation.  Six transcripts that were up-regulated by mitogen stimulation at Baseline were down-regulated after supplementation with either FO or </w:t>
      </w:r>
      <w:proofErr w:type="spellStart"/>
      <w:r w:rsidRPr="000817CB">
        <w:t>tCSO</w:t>
      </w:r>
      <w:proofErr w:type="spellEnd"/>
      <w:r w:rsidRPr="000817CB">
        <w:t xml:space="preserve">, namely </w:t>
      </w:r>
      <w:r w:rsidRPr="000817CB">
        <w:rPr>
          <w:i/>
        </w:rPr>
        <w:t>INSM2</w:t>
      </w:r>
      <w:r w:rsidRPr="000817CB">
        <w:t xml:space="preserve">, </w:t>
      </w:r>
      <w:r w:rsidRPr="000817CB">
        <w:rPr>
          <w:i/>
        </w:rPr>
        <w:t>C1orf105</w:t>
      </w:r>
      <w:r w:rsidRPr="000817CB">
        <w:t xml:space="preserve">, </w:t>
      </w:r>
      <w:r w:rsidRPr="000817CB">
        <w:rPr>
          <w:i/>
        </w:rPr>
        <w:t>DKFZp779M0652</w:t>
      </w:r>
      <w:r w:rsidRPr="000817CB">
        <w:t xml:space="preserve">, </w:t>
      </w:r>
      <w:r w:rsidRPr="000817CB">
        <w:rPr>
          <w:i/>
        </w:rPr>
        <w:t>CLDN5</w:t>
      </w:r>
      <w:r w:rsidRPr="000817CB">
        <w:t xml:space="preserve">, </w:t>
      </w:r>
      <w:r w:rsidRPr="000817CB">
        <w:rPr>
          <w:i/>
        </w:rPr>
        <w:t>PPIAL4F</w:t>
      </w:r>
      <w:r w:rsidRPr="000817CB">
        <w:t xml:space="preserve">, </w:t>
      </w:r>
      <w:r w:rsidRPr="000817CB">
        <w:rPr>
          <w:i/>
        </w:rPr>
        <w:t xml:space="preserve">THRB </w:t>
      </w:r>
      <w:r w:rsidRPr="000817CB">
        <w:t xml:space="preserve">(Fig. 2A).  Three transcripts that were down-regulated at Baseline were up-regulated after supplementation with either FO or </w:t>
      </w:r>
      <w:proofErr w:type="spellStart"/>
      <w:r w:rsidRPr="000817CB">
        <w:t>tCSO</w:t>
      </w:r>
      <w:proofErr w:type="spellEnd"/>
      <w:r w:rsidRPr="000817CB">
        <w:t>, namely</w:t>
      </w:r>
      <w:r w:rsidRPr="000817CB">
        <w:rPr>
          <w:b/>
          <w:bCs/>
        </w:rPr>
        <w:t xml:space="preserve"> </w:t>
      </w:r>
      <w:r w:rsidRPr="000817CB">
        <w:rPr>
          <w:i/>
        </w:rPr>
        <w:t>GOLGA8S</w:t>
      </w:r>
      <w:r w:rsidRPr="000817CB">
        <w:t xml:space="preserve">, </w:t>
      </w:r>
      <w:r w:rsidRPr="000817CB">
        <w:rPr>
          <w:i/>
        </w:rPr>
        <w:t>TRIM39-RPP21</w:t>
      </w:r>
      <w:r w:rsidRPr="000817CB">
        <w:t xml:space="preserve"> and </w:t>
      </w:r>
      <w:r w:rsidRPr="000817CB">
        <w:rPr>
          <w:i/>
        </w:rPr>
        <w:t>EPHX3</w:t>
      </w:r>
      <w:r w:rsidRPr="000817CB">
        <w:t xml:space="preserve"> (Fig. 2B).  </w:t>
      </w:r>
    </w:p>
    <w:p w14:paraId="080AD68E" w14:textId="77777777" w:rsidR="000817CB" w:rsidRPr="000817CB" w:rsidRDefault="000817CB" w:rsidP="000817CB">
      <w:pPr>
        <w:pStyle w:val="MDPI52figure"/>
      </w:pPr>
      <w:r w:rsidRPr="000817CB">
        <w:rPr>
          <w:noProof/>
        </w:rPr>
        <w:drawing>
          <wp:inline distT="0" distB="0" distL="0" distR="0" wp14:anchorId="387525A0" wp14:editId="01314A37">
            <wp:extent cx="5728335" cy="352488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26 April 202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335" cy="3524885"/>
                    </a:xfrm>
                    <a:prstGeom prst="rect">
                      <a:avLst/>
                    </a:prstGeom>
                  </pic:spPr>
                </pic:pic>
              </a:graphicData>
            </a:graphic>
          </wp:inline>
        </w:drawing>
      </w:r>
    </w:p>
    <w:p w14:paraId="22D5C43A" w14:textId="77777777" w:rsidR="000817CB" w:rsidRPr="000817CB" w:rsidRDefault="000817CB" w:rsidP="000817CB">
      <w:pPr>
        <w:pStyle w:val="MDPI51figurecaption"/>
      </w:pPr>
      <w:r w:rsidRPr="000817CB">
        <w:rPr>
          <w:b/>
        </w:rPr>
        <w:t xml:space="preserve">Figure 1. </w:t>
      </w:r>
      <w:r w:rsidRPr="000817CB">
        <w:t xml:space="preserve">Differentially expressed transcripts between stimulated and unstimulated T cells at Baseline and after supplementation with the test oils.  Values are numbers of differentially expressed transcripts (log2 Fold change &gt; 1.2; P &lt; 0.05) between unstimulated and stimulated cells at Baseline and after 8 weeks dietary supplementation with either FO or </w:t>
      </w:r>
      <w:proofErr w:type="spellStart"/>
      <w:r w:rsidRPr="000817CB">
        <w:t>t</w:t>
      </w:r>
      <w:r w:rsidRPr="000817CB">
        <w:rPr>
          <w:i/>
        </w:rPr>
        <w:t>CS</w:t>
      </w:r>
      <w:r w:rsidRPr="000817CB">
        <w:t>O</w:t>
      </w:r>
      <w:proofErr w:type="spellEnd"/>
      <w:r w:rsidRPr="000817CB">
        <w:t>. (</w:t>
      </w:r>
      <w:r w:rsidRPr="000817CB">
        <w:rPr>
          <w:b/>
        </w:rPr>
        <w:t>A)</w:t>
      </w:r>
      <w:r w:rsidRPr="000817CB">
        <w:t xml:space="preserve"> Up-regulated transcripts, (</w:t>
      </w:r>
      <w:r w:rsidRPr="000817CB">
        <w:rPr>
          <w:b/>
        </w:rPr>
        <w:t>B)</w:t>
      </w:r>
      <w:r w:rsidRPr="000817CB">
        <w:t xml:space="preserve"> down-regulated transcripts. .</w:t>
      </w:r>
    </w:p>
    <w:p w14:paraId="7DD5B936" w14:textId="77777777" w:rsidR="000817CB" w:rsidRPr="000817CB" w:rsidRDefault="000817CB" w:rsidP="000817CB">
      <w:pPr>
        <w:pStyle w:val="MDPI52figure"/>
      </w:pPr>
      <w:r w:rsidRPr="000817CB">
        <w:rPr>
          <w:noProof/>
        </w:rPr>
        <w:lastRenderedPageBreak/>
        <w:drawing>
          <wp:inline distT="0" distB="0" distL="0" distR="0" wp14:anchorId="5AF8C059" wp14:editId="13F80228">
            <wp:extent cx="5728335" cy="3500120"/>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26 April 202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8335" cy="3500120"/>
                    </a:xfrm>
                    <a:prstGeom prst="rect">
                      <a:avLst/>
                    </a:prstGeom>
                  </pic:spPr>
                </pic:pic>
              </a:graphicData>
            </a:graphic>
          </wp:inline>
        </w:drawing>
      </w:r>
    </w:p>
    <w:p w14:paraId="0B2F4C26" w14:textId="77777777" w:rsidR="000817CB" w:rsidRPr="000817CB" w:rsidRDefault="000817CB" w:rsidP="000817CB">
      <w:pPr>
        <w:pStyle w:val="MDPI51figurecaption"/>
      </w:pPr>
      <w:r w:rsidRPr="000817CB">
        <w:rPr>
          <w:b/>
        </w:rPr>
        <w:t xml:space="preserve">Figure 2. </w:t>
      </w:r>
      <w:r w:rsidRPr="000817CB">
        <w:t xml:space="preserve">Differentially expressed transcripts between stimulated and unstimulated T cells at Baseline and after supplementation with the test oils.  Values are numbers of differentially expressed transcripts (log2 Fold change &gt; 1.2; P &lt; 0.05) between unstimulated and stimulated cells at Baseline and after 8 weeks dietary supplementation with either FO or </w:t>
      </w:r>
      <w:proofErr w:type="spellStart"/>
      <w:r w:rsidRPr="000817CB">
        <w:t>t</w:t>
      </w:r>
      <w:r w:rsidRPr="000817CB">
        <w:rPr>
          <w:i/>
        </w:rPr>
        <w:t>CS</w:t>
      </w:r>
      <w:r w:rsidRPr="000817CB">
        <w:t>O</w:t>
      </w:r>
      <w:proofErr w:type="spellEnd"/>
      <w:r w:rsidRPr="000817CB">
        <w:t>. (</w:t>
      </w:r>
      <w:r w:rsidRPr="000817CB">
        <w:rPr>
          <w:b/>
        </w:rPr>
        <w:t>A)</w:t>
      </w:r>
      <w:r w:rsidRPr="000817CB">
        <w:t xml:space="preserve"> Up-regulated transcripts at Baseline compared to down-regulated transcripts after supplementation,</w:t>
      </w:r>
      <w:r w:rsidRPr="000817CB">
        <w:rPr>
          <w:b/>
        </w:rPr>
        <w:t xml:space="preserve"> (B)</w:t>
      </w:r>
      <w:r w:rsidRPr="000817CB">
        <w:t xml:space="preserve"> down-regulated transcripts at Baseline compared to down-regulated transcripts after supplementation. .</w:t>
      </w:r>
    </w:p>
    <w:p w14:paraId="30890747" w14:textId="77777777" w:rsidR="00F709B0" w:rsidRPr="000817CB" w:rsidRDefault="00FF4921" w:rsidP="00FF4921">
      <w:pPr>
        <w:pStyle w:val="MDPI22heading2"/>
        <w:spacing w:before="240"/>
      </w:pPr>
      <w:r w:rsidRPr="000817CB">
        <w:t xml:space="preserve">3.5. </w:t>
      </w:r>
      <w:r w:rsidR="00F709B0" w:rsidRPr="000817CB">
        <w:t>The effect of dietary supplementation on the most differentially expressed transcripts in activated compared to unstimulated CD3</w:t>
      </w:r>
      <w:r w:rsidR="00F709B0" w:rsidRPr="000817CB">
        <w:rPr>
          <w:vertAlign w:val="superscript"/>
        </w:rPr>
        <w:t>+</w:t>
      </w:r>
      <w:r w:rsidR="00F709B0" w:rsidRPr="000817CB">
        <w:t xml:space="preserve"> T cells</w:t>
      </w:r>
    </w:p>
    <w:p w14:paraId="13E8EE7C" w14:textId="77777777" w:rsidR="00F709B0" w:rsidRPr="000817CB" w:rsidRDefault="00F709B0" w:rsidP="00FF4921">
      <w:pPr>
        <w:pStyle w:val="MDPI31text"/>
      </w:pPr>
      <w:r w:rsidRPr="000817CB">
        <w:tab/>
        <w:t xml:space="preserve">Four transcripts were among the 20 most up-regulated transcripts at Baseline, and after supplementation with either FO or </w:t>
      </w:r>
      <w:proofErr w:type="spellStart"/>
      <w:r w:rsidRPr="000817CB">
        <w:t>t</w:t>
      </w:r>
      <w:r w:rsidRPr="000817CB">
        <w:rPr>
          <w:i/>
        </w:rPr>
        <w:t>CS</w:t>
      </w:r>
      <w:r w:rsidRPr="000817CB">
        <w:t>O</w:t>
      </w:r>
      <w:proofErr w:type="spellEnd"/>
      <w:r w:rsidRPr="000817CB">
        <w:t>, namely interleukin (IL)-17F, IL-5, Kinesin Family Member 1A (</w:t>
      </w:r>
      <w:r w:rsidRPr="000817CB">
        <w:rPr>
          <w:i/>
        </w:rPr>
        <w:t>KIF1A</w:t>
      </w:r>
      <w:r w:rsidRPr="000817CB">
        <w:t>) and Thymidylate Synthetase (</w:t>
      </w:r>
      <w:r w:rsidRPr="000817CB">
        <w:rPr>
          <w:i/>
        </w:rPr>
        <w:t>TYMS</w:t>
      </w:r>
      <w:r w:rsidRPr="000817CB">
        <w:t>) (Table 4).  In addition, Baculoviral Inhibitor of Apoptosis Repeat-Containing 5 (</w:t>
      </w:r>
      <w:r w:rsidRPr="000817CB">
        <w:rPr>
          <w:i/>
        </w:rPr>
        <w:t>BIRC5</w:t>
      </w:r>
      <w:r w:rsidRPr="000817CB">
        <w:t>) and Cystathionine β-Synthase like protein (</w:t>
      </w:r>
      <w:r w:rsidRPr="000817CB">
        <w:rPr>
          <w:i/>
        </w:rPr>
        <w:t>CBSL</w:t>
      </w:r>
      <w:r w:rsidRPr="000817CB">
        <w:t xml:space="preserve">) were among the twenty most differentially up-regulated transcripts after supplementation with FO or </w:t>
      </w:r>
      <w:proofErr w:type="spellStart"/>
      <w:r w:rsidRPr="000817CB">
        <w:t>t</w:t>
      </w:r>
      <w:r w:rsidRPr="000817CB">
        <w:rPr>
          <w:i/>
        </w:rPr>
        <w:t>CS</w:t>
      </w:r>
      <w:r w:rsidRPr="000817CB">
        <w:t>O</w:t>
      </w:r>
      <w:proofErr w:type="spellEnd"/>
      <w:r w:rsidRPr="000817CB">
        <w:t>, but not in cells collected at Baseline (Table 4).  Gap junction protein-Beta-2 (</w:t>
      </w:r>
      <w:r w:rsidRPr="000817CB">
        <w:rPr>
          <w:i/>
        </w:rPr>
        <w:t>GJB2</w:t>
      </w:r>
      <w:r w:rsidRPr="000817CB">
        <w:t xml:space="preserve">) and </w:t>
      </w:r>
      <w:proofErr w:type="spellStart"/>
      <w:r w:rsidRPr="000817CB">
        <w:t>Minichromosome</w:t>
      </w:r>
      <w:proofErr w:type="spellEnd"/>
      <w:r w:rsidRPr="000817CB">
        <w:t xml:space="preserve"> Maintenance 10 Replication Initiation Factor (</w:t>
      </w:r>
      <w:r w:rsidRPr="000817CB">
        <w:rPr>
          <w:i/>
        </w:rPr>
        <w:t>MCM10</w:t>
      </w:r>
      <w:r w:rsidRPr="000817CB">
        <w:t xml:space="preserve">) were among the most up-regulated transcripts at Baseline and after supplementation with </w:t>
      </w:r>
      <w:proofErr w:type="spellStart"/>
      <w:r w:rsidRPr="000817CB">
        <w:t>t</w:t>
      </w:r>
      <w:r w:rsidRPr="000817CB">
        <w:rPr>
          <w:i/>
        </w:rPr>
        <w:t>CS</w:t>
      </w:r>
      <w:r w:rsidRPr="000817CB">
        <w:t>O</w:t>
      </w:r>
      <w:proofErr w:type="spellEnd"/>
      <w:r w:rsidRPr="000817CB">
        <w:t>, but not with FO (Table 5).  Zinc Finger BED-Type Containing-2 (</w:t>
      </w:r>
      <w:r w:rsidRPr="000817CB">
        <w:rPr>
          <w:i/>
        </w:rPr>
        <w:t>ZBED2</w:t>
      </w:r>
      <w:r w:rsidRPr="000817CB">
        <w:t>), IL-22 and spindle pole body component 25 (</w:t>
      </w:r>
      <w:r w:rsidRPr="000817CB">
        <w:rPr>
          <w:i/>
        </w:rPr>
        <w:t>SPC25</w:t>
      </w:r>
      <w:r w:rsidRPr="000817CB">
        <w:t xml:space="preserve">) were among the twenty most up-regulated transcripts at Baseline and after supplementation with FO, but not with </w:t>
      </w:r>
      <w:proofErr w:type="spellStart"/>
      <w:r w:rsidRPr="000817CB">
        <w:t>t</w:t>
      </w:r>
      <w:r w:rsidRPr="000817CB">
        <w:rPr>
          <w:i/>
        </w:rPr>
        <w:t>CS</w:t>
      </w:r>
      <w:r w:rsidRPr="000817CB">
        <w:t>O</w:t>
      </w:r>
      <w:proofErr w:type="spellEnd"/>
      <w:r w:rsidRPr="000817CB">
        <w:t xml:space="preserve"> (Table 4).</w:t>
      </w:r>
      <w:r w:rsidRPr="000817CB">
        <w:tab/>
      </w:r>
    </w:p>
    <w:p w14:paraId="6A11CDA8" w14:textId="77777777" w:rsidR="00511D9B" w:rsidRPr="000817CB" w:rsidRDefault="00511D9B" w:rsidP="00511D9B">
      <w:pPr>
        <w:pStyle w:val="MDPI41tablecaption"/>
        <w:ind w:left="425" w:right="425"/>
        <w:jc w:val="both"/>
      </w:pPr>
      <w:r w:rsidRPr="000817CB">
        <w:rPr>
          <w:b/>
          <w:bCs/>
        </w:rPr>
        <w:t xml:space="preserve">Table 4. </w:t>
      </w:r>
      <w:r w:rsidRPr="000817CB">
        <w:t xml:space="preserve">The twenty most changed transcripts in response to stimulation with Concanavalin A in T cells collected from women either before supplementation or after supplementation with either </w:t>
      </w:r>
      <w:proofErr w:type="spellStart"/>
      <w:r w:rsidRPr="000817CB">
        <w:t>t</w:t>
      </w:r>
      <w:r w:rsidRPr="000817CB">
        <w:rPr>
          <w:i/>
        </w:rPr>
        <w:t>CS</w:t>
      </w:r>
      <w:r w:rsidRPr="000817CB">
        <w:t>O</w:t>
      </w:r>
      <w:proofErr w:type="spellEnd"/>
      <w:r w:rsidRPr="000817CB">
        <w:t xml:space="preserve"> or FO.  Values are log2 fold difference between mitogen stimulated and unstimulated cells. .</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2"/>
        <w:gridCol w:w="1162"/>
        <w:gridCol w:w="1163"/>
        <w:gridCol w:w="1163"/>
        <w:gridCol w:w="1163"/>
        <w:gridCol w:w="1163"/>
        <w:gridCol w:w="1163"/>
        <w:gridCol w:w="1163"/>
        <w:gridCol w:w="1163"/>
      </w:tblGrid>
      <w:tr w:rsidR="00511D9B" w:rsidRPr="000817CB" w14:paraId="3007ED2D" w14:textId="77777777" w:rsidTr="00511D9B">
        <w:trPr>
          <w:jc w:val="center"/>
        </w:trPr>
        <w:tc>
          <w:tcPr>
            <w:tcW w:w="0" w:type="dxa"/>
            <w:tcBorders>
              <w:top w:val="single" w:sz="8" w:space="0" w:color="auto"/>
              <w:bottom w:val="single" w:sz="4" w:space="0" w:color="auto"/>
            </w:tcBorders>
            <w:shd w:val="clear" w:color="auto" w:fill="auto"/>
            <w:vAlign w:val="center"/>
          </w:tcPr>
          <w:p w14:paraId="480B923A" w14:textId="77777777" w:rsidR="00511D9B" w:rsidRPr="000817CB" w:rsidRDefault="00511D9B" w:rsidP="00511D9B">
            <w:pPr>
              <w:autoSpaceDE w:val="0"/>
              <w:autoSpaceDN w:val="0"/>
              <w:adjustRightInd w:val="0"/>
              <w:snapToGrid w:val="0"/>
              <w:jc w:val="center"/>
              <w:rPr>
                <w:rFonts w:ascii="Times New Roman" w:hAnsi="Times New Roman" w:cs="Times New Roman"/>
                <w:b/>
                <w:sz w:val="20"/>
                <w:lang w:val="en-US"/>
              </w:rPr>
            </w:pPr>
          </w:p>
        </w:tc>
        <w:tc>
          <w:tcPr>
            <w:tcW w:w="0" w:type="dxa"/>
            <w:gridSpan w:val="8"/>
            <w:tcBorders>
              <w:top w:val="single" w:sz="8" w:space="0" w:color="auto"/>
              <w:bottom w:val="single" w:sz="4" w:space="0" w:color="auto"/>
            </w:tcBorders>
            <w:shd w:val="clear" w:color="auto" w:fill="auto"/>
            <w:vAlign w:val="center"/>
          </w:tcPr>
          <w:p w14:paraId="7EF59FF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Difference in mRNA expression in Concanavalin A stimulated cells from unstimulated cells</w:t>
            </w:r>
          </w:p>
        </w:tc>
      </w:tr>
      <w:tr w:rsidR="00511D9B" w:rsidRPr="000817CB" w14:paraId="30E5F650" w14:textId="77777777" w:rsidTr="00511D9B">
        <w:trPr>
          <w:jc w:val="center"/>
        </w:trPr>
        <w:tc>
          <w:tcPr>
            <w:tcW w:w="0" w:type="dxa"/>
            <w:tcBorders>
              <w:top w:val="single" w:sz="4" w:space="0" w:color="auto"/>
              <w:bottom w:val="single" w:sz="4" w:space="0" w:color="auto"/>
            </w:tcBorders>
            <w:shd w:val="clear" w:color="auto" w:fill="auto"/>
            <w:vAlign w:val="center"/>
          </w:tcPr>
          <w:p w14:paraId="3B22B4C9"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0" w:type="dxa"/>
            <w:gridSpan w:val="8"/>
            <w:tcBorders>
              <w:top w:val="single" w:sz="4" w:space="0" w:color="auto"/>
              <w:bottom w:val="single" w:sz="4" w:space="0" w:color="auto"/>
            </w:tcBorders>
            <w:shd w:val="clear" w:color="auto" w:fill="auto"/>
            <w:vAlign w:val="center"/>
          </w:tcPr>
          <w:p w14:paraId="3D7E49E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r>
      <w:tr w:rsidR="00511D9B" w:rsidRPr="000817CB" w14:paraId="451EBEDE" w14:textId="77777777" w:rsidTr="00511D9B">
        <w:trPr>
          <w:jc w:val="center"/>
        </w:trPr>
        <w:tc>
          <w:tcPr>
            <w:tcW w:w="0" w:type="dxa"/>
            <w:tcBorders>
              <w:top w:val="single" w:sz="4" w:space="0" w:color="auto"/>
              <w:bottom w:val="single" w:sz="4" w:space="0" w:color="auto"/>
            </w:tcBorders>
            <w:shd w:val="clear" w:color="auto" w:fill="auto"/>
            <w:vAlign w:val="center"/>
          </w:tcPr>
          <w:p w14:paraId="01273B46"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p>
        </w:tc>
        <w:tc>
          <w:tcPr>
            <w:tcW w:w="0" w:type="dxa"/>
            <w:gridSpan w:val="2"/>
            <w:tcBorders>
              <w:top w:val="single" w:sz="4" w:space="0" w:color="auto"/>
              <w:bottom w:val="single" w:sz="4" w:space="0" w:color="auto"/>
            </w:tcBorders>
            <w:shd w:val="clear" w:color="auto" w:fill="auto"/>
            <w:vAlign w:val="center"/>
          </w:tcPr>
          <w:p w14:paraId="5919A89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Baseline</w:t>
            </w:r>
          </w:p>
        </w:tc>
        <w:tc>
          <w:tcPr>
            <w:tcW w:w="0" w:type="dxa"/>
            <w:gridSpan w:val="3"/>
            <w:tcBorders>
              <w:top w:val="single" w:sz="4" w:space="0" w:color="auto"/>
              <w:bottom w:val="single" w:sz="4" w:space="0" w:color="auto"/>
            </w:tcBorders>
            <w:shd w:val="clear" w:color="auto" w:fill="auto"/>
            <w:vAlign w:val="center"/>
          </w:tcPr>
          <w:p w14:paraId="4865C9F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 xml:space="preserve">Post </w:t>
            </w:r>
            <w:proofErr w:type="spellStart"/>
            <w:r w:rsidRPr="000817CB">
              <w:rPr>
                <w:rFonts w:ascii="Times New Roman" w:hAnsi="Times New Roman" w:cs="Times New Roman"/>
                <w:sz w:val="20"/>
              </w:rPr>
              <w:t>t</w:t>
            </w:r>
            <w:r w:rsidRPr="000817CB">
              <w:rPr>
                <w:rFonts w:ascii="Times New Roman" w:hAnsi="Times New Roman" w:cs="Times New Roman"/>
                <w:i/>
                <w:sz w:val="20"/>
              </w:rPr>
              <w:t>CS</w:t>
            </w:r>
            <w:r w:rsidRPr="000817CB">
              <w:rPr>
                <w:rFonts w:ascii="Times New Roman" w:hAnsi="Times New Roman" w:cs="Times New Roman"/>
                <w:sz w:val="20"/>
              </w:rPr>
              <w:t>O</w:t>
            </w:r>
            <w:proofErr w:type="spellEnd"/>
            <w:r w:rsidRPr="000817CB">
              <w:rPr>
                <w:rFonts w:ascii="Times New Roman" w:hAnsi="Times New Roman" w:cs="Times New Roman"/>
                <w:sz w:val="20"/>
              </w:rPr>
              <w:t xml:space="preserve"> supplementation </w:t>
            </w:r>
          </w:p>
        </w:tc>
        <w:tc>
          <w:tcPr>
            <w:tcW w:w="0" w:type="dxa"/>
            <w:gridSpan w:val="3"/>
            <w:tcBorders>
              <w:top w:val="single" w:sz="4" w:space="0" w:color="auto"/>
              <w:bottom w:val="single" w:sz="4" w:space="0" w:color="auto"/>
            </w:tcBorders>
            <w:shd w:val="clear" w:color="auto" w:fill="auto"/>
            <w:vAlign w:val="center"/>
          </w:tcPr>
          <w:p w14:paraId="040168D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Post FO supplementation</w:t>
            </w:r>
          </w:p>
        </w:tc>
      </w:tr>
      <w:tr w:rsidR="00511D9B" w:rsidRPr="000817CB" w14:paraId="5F3B0D82" w14:textId="77777777" w:rsidTr="00511D9B">
        <w:trPr>
          <w:jc w:val="center"/>
        </w:trPr>
        <w:tc>
          <w:tcPr>
            <w:tcW w:w="0" w:type="dxa"/>
            <w:tcBorders>
              <w:top w:val="single" w:sz="4" w:space="0" w:color="auto"/>
              <w:bottom w:val="single" w:sz="4" w:space="0" w:color="auto"/>
            </w:tcBorders>
            <w:shd w:val="clear" w:color="auto" w:fill="auto"/>
            <w:vAlign w:val="center"/>
          </w:tcPr>
          <w:p w14:paraId="478D132E"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n</w:t>
            </w:r>
          </w:p>
        </w:tc>
        <w:tc>
          <w:tcPr>
            <w:tcW w:w="0" w:type="dxa"/>
            <w:gridSpan w:val="2"/>
            <w:tcBorders>
              <w:top w:val="single" w:sz="4" w:space="0" w:color="auto"/>
              <w:bottom w:val="single" w:sz="4" w:space="0" w:color="auto"/>
            </w:tcBorders>
            <w:shd w:val="clear" w:color="auto" w:fill="auto"/>
            <w:vAlign w:val="center"/>
          </w:tcPr>
          <w:p w14:paraId="0A259EF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w:t>
            </w:r>
          </w:p>
        </w:tc>
        <w:tc>
          <w:tcPr>
            <w:tcW w:w="0" w:type="dxa"/>
            <w:gridSpan w:val="3"/>
            <w:tcBorders>
              <w:top w:val="single" w:sz="4" w:space="0" w:color="auto"/>
              <w:bottom w:val="single" w:sz="4" w:space="0" w:color="auto"/>
            </w:tcBorders>
            <w:shd w:val="clear" w:color="auto" w:fill="auto"/>
            <w:vAlign w:val="center"/>
          </w:tcPr>
          <w:p w14:paraId="604FEF4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w:t>
            </w:r>
          </w:p>
        </w:tc>
        <w:tc>
          <w:tcPr>
            <w:tcW w:w="0" w:type="dxa"/>
            <w:gridSpan w:val="3"/>
            <w:tcBorders>
              <w:top w:val="single" w:sz="4" w:space="0" w:color="auto"/>
              <w:bottom w:val="single" w:sz="4" w:space="0" w:color="auto"/>
            </w:tcBorders>
            <w:shd w:val="clear" w:color="auto" w:fill="auto"/>
            <w:vAlign w:val="center"/>
          </w:tcPr>
          <w:p w14:paraId="759B3B3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w:t>
            </w:r>
          </w:p>
        </w:tc>
      </w:tr>
      <w:tr w:rsidR="00511D9B" w:rsidRPr="000817CB" w14:paraId="329DE7A7" w14:textId="77777777" w:rsidTr="00511D9B">
        <w:trPr>
          <w:jc w:val="center"/>
        </w:trPr>
        <w:tc>
          <w:tcPr>
            <w:tcW w:w="0" w:type="dxa"/>
            <w:tcBorders>
              <w:top w:val="single" w:sz="4" w:space="0" w:color="auto"/>
            </w:tcBorders>
            <w:shd w:val="clear" w:color="auto" w:fill="auto"/>
            <w:vAlign w:val="center"/>
          </w:tcPr>
          <w:p w14:paraId="7782295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Gene</w:t>
            </w:r>
          </w:p>
        </w:tc>
        <w:tc>
          <w:tcPr>
            <w:tcW w:w="0" w:type="dxa"/>
            <w:tcBorders>
              <w:top w:val="single" w:sz="4" w:space="0" w:color="auto"/>
              <w:bottom w:val="single" w:sz="4" w:space="0" w:color="auto"/>
            </w:tcBorders>
            <w:shd w:val="clear" w:color="auto" w:fill="auto"/>
            <w:vAlign w:val="center"/>
          </w:tcPr>
          <w:p w14:paraId="5778C4C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log2 Fold Change</w:t>
            </w:r>
          </w:p>
        </w:tc>
        <w:tc>
          <w:tcPr>
            <w:tcW w:w="0" w:type="dxa"/>
            <w:tcBorders>
              <w:top w:val="single" w:sz="4" w:space="0" w:color="auto"/>
              <w:bottom w:val="single" w:sz="4" w:space="0" w:color="auto"/>
            </w:tcBorders>
            <w:shd w:val="clear" w:color="auto" w:fill="auto"/>
            <w:vAlign w:val="center"/>
          </w:tcPr>
          <w:p w14:paraId="4F21B59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Adjusted</w:t>
            </w:r>
          </w:p>
          <w:p w14:paraId="5B3F937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w:t>
            </w:r>
          </w:p>
        </w:tc>
        <w:tc>
          <w:tcPr>
            <w:tcW w:w="0" w:type="dxa"/>
            <w:tcBorders>
              <w:top w:val="single" w:sz="4" w:space="0" w:color="auto"/>
              <w:bottom w:val="single" w:sz="4" w:space="0" w:color="auto"/>
            </w:tcBorders>
            <w:shd w:val="clear" w:color="auto" w:fill="auto"/>
            <w:vAlign w:val="center"/>
          </w:tcPr>
          <w:p w14:paraId="3109AFA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Gene</w:t>
            </w:r>
          </w:p>
        </w:tc>
        <w:tc>
          <w:tcPr>
            <w:tcW w:w="0" w:type="dxa"/>
            <w:tcBorders>
              <w:top w:val="single" w:sz="4" w:space="0" w:color="auto"/>
              <w:bottom w:val="single" w:sz="4" w:space="0" w:color="auto"/>
            </w:tcBorders>
            <w:shd w:val="clear" w:color="auto" w:fill="auto"/>
            <w:vAlign w:val="center"/>
          </w:tcPr>
          <w:p w14:paraId="5BA5391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log2 Fold Change</w:t>
            </w:r>
          </w:p>
        </w:tc>
        <w:tc>
          <w:tcPr>
            <w:tcW w:w="0" w:type="dxa"/>
            <w:tcBorders>
              <w:top w:val="single" w:sz="4" w:space="0" w:color="auto"/>
              <w:bottom w:val="single" w:sz="4" w:space="0" w:color="auto"/>
            </w:tcBorders>
            <w:shd w:val="clear" w:color="auto" w:fill="auto"/>
            <w:vAlign w:val="center"/>
          </w:tcPr>
          <w:p w14:paraId="6C8C1ED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Adjusted</w:t>
            </w:r>
          </w:p>
          <w:p w14:paraId="5688F99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w:t>
            </w:r>
          </w:p>
        </w:tc>
        <w:tc>
          <w:tcPr>
            <w:tcW w:w="0" w:type="dxa"/>
            <w:tcBorders>
              <w:top w:val="single" w:sz="4" w:space="0" w:color="auto"/>
              <w:bottom w:val="single" w:sz="4" w:space="0" w:color="auto"/>
            </w:tcBorders>
            <w:shd w:val="clear" w:color="auto" w:fill="auto"/>
            <w:vAlign w:val="center"/>
          </w:tcPr>
          <w:p w14:paraId="5FDD33F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Gene</w:t>
            </w:r>
          </w:p>
        </w:tc>
        <w:tc>
          <w:tcPr>
            <w:tcW w:w="0" w:type="dxa"/>
            <w:tcBorders>
              <w:top w:val="single" w:sz="4" w:space="0" w:color="auto"/>
              <w:bottom w:val="single" w:sz="4" w:space="0" w:color="auto"/>
            </w:tcBorders>
            <w:shd w:val="clear" w:color="auto" w:fill="auto"/>
            <w:vAlign w:val="center"/>
          </w:tcPr>
          <w:p w14:paraId="4420219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log2 Fold Change</w:t>
            </w:r>
          </w:p>
        </w:tc>
        <w:tc>
          <w:tcPr>
            <w:tcW w:w="0" w:type="dxa"/>
            <w:tcBorders>
              <w:top w:val="single" w:sz="4" w:space="0" w:color="auto"/>
              <w:bottom w:val="single" w:sz="4" w:space="0" w:color="auto"/>
            </w:tcBorders>
            <w:shd w:val="clear" w:color="auto" w:fill="auto"/>
            <w:vAlign w:val="center"/>
          </w:tcPr>
          <w:p w14:paraId="1FB6606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Adjusted P</w:t>
            </w:r>
          </w:p>
        </w:tc>
      </w:tr>
      <w:tr w:rsidR="00511D9B" w:rsidRPr="000817CB" w14:paraId="7158AD44" w14:textId="77777777" w:rsidTr="00511D9B">
        <w:trPr>
          <w:jc w:val="center"/>
        </w:trPr>
        <w:tc>
          <w:tcPr>
            <w:tcW w:w="0" w:type="dxa"/>
            <w:shd w:val="clear" w:color="auto" w:fill="auto"/>
            <w:vAlign w:val="center"/>
          </w:tcPr>
          <w:p w14:paraId="6ECCB20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c>
          <w:tcPr>
            <w:tcW w:w="0" w:type="dxa"/>
            <w:gridSpan w:val="8"/>
            <w:tcBorders>
              <w:top w:val="single" w:sz="4" w:space="0" w:color="auto"/>
            </w:tcBorders>
            <w:shd w:val="clear" w:color="auto" w:fill="auto"/>
            <w:vAlign w:val="center"/>
          </w:tcPr>
          <w:p w14:paraId="3DD6B7D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Up-regulated genes</w:t>
            </w:r>
          </w:p>
        </w:tc>
      </w:tr>
      <w:tr w:rsidR="00511D9B" w:rsidRPr="000817CB" w14:paraId="56DDCF92" w14:textId="77777777" w:rsidTr="00511D9B">
        <w:trPr>
          <w:jc w:val="center"/>
        </w:trPr>
        <w:tc>
          <w:tcPr>
            <w:tcW w:w="0" w:type="dxa"/>
            <w:shd w:val="clear" w:color="auto" w:fill="auto"/>
            <w:vAlign w:val="center"/>
          </w:tcPr>
          <w:p w14:paraId="71FBFFF0"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CXCL9</w:t>
            </w:r>
          </w:p>
        </w:tc>
        <w:tc>
          <w:tcPr>
            <w:tcW w:w="0" w:type="dxa"/>
            <w:shd w:val="clear" w:color="auto" w:fill="auto"/>
            <w:vAlign w:val="center"/>
          </w:tcPr>
          <w:p w14:paraId="6B968C4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8.97</w:t>
            </w:r>
          </w:p>
        </w:tc>
        <w:tc>
          <w:tcPr>
            <w:tcW w:w="0" w:type="dxa"/>
            <w:shd w:val="clear" w:color="auto" w:fill="auto"/>
            <w:vAlign w:val="center"/>
          </w:tcPr>
          <w:p w14:paraId="0991586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1.16E-32</w:t>
            </w:r>
          </w:p>
        </w:tc>
        <w:tc>
          <w:tcPr>
            <w:tcW w:w="0" w:type="dxa"/>
            <w:shd w:val="clear" w:color="auto" w:fill="auto"/>
            <w:vAlign w:val="center"/>
          </w:tcPr>
          <w:p w14:paraId="27F8B5E4"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KIF20A</w:t>
            </w:r>
          </w:p>
        </w:tc>
        <w:tc>
          <w:tcPr>
            <w:tcW w:w="0" w:type="dxa"/>
            <w:shd w:val="clear" w:color="auto" w:fill="auto"/>
            <w:vAlign w:val="center"/>
          </w:tcPr>
          <w:p w14:paraId="0B66C33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8.71</w:t>
            </w:r>
          </w:p>
        </w:tc>
        <w:tc>
          <w:tcPr>
            <w:tcW w:w="0" w:type="dxa"/>
            <w:shd w:val="clear" w:color="auto" w:fill="auto"/>
            <w:vAlign w:val="center"/>
          </w:tcPr>
          <w:p w14:paraId="005B271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6.13E-73</w:t>
            </w:r>
          </w:p>
        </w:tc>
        <w:tc>
          <w:tcPr>
            <w:tcW w:w="0" w:type="dxa"/>
            <w:shd w:val="clear" w:color="auto" w:fill="auto"/>
            <w:vAlign w:val="center"/>
          </w:tcPr>
          <w:p w14:paraId="43F658BE"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CSF2</w:t>
            </w:r>
          </w:p>
        </w:tc>
        <w:tc>
          <w:tcPr>
            <w:tcW w:w="0" w:type="dxa"/>
            <w:shd w:val="clear" w:color="auto" w:fill="auto"/>
            <w:vAlign w:val="center"/>
          </w:tcPr>
          <w:p w14:paraId="5CB7594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8.50</w:t>
            </w:r>
          </w:p>
        </w:tc>
        <w:tc>
          <w:tcPr>
            <w:tcW w:w="0" w:type="dxa"/>
            <w:shd w:val="clear" w:color="auto" w:fill="auto"/>
            <w:vAlign w:val="center"/>
          </w:tcPr>
          <w:p w14:paraId="00E7C78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2.48E-26</w:t>
            </w:r>
          </w:p>
        </w:tc>
      </w:tr>
      <w:tr w:rsidR="00511D9B" w:rsidRPr="000817CB" w14:paraId="3241D9C6" w14:textId="77777777" w:rsidTr="00511D9B">
        <w:trPr>
          <w:jc w:val="center"/>
        </w:trPr>
        <w:tc>
          <w:tcPr>
            <w:tcW w:w="0" w:type="dxa"/>
            <w:shd w:val="clear" w:color="auto" w:fill="auto"/>
            <w:vAlign w:val="center"/>
          </w:tcPr>
          <w:p w14:paraId="1670EBDC"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lastRenderedPageBreak/>
              <w:t>IL17A</w:t>
            </w:r>
          </w:p>
        </w:tc>
        <w:tc>
          <w:tcPr>
            <w:tcW w:w="0" w:type="dxa"/>
            <w:shd w:val="clear" w:color="auto" w:fill="auto"/>
            <w:vAlign w:val="center"/>
          </w:tcPr>
          <w:p w14:paraId="0515115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8.40</w:t>
            </w:r>
          </w:p>
        </w:tc>
        <w:tc>
          <w:tcPr>
            <w:tcW w:w="0" w:type="dxa"/>
            <w:shd w:val="clear" w:color="auto" w:fill="auto"/>
            <w:vAlign w:val="center"/>
          </w:tcPr>
          <w:p w14:paraId="144810B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1.14E-15</w:t>
            </w:r>
          </w:p>
        </w:tc>
        <w:tc>
          <w:tcPr>
            <w:tcW w:w="0" w:type="dxa"/>
            <w:shd w:val="clear" w:color="auto" w:fill="auto"/>
            <w:vAlign w:val="center"/>
          </w:tcPr>
          <w:p w14:paraId="2BB57CCB"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IL17F</w:t>
            </w:r>
          </w:p>
        </w:tc>
        <w:tc>
          <w:tcPr>
            <w:tcW w:w="0" w:type="dxa"/>
            <w:shd w:val="clear" w:color="auto" w:fill="auto"/>
            <w:vAlign w:val="center"/>
          </w:tcPr>
          <w:p w14:paraId="6C81427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8.68</w:t>
            </w:r>
          </w:p>
        </w:tc>
        <w:tc>
          <w:tcPr>
            <w:tcW w:w="0" w:type="dxa"/>
            <w:shd w:val="clear" w:color="auto" w:fill="auto"/>
            <w:vAlign w:val="center"/>
          </w:tcPr>
          <w:p w14:paraId="35DF134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9.23E-21</w:t>
            </w:r>
          </w:p>
        </w:tc>
        <w:tc>
          <w:tcPr>
            <w:tcW w:w="0" w:type="dxa"/>
            <w:shd w:val="clear" w:color="auto" w:fill="auto"/>
            <w:vAlign w:val="center"/>
          </w:tcPr>
          <w:p w14:paraId="49F3CBBC"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GJB2</w:t>
            </w:r>
          </w:p>
        </w:tc>
        <w:tc>
          <w:tcPr>
            <w:tcW w:w="0" w:type="dxa"/>
            <w:shd w:val="clear" w:color="auto" w:fill="auto"/>
            <w:vAlign w:val="center"/>
          </w:tcPr>
          <w:p w14:paraId="28DBBA9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8.13</w:t>
            </w:r>
          </w:p>
        </w:tc>
        <w:tc>
          <w:tcPr>
            <w:tcW w:w="0" w:type="dxa"/>
            <w:shd w:val="clear" w:color="auto" w:fill="auto"/>
            <w:vAlign w:val="center"/>
          </w:tcPr>
          <w:p w14:paraId="109153A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1.15E-12</w:t>
            </w:r>
          </w:p>
        </w:tc>
      </w:tr>
      <w:tr w:rsidR="00511D9B" w:rsidRPr="000817CB" w14:paraId="58B8A96C" w14:textId="77777777" w:rsidTr="00511D9B">
        <w:trPr>
          <w:jc w:val="center"/>
        </w:trPr>
        <w:tc>
          <w:tcPr>
            <w:tcW w:w="0" w:type="dxa"/>
            <w:shd w:val="clear" w:color="auto" w:fill="auto"/>
            <w:vAlign w:val="center"/>
          </w:tcPr>
          <w:p w14:paraId="234C40B2"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IL17F</w:t>
            </w:r>
          </w:p>
        </w:tc>
        <w:tc>
          <w:tcPr>
            <w:tcW w:w="0" w:type="dxa"/>
            <w:shd w:val="clear" w:color="auto" w:fill="auto"/>
            <w:vAlign w:val="center"/>
          </w:tcPr>
          <w:p w14:paraId="3F5AB63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7.84</w:t>
            </w:r>
          </w:p>
        </w:tc>
        <w:tc>
          <w:tcPr>
            <w:tcW w:w="0" w:type="dxa"/>
            <w:shd w:val="clear" w:color="auto" w:fill="auto"/>
            <w:vAlign w:val="center"/>
          </w:tcPr>
          <w:p w14:paraId="160E509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6.67E-21</w:t>
            </w:r>
          </w:p>
        </w:tc>
        <w:tc>
          <w:tcPr>
            <w:tcW w:w="0" w:type="dxa"/>
            <w:shd w:val="clear" w:color="auto" w:fill="auto"/>
            <w:vAlign w:val="center"/>
          </w:tcPr>
          <w:p w14:paraId="3E36E2E3"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ZBED2</w:t>
            </w:r>
          </w:p>
        </w:tc>
        <w:tc>
          <w:tcPr>
            <w:tcW w:w="0" w:type="dxa"/>
            <w:shd w:val="clear" w:color="auto" w:fill="auto"/>
            <w:vAlign w:val="center"/>
          </w:tcPr>
          <w:p w14:paraId="5AAAE81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8.60</w:t>
            </w:r>
          </w:p>
        </w:tc>
        <w:tc>
          <w:tcPr>
            <w:tcW w:w="0" w:type="dxa"/>
            <w:shd w:val="clear" w:color="auto" w:fill="auto"/>
            <w:vAlign w:val="center"/>
          </w:tcPr>
          <w:p w14:paraId="6997B5F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5.08E-45</w:t>
            </w:r>
          </w:p>
        </w:tc>
        <w:tc>
          <w:tcPr>
            <w:tcW w:w="0" w:type="dxa"/>
            <w:shd w:val="clear" w:color="auto" w:fill="auto"/>
            <w:vAlign w:val="center"/>
          </w:tcPr>
          <w:p w14:paraId="7C2BBFBB"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CAVIN3</w:t>
            </w:r>
          </w:p>
        </w:tc>
        <w:tc>
          <w:tcPr>
            <w:tcW w:w="0" w:type="dxa"/>
            <w:shd w:val="clear" w:color="auto" w:fill="auto"/>
            <w:vAlign w:val="center"/>
          </w:tcPr>
          <w:p w14:paraId="3567595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8.03</w:t>
            </w:r>
          </w:p>
        </w:tc>
        <w:tc>
          <w:tcPr>
            <w:tcW w:w="0" w:type="dxa"/>
            <w:shd w:val="clear" w:color="auto" w:fill="auto"/>
            <w:vAlign w:val="center"/>
          </w:tcPr>
          <w:p w14:paraId="58DAB0A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1.17E-17</w:t>
            </w:r>
          </w:p>
        </w:tc>
      </w:tr>
      <w:tr w:rsidR="00511D9B" w:rsidRPr="000817CB" w14:paraId="4CCED636" w14:textId="77777777" w:rsidTr="00511D9B">
        <w:trPr>
          <w:jc w:val="center"/>
        </w:trPr>
        <w:tc>
          <w:tcPr>
            <w:tcW w:w="0" w:type="dxa"/>
            <w:shd w:val="clear" w:color="auto" w:fill="auto"/>
            <w:vAlign w:val="center"/>
          </w:tcPr>
          <w:p w14:paraId="3F488680"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GJB2</w:t>
            </w:r>
          </w:p>
        </w:tc>
        <w:tc>
          <w:tcPr>
            <w:tcW w:w="0" w:type="dxa"/>
            <w:shd w:val="clear" w:color="auto" w:fill="auto"/>
            <w:vAlign w:val="center"/>
          </w:tcPr>
          <w:p w14:paraId="5C5CB66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7.80</w:t>
            </w:r>
          </w:p>
        </w:tc>
        <w:tc>
          <w:tcPr>
            <w:tcW w:w="0" w:type="dxa"/>
            <w:shd w:val="clear" w:color="auto" w:fill="auto"/>
            <w:vAlign w:val="center"/>
          </w:tcPr>
          <w:p w14:paraId="6BCED92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6.24E-26</w:t>
            </w:r>
          </w:p>
        </w:tc>
        <w:tc>
          <w:tcPr>
            <w:tcW w:w="0" w:type="dxa"/>
            <w:shd w:val="clear" w:color="auto" w:fill="auto"/>
            <w:vAlign w:val="center"/>
          </w:tcPr>
          <w:p w14:paraId="796D5C12"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SPC25</w:t>
            </w:r>
          </w:p>
        </w:tc>
        <w:tc>
          <w:tcPr>
            <w:tcW w:w="0" w:type="dxa"/>
            <w:shd w:val="clear" w:color="auto" w:fill="auto"/>
            <w:vAlign w:val="center"/>
          </w:tcPr>
          <w:p w14:paraId="737213A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8.60</w:t>
            </w:r>
          </w:p>
        </w:tc>
        <w:tc>
          <w:tcPr>
            <w:tcW w:w="0" w:type="dxa"/>
            <w:shd w:val="clear" w:color="auto" w:fill="auto"/>
            <w:vAlign w:val="center"/>
          </w:tcPr>
          <w:p w14:paraId="7A68C3E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3.61E-34</w:t>
            </w:r>
          </w:p>
        </w:tc>
        <w:tc>
          <w:tcPr>
            <w:tcW w:w="0" w:type="dxa"/>
            <w:shd w:val="clear" w:color="auto" w:fill="auto"/>
            <w:vAlign w:val="center"/>
          </w:tcPr>
          <w:p w14:paraId="20309E2F"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RIBC2</w:t>
            </w:r>
          </w:p>
        </w:tc>
        <w:tc>
          <w:tcPr>
            <w:tcW w:w="0" w:type="dxa"/>
            <w:shd w:val="clear" w:color="auto" w:fill="auto"/>
            <w:vAlign w:val="center"/>
          </w:tcPr>
          <w:p w14:paraId="0431312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7.91</w:t>
            </w:r>
          </w:p>
        </w:tc>
        <w:tc>
          <w:tcPr>
            <w:tcW w:w="0" w:type="dxa"/>
            <w:shd w:val="clear" w:color="auto" w:fill="auto"/>
            <w:vAlign w:val="center"/>
          </w:tcPr>
          <w:p w14:paraId="6E36F12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1.46E-17</w:t>
            </w:r>
          </w:p>
        </w:tc>
      </w:tr>
      <w:tr w:rsidR="00511D9B" w:rsidRPr="000817CB" w14:paraId="50DE7798" w14:textId="77777777" w:rsidTr="00511D9B">
        <w:trPr>
          <w:jc w:val="center"/>
        </w:trPr>
        <w:tc>
          <w:tcPr>
            <w:tcW w:w="0" w:type="dxa"/>
            <w:shd w:val="clear" w:color="auto" w:fill="auto"/>
            <w:vAlign w:val="center"/>
          </w:tcPr>
          <w:p w14:paraId="35FCBC7F"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CCL17</w:t>
            </w:r>
          </w:p>
        </w:tc>
        <w:tc>
          <w:tcPr>
            <w:tcW w:w="0" w:type="dxa"/>
            <w:shd w:val="clear" w:color="auto" w:fill="auto"/>
            <w:vAlign w:val="center"/>
          </w:tcPr>
          <w:p w14:paraId="3BD816A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7.69</w:t>
            </w:r>
          </w:p>
        </w:tc>
        <w:tc>
          <w:tcPr>
            <w:tcW w:w="0" w:type="dxa"/>
            <w:shd w:val="clear" w:color="auto" w:fill="auto"/>
            <w:vAlign w:val="center"/>
          </w:tcPr>
          <w:p w14:paraId="6BEAA9B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5.03E-18</w:t>
            </w:r>
          </w:p>
        </w:tc>
        <w:tc>
          <w:tcPr>
            <w:tcW w:w="0" w:type="dxa"/>
            <w:shd w:val="clear" w:color="auto" w:fill="auto"/>
            <w:vAlign w:val="center"/>
          </w:tcPr>
          <w:p w14:paraId="247D942B"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IL22</w:t>
            </w:r>
          </w:p>
        </w:tc>
        <w:tc>
          <w:tcPr>
            <w:tcW w:w="0" w:type="dxa"/>
            <w:shd w:val="clear" w:color="auto" w:fill="auto"/>
            <w:vAlign w:val="center"/>
          </w:tcPr>
          <w:p w14:paraId="00AA029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8.57</w:t>
            </w:r>
          </w:p>
        </w:tc>
        <w:tc>
          <w:tcPr>
            <w:tcW w:w="0" w:type="dxa"/>
            <w:shd w:val="clear" w:color="auto" w:fill="auto"/>
            <w:vAlign w:val="center"/>
          </w:tcPr>
          <w:p w14:paraId="153189C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3.52E-17</w:t>
            </w:r>
          </w:p>
        </w:tc>
        <w:tc>
          <w:tcPr>
            <w:tcW w:w="0" w:type="dxa"/>
            <w:shd w:val="clear" w:color="auto" w:fill="auto"/>
            <w:vAlign w:val="center"/>
          </w:tcPr>
          <w:p w14:paraId="287FA955"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IL17F</w:t>
            </w:r>
          </w:p>
        </w:tc>
        <w:tc>
          <w:tcPr>
            <w:tcW w:w="0" w:type="dxa"/>
            <w:shd w:val="clear" w:color="auto" w:fill="auto"/>
            <w:vAlign w:val="center"/>
          </w:tcPr>
          <w:p w14:paraId="448FE18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7.91</w:t>
            </w:r>
          </w:p>
        </w:tc>
        <w:tc>
          <w:tcPr>
            <w:tcW w:w="0" w:type="dxa"/>
            <w:shd w:val="clear" w:color="auto" w:fill="auto"/>
            <w:vAlign w:val="center"/>
          </w:tcPr>
          <w:p w14:paraId="5ECBF0B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2.68E-17</w:t>
            </w:r>
          </w:p>
        </w:tc>
      </w:tr>
      <w:tr w:rsidR="00511D9B" w:rsidRPr="000817CB" w14:paraId="3AB16935" w14:textId="77777777" w:rsidTr="00511D9B">
        <w:trPr>
          <w:jc w:val="center"/>
        </w:trPr>
        <w:tc>
          <w:tcPr>
            <w:tcW w:w="0" w:type="dxa"/>
            <w:shd w:val="clear" w:color="auto" w:fill="auto"/>
            <w:vAlign w:val="center"/>
          </w:tcPr>
          <w:p w14:paraId="019ED744"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ZBED2</w:t>
            </w:r>
          </w:p>
        </w:tc>
        <w:tc>
          <w:tcPr>
            <w:tcW w:w="0" w:type="dxa"/>
            <w:shd w:val="clear" w:color="auto" w:fill="auto"/>
            <w:vAlign w:val="center"/>
          </w:tcPr>
          <w:p w14:paraId="45B5056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7.63</w:t>
            </w:r>
          </w:p>
        </w:tc>
        <w:tc>
          <w:tcPr>
            <w:tcW w:w="0" w:type="dxa"/>
            <w:shd w:val="clear" w:color="auto" w:fill="auto"/>
            <w:vAlign w:val="center"/>
          </w:tcPr>
          <w:p w14:paraId="4C9CEEA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3.78E-28</w:t>
            </w:r>
          </w:p>
        </w:tc>
        <w:tc>
          <w:tcPr>
            <w:tcW w:w="0" w:type="dxa"/>
            <w:shd w:val="clear" w:color="auto" w:fill="auto"/>
            <w:vAlign w:val="center"/>
          </w:tcPr>
          <w:p w14:paraId="3B7C3E61"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IL17A</w:t>
            </w:r>
          </w:p>
        </w:tc>
        <w:tc>
          <w:tcPr>
            <w:tcW w:w="0" w:type="dxa"/>
            <w:shd w:val="clear" w:color="auto" w:fill="auto"/>
            <w:vAlign w:val="center"/>
          </w:tcPr>
          <w:p w14:paraId="2871F48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8.50</w:t>
            </w:r>
          </w:p>
        </w:tc>
        <w:tc>
          <w:tcPr>
            <w:tcW w:w="0" w:type="dxa"/>
            <w:shd w:val="clear" w:color="auto" w:fill="auto"/>
            <w:vAlign w:val="center"/>
          </w:tcPr>
          <w:p w14:paraId="36BF422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2.94E-12</w:t>
            </w:r>
          </w:p>
        </w:tc>
        <w:tc>
          <w:tcPr>
            <w:tcW w:w="0" w:type="dxa"/>
            <w:shd w:val="clear" w:color="auto" w:fill="auto"/>
            <w:vAlign w:val="center"/>
          </w:tcPr>
          <w:p w14:paraId="62599AD9"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CBSL</w:t>
            </w:r>
          </w:p>
        </w:tc>
        <w:tc>
          <w:tcPr>
            <w:tcW w:w="0" w:type="dxa"/>
            <w:shd w:val="clear" w:color="auto" w:fill="auto"/>
            <w:vAlign w:val="center"/>
          </w:tcPr>
          <w:p w14:paraId="2296580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7.84</w:t>
            </w:r>
          </w:p>
        </w:tc>
        <w:tc>
          <w:tcPr>
            <w:tcW w:w="0" w:type="dxa"/>
            <w:shd w:val="clear" w:color="auto" w:fill="auto"/>
            <w:vAlign w:val="center"/>
          </w:tcPr>
          <w:p w14:paraId="7CBB5B7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2.09E-11</w:t>
            </w:r>
          </w:p>
        </w:tc>
      </w:tr>
      <w:tr w:rsidR="00511D9B" w:rsidRPr="000817CB" w14:paraId="7FF7A9D2" w14:textId="77777777" w:rsidTr="00511D9B">
        <w:trPr>
          <w:jc w:val="center"/>
        </w:trPr>
        <w:tc>
          <w:tcPr>
            <w:tcW w:w="0" w:type="dxa"/>
            <w:shd w:val="clear" w:color="auto" w:fill="auto"/>
            <w:vAlign w:val="center"/>
          </w:tcPr>
          <w:p w14:paraId="431DE2E8"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CXCL10</w:t>
            </w:r>
          </w:p>
        </w:tc>
        <w:tc>
          <w:tcPr>
            <w:tcW w:w="0" w:type="dxa"/>
            <w:shd w:val="clear" w:color="auto" w:fill="auto"/>
            <w:vAlign w:val="center"/>
          </w:tcPr>
          <w:p w14:paraId="6C96B12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7.42</w:t>
            </w:r>
          </w:p>
        </w:tc>
        <w:tc>
          <w:tcPr>
            <w:tcW w:w="0" w:type="dxa"/>
            <w:shd w:val="clear" w:color="auto" w:fill="auto"/>
            <w:vAlign w:val="center"/>
          </w:tcPr>
          <w:p w14:paraId="6C16FAF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1.20E-18</w:t>
            </w:r>
          </w:p>
        </w:tc>
        <w:tc>
          <w:tcPr>
            <w:tcW w:w="0" w:type="dxa"/>
            <w:shd w:val="clear" w:color="auto" w:fill="auto"/>
            <w:vAlign w:val="center"/>
          </w:tcPr>
          <w:p w14:paraId="48A68875"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XIRP1</w:t>
            </w:r>
          </w:p>
        </w:tc>
        <w:tc>
          <w:tcPr>
            <w:tcW w:w="0" w:type="dxa"/>
            <w:shd w:val="clear" w:color="auto" w:fill="auto"/>
            <w:vAlign w:val="center"/>
          </w:tcPr>
          <w:p w14:paraId="37CDC94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8.40</w:t>
            </w:r>
          </w:p>
        </w:tc>
        <w:tc>
          <w:tcPr>
            <w:tcW w:w="0" w:type="dxa"/>
            <w:shd w:val="clear" w:color="auto" w:fill="auto"/>
            <w:vAlign w:val="center"/>
          </w:tcPr>
          <w:p w14:paraId="6CB0257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6.14E-26</w:t>
            </w:r>
          </w:p>
        </w:tc>
        <w:tc>
          <w:tcPr>
            <w:tcW w:w="0" w:type="dxa"/>
            <w:shd w:val="clear" w:color="auto" w:fill="auto"/>
            <w:vAlign w:val="center"/>
          </w:tcPr>
          <w:p w14:paraId="3C999980"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MCM10</w:t>
            </w:r>
          </w:p>
        </w:tc>
        <w:tc>
          <w:tcPr>
            <w:tcW w:w="0" w:type="dxa"/>
            <w:shd w:val="clear" w:color="auto" w:fill="auto"/>
            <w:vAlign w:val="center"/>
          </w:tcPr>
          <w:p w14:paraId="6BA28C8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7.76</w:t>
            </w:r>
          </w:p>
        </w:tc>
        <w:tc>
          <w:tcPr>
            <w:tcW w:w="0" w:type="dxa"/>
            <w:shd w:val="clear" w:color="auto" w:fill="auto"/>
            <w:vAlign w:val="center"/>
          </w:tcPr>
          <w:p w14:paraId="55F7013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2.56E-29</w:t>
            </w:r>
          </w:p>
        </w:tc>
      </w:tr>
      <w:tr w:rsidR="00511D9B" w:rsidRPr="000817CB" w14:paraId="6A5DAC33" w14:textId="77777777" w:rsidTr="00511D9B">
        <w:trPr>
          <w:jc w:val="center"/>
        </w:trPr>
        <w:tc>
          <w:tcPr>
            <w:tcW w:w="0" w:type="dxa"/>
            <w:shd w:val="clear" w:color="auto" w:fill="auto"/>
            <w:vAlign w:val="center"/>
          </w:tcPr>
          <w:p w14:paraId="5B3AD89F"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IL5</w:t>
            </w:r>
          </w:p>
        </w:tc>
        <w:tc>
          <w:tcPr>
            <w:tcW w:w="0" w:type="dxa"/>
            <w:shd w:val="clear" w:color="auto" w:fill="auto"/>
            <w:vAlign w:val="center"/>
          </w:tcPr>
          <w:p w14:paraId="7B9524F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7.27</w:t>
            </w:r>
          </w:p>
        </w:tc>
        <w:tc>
          <w:tcPr>
            <w:tcW w:w="0" w:type="dxa"/>
            <w:shd w:val="clear" w:color="auto" w:fill="auto"/>
            <w:vAlign w:val="center"/>
          </w:tcPr>
          <w:p w14:paraId="23B957A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1.62E-15</w:t>
            </w:r>
          </w:p>
        </w:tc>
        <w:tc>
          <w:tcPr>
            <w:tcW w:w="0" w:type="dxa"/>
            <w:shd w:val="clear" w:color="auto" w:fill="auto"/>
            <w:vAlign w:val="center"/>
          </w:tcPr>
          <w:p w14:paraId="186475D1"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PKMYT1</w:t>
            </w:r>
          </w:p>
        </w:tc>
        <w:tc>
          <w:tcPr>
            <w:tcW w:w="0" w:type="dxa"/>
            <w:shd w:val="clear" w:color="auto" w:fill="auto"/>
            <w:vAlign w:val="center"/>
          </w:tcPr>
          <w:p w14:paraId="610885B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8.32</w:t>
            </w:r>
          </w:p>
        </w:tc>
        <w:tc>
          <w:tcPr>
            <w:tcW w:w="0" w:type="dxa"/>
            <w:shd w:val="clear" w:color="auto" w:fill="auto"/>
            <w:vAlign w:val="center"/>
          </w:tcPr>
          <w:p w14:paraId="1EFF104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2.78E-68</w:t>
            </w:r>
          </w:p>
        </w:tc>
        <w:tc>
          <w:tcPr>
            <w:tcW w:w="0" w:type="dxa"/>
            <w:shd w:val="clear" w:color="auto" w:fill="auto"/>
            <w:vAlign w:val="center"/>
          </w:tcPr>
          <w:p w14:paraId="3A1F65BB"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IL5</w:t>
            </w:r>
          </w:p>
        </w:tc>
        <w:tc>
          <w:tcPr>
            <w:tcW w:w="0" w:type="dxa"/>
            <w:shd w:val="clear" w:color="auto" w:fill="auto"/>
            <w:vAlign w:val="center"/>
          </w:tcPr>
          <w:p w14:paraId="618E81C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7.57</w:t>
            </w:r>
          </w:p>
        </w:tc>
        <w:tc>
          <w:tcPr>
            <w:tcW w:w="0" w:type="dxa"/>
            <w:shd w:val="clear" w:color="auto" w:fill="auto"/>
            <w:vAlign w:val="center"/>
          </w:tcPr>
          <w:p w14:paraId="3315E77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2.19E-07</w:t>
            </w:r>
          </w:p>
        </w:tc>
      </w:tr>
      <w:tr w:rsidR="00511D9B" w:rsidRPr="000817CB" w14:paraId="7E9A89A8" w14:textId="77777777" w:rsidTr="00511D9B">
        <w:trPr>
          <w:jc w:val="center"/>
        </w:trPr>
        <w:tc>
          <w:tcPr>
            <w:tcW w:w="0" w:type="dxa"/>
            <w:shd w:val="clear" w:color="auto" w:fill="auto"/>
            <w:vAlign w:val="center"/>
          </w:tcPr>
          <w:p w14:paraId="26A416EA"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HIST1H2BH</w:t>
            </w:r>
          </w:p>
        </w:tc>
        <w:tc>
          <w:tcPr>
            <w:tcW w:w="0" w:type="dxa"/>
            <w:shd w:val="clear" w:color="auto" w:fill="auto"/>
            <w:vAlign w:val="center"/>
          </w:tcPr>
          <w:p w14:paraId="000FE88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7.20</w:t>
            </w:r>
          </w:p>
        </w:tc>
        <w:tc>
          <w:tcPr>
            <w:tcW w:w="0" w:type="dxa"/>
            <w:shd w:val="clear" w:color="auto" w:fill="auto"/>
            <w:vAlign w:val="center"/>
          </w:tcPr>
          <w:p w14:paraId="7D591F0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4.41E-29</w:t>
            </w:r>
          </w:p>
        </w:tc>
        <w:tc>
          <w:tcPr>
            <w:tcW w:w="0" w:type="dxa"/>
            <w:shd w:val="clear" w:color="auto" w:fill="auto"/>
            <w:vAlign w:val="center"/>
          </w:tcPr>
          <w:p w14:paraId="5F07ECB1"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IL5</w:t>
            </w:r>
          </w:p>
        </w:tc>
        <w:tc>
          <w:tcPr>
            <w:tcW w:w="0" w:type="dxa"/>
            <w:shd w:val="clear" w:color="auto" w:fill="auto"/>
            <w:vAlign w:val="center"/>
          </w:tcPr>
          <w:p w14:paraId="4E101CB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8.23</w:t>
            </w:r>
          </w:p>
        </w:tc>
        <w:tc>
          <w:tcPr>
            <w:tcW w:w="0" w:type="dxa"/>
            <w:shd w:val="clear" w:color="auto" w:fill="auto"/>
            <w:vAlign w:val="center"/>
          </w:tcPr>
          <w:p w14:paraId="5B2B61B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5.14E-13</w:t>
            </w:r>
          </w:p>
        </w:tc>
        <w:tc>
          <w:tcPr>
            <w:tcW w:w="0" w:type="dxa"/>
            <w:shd w:val="clear" w:color="auto" w:fill="auto"/>
            <w:vAlign w:val="center"/>
          </w:tcPr>
          <w:p w14:paraId="2A508844"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CCL1</w:t>
            </w:r>
          </w:p>
        </w:tc>
        <w:tc>
          <w:tcPr>
            <w:tcW w:w="0" w:type="dxa"/>
            <w:shd w:val="clear" w:color="auto" w:fill="auto"/>
            <w:vAlign w:val="center"/>
          </w:tcPr>
          <w:p w14:paraId="6E8869E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7.53</w:t>
            </w:r>
          </w:p>
        </w:tc>
        <w:tc>
          <w:tcPr>
            <w:tcW w:w="0" w:type="dxa"/>
            <w:shd w:val="clear" w:color="auto" w:fill="auto"/>
            <w:vAlign w:val="center"/>
          </w:tcPr>
          <w:p w14:paraId="02547F0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6.48E-16</w:t>
            </w:r>
          </w:p>
        </w:tc>
      </w:tr>
      <w:tr w:rsidR="00511D9B" w:rsidRPr="000817CB" w14:paraId="1810DE48" w14:textId="77777777" w:rsidTr="00511D9B">
        <w:trPr>
          <w:jc w:val="center"/>
        </w:trPr>
        <w:tc>
          <w:tcPr>
            <w:tcW w:w="0" w:type="dxa"/>
            <w:shd w:val="clear" w:color="auto" w:fill="auto"/>
            <w:vAlign w:val="center"/>
          </w:tcPr>
          <w:p w14:paraId="099FE8E0"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IFNG</w:t>
            </w:r>
          </w:p>
        </w:tc>
        <w:tc>
          <w:tcPr>
            <w:tcW w:w="0" w:type="dxa"/>
            <w:shd w:val="clear" w:color="auto" w:fill="auto"/>
            <w:vAlign w:val="center"/>
          </w:tcPr>
          <w:p w14:paraId="56B580B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7.19</w:t>
            </w:r>
          </w:p>
        </w:tc>
        <w:tc>
          <w:tcPr>
            <w:tcW w:w="0" w:type="dxa"/>
            <w:shd w:val="clear" w:color="auto" w:fill="auto"/>
            <w:vAlign w:val="center"/>
          </w:tcPr>
          <w:p w14:paraId="0C17ADD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3.46E-27</w:t>
            </w:r>
          </w:p>
        </w:tc>
        <w:tc>
          <w:tcPr>
            <w:tcW w:w="0" w:type="dxa"/>
            <w:shd w:val="clear" w:color="auto" w:fill="auto"/>
            <w:vAlign w:val="center"/>
          </w:tcPr>
          <w:p w14:paraId="037413C1"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UHRF1</w:t>
            </w:r>
          </w:p>
        </w:tc>
        <w:tc>
          <w:tcPr>
            <w:tcW w:w="0" w:type="dxa"/>
            <w:shd w:val="clear" w:color="auto" w:fill="auto"/>
            <w:vAlign w:val="center"/>
          </w:tcPr>
          <w:p w14:paraId="17268B0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8.17</w:t>
            </w:r>
          </w:p>
        </w:tc>
        <w:tc>
          <w:tcPr>
            <w:tcW w:w="0" w:type="dxa"/>
            <w:shd w:val="clear" w:color="auto" w:fill="auto"/>
            <w:vAlign w:val="center"/>
          </w:tcPr>
          <w:p w14:paraId="3CAFB8E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1.65E-140</w:t>
            </w:r>
          </w:p>
        </w:tc>
        <w:tc>
          <w:tcPr>
            <w:tcW w:w="0" w:type="dxa"/>
            <w:shd w:val="clear" w:color="auto" w:fill="auto"/>
            <w:vAlign w:val="center"/>
          </w:tcPr>
          <w:p w14:paraId="3C551BFB"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CDC25C</w:t>
            </w:r>
          </w:p>
        </w:tc>
        <w:tc>
          <w:tcPr>
            <w:tcW w:w="0" w:type="dxa"/>
            <w:shd w:val="clear" w:color="auto" w:fill="auto"/>
            <w:vAlign w:val="center"/>
          </w:tcPr>
          <w:p w14:paraId="281F508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7.49</w:t>
            </w:r>
          </w:p>
        </w:tc>
        <w:tc>
          <w:tcPr>
            <w:tcW w:w="0" w:type="dxa"/>
            <w:shd w:val="clear" w:color="auto" w:fill="auto"/>
            <w:vAlign w:val="center"/>
          </w:tcPr>
          <w:p w14:paraId="546093B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3.57E-17</w:t>
            </w:r>
          </w:p>
        </w:tc>
      </w:tr>
      <w:tr w:rsidR="00511D9B" w:rsidRPr="000817CB" w14:paraId="3A2C1A3F" w14:textId="77777777" w:rsidTr="00511D9B">
        <w:trPr>
          <w:jc w:val="center"/>
        </w:trPr>
        <w:tc>
          <w:tcPr>
            <w:tcW w:w="0" w:type="dxa"/>
            <w:shd w:val="clear" w:color="auto" w:fill="auto"/>
            <w:vAlign w:val="center"/>
          </w:tcPr>
          <w:p w14:paraId="5A2C261A" w14:textId="77777777" w:rsidR="00511D9B" w:rsidRPr="000817CB" w:rsidRDefault="00511D9B" w:rsidP="00511D9B">
            <w:pPr>
              <w:autoSpaceDE w:val="0"/>
              <w:autoSpaceDN w:val="0"/>
              <w:adjustRightInd w:val="0"/>
              <w:snapToGrid w:val="0"/>
              <w:jc w:val="center"/>
              <w:rPr>
                <w:rFonts w:ascii="Times New Roman" w:hAnsi="Times New Roman" w:cs="Times New Roman"/>
                <w:i/>
                <w:color w:val="FF0000"/>
                <w:sz w:val="20"/>
              </w:rPr>
            </w:pPr>
            <w:r w:rsidRPr="000817CB">
              <w:rPr>
                <w:rFonts w:ascii="Times New Roman" w:hAnsi="Times New Roman" w:cs="Times New Roman"/>
                <w:i/>
                <w:sz w:val="20"/>
              </w:rPr>
              <w:t>EBI3</w:t>
            </w:r>
          </w:p>
        </w:tc>
        <w:tc>
          <w:tcPr>
            <w:tcW w:w="0" w:type="dxa"/>
            <w:shd w:val="clear" w:color="auto" w:fill="auto"/>
            <w:vAlign w:val="center"/>
          </w:tcPr>
          <w:p w14:paraId="6ABEAB4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7.17</w:t>
            </w:r>
          </w:p>
        </w:tc>
        <w:tc>
          <w:tcPr>
            <w:tcW w:w="0" w:type="dxa"/>
            <w:shd w:val="clear" w:color="auto" w:fill="auto"/>
            <w:vAlign w:val="center"/>
          </w:tcPr>
          <w:p w14:paraId="2FBCC77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1.53E-46</w:t>
            </w:r>
          </w:p>
        </w:tc>
        <w:tc>
          <w:tcPr>
            <w:tcW w:w="0" w:type="dxa"/>
            <w:shd w:val="clear" w:color="auto" w:fill="auto"/>
            <w:vAlign w:val="center"/>
          </w:tcPr>
          <w:p w14:paraId="783CD474"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KIF18B</w:t>
            </w:r>
          </w:p>
        </w:tc>
        <w:tc>
          <w:tcPr>
            <w:tcW w:w="0" w:type="dxa"/>
            <w:shd w:val="clear" w:color="auto" w:fill="auto"/>
            <w:vAlign w:val="center"/>
          </w:tcPr>
          <w:p w14:paraId="50AF572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8.13</w:t>
            </w:r>
          </w:p>
        </w:tc>
        <w:tc>
          <w:tcPr>
            <w:tcW w:w="0" w:type="dxa"/>
            <w:shd w:val="clear" w:color="auto" w:fill="auto"/>
            <w:vAlign w:val="center"/>
          </w:tcPr>
          <w:p w14:paraId="71AE89E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5.09E-88</w:t>
            </w:r>
          </w:p>
        </w:tc>
        <w:tc>
          <w:tcPr>
            <w:tcW w:w="0" w:type="dxa"/>
            <w:shd w:val="clear" w:color="auto" w:fill="auto"/>
            <w:vAlign w:val="center"/>
          </w:tcPr>
          <w:p w14:paraId="4FECE82A"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TYMS</w:t>
            </w:r>
          </w:p>
        </w:tc>
        <w:tc>
          <w:tcPr>
            <w:tcW w:w="0" w:type="dxa"/>
            <w:shd w:val="clear" w:color="auto" w:fill="auto"/>
            <w:vAlign w:val="center"/>
          </w:tcPr>
          <w:p w14:paraId="4E93624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7.47</w:t>
            </w:r>
          </w:p>
        </w:tc>
        <w:tc>
          <w:tcPr>
            <w:tcW w:w="0" w:type="dxa"/>
            <w:shd w:val="clear" w:color="auto" w:fill="auto"/>
            <w:vAlign w:val="center"/>
          </w:tcPr>
          <w:p w14:paraId="072F3C6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3.65E-20</w:t>
            </w:r>
          </w:p>
        </w:tc>
      </w:tr>
      <w:tr w:rsidR="00511D9B" w:rsidRPr="000817CB" w14:paraId="341FA1FC" w14:textId="77777777" w:rsidTr="00511D9B">
        <w:trPr>
          <w:jc w:val="center"/>
        </w:trPr>
        <w:tc>
          <w:tcPr>
            <w:tcW w:w="0" w:type="dxa"/>
            <w:shd w:val="clear" w:color="auto" w:fill="auto"/>
            <w:vAlign w:val="center"/>
          </w:tcPr>
          <w:p w14:paraId="48F7C7E4"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IL22</w:t>
            </w:r>
          </w:p>
        </w:tc>
        <w:tc>
          <w:tcPr>
            <w:tcW w:w="0" w:type="dxa"/>
            <w:shd w:val="clear" w:color="auto" w:fill="auto"/>
            <w:vAlign w:val="center"/>
          </w:tcPr>
          <w:p w14:paraId="64BC49F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7.15</w:t>
            </w:r>
          </w:p>
        </w:tc>
        <w:tc>
          <w:tcPr>
            <w:tcW w:w="0" w:type="dxa"/>
            <w:shd w:val="clear" w:color="auto" w:fill="auto"/>
            <w:vAlign w:val="center"/>
          </w:tcPr>
          <w:p w14:paraId="266EAEA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1.04E-15</w:t>
            </w:r>
          </w:p>
        </w:tc>
        <w:tc>
          <w:tcPr>
            <w:tcW w:w="0" w:type="dxa"/>
            <w:shd w:val="clear" w:color="auto" w:fill="auto"/>
            <w:vAlign w:val="center"/>
          </w:tcPr>
          <w:p w14:paraId="7F2DE971"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CCNB2</w:t>
            </w:r>
          </w:p>
        </w:tc>
        <w:tc>
          <w:tcPr>
            <w:tcW w:w="0" w:type="dxa"/>
            <w:shd w:val="clear" w:color="auto" w:fill="auto"/>
            <w:vAlign w:val="center"/>
          </w:tcPr>
          <w:p w14:paraId="1F61928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8.11</w:t>
            </w:r>
          </w:p>
        </w:tc>
        <w:tc>
          <w:tcPr>
            <w:tcW w:w="0" w:type="dxa"/>
            <w:shd w:val="clear" w:color="auto" w:fill="auto"/>
            <w:vAlign w:val="center"/>
          </w:tcPr>
          <w:p w14:paraId="7D3F364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5.83E-67</w:t>
            </w:r>
          </w:p>
        </w:tc>
        <w:tc>
          <w:tcPr>
            <w:tcW w:w="0" w:type="dxa"/>
            <w:shd w:val="clear" w:color="auto" w:fill="auto"/>
            <w:vAlign w:val="center"/>
          </w:tcPr>
          <w:p w14:paraId="7D116D6C"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CDC25A</w:t>
            </w:r>
          </w:p>
        </w:tc>
        <w:tc>
          <w:tcPr>
            <w:tcW w:w="0" w:type="dxa"/>
            <w:shd w:val="clear" w:color="auto" w:fill="auto"/>
            <w:vAlign w:val="center"/>
          </w:tcPr>
          <w:p w14:paraId="209FB45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7.40</w:t>
            </w:r>
          </w:p>
        </w:tc>
        <w:tc>
          <w:tcPr>
            <w:tcW w:w="0" w:type="dxa"/>
            <w:shd w:val="clear" w:color="auto" w:fill="auto"/>
            <w:vAlign w:val="center"/>
          </w:tcPr>
          <w:p w14:paraId="29D6E51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1.26E-20</w:t>
            </w:r>
          </w:p>
        </w:tc>
      </w:tr>
      <w:tr w:rsidR="00511D9B" w:rsidRPr="000817CB" w14:paraId="6B30A7BA" w14:textId="77777777" w:rsidTr="00511D9B">
        <w:trPr>
          <w:jc w:val="center"/>
        </w:trPr>
        <w:tc>
          <w:tcPr>
            <w:tcW w:w="0" w:type="dxa"/>
            <w:shd w:val="clear" w:color="auto" w:fill="auto"/>
            <w:vAlign w:val="center"/>
          </w:tcPr>
          <w:p w14:paraId="3C961956"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SPC25</w:t>
            </w:r>
          </w:p>
        </w:tc>
        <w:tc>
          <w:tcPr>
            <w:tcW w:w="0" w:type="dxa"/>
            <w:shd w:val="clear" w:color="auto" w:fill="auto"/>
            <w:vAlign w:val="center"/>
          </w:tcPr>
          <w:p w14:paraId="6556DB7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7.14</w:t>
            </w:r>
          </w:p>
        </w:tc>
        <w:tc>
          <w:tcPr>
            <w:tcW w:w="0" w:type="dxa"/>
            <w:shd w:val="clear" w:color="auto" w:fill="auto"/>
            <w:vAlign w:val="center"/>
          </w:tcPr>
          <w:p w14:paraId="502D912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1.82E-19</w:t>
            </w:r>
          </w:p>
        </w:tc>
        <w:tc>
          <w:tcPr>
            <w:tcW w:w="0" w:type="dxa"/>
            <w:shd w:val="clear" w:color="auto" w:fill="auto"/>
            <w:vAlign w:val="center"/>
          </w:tcPr>
          <w:p w14:paraId="7F25B4B1"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KIF1A</w:t>
            </w:r>
          </w:p>
        </w:tc>
        <w:tc>
          <w:tcPr>
            <w:tcW w:w="0" w:type="dxa"/>
            <w:shd w:val="clear" w:color="auto" w:fill="auto"/>
            <w:vAlign w:val="center"/>
          </w:tcPr>
          <w:p w14:paraId="6491E75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8.08</w:t>
            </w:r>
          </w:p>
        </w:tc>
        <w:tc>
          <w:tcPr>
            <w:tcW w:w="0" w:type="dxa"/>
            <w:shd w:val="clear" w:color="auto" w:fill="auto"/>
            <w:vAlign w:val="center"/>
          </w:tcPr>
          <w:p w14:paraId="4C656E0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8.82E-22</w:t>
            </w:r>
          </w:p>
        </w:tc>
        <w:tc>
          <w:tcPr>
            <w:tcW w:w="0" w:type="dxa"/>
            <w:shd w:val="clear" w:color="auto" w:fill="auto"/>
            <w:vAlign w:val="center"/>
          </w:tcPr>
          <w:p w14:paraId="6A3B699F"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CDC20</w:t>
            </w:r>
          </w:p>
        </w:tc>
        <w:tc>
          <w:tcPr>
            <w:tcW w:w="0" w:type="dxa"/>
            <w:shd w:val="clear" w:color="auto" w:fill="auto"/>
            <w:vAlign w:val="center"/>
          </w:tcPr>
          <w:p w14:paraId="044FD98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7.33</w:t>
            </w:r>
          </w:p>
        </w:tc>
        <w:tc>
          <w:tcPr>
            <w:tcW w:w="0" w:type="dxa"/>
            <w:shd w:val="clear" w:color="auto" w:fill="auto"/>
            <w:vAlign w:val="center"/>
          </w:tcPr>
          <w:p w14:paraId="0657A3B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3.20E-17</w:t>
            </w:r>
          </w:p>
        </w:tc>
      </w:tr>
      <w:tr w:rsidR="00511D9B" w:rsidRPr="000817CB" w14:paraId="0CB250F3" w14:textId="77777777" w:rsidTr="00511D9B">
        <w:trPr>
          <w:jc w:val="center"/>
        </w:trPr>
        <w:tc>
          <w:tcPr>
            <w:tcW w:w="0" w:type="dxa"/>
            <w:shd w:val="clear" w:color="auto" w:fill="auto"/>
            <w:vAlign w:val="center"/>
          </w:tcPr>
          <w:p w14:paraId="449F7B43"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FLJ21408</w:t>
            </w:r>
          </w:p>
        </w:tc>
        <w:tc>
          <w:tcPr>
            <w:tcW w:w="0" w:type="dxa"/>
            <w:shd w:val="clear" w:color="auto" w:fill="auto"/>
            <w:vAlign w:val="center"/>
          </w:tcPr>
          <w:p w14:paraId="35489A5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7.13</w:t>
            </w:r>
          </w:p>
        </w:tc>
        <w:tc>
          <w:tcPr>
            <w:tcW w:w="0" w:type="dxa"/>
            <w:shd w:val="clear" w:color="auto" w:fill="auto"/>
            <w:vAlign w:val="center"/>
          </w:tcPr>
          <w:p w14:paraId="3D5710F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2.02E-20</w:t>
            </w:r>
          </w:p>
        </w:tc>
        <w:tc>
          <w:tcPr>
            <w:tcW w:w="0" w:type="dxa"/>
            <w:shd w:val="clear" w:color="auto" w:fill="auto"/>
            <w:vAlign w:val="center"/>
          </w:tcPr>
          <w:p w14:paraId="5032C77E"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RRM2</w:t>
            </w:r>
          </w:p>
        </w:tc>
        <w:tc>
          <w:tcPr>
            <w:tcW w:w="0" w:type="dxa"/>
            <w:shd w:val="clear" w:color="auto" w:fill="auto"/>
            <w:vAlign w:val="center"/>
          </w:tcPr>
          <w:p w14:paraId="471C1EF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8.02</w:t>
            </w:r>
          </w:p>
        </w:tc>
        <w:tc>
          <w:tcPr>
            <w:tcW w:w="0" w:type="dxa"/>
            <w:shd w:val="clear" w:color="auto" w:fill="auto"/>
            <w:vAlign w:val="center"/>
          </w:tcPr>
          <w:p w14:paraId="1CDCBCA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2.36E-49</w:t>
            </w:r>
          </w:p>
        </w:tc>
        <w:tc>
          <w:tcPr>
            <w:tcW w:w="0" w:type="dxa"/>
            <w:shd w:val="clear" w:color="auto" w:fill="auto"/>
            <w:vAlign w:val="center"/>
          </w:tcPr>
          <w:p w14:paraId="5B3F159C"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KIF1A</w:t>
            </w:r>
          </w:p>
        </w:tc>
        <w:tc>
          <w:tcPr>
            <w:tcW w:w="0" w:type="dxa"/>
            <w:shd w:val="clear" w:color="auto" w:fill="auto"/>
            <w:vAlign w:val="center"/>
          </w:tcPr>
          <w:p w14:paraId="1E2CD69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7.33</w:t>
            </w:r>
          </w:p>
        </w:tc>
        <w:tc>
          <w:tcPr>
            <w:tcW w:w="0" w:type="dxa"/>
            <w:shd w:val="clear" w:color="auto" w:fill="auto"/>
            <w:vAlign w:val="center"/>
          </w:tcPr>
          <w:p w14:paraId="39304AC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1.63E-16</w:t>
            </w:r>
          </w:p>
        </w:tc>
      </w:tr>
      <w:tr w:rsidR="00511D9B" w:rsidRPr="000817CB" w14:paraId="6F10D4BF" w14:textId="77777777" w:rsidTr="00511D9B">
        <w:trPr>
          <w:jc w:val="center"/>
        </w:trPr>
        <w:tc>
          <w:tcPr>
            <w:tcW w:w="0" w:type="dxa"/>
            <w:shd w:val="clear" w:color="auto" w:fill="auto"/>
            <w:vAlign w:val="center"/>
          </w:tcPr>
          <w:p w14:paraId="2FD82FC7"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KIF1A</w:t>
            </w:r>
          </w:p>
        </w:tc>
        <w:tc>
          <w:tcPr>
            <w:tcW w:w="0" w:type="dxa"/>
            <w:shd w:val="clear" w:color="auto" w:fill="auto"/>
            <w:vAlign w:val="center"/>
          </w:tcPr>
          <w:p w14:paraId="13ADB34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7.06</w:t>
            </w:r>
          </w:p>
        </w:tc>
        <w:tc>
          <w:tcPr>
            <w:tcW w:w="0" w:type="dxa"/>
            <w:shd w:val="clear" w:color="auto" w:fill="auto"/>
            <w:vAlign w:val="center"/>
          </w:tcPr>
          <w:p w14:paraId="09C4217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8.69E-23</w:t>
            </w:r>
          </w:p>
        </w:tc>
        <w:tc>
          <w:tcPr>
            <w:tcW w:w="0" w:type="dxa"/>
            <w:shd w:val="clear" w:color="auto" w:fill="auto"/>
            <w:vAlign w:val="center"/>
          </w:tcPr>
          <w:p w14:paraId="44445DD8"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TYMS</w:t>
            </w:r>
          </w:p>
        </w:tc>
        <w:tc>
          <w:tcPr>
            <w:tcW w:w="0" w:type="dxa"/>
            <w:shd w:val="clear" w:color="auto" w:fill="auto"/>
            <w:vAlign w:val="center"/>
          </w:tcPr>
          <w:p w14:paraId="0DD1073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8.02</w:t>
            </w:r>
          </w:p>
        </w:tc>
        <w:tc>
          <w:tcPr>
            <w:tcW w:w="0" w:type="dxa"/>
            <w:shd w:val="clear" w:color="auto" w:fill="auto"/>
            <w:vAlign w:val="center"/>
          </w:tcPr>
          <w:p w14:paraId="270F1B2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4.02E-78</w:t>
            </w:r>
          </w:p>
        </w:tc>
        <w:tc>
          <w:tcPr>
            <w:tcW w:w="0" w:type="dxa"/>
            <w:shd w:val="clear" w:color="auto" w:fill="auto"/>
            <w:vAlign w:val="center"/>
          </w:tcPr>
          <w:p w14:paraId="09919444"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FGF2</w:t>
            </w:r>
          </w:p>
        </w:tc>
        <w:tc>
          <w:tcPr>
            <w:tcW w:w="0" w:type="dxa"/>
            <w:shd w:val="clear" w:color="auto" w:fill="auto"/>
            <w:vAlign w:val="center"/>
          </w:tcPr>
          <w:p w14:paraId="30F1BA2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7.29</w:t>
            </w:r>
          </w:p>
        </w:tc>
        <w:tc>
          <w:tcPr>
            <w:tcW w:w="0" w:type="dxa"/>
            <w:shd w:val="clear" w:color="auto" w:fill="auto"/>
            <w:vAlign w:val="center"/>
          </w:tcPr>
          <w:p w14:paraId="447F9F5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9.95E-16</w:t>
            </w:r>
          </w:p>
        </w:tc>
      </w:tr>
      <w:tr w:rsidR="00511D9B" w:rsidRPr="000817CB" w14:paraId="5367C0A4" w14:textId="77777777" w:rsidTr="00511D9B">
        <w:trPr>
          <w:jc w:val="center"/>
        </w:trPr>
        <w:tc>
          <w:tcPr>
            <w:tcW w:w="0" w:type="dxa"/>
            <w:shd w:val="clear" w:color="auto" w:fill="auto"/>
            <w:vAlign w:val="center"/>
          </w:tcPr>
          <w:p w14:paraId="73BEA529"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IL21</w:t>
            </w:r>
          </w:p>
        </w:tc>
        <w:tc>
          <w:tcPr>
            <w:tcW w:w="0" w:type="dxa"/>
            <w:shd w:val="clear" w:color="auto" w:fill="auto"/>
            <w:vAlign w:val="center"/>
          </w:tcPr>
          <w:p w14:paraId="73D306C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7.02</w:t>
            </w:r>
          </w:p>
        </w:tc>
        <w:tc>
          <w:tcPr>
            <w:tcW w:w="0" w:type="dxa"/>
            <w:shd w:val="clear" w:color="auto" w:fill="auto"/>
            <w:vAlign w:val="center"/>
          </w:tcPr>
          <w:p w14:paraId="01B9293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4.12E-21</w:t>
            </w:r>
          </w:p>
        </w:tc>
        <w:tc>
          <w:tcPr>
            <w:tcW w:w="0" w:type="dxa"/>
            <w:shd w:val="clear" w:color="auto" w:fill="auto"/>
            <w:vAlign w:val="center"/>
          </w:tcPr>
          <w:p w14:paraId="376ED9C1"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BIRC5</w:t>
            </w:r>
          </w:p>
        </w:tc>
        <w:tc>
          <w:tcPr>
            <w:tcW w:w="0" w:type="dxa"/>
            <w:shd w:val="clear" w:color="auto" w:fill="auto"/>
            <w:vAlign w:val="center"/>
          </w:tcPr>
          <w:p w14:paraId="32A4927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7.85</w:t>
            </w:r>
          </w:p>
        </w:tc>
        <w:tc>
          <w:tcPr>
            <w:tcW w:w="0" w:type="dxa"/>
            <w:shd w:val="clear" w:color="auto" w:fill="auto"/>
            <w:vAlign w:val="center"/>
          </w:tcPr>
          <w:p w14:paraId="6E9499E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5.30E-73</w:t>
            </w:r>
          </w:p>
        </w:tc>
        <w:tc>
          <w:tcPr>
            <w:tcW w:w="0" w:type="dxa"/>
            <w:shd w:val="clear" w:color="auto" w:fill="auto"/>
            <w:vAlign w:val="center"/>
          </w:tcPr>
          <w:p w14:paraId="55E2151A"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IL24</w:t>
            </w:r>
          </w:p>
        </w:tc>
        <w:tc>
          <w:tcPr>
            <w:tcW w:w="0" w:type="dxa"/>
            <w:shd w:val="clear" w:color="auto" w:fill="auto"/>
            <w:vAlign w:val="center"/>
          </w:tcPr>
          <w:p w14:paraId="5D5077F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7.29</w:t>
            </w:r>
          </w:p>
        </w:tc>
        <w:tc>
          <w:tcPr>
            <w:tcW w:w="0" w:type="dxa"/>
            <w:shd w:val="clear" w:color="auto" w:fill="auto"/>
            <w:vAlign w:val="center"/>
          </w:tcPr>
          <w:p w14:paraId="7316F95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1.20E-11</w:t>
            </w:r>
          </w:p>
        </w:tc>
      </w:tr>
      <w:tr w:rsidR="00511D9B" w:rsidRPr="000817CB" w14:paraId="07912DB5" w14:textId="77777777" w:rsidTr="00511D9B">
        <w:trPr>
          <w:jc w:val="center"/>
        </w:trPr>
        <w:tc>
          <w:tcPr>
            <w:tcW w:w="0" w:type="dxa"/>
            <w:shd w:val="clear" w:color="auto" w:fill="auto"/>
            <w:vAlign w:val="center"/>
          </w:tcPr>
          <w:p w14:paraId="4E56252D"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MCM10</w:t>
            </w:r>
          </w:p>
        </w:tc>
        <w:tc>
          <w:tcPr>
            <w:tcW w:w="0" w:type="dxa"/>
            <w:shd w:val="clear" w:color="auto" w:fill="auto"/>
            <w:vAlign w:val="center"/>
          </w:tcPr>
          <w:p w14:paraId="59DD01C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7.01</w:t>
            </w:r>
          </w:p>
        </w:tc>
        <w:tc>
          <w:tcPr>
            <w:tcW w:w="0" w:type="dxa"/>
            <w:shd w:val="clear" w:color="auto" w:fill="auto"/>
            <w:vAlign w:val="center"/>
          </w:tcPr>
          <w:p w14:paraId="0E99B4E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7.03E-23</w:t>
            </w:r>
          </w:p>
        </w:tc>
        <w:tc>
          <w:tcPr>
            <w:tcW w:w="0" w:type="dxa"/>
            <w:shd w:val="clear" w:color="auto" w:fill="auto"/>
            <w:vAlign w:val="center"/>
          </w:tcPr>
          <w:p w14:paraId="39BE4063"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CBSL</w:t>
            </w:r>
          </w:p>
        </w:tc>
        <w:tc>
          <w:tcPr>
            <w:tcW w:w="0" w:type="dxa"/>
            <w:shd w:val="clear" w:color="auto" w:fill="auto"/>
            <w:vAlign w:val="center"/>
          </w:tcPr>
          <w:p w14:paraId="52B8E57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7.82</w:t>
            </w:r>
          </w:p>
        </w:tc>
        <w:tc>
          <w:tcPr>
            <w:tcW w:w="0" w:type="dxa"/>
            <w:shd w:val="clear" w:color="auto" w:fill="auto"/>
            <w:vAlign w:val="center"/>
          </w:tcPr>
          <w:p w14:paraId="1A47D55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1.59E-15</w:t>
            </w:r>
          </w:p>
        </w:tc>
        <w:tc>
          <w:tcPr>
            <w:tcW w:w="0" w:type="dxa"/>
            <w:shd w:val="clear" w:color="auto" w:fill="auto"/>
            <w:vAlign w:val="center"/>
          </w:tcPr>
          <w:p w14:paraId="50D0D6B4"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BIRC5</w:t>
            </w:r>
          </w:p>
        </w:tc>
        <w:tc>
          <w:tcPr>
            <w:tcW w:w="0" w:type="dxa"/>
            <w:shd w:val="clear" w:color="auto" w:fill="auto"/>
            <w:vAlign w:val="center"/>
          </w:tcPr>
          <w:p w14:paraId="76C99EA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7.28</w:t>
            </w:r>
          </w:p>
        </w:tc>
        <w:tc>
          <w:tcPr>
            <w:tcW w:w="0" w:type="dxa"/>
            <w:shd w:val="clear" w:color="auto" w:fill="auto"/>
            <w:vAlign w:val="center"/>
          </w:tcPr>
          <w:p w14:paraId="2FD7DEF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5.84E-16</w:t>
            </w:r>
          </w:p>
        </w:tc>
      </w:tr>
      <w:tr w:rsidR="00511D9B" w:rsidRPr="000817CB" w14:paraId="180966AF" w14:textId="77777777" w:rsidTr="00511D9B">
        <w:trPr>
          <w:jc w:val="center"/>
        </w:trPr>
        <w:tc>
          <w:tcPr>
            <w:tcW w:w="0" w:type="dxa"/>
            <w:shd w:val="clear" w:color="auto" w:fill="auto"/>
            <w:vAlign w:val="center"/>
          </w:tcPr>
          <w:p w14:paraId="67931DEB"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MYBL2</w:t>
            </w:r>
          </w:p>
        </w:tc>
        <w:tc>
          <w:tcPr>
            <w:tcW w:w="0" w:type="dxa"/>
            <w:shd w:val="clear" w:color="auto" w:fill="auto"/>
            <w:vAlign w:val="center"/>
          </w:tcPr>
          <w:p w14:paraId="11EF9DC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7.01</w:t>
            </w:r>
          </w:p>
        </w:tc>
        <w:tc>
          <w:tcPr>
            <w:tcW w:w="0" w:type="dxa"/>
            <w:shd w:val="clear" w:color="auto" w:fill="auto"/>
            <w:vAlign w:val="center"/>
          </w:tcPr>
          <w:p w14:paraId="3085D51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1.29E-28</w:t>
            </w:r>
          </w:p>
        </w:tc>
        <w:tc>
          <w:tcPr>
            <w:tcW w:w="0" w:type="dxa"/>
            <w:shd w:val="clear" w:color="auto" w:fill="auto"/>
            <w:vAlign w:val="center"/>
          </w:tcPr>
          <w:p w14:paraId="194C5A07"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LINC01132</w:t>
            </w:r>
          </w:p>
        </w:tc>
        <w:tc>
          <w:tcPr>
            <w:tcW w:w="0" w:type="dxa"/>
            <w:shd w:val="clear" w:color="auto" w:fill="auto"/>
            <w:vAlign w:val="center"/>
          </w:tcPr>
          <w:p w14:paraId="2126786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7.80</w:t>
            </w:r>
          </w:p>
        </w:tc>
        <w:tc>
          <w:tcPr>
            <w:tcW w:w="0" w:type="dxa"/>
            <w:shd w:val="clear" w:color="auto" w:fill="auto"/>
            <w:vAlign w:val="center"/>
          </w:tcPr>
          <w:p w14:paraId="5BE5507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4.72E-23</w:t>
            </w:r>
          </w:p>
        </w:tc>
        <w:tc>
          <w:tcPr>
            <w:tcW w:w="0" w:type="dxa"/>
            <w:shd w:val="clear" w:color="auto" w:fill="auto"/>
            <w:vAlign w:val="center"/>
          </w:tcPr>
          <w:p w14:paraId="074DEC82"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ANXA3</w:t>
            </w:r>
          </w:p>
        </w:tc>
        <w:tc>
          <w:tcPr>
            <w:tcW w:w="0" w:type="dxa"/>
            <w:shd w:val="clear" w:color="auto" w:fill="auto"/>
            <w:vAlign w:val="center"/>
          </w:tcPr>
          <w:p w14:paraId="5376FEE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7.24</w:t>
            </w:r>
          </w:p>
        </w:tc>
        <w:tc>
          <w:tcPr>
            <w:tcW w:w="0" w:type="dxa"/>
            <w:shd w:val="clear" w:color="auto" w:fill="auto"/>
            <w:vAlign w:val="center"/>
          </w:tcPr>
          <w:p w14:paraId="171EEA2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3.10E-09</w:t>
            </w:r>
          </w:p>
        </w:tc>
      </w:tr>
      <w:tr w:rsidR="00511D9B" w:rsidRPr="000817CB" w14:paraId="36AD3752" w14:textId="77777777" w:rsidTr="00511D9B">
        <w:trPr>
          <w:jc w:val="center"/>
        </w:trPr>
        <w:tc>
          <w:tcPr>
            <w:tcW w:w="0" w:type="dxa"/>
            <w:shd w:val="clear" w:color="auto" w:fill="auto"/>
            <w:vAlign w:val="center"/>
          </w:tcPr>
          <w:p w14:paraId="3BB507DD"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TYMS</w:t>
            </w:r>
          </w:p>
        </w:tc>
        <w:tc>
          <w:tcPr>
            <w:tcW w:w="0" w:type="dxa"/>
            <w:shd w:val="clear" w:color="auto" w:fill="auto"/>
            <w:vAlign w:val="center"/>
          </w:tcPr>
          <w:p w14:paraId="2AFB7D4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6.97</w:t>
            </w:r>
          </w:p>
        </w:tc>
        <w:tc>
          <w:tcPr>
            <w:tcW w:w="0" w:type="dxa"/>
            <w:shd w:val="clear" w:color="auto" w:fill="auto"/>
            <w:vAlign w:val="center"/>
          </w:tcPr>
          <w:p w14:paraId="0D01FE6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1.64E-25</w:t>
            </w:r>
          </w:p>
        </w:tc>
        <w:tc>
          <w:tcPr>
            <w:tcW w:w="0" w:type="dxa"/>
            <w:shd w:val="clear" w:color="auto" w:fill="auto"/>
            <w:vAlign w:val="center"/>
          </w:tcPr>
          <w:p w14:paraId="2088DD88"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GNG4</w:t>
            </w:r>
          </w:p>
        </w:tc>
        <w:tc>
          <w:tcPr>
            <w:tcW w:w="0" w:type="dxa"/>
            <w:shd w:val="clear" w:color="auto" w:fill="auto"/>
            <w:vAlign w:val="center"/>
          </w:tcPr>
          <w:p w14:paraId="3DA75B6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7.76</w:t>
            </w:r>
          </w:p>
        </w:tc>
        <w:tc>
          <w:tcPr>
            <w:tcW w:w="0" w:type="dxa"/>
            <w:shd w:val="clear" w:color="auto" w:fill="auto"/>
            <w:vAlign w:val="center"/>
          </w:tcPr>
          <w:p w14:paraId="586A9D0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2.32E-33</w:t>
            </w:r>
          </w:p>
        </w:tc>
        <w:tc>
          <w:tcPr>
            <w:tcW w:w="0" w:type="dxa"/>
            <w:shd w:val="clear" w:color="auto" w:fill="auto"/>
            <w:vAlign w:val="center"/>
          </w:tcPr>
          <w:p w14:paraId="0D1776EE"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PBK</w:t>
            </w:r>
          </w:p>
        </w:tc>
        <w:tc>
          <w:tcPr>
            <w:tcW w:w="0" w:type="dxa"/>
            <w:shd w:val="clear" w:color="auto" w:fill="auto"/>
            <w:vAlign w:val="center"/>
          </w:tcPr>
          <w:p w14:paraId="583A4A5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7.24</w:t>
            </w:r>
          </w:p>
        </w:tc>
        <w:tc>
          <w:tcPr>
            <w:tcW w:w="0" w:type="dxa"/>
            <w:shd w:val="clear" w:color="auto" w:fill="auto"/>
            <w:vAlign w:val="center"/>
          </w:tcPr>
          <w:p w14:paraId="4F421F0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2.41E-16</w:t>
            </w:r>
          </w:p>
        </w:tc>
      </w:tr>
      <w:tr w:rsidR="00511D9B" w:rsidRPr="000817CB" w14:paraId="436FF52D" w14:textId="77777777" w:rsidTr="00511D9B">
        <w:trPr>
          <w:jc w:val="center"/>
        </w:trPr>
        <w:tc>
          <w:tcPr>
            <w:tcW w:w="0" w:type="dxa"/>
            <w:shd w:val="clear" w:color="auto" w:fill="auto"/>
            <w:vAlign w:val="center"/>
          </w:tcPr>
          <w:p w14:paraId="2E300E38"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DLGAP5</w:t>
            </w:r>
          </w:p>
        </w:tc>
        <w:tc>
          <w:tcPr>
            <w:tcW w:w="0" w:type="dxa"/>
            <w:shd w:val="clear" w:color="auto" w:fill="auto"/>
            <w:vAlign w:val="center"/>
          </w:tcPr>
          <w:p w14:paraId="049E547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6.96</w:t>
            </w:r>
          </w:p>
        </w:tc>
        <w:tc>
          <w:tcPr>
            <w:tcW w:w="0" w:type="dxa"/>
            <w:shd w:val="clear" w:color="auto" w:fill="auto"/>
            <w:vAlign w:val="center"/>
          </w:tcPr>
          <w:p w14:paraId="491BE03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color w:val="000000"/>
                <w:sz w:val="20"/>
              </w:rPr>
              <w:t>7.44E-25</w:t>
            </w:r>
          </w:p>
        </w:tc>
        <w:tc>
          <w:tcPr>
            <w:tcW w:w="0" w:type="dxa"/>
            <w:shd w:val="clear" w:color="auto" w:fill="auto"/>
            <w:vAlign w:val="center"/>
          </w:tcPr>
          <w:p w14:paraId="4D760057"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STC2</w:t>
            </w:r>
          </w:p>
        </w:tc>
        <w:tc>
          <w:tcPr>
            <w:tcW w:w="0" w:type="dxa"/>
            <w:shd w:val="clear" w:color="auto" w:fill="auto"/>
            <w:vAlign w:val="center"/>
          </w:tcPr>
          <w:p w14:paraId="42F7D95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7.69</w:t>
            </w:r>
          </w:p>
        </w:tc>
        <w:tc>
          <w:tcPr>
            <w:tcW w:w="0" w:type="dxa"/>
            <w:shd w:val="clear" w:color="auto" w:fill="auto"/>
            <w:vAlign w:val="center"/>
          </w:tcPr>
          <w:p w14:paraId="39594F8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6.13E-20</w:t>
            </w:r>
          </w:p>
        </w:tc>
        <w:tc>
          <w:tcPr>
            <w:tcW w:w="0" w:type="dxa"/>
            <w:shd w:val="clear" w:color="auto" w:fill="auto"/>
            <w:vAlign w:val="center"/>
          </w:tcPr>
          <w:p w14:paraId="324D7425" w14:textId="77777777" w:rsidR="00511D9B" w:rsidRPr="000817CB" w:rsidRDefault="00511D9B" w:rsidP="00511D9B">
            <w:pPr>
              <w:autoSpaceDE w:val="0"/>
              <w:autoSpaceDN w:val="0"/>
              <w:adjustRightInd w:val="0"/>
              <w:snapToGrid w:val="0"/>
              <w:jc w:val="center"/>
              <w:rPr>
                <w:rFonts w:ascii="Times New Roman" w:hAnsi="Times New Roman" w:cs="Times New Roman"/>
                <w:i/>
                <w:sz w:val="20"/>
              </w:rPr>
            </w:pPr>
            <w:r w:rsidRPr="000817CB">
              <w:rPr>
                <w:rFonts w:ascii="Times New Roman" w:hAnsi="Times New Roman" w:cs="Times New Roman"/>
                <w:i/>
                <w:sz w:val="20"/>
              </w:rPr>
              <w:t>SMIM11A</w:t>
            </w:r>
          </w:p>
        </w:tc>
        <w:tc>
          <w:tcPr>
            <w:tcW w:w="0" w:type="dxa"/>
            <w:shd w:val="clear" w:color="auto" w:fill="auto"/>
            <w:vAlign w:val="center"/>
          </w:tcPr>
          <w:p w14:paraId="606D717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7.19</w:t>
            </w:r>
          </w:p>
        </w:tc>
        <w:tc>
          <w:tcPr>
            <w:tcW w:w="0" w:type="dxa"/>
            <w:shd w:val="clear" w:color="auto" w:fill="auto"/>
            <w:vAlign w:val="center"/>
          </w:tcPr>
          <w:p w14:paraId="61A649F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0.012</w:t>
            </w:r>
          </w:p>
        </w:tc>
      </w:tr>
      <w:tr w:rsidR="00511D9B" w:rsidRPr="000817CB" w14:paraId="0A7101F5" w14:textId="77777777" w:rsidTr="00511D9B">
        <w:trPr>
          <w:jc w:val="center"/>
        </w:trPr>
        <w:tc>
          <w:tcPr>
            <w:tcW w:w="0" w:type="dxa"/>
            <w:shd w:val="clear" w:color="auto" w:fill="auto"/>
            <w:vAlign w:val="center"/>
          </w:tcPr>
          <w:p w14:paraId="391D8987"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p>
        </w:tc>
        <w:tc>
          <w:tcPr>
            <w:tcW w:w="0" w:type="dxa"/>
            <w:shd w:val="clear" w:color="auto" w:fill="auto"/>
            <w:vAlign w:val="center"/>
          </w:tcPr>
          <w:p w14:paraId="3D31D32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p>
        </w:tc>
        <w:tc>
          <w:tcPr>
            <w:tcW w:w="0" w:type="dxa"/>
            <w:shd w:val="clear" w:color="auto" w:fill="auto"/>
            <w:vAlign w:val="center"/>
          </w:tcPr>
          <w:p w14:paraId="3B7DD06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p>
        </w:tc>
        <w:tc>
          <w:tcPr>
            <w:tcW w:w="0" w:type="dxa"/>
            <w:shd w:val="clear" w:color="auto" w:fill="auto"/>
            <w:vAlign w:val="center"/>
          </w:tcPr>
          <w:p w14:paraId="64B13F2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p>
        </w:tc>
        <w:tc>
          <w:tcPr>
            <w:tcW w:w="0" w:type="dxa"/>
            <w:shd w:val="clear" w:color="auto" w:fill="auto"/>
            <w:vAlign w:val="center"/>
          </w:tcPr>
          <w:p w14:paraId="7ED0DAC3"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p>
        </w:tc>
        <w:tc>
          <w:tcPr>
            <w:tcW w:w="0" w:type="dxa"/>
            <w:shd w:val="clear" w:color="auto" w:fill="auto"/>
            <w:vAlign w:val="center"/>
          </w:tcPr>
          <w:p w14:paraId="2D6566F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p>
        </w:tc>
        <w:tc>
          <w:tcPr>
            <w:tcW w:w="0" w:type="dxa"/>
            <w:shd w:val="clear" w:color="auto" w:fill="auto"/>
            <w:vAlign w:val="center"/>
          </w:tcPr>
          <w:p w14:paraId="262D1DB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p>
        </w:tc>
        <w:tc>
          <w:tcPr>
            <w:tcW w:w="0" w:type="dxa"/>
            <w:shd w:val="clear" w:color="auto" w:fill="auto"/>
            <w:vAlign w:val="center"/>
          </w:tcPr>
          <w:p w14:paraId="2BDA4149"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p>
        </w:tc>
        <w:tc>
          <w:tcPr>
            <w:tcW w:w="0" w:type="dxa"/>
            <w:shd w:val="clear" w:color="auto" w:fill="auto"/>
            <w:vAlign w:val="center"/>
          </w:tcPr>
          <w:p w14:paraId="6F0769C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p>
        </w:tc>
      </w:tr>
      <w:tr w:rsidR="00511D9B" w:rsidRPr="000817CB" w14:paraId="2A1D7466" w14:textId="77777777" w:rsidTr="00511D9B">
        <w:trPr>
          <w:jc w:val="center"/>
        </w:trPr>
        <w:tc>
          <w:tcPr>
            <w:tcW w:w="0" w:type="dxa"/>
            <w:shd w:val="clear" w:color="auto" w:fill="auto"/>
            <w:vAlign w:val="center"/>
          </w:tcPr>
          <w:p w14:paraId="2C64DCC3"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p>
        </w:tc>
        <w:tc>
          <w:tcPr>
            <w:tcW w:w="0" w:type="dxa"/>
            <w:gridSpan w:val="8"/>
            <w:shd w:val="clear" w:color="auto" w:fill="auto"/>
            <w:vAlign w:val="center"/>
          </w:tcPr>
          <w:p w14:paraId="3475E6A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Down-regulated genes</w:t>
            </w:r>
          </w:p>
        </w:tc>
      </w:tr>
      <w:tr w:rsidR="00511D9B" w:rsidRPr="000817CB" w14:paraId="63D6F5F7" w14:textId="77777777" w:rsidTr="00511D9B">
        <w:trPr>
          <w:jc w:val="center"/>
        </w:trPr>
        <w:tc>
          <w:tcPr>
            <w:tcW w:w="0" w:type="dxa"/>
            <w:shd w:val="clear" w:color="auto" w:fill="auto"/>
            <w:vAlign w:val="center"/>
          </w:tcPr>
          <w:p w14:paraId="47073297"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TREM2</w:t>
            </w:r>
          </w:p>
        </w:tc>
        <w:tc>
          <w:tcPr>
            <w:tcW w:w="0" w:type="dxa"/>
            <w:shd w:val="clear" w:color="auto" w:fill="auto"/>
            <w:vAlign w:val="center"/>
          </w:tcPr>
          <w:p w14:paraId="7A2C93E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-6.45</w:t>
            </w:r>
          </w:p>
        </w:tc>
        <w:tc>
          <w:tcPr>
            <w:tcW w:w="0" w:type="dxa"/>
            <w:shd w:val="clear" w:color="auto" w:fill="auto"/>
            <w:vAlign w:val="center"/>
          </w:tcPr>
          <w:p w14:paraId="1B332F4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3.34E-13</w:t>
            </w:r>
          </w:p>
        </w:tc>
        <w:tc>
          <w:tcPr>
            <w:tcW w:w="0" w:type="dxa"/>
            <w:shd w:val="clear" w:color="auto" w:fill="auto"/>
            <w:vAlign w:val="center"/>
          </w:tcPr>
          <w:p w14:paraId="15AA9F47"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RNASE1</w:t>
            </w:r>
          </w:p>
        </w:tc>
        <w:tc>
          <w:tcPr>
            <w:tcW w:w="0" w:type="dxa"/>
            <w:shd w:val="clear" w:color="auto" w:fill="auto"/>
            <w:vAlign w:val="center"/>
          </w:tcPr>
          <w:p w14:paraId="4DAD1566"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-8.15</w:t>
            </w:r>
          </w:p>
        </w:tc>
        <w:tc>
          <w:tcPr>
            <w:tcW w:w="0" w:type="dxa"/>
            <w:shd w:val="clear" w:color="auto" w:fill="auto"/>
            <w:vAlign w:val="center"/>
          </w:tcPr>
          <w:p w14:paraId="041AC326"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5.49E-23</w:t>
            </w:r>
          </w:p>
        </w:tc>
        <w:tc>
          <w:tcPr>
            <w:tcW w:w="0" w:type="dxa"/>
            <w:shd w:val="clear" w:color="auto" w:fill="auto"/>
            <w:vAlign w:val="center"/>
          </w:tcPr>
          <w:p w14:paraId="11BD3B29"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SMN1</w:t>
            </w:r>
          </w:p>
        </w:tc>
        <w:tc>
          <w:tcPr>
            <w:tcW w:w="0" w:type="dxa"/>
            <w:shd w:val="clear" w:color="auto" w:fill="auto"/>
            <w:vAlign w:val="center"/>
          </w:tcPr>
          <w:p w14:paraId="239349C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-26.27</w:t>
            </w:r>
          </w:p>
        </w:tc>
        <w:tc>
          <w:tcPr>
            <w:tcW w:w="0" w:type="dxa"/>
            <w:shd w:val="clear" w:color="auto" w:fill="auto"/>
            <w:vAlign w:val="center"/>
          </w:tcPr>
          <w:p w14:paraId="6481D50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5.38E-17</w:t>
            </w:r>
          </w:p>
        </w:tc>
      </w:tr>
      <w:tr w:rsidR="00511D9B" w:rsidRPr="000817CB" w14:paraId="452C63A7" w14:textId="77777777" w:rsidTr="00511D9B">
        <w:trPr>
          <w:jc w:val="center"/>
        </w:trPr>
        <w:tc>
          <w:tcPr>
            <w:tcW w:w="0" w:type="dxa"/>
            <w:shd w:val="clear" w:color="auto" w:fill="auto"/>
            <w:vAlign w:val="center"/>
          </w:tcPr>
          <w:p w14:paraId="48A6DEF2"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FAM198B</w:t>
            </w:r>
          </w:p>
        </w:tc>
        <w:tc>
          <w:tcPr>
            <w:tcW w:w="0" w:type="dxa"/>
            <w:shd w:val="clear" w:color="auto" w:fill="auto"/>
            <w:vAlign w:val="center"/>
          </w:tcPr>
          <w:p w14:paraId="44C3B810"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-6.01</w:t>
            </w:r>
          </w:p>
        </w:tc>
        <w:tc>
          <w:tcPr>
            <w:tcW w:w="0" w:type="dxa"/>
            <w:shd w:val="clear" w:color="auto" w:fill="auto"/>
            <w:vAlign w:val="center"/>
          </w:tcPr>
          <w:p w14:paraId="237928F6"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2.85E-10</w:t>
            </w:r>
          </w:p>
        </w:tc>
        <w:tc>
          <w:tcPr>
            <w:tcW w:w="0" w:type="dxa"/>
            <w:shd w:val="clear" w:color="auto" w:fill="auto"/>
            <w:vAlign w:val="center"/>
          </w:tcPr>
          <w:p w14:paraId="7A253576"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TREM2</w:t>
            </w:r>
          </w:p>
        </w:tc>
        <w:tc>
          <w:tcPr>
            <w:tcW w:w="0" w:type="dxa"/>
            <w:shd w:val="clear" w:color="auto" w:fill="auto"/>
            <w:vAlign w:val="center"/>
          </w:tcPr>
          <w:p w14:paraId="0080F6BE"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-6.77</w:t>
            </w:r>
          </w:p>
        </w:tc>
        <w:tc>
          <w:tcPr>
            <w:tcW w:w="0" w:type="dxa"/>
            <w:shd w:val="clear" w:color="auto" w:fill="auto"/>
            <w:vAlign w:val="center"/>
          </w:tcPr>
          <w:p w14:paraId="6E8688B3"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1.31E-12</w:t>
            </w:r>
          </w:p>
        </w:tc>
        <w:tc>
          <w:tcPr>
            <w:tcW w:w="0" w:type="dxa"/>
            <w:shd w:val="clear" w:color="auto" w:fill="auto"/>
            <w:vAlign w:val="center"/>
          </w:tcPr>
          <w:p w14:paraId="3A372547"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EEF1E1_BLOC1S5</w:t>
            </w:r>
          </w:p>
        </w:tc>
        <w:tc>
          <w:tcPr>
            <w:tcW w:w="0" w:type="dxa"/>
            <w:shd w:val="clear" w:color="auto" w:fill="auto"/>
            <w:vAlign w:val="center"/>
          </w:tcPr>
          <w:p w14:paraId="709DE989"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-23.38</w:t>
            </w:r>
          </w:p>
        </w:tc>
        <w:tc>
          <w:tcPr>
            <w:tcW w:w="0" w:type="dxa"/>
            <w:shd w:val="clear" w:color="auto" w:fill="auto"/>
            <w:vAlign w:val="center"/>
          </w:tcPr>
          <w:p w14:paraId="7515175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1.23E-13</w:t>
            </w:r>
          </w:p>
        </w:tc>
      </w:tr>
      <w:tr w:rsidR="00511D9B" w:rsidRPr="000817CB" w14:paraId="48F58781" w14:textId="77777777" w:rsidTr="00511D9B">
        <w:trPr>
          <w:jc w:val="center"/>
        </w:trPr>
        <w:tc>
          <w:tcPr>
            <w:tcW w:w="0" w:type="dxa"/>
            <w:shd w:val="clear" w:color="auto" w:fill="auto"/>
            <w:vAlign w:val="center"/>
          </w:tcPr>
          <w:p w14:paraId="52F7E6CB"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GPNMB</w:t>
            </w:r>
          </w:p>
        </w:tc>
        <w:tc>
          <w:tcPr>
            <w:tcW w:w="0" w:type="dxa"/>
            <w:shd w:val="clear" w:color="auto" w:fill="auto"/>
            <w:vAlign w:val="center"/>
          </w:tcPr>
          <w:p w14:paraId="0B5DCD8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-5.90</w:t>
            </w:r>
          </w:p>
        </w:tc>
        <w:tc>
          <w:tcPr>
            <w:tcW w:w="0" w:type="dxa"/>
            <w:shd w:val="clear" w:color="auto" w:fill="auto"/>
            <w:vAlign w:val="center"/>
          </w:tcPr>
          <w:p w14:paraId="28A21DA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2.93E-21</w:t>
            </w:r>
          </w:p>
        </w:tc>
        <w:tc>
          <w:tcPr>
            <w:tcW w:w="0" w:type="dxa"/>
            <w:shd w:val="clear" w:color="auto" w:fill="auto"/>
            <w:vAlign w:val="center"/>
          </w:tcPr>
          <w:p w14:paraId="6E57EA80"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HSFX2</w:t>
            </w:r>
          </w:p>
        </w:tc>
        <w:tc>
          <w:tcPr>
            <w:tcW w:w="0" w:type="dxa"/>
            <w:shd w:val="clear" w:color="auto" w:fill="auto"/>
            <w:vAlign w:val="center"/>
          </w:tcPr>
          <w:p w14:paraId="3DCC2D1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-6.76</w:t>
            </w:r>
          </w:p>
        </w:tc>
        <w:tc>
          <w:tcPr>
            <w:tcW w:w="0" w:type="dxa"/>
            <w:shd w:val="clear" w:color="auto" w:fill="auto"/>
            <w:vAlign w:val="center"/>
          </w:tcPr>
          <w:p w14:paraId="5CEB415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0.04</w:t>
            </w:r>
          </w:p>
        </w:tc>
        <w:tc>
          <w:tcPr>
            <w:tcW w:w="0" w:type="dxa"/>
            <w:shd w:val="clear" w:color="auto" w:fill="auto"/>
            <w:vAlign w:val="center"/>
          </w:tcPr>
          <w:p w14:paraId="4836B352"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LOC102723996</w:t>
            </w:r>
          </w:p>
        </w:tc>
        <w:tc>
          <w:tcPr>
            <w:tcW w:w="0" w:type="dxa"/>
            <w:shd w:val="clear" w:color="auto" w:fill="auto"/>
            <w:vAlign w:val="center"/>
          </w:tcPr>
          <w:p w14:paraId="758A2F4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-23.19</w:t>
            </w:r>
          </w:p>
        </w:tc>
        <w:tc>
          <w:tcPr>
            <w:tcW w:w="0" w:type="dxa"/>
            <w:shd w:val="clear" w:color="auto" w:fill="auto"/>
            <w:vAlign w:val="center"/>
          </w:tcPr>
          <w:p w14:paraId="51446C2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2.00E-13</w:t>
            </w:r>
          </w:p>
        </w:tc>
      </w:tr>
      <w:tr w:rsidR="00511D9B" w:rsidRPr="000817CB" w14:paraId="7F3D0F1F" w14:textId="77777777" w:rsidTr="00511D9B">
        <w:trPr>
          <w:jc w:val="center"/>
        </w:trPr>
        <w:tc>
          <w:tcPr>
            <w:tcW w:w="0" w:type="dxa"/>
            <w:shd w:val="clear" w:color="auto" w:fill="auto"/>
            <w:vAlign w:val="center"/>
          </w:tcPr>
          <w:p w14:paraId="0E5C4552"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RNASE1</w:t>
            </w:r>
          </w:p>
        </w:tc>
        <w:tc>
          <w:tcPr>
            <w:tcW w:w="0" w:type="dxa"/>
            <w:shd w:val="clear" w:color="auto" w:fill="auto"/>
            <w:vAlign w:val="center"/>
          </w:tcPr>
          <w:p w14:paraId="04DC0C0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-5.84</w:t>
            </w:r>
          </w:p>
        </w:tc>
        <w:tc>
          <w:tcPr>
            <w:tcW w:w="0" w:type="dxa"/>
            <w:shd w:val="clear" w:color="auto" w:fill="auto"/>
            <w:vAlign w:val="center"/>
          </w:tcPr>
          <w:p w14:paraId="08C5DC4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2.34E-07</w:t>
            </w:r>
          </w:p>
        </w:tc>
        <w:tc>
          <w:tcPr>
            <w:tcW w:w="0" w:type="dxa"/>
            <w:shd w:val="clear" w:color="auto" w:fill="auto"/>
            <w:vAlign w:val="center"/>
          </w:tcPr>
          <w:p w14:paraId="299F8B8C"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CNTNAP2</w:t>
            </w:r>
          </w:p>
        </w:tc>
        <w:tc>
          <w:tcPr>
            <w:tcW w:w="0" w:type="dxa"/>
            <w:shd w:val="clear" w:color="auto" w:fill="auto"/>
            <w:vAlign w:val="center"/>
          </w:tcPr>
          <w:p w14:paraId="68B93CD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-6.53</w:t>
            </w:r>
          </w:p>
        </w:tc>
        <w:tc>
          <w:tcPr>
            <w:tcW w:w="0" w:type="dxa"/>
            <w:shd w:val="clear" w:color="auto" w:fill="auto"/>
            <w:vAlign w:val="center"/>
          </w:tcPr>
          <w:p w14:paraId="2560132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4.28E-10</w:t>
            </w:r>
          </w:p>
        </w:tc>
        <w:tc>
          <w:tcPr>
            <w:tcW w:w="0" w:type="dxa"/>
            <w:shd w:val="clear" w:color="auto" w:fill="auto"/>
            <w:vAlign w:val="center"/>
          </w:tcPr>
          <w:p w14:paraId="71CB42C3"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RNASE1</w:t>
            </w:r>
          </w:p>
        </w:tc>
        <w:tc>
          <w:tcPr>
            <w:tcW w:w="0" w:type="dxa"/>
            <w:shd w:val="clear" w:color="auto" w:fill="auto"/>
            <w:vAlign w:val="center"/>
          </w:tcPr>
          <w:p w14:paraId="1DCD284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-7.60</w:t>
            </w:r>
          </w:p>
        </w:tc>
        <w:tc>
          <w:tcPr>
            <w:tcW w:w="0" w:type="dxa"/>
            <w:shd w:val="clear" w:color="auto" w:fill="auto"/>
            <w:vAlign w:val="center"/>
          </w:tcPr>
          <w:p w14:paraId="628E115D"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8.65E-05</w:t>
            </w:r>
          </w:p>
        </w:tc>
      </w:tr>
      <w:tr w:rsidR="00511D9B" w:rsidRPr="000817CB" w14:paraId="2ED16853" w14:textId="77777777" w:rsidTr="00511D9B">
        <w:trPr>
          <w:jc w:val="center"/>
        </w:trPr>
        <w:tc>
          <w:tcPr>
            <w:tcW w:w="0" w:type="dxa"/>
            <w:shd w:val="clear" w:color="auto" w:fill="auto"/>
            <w:vAlign w:val="center"/>
          </w:tcPr>
          <w:p w14:paraId="647A1F81"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APOC2</w:t>
            </w:r>
          </w:p>
        </w:tc>
        <w:tc>
          <w:tcPr>
            <w:tcW w:w="0" w:type="dxa"/>
            <w:shd w:val="clear" w:color="auto" w:fill="auto"/>
            <w:vAlign w:val="center"/>
          </w:tcPr>
          <w:p w14:paraId="3C1792D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-5.67</w:t>
            </w:r>
          </w:p>
        </w:tc>
        <w:tc>
          <w:tcPr>
            <w:tcW w:w="0" w:type="dxa"/>
            <w:shd w:val="clear" w:color="auto" w:fill="auto"/>
            <w:vAlign w:val="center"/>
          </w:tcPr>
          <w:p w14:paraId="6F685EE6"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3.95E-07</w:t>
            </w:r>
          </w:p>
        </w:tc>
        <w:tc>
          <w:tcPr>
            <w:tcW w:w="0" w:type="dxa"/>
            <w:shd w:val="clear" w:color="auto" w:fill="auto"/>
            <w:vAlign w:val="center"/>
          </w:tcPr>
          <w:p w14:paraId="120D8AE1"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OLR1</w:t>
            </w:r>
          </w:p>
        </w:tc>
        <w:tc>
          <w:tcPr>
            <w:tcW w:w="0" w:type="dxa"/>
            <w:shd w:val="clear" w:color="auto" w:fill="auto"/>
            <w:vAlign w:val="center"/>
          </w:tcPr>
          <w:p w14:paraId="2C958DD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-6.27</w:t>
            </w:r>
          </w:p>
        </w:tc>
        <w:tc>
          <w:tcPr>
            <w:tcW w:w="0" w:type="dxa"/>
            <w:shd w:val="clear" w:color="auto" w:fill="auto"/>
            <w:vAlign w:val="center"/>
          </w:tcPr>
          <w:p w14:paraId="006E479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5.65E-07</w:t>
            </w:r>
          </w:p>
        </w:tc>
        <w:tc>
          <w:tcPr>
            <w:tcW w:w="0" w:type="dxa"/>
            <w:shd w:val="clear" w:color="auto" w:fill="auto"/>
            <w:vAlign w:val="center"/>
          </w:tcPr>
          <w:p w14:paraId="21BE572F"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TREM2</w:t>
            </w:r>
          </w:p>
        </w:tc>
        <w:tc>
          <w:tcPr>
            <w:tcW w:w="0" w:type="dxa"/>
            <w:shd w:val="clear" w:color="auto" w:fill="auto"/>
            <w:vAlign w:val="center"/>
          </w:tcPr>
          <w:p w14:paraId="1E23774D"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-6.96</w:t>
            </w:r>
          </w:p>
        </w:tc>
        <w:tc>
          <w:tcPr>
            <w:tcW w:w="0" w:type="dxa"/>
            <w:shd w:val="clear" w:color="auto" w:fill="auto"/>
            <w:vAlign w:val="center"/>
          </w:tcPr>
          <w:p w14:paraId="51A4800E"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2.91E-07</w:t>
            </w:r>
          </w:p>
        </w:tc>
      </w:tr>
      <w:tr w:rsidR="00511D9B" w:rsidRPr="000817CB" w14:paraId="53F10F58" w14:textId="77777777" w:rsidTr="00511D9B">
        <w:trPr>
          <w:jc w:val="center"/>
        </w:trPr>
        <w:tc>
          <w:tcPr>
            <w:tcW w:w="0" w:type="dxa"/>
            <w:shd w:val="clear" w:color="auto" w:fill="auto"/>
            <w:vAlign w:val="center"/>
          </w:tcPr>
          <w:p w14:paraId="329C0208"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KCNJ5</w:t>
            </w:r>
          </w:p>
        </w:tc>
        <w:tc>
          <w:tcPr>
            <w:tcW w:w="0" w:type="dxa"/>
            <w:shd w:val="clear" w:color="auto" w:fill="auto"/>
            <w:vAlign w:val="center"/>
          </w:tcPr>
          <w:p w14:paraId="2606CA7E"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-5.63</w:t>
            </w:r>
          </w:p>
        </w:tc>
        <w:tc>
          <w:tcPr>
            <w:tcW w:w="0" w:type="dxa"/>
            <w:shd w:val="clear" w:color="auto" w:fill="auto"/>
            <w:vAlign w:val="center"/>
          </w:tcPr>
          <w:p w14:paraId="6D931897"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1.03E-07</w:t>
            </w:r>
          </w:p>
        </w:tc>
        <w:tc>
          <w:tcPr>
            <w:tcW w:w="0" w:type="dxa"/>
            <w:shd w:val="clear" w:color="auto" w:fill="auto"/>
            <w:vAlign w:val="center"/>
          </w:tcPr>
          <w:p w14:paraId="3F234A5F"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LINC00891</w:t>
            </w:r>
          </w:p>
        </w:tc>
        <w:tc>
          <w:tcPr>
            <w:tcW w:w="0" w:type="dxa"/>
            <w:shd w:val="clear" w:color="auto" w:fill="auto"/>
            <w:vAlign w:val="center"/>
          </w:tcPr>
          <w:p w14:paraId="47E8FF8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-6.26</w:t>
            </w:r>
          </w:p>
        </w:tc>
        <w:tc>
          <w:tcPr>
            <w:tcW w:w="0" w:type="dxa"/>
            <w:shd w:val="clear" w:color="auto" w:fill="auto"/>
            <w:vAlign w:val="center"/>
          </w:tcPr>
          <w:p w14:paraId="50A059F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0.002</w:t>
            </w:r>
          </w:p>
        </w:tc>
        <w:tc>
          <w:tcPr>
            <w:tcW w:w="0" w:type="dxa"/>
            <w:shd w:val="clear" w:color="auto" w:fill="auto"/>
            <w:vAlign w:val="center"/>
          </w:tcPr>
          <w:p w14:paraId="32A7B30B"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GPNMB</w:t>
            </w:r>
          </w:p>
        </w:tc>
        <w:tc>
          <w:tcPr>
            <w:tcW w:w="0" w:type="dxa"/>
            <w:shd w:val="clear" w:color="auto" w:fill="auto"/>
            <w:vAlign w:val="center"/>
          </w:tcPr>
          <w:p w14:paraId="668C78D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-6.17</w:t>
            </w:r>
          </w:p>
        </w:tc>
        <w:tc>
          <w:tcPr>
            <w:tcW w:w="0" w:type="dxa"/>
            <w:shd w:val="clear" w:color="auto" w:fill="auto"/>
            <w:vAlign w:val="center"/>
          </w:tcPr>
          <w:p w14:paraId="36040999"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8.35E-15</w:t>
            </w:r>
          </w:p>
        </w:tc>
      </w:tr>
      <w:tr w:rsidR="00511D9B" w:rsidRPr="000817CB" w14:paraId="1484E044" w14:textId="77777777" w:rsidTr="00511D9B">
        <w:trPr>
          <w:jc w:val="center"/>
        </w:trPr>
        <w:tc>
          <w:tcPr>
            <w:tcW w:w="0" w:type="dxa"/>
            <w:shd w:val="clear" w:color="auto" w:fill="auto"/>
            <w:vAlign w:val="center"/>
          </w:tcPr>
          <w:p w14:paraId="61E677DC"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A2M</w:t>
            </w:r>
          </w:p>
        </w:tc>
        <w:tc>
          <w:tcPr>
            <w:tcW w:w="0" w:type="dxa"/>
            <w:shd w:val="clear" w:color="auto" w:fill="auto"/>
            <w:vAlign w:val="center"/>
          </w:tcPr>
          <w:p w14:paraId="61912B6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-5.58</w:t>
            </w:r>
          </w:p>
        </w:tc>
        <w:tc>
          <w:tcPr>
            <w:tcW w:w="0" w:type="dxa"/>
            <w:shd w:val="clear" w:color="auto" w:fill="auto"/>
            <w:vAlign w:val="center"/>
          </w:tcPr>
          <w:p w14:paraId="193B119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9.60E-17</w:t>
            </w:r>
          </w:p>
        </w:tc>
        <w:tc>
          <w:tcPr>
            <w:tcW w:w="0" w:type="dxa"/>
            <w:shd w:val="clear" w:color="auto" w:fill="auto"/>
            <w:vAlign w:val="center"/>
          </w:tcPr>
          <w:p w14:paraId="0A1FB644"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F13A1</w:t>
            </w:r>
          </w:p>
        </w:tc>
        <w:tc>
          <w:tcPr>
            <w:tcW w:w="0" w:type="dxa"/>
            <w:shd w:val="clear" w:color="auto" w:fill="auto"/>
            <w:vAlign w:val="center"/>
          </w:tcPr>
          <w:p w14:paraId="7D9FF656"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-6.24</w:t>
            </w:r>
          </w:p>
        </w:tc>
        <w:tc>
          <w:tcPr>
            <w:tcW w:w="0" w:type="dxa"/>
            <w:shd w:val="clear" w:color="auto" w:fill="auto"/>
            <w:vAlign w:val="center"/>
          </w:tcPr>
          <w:p w14:paraId="7CBA44D0"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1.54E-11</w:t>
            </w:r>
          </w:p>
        </w:tc>
        <w:tc>
          <w:tcPr>
            <w:tcW w:w="0" w:type="dxa"/>
            <w:shd w:val="clear" w:color="auto" w:fill="auto"/>
            <w:vAlign w:val="center"/>
          </w:tcPr>
          <w:p w14:paraId="10EEDE45"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LILRB5</w:t>
            </w:r>
          </w:p>
        </w:tc>
        <w:tc>
          <w:tcPr>
            <w:tcW w:w="0" w:type="dxa"/>
            <w:shd w:val="clear" w:color="auto" w:fill="auto"/>
            <w:vAlign w:val="center"/>
          </w:tcPr>
          <w:p w14:paraId="36D1B68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-5.99</w:t>
            </w:r>
          </w:p>
        </w:tc>
        <w:tc>
          <w:tcPr>
            <w:tcW w:w="0" w:type="dxa"/>
            <w:shd w:val="clear" w:color="auto" w:fill="auto"/>
            <w:vAlign w:val="center"/>
          </w:tcPr>
          <w:p w14:paraId="26548BD3"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6.70E-06</w:t>
            </w:r>
          </w:p>
        </w:tc>
      </w:tr>
      <w:tr w:rsidR="00511D9B" w:rsidRPr="000817CB" w14:paraId="0ABB9F9E" w14:textId="77777777" w:rsidTr="00511D9B">
        <w:trPr>
          <w:jc w:val="center"/>
        </w:trPr>
        <w:tc>
          <w:tcPr>
            <w:tcW w:w="0" w:type="dxa"/>
            <w:shd w:val="clear" w:color="auto" w:fill="auto"/>
            <w:vAlign w:val="center"/>
          </w:tcPr>
          <w:p w14:paraId="489C5689"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RAB42</w:t>
            </w:r>
          </w:p>
        </w:tc>
        <w:tc>
          <w:tcPr>
            <w:tcW w:w="0" w:type="dxa"/>
            <w:shd w:val="clear" w:color="auto" w:fill="auto"/>
            <w:vAlign w:val="center"/>
          </w:tcPr>
          <w:p w14:paraId="30B0AAB3"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-5.42</w:t>
            </w:r>
          </w:p>
        </w:tc>
        <w:tc>
          <w:tcPr>
            <w:tcW w:w="0" w:type="dxa"/>
            <w:shd w:val="clear" w:color="auto" w:fill="auto"/>
            <w:vAlign w:val="center"/>
          </w:tcPr>
          <w:p w14:paraId="0491623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4.82E-08</w:t>
            </w:r>
          </w:p>
        </w:tc>
        <w:tc>
          <w:tcPr>
            <w:tcW w:w="0" w:type="dxa"/>
            <w:shd w:val="clear" w:color="auto" w:fill="auto"/>
            <w:vAlign w:val="center"/>
          </w:tcPr>
          <w:p w14:paraId="5871422D"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GPNMB</w:t>
            </w:r>
          </w:p>
        </w:tc>
        <w:tc>
          <w:tcPr>
            <w:tcW w:w="0" w:type="dxa"/>
            <w:shd w:val="clear" w:color="auto" w:fill="auto"/>
            <w:vAlign w:val="center"/>
          </w:tcPr>
          <w:p w14:paraId="0C0497A9"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-6.15</w:t>
            </w:r>
          </w:p>
        </w:tc>
        <w:tc>
          <w:tcPr>
            <w:tcW w:w="0" w:type="dxa"/>
            <w:shd w:val="clear" w:color="auto" w:fill="auto"/>
            <w:vAlign w:val="center"/>
          </w:tcPr>
          <w:p w14:paraId="273AE3AC"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5.01E-28</w:t>
            </w:r>
          </w:p>
        </w:tc>
        <w:tc>
          <w:tcPr>
            <w:tcW w:w="0" w:type="dxa"/>
            <w:shd w:val="clear" w:color="auto" w:fill="auto"/>
            <w:vAlign w:val="center"/>
          </w:tcPr>
          <w:p w14:paraId="193CF695"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CD163</w:t>
            </w:r>
          </w:p>
        </w:tc>
        <w:tc>
          <w:tcPr>
            <w:tcW w:w="0" w:type="dxa"/>
            <w:shd w:val="clear" w:color="auto" w:fill="auto"/>
            <w:vAlign w:val="center"/>
          </w:tcPr>
          <w:p w14:paraId="52CC7557"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-5.98</w:t>
            </w:r>
          </w:p>
        </w:tc>
        <w:tc>
          <w:tcPr>
            <w:tcW w:w="0" w:type="dxa"/>
            <w:shd w:val="clear" w:color="auto" w:fill="auto"/>
            <w:vAlign w:val="center"/>
          </w:tcPr>
          <w:p w14:paraId="08BE61D3"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1.05E-12</w:t>
            </w:r>
          </w:p>
        </w:tc>
      </w:tr>
      <w:tr w:rsidR="00511D9B" w:rsidRPr="000817CB" w14:paraId="5E24B309" w14:textId="77777777" w:rsidTr="00511D9B">
        <w:trPr>
          <w:jc w:val="center"/>
        </w:trPr>
        <w:tc>
          <w:tcPr>
            <w:tcW w:w="0" w:type="dxa"/>
            <w:shd w:val="clear" w:color="auto" w:fill="auto"/>
            <w:vAlign w:val="center"/>
          </w:tcPr>
          <w:p w14:paraId="5AE71A35"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LILRB5</w:t>
            </w:r>
          </w:p>
        </w:tc>
        <w:tc>
          <w:tcPr>
            <w:tcW w:w="0" w:type="dxa"/>
            <w:shd w:val="clear" w:color="auto" w:fill="auto"/>
            <w:vAlign w:val="center"/>
          </w:tcPr>
          <w:p w14:paraId="6EE54AB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-5.23</w:t>
            </w:r>
          </w:p>
        </w:tc>
        <w:tc>
          <w:tcPr>
            <w:tcW w:w="0" w:type="dxa"/>
            <w:shd w:val="clear" w:color="auto" w:fill="auto"/>
            <w:vAlign w:val="center"/>
          </w:tcPr>
          <w:p w14:paraId="6D70BBD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2.02E-07</w:t>
            </w:r>
          </w:p>
        </w:tc>
        <w:tc>
          <w:tcPr>
            <w:tcW w:w="0" w:type="dxa"/>
            <w:shd w:val="clear" w:color="auto" w:fill="auto"/>
            <w:vAlign w:val="center"/>
          </w:tcPr>
          <w:p w14:paraId="18E384D2"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C1QA</w:t>
            </w:r>
          </w:p>
        </w:tc>
        <w:tc>
          <w:tcPr>
            <w:tcW w:w="0" w:type="dxa"/>
            <w:shd w:val="clear" w:color="auto" w:fill="auto"/>
            <w:vAlign w:val="center"/>
          </w:tcPr>
          <w:p w14:paraId="6B6B320C"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-6.09</w:t>
            </w:r>
          </w:p>
        </w:tc>
        <w:tc>
          <w:tcPr>
            <w:tcW w:w="0" w:type="dxa"/>
            <w:shd w:val="clear" w:color="auto" w:fill="auto"/>
            <w:vAlign w:val="center"/>
          </w:tcPr>
          <w:p w14:paraId="0A6BD453"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2.01E-07</w:t>
            </w:r>
          </w:p>
        </w:tc>
        <w:tc>
          <w:tcPr>
            <w:tcW w:w="0" w:type="dxa"/>
            <w:shd w:val="clear" w:color="auto" w:fill="auto"/>
            <w:vAlign w:val="center"/>
          </w:tcPr>
          <w:p w14:paraId="65BD1F3C"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CNTNAP2</w:t>
            </w:r>
          </w:p>
        </w:tc>
        <w:tc>
          <w:tcPr>
            <w:tcW w:w="0" w:type="dxa"/>
            <w:shd w:val="clear" w:color="auto" w:fill="auto"/>
            <w:vAlign w:val="center"/>
          </w:tcPr>
          <w:p w14:paraId="23642BA6"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-5.91</w:t>
            </w:r>
          </w:p>
        </w:tc>
        <w:tc>
          <w:tcPr>
            <w:tcW w:w="0" w:type="dxa"/>
            <w:shd w:val="clear" w:color="auto" w:fill="auto"/>
            <w:vAlign w:val="center"/>
          </w:tcPr>
          <w:p w14:paraId="54EB3387"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4.45E-09</w:t>
            </w:r>
          </w:p>
        </w:tc>
      </w:tr>
      <w:tr w:rsidR="00511D9B" w:rsidRPr="000817CB" w14:paraId="26C92F82" w14:textId="77777777" w:rsidTr="00511D9B">
        <w:trPr>
          <w:jc w:val="center"/>
        </w:trPr>
        <w:tc>
          <w:tcPr>
            <w:tcW w:w="0" w:type="dxa"/>
            <w:shd w:val="clear" w:color="auto" w:fill="auto"/>
            <w:vAlign w:val="center"/>
          </w:tcPr>
          <w:p w14:paraId="40F536D0"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FCN1</w:t>
            </w:r>
          </w:p>
        </w:tc>
        <w:tc>
          <w:tcPr>
            <w:tcW w:w="0" w:type="dxa"/>
            <w:shd w:val="clear" w:color="auto" w:fill="auto"/>
            <w:vAlign w:val="center"/>
          </w:tcPr>
          <w:p w14:paraId="1A449B89"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-5.10</w:t>
            </w:r>
          </w:p>
        </w:tc>
        <w:tc>
          <w:tcPr>
            <w:tcW w:w="0" w:type="dxa"/>
            <w:shd w:val="clear" w:color="auto" w:fill="auto"/>
            <w:vAlign w:val="center"/>
          </w:tcPr>
          <w:p w14:paraId="550FA5A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2.49E-10</w:t>
            </w:r>
          </w:p>
        </w:tc>
        <w:tc>
          <w:tcPr>
            <w:tcW w:w="0" w:type="dxa"/>
            <w:shd w:val="clear" w:color="auto" w:fill="auto"/>
            <w:vAlign w:val="center"/>
          </w:tcPr>
          <w:p w14:paraId="54537539"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FPR3</w:t>
            </w:r>
          </w:p>
        </w:tc>
        <w:tc>
          <w:tcPr>
            <w:tcW w:w="0" w:type="dxa"/>
            <w:shd w:val="clear" w:color="auto" w:fill="auto"/>
            <w:vAlign w:val="center"/>
          </w:tcPr>
          <w:p w14:paraId="20C4FF53"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-6.06</w:t>
            </w:r>
          </w:p>
        </w:tc>
        <w:tc>
          <w:tcPr>
            <w:tcW w:w="0" w:type="dxa"/>
            <w:shd w:val="clear" w:color="auto" w:fill="auto"/>
            <w:vAlign w:val="center"/>
          </w:tcPr>
          <w:p w14:paraId="4083D10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6.52E-16</w:t>
            </w:r>
          </w:p>
        </w:tc>
        <w:tc>
          <w:tcPr>
            <w:tcW w:w="0" w:type="dxa"/>
            <w:shd w:val="clear" w:color="auto" w:fill="auto"/>
            <w:vAlign w:val="center"/>
          </w:tcPr>
          <w:p w14:paraId="1BF76E30"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SLCO2B1</w:t>
            </w:r>
          </w:p>
        </w:tc>
        <w:tc>
          <w:tcPr>
            <w:tcW w:w="0" w:type="dxa"/>
            <w:shd w:val="clear" w:color="auto" w:fill="auto"/>
            <w:vAlign w:val="center"/>
          </w:tcPr>
          <w:p w14:paraId="7E4ADD1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-5.88</w:t>
            </w:r>
          </w:p>
        </w:tc>
        <w:tc>
          <w:tcPr>
            <w:tcW w:w="0" w:type="dxa"/>
            <w:shd w:val="clear" w:color="auto" w:fill="auto"/>
            <w:vAlign w:val="center"/>
          </w:tcPr>
          <w:p w14:paraId="191070E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2.22E-08</w:t>
            </w:r>
          </w:p>
        </w:tc>
      </w:tr>
      <w:tr w:rsidR="00511D9B" w:rsidRPr="000817CB" w14:paraId="1AF243C4" w14:textId="77777777" w:rsidTr="00511D9B">
        <w:trPr>
          <w:jc w:val="center"/>
        </w:trPr>
        <w:tc>
          <w:tcPr>
            <w:tcW w:w="0" w:type="dxa"/>
            <w:shd w:val="clear" w:color="auto" w:fill="auto"/>
            <w:vAlign w:val="center"/>
          </w:tcPr>
          <w:p w14:paraId="0F3047ED"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DCANP1</w:t>
            </w:r>
          </w:p>
        </w:tc>
        <w:tc>
          <w:tcPr>
            <w:tcW w:w="0" w:type="dxa"/>
            <w:shd w:val="clear" w:color="auto" w:fill="auto"/>
            <w:vAlign w:val="center"/>
          </w:tcPr>
          <w:p w14:paraId="4A43FD5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-5.08</w:t>
            </w:r>
          </w:p>
        </w:tc>
        <w:tc>
          <w:tcPr>
            <w:tcW w:w="0" w:type="dxa"/>
            <w:shd w:val="clear" w:color="auto" w:fill="auto"/>
            <w:vAlign w:val="center"/>
          </w:tcPr>
          <w:p w14:paraId="2D5A5C2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1.11E-08</w:t>
            </w:r>
          </w:p>
        </w:tc>
        <w:tc>
          <w:tcPr>
            <w:tcW w:w="0" w:type="dxa"/>
            <w:shd w:val="clear" w:color="auto" w:fill="auto"/>
            <w:vAlign w:val="center"/>
          </w:tcPr>
          <w:p w14:paraId="7E8D24F1"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FAM198B</w:t>
            </w:r>
          </w:p>
        </w:tc>
        <w:tc>
          <w:tcPr>
            <w:tcW w:w="0" w:type="dxa"/>
            <w:shd w:val="clear" w:color="auto" w:fill="auto"/>
            <w:vAlign w:val="center"/>
          </w:tcPr>
          <w:p w14:paraId="07CF324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-6.00</w:t>
            </w:r>
          </w:p>
        </w:tc>
        <w:tc>
          <w:tcPr>
            <w:tcW w:w="0" w:type="dxa"/>
            <w:shd w:val="clear" w:color="auto" w:fill="auto"/>
            <w:vAlign w:val="center"/>
          </w:tcPr>
          <w:p w14:paraId="32C8AA0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1.72E-10</w:t>
            </w:r>
          </w:p>
        </w:tc>
        <w:tc>
          <w:tcPr>
            <w:tcW w:w="0" w:type="dxa"/>
            <w:shd w:val="clear" w:color="auto" w:fill="auto"/>
            <w:vAlign w:val="center"/>
          </w:tcPr>
          <w:p w14:paraId="572FBF62"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FAM198B</w:t>
            </w:r>
          </w:p>
        </w:tc>
        <w:tc>
          <w:tcPr>
            <w:tcW w:w="0" w:type="dxa"/>
            <w:shd w:val="clear" w:color="auto" w:fill="auto"/>
            <w:vAlign w:val="center"/>
          </w:tcPr>
          <w:p w14:paraId="5DCE019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-5.83</w:t>
            </w:r>
          </w:p>
        </w:tc>
        <w:tc>
          <w:tcPr>
            <w:tcW w:w="0" w:type="dxa"/>
            <w:shd w:val="clear" w:color="auto" w:fill="auto"/>
            <w:vAlign w:val="center"/>
          </w:tcPr>
          <w:p w14:paraId="431F184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0.0003</w:t>
            </w:r>
          </w:p>
        </w:tc>
      </w:tr>
      <w:tr w:rsidR="00511D9B" w:rsidRPr="000817CB" w14:paraId="2106C075" w14:textId="77777777" w:rsidTr="00511D9B">
        <w:trPr>
          <w:jc w:val="center"/>
        </w:trPr>
        <w:tc>
          <w:tcPr>
            <w:tcW w:w="0" w:type="dxa"/>
            <w:shd w:val="clear" w:color="auto" w:fill="auto"/>
            <w:vAlign w:val="center"/>
          </w:tcPr>
          <w:p w14:paraId="5B1E7AFC"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STAB1</w:t>
            </w:r>
          </w:p>
        </w:tc>
        <w:tc>
          <w:tcPr>
            <w:tcW w:w="0" w:type="dxa"/>
            <w:shd w:val="clear" w:color="auto" w:fill="auto"/>
            <w:vAlign w:val="center"/>
          </w:tcPr>
          <w:p w14:paraId="3B610C0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-5.01</w:t>
            </w:r>
          </w:p>
        </w:tc>
        <w:tc>
          <w:tcPr>
            <w:tcW w:w="0" w:type="dxa"/>
            <w:shd w:val="clear" w:color="auto" w:fill="auto"/>
            <w:vAlign w:val="center"/>
          </w:tcPr>
          <w:p w14:paraId="1516893D"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1.04E-13</w:t>
            </w:r>
          </w:p>
        </w:tc>
        <w:tc>
          <w:tcPr>
            <w:tcW w:w="0" w:type="dxa"/>
            <w:shd w:val="clear" w:color="auto" w:fill="auto"/>
            <w:vAlign w:val="center"/>
          </w:tcPr>
          <w:p w14:paraId="1C9B9AD7"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GTF2IP4</w:t>
            </w:r>
          </w:p>
        </w:tc>
        <w:tc>
          <w:tcPr>
            <w:tcW w:w="0" w:type="dxa"/>
            <w:shd w:val="clear" w:color="auto" w:fill="auto"/>
            <w:vAlign w:val="center"/>
          </w:tcPr>
          <w:p w14:paraId="188FEDFE"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-5.85</w:t>
            </w:r>
          </w:p>
        </w:tc>
        <w:tc>
          <w:tcPr>
            <w:tcW w:w="0" w:type="dxa"/>
            <w:shd w:val="clear" w:color="auto" w:fill="auto"/>
            <w:vAlign w:val="center"/>
          </w:tcPr>
          <w:p w14:paraId="64A9F27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0.02</w:t>
            </w:r>
          </w:p>
        </w:tc>
        <w:tc>
          <w:tcPr>
            <w:tcW w:w="0" w:type="dxa"/>
            <w:shd w:val="clear" w:color="auto" w:fill="auto"/>
            <w:vAlign w:val="center"/>
          </w:tcPr>
          <w:p w14:paraId="66C81DEA"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DCANP1</w:t>
            </w:r>
          </w:p>
        </w:tc>
        <w:tc>
          <w:tcPr>
            <w:tcW w:w="0" w:type="dxa"/>
            <w:shd w:val="clear" w:color="auto" w:fill="auto"/>
            <w:vAlign w:val="center"/>
          </w:tcPr>
          <w:p w14:paraId="263093E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-5.69</w:t>
            </w:r>
          </w:p>
        </w:tc>
        <w:tc>
          <w:tcPr>
            <w:tcW w:w="0" w:type="dxa"/>
            <w:shd w:val="clear" w:color="auto" w:fill="auto"/>
            <w:vAlign w:val="center"/>
          </w:tcPr>
          <w:p w14:paraId="30A76627"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1.10E-05</w:t>
            </w:r>
          </w:p>
        </w:tc>
      </w:tr>
      <w:tr w:rsidR="00511D9B" w:rsidRPr="000817CB" w14:paraId="2B0E07B2" w14:textId="77777777" w:rsidTr="00511D9B">
        <w:trPr>
          <w:jc w:val="center"/>
        </w:trPr>
        <w:tc>
          <w:tcPr>
            <w:tcW w:w="0" w:type="dxa"/>
            <w:shd w:val="clear" w:color="auto" w:fill="auto"/>
            <w:vAlign w:val="center"/>
          </w:tcPr>
          <w:p w14:paraId="1B121DA0"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ATP6V0D2</w:t>
            </w:r>
          </w:p>
        </w:tc>
        <w:tc>
          <w:tcPr>
            <w:tcW w:w="0" w:type="dxa"/>
            <w:shd w:val="clear" w:color="auto" w:fill="auto"/>
            <w:vAlign w:val="center"/>
          </w:tcPr>
          <w:p w14:paraId="210743C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-4.98</w:t>
            </w:r>
          </w:p>
        </w:tc>
        <w:tc>
          <w:tcPr>
            <w:tcW w:w="0" w:type="dxa"/>
            <w:shd w:val="clear" w:color="auto" w:fill="auto"/>
            <w:vAlign w:val="center"/>
          </w:tcPr>
          <w:p w14:paraId="2EC06CD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6.54E-07</w:t>
            </w:r>
          </w:p>
        </w:tc>
        <w:tc>
          <w:tcPr>
            <w:tcW w:w="0" w:type="dxa"/>
            <w:shd w:val="clear" w:color="auto" w:fill="auto"/>
            <w:vAlign w:val="center"/>
          </w:tcPr>
          <w:p w14:paraId="271CEA8C"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STAB1</w:t>
            </w:r>
          </w:p>
        </w:tc>
        <w:tc>
          <w:tcPr>
            <w:tcW w:w="0" w:type="dxa"/>
            <w:shd w:val="clear" w:color="auto" w:fill="auto"/>
            <w:vAlign w:val="center"/>
          </w:tcPr>
          <w:p w14:paraId="1B5EC04C"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-5.80</w:t>
            </w:r>
          </w:p>
        </w:tc>
        <w:tc>
          <w:tcPr>
            <w:tcW w:w="0" w:type="dxa"/>
            <w:shd w:val="clear" w:color="auto" w:fill="auto"/>
            <w:vAlign w:val="center"/>
          </w:tcPr>
          <w:p w14:paraId="1D03E95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4.66E-21</w:t>
            </w:r>
          </w:p>
        </w:tc>
        <w:tc>
          <w:tcPr>
            <w:tcW w:w="0" w:type="dxa"/>
            <w:shd w:val="clear" w:color="auto" w:fill="auto"/>
            <w:vAlign w:val="center"/>
          </w:tcPr>
          <w:p w14:paraId="3A1C991C"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MSR1</w:t>
            </w:r>
          </w:p>
        </w:tc>
        <w:tc>
          <w:tcPr>
            <w:tcW w:w="0" w:type="dxa"/>
            <w:shd w:val="clear" w:color="auto" w:fill="auto"/>
            <w:vAlign w:val="center"/>
          </w:tcPr>
          <w:p w14:paraId="762A9877"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-5.66</w:t>
            </w:r>
          </w:p>
        </w:tc>
        <w:tc>
          <w:tcPr>
            <w:tcW w:w="0" w:type="dxa"/>
            <w:shd w:val="clear" w:color="auto" w:fill="auto"/>
            <w:vAlign w:val="center"/>
          </w:tcPr>
          <w:p w14:paraId="5B28108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0.0001</w:t>
            </w:r>
          </w:p>
        </w:tc>
      </w:tr>
      <w:tr w:rsidR="00511D9B" w:rsidRPr="000817CB" w14:paraId="15175768" w14:textId="77777777" w:rsidTr="00511D9B">
        <w:trPr>
          <w:jc w:val="center"/>
        </w:trPr>
        <w:tc>
          <w:tcPr>
            <w:tcW w:w="0" w:type="dxa"/>
            <w:shd w:val="clear" w:color="auto" w:fill="auto"/>
            <w:vAlign w:val="center"/>
          </w:tcPr>
          <w:p w14:paraId="544A018B"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CNTNAP2</w:t>
            </w:r>
          </w:p>
        </w:tc>
        <w:tc>
          <w:tcPr>
            <w:tcW w:w="0" w:type="dxa"/>
            <w:shd w:val="clear" w:color="auto" w:fill="auto"/>
            <w:vAlign w:val="center"/>
          </w:tcPr>
          <w:p w14:paraId="362A0F1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-4.91</w:t>
            </w:r>
          </w:p>
        </w:tc>
        <w:tc>
          <w:tcPr>
            <w:tcW w:w="0" w:type="dxa"/>
            <w:shd w:val="clear" w:color="auto" w:fill="auto"/>
            <w:vAlign w:val="center"/>
          </w:tcPr>
          <w:p w14:paraId="06916D7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2.72E-15</w:t>
            </w:r>
          </w:p>
        </w:tc>
        <w:tc>
          <w:tcPr>
            <w:tcW w:w="0" w:type="dxa"/>
            <w:shd w:val="clear" w:color="auto" w:fill="auto"/>
            <w:vAlign w:val="center"/>
          </w:tcPr>
          <w:p w14:paraId="14209FEF"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HNMT</w:t>
            </w:r>
          </w:p>
        </w:tc>
        <w:tc>
          <w:tcPr>
            <w:tcW w:w="0" w:type="dxa"/>
            <w:shd w:val="clear" w:color="auto" w:fill="auto"/>
            <w:vAlign w:val="center"/>
          </w:tcPr>
          <w:p w14:paraId="42A44E6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-5.76</w:t>
            </w:r>
          </w:p>
        </w:tc>
        <w:tc>
          <w:tcPr>
            <w:tcW w:w="0" w:type="dxa"/>
            <w:shd w:val="clear" w:color="auto" w:fill="auto"/>
            <w:vAlign w:val="center"/>
          </w:tcPr>
          <w:p w14:paraId="34613A5C"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4.85E-08</w:t>
            </w:r>
          </w:p>
        </w:tc>
        <w:tc>
          <w:tcPr>
            <w:tcW w:w="0" w:type="dxa"/>
            <w:shd w:val="clear" w:color="auto" w:fill="auto"/>
            <w:vAlign w:val="center"/>
          </w:tcPr>
          <w:p w14:paraId="1108ACF2"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CLEC10A</w:t>
            </w:r>
          </w:p>
        </w:tc>
        <w:tc>
          <w:tcPr>
            <w:tcW w:w="0" w:type="dxa"/>
            <w:shd w:val="clear" w:color="auto" w:fill="auto"/>
            <w:vAlign w:val="center"/>
          </w:tcPr>
          <w:p w14:paraId="14DF8B5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-5.62</w:t>
            </w:r>
          </w:p>
        </w:tc>
        <w:tc>
          <w:tcPr>
            <w:tcW w:w="0" w:type="dxa"/>
            <w:shd w:val="clear" w:color="auto" w:fill="auto"/>
            <w:vAlign w:val="center"/>
          </w:tcPr>
          <w:p w14:paraId="5EF26B9D"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6.39E-10</w:t>
            </w:r>
          </w:p>
        </w:tc>
      </w:tr>
      <w:tr w:rsidR="00511D9B" w:rsidRPr="000817CB" w14:paraId="36C949A4" w14:textId="77777777" w:rsidTr="00511D9B">
        <w:trPr>
          <w:jc w:val="center"/>
        </w:trPr>
        <w:tc>
          <w:tcPr>
            <w:tcW w:w="0" w:type="dxa"/>
            <w:shd w:val="clear" w:color="auto" w:fill="auto"/>
            <w:vAlign w:val="center"/>
          </w:tcPr>
          <w:p w14:paraId="3B80DD70"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CLEC9A</w:t>
            </w:r>
          </w:p>
        </w:tc>
        <w:tc>
          <w:tcPr>
            <w:tcW w:w="0" w:type="dxa"/>
            <w:shd w:val="clear" w:color="auto" w:fill="auto"/>
            <w:vAlign w:val="center"/>
          </w:tcPr>
          <w:p w14:paraId="59BBF56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-4.84</w:t>
            </w:r>
          </w:p>
        </w:tc>
        <w:tc>
          <w:tcPr>
            <w:tcW w:w="0" w:type="dxa"/>
            <w:shd w:val="clear" w:color="auto" w:fill="auto"/>
            <w:vAlign w:val="center"/>
          </w:tcPr>
          <w:p w14:paraId="1AC2DAA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5.86E-07</w:t>
            </w:r>
          </w:p>
        </w:tc>
        <w:tc>
          <w:tcPr>
            <w:tcW w:w="0" w:type="dxa"/>
            <w:shd w:val="clear" w:color="auto" w:fill="auto"/>
            <w:vAlign w:val="center"/>
          </w:tcPr>
          <w:p w14:paraId="404ABE70"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A2M</w:t>
            </w:r>
          </w:p>
        </w:tc>
        <w:tc>
          <w:tcPr>
            <w:tcW w:w="0" w:type="dxa"/>
            <w:shd w:val="clear" w:color="auto" w:fill="auto"/>
            <w:vAlign w:val="center"/>
          </w:tcPr>
          <w:p w14:paraId="0E78A80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-5.74</w:t>
            </w:r>
          </w:p>
        </w:tc>
        <w:tc>
          <w:tcPr>
            <w:tcW w:w="0" w:type="dxa"/>
            <w:shd w:val="clear" w:color="auto" w:fill="auto"/>
            <w:vAlign w:val="center"/>
          </w:tcPr>
          <w:p w14:paraId="45D1F59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5.33E-15</w:t>
            </w:r>
          </w:p>
        </w:tc>
        <w:tc>
          <w:tcPr>
            <w:tcW w:w="0" w:type="dxa"/>
            <w:shd w:val="clear" w:color="auto" w:fill="auto"/>
            <w:vAlign w:val="center"/>
          </w:tcPr>
          <w:p w14:paraId="22C8A4A3"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F13A1</w:t>
            </w:r>
          </w:p>
        </w:tc>
        <w:tc>
          <w:tcPr>
            <w:tcW w:w="0" w:type="dxa"/>
            <w:shd w:val="clear" w:color="auto" w:fill="auto"/>
            <w:vAlign w:val="center"/>
          </w:tcPr>
          <w:p w14:paraId="0660CCD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-5.57</w:t>
            </w:r>
          </w:p>
        </w:tc>
        <w:tc>
          <w:tcPr>
            <w:tcW w:w="0" w:type="dxa"/>
            <w:shd w:val="clear" w:color="auto" w:fill="auto"/>
            <w:vAlign w:val="center"/>
          </w:tcPr>
          <w:p w14:paraId="4A9E525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1.77E-05</w:t>
            </w:r>
          </w:p>
        </w:tc>
      </w:tr>
      <w:tr w:rsidR="00511D9B" w:rsidRPr="000817CB" w14:paraId="47839F6B" w14:textId="77777777" w:rsidTr="00511D9B">
        <w:trPr>
          <w:jc w:val="center"/>
        </w:trPr>
        <w:tc>
          <w:tcPr>
            <w:tcW w:w="0" w:type="dxa"/>
            <w:shd w:val="clear" w:color="auto" w:fill="auto"/>
            <w:vAlign w:val="center"/>
          </w:tcPr>
          <w:p w14:paraId="631AEC59"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F13A1</w:t>
            </w:r>
          </w:p>
        </w:tc>
        <w:tc>
          <w:tcPr>
            <w:tcW w:w="0" w:type="dxa"/>
            <w:shd w:val="clear" w:color="auto" w:fill="auto"/>
            <w:vAlign w:val="center"/>
          </w:tcPr>
          <w:p w14:paraId="1AE9EF0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-4.79</w:t>
            </w:r>
          </w:p>
        </w:tc>
        <w:tc>
          <w:tcPr>
            <w:tcW w:w="0" w:type="dxa"/>
            <w:shd w:val="clear" w:color="auto" w:fill="auto"/>
            <w:vAlign w:val="center"/>
          </w:tcPr>
          <w:p w14:paraId="1B8360B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2.04E-09</w:t>
            </w:r>
          </w:p>
        </w:tc>
        <w:tc>
          <w:tcPr>
            <w:tcW w:w="0" w:type="dxa"/>
            <w:shd w:val="clear" w:color="auto" w:fill="auto"/>
            <w:vAlign w:val="center"/>
          </w:tcPr>
          <w:p w14:paraId="1A232F45"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CLEC10A</w:t>
            </w:r>
          </w:p>
        </w:tc>
        <w:tc>
          <w:tcPr>
            <w:tcW w:w="0" w:type="dxa"/>
            <w:shd w:val="clear" w:color="auto" w:fill="auto"/>
            <w:vAlign w:val="center"/>
          </w:tcPr>
          <w:p w14:paraId="52D9202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-5.66</w:t>
            </w:r>
          </w:p>
        </w:tc>
        <w:tc>
          <w:tcPr>
            <w:tcW w:w="0" w:type="dxa"/>
            <w:shd w:val="clear" w:color="auto" w:fill="auto"/>
            <w:vAlign w:val="center"/>
          </w:tcPr>
          <w:p w14:paraId="6EB3CAA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5.39E-10</w:t>
            </w:r>
          </w:p>
        </w:tc>
        <w:tc>
          <w:tcPr>
            <w:tcW w:w="0" w:type="dxa"/>
            <w:shd w:val="clear" w:color="auto" w:fill="auto"/>
            <w:vAlign w:val="center"/>
          </w:tcPr>
          <w:p w14:paraId="0271D830"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DNASE1L3</w:t>
            </w:r>
          </w:p>
        </w:tc>
        <w:tc>
          <w:tcPr>
            <w:tcW w:w="0" w:type="dxa"/>
            <w:shd w:val="clear" w:color="auto" w:fill="auto"/>
            <w:vAlign w:val="center"/>
          </w:tcPr>
          <w:p w14:paraId="647F5E69"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-5.55</w:t>
            </w:r>
          </w:p>
        </w:tc>
        <w:tc>
          <w:tcPr>
            <w:tcW w:w="0" w:type="dxa"/>
            <w:shd w:val="clear" w:color="auto" w:fill="auto"/>
            <w:vAlign w:val="center"/>
          </w:tcPr>
          <w:p w14:paraId="0555CC19"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1.88E-06</w:t>
            </w:r>
          </w:p>
        </w:tc>
      </w:tr>
      <w:tr w:rsidR="00511D9B" w:rsidRPr="000817CB" w14:paraId="63F3BADE" w14:textId="77777777" w:rsidTr="00511D9B">
        <w:trPr>
          <w:jc w:val="center"/>
        </w:trPr>
        <w:tc>
          <w:tcPr>
            <w:tcW w:w="0" w:type="dxa"/>
            <w:shd w:val="clear" w:color="auto" w:fill="auto"/>
            <w:vAlign w:val="center"/>
          </w:tcPr>
          <w:p w14:paraId="1F879886"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APOE</w:t>
            </w:r>
          </w:p>
        </w:tc>
        <w:tc>
          <w:tcPr>
            <w:tcW w:w="0" w:type="dxa"/>
            <w:shd w:val="clear" w:color="auto" w:fill="auto"/>
            <w:vAlign w:val="center"/>
          </w:tcPr>
          <w:p w14:paraId="2FF31F8D"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-4.72</w:t>
            </w:r>
          </w:p>
        </w:tc>
        <w:tc>
          <w:tcPr>
            <w:tcW w:w="0" w:type="dxa"/>
            <w:shd w:val="clear" w:color="auto" w:fill="auto"/>
            <w:vAlign w:val="center"/>
          </w:tcPr>
          <w:p w14:paraId="1D0E3A05"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1.20E-16</w:t>
            </w:r>
          </w:p>
        </w:tc>
        <w:tc>
          <w:tcPr>
            <w:tcW w:w="0" w:type="dxa"/>
            <w:shd w:val="clear" w:color="auto" w:fill="auto"/>
            <w:vAlign w:val="center"/>
          </w:tcPr>
          <w:p w14:paraId="45D48478"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DCANP1</w:t>
            </w:r>
          </w:p>
        </w:tc>
        <w:tc>
          <w:tcPr>
            <w:tcW w:w="0" w:type="dxa"/>
            <w:shd w:val="clear" w:color="auto" w:fill="auto"/>
            <w:vAlign w:val="center"/>
          </w:tcPr>
          <w:p w14:paraId="04EAC15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-5.56</w:t>
            </w:r>
          </w:p>
        </w:tc>
        <w:tc>
          <w:tcPr>
            <w:tcW w:w="0" w:type="dxa"/>
            <w:shd w:val="clear" w:color="auto" w:fill="auto"/>
            <w:vAlign w:val="center"/>
          </w:tcPr>
          <w:p w14:paraId="3D0806F7"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4.06E-06</w:t>
            </w:r>
          </w:p>
        </w:tc>
        <w:tc>
          <w:tcPr>
            <w:tcW w:w="0" w:type="dxa"/>
            <w:shd w:val="clear" w:color="auto" w:fill="auto"/>
            <w:vAlign w:val="center"/>
          </w:tcPr>
          <w:p w14:paraId="77FFFBD5"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THBD</w:t>
            </w:r>
          </w:p>
        </w:tc>
        <w:tc>
          <w:tcPr>
            <w:tcW w:w="0" w:type="dxa"/>
            <w:shd w:val="clear" w:color="auto" w:fill="auto"/>
            <w:vAlign w:val="center"/>
          </w:tcPr>
          <w:p w14:paraId="326D0CDF"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-5.53</w:t>
            </w:r>
          </w:p>
        </w:tc>
        <w:tc>
          <w:tcPr>
            <w:tcW w:w="0" w:type="dxa"/>
            <w:shd w:val="clear" w:color="auto" w:fill="auto"/>
            <w:vAlign w:val="center"/>
          </w:tcPr>
          <w:p w14:paraId="1C938F78"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0.001</w:t>
            </w:r>
          </w:p>
        </w:tc>
      </w:tr>
      <w:tr w:rsidR="00511D9B" w:rsidRPr="000817CB" w14:paraId="667BEF40" w14:textId="77777777" w:rsidTr="00511D9B">
        <w:trPr>
          <w:jc w:val="center"/>
        </w:trPr>
        <w:tc>
          <w:tcPr>
            <w:tcW w:w="0" w:type="dxa"/>
            <w:shd w:val="clear" w:color="auto" w:fill="auto"/>
            <w:vAlign w:val="center"/>
          </w:tcPr>
          <w:p w14:paraId="1854D368"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HS3ST2</w:t>
            </w:r>
          </w:p>
        </w:tc>
        <w:tc>
          <w:tcPr>
            <w:tcW w:w="0" w:type="dxa"/>
            <w:shd w:val="clear" w:color="auto" w:fill="auto"/>
            <w:vAlign w:val="center"/>
          </w:tcPr>
          <w:p w14:paraId="093F00D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-4.72</w:t>
            </w:r>
          </w:p>
        </w:tc>
        <w:tc>
          <w:tcPr>
            <w:tcW w:w="0" w:type="dxa"/>
            <w:shd w:val="clear" w:color="auto" w:fill="auto"/>
            <w:vAlign w:val="center"/>
          </w:tcPr>
          <w:p w14:paraId="510F291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0.0002</w:t>
            </w:r>
          </w:p>
        </w:tc>
        <w:tc>
          <w:tcPr>
            <w:tcW w:w="0" w:type="dxa"/>
            <w:shd w:val="clear" w:color="auto" w:fill="auto"/>
            <w:vAlign w:val="center"/>
          </w:tcPr>
          <w:p w14:paraId="4DA75488"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LILRB5</w:t>
            </w:r>
          </w:p>
        </w:tc>
        <w:tc>
          <w:tcPr>
            <w:tcW w:w="0" w:type="dxa"/>
            <w:shd w:val="clear" w:color="auto" w:fill="auto"/>
            <w:vAlign w:val="center"/>
          </w:tcPr>
          <w:p w14:paraId="2762B9B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-5.37</w:t>
            </w:r>
          </w:p>
        </w:tc>
        <w:tc>
          <w:tcPr>
            <w:tcW w:w="0" w:type="dxa"/>
            <w:shd w:val="clear" w:color="auto" w:fill="auto"/>
            <w:vAlign w:val="center"/>
          </w:tcPr>
          <w:p w14:paraId="117AEF2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1.51E-07</w:t>
            </w:r>
          </w:p>
        </w:tc>
        <w:tc>
          <w:tcPr>
            <w:tcW w:w="0" w:type="dxa"/>
            <w:shd w:val="clear" w:color="auto" w:fill="auto"/>
            <w:vAlign w:val="center"/>
          </w:tcPr>
          <w:p w14:paraId="34349C6E"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FABP4</w:t>
            </w:r>
          </w:p>
        </w:tc>
        <w:tc>
          <w:tcPr>
            <w:tcW w:w="0" w:type="dxa"/>
            <w:shd w:val="clear" w:color="auto" w:fill="auto"/>
            <w:vAlign w:val="center"/>
          </w:tcPr>
          <w:p w14:paraId="616200D3"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-5.42</w:t>
            </w:r>
          </w:p>
        </w:tc>
        <w:tc>
          <w:tcPr>
            <w:tcW w:w="0" w:type="dxa"/>
            <w:shd w:val="clear" w:color="auto" w:fill="auto"/>
            <w:vAlign w:val="center"/>
          </w:tcPr>
          <w:p w14:paraId="07C688D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0.002</w:t>
            </w:r>
          </w:p>
        </w:tc>
      </w:tr>
      <w:tr w:rsidR="00511D9B" w:rsidRPr="000817CB" w14:paraId="2215F50F" w14:textId="77777777" w:rsidTr="00511D9B">
        <w:trPr>
          <w:jc w:val="center"/>
        </w:trPr>
        <w:tc>
          <w:tcPr>
            <w:tcW w:w="0" w:type="dxa"/>
            <w:shd w:val="clear" w:color="auto" w:fill="auto"/>
            <w:vAlign w:val="center"/>
          </w:tcPr>
          <w:p w14:paraId="3B9659F8"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CD1D</w:t>
            </w:r>
          </w:p>
        </w:tc>
        <w:tc>
          <w:tcPr>
            <w:tcW w:w="0" w:type="dxa"/>
            <w:shd w:val="clear" w:color="auto" w:fill="auto"/>
            <w:vAlign w:val="center"/>
          </w:tcPr>
          <w:p w14:paraId="12065244"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-4.54</w:t>
            </w:r>
          </w:p>
        </w:tc>
        <w:tc>
          <w:tcPr>
            <w:tcW w:w="0" w:type="dxa"/>
            <w:shd w:val="clear" w:color="auto" w:fill="auto"/>
            <w:vAlign w:val="center"/>
          </w:tcPr>
          <w:p w14:paraId="178EC60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2.05E-05</w:t>
            </w:r>
          </w:p>
        </w:tc>
        <w:tc>
          <w:tcPr>
            <w:tcW w:w="0" w:type="dxa"/>
            <w:shd w:val="clear" w:color="auto" w:fill="auto"/>
            <w:vAlign w:val="center"/>
          </w:tcPr>
          <w:p w14:paraId="5B4F0341"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PDK4</w:t>
            </w:r>
          </w:p>
        </w:tc>
        <w:tc>
          <w:tcPr>
            <w:tcW w:w="0" w:type="dxa"/>
            <w:shd w:val="clear" w:color="auto" w:fill="auto"/>
            <w:vAlign w:val="center"/>
          </w:tcPr>
          <w:p w14:paraId="013CCE3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-5.28</w:t>
            </w:r>
          </w:p>
        </w:tc>
        <w:tc>
          <w:tcPr>
            <w:tcW w:w="0" w:type="dxa"/>
            <w:shd w:val="clear" w:color="auto" w:fill="auto"/>
            <w:vAlign w:val="center"/>
          </w:tcPr>
          <w:p w14:paraId="14C032FB"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7.81E-11</w:t>
            </w:r>
          </w:p>
        </w:tc>
        <w:tc>
          <w:tcPr>
            <w:tcW w:w="0" w:type="dxa"/>
            <w:shd w:val="clear" w:color="auto" w:fill="auto"/>
            <w:vAlign w:val="center"/>
          </w:tcPr>
          <w:p w14:paraId="2C708B99"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LOC387810</w:t>
            </w:r>
          </w:p>
        </w:tc>
        <w:tc>
          <w:tcPr>
            <w:tcW w:w="0" w:type="dxa"/>
            <w:shd w:val="clear" w:color="auto" w:fill="auto"/>
            <w:vAlign w:val="center"/>
          </w:tcPr>
          <w:p w14:paraId="74A82556"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-5.41</w:t>
            </w:r>
          </w:p>
        </w:tc>
        <w:tc>
          <w:tcPr>
            <w:tcW w:w="0" w:type="dxa"/>
            <w:shd w:val="clear" w:color="auto" w:fill="auto"/>
            <w:vAlign w:val="center"/>
          </w:tcPr>
          <w:p w14:paraId="71AD5800"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0.0001</w:t>
            </w:r>
          </w:p>
        </w:tc>
      </w:tr>
      <w:tr w:rsidR="00511D9B" w:rsidRPr="000817CB" w14:paraId="6DA36689" w14:textId="77777777" w:rsidTr="00511D9B">
        <w:trPr>
          <w:jc w:val="center"/>
        </w:trPr>
        <w:tc>
          <w:tcPr>
            <w:tcW w:w="0" w:type="dxa"/>
            <w:tcBorders>
              <w:bottom w:val="single" w:sz="8" w:space="0" w:color="auto"/>
            </w:tcBorders>
            <w:shd w:val="clear" w:color="auto" w:fill="auto"/>
            <w:vAlign w:val="center"/>
          </w:tcPr>
          <w:p w14:paraId="3F66FA12"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NLRC4</w:t>
            </w:r>
          </w:p>
        </w:tc>
        <w:tc>
          <w:tcPr>
            <w:tcW w:w="0" w:type="dxa"/>
            <w:tcBorders>
              <w:bottom w:val="single" w:sz="8" w:space="0" w:color="auto"/>
            </w:tcBorders>
            <w:shd w:val="clear" w:color="auto" w:fill="auto"/>
            <w:vAlign w:val="center"/>
          </w:tcPr>
          <w:p w14:paraId="6C94522A"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-4.44</w:t>
            </w:r>
          </w:p>
        </w:tc>
        <w:tc>
          <w:tcPr>
            <w:tcW w:w="0" w:type="dxa"/>
            <w:tcBorders>
              <w:bottom w:val="single" w:sz="8" w:space="0" w:color="auto"/>
            </w:tcBorders>
            <w:shd w:val="clear" w:color="auto" w:fill="auto"/>
            <w:vAlign w:val="center"/>
          </w:tcPr>
          <w:p w14:paraId="1120F5FE"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1.59E-05</w:t>
            </w:r>
          </w:p>
        </w:tc>
        <w:tc>
          <w:tcPr>
            <w:tcW w:w="0" w:type="dxa"/>
            <w:tcBorders>
              <w:bottom w:val="single" w:sz="8" w:space="0" w:color="auto"/>
            </w:tcBorders>
            <w:shd w:val="clear" w:color="auto" w:fill="auto"/>
            <w:vAlign w:val="center"/>
          </w:tcPr>
          <w:p w14:paraId="3889D7EE"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color w:val="000000"/>
                <w:sz w:val="20"/>
              </w:rPr>
              <w:t>CLEC7A</w:t>
            </w:r>
          </w:p>
        </w:tc>
        <w:tc>
          <w:tcPr>
            <w:tcW w:w="0" w:type="dxa"/>
            <w:tcBorders>
              <w:bottom w:val="single" w:sz="8" w:space="0" w:color="auto"/>
            </w:tcBorders>
            <w:shd w:val="clear" w:color="auto" w:fill="auto"/>
            <w:vAlign w:val="center"/>
          </w:tcPr>
          <w:p w14:paraId="1B2DAA51"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-5.24</w:t>
            </w:r>
          </w:p>
        </w:tc>
        <w:tc>
          <w:tcPr>
            <w:tcW w:w="0" w:type="dxa"/>
            <w:tcBorders>
              <w:bottom w:val="single" w:sz="8" w:space="0" w:color="auto"/>
            </w:tcBorders>
            <w:shd w:val="clear" w:color="auto" w:fill="auto"/>
            <w:vAlign w:val="center"/>
          </w:tcPr>
          <w:p w14:paraId="41EBABA2"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5.99E-12</w:t>
            </w:r>
          </w:p>
        </w:tc>
        <w:tc>
          <w:tcPr>
            <w:tcW w:w="0" w:type="dxa"/>
            <w:tcBorders>
              <w:bottom w:val="single" w:sz="8" w:space="0" w:color="auto"/>
            </w:tcBorders>
            <w:shd w:val="clear" w:color="auto" w:fill="auto"/>
            <w:vAlign w:val="center"/>
          </w:tcPr>
          <w:p w14:paraId="09244743" w14:textId="77777777" w:rsidR="00511D9B" w:rsidRPr="000817CB" w:rsidRDefault="00511D9B" w:rsidP="00511D9B">
            <w:pPr>
              <w:autoSpaceDE w:val="0"/>
              <w:autoSpaceDN w:val="0"/>
              <w:adjustRightInd w:val="0"/>
              <w:snapToGrid w:val="0"/>
              <w:jc w:val="center"/>
              <w:rPr>
                <w:rFonts w:ascii="Times New Roman" w:hAnsi="Times New Roman" w:cs="Times New Roman"/>
                <w:i/>
                <w:color w:val="000000"/>
                <w:sz w:val="20"/>
              </w:rPr>
            </w:pPr>
            <w:r w:rsidRPr="000817CB">
              <w:rPr>
                <w:rFonts w:ascii="Times New Roman" w:hAnsi="Times New Roman" w:cs="Times New Roman"/>
                <w:i/>
                <w:sz w:val="20"/>
              </w:rPr>
              <w:t>UMODL1-AS1</w:t>
            </w:r>
          </w:p>
        </w:tc>
        <w:tc>
          <w:tcPr>
            <w:tcW w:w="0" w:type="dxa"/>
            <w:tcBorders>
              <w:bottom w:val="single" w:sz="8" w:space="0" w:color="auto"/>
            </w:tcBorders>
            <w:shd w:val="clear" w:color="auto" w:fill="auto"/>
            <w:vAlign w:val="center"/>
          </w:tcPr>
          <w:p w14:paraId="4FCE8DE9"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sz w:val="20"/>
              </w:rPr>
              <w:t>-5.32</w:t>
            </w:r>
          </w:p>
        </w:tc>
        <w:tc>
          <w:tcPr>
            <w:tcW w:w="0" w:type="dxa"/>
            <w:tcBorders>
              <w:bottom w:val="single" w:sz="8" w:space="0" w:color="auto"/>
            </w:tcBorders>
            <w:shd w:val="clear" w:color="auto" w:fill="auto"/>
            <w:vAlign w:val="center"/>
          </w:tcPr>
          <w:p w14:paraId="422702CE" w14:textId="77777777" w:rsidR="00511D9B" w:rsidRPr="000817CB" w:rsidRDefault="00511D9B" w:rsidP="00511D9B">
            <w:pPr>
              <w:autoSpaceDE w:val="0"/>
              <w:autoSpaceDN w:val="0"/>
              <w:adjustRightInd w:val="0"/>
              <w:snapToGrid w:val="0"/>
              <w:jc w:val="center"/>
              <w:rPr>
                <w:rFonts w:ascii="Times New Roman" w:hAnsi="Times New Roman" w:cs="Times New Roman"/>
                <w:color w:val="000000"/>
                <w:sz w:val="20"/>
              </w:rPr>
            </w:pPr>
            <w:r w:rsidRPr="000817CB">
              <w:rPr>
                <w:rFonts w:ascii="Times New Roman" w:hAnsi="Times New Roman" w:cs="Times New Roman"/>
                <w:color w:val="000000"/>
                <w:sz w:val="20"/>
              </w:rPr>
              <w:t>3.56E-05</w:t>
            </w:r>
          </w:p>
        </w:tc>
      </w:tr>
    </w:tbl>
    <w:p w14:paraId="30A17D79" w14:textId="77777777" w:rsidR="00F709B0" w:rsidRPr="000817CB" w:rsidRDefault="00FF4921" w:rsidP="00FF4921">
      <w:pPr>
        <w:pStyle w:val="MDPI22heading2"/>
        <w:spacing w:before="240"/>
      </w:pPr>
      <w:r w:rsidRPr="000817CB">
        <w:t xml:space="preserve">3.6. </w:t>
      </w:r>
      <w:r w:rsidR="00F709B0" w:rsidRPr="000817CB">
        <w:t>Effect of dietary supplementation on differentially expressed pathways in activated CD3</w:t>
      </w:r>
      <w:r w:rsidR="00F709B0" w:rsidRPr="000817CB">
        <w:rPr>
          <w:vertAlign w:val="superscript"/>
        </w:rPr>
        <w:t>+</w:t>
      </w:r>
      <w:r w:rsidR="00F709B0" w:rsidRPr="000817CB">
        <w:t xml:space="preserve"> T cells</w:t>
      </w:r>
    </w:p>
    <w:p w14:paraId="3E574D6B" w14:textId="77777777" w:rsidR="00F709B0" w:rsidRPr="000817CB" w:rsidRDefault="00F709B0" w:rsidP="00FF4921">
      <w:pPr>
        <w:pStyle w:val="MDPI31text"/>
      </w:pPr>
      <w:r w:rsidRPr="000817CB">
        <w:tab/>
        <w:t xml:space="preserve">The number of significantly enriched pathways in mitogen-stimulated compared to unstimulated cells (≥ 10 differentially expressed transcripts; ≥ 1.2-fold difference from unstimulated cells , α &lt; 0.05) was greater following </w:t>
      </w:r>
      <w:proofErr w:type="spellStart"/>
      <w:r w:rsidRPr="000817CB">
        <w:t>t</w:t>
      </w:r>
      <w:r w:rsidRPr="000817CB">
        <w:rPr>
          <w:i/>
          <w:iCs/>
        </w:rPr>
        <w:t>CS</w:t>
      </w:r>
      <w:r w:rsidRPr="000817CB">
        <w:t>O</w:t>
      </w:r>
      <w:proofErr w:type="spellEnd"/>
      <w:r w:rsidRPr="000817CB">
        <w:t xml:space="preserve"> supplementation (617 pathways) than after FO supplementation (601 pathways), or at Baseline (517 pathways).  </w:t>
      </w:r>
    </w:p>
    <w:p w14:paraId="3641E022" w14:textId="77777777" w:rsidR="00F709B0" w:rsidRPr="000817CB" w:rsidRDefault="00F709B0" w:rsidP="00FF4921">
      <w:pPr>
        <w:pStyle w:val="MDPI31text"/>
      </w:pPr>
      <w:r w:rsidRPr="000817CB">
        <w:tab/>
        <w:t xml:space="preserve">The 25 most altered pathways were either associated with immune cell function or cell proliferation (Table 5, Fig. 2).  Of these, 14 pathways were differentially expressed in stimulated compared to unstimulated cells at Baseline and after supplementation with either test oil (Table 5), and 3 pathways were differentially expressed at Baseline and after FO supplementation, while 3 different pathways were differentially expressed at Baseline and after </w:t>
      </w:r>
      <w:proofErr w:type="spellStart"/>
      <w:r w:rsidRPr="000817CB">
        <w:t>t</w:t>
      </w:r>
      <w:r w:rsidRPr="000817CB">
        <w:rPr>
          <w:i/>
        </w:rPr>
        <w:t>CS</w:t>
      </w:r>
      <w:r w:rsidRPr="000817CB">
        <w:t>O</w:t>
      </w:r>
      <w:proofErr w:type="spellEnd"/>
      <w:r w:rsidRPr="000817CB">
        <w:t xml:space="preserve"> supplementation.  Three pathways were differentially expressed at Baseline alone, 3 others were differentially expressed only after FO supplementation and 5 </w:t>
      </w:r>
      <w:r w:rsidRPr="000817CB">
        <w:lastRenderedPageBreak/>
        <w:t xml:space="preserve">pathways were differentially expressed after </w:t>
      </w:r>
      <w:proofErr w:type="spellStart"/>
      <w:r w:rsidRPr="000817CB">
        <w:t>t</w:t>
      </w:r>
      <w:r w:rsidRPr="000817CB">
        <w:rPr>
          <w:i/>
        </w:rPr>
        <w:t>CS</w:t>
      </w:r>
      <w:r w:rsidRPr="000817CB">
        <w:t>O</w:t>
      </w:r>
      <w:proofErr w:type="spellEnd"/>
      <w:r w:rsidRPr="000817CB">
        <w:t xml:space="preserve">, but not after FO supplementation or at Baseline (Table 5).        </w:t>
      </w:r>
    </w:p>
    <w:p w14:paraId="18403F29" w14:textId="77777777" w:rsidR="00511D9B" w:rsidRPr="000817CB" w:rsidRDefault="00F709B0" w:rsidP="00FF4921">
      <w:pPr>
        <w:pStyle w:val="MDPI31text"/>
      </w:pPr>
      <w:r w:rsidRPr="000817CB">
        <w:tab/>
        <w:t xml:space="preserve">Dietary supplementation with either FO or </w:t>
      </w:r>
      <w:proofErr w:type="spellStart"/>
      <w:r w:rsidRPr="000817CB">
        <w:t>t</w:t>
      </w:r>
      <w:r w:rsidRPr="000817CB">
        <w:rPr>
          <w:i/>
        </w:rPr>
        <w:t>CS</w:t>
      </w:r>
      <w:r w:rsidRPr="000817CB">
        <w:t>O</w:t>
      </w:r>
      <w:proofErr w:type="spellEnd"/>
      <w:r w:rsidRPr="000817CB">
        <w:t xml:space="preserve"> increased the proportions of up-regulated transcripts in 18/25 most altered pathways identified at Baseline (Fig. 2).  The proportion of up-regulated transcripts in the ‘Role of cytokines in mediating communication between immune cells’ pathway was similar irrespective of dietary supplementation (Fig. 2A).  The proportion of up-regulated transcripts in the Breast cancer regulation by stathmin-1 pathway was similar to Baseline after supplementation with </w:t>
      </w:r>
      <w:proofErr w:type="spellStart"/>
      <w:r w:rsidRPr="000817CB">
        <w:t>t</w:t>
      </w:r>
      <w:r w:rsidRPr="000817CB">
        <w:rPr>
          <w:i/>
        </w:rPr>
        <w:t>CS</w:t>
      </w:r>
      <w:r w:rsidRPr="000817CB">
        <w:t>O</w:t>
      </w:r>
      <w:proofErr w:type="spellEnd"/>
      <w:r w:rsidRPr="000817CB">
        <w:t>, but approximately 3-fold greater after FO supplementation (Fig. 2B).</w:t>
      </w:r>
    </w:p>
    <w:p w14:paraId="73C3D452" w14:textId="77777777" w:rsidR="000817CB" w:rsidRPr="000817CB" w:rsidRDefault="000817CB" w:rsidP="000817CB">
      <w:pPr>
        <w:pStyle w:val="MDPI52figure"/>
      </w:pPr>
      <w:r w:rsidRPr="000817CB">
        <w:rPr>
          <w:noProof/>
        </w:rPr>
        <w:drawing>
          <wp:inline distT="0" distB="0" distL="0" distR="0" wp14:anchorId="2C778615" wp14:editId="005FAD66">
            <wp:extent cx="5728335" cy="7219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26 March 2021.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8335" cy="7219950"/>
                    </a:xfrm>
                    <a:prstGeom prst="rect">
                      <a:avLst/>
                    </a:prstGeom>
                  </pic:spPr>
                </pic:pic>
              </a:graphicData>
            </a:graphic>
          </wp:inline>
        </w:drawing>
      </w:r>
    </w:p>
    <w:p w14:paraId="3AB5321E" w14:textId="77777777" w:rsidR="000817CB" w:rsidRPr="000817CB" w:rsidRDefault="000817CB" w:rsidP="000817CB">
      <w:pPr>
        <w:pStyle w:val="MDPI51figurecaption"/>
      </w:pPr>
      <w:r w:rsidRPr="000817CB">
        <w:rPr>
          <w:b/>
        </w:rPr>
        <w:lastRenderedPageBreak/>
        <w:t xml:space="preserve">Figure 3. </w:t>
      </w:r>
      <w:r w:rsidRPr="000817CB">
        <w:rPr>
          <w:bCs/>
        </w:rPr>
        <w:t xml:space="preserve">The proportions of up-regulated transcripts in the twenty most altered pathways at Baseline.  </w:t>
      </w:r>
      <w:r w:rsidRPr="000817CB">
        <w:t xml:space="preserve">Values are proportions (%) of  up-regulated transcripts in stimulated compared to unstimulated cells at Baseline and after supplementation with either  FO or </w:t>
      </w:r>
      <w:proofErr w:type="spellStart"/>
      <w:r w:rsidRPr="000817CB">
        <w:t>t</w:t>
      </w:r>
      <w:r w:rsidRPr="000817CB">
        <w:rPr>
          <w:i/>
        </w:rPr>
        <w:t>CS</w:t>
      </w:r>
      <w:r w:rsidRPr="000817CB">
        <w:t>O</w:t>
      </w:r>
      <w:proofErr w:type="spellEnd"/>
      <w:r w:rsidRPr="000817CB">
        <w:t xml:space="preserve"> in the twenty most altered pathways at Baseline grouped according to their putative roles (</w:t>
      </w:r>
      <w:r w:rsidRPr="000817CB">
        <w:rPr>
          <w:b/>
          <w:bCs/>
        </w:rPr>
        <w:t>A)</w:t>
      </w:r>
      <w:r w:rsidRPr="000817CB">
        <w:t xml:space="preserve"> immune response and (</w:t>
      </w:r>
      <w:r w:rsidRPr="000817CB">
        <w:rPr>
          <w:b/>
          <w:bCs/>
        </w:rPr>
        <w:t>B)</w:t>
      </w:r>
      <w:r w:rsidRPr="000817CB">
        <w:t xml:space="preserve"> cell proliferation.  The names of some pathways have been shortened.  The full pathway names are shown in Table 5.</w:t>
      </w:r>
    </w:p>
    <w:p w14:paraId="54508B21" w14:textId="77777777" w:rsidR="00511D9B" w:rsidRPr="000817CB" w:rsidRDefault="00511D9B" w:rsidP="00511D9B">
      <w:pPr>
        <w:pStyle w:val="MDPI41tablecaption"/>
        <w:ind w:left="425" w:right="425"/>
        <w:jc w:val="both"/>
      </w:pPr>
      <w:r w:rsidRPr="000817CB">
        <w:rPr>
          <w:b/>
          <w:bCs/>
        </w:rPr>
        <w:t xml:space="preserve">Table 6. </w:t>
      </w:r>
      <w:r w:rsidRPr="000817CB">
        <w:t>The effect of dietary supplementation with the test oils on mitogen-induced changes in the expression of the top 25 altered pathways.</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17"/>
        <w:gridCol w:w="2616"/>
        <w:gridCol w:w="2616"/>
        <w:gridCol w:w="2616"/>
      </w:tblGrid>
      <w:tr w:rsidR="00511D9B" w:rsidRPr="000817CB" w14:paraId="121B0F94" w14:textId="77777777" w:rsidTr="00511D9B">
        <w:trPr>
          <w:jc w:val="center"/>
        </w:trPr>
        <w:tc>
          <w:tcPr>
            <w:tcW w:w="0" w:type="dxa"/>
            <w:tcBorders>
              <w:top w:val="single" w:sz="8" w:space="0" w:color="auto"/>
              <w:bottom w:val="single" w:sz="4" w:space="0" w:color="auto"/>
            </w:tcBorders>
            <w:shd w:val="clear" w:color="auto" w:fill="auto"/>
            <w:vAlign w:val="center"/>
          </w:tcPr>
          <w:p w14:paraId="30F64FD9"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Pathway</w:t>
            </w:r>
          </w:p>
        </w:tc>
        <w:tc>
          <w:tcPr>
            <w:tcW w:w="0" w:type="dxa"/>
            <w:tcBorders>
              <w:top w:val="single" w:sz="8" w:space="0" w:color="auto"/>
              <w:bottom w:val="single" w:sz="4" w:space="0" w:color="auto"/>
            </w:tcBorders>
            <w:shd w:val="clear" w:color="auto" w:fill="auto"/>
            <w:vAlign w:val="center"/>
          </w:tcPr>
          <w:p w14:paraId="74621005"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-log(p)</w:t>
            </w:r>
          </w:p>
        </w:tc>
        <w:tc>
          <w:tcPr>
            <w:tcW w:w="0" w:type="dxa"/>
            <w:tcBorders>
              <w:top w:val="single" w:sz="8" w:space="0" w:color="auto"/>
              <w:bottom w:val="single" w:sz="4" w:space="0" w:color="auto"/>
            </w:tcBorders>
            <w:shd w:val="clear" w:color="auto" w:fill="auto"/>
            <w:vAlign w:val="center"/>
          </w:tcPr>
          <w:p w14:paraId="710D8800"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Ratio</w:t>
            </w:r>
          </w:p>
        </w:tc>
        <w:tc>
          <w:tcPr>
            <w:tcW w:w="0" w:type="dxa"/>
            <w:tcBorders>
              <w:top w:val="single" w:sz="8" w:space="0" w:color="auto"/>
              <w:bottom w:val="single" w:sz="4" w:space="0" w:color="auto"/>
            </w:tcBorders>
            <w:shd w:val="clear" w:color="auto" w:fill="auto"/>
            <w:vAlign w:val="center"/>
          </w:tcPr>
          <w:p w14:paraId="2F274F54" w14:textId="77777777" w:rsidR="00511D9B" w:rsidRPr="000817CB" w:rsidRDefault="00511D9B" w:rsidP="00511D9B">
            <w:pPr>
              <w:autoSpaceDE w:val="0"/>
              <w:autoSpaceDN w:val="0"/>
              <w:adjustRightInd w:val="0"/>
              <w:snapToGrid w:val="0"/>
              <w:jc w:val="center"/>
              <w:rPr>
                <w:rFonts w:ascii="Times New Roman" w:hAnsi="Times New Roman" w:cs="Times New Roman"/>
                <w:b/>
                <w:sz w:val="20"/>
              </w:rPr>
            </w:pPr>
            <w:r w:rsidRPr="000817CB">
              <w:rPr>
                <w:rFonts w:ascii="Times New Roman" w:hAnsi="Times New Roman" w:cs="Times New Roman"/>
                <w:b/>
                <w:sz w:val="20"/>
              </w:rPr>
              <w:t>No overlap with dataset (number, %)</w:t>
            </w:r>
          </w:p>
        </w:tc>
      </w:tr>
      <w:tr w:rsidR="00511D9B" w:rsidRPr="000817CB" w14:paraId="05854B31" w14:textId="77777777" w:rsidTr="00511D9B">
        <w:trPr>
          <w:jc w:val="center"/>
        </w:trPr>
        <w:tc>
          <w:tcPr>
            <w:tcW w:w="0" w:type="dxa"/>
            <w:gridSpan w:val="4"/>
            <w:tcBorders>
              <w:top w:val="single" w:sz="4" w:space="0" w:color="auto"/>
            </w:tcBorders>
            <w:shd w:val="clear" w:color="auto" w:fill="auto"/>
            <w:vAlign w:val="center"/>
          </w:tcPr>
          <w:p w14:paraId="33314DE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r>
      <w:tr w:rsidR="00511D9B" w:rsidRPr="000817CB" w14:paraId="1EB7AF94" w14:textId="77777777" w:rsidTr="00511D9B">
        <w:trPr>
          <w:jc w:val="center"/>
        </w:trPr>
        <w:tc>
          <w:tcPr>
            <w:tcW w:w="0" w:type="dxa"/>
            <w:gridSpan w:val="4"/>
            <w:shd w:val="clear" w:color="auto" w:fill="auto"/>
            <w:vAlign w:val="center"/>
          </w:tcPr>
          <w:p w14:paraId="65A24ED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Baseline</w:t>
            </w:r>
          </w:p>
        </w:tc>
      </w:tr>
      <w:tr w:rsidR="00511D9B" w:rsidRPr="000817CB" w14:paraId="73DAC299" w14:textId="77777777" w:rsidTr="00511D9B">
        <w:trPr>
          <w:jc w:val="center"/>
        </w:trPr>
        <w:tc>
          <w:tcPr>
            <w:tcW w:w="0" w:type="dxa"/>
            <w:shd w:val="clear" w:color="auto" w:fill="auto"/>
            <w:vAlign w:val="center"/>
          </w:tcPr>
          <w:p w14:paraId="07D784F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Kinetochore Metaphase Signalling Pathway</w:t>
            </w:r>
          </w:p>
        </w:tc>
        <w:tc>
          <w:tcPr>
            <w:tcW w:w="0" w:type="dxa"/>
            <w:shd w:val="clear" w:color="auto" w:fill="auto"/>
            <w:vAlign w:val="center"/>
          </w:tcPr>
          <w:p w14:paraId="7214435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14.4</w:t>
            </w:r>
          </w:p>
        </w:tc>
        <w:tc>
          <w:tcPr>
            <w:tcW w:w="0" w:type="dxa"/>
            <w:shd w:val="clear" w:color="auto" w:fill="auto"/>
            <w:vAlign w:val="center"/>
          </w:tcPr>
          <w:p w14:paraId="0E68D52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0.43</w:t>
            </w:r>
          </w:p>
        </w:tc>
        <w:tc>
          <w:tcPr>
            <w:tcW w:w="0" w:type="dxa"/>
            <w:shd w:val="clear" w:color="auto" w:fill="auto"/>
            <w:vAlign w:val="center"/>
          </w:tcPr>
          <w:p w14:paraId="66C6CE0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51/101 (50%)</w:t>
            </w:r>
          </w:p>
        </w:tc>
      </w:tr>
      <w:tr w:rsidR="00511D9B" w:rsidRPr="000817CB" w14:paraId="2A4460C9" w14:textId="77777777" w:rsidTr="00511D9B">
        <w:trPr>
          <w:jc w:val="center"/>
        </w:trPr>
        <w:tc>
          <w:tcPr>
            <w:tcW w:w="0" w:type="dxa"/>
            <w:shd w:val="clear" w:color="auto" w:fill="auto"/>
            <w:vAlign w:val="center"/>
          </w:tcPr>
          <w:p w14:paraId="2A68628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Hepatic Fibrosis / Hepatic Stellate Cell Activation</w:t>
            </w:r>
          </w:p>
        </w:tc>
        <w:tc>
          <w:tcPr>
            <w:tcW w:w="0" w:type="dxa"/>
            <w:shd w:val="clear" w:color="auto" w:fill="auto"/>
            <w:vAlign w:val="center"/>
          </w:tcPr>
          <w:p w14:paraId="019924D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11.5</w:t>
            </w:r>
          </w:p>
        </w:tc>
        <w:tc>
          <w:tcPr>
            <w:tcW w:w="0" w:type="dxa"/>
            <w:shd w:val="clear" w:color="auto" w:fill="auto"/>
            <w:vAlign w:val="center"/>
          </w:tcPr>
          <w:p w14:paraId="6B265A3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0.31</w:t>
            </w:r>
          </w:p>
        </w:tc>
        <w:tc>
          <w:tcPr>
            <w:tcW w:w="0" w:type="dxa"/>
            <w:shd w:val="clear" w:color="auto" w:fill="auto"/>
            <w:vAlign w:val="center"/>
          </w:tcPr>
          <w:p w14:paraId="395FC63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115/186 (62%)</w:t>
            </w:r>
          </w:p>
        </w:tc>
      </w:tr>
      <w:tr w:rsidR="00511D9B" w:rsidRPr="000817CB" w14:paraId="0E48D8D7" w14:textId="77777777" w:rsidTr="00511D9B">
        <w:trPr>
          <w:jc w:val="center"/>
        </w:trPr>
        <w:tc>
          <w:tcPr>
            <w:tcW w:w="0" w:type="dxa"/>
            <w:shd w:val="clear" w:color="auto" w:fill="auto"/>
            <w:vAlign w:val="center"/>
          </w:tcPr>
          <w:p w14:paraId="1C41BDF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Cardiac Hypertrophy Signalling (Enhanced)</w:t>
            </w:r>
          </w:p>
        </w:tc>
        <w:tc>
          <w:tcPr>
            <w:tcW w:w="0" w:type="dxa"/>
            <w:shd w:val="clear" w:color="auto" w:fill="auto"/>
            <w:vAlign w:val="center"/>
          </w:tcPr>
          <w:p w14:paraId="2121500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11.1</w:t>
            </w:r>
          </w:p>
        </w:tc>
        <w:tc>
          <w:tcPr>
            <w:tcW w:w="0" w:type="dxa"/>
            <w:shd w:val="clear" w:color="auto" w:fill="auto"/>
            <w:vAlign w:val="center"/>
          </w:tcPr>
          <w:p w14:paraId="1607BED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0.22</w:t>
            </w:r>
          </w:p>
        </w:tc>
        <w:tc>
          <w:tcPr>
            <w:tcW w:w="0" w:type="dxa"/>
            <w:shd w:val="clear" w:color="auto" w:fill="auto"/>
            <w:vAlign w:val="center"/>
          </w:tcPr>
          <w:p w14:paraId="4231DF1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343/497 (69%)</w:t>
            </w:r>
          </w:p>
        </w:tc>
      </w:tr>
      <w:tr w:rsidR="00511D9B" w:rsidRPr="000817CB" w14:paraId="3C40196D" w14:textId="77777777" w:rsidTr="00511D9B">
        <w:trPr>
          <w:jc w:val="center"/>
        </w:trPr>
        <w:tc>
          <w:tcPr>
            <w:tcW w:w="0" w:type="dxa"/>
            <w:shd w:val="clear" w:color="auto" w:fill="auto"/>
            <w:vAlign w:val="center"/>
          </w:tcPr>
          <w:p w14:paraId="1BB3754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Th1 and Th2 Activation Pathway</w:t>
            </w:r>
          </w:p>
        </w:tc>
        <w:tc>
          <w:tcPr>
            <w:tcW w:w="0" w:type="dxa"/>
            <w:shd w:val="clear" w:color="auto" w:fill="auto"/>
            <w:vAlign w:val="center"/>
          </w:tcPr>
          <w:p w14:paraId="4EA67E4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w:t>
            </w:r>
          </w:p>
        </w:tc>
        <w:tc>
          <w:tcPr>
            <w:tcW w:w="0" w:type="dxa"/>
            <w:shd w:val="clear" w:color="auto" w:fill="auto"/>
            <w:vAlign w:val="center"/>
          </w:tcPr>
          <w:p w14:paraId="64475C0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0.31</w:t>
            </w:r>
          </w:p>
        </w:tc>
        <w:tc>
          <w:tcPr>
            <w:tcW w:w="0" w:type="dxa"/>
            <w:shd w:val="clear" w:color="auto" w:fill="auto"/>
            <w:vAlign w:val="center"/>
          </w:tcPr>
          <w:p w14:paraId="20A3855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103/171 (60%)</w:t>
            </w:r>
          </w:p>
        </w:tc>
      </w:tr>
      <w:tr w:rsidR="00511D9B" w:rsidRPr="000817CB" w14:paraId="6E1064EC" w14:textId="77777777" w:rsidTr="00511D9B">
        <w:trPr>
          <w:jc w:val="center"/>
        </w:trPr>
        <w:tc>
          <w:tcPr>
            <w:tcW w:w="0" w:type="dxa"/>
            <w:shd w:val="clear" w:color="auto" w:fill="auto"/>
            <w:vAlign w:val="center"/>
          </w:tcPr>
          <w:p w14:paraId="021C3FD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STAT3 Pathway</w:t>
            </w:r>
          </w:p>
        </w:tc>
        <w:tc>
          <w:tcPr>
            <w:tcW w:w="0" w:type="dxa"/>
            <w:shd w:val="clear" w:color="auto" w:fill="auto"/>
            <w:vAlign w:val="center"/>
          </w:tcPr>
          <w:p w14:paraId="10CAF64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10.6</w:t>
            </w:r>
          </w:p>
        </w:tc>
        <w:tc>
          <w:tcPr>
            <w:tcW w:w="0" w:type="dxa"/>
            <w:shd w:val="clear" w:color="auto" w:fill="auto"/>
            <w:vAlign w:val="center"/>
          </w:tcPr>
          <w:p w14:paraId="5555BD7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0.33</w:t>
            </w:r>
          </w:p>
        </w:tc>
        <w:tc>
          <w:tcPr>
            <w:tcW w:w="0" w:type="dxa"/>
            <w:shd w:val="clear" w:color="auto" w:fill="auto"/>
            <w:vAlign w:val="center"/>
          </w:tcPr>
          <w:p w14:paraId="55530C6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82/135 (61%)</w:t>
            </w:r>
          </w:p>
        </w:tc>
      </w:tr>
      <w:tr w:rsidR="00511D9B" w:rsidRPr="000817CB" w14:paraId="41E0F5DB" w14:textId="77777777" w:rsidTr="00511D9B">
        <w:trPr>
          <w:jc w:val="center"/>
        </w:trPr>
        <w:tc>
          <w:tcPr>
            <w:tcW w:w="0" w:type="dxa"/>
            <w:shd w:val="clear" w:color="auto" w:fill="auto"/>
            <w:vAlign w:val="center"/>
          </w:tcPr>
          <w:p w14:paraId="05FC9BD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HMGB1 Signalling</w:t>
            </w:r>
          </w:p>
        </w:tc>
        <w:tc>
          <w:tcPr>
            <w:tcW w:w="0" w:type="dxa"/>
            <w:shd w:val="clear" w:color="auto" w:fill="auto"/>
            <w:vAlign w:val="center"/>
          </w:tcPr>
          <w:p w14:paraId="46F31C0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10.0</w:t>
            </w:r>
          </w:p>
        </w:tc>
        <w:tc>
          <w:tcPr>
            <w:tcW w:w="0" w:type="dxa"/>
            <w:shd w:val="clear" w:color="auto" w:fill="auto"/>
            <w:vAlign w:val="center"/>
          </w:tcPr>
          <w:p w14:paraId="77866C9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0.30</w:t>
            </w:r>
          </w:p>
        </w:tc>
        <w:tc>
          <w:tcPr>
            <w:tcW w:w="0" w:type="dxa"/>
            <w:shd w:val="clear" w:color="auto" w:fill="auto"/>
            <w:vAlign w:val="center"/>
          </w:tcPr>
          <w:p w14:paraId="7AFFC97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105/165 (64%)</w:t>
            </w:r>
          </w:p>
        </w:tc>
      </w:tr>
      <w:tr w:rsidR="00511D9B" w:rsidRPr="000817CB" w14:paraId="2A3630E5" w14:textId="77777777" w:rsidTr="00511D9B">
        <w:trPr>
          <w:jc w:val="center"/>
        </w:trPr>
        <w:tc>
          <w:tcPr>
            <w:tcW w:w="0" w:type="dxa"/>
            <w:shd w:val="clear" w:color="auto" w:fill="auto"/>
            <w:vAlign w:val="center"/>
          </w:tcPr>
          <w:p w14:paraId="6E44B6B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IL-10 Signalling</w:t>
            </w:r>
          </w:p>
        </w:tc>
        <w:tc>
          <w:tcPr>
            <w:tcW w:w="0" w:type="dxa"/>
            <w:shd w:val="clear" w:color="auto" w:fill="auto"/>
            <w:vAlign w:val="center"/>
          </w:tcPr>
          <w:p w14:paraId="5D2344E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9.6</w:t>
            </w:r>
          </w:p>
        </w:tc>
        <w:tc>
          <w:tcPr>
            <w:tcW w:w="0" w:type="dxa"/>
            <w:shd w:val="clear" w:color="auto" w:fill="auto"/>
            <w:vAlign w:val="center"/>
          </w:tcPr>
          <w:p w14:paraId="2D164BD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0.41</w:t>
            </w:r>
          </w:p>
        </w:tc>
        <w:tc>
          <w:tcPr>
            <w:tcW w:w="0" w:type="dxa"/>
            <w:shd w:val="clear" w:color="auto" w:fill="auto"/>
            <w:vAlign w:val="center"/>
          </w:tcPr>
          <w:p w14:paraId="4B69859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37/70 (53%)</w:t>
            </w:r>
          </w:p>
        </w:tc>
      </w:tr>
      <w:tr w:rsidR="00511D9B" w:rsidRPr="000817CB" w14:paraId="79AA95D8" w14:textId="77777777" w:rsidTr="00511D9B">
        <w:trPr>
          <w:jc w:val="center"/>
        </w:trPr>
        <w:tc>
          <w:tcPr>
            <w:tcW w:w="0" w:type="dxa"/>
            <w:shd w:val="clear" w:color="auto" w:fill="auto"/>
            <w:vAlign w:val="center"/>
          </w:tcPr>
          <w:p w14:paraId="7BFE888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BRCA1 in DNA Damage Response</w:t>
            </w:r>
          </w:p>
        </w:tc>
        <w:tc>
          <w:tcPr>
            <w:tcW w:w="0" w:type="dxa"/>
            <w:shd w:val="clear" w:color="auto" w:fill="auto"/>
            <w:vAlign w:val="center"/>
          </w:tcPr>
          <w:p w14:paraId="6EC8538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9.4</w:t>
            </w:r>
          </w:p>
        </w:tc>
        <w:tc>
          <w:tcPr>
            <w:tcW w:w="0" w:type="dxa"/>
            <w:shd w:val="clear" w:color="auto" w:fill="auto"/>
            <w:vAlign w:val="center"/>
          </w:tcPr>
          <w:p w14:paraId="1639033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0.39</w:t>
            </w:r>
          </w:p>
        </w:tc>
        <w:tc>
          <w:tcPr>
            <w:tcW w:w="0" w:type="dxa"/>
            <w:shd w:val="clear" w:color="auto" w:fill="auto"/>
            <w:vAlign w:val="center"/>
          </w:tcPr>
          <w:p w14:paraId="243E009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46/80 (57%)</w:t>
            </w:r>
          </w:p>
        </w:tc>
      </w:tr>
      <w:tr w:rsidR="00511D9B" w:rsidRPr="000817CB" w14:paraId="4D333B6F" w14:textId="77777777" w:rsidTr="00511D9B">
        <w:trPr>
          <w:jc w:val="center"/>
        </w:trPr>
        <w:tc>
          <w:tcPr>
            <w:tcW w:w="0" w:type="dxa"/>
            <w:shd w:val="clear" w:color="auto" w:fill="auto"/>
            <w:vAlign w:val="center"/>
          </w:tcPr>
          <w:p w14:paraId="2043879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Hepatic Cholestasis</w:t>
            </w:r>
          </w:p>
        </w:tc>
        <w:tc>
          <w:tcPr>
            <w:tcW w:w="0" w:type="dxa"/>
            <w:shd w:val="clear" w:color="auto" w:fill="auto"/>
            <w:vAlign w:val="center"/>
          </w:tcPr>
          <w:p w14:paraId="59B66D8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8.5</w:t>
            </w:r>
          </w:p>
        </w:tc>
        <w:tc>
          <w:tcPr>
            <w:tcW w:w="0" w:type="dxa"/>
            <w:shd w:val="clear" w:color="auto" w:fill="auto"/>
            <w:vAlign w:val="center"/>
          </w:tcPr>
          <w:p w14:paraId="46947F3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0.27</w:t>
            </w:r>
          </w:p>
        </w:tc>
        <w:tc>
          <w:tcPr>
            <w:tcW w:w="0" w:type="dxa"/>
            <w:shd w:val="clear" w:color="auto" w:fill="auto"/>
            <w:vAlign w:val="center"/>
          </w:tcPr>
          <w:p w14:paraId="49E0B95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122/186 (66%)</w:t>
            </w:r>
          </w:p>
        </w:tc>
      </w:tr>
      <w:tr w:rsidR="00511D9B" w:rsidRPr="000817CB" w14:paraId="7DA55BD9" w14:textId="77777777" w:rsidTr="00511D9B">
        <w:trPr>
          <w:jc w:val="center"/>
        </w:trPr>
        <w:tc>
          <w:tcPr>
            <w:tcW w:w="0" w:type="dxa"/>
            <w:shd w:val="clear" w:color="auto" w:fill="auto"/>
            <w:vAlign w:val="center"/>
          </w:tcPr>
          <w:p w14:paraId="417C02B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IL-17 Signalling</w:t>
            </w:r>
          </w:p>
        </w:tc>
        <w:tc>
          <w:tcPr>
            <w:tcW w:w="0" w:type="dxa"/>
            <w:shd w:val="clear" w:color="auto" w:fill="auto"/>
            <w:vAlign w:val="center"/>
          </w:tcPr>
          <w:p w14:paraId="4D80135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8.4</w:t>
            </w:r>
          </w:p>
        </w:tc>
        <w:tc>
          <w:tcPr>
            <w:tcW w:w="0" w:type="dxa"/>
            <w:shd w:val="clear" w:color="auto" w:fill="auto"/>
            <w:vAlign w:val="center"/>
          </w:tcPr>
          <w:p w14:paraId="4572148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0.27</w:t>
            </w:r>
          </w:p>
        </w:tc>
        <w:tc>
          <w:tcPr>
            <w:tcW w:w="0" w:type="dxa"/>
            <w:shd w:val="clear" w:color="auto" w:fill="auto"/>
            <w:vAlign w:val="center"/>
          </w:tcPr>
          <w:p w14:paraId="448A031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123/187 (66%)</w:t>
            </w:r>
          </w:p>
        </w:tc>
      </w:tr>
      <w:tr w:rsidR="00511D9B" w:rsidRPr="000817CB" w14:paraId="0B27E577" w14:textId="77777777" w:rsidTr="00511D9B">
        <w:trPr>
          <w:jc w:val="center"/>
        </w:trPr>
        <w:tc>
          <w:tcPr>
            <w:tcW w:w="0" w:type="dxa"/>
            <w:shd w:val="clear" w:color="auto" w:fill="auto"/>
            <w:vAlign w:val="center"/>
          </w:tcPr>
          <w:p w14:paraId="4BC1938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Airway Pathology in Chronic Obstructive Pulmonary Disease</w:t>
            </w:r>
          </w:p>
        </w:tc>
        <w:tc>
          <w:tcPr>
            <w:tcW w:w="0" w:type="dxa"/>
            <w:shd w:val="clear" w:color="auto" w:fill="auto"/>
            <w:vAlign w:val="center"/>
          </w:tcPr>
          <w:p w14:paraId="5C44CFD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w:t>
            </w:r>
          </w:p>
        </w:tc>
        <w:tc>
          <w:tcPr>
            <w:tcW w:w="0" w:type="dxa"/>
            <w:shd w:val="clear" w:color="auto" w:fill="auto"/>
            <w:vAlign w:val="center"/>
          </w:tcPr>
          <w:p w14:paraId="56E687B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0.31</w:t>
            </w:r>
          </w:p>
        </w:tc>
        <w:tc>
          <w:tcPr>
            <w:tcW w:w="0" w:type="dxa"/>
            <w:shd w:val="clear" w:color="auto" w:fill="auto"/>
            <w:vAlign w:val="center"/>
          </w:tcPr>
          <w:p w14:paraId="64F0F65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66/118 (56%)</w:t>
            </w:r>
          </w:p>
        </w:tc>
      </w:tr>
      <w:tr w:rsidR="00511D9B" w:rsidRPr="000817CB" w14:paraId="04A95DBF" w14:textId="77777777" w:rsidTr="00511D9B">
        <w:trPr>
          <w:jc w:val="center"/>
        </w:trPr>
        <w:tc>
          <w:tcPr>
            <w:tcW w:w="0" w:type="dxa"/>
            <w:shd w:val="clear" w:color="auto" w:fill="auto"/>
            <w:vAlign w:val="center"/>
          </w:tcPr>
          <w:p w14:paraId="149AC8F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GADD45 Signalling</w:t>
            </w:r>
          </w:p>
        </w:tc>
        <w:tc>
          <w:tcPr>
            <w:tcW w:w="0" w:type="dxa"/>
            <w:shd w:val="clear" w:color="auto" w:fill="auto"/>
            <w:vAlign w:val="center"/>
          </w:tcPr>
          <w:p w14:paraId="111D8C0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w:t>
            </w:r>
          </w:p>
        </w:tc>
        <w:tc>
          <w:tcPr>
            <w:tcW w:w="0" w:type="dxa"/>
            <w:shd w:val="clear" w:color="auto" w:fill="auto"/>
            <w:vAlign w:val="center"/>
          </w:tcPr>
          <w:p w14:paraId="35925EA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0.68</w:t>
            </w:r>
          </w:p>
        </w:tc>
        <w:tc>
          <w:tcPr>
            <w:tcW w:w="0" w:type="dxa"/>
            <w:shd w:val="clear" w:color="auto" w:fill="auto"/>
            <w:vAlign w:val="center"/>
          </w:tcPr>
          <w:p w14:paraId="4B472D8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5/19 (26%)</w:t>
            </w:r>
          </w:p>
        </w:tc>
      </w:tr>
      <w:tr w:rsidR="00511D9B" w:rsidRPr="000817CB" w14:paraId="2CE2D4EE" w14:textId="77777777" w:rsidTr="00511D9B">
        <w:trPr>
          <w:jc w:val="center"/>
        </w:trPr>
        <w:tc>
          <w:tcPr>
            <w:tcW w:w="0" w:type="dxa"/>
            <w:shd w:val="clear" w:color="auto" w:fill="auto"/>
            <w:vAlign w:val="center"/>
          </w:tcPr>
          <w:p w14:paraId="707E1E7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Molecular Mechanisms of Cancer</w:t>
            </w:r>
          </w:p>
        </w:tc>
        <w:tc>
          <w:tcPr>
            <w:tcW w:w="0" w:type="dxa"/>
            <w:shd w:val="clear" w:color="auto" w:fill="auto"/>
            <w:vAlign w:val="center"/>
          </w:tcPr>
          <w:p w14:paraId="31645A6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7.9</w:t>
            </w:r>
          </w:p>
        </w:tc>
        <w:tc>
          <w:tcPr>
            <w:tcW w:w="0" w:type="dxa"/>
            <w:shd w:val="clear" w:color="auto" w:fill="auto"/>
            <w:vAlign w:val="center"/>
          </w:tcPr>
          <w:p w14:paraId="71EE10A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0.22</w:t>
            </w:r>
          </w:p>
        </w:tc>
        <w:tc>
          <w:tcPr>
            <w:tcW w:w="0" w:type="dxa"/>
            <w:shd w:val="clear" w:color="auto" w:fill="auto"/>
            <w:vAlign w:val="center"/>
          </w:tcPr>
          <w:p w14:paraId="550145E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280/400 (70%)</w:t>
            </w:r>
          </w:p>
        </w:tc>
      </w:tr>
      <w:tr w:rsidR="00511D9B" w:rsidRPr="000817CB" w14:paraId="7B98C925" w14:textId="77777777" w:rsidTr="00511D9B">
        <w:trPr>
          <w:jc w:val="center"/>
        </w:trPr>
        <w:tc>
          <w:tcPr>
            <w:tcW w:w="0" w:type="dxa"/>
            <w:shd w:val="clear" w:color="auto" w:fill="auto"/>
            <w:vAlign w:val="center"/>
          </w:tcPr>
          <w:p w14:paraId="150F828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Breast Cancer Regulation by Stathmin1</w:t>
            </w:r>
          </w:p>
        </w:tc>
        <w:tc>
          <w:tcPr>
            <w:tcW w:w="0" w:type="dxa"/>
            <w:shd w:val="clear" w:color="auto" w:fill="auto"/>
            <w:vAlign w:val="center"/>
          </w:tcPr>
          <w:p w14:paraId="0F0F6D9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w:t>
            </w:r>
          </w:p>
        </w:tc>
        <w:tc>
          <w:tcPr>
            <w:tcW w:w="0" w:type="dxa"/>
            <w:shd w:val="clear" w:color="auto" w:fill="auto"/>
            <w:vAlign w:val="center"/>
          </w:tcPr>
          <w:p w14:paraId="5DEC90C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0.20</w:t>
            </w:r>
          </w:p>
        </w:tc>
        <w:tc>
          <w:tcPr>
            <w:tcW w:w="0" w:type="dxa"/>
            <w:shd w:val="clear" w:color="auto" w:fill="auto"/>
            <w:vAlign w:val="center"/>
          </w:tcPr>
          <w:p w14:paraId="5779ED7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431/590 (73%)</w:t>
            </w:r>
          </w:p>
        </w:tc>
      </w:tr>
      <w:tr w:rsidR="00511D9B" w:rsidRPr="000817CB" w14:paraId="23E069DF" w14:textId="77777777" w:rsidTr="00511D9B">
        <w:trPr>
          <w:jc w:val="center"/>
        </w:trPr>
        <w:tc>
          <w:tcPr>
            <w:tcW w:w="0" w:type="dxa"/>
            <w:shd w:val="clear" w:color="auto" w:fill="auto"/>
            <w:vAlign w:val="center"/>
          </w:tcPr>
          <w:p w14:paraId="2F69907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Cell Cycle Control of Chromosomal Replication</w:t>
            </w:r>
          </w:p>
        </w:tc>
        <w:tc>
          <w:tcPr>
            <w:tcW w:w="0" w:type="dxa"/>
            <w:shd w:val="clear" w:color="auto" w:fill="auto"/>
            <w:vAlign w:val="center"/>
          </w:tcPr>
          <w:p w14:paraId="7FD91BF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7.7</w:t>
            </w:r>
          </w:p>
        </w:tc>
        <w:tc>
          <w:tcPr>
            <w:tcW w:w="0" w:type="dxa"/>
            <w:shd w:val="clear" w:color="auto" w:fill="auto"/>
            <w:vAlign w:val="center"/>
          </w:tcPr>
          <w:p w14:paraId="4711FB8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0.41</w:t>
            </w:r>
          </w:p>
        </w:tc>
        <w:tc>
          <w:tcPr>
            <w:tcW w:w="0" w:type="dxa"/>
            <w:shd w:val="clear" w:color="auto" w:fill="auto"/>
            <w:vAlign w:val="center"/>
          </w:tcPr>
          <w:p w14:paraId="17EAC05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30/56 (54%)</w:t>
            </w:r>
          </w:p>
        </w:tc>
      </w:tr>
      <w:tr w:rsidR="00511D9B" w:rsidRPr="000817CB" w14:paraId="43083A3D" w14:textId="77777777" w:rsidTr="00511D9B">
        <w:trPr>
          <w:jc w:val="center"/>
        </w:trPr>
        <w:tc>
          <w:tcPr>
            <w:tcW w:w="0" w:type="dxa"/>
            <w:shd w:val="clear" w:color="auto" w:fill="auto"/>
            <w:vAlign w:val="center"/>
          </w:tcPr>
          <w:p w14:paraId="734A5B5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Aryl Hydrocarbon Receptor Signalling</w:t>
            </w:r>
          </w:p>
        </w:tc>
        <w:tc>
          <w:tcPr>
            <w:tcW w:w="0" w:type="dxa"/>
            <w:shd w:val="clear" w:color="auto" w:fill="auto"/>
            <w:vAlign w:val="center"/>
          </w:tcPr>
          <w:p w14:paraId="069DFAF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7.6</w:t>
            </w:r>
          </w:p>
        </w:tc>
        <w:tc>
          <w:tcPr>
            <w:tcW w:w="0" w:type="dxa"/>
            <w:shd w:val="clear" w:color="auto" w:fill="auto"/>
            <w:vAlign w:val="center"/>
          </w:tcPr>
          <w:p w14:paraId="75B15C3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0.29</w:t>
            </w:r>
          </w:p>
        </w:tc>
        <w:tc>
          <w:tcPr>
            <w:tcW w:w="0" w:type="dxa"/>
            <w:shd w:val="clear" w:color="auto" w:fill="auto"/>
            <w:vAlign w:val="center"/>
          </w:tcPr>
          <w:p w14:paraId="302CD58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88/143 (62%)</w:t>
            </w:r>
          </w:p>
        </w:tc>
      </w:tr>
      <w:tr w:rsidR="00511D9B" w:rsidRPr="000817CB" w14:paraId="066705B5" w14:textId="77777777" w:rsidTr="00511D9B">
        <w:trPr>
          <w:jc w:val="center"/>
        </w:trPr>
        <w:tc>
          <w:tcPr>
            <w:tcW w:w="0" w:type="dxa"/>
            <w:shd w:val="clear" w:color="auto" w:fill="auto"/>
            <w:vAlign w:val="center"/>
          </w:tcPr>
          <w:p w14:paraId="2DAF17B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roofErr w:type="spellStart"/>
            <w:r w:rsidRPr="000817CB">
              <w:rPr>
                <w:rFonts w:ascii="Times New Roman" w:hAnsi="Times New Roman" w:cs="Times New Roman"/>
                <w:sz w:val="20"/>
              </w:rPr>
              <w:t>Tumor</w:t>
            </w:r>
            <w:proofErr w:type="spellEnd"/>
            <w:r w:rsidRPr="000817CB">
              <w:rPr>
                <w:rFonts w:ascii="Times New Roman" w:hAnsi="Times New Roman" w:cs="Times New Roman"/>
                <w:sz w:val="20"/>
              </w:rPr>
              <w:t xml:space="preserve"> Microenvironment Pathway</w:t>
            </w:r>
          </w:p>
        </w:tc>
        <w:tc>
          <w:tcPr>
            <w:tcW w:w="0" w:type="dxa"/>
            <w:shd w:val="clear" w:color="auto" w:fill="auto"/>
            <w:vAlign w:val="center"/>
          </w:tcPr>
          <w:p w14:paraId="312DB45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7.5</w:t>
            </w:r>
          </w:p>
        </w:tc>
        <w:tc>
          <w:tcPr>
            <w:tcW w:w="0" w:type="dxa"/>
            <w:shd w:val="clear" w:color="auto" w:fill="auto"/>
            <w:vAlign w:val="center"/>
          </w:tcPr>
          <w:p w14:paraId="416CB79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0.27</w:t>
            </w:r>
          </w:p>
        </w:tc>
        <w:tc>
          <w:tcPr>
            <w:tcW w:w="0" w:type="dxa"/>
            <w:shd w:val="clear" w:color="auto" w:fill="auto"/>
            <w:vAlign w:val="center"/>
          </w:tcPr>
          <w:p w14:paraId="02CCD07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113/176 (64%)</w:t>
            </w:r>
          </w:p>
        </w:tc>
      </w:tr>
      <w:tr w:rsidR="00511D9B" w:rsidRPr="000817CB" w14:paraId="0648A629" w14:textId="77777777" w:rsidTr="00511D9B">
        <w:trPr>
          <w:jc w:val="center"/>
        </w:trPr>
        <w:tc>
          <w:tcPr>
            <w:tcW w:w="0" w:type="dxa"/>
            <w:shd w:val="clear" w:color="auto" w:fill="auto"/>
            <w:vAlign w:val="center"/>
          </w:tcPr>
          <w:p w14:paraId="3952B05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Hereditary Breast Cancer Signalling</w:t>
            </w:r>
          </w:p>
        </w:tc>
        <w:tc>
          <w:tcPr>
            <w:tcW w:w="0" w:type="dxa"/>
            <w:shd w:val="clear" w:color="auto" w:fill="auto"/>
            <w:vAlign w:val="center"/>
          </w:tcPr>
          <w:p w14:paraId="3444FF2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7.4</w:t>
            </w:r>
          </w:p>
        </w:tc>
        <w:tc>
          <w:tcPr>
            <w:tcW w:w="0" w:type="dxa"/>
            <w:shd w:val="clear" w:color="auto" w:fill="auto"/>
            <w:vAlign w:val="center"/>
          </w:tcPr>
          <w:p w14:paraId="55FD2CC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0.29</w:t>
            </w:r>
          </w:p>
        </w:tc>
        <w:tc>
          <w:tcPr>
            <w:tcW w:w="0" w:type="dxa"/>
            <w:shd w:val="clear" w:color="auto" w:fill="auto"/>
            <w:vAlign w:val="center"/>
          </w:tcPr>
          <w:p w14:paraId="6CAB64D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93/140 (66%)</w:t>
            </w:r>
          </w:p>
        </w:tc>
      </w:tr>
      <w:tr w:rsidR="00511D9B" w:rsidRPr="000817CB" w14:paraId="741208DC" w14:textId="77777777" w:rsidTr="00511D9B">
        <w:trPr>
          <w:jc w:val="center"/>
        </w:trPr>
        <w:tc>
          <w:tcPr>
            <w:tcW w:w="0" w:type="dxa"/>
            <w:shd w:val="clear" w:color="auto" w:fill="auto"/>
            <w:vAlign w:val="center"/>
          </w:tcPr>
          <w:p w14:paraId="2C1B37C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Cytokines in Mediating Communication between Immune Cells</w:t>
            </w:r>
          </w:p>
        </w:tc>
        <w:tc>
          <w:tcPr>
            <w:tcW w:w="0" w:type="dxa"/>
            <w:shd w:val="clear" w:color="auto" w:fill="auto"/>
            <w:vAlign w:val="center"/>
          </w:tcPr>
          <w:p w14:paraId="2B36BE2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w:t>
            </w:r>
          </w:p>
        </w:tc>
        <w:tc>
          <w:tcPr>
            <w:tcW w:w="0" w:type="dxa"/>
            <w:shd w:val="clear" w:color="auto" w:fill="auto"/>
            <w:vAlign w:val="center"/>
          </w:tcPr>
          <w:p w14:paraId="6E2AC71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0.41</w:t>
            </w:r>
          </w:p>
        </w:tc>
        <w:tc>
          <w:tcPr>
            <w:tcW w:w="0" w:type="dxa"/>
            <w:shd w:val="clear" w:color="auto" w:fill="auto"/>
            <w:vAlign w:val="center"/>
          </w:tcPr>
          <w:p w14:paraId="7A24E27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27/54 (50%)</w:t>
            </w:r>
          </w:p>
        </w:tc>
      </w:tr>
      <w:tr w:rsidR="00511D9B" w:rsidRPr="000817CB" w14:paraId="61E258D2" w14:textId="77777777" w:rsidTr="00511D9B">
        <w:trPr>
          <w:jc w:val="center"/>
        </w:trPr>
        <w:tc>
          <w:tcPr>
            <w:tcW w:w="0" w:type="dxa"/>
            <w:shd w:val="clear" w:color="auto" w:fill="auto"/>
            <w:vAlign w:val="center"/>
          </w:tcPr>
          <w:p w14:paraId="72EAE15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Erythropoietin Signalling Pathway</w:t>
            </w:r>
          </w:p>
        </w:tc>
        <w:tc>
          <w:tcPr>
            <w:tcW w:w="0" w:type="dxa"/>
            <w:shd w:val="clear" w:color="auto" w:fill="auto"/>
            <w:vAlign w:val="center"/>
          </w:tcPr>
          <w:p w14:paraId="37D2FB4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w:t>
            </w:r>
          </w:p>
        </w:tc>
        <w:tc>
          <w:tcPr>
            <w:tcW w:w="0" w:type="dxa"/>
            <w:shd w:val="clear" w:color="auto" w:fill="auto"/>
            <w:vAlign w:val="center"/>
          </w:tcPr>
          <w:p w14:paraId="33FFA43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0.27</w:t>
            </w:r>
          </w:p>
        </w:tc>
        <w:tc>
          <w:tcPr>
            <w:tcW w:w="0" w:type="dxa"/>
            <w:shd w:val="clear" w:color="auto" w:fill="auto"/>
            <w:vAlign w:val="center"/>
          </w:tcPr>
          <w:p w14:paraId="714AE93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114/173 (66%)</w:t>
            </w:r>
          </w:p>
        </w:tc>
      </w:tr>
      <w:tr w:rsidR="00511D9B" w:rsidRPr="000817CB" w14:paraId="410AF5FF" w14:textId="77777777" w:rsidTr="00511D9B">
        <w:trPr>
          <w:jc w:val="center"/>
        </w:trPr>
        <w:tc>
          <w:tcPr>
            <w:tcW w:w="0" w:type="dxa"/>
            <w:shd w:val="clear" w:color="auto" w:fill="auto"/>
            <w:vAlign w:val="center"/>
          </w:tcPr>
          <w:p w14:paraId="437648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Macrophages, Fibroblasts and Endothelial Cells in Rheumatoid Arthritis</w:t>
            </w:r>
          </w:p>
        </w:tc>
        <w:tc>
          <w:tcPr>
            <w:tcW w:w="0" w:type="dxa"/>
            <w:shd w:val="clear" w:color="auto" w:fill="auto"/>
            <w:vAlign w:val="center"/>
          </w:tcPr>
          <w:p w14:paraId="2BD2E7F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w:t>
            </w:r>
          </w:p>
        </w:tc>
        <w:tc>
          <w:tcPr>
            <w:tcW w:w="0" w:type="dxa"/>
            <w:shd w:val="clear" w:color="auto" w:fill="auto"/>
            <w:vAlign w:val="center"/>
          </w:tcPr>
          <w:p w14:paraId="551AABC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0.22</w:t>
            </w:r>
          </w:p>
        </w:tc>
        <w:tc>
          <w:tcPr>
            <w:tcW w:w="0" w:type="dxa"/>
            <w:shd w:val="clear" w:color="auto" w:fill="auto"/>
            <w:vAlign w:val="center"/>
          </w:tcPr>
          <w:p w14:paraId="7B3BD29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220/314 (70%)</w:t>
            </w:r>
          </w:p>
        </w:tc>
      </w:tr>
      <w:tr w:rsidR="00511D9B" w:rsidRPr="000817CB" w14:paraId="7D3B9599" w14:textId="77777777" w:rsidTr="00511D9B">
        <w:trPr>
          <w:jc w:val="center"/>
        </w:trPr>
        <w:tc>
          <w:tcPr>
            <w:tcW w:w="0" w:type="dxa"/>
            <w:shd w:val="clear" w:color="auto" w:fill="auto"/>
            <w:vAlign w:val="center"/>
          </w:tcPr>
          <w:p w14:paraId="5C8C1D5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PI3K/AKT Signalling</w:t>
            </w:r>
          </w:p>
        </w:tc>
        <w:tc>
          <w:tcPr>
            <w:tcW w:w="0" w:type="dxa"/>
            <w:shd w:val="clear" w:color="auto" w:fill="auto"/>
            <w:vAlign w:val="center"/>
          </w:tcPr>
          <w:p w14:paraId="064D729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6.9</w:t>
            </w:r>
          </w:p>
        </w:tc>
        <w:tc>
          <w:tcPr>
            <w:tcW w:w="0" w:type="dxa"/>
            <w:shd w:val="clear" w:color="auto" w:fill="auto"/>
            <w:vAlign w:val="center"/>
          </w:tcPr>
          <w:p w14:paraId="6430B26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0.26</w:t>
            </w:r>
          </w:p>
        </w:tc>
        <w:tc>
          <w:tcPr>
            <w:tcW w:w="0" w:type="dxa"/>
            <w:shd w:val="clear" w:color="auto" w:fill="auto"/>
            <w:vAlign w:val="center"/>
          </w:tcPr>
          <w:p w14:paraId="3B38630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129/184 (70%)</w:t>
            </w:r>
          </w:p>
        </w:tc>
      </w:tr>
      <w:tr w:rsidR="00511D9B" w:rsidRPr="000817CB" w14:paraId="1E8FEA41" w14:textId="77777777" w:rsidTr="00511D9B">
        <w:trPr>
          <w:jc w:val="center"/>
        </w:trPr>
        <w:tc>
          <w:tcPr>
            <w:tcW w:w="0" w:type="dxa"/>
            <w:shd w:val="clear" w:color="auto" w:fill="auto"/>
            <w:vAlign w:val="center"/>
          </w:tcPr>
          <w:p w14:paraId="71E7062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Th2 Pathway</w:t>
            </w:r>
          </w:p>
        </w:tc>
        <w:tc>
          <w:tcPr>
            <w:tcW w:w="0" w:type="dxa"/>
            <w:shd w:val="clear" w:color="auto" w:fill="auto"/>
            <w:vAlign w:val="center"/>
          </w:tcPr>
          <w:p w14:paraId="46E4759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6.7</w:t>
            </w:r>
          </w:p>
        </w:tc>
        <w:tc>
          <w:tcPr>
            <w:tcW w:w="0" w:type="dxa"/>
            <w:shd w:val="clear" w:color="auto" w:fill="auto"/>
            <w:vAlign w:val="center"/>
          </w:tcPr>
          <w:p w14:paraId="457EFC5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0.28</w:t>
            </w:r>
          </w:p>
        </w:tc>
        <w:tc>
          <w:tcPr>
            <w:tcW w:w="0" w:type="dxa"/>
            <w:shd w:val="clear" w:color="auto" w:fill="auto"/>
            <w:vAlign w:val="center"/>
          </w:tcPr>
          <w:p w14:paraId="33A3661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87/136 (64%)</w:t>
            </w:r>
          </w:p>
        </w:tc>
      </w:tr>
      <w:tr w:rsidR="00511D9B" w:rsidRPr="000817CB" w14:paraId="266DB713" w14:textId="77777777" w:rsidTr="00511D9B">
        <w:trPr>
          <w:jc w:val="center"/>
        </w:trPr>
        <w:tc>
          <w:tcPr>
            <w:tcW w:w="0" w:type="dxa"/>
            <w:shd w:val="clear" w:color="auto" w:fill="auto"/>
            <w:vAlign w:val="center"/>
          </w:tcPr>
          <w:p w14:paraId="121A830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Cell Cycle: G2/M DNA Damage Checkpoint Regulation</w:t>
            </w:r>
          </w:p>
        </w:tc>
        <w:tc>
          <w:tcPr>
            <w:tcW w:w="0" w:type="dxa"/>
            <w:shd w:val="clear" w:color="auto" w:fill="auto"/>
            <w:vAlign w:val="center"/>
          </w:tcPr>
          <w:p w14:paraId="1E224F7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6.7</w:t>
            </w:r>
          </w:p>
        </w:tc>
        <w:tc>
          <w:tcPr>
            <w:tcW w:w="0" w:type="dxa"/>
            <w:shd w:val="clear" w:color="auto" w:fill="auto"/>
            <w:vAlign w:val="center"/>
          </w:tcPr>
          <w:p w14:paraId="254FFFA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0.41</w:t>
            </w:r>
          </w:p>
        </w:tc>
        <w:tc>
          <w:tcPr>
            <w:tcW w:w="0" w:type="dxa"/>
            <w:shd w:val="clear" w:color="auto" w:fill="auto"/>
            <w:vAlign w:val="center"/>
          </w:tcPr>
          <w:p w14:paraId="090F2E3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26/49 (53%)</w:t>
            </w:r>
          </w:p>
        </w:tc>
      </w:tr>
      <w:tr w:rsidR="00511D9B" w:rsidRPr="000817CB" w14:paraId="717F3009" w14:textId="77777777" w:rsidTr="00511D9B">
        <w:trPr>
          <w:jc w:val="center"/>
        </w:trPr>
        <w:tc>
          <w:tcPr>
            <w:tcW w:w="0" w:type="dxa"/>
            <w:shd w:val="clear" w:color="auto" w:fill="auto"/>
            <w:vAlign w:val="center"/>
          </w:tcPr>
          <w:p w14:paraId="5A15105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Oestrogen-mediated S-phase Entry</w:t>
            </w:r>
          </w:p>
        </w:tc>
        <w:tc>
          <w:tcPr>
            <w:tcW w:w="0" w:type="dxa"/>
            <w:shd w:val="clear" w:color="auto" w:fill="auto"/>
            <w:vAlign w:val="center"/>
          </w:tcPr>
          <w:p w14:paraId="7521D66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6.7</w:t>
            </w:r>
          </w:p>
        </w:tc>
        <w:tc>
          <w:tcPr>
            <w:tcW w:w="0" w:type="dxa"/>
            <w:shd w:val="clear" w:color="auto" w:fill="auto"/>
            <w:vAlign w:val="center"/>
          </w:tcPr>
          <w:p w14:paraId="2E2A97E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0.54</w:t>
            </w:r>
          </w:p>
        </w:tc>
        <w:tc>
          <w:tcPr>
            <w:tcW w:w="0" w:type="dxa"/>
            <w:shd w:val="clear" w:color="auto" w:fill="auto"/>
            <w:vAlign w:val="center"/>
          </w:tcPr>
          <w:p w14:paraId="3312C0E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11/26 (42%)</w:t>
            </w:r>
          </w:p>
        </w:tc>
      </w:tr>
      <w:tr w:rsidR="00511D9B" w:rsidRPr="000817CB" w14:paraId="644AF387" w14:textId="77777777" w:rsidTr="00511D9B">
        <w:trPr>
          <w:jc w:val="center"/>
        </w:trPr>
        <w:tc>
          <w:tcPr>
            <w:tcW w:w="0" w:type="dxa"/>
            <w:gridSpan w:val="4"/>
            <w:shd w:val="clear" w:color="auto" w:fill="auto"/>
            <w:vAlign w:val="center"/>
          </w:tcPr>
          <w:p w14:paraId="3762CC7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r>
      <w:tr w:rsidR="00511D9B" w:rsidRPr="000817CB" w14:paraId="456FA4F7" w14:textId="77777777" w:rsidTr="00511D9B">
        <w:trPr>
          <w:jc w:val="center"/>
        </w:trPr>
        <w:tc>
          <w:tcPr>
            <w:tcW w:w="0" w:type="dxa"/>
            <w:gridSpan w:val="4"/>
            <w:shd w:val="clear" w:color="auto" w:fill="auto"/>
            <w:vAlign w:val="center"/>
          </w:tcPr>
          <w:p w14:paraId="2A6D7D6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Post-FO supplementation</w:t>
            </w:r>
          </w:p>
        </w:tc>
      </w:tr>
      <w:tr w:rsidR="00511D9B" w:rsidRPr="000817CB" w14:paraId="2F9EA1A7" w14:textId="77777777" w:rsidTr="00511D9B">
        <w:trPr>
          <w:jc w:val="center"/>
        </w:trPr>
        <w:tc>
          <w:tcPr>
            <w:tcW w:w="0" w:type="dxa"/>
            <w:gridSpan w:val="4"/>
            <w:shd w:val="clear" w:color="auto" w:fill="auto"/>
            <w:vAlign w:val="center"/>
          </w:tcPr>
          <w:p w14:paraId="6718707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r>
      <w:tr w:rsidR="00511D9B" w:rsidRPr="000817CB" w14:paraId="2A65E714" w14:textId="77777777" w:rsidTr="00511D9B">
        <w:trPr>
          <w:jc w:val="center"/>
        </w:trPr>
        <w:tc>
          <w:tcPr>
            <w:tcW w:w="0" w:type="dxa"/>
            <w:shd w:val="clear" w:color="auto" w:fill="auto"/>
            <w:vAlign w:val="center"/>
          </w:tcPr>
          <w:p w14:paraId="73AC4E2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Kinetochore Metaphase Signalling Pathway</w:t>
            </w:r>
          </w:p>
        </w:tc>
        <w:tc>
          <w:tcPr>
            <w:tcW w:w="0" w:type="dxa"/>
            <w:shd w:val="clear" w:color="auto" w:fill="auto"/>
            <w:vAlign w:val="center"/>
          </w:tcPr>
          <w:p w14:paraId="343ED06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14.6</w:t>
            </w:r>
          </w:p>
        </w:tc>
        <w:tc>
          <w:tcPr>
            <w:tcW w:w="0" w:type="dxa"/>
            <w:shd w:val="clear" w:color="auto" w:fill="auto"/>
            <w:vAlign w:val="center"/>
          </w:tcPr>
          <w:p w14:paraId="68CE266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0.42</w:t>
            </w:r>
          </w:p>
        </w:tc>
        <w:tc>
          <w:tcPr>
            <w:tcW w:w="0" w:type="dxa"/>
            <w:shd w:val="clear" w:color="auto" w:fill="auto"/>
            <w:vAlign w:val="center"/>
          </w:tcPr>
          <w:p w14:paraId="47A5457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6/101 (6%)</w:t>
            </w:r>
          </w:p>
        </w:tc>
      </w:tr>
      <w:tr w:rsidR="00511D9B" w:rsidRPr="000817CB" w14:paraId="2CF01C9E" w14:textId="77777777" w:rsidTr="00511D9B">
        <w:trPr>
          <w:jc w:val="center"/>
        </w:trPr>
        <w:tc>
          <w:tcPr>
            <w:tcW w:w="0" w:type="dxa"/>
            <w:shd w:val="clear" w:color="auto" w:fill="auto"/>
            <w:vAlign w:val="center"/>
          </w:tcPr>
          <w:p w14:paraId="225EBAB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STAT3 Pathway</w:t>
            </w:r>
          </w:p>
        </w:tc>
        <w:tc>
          <w:tcPr>
            <w:tcW w:w="0" w:type="dxa"/>
            <w:shd w:val="clear" w:color="auto" w:fill="auto"/>
            <w:vAlign w:val="center"/>
          </w:tcPr>
          <w:p w14:paraId="272EC1A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12.1</w:t>
            </w:r>
          </w:p>
        </w:tc>
        <w:tc>
          <w:tcPr>
            <w:tcW w:w="0" w:type="dxa"/>
            <w:shd w:val="clear" w:color="auto" w:fill="auto"/>
            <w:vAlign w:val="center"/>
          </w:tcPr>
          <w:p w14:paraId="47C7C0B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0.34</w:t>
            </w:r>
          </w:p>
        </w:tc>
        <w:tc>
          <w:tcPr>
            <w:tcW w:w="0" w:type="dxa"/>
            <w:shd w:val="clear" w:color="auto" w:fill="auto"/>
            <w:vAlign w:val="center"/>
          </w:tcPr>
          <w:p w14:paraId="5539FE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15/135 (11%)</w:t>
            </w:r>
          </w:p>
        </w:tc>
      </w:tr>
      <w:tr w:rsidR="00511D9B" w:rsidRPr="000817CB" w14:paraId="3CEA466F" w14:textId="77777777" w:rsidTr="00511D9B">
        <w:trPr>
          <w:jc w:val="center"/>
        </w:trPr>
        <w:tc>
          <w:tcPr>
            <w:tcW w:w="0" w:type="dxa"/>
            <w:shd w:val="clear" w:color="auto" w:fill="auto"/>
            <w:vAlign w:val="center"/>
          </w:tcPr>
          <w:p w14:paraId="1286AAB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Th1 and Th2 Activation Pathway</w:t>
            </w:r>
          </w:p>
        </w:tc>
        <w:tc>
          <w:tcPr>
            <w:tcW w:w="0" w:type="dxa"/>
            <w:shd w:val="clear" w:color="auto" w:fill="auto"/>
            <w:vAlign w:val="center"/>
          </w:tcPr>
          <w:p w14:paraId="534F4B9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10.3</w:t>
            </w:r>
          </w:p>
        </w:tc>
        <w:tc>
          <w:tcPr>
            <w:tcW w:w="0" w:type="dxa"/>
            <w:shd w:val="clear" w:color="auto" w:fill="auto"/>
            <w:vAlign w:val="center"/>
          </w:tcPr>
          <w:p w14:paraId="2413293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0.29</w:t>
            </w:r>
          </w:p>
        </w:tc>
        <w:tc>
          <w:tcPr>
            <w:tcW w:w="0" w:type="dxa"/>
            <w:shd w:val="clear" w:color="auto" w:fill="auto"/>
            <w:vAlign w:val="center"/>
          </w:tcPr>
          <w:p w14:paraId="0E21ACA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21/171 (12%)</w:t>
            </w:r>
          </w:p>
        </w:tc>
      </w:tr>
      <w:tr w:rsidR="00511D9B" w:rsidRPr="000817CB" w14:paraId="76407B8F" w14:textId="77777777" w:rsidTr="00511D9B">
        <w:trPr>
          <w:jc w:val="center"/>
        </w:trPr>
        <w:tc>
          <w:tcPr>
            <w:tcW w:w="0" w:type="dxa"/>
            <w:shd w:val="clear" w:color="auto" w:fill="auto"/>
            <w:vAlign w:val="center"/>
          </w:tcPr>
          <w:p w14:paraId="029CE52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IL-10 Signalling</w:t>
            </w:r>
          </w:p>
        </w:tc>
        <w:tc>
          <w:tcPr>
            <w:tcW w:w="0" w:type="dxa"/>
            <w:shd w:val="clear" w:color="auto" w:fill="auto"/>
            <w:vAlign w:val="center"/>
          </w:tcPr>
          <w:p w14:paraId="580F879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10.2</w:t>
            </w:r>
          </w:p>
        </w:tc>
        <w:tc>
          <w:tcPr>
            <w:tcW w:w="0" w:type="dxa"/>
            <w:shd w:val="clear" w:color="auto" w:fill="auto"/>
            <w:vAlign w:val="center"/>
          </w:tcPr>
          <w:p w14:paraId="66D1B32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0.41</w:t>
            </w:r>
          </w:p>
        </w:tc>
        <w:tc>
          <w:tcPr>
            <w:tcW w:w="0" w:type="dxa"/>
            <w:shd w:val="clear" w:color="auto" w:fill="auto"/>
            <w:vAlign w:val="center"/>
          </w:tcPr>
          <w:p w14:paraId="15D3B7D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9/70 (13%)</w:t>
            </w:r>
          </w:p>
        </w:tc>
      </w:tr>
      <w:tr w:rsidR="00511D9B" w:rsidRPr="000817CB" w14:paraId="67082727" w14:textId="77777777" w:rsidTr="00511D9B">
        <w:trPr>
          <w:jc w:val="center"/>
        </w:trPr>
        <w:tc>
          <w:tcPr>
            <w:tcW w:w="0" w:type="dxa"/>
            <w:shd w:val="clear" w:color="auto" w:fill="auto"/>
            <w:vAlign w:val="center"/>
          </w:tcPr>
          <w:p w14:paraId="22D10F9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Cardiac Hypertrophy Signalling (Enhanced)</w:t>
            </w:r>
          </w:p>
        </w:tc>
        <w:tc>
          <w:tcPr>
            <w:tcW w:w="0" w:type="dxa"/>
            <w:shd w:val="clear" w:color="auto" w:fill="auto"/>
            <w:vAlign w:val="center"/>
          </w:tcPr>
          <w:p w14:paraId="494FEA6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9.8</w:t>
            </w:r>
          </w:p>
        </w:tc>
        <w:tc>
          <w:tcPr>
            <w:tcW w:w="0" w:type="dxa"/>
            <w:shd w:val="clear" w:color="auto" w:fill="auto"/>
            <w:vAlign w:val="center"/>
          </w:tcPr>
          <w:p w14:paraId="19E01D0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0.21</w:t>
            </w:r>
          </w:p>
        </w:tc>
        <w:tc>
          <w:tcPr>
            <w:tcW w:w="0" w:type="dxa"/>
            <w:shd w:val="clear" w:color="auto" w:fill="auto"/>
            <w:vAlign w:val="center"/>
          </w:tcPr>
          <w:p w14:paraId="45C6647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103/497 (21%)</w:t>
            </w:r>
          </w:p>
        </w:tc>
      </w:tr>
      <w:tr w:rsidR="00511D9B" w:rsidRPr="000817CB" w14:paraId="7AC7F243" w14:textId="77777777" w:rsidTr="00511D9B">
        <w:trPr>
          <w:jc w:val="center"/>
        </w:trPr>
        <w:tc>
          <w:tcPr>
            <w:tcW w:w="0" w:type="dxa"/>
            <w:shd w:val="clear" w:color="auto" w:fill="auto"/>
            <w:vAlign w:val="center"/>
          </w:tcPr>
          <w:p w14:paraId="3ED2F6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Hepatic Fibrosis / Hepatic Stellate Cell Activation</w:t>
            </w:r>
          </w:p>
        </w:tc>
        <w:tc>
          <w:tcPr>
            <w:tcW w:w="0" w:type="dxa"/>
            <w:shd w:val="clear" w:color="auto" w:fill="auto"/>
            <w:vAlign w:val="center"/>
          </w:tcPr>
          <w:p w14:paraId="3E523AE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9.4</w:t>
            </w:r>
          </w:p>
        </w:tc>
        <w:tc>
          <w:tcPr>
            <w:tcW w:w="0" w:type="dxa"/>
            <w:shd w:val="clear" w:color="auto" w:fill="auto"/>
            <w:vAlign w:val="center"/>
          </w:tcPr>
          <w:p w14:paraId="73AAD7D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0.27</w:t>
            </w:r>
          </w:p>
        </w:tc>
        <w:tc>
          <w:tcPr>
            <w:tcW w:w="0" w:type="dxa"/>
            <w:shd w:val="clear" w:color="auto" w:fill="auto"/>
            <w:vAlign w:val="center"/>
          </w:tcPr>
          <w:p w14:paraId="7C26E26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60/186 (32%)</w:t>
            </w:r>
          </w:p>
        </w:tc>
      </w:tr>
      <w:tr w:rsidR="00511D9B" w:rsidRPr="000817CB" w14:paraId="7A311981" w14:textId="77777777" w:rsidTr="00511D9B">
        <w:trPr>
          <w:jc w:val="center"/>
        </w:trPr>
        <w:tc>
          <w:tcPr>
            <w:tcW w:w="0" w:type="dxa"/>
            <w:shd w:val="clear" w:color="auto" w:fill="auto"/>
            <w:vAlign w:val="center"/>
          </w:tcPr>
          <w:p w14:paraId="63A5EFB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Pattern Recognition Receptors in Recognition of Bacteria and Viruses</w:t>
            </w:r>
          </w:p>
        </w:tc>
        <w:tc>
          <w:tcPr>
            <w:tcW w:w="0" w:type="dxa"/>
            <w:shd w:val="clear" w:color="auto" w:fill="auto"/>
            <w:vAlign w:val="center"/>
          </w:tcPr>
          <w:p w14:paraId="6FEB528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9.3</w:t>
            </w:r>
          </w:p>
        </w:tc>
        <w:tc>
          <w:tcPr>
            <w:tcW w:w="0" w:type="dxa"/>
            <w:shd w:val="clear" w:color="auto" w:fill="auto"/>
            <w:vAlign w:val="center"/>
          </w:tcPr>
          <w:p w14:paraId="31C993E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0.29</w:t>
            </w:r>
          </w:p>
        </w:tc>
        <w:tc>
          <w:tcPr>
            <w:tcW w:w="0" w:type="dxa"/>
            <w:shd w:val="clear" w:color="auto" w:fill="auto"/>
            <w:vAlign w:val="center"/>
          </w:tcPr>
          <w:p w14:paraId="1D3AF76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35/154 (23%)</w:t>
            </w:r>
          </w:p>
        </w:tc>
      </w:tr>
      <w:tr w:rsidR="00511D9B" w:rsidRPr="000817CB" w14:paraId="5771DC6E" w14:textId="77777777" w:rsidTr="00511D9B">
        <w:trPr>
          <w:jc w:val="center"/>
        </w:trPr>
        <w:tc>
          <w:tcPr>
            <w:tcW w:w="0" w:type="dxa"/>
            <w:shd w:val="clear" w:color="auto" w:fill="auto"/>
            <w:vAlign w:val="center"/>
          </w:tcPr>
          <w:p w14:paraId="48AC5ED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HMGB1 Signalling</w:t>
            </w:r>
          </w:p>
        </w:tc>
        <w:tc>
          <w:tcPr>
            <w:tcW w:w="0" w:type="dxa"/>
            <w:shd w:val="clear" w:color="auto" w:fill="auto"/>
            <w:vAlign w:val="center"/>
          </w:tcPr>
          <w:p w14:paraId="17BEB35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9.3</w:t>
            </w:r>
          </w:p>
        </w:tc>
        <w:tc>
          <w:tcPr>
            <w:tcW w:w="0" w:type="dxa"/>
            <w:shd w:val="clear" w:color="auto" w:fill="auto"/>
            <w:vAlign w:val="center"/>
          </w:tcPr>
          <w:p w14:paraId="09F2357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0.29</w:t>
            </w:r>
          </w:p>
        </w:tc>
        <w:tc>
          <w:tcPr>
            <w:tcW w:w="0" w:type="dxa"/>
            <w:shd w:val="clear" w:color="auto" w:fill="auto"/>
            <w:vAlign w:val="center"/>
          </w:tcPr>
          <w:p w14:paraId="2BFB016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27/165 (16%)</w:t>
            </w:r>
          </w:p>
        </w:tc>
      </w:tr>
      <w:tr w:rsidR="00511D9B" w:rsidRPr="000817CB" w14:paraId="03564D78" w14:textId="77777777" w:rsidTr="00511D9B">
        <w:trPr>
          <w:jc w:val="center"/>
        </w:trPr>
        <w:tc>
          <w:tcPr>
            <w:tcW w:w="0" w:type="dxa"/>
            <w:shd w:val="clear" w:color="auto" w:fill="auto"/>
            <w:vAlign w:val="center"/>
          </w:tcPr>
          <w:p w14:paraId="4622462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Altered T Cell and B Cell Signalling in Rheumatoid Arthritis</w:t>
            </w:r>
          </w:p>
        </w:tc>
        <w:tc>
          <w:tcPr>
            <w:tcW w:w="0" w:type="dxa"/>
            <w:shd w:val="clear" w:color="auto" w:fill="auto"/>
            <w:vAlign w:val="center"/>
          </w:tcPr>
          <w:p w14:paraId="2BE9DFA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9.2</w:t>
            </w:r>
          </w:p>
        </w:tc>
        <w:tc>
          <w:tcPr>
            <w:tcW w:w="0" w:type="dxa"/>
            <w:shd w:val="clear" w:color="auto" w:fill="auto"/>
            <w:vAlign w:val="center"/>
          </w:tcPr>
          <w:p w14:paraId="46358D7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0.36</w:t>
            </w:r>
          </w:p>
        </w:tc>
        <w:tc>
          <w:tcPr>
            <w:tcW w:w="0" w:type="dxa"/>
            <w:shd w:val="clear" w:color="auto" w:fill="auto"/>
            <w:vAlign w:val="center"/>
          </w:tcPr>
          <w:p w14:paraId="0F81D85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19/90 (21%)</w:t>
            </w:r>
          </w:p>
        </w:tc>
      </w:tr>
      <w:tr w:rsidR="00511D9B" w:rsidRPr="000817CB" w14:paraId="36458159" w14:textId="77777777" w:rsidTr="00511D9B">
        <w:trPr>
          <w:jc w:val="center"/>
        </w:trPr>
        <w:tc>
          <w:tcPr>
            <w:tcW w:w="0" w:type="dxa"/>
            <w:shd w:val="clear" w:color="auto" w:fill="auto"/>
            <w:vAlign w:val="center"/>
          </w:tcPr>
          <w:p w14:paraId="20E6945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IL-17 Signalling</w:t>
            </w:r>
          </w:p>
        </w:tc>
        <w:tc>
          <w:tcPr>
            <w:tcW w:w="0" w:type="dxa"/>
            <w:shd w:val="clear" w:color="auto" w:fill="auto"/>
            <w:vAlign w:val="center"/>
          </w:tcPr>
          <w:p w14:paraId="48D68E3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8.8</w:t>
            </w:r>
          </w:p>
        </w:tc>
        <w:tc>
          <w:tcPr>
            <w:tcW w:w="0" w:type="dxa"/>
            <w:shd w:val="clear" w:color="auto" w:fill="auto"/>
            <w:vAlign w:val="center"/>
          </w:tcPr>
          <w:p w14:paraId="6A1B03C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0.27</w:t>
            </w:r>
          </w:p>
        </w:tc>
        <w:tc>
          <w:tcPr>
            <w:tcW w:w="0" w:type="dxa"/>
            <w:shd w:val="clear" w:color="auto" w:fill="auto"/>
            <w:vAlign w:val="center"/>
          </w:tcPr>
          <w:p w14:paraId="296C2EA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60/187 (32%)</w:t>
            </w:r>
          </w:p>
        </w:tc>
      </w:tr>
      <w:tr w:rsidR="00511D9B" w:rsidRPr="000817CB" w14:paraId="24001B6D" w14:textId="77777777" w:rsidTr="00511D9B">
        <w:trPr>
          <w:jc w:val="center"/>
        </w:trPr>
        <w:tc>
          <w:tcPr>
            <w:tcW w:w="0" w:type="dxa"/>
            <w:shd w:val="clear" w:color="auto" w:fill="auto"/>
            <w:vAlign w:val="center"/>
          </w:tcPr>
          <w:p w14:paraId="2380094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Airway Pathology in Chronic Obstructive Pulmonary Disease</w:t>
            </w:r>
          </w:p>
        </w:tc>
        <w:tc>
          <w:tcPr>
            <w:tcW w:w="0" w:type="dxa"/>
            <w:shd w:val="clear" w:color="auto" w:fill="auto"/>
            <w:vAlign w:val="center"/>
          </w:tcPr>
          <w:p w14:paraId="01F0A96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8.7</w:t>
            </w:r>
          </w:p>
        </w:tc>
        <w:tc>
          <w:tcPr>
            <w:tcW w:w="0" w:type="dxa"/>
            <w:shd w:val="clear" w:color="auto" w:fill="auto"/>
            <w:vAlign w:val="center"/>
          </w:tcPr>
          <w:p w14:paraId="089EDE1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0.31</w:t>
            </w:r>
          </w:p>
        </w:tc>
        <w:tc>
          <w:tcPr>
            <w:tcW w:w="0" w:type="dxa"/>
            <w:shd w:val="clear" w:color="auto" w:fill="auto"/>
            <w:vAlign w:val="center"/>
          </w:tcPr>
          <w:p w14:paraId="51BB92E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46/118 (39%)</w:t>
            </w:r>
          </w:p>
        </w:tc>
      </w:tr>
      <w:tr w:rsidR="00511D9B" w:rsidRPr="000817CB" w14:paraId="07CE7D98" w14:textId="77777777" w:rsidTr="00511D9B">
        <w:trPr>
          <w:jc w:val="center"/>
        </w:trPr>
        <w:tc>
          <w:tcPr>
            <w:tcW w:w="0" w:type="dxa"/>
            <w:shd w:val="clear" w:color="auto" w:fill="auto"/>
            <w:vAlign w:val="center"/>
          </w:tcPr>
          <w:p w14:paraId="3328FBE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Hepatic Cholestasis</w:t>
            </w:r>
          </w:p>
        </w:tc>
        <w:tc>
          <w:tcPr>
            <w:tcW w:w="0" w:type="dxa"/>
            <w:shd w:val="clear" w:color="auto" w:fill="auto"/>
            <w:vAlign w:val="center"/>
          </w:tcPr>
          <w:p w14:paraId="465424C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8.4</w:t>
            </w:r>
          </w:p>
        </w:tc>
        <w:tc>
          <w:tcPr>
            <w:tcW w:w="0" w:type="dxa"/>
            <w:shd w:val="clear" w:color="auto" w:fill="auto"/>
            <w:vAlign w:val="center"/>
          </w:tcPr>
          <w:p w14:paraId="2512F28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0.26</w:t>
            </w:r>
          </w:p>
        </w:tc>
        <w:tc>
          <w:tcPr>
            <w:tcW w:w="0" w:type="dxa"/>
            <w:shd w:val="clear" w:color="auto" w:fill="auto"/>
            <w:vAlign w:val="center"/>
          </w:tcPr>
          <w:p w14:paraId="62EF0CE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50/186 (27%)</w:t>
            </w:r>
          </w:p>
        </w:tc>
      </w:tr>
      <w:tr w:rsidR="00511D9B" w:rsidRPr="000817CB" w14:paraId="6FD3E932" w14:textId="77777777" w:rsidTr="00511D9B">
        <w:trPr>
          <w:jc w:val="center"/>
        </w:trPr>
        <w:tc>
          <w:tcPr>
            <w:tcW w:w="0" w:type="dxa"/>
            <w:shd w:val="clear" w:color="auto" w:fill="auto"/>
            <w:vAlign w:val="center"/>
          </w:tcPr>
          <w:p w14:paraId="17B4DFE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Cell Cycle Control of Chromosomal Replication</w:t>
            </w:r>
          </w:p>
        </w:tc>
        <w:tc>
          <w:tcPr>
            <w:tcW w:w="0" w:type="dxa"/>
            <w:shd w:val="clear" w:color="auto" w:fill="auto"/>
            <w:vAlign w:val="center"/>
          </w:tcPr>
          <w:p w14:paraId="10FD5BE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8.2</w:t>
            </w:r>
          </w:p>
        </w:tc>
        <w:tc>
          <w:tcPr>
            <w:tcW w:w="0" w:type="dxa"/>
            <w:shd w:val="clear" w:color="auto" w:fill="auto"/>
            <w:vAlign w:val="center"/>
          </w:tcPr>
          <w:p w14:paraId="62BCA53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0.41</w:t>
            </w:r>
          </w:p>
        </w:tc>
        <w:tc>
          <w:tcPr>
            <w:tcW w:w="0" w:type="dxa"/>
            <w:shd w:val="clear" w:color="auto" w:fill="auto"/>
            <w:vAlign w:val="center"/>
          </w:tcPr>
          <w:p w14:paraId="7A1AC3B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0/56 (0%)</w:t>
            </w:r>
          </w:p>
        </w:tc>
      </w:tr>
      <w:tr w:rsidR="00511D9B" w:rsidRPr="000817CB" w14:paraId="374BC68C" w14:textId="77777777" w:rsidTr="00511D9B">
        <w:trPr>
          <w:jc w:val="center"/>
        </w:trPr>
        <w:tc>
          <w:tcPr>
            <w:tcW w:w="0" w:type="dxa"/>
            <w:shd w:val="clear" w:color="auto" w:fill="auto"/>
            <w:vAlign w:val="center"/>
          </w:tcPr>
          <w:p w14:paraId="2FA6249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Oestrogen-mediated S-phase Entry</w:t>
            </w:r>
          </w:p>
        </w:tc>
        <w:tc>
          <w:tcPr>
            <w:tcW w:w="0" w:type="dxa"/>
            <w:shd w:val="clear" w:color="auto" w:fill="auto"/>
            <w:vAlign w:val="center"/>
          </w:tcPr>
          <w:p w14:paraId="13D59CD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w:t>
            </w:r>
          </w:p>
        </w:tc>
        <w:tc>
          <w:tcPr>
            <w:tcW w:w="0" w:type="dxa"/>
            <w:shd w:val="clear" w:color="auto" w:fill="auto"/>
            <w:vAlign w:val="center"/>
          </w:tcPr>
          <w:p w14:paraId="04EE35C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0.58</w:t>
            </w:r>
          </w:p>
        </w:tc>
        <w:tc>
          <w:tcPr>
            <w:tcW w:w="0" w:type="dxa"/>
            <w:shd w:val="clear" w:color="auto" w:fill="auto"/>
            <w:vAlign w:val="center"/>
          </w:tcPr>
          <w:p w14:paraId="4192C99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0/26 (0%)</w:t>
            </w:r>
          </w:p>
        </w:tc>
      </w:tr>
      <w:tr w:rsidR="00511D9B" w:rsidRPr="000817CB" w14:paraId="436DEAE9" w14:textId="77777777" w:rsidTr="00511D9B">
        <w:trPr>
          <w:jc w:val="center"/>
        </w:trPr>
        <w:tc>
          <w:tcPr>
            <w:tcW w:w="0" w:type="dxa"/>
            <w:shd w:val="clear" w:color="auto" w:fill="auto"/>
            <w:vAlign w:val="center"/>
          </w:tcPr>
          <w:p w14:paraId="710CC0E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BRCA1 in DNA Damage Response</w:t>
            </w:r>
          </w:p>
        </w:tc>
        <w:tc>
          <w:tcPr>
            <w:tcW w:w="0" w:type="dxa"/>
            <w:shd w:val="clear" w:color="auto" w:fill="auto"/>
            <w:vAlign w:val="center"/>
          </w:tcPr>
          <w:p w14:paraId="115121C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7.9</w:t>
            </w:r>
          </w:p>
        </w:tc>
        <w:tc>
          <w:tcPr>
            <w:tcW w:w="0" w:type="dxa"/>
            <w:shd w:val="clear" w:color="auto" w:fill="auto"/>
            <w:vAlign w:val="center"/>
          </w:tcPr>
          <w:p w14:paraId="708AA53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0.35</w:t>
            </w:r>
          </w:p>
        </w:tc>
        <w:tc>
          <w:tcPr>
            <w:tcW w:w="0" w:type="dxa"/>
            <w:shd w:val="clear" w:color="auto" w:fill="auto"/>
            <w:vAlign w:val="center"/>
          </w:tcPr>
          <w:p w14:paraId="11F01BF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2/80 (3%)</w:t>
            </w:r>
          </w:p>
        </w:tc>
      </w:tr>
      <w:tr w:rsidR="00511D9B" w:rsidRPr="000817CB" w14:paraId="6C7BCC37" w14:textId="77777777" w:rsidTr="00511D9B">
        <w:trPr>
          <w:jc w:val="center"/>
        </w:trPr>
        <w:tc>
          <w:tcPr>
            <w:tcW w:w="0" w:type="dxa"/>
            <w:shd w:val="clear" w:color="auto" w:fill="auto"/>
            <w:vAlign w:val="center"/>
          </w:tcPr>
          <w:p w14:paraId="6AD9C31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Macrophages, Fibroblasts and Endothelial Cells in Rheumatoid Arthritis</w:t>
            </w:r>
          </w:p>
        </w:tc>
        <w:tc>
          <w:tcPr>
            <w:tcW w:w="0" w:type="dxa"/>
            <w:shd w:val="clear" w:color="auto" w:fill="auto"/>
            <w:vAlign w:val="center"/>
          </w:tcPr>
          <w:p w14:paraId="3F1EFA8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7.9</w:t>
            </w:r>
          </w:p>
        </w:tc>
        <w:tc>
          <w:tcPr>
            <w:tcW w:w="0" w:type="dxa"/>
            <w:shd w:val="clear" w:color="auto" w:fill="auto"/>
            <w:vAlign w:val="center"/>
          </w:tcPr>
          <w:p w14:paraId="227E533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0.22</w:t>
            </w:r>
          </w:p>
        </w:tc>
        <w:tc>
          <w:tcPr>
            <w:tcW w:w="0" w:type="dxa"/>
            <w:shd w:val="clear" w:color="auto" w:fill="auto"/>
            <w:vAlign w:val="center"/>
          </w:tcPr>
          <w:p w14:paraId="634BC2C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62/314 (20%)</w:t>
            </w:r>
          </w:p>
        </w:tc>
      </w:tr>
      <w:tr w:rsidR="00511D9B" w:rsidRPr="000817CB" w14:paraId="2CA73B29" w14:textId="77777777" w:rsidTr="00511D9B">
        <w:trPr>
          <w:jc w:val="center"/>
        </w:trPr>
        <w:tc>
          <w:tcPr>
            <w:tcW w:w="0" w:type="dxa"/>
            <w:shd w:val="clear" w:color="auto" w:fill="auto"/>
            <w:vAlign w:val="center"/>
          </w:tcPr>
          <w:p w14:paraId="6456533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Aryl Hydrocarbon Receptor Signalling</w:t>
            </w:r>
          </w:p>
        </w:tc>
        <w:tc>
          <w:tcPr>
            <w:tcW w:w="0" w:type="dxa"/>
            <w:shd w:val="clear" w:color="auto" w:fill="auto"/>
            <w:vAlign w:val="center"/>
          </w:tcPr>
          <w:p w14:paraId="5EC33AE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w:t>
            </w:r>
          </w:p>
        </w:tc>
        <w:tc>
          <w:tcPr>
            <w:tcW w:w="0" w:type="dxa"/>
            <w:shd w:val="clear" w:color="auto" w:fill="auto"/>
            <w:vAlign w:val="center"/>
          </w:tcPr>
          <w:p w14:paraId="02B856B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0.28</w:t>
            </w:r>
          </w:p>
        </w:tc>
        <w:tc>
          <w:tcPr>
            <w:tcW w:w="0" w:type="dxa"/>
            <w:shd w:val="clear" w:color="auto" w:fill="auto"/>
            <w:vAlign w:val="center"/>
          </w:tcPr>
          <w:p w14:paraId="74E2677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26/143 (18%)</w:t>
            </w:r>
          </w:p>
        </w:tc>
      </w:tr>
      <w:tr w:rsidR="00511D9B" w:rsidRPr="000817CB" w14:paraId="0F7CE6A9" w14:textId="77777777" w:rsidTr="00511D9B">
        <w:trPr>
          <w:jc w:val="center"/>
        </w:trPr>
        <w:tc>
          <w:tcPr>
            <w:tcW w:w="0" w:type="dxa"/>
            <w:shd w:val="clear" w:color="auto" w:fill="auto"/>
            <w:vAlign w:val="center"/>
          </w:tcPr>
          <w:p w14:paraId="26956E0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Erythropoietin Signalling Pathway</w:t>
            </w:r>
          </w:p>
        </w:tc>
        <w:tc>
          <w:tcPr>
            <w:tcW w:w="0" w:type="dxa"/>
            <w:shd w:val="clear" w:color="auto" w:fill="auto"/>
            <w:vAlign w:val="center"/>
          </w:tcPr>
          <w:p w14:paraId="4DAB167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7.6</w:t>
            </w:r>
          </w:p>
        </w:tc>
        <w:tc>
          <w:tcPr>
            <w:tcW w:w="0" w:type="dxa"/>
            <w:shd w:val="clear" w:color="auto" w:fill="auto"/>
            <w:vAlign w:val="center"/>
          </w:tcPr>
          <w:p w14:paraId="3789290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0.26</w:t>
            </w:r>
          </w:p>
        </w:tc>
        <w:tc>
          <w:tcPr>
            <w:tcW w:w="0" w:type="dxa"/>
            <w:shd w:val="clear" w:color="auto" w:fill="auto"/>
            <w:vAlign w:val="center"/>
          </w:tcPr>
          <w:p w14:paraId="23F8811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28/173 (16%)</w:t>
            </w:r>
          </w:p>
        </w:tc>
      </w:tr>
      <w:tr w:rsidR="00511D9B" w:rsidRPr="000817CB" w14:paraId="2DBFBB60" w14:textId="77777777" w:rsidTr="00511D9B">
        <w:trPr>
          <w:jc w:val="center"/>
        </w:trPr>
        <w:tc>
          <w:tcPr>
            <w:tcW w:w="0" w:type="dxa"/>
            <w:shd w:val="clear" w:color="auto" w:fill="auto"/>
            <w:vAlign w:val="center"/>
          </w:tcPr>
          <w:p w14:paraId="45A9A7A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Diff. Reg. of Cytokine Production in Macrophages and T Helper Cells by IL-17A and IL-17F</w:t>
            </w:r>
          </w:p>
        </w:tc>
        <w:tc>
          <w:tcPr>
            <w:tcW w:w="0" w:type="dxa"/>
            <w:shd w:val="clear" w:color="auto" w:fill="auto"/>
            <w:vAlign w:val="center"/>
          </w:tcPr>
          <w:p w14:paraId="1892803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7.5</w:t>
            </w:r>
          </w:p>
        </w:tc>
        <w:tc>
          <w:tcPr>
            <w:tcW w:w="0" w:type="dxa"/>
            <w:shd w:val="clear" w:color="auto" w:fill="auto"/>
            <w:vAlign w:val="center"/>
          </w:tcPr>
          <w:p w14:paraId="474DE58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0.67</w:t>
            </w:r>
          </w:p>
        </w:tc>
        <w:tc>
          <w:tcPr>
            <w:tcW w:w="0" w:type="dxa"/>
            <w:shd w:val="clear" w:color="auto" w:fill="auto"/>
            <w:vAlign w:val="center"/>
          </w:tcPr>
          <w:p w14:paraId="126AFED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1/18 (6%)</w:t>
            </w:r>
          </w:p>
        </w:tc>
      </w:tr>
      <w:tr w:rsidR="00511D9B" w:rsidRPr="000817CB" w14:paraId="3EA9C8C3" w14:textId="77777777" w:rsidTr="00511D9B">
        <w:trPr>
          <w:jc w:val="center"/>
        </w:trPr>
        <w:tc>
          <w:tcPr>
            <w:tcW w:w="0" w:type="dxa"/>
            <w:shd w:val="clear" w:color="auto" w:fill="auto"/>
            <w:vAlign w:val="center"/>
          </w:tcPr>
          <w:p w14:paraId="2F8424F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Molecular Mechanisms of Cancer</w:t>
            </w:r>
          </w:p>
        </w:tc>
        <w:tc>
          <w:tcPr>
            <w:tcW w:w="0" w:type="dxa"/>
            <w:shd w:val="clear" w:color="auto" w:fill="auto"/>
            <w:vAlign w:val="center"/>
          </w:tcPr>
          <w:p w14:paraId="7B8B28C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7.4</w:t>
            </w:r>
          </w:p>
        </w:tc>
        <w:tc>
          <w:tcPr>
            <w:tcW w:w="0" w:type="dxa"/>
            <w:shd w:val="clear" w:color="auto" w:fill="auto"/>
            <w:vAlign w:val="center"/>
          </w:tcPr>
          <w:p w14:paraId="24A8C06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0.20</w:t>
            </w:r>
          </w:p>
        </w:tc>
        <w:tc>
          <w:tcPr>
            <w:tcW w:w="0" w:type="dxa"/>
            <w:shd w:val="clear" w:color="auto" w:fill="auto"/>
            <w:vAlign w:val="center"/>
          </w:tcPr>
          <w:p w14:paraId="78E9DBF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45/400 (11%)</w:t>
            </w:r>
          </w:p>
        </w:tc>
      </w:tr>
      <w:tr w:rsidR="00511D9B" w:rsidRPr="000817CB" w14:paraId="31CCC102" w14:textId="77777777" w:rsidTr="00511D9B">
        <w:trPr>
          <w:jc w:val="center"/>
        </w:trPr>
        <w:tc>
          <w:tcPr>
            <w:tcW w:w="0" w:type="dxa"/>
            <w:shd w:val="clear" w:color="auto" w:fill="auto"/>
            <w:vAlign w:val="center"/>
          </w:tcPr>
          <w:p w14:paraId="1287B5E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Crosstalk between Dendritic Cells and Natural Killer Cells</w:t>
            </w:r>
          </w:p>
        </w:tc>
        <w:tc>
          <w:tcPr>
            <w:tcW w:w="0" w:type="dxa"/>
            <w:shd w:val="clear" w:color="auto" w:fill="auto"/>
            <w:vAlign w:val="center"/>
          </w:tcPr>
          <w:p w14:paraId="7B597F2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7.4</w:t>
            </w:r>
          </w:p>
        </w:tc>
        <w:tc>
          <w:tcPr>
            <w:tcW w:w="0" w:type="dxa"/>
            <w:shd w:val="clear" w:color="auto" w:fill="auto"/>
            <w:vAlign w:val="center"/>
          </w:tcPr>
          <w:p w14:paraId="33701C7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0.33</w:t>
            </w:r>
          </w:p>
        </w:tc>
        <w:tc>
          <w:tcPr>
            <w:tcW w:w="0" w:type="dxa"/>
            <w:shd w:val="clear" w:color="auto" w:fill="auto"/>
            <w:vAlign w:val="center"/>
          </w:tcPr>
          <w:p w14:paraId="6F01C41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11/89 (12%)</w:t>
            </w:r>
          </w:p>
        </w:tc>
      </w:tr>
      <w:tr w:rsidR="00511D9B" w:rsidRPr="000817CB" w14:paraId="1B576D5E" w14:textId="77777777" w:rsidTr="00511D9B">
        <w:trPr>
          <w:jc w:val="center"/>
        </w:trPr>
        <w:tc>
          <w:tcPr>
            <w:tcW w:w="0" w:type="dxa"/>
            <w:shd w:val="clear" w:color="auto" w:fill="auto"/>
            <w:vAlign w:val="center"/>
          </w:tcPr>
          <w:p w14:paraId="17153FF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TREM1 Signalling</w:t>
            </w:r>
          </w:p>
        </w:tc>
        <w:tc>
          <w:tcPr>
            <w:tcW w:w="0" w:type="dxa"/>
            <w:shd w:val="clear" w:color="auto" w:fill="auto"/>
            <w:vAlign w:val="center"/>
          </w:tcPr>
          <w:p w14:paraId="2543E98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w:t>
            </w:r>
          </w:p>
        </w:tc>
        <w:tc>
          <w:tcPr>
            <w:tcW w:w="0" w:type="dxa"/>
            <w:shd w:val="clear" w:color="auto" w:fill="auto"/>
            <w:vAlign w:val="center"/>
          </w:tcPr>
          <w:p w14:paraId="3963CBF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0.35</w:t>
            </w:r>
          </w:p>
        </w:tc>
        <w:tc>
          <w:tcPr>
            <w:tcW w:w="0" w:type="dxa"/>
            <w:shd w:val="clear" w:color="auto" w:fill="auto"/>
            <w:vAlign w:val="center"/>
          </w:tcPr>
          <w:p w14:paraId="4494CBB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13/75 (17%)</w:t>
            </w:r>
          </w:p>
        </w:tc>
      </w:tr>
      <w:tr w:rsidR="00511D9B" w:rsidRPr="000817CB" w14:paraId="376313A8" w14:textId="77777777" w:rsidTr="00511D9B">
        <w:trPr>
          <w:jc w:val="center"/>
        </w:trPr>
        <w:tc>
          <w:tcPr>
            <w:tcW w:w="0" w:type="dxa"/>
            <w:shd w:val="clear" w:color="auto" w:fill="auto"/>
            <w:vAlign w:val="center"/>
          </w:tcPr>
          <w:p w14:paraId="040B72B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GADD45 Signalling</w:t>
            </w:r>
          </w:p>
        </w:tc>
        <w:tc>
          <w:tcPr>
            <w:tcW w:w="0" w:type="dxa"/>
            <w:shd w:val="clear" w:color="auto" w:fill="auto"/>
            <w:vAlign w:val="center"/>
          </w:tcPr>
          <w:p w14:paraId="463D69F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7.1</w:t>
            </w:r>
          </w:p>
        </w:tc>
        <w:tc>
          <w:tcPr>
            <w:tcW w:w="0" w:type="dxa"/>
            <w:shd w:val="clear" w:color="auto" w:fill="auto"/>
            <w:vAlign w:val="center"/>
          </w:tcPr>
          <w:p w14:paraId="3D180AF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0.63</w:t>
            </w:r>
          </w:p>
        </w:tc>
        <w:tc>
          <w:tcPr>
            <w:tcW w:w="0" w:type="dxa"/>
            <w:shd w:val="clear" w:color="auto" w:fill="auto"/>
            <w:vAlign w:val="center"/>
          </w:tcPr>
          <w:p w14:paraId="5E6A845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0/19 (0%)</w:t>
            </w:r>
          </w:p>
        </w:tc>
      </w:tr>
      <w:tr w:rsidR="00511D9B" w:rsidRPr="000817CB" w14:paraId="5CB816E2" w14:textId="77777777" w:rsidTr="00511D9B">
        <w:trPr>
          <w:jc w:val="center"/>
        </w:trPr>
        <w:tc>
          <w:tcPr>
            <w:tcW w:w="0" w:type="dxa"/>
            <w:shd w:val="clear" w:color="auto" w:fill="auto"/>
            <w:vAlign w:val="center"/>
          </w:tcPr>
          <w:p w14:paraId="6EF5F40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Cytokines in Mediating Communication between Immune Cells</w:t>
            </w:r>
          </w:p>
        </w:tc>
        <w:tc>
          <w:tcPr>
            <w:tcW w:w="0" w:type="dxa"/>
            <w:shd w:val="clear" w:color="auto" w:fill="auto"/>
            <w:vAlign w:val="center"/>
          </w:tcPr>
          <w:p w14:paraId="6C9F0B1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7.0</w:t>
            </w:r>
          </w:p>
        </w:tc>
        <w:tc>
          <w:tcPr>
            <w:tcW w:w="0" w:type="dxa"/>
            <w:shd w:val="clear" w:color="auto" w:fill="auto"/>
            <w:vAlign w:val="center"/>
          </w:tcPr>
          <w:p w14:paraId="2C78DF0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0.39</w:t>
            </w:r>
          </w:p>
        </w:tc>
        <w:tc>
          <w:tcPr>
            <w:tcW w:w="0" w:type="dxa"/>
            <w:shd w:val="clear" w:color="auto" w:fill="auto"/>
            <w:vAlign w:val="center"/>
          </w:tcPr>
          <w:p w14:paraId="340FC9A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25/54 (46%)</w:t>
            </w:r>
          </w:p>
        </w:tc>
      </w:tr>
      <w:tr w:rsidR="00511D9B" w:rsidRPr="000817CB" w14:paraId="1FC121B4" w14:textId="77777777" w:rsidTr="00511D9B">
        <w:trPr>
          <w:jc w:val="center"/>
        </w:trPr>
        <w:tc>
          <w:tcPr>
            <w:tcW w:w="0" w:type="dxa"/>
            <w:shd w:val="clear" w:color="auto" w:fill="auto"/>
            <w:vAlign w:val="center"/>
          </w:tcPr>
          <w:p w14:paraId="1D52C8A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Protein Ubiquitination Pathway</w:t>
            </w:r>
          </w:p>
        </w:tc>
        <w:tc>
          <w:tcPr>
            <w:tcW w:w="0" w:type="dxa"/>
            <w:shd w:val="clear" w:color="auto" w:fill="auto"/>
            <w:vAlign w:val="center"/>
          </w:tcPr>
          <w:p w14:paraId="0BE94FE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6.9</w:t>
            </w:r>
          </w:p>
        </w:tc>
        <w:tc>
          <w:tcPr>
            <w:tcW w:w="0" w:type="dxa"/>
            <w:shd w:val="clear" w:color="auto" w:fill="auto"/>
            <w:vAlign w:val="center"/>
          </w:tcPr>
          <w:p w14:paraId="10AABCC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0.22</w:t>
            </w:r>
          </w:p>
        </w:tc>
        <w:tc>
          <w:tcPr>
            <w:tcW w:w="0" w:type="dxa"/>
            <w:shd w:val="clear" w:color="auto" w:fill="auto"/>
            <w:vAlign w:val="center"/>
          </w:tcPr>
          <w:p w14:paraId="0118640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27/273 (10%)</w:t>
            </w:r>
          </w:p>
        </w:tc>
      </w:tr>
      <w:tr w:rsidR="00511D9B" w:rsidRPr="000817CB" w14:paraId="01334EE7" w14:textId="77777777" w:rsidTr="00511D9B">
        <w:trPr>
          <w:jc w:val="center"/>
        </w:trPr>
        <w:tc>
          <w:tcPr>
            <w:tcW w:w="0" w:type="dxa"/>
            <w:gridSpan w:val="4"/>
            <w:shd w:val="clear" w:color="auto" w:fill="auto"/>
            <w:vAlign w:val="center"/>
          </w:tcPr>
          <w:p w14:paraId="4F36B7B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r>
      <w:tr w:rsidR="00511D9B" w:rsidRPr="000817CB" w14:paraId="024DE09B" w14:textId="77777777" w:rsidTr="00511D9B">
        <w:trPr>
          <w:jc w:val="center"/>
        </w:trPr>
        <w:tc>
          <w:tcPr>
            <w:tcW w:w="0" w:type="dxa"/>
            <w:gridSpan w:val="4"/>
            <w:shd w:val="clear" w:color="auto" w:fill="auto"/>
            <w:vAlign w:val="center"/>
          </w:tcPr>
          <w:p w14:paraId="2866942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b/>
              <w:t xml:space="preserve">Post </w:t>
            </w:r>
            <w:proofErr w:type="spellStart"/>
            <w:r w:rsidRPr="000817CB">
              <w:rPr>
                <w:rFonts w:ascii="Times New Roman" w:hAnsi="Times New Roman" w:cs="Times New Roman"/>
                <w:sz w:val="20"/>
              </w:rPr>
              <w:t>t</w:t>
            </w:r>
            <w:r w:rsidRPr="000817CB">
              <w:rPr>
                <w:rFonts w:ascii="Times New Roman" w:hAnsi="Times New Roman" w:cs="Times New Roman"/>
                <w:i/>
                <w:iCs/>
                <w:sz w:val="20"/>
              </w:rPr>
              <w:t>CSO</w:t>
            </w:r>
            <w:proofErr w:type="spellEnd"/>
            <w:r w:rsidRPr="000817CB">
              <w:rPr>
                <w:rFonts w:ascii="Times New Roman" w:hAnsi="Times New Roman" w:cs="Times New Roman"/>
                <w:sz w:val="20"/>
              </w:rPr>
              <w:t xml:space="preserve"> supplementation</w:t>
            </w:r>
          </w:p>
        </w:tc>
      </w:tr>
      <w:tr w:rsidR="00511D9B" w:rsidRPr="000817CB" w14:paraId="3951209D" w14:textId="77777777" w:rsidTr="00511D9B">
        <w:trPr>
          <w:jc w:val="center"/>
        </w:trPr>
        <w:tc>
          <w:tcPr>
            <w:tcW w:w="0" w:type="dxa"/>
            <w:gridSpan w:val="4"/>
            <w:shd w:val="clear" w:color="auto" w:fill="auto"/>
            <w:vAlign w:val="center"/>
          </w:tcPr>
          <w:p w14:paraId="00AE49C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p>
        </w:tc>
      </w:tr>
      <w:tr w:rsidR="00511D9B" w:rsidRPr="000817CB" w14:paraId="083A9B46" w14:textId="77777777" w:rsidTr="00511D9B">
        <w:trPr>
          <w:jc w:val="center"/>
        </w:trPr>
        <w:tc>
          <w:tcPr>
            <w:tcW w:w="0" w:type="dxa"/>
            <w:shd w:val="clear" w:color="auto" w:fill="auto"/>
            <w:vAlign w:val="center"/>
          </w:tcPr>
          <w:p w14:paraId="785CFA8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Kinetochore Metaphase Signalling Pathway</w:t>
            </w:r>
          </w:p>
        </w:tc>
        <w:tc>
          <w:tcPr>
            <w:tcW w:w="0" w:type="dxa"/>
            <w:shd w:val="clear" w:color="auto" w:fill="auto"/>
            <w:vAlign w:val="center"/>
          </w:tcPr>
          <w:p w14:paraId="2204447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14.4</w:t>
            </w:r>
          </w:p>
        </w:tc>
        <w:tc>
          <w:tcPr>
            <w:tcW w:w="0" w:type="dxa"/>
            <w:shd w:val="clear" w:color="auto" w:fill="auto"/>
            <w:vAlign w:val="center"/>
          </w:tcPr>
          <w:p w14:paraId="18C37C4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0.43</w:t>
            </w:r>
          </w:p>
        </w:tc>
        <w:tc>
          <w:tcPr>
            <w:tcW w:w="0" w:type="dxa"/>
            <w:shd w:val="clear" w:color="auto" w:fill="auto"/>
            <w:vAlign w:val="center"/>
          </w:tcPr>
          <w:p w14:paraId="1E824FC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6/101 (6%)</w:t>
            </w:r>
          </w:p>
        </w:tc>
      </w:tr>
      <w:tr w:rsidR="00511D9B" w:rsidRPr="000817CB" w14:paraId="1D1CD20C" w14:textId="77777777" w:rsidTr="00511D9B">
        <w:trPr>
          <w:jc w:val="center"/>
        </w:trPr>
        <w:tc>
          <w:tcPr>
            <w:tcW w:w="0" w:type="dxa"/>
            <w:shd w:val="clear" w:color="auto" w:fill="auto"/>
            <w:vAlign w:val="center"/>
          </w:tcPr>
          <w:p w14:paraId="4B637F1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IL-10 Signalling</w:t>
            </w:r>
          </w:p>
        </w:tc>
        <w:tc>
          <w:tcPr>
            <w:tcW w:w="0" w:type="dxa"/>
            <w:shd w:val="clear" w:color="auto" w:fill="auto"/>
            <w:vAlign w:val="center"/>
          </w:tcPr>
          <w:p w14:paraId="430F1A6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11.1</w:t>
            </w:r>
          </w:p>
        </w:tc>
        <w:tc>
          <w:tcPr>
            <w:tcW w:w="0" w:type="dxa"/>
            <w:shd w:val="clear" w:color="auto" w:fill="auto"/>
            <w:vAlign w:val="center"/>
          </w:tcPr>
          <w:p w14:paraId="3573B53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0.44</w:t>
            </w:r>
          </w:p>
        </w:tc>
        <w:tc>
          <w:tcPr>
            <w:tcW w:w="0" w:type="dxa"/>
            <w:shd w:val="clear" w:color="auto" w:fill="auto"/>
            <w:vAlign w:val="center"/>
          </w:tcPr>
          <w:p w14:paraId="32FC88E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9/70 (13%)</w:t>
            </w:r>
          </w:p>
        </w:tc>
      </w:tr>
      <w:tr w:rsidR="00511D9B" w:rsidRPr="000817CB" w14:paraId="78B89381" w14:textId="77777777" w:rsidTr="00511D9B">
        <w:trPr>
          <w:jc w:val="center"/>
        </w:trPr>
        <w:tc>
          <w:tcPr>
            <w:tcW w:w="0" w:type="dxa"/>
            <w:shd w:val="clear" w:color="auto" w:fill="auto"/>
            <w:vAlign w:val="center"/>
          </w:tcPr>
          <w:p w14:paraId="75B2DED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Th1 and Th2 Activation Pathway</w:t>
            </w:r>
          </w:p>
        </w:tc>
        <w:tc>
          <w:tcPr>
            <w:tcW w:w="0" w:type="dxa"/>
            <w:shd w:val="clear" w:color="auto" w:fill="auto"/>
            <w:vAlign w:val="center"/>
          </w:tcPr>
          <w:p w14:paraId="6A1AC43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w:t>
            </w:r>
          </w:p>
        </w:tc>
        <w:tc>
          <w:tcPr>
            <w:tcW w:w="0" w:type="dxa"/>
            <w:shd w:val="clear" w:color="auto" w:fill="auto"/>
            <w:vAlign w:val="center"/>
          </w:tcPr>
          <w:p w14:paraId="1FE5D56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0.31</w:t>
            </w:r>
          </w:p>
        </w:tc>
        <w:tc>
          <w:tcPr>
            <w:tcW w:w="0" w:type="dxa"/>
            <w:shd w:val="clear" w:color="auto" w:fill="auto"/>
            <w:vAlign w:val="center"/>
          </w:tcPr>
          <w:p w14:paraId="4F39D54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19/171 (11%)</w:t>
            </w:r>
          </w:p>
        </w:tc>
      </w:tr>
      <w:tr w:rsidR="00511D9B" w:rsidRPr="000817CB" w14:paraId="4F80B0DF" w14:textId="77777777" w:rsidTr="00511D9B">
        <w:trPr>
          <w:jc w:val="center"/>
        </w:trPr>
        <w:tc>
          <w:tcPr>
            <w:tcW w:w="0" w:type="dxa"/>
            <w:shd w:val="clear" w:color="auto" w:fill="auto"/>
            <w:vAlign w:val="center"/>
          </w:tcPr>
          <w:p w14:paraId="5BFFC65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Hepatic Fibrosis / Hepatic Stellate Cell Activation</w:t>
            </w:r>
          </w:p>
        </w:tc>
        <w:tc>
          <w:tcPr>
            <w:tcW w:w="0" w:type="dxa"/>
            <w:shd w:val="clear" w:color="auto" w:fill="auto"/>
            <w:vAlign w:val="center"/>
          </w:tcPr>
          <w:p w14:paraId="7E68782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10.5</w:t>
            </w:r>
          </w:p>
        </w:tc>
        <w:tc>
          <w:tcPr>
            <w:tcW w:w="0" w:type="dxa"/>
            <w:shd w:val="clear" w:color="auto" w:fill="auto"/>
            <w:vAlign w:val="center"/>
          </w:tcPr>
          <w:p w14:paraId="08D56E3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0.30</w:t>
            </w:r>
          </w:p>
        </w:tc>
        <w:tc>
          <w:tcPr>
            <w:tcW w:w="0" w:type="dxa"/>
            <w:shd w:val="clear" w:color="auto" w:fill="auto"/>
            <w:vAlign w:val="center"/>
          </w:tcPr>
          <w:p w14:paraId="7EF31BD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50/186 (27%)</w:t>
            </w:r>
          </w:p>
        </w:tc>
      </w:tr>
      <w:tr w:rsidR="00511D9B" w:rsidRPr="000817CB" w14:paraId="102DDD28" w14:textId="77777777" w:rsidTr="00511D9B">
        <w:trPr>
          <w:jc w:val="center"/>
        </w:trPr>
        <w:tc>
          <w:tcPr>
            <w:tcW w:w="0" w:type="dxa"/>
            <w:shd w:val="clear" w:color="auto" w:fill="auto"/>
            <w:vAlign w:val="center"/>
          </w:tcPr>
          <w:p w14:paraId="170E2ED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Airway Pathology in Chronic Obstructive Pulmonary Disease</w:t>
            </w:r>
          </w:p>
        </w:tc>
        <w:tc>
          <w:tcPr>
            <w:tcW w:w="0" w:type="dxa"/>
            <w:shd w:val="clear" w:color="auto" w:fill="auto"/>
            <w:vAlign w:val="center"/>
          </w:tcPr>
          <w:p w14:paraId="16286B3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10.4</w:t>
            </w:r>
          </w:p>
        </w:tc>
        <w:tc>
          <w:tcPr>
            <w:tcW w:w="0" w:type="dxa"/>
            <w:shd w:val="clear" w:color="auto" w:fill="auto"/>
            <w:vAlign w:val="center"/>
          </w:tcPr>
          <w:p w14:paraId="27A5E6C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0.35</w:t>
            </w:r>
          </w:p>
        </w:tc>
        <w:tc>
          <w:tcPr>
            <w:tcW w:w="0" w:type="dxa"/>
            <w:shd w:val="clear" w:color="auto" w:fill="auto"/>
            <w:vAlign w:val="center"/>
          </w:tcPr>
          <w:p w14:paraId="229383A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42/118 (36%)</w:t>
            </w:r>
          </w:p>
        </w:tc>
      </w:tr>
      <w:tr w:rsidR="00511D9B" w:rsidRPr="000817CB" w14:paraId="1D9DAD18" w14:textId="77777777" w:rsidTr="00511D9B">
        <w:trPr>
          <w:jc w:val="center"/>
        </w:trPr>
        <w:tc>
          <w:tcPr>
            <w:tcW w:w="0" w:type="dxa"/>
            <w:shd w:val="clear" w:color="auto" w:fill="auto"/>
            <w:vAlign w:val="center"/>
          </w:tcPr>
          <w:p w14:paraId="4A8A124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lastRenderedPageBreak/>
              <w:t>Hepatic Cholestasis</w:t>
            </w:r>
          </w:p>
        </w:tc>
        <w:tc>
          <w:tcPr>
            <w:tcW w:w="0" w:type="dxa"/>
            <w:shd w:val="clear" w:color="auto" w:fill="auto"/>
            <w:vAlign w:val="center"/>
          </w:tcPr>
          <w:p w14:paraId="2DED452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9.9</w:t>
            </w:r>
          </w:p>
        </w:tc>
        <w:tc>
          <w:tcPr>
            <w:tcW w:w="0" w:type="dxa"/>
            <w:shd w:val="clear" w:color="auto" w:fill="auto"/>
            <w:vAlign w:val="center"/>
          </w:tcPr>
          <w:p w14:paraId="0283BF7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0.29</w:t>
            </w:r>
          </w:p>
        </w:tc>
        <w:tc>
          <w:tcPr>
            <w:tcW w:w="0" w:type="dxa"/>
            <w:shd w:val="clear" w:color="auto" w:fill="auto"/>
            <w:vAlign w:val="center"/>
          </w:tcPr>
          <w:p w14:paraId="135421B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46/186 (25%)</w:t>
            </w:r>
          </w:p>
        </w:tc>
      </w:tr>
      <w:tr w:rsidR="00511D9B" w:rsidRPr="000817CB" w14:paraId="0004C2CA" w14:textId="77777777" w:rsidTr="00511D9B">
        <w:trPr>
          <w:jc w:val="center"/>
        </w:trPr>
        <w:tc>
          <w:tcPr>
            <w:tcW w:w="0" w:type="dxa"/>
            <w:shd w:val="clear" w:color="auto" w:fill="auto"/>
            <w:vAlign w:val="center"/>
          </w:tcPr>
          <w:p w14:paraId="45062CC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Diff. Reg. of Cytokine Production in Macrophages and T Helper Cells by IL-17A and IL-17F</w:t>
            </w:r>
          </w:p>
        </w:tc>
        <w:tc>
          <w:tcPr>
            <w:tcW w:w="0" w:type="dxa"/>
            <w:shd w:val="clear" w:color="auto" w:fill="auto"/>
            <w:vAlign w:val="center"/>
          </w:tcPr>
          <w:p w14:paraId="18F013C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9.8</w:t>
            </w:r>
          </w:p>
        </w:tc>
        <w:tc>
          <w:tcPr>
            <w:tcW w:w="0" w:type="dxa"/>
            <w:shd w:val="clear" w:color="auto" w:fill="auto"/>
            <w:vAlign w:val="center"/>
          </w:tcPr>
          <w:p w14:paraId="4D33721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0.78</w:t>
            </w:r>
          </w:p>
        </w:tc>
        <w:tc>
          <w:tcPr>
            <w:tcW w:w="0" w:type="dxa"/>
            <w:shd w:val="clear" w:color="auto" w:fill="auto"/>
            <w:vAlign w:val="center"/>
          </w:tcPr>
          <w:p w14:paraId="49ACAA0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1/18 (6%)</w:t>
            </w:r>
          </w:p>
        </w:tc>
      </w:tr>
      <w:tr w:rsidR="00511D9B" w:rsidRPr="000817CB" w14:paraId="7F745FE0" w14:textId="77777777" w:rsidTr="00511D9B">
        <w:trPr>
          <w:jc w:val="center"/>
        </w:trPr>
        <w:tc>
          <w:tcPr>
            <w:tcW w:w="0" w:type="dxa"/>
            <w:shd w:val="clear" w:color="auto" w:fill="auto"/>
            <w:vAlign w:val="center"/>
          </w:tcPr>
          <w:p w14:paraId="51B181D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Pattern Recognition Receptors in Recognition of Bacteria and Viruses</w:t>
            </w:r>
          </w:p>
        </w:tc>
        <w:tc>
          <w:tcPr>
            <w:tcW w:w="0" w:type="dxa"/>
            <w:shd w:val="clear" w:color="auto" w:fill="auto"/>
            <w:vAlign w:val="center"/>
          </w:tcPr>
          <w:p w14:paraId="21CF19B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9.6</w:t>
            </w:r>
          </w:p>
        </w:tc>
        <w:tc>
          <w:tcPr>
            <w:tcW w:w="0" w:type="dxa"/>
            <w:shd w:val="clear" w:color="auto" w:fill="auto"/>
            <w:vAlign w:val="center"/>
          </w:tcPr>
          <w:p w14:paraId="211AEF9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0.31</w:t>
            </w:r>
          </w:p>
        </w:tc>
        <w:tc>
          <w:tcPr>
            <w:tcW w:w="0" w:type="dxa"/>
            <w:shd w:val="clear" w:color="auto" w:fill="auto"/>
            <w:vAlign w:val="center"/>
          </w:tcPr>
          <w:p w14:paraId="2166CA8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31/154 (20%)</w:t>
            </w:r>
          </w:p>
        </w:tc>
      </w:tr>
      <w:tr w:rsidR="00511D9B" w:rsidRPr="000817CB" w14:paraId="43C2103B" w14:textId="77777777" w:rsidTr="00511D9B">
        <w:trPr>
          <w:jc w:val="center"/>
        </w:trPr>
        <w:tc>
          <w:tcPr>
            <w:tcW w:w="0" w:type="dxa"/>
            <w:shd w:val="clear" w:color="auto" w:fill="auto"/>
            <w:vAlign w:val="center"/>
          </w:tcPr>
          <w:p w14:paraId="2E8F157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STAT3 Pathway</w:t>
            </w:r>
          </w:p>
        </w:tc>
        <w:tc>
          <w:tcPr>
            <w:tcW w:w="0" w:type="dxa"/>
            <w:shd w:val="clear" w:color="auto" w:fill="auto"/>
            <w:vAlign w:val="center"/>
          </w:tcPr>
          <w:p w14:paraId="4237C1F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9.4</w:t>
            </w:r>
          </w:p>
        </w:tc>
        <w:tc>
          <w:tcPr>
            <w:tcW w:w="0" w:type="dxa"/>
            <w:shd w:val="clear" w:color="auto" w:fill="auto"/>
            <w:vAlign w:val="center"/>
          </w:tcPr>
          <w:p w14:paraId="7018CFA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0.32</w:t>
            </w:r>
          </w:p>
        </w:tc>
        <w:tc>
          <w:tcPr>
            <w:tcW w:w="0" w:type="dxa"/>
            <w:shd w:val="clear" w:color="auto" w:fill="auto"/>
            <w:vAlign w:val="center"/>
          </w:tcPr>
          <w:p w14:paraId="02E26ED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11/135 (8%)</w:t>
            </w:r>
          </w:p>
        </w:tc>
      </w:tr>
      <w:tr w:rsidR="00511D9B" w:rsidRPr="000817CB" w14:paraId="27242D9A" w14:textId="77777777" w:rsidTr="00511D9B">
        <w:trPr>
          <w:jc w:val="center"/>
        </w:trPr>
        <w:tc>
          <w:tcPr>
            <w:tcW w:w="0" w:type="dxa"/>
            <w:shd w:val="clear" w:color="auto" w:fill="auto"/>
            <w:vAlign w:val="center"/>
          </w:tcPr>
          <w:p w14:paraId="06F58C2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IL-17 Signalling</w:t>
            </w:r>
          </w:p>
        </w:tc>
        <w:tc>
          <w:tcPr>
            <w:tcW w:w="0" w:type="dxa"/>
            <w:shd w:val="clear" w:color="auto" w:fill="auto"/>
            <w:vAlign w:val="center"/>
          </w:tcPr>
          <w:p w14:paraId="150E105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8.9</w:t>
            </w:r>
          </w:p>
        </w:tc>
        <w:tc>
          <w:tcPr>
            <w:tcW w:w="0" w:type="dxa"/>
            <w:shd w:val="clear" w:color="auto" w:fill="auto"/>
            <w:vAlign w:val="center"/>
          </w:tcPr>
          <w:p w14:paraId="57962D4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0.28</w:t>
            </w:r>
          </w:p>
        </w:tc>
        <w:tc>
          <w:tcPr>
            <w:tcW w:w="0" w:type="dxa"/>
            <w:shd w:val="clear" w:color="auto" w:fill="auto"/>
            <w:vAlign w:val="center"/>
          </w:tcPr>
          <w:p w14:paraId="3753DBC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55/187 (29%)</w:t>
            </w:r>
          </w:p>
        </w:tc>
      </w:tr>
      <w:tr w:rsidR="00511D9B" w:rsidRPr="000817CB" w14:paraId="782868B8" w14:textId="77777777" w:rsidTr="00511D9B">
        <w:trPr>
          <w:jc w:val="center"/>
        </w:trPr>
        <w:tc>
          <w:tcPr>
            <w:tcW w:w="0" w:type="dxa"/>
            <w:shd w:val="clear" w:color="auto" w:fill="auto"/>
            <w:vAlign w:val="center"/>
          </w:tcPr>
          <w:p w14:paraId="31F6368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Differential Regulation of Cytokine Production in Intestinal Epithelial Cells by IL-17A and IL-17F</w:t>
            </w:r>
          </w:p>
        </w:tc>
        <w:tc>
          <w:tcPr>
            <w:tcW w:w="0" w:type="dxa"/>
            <w:shd w:val="clear" w:color="auto" w:fill="auto"/>
            <w:vAlign w:val="center"/>
          </w:tcPr>
          <w:p w14:paraId="4D969AC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8.7</w:t>
            </w:r>
          </w:p>
        </w:tc>
        <w:tc>
          <w:tcPr>
            <w:tcW w:w="0" w:type="dxa"/>
            <w:shd w:val="clear" w:color="auto" w:fill="auto"/>
            <w:vAlign w:val="center"/>
          </w:tcPr>
          <w:p w14:paraId="25BBC36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0.65</w:t>
            </w:r>
          </w:p>
        </w:tc>
        <w:tc>
          <w:tcPr>
            <w:tcW w:w="0" w:type="dxa"/>
            <w:shd w:val="clear" w:color="auto" w:fill="auto"/>
            <w:vAlign w:val="center"/>
          </w:tcPr>
          <w:p w14:paraId="2F44A98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4/23 (17%)</w:t>
            </w:r>
          </w:p>
        </w:tc>
      </w:tr>
      <w:tr w:rsidR="00511D9B" w:rsidRPr="000817CB" w14:paraId="4DC539DC" w14:textId="77777777" w:rsidTr="00511D9B">
        <w:trPr>
          <w:jc w:val="center"/>
        </w:trPr>
        <w:tc>
          <w:tcPr>
            <w:tcW w:w="0" w:type="dxa"/>
            <w:shd w:val="clear" w:color="auto" w:fill="auto"/>
            <w:vAlign w:val="center"/>
          </w:tcPr>
          <w:p w14:paraId="4146626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Granulocyte Adhesion and Diapedesis</w:t>
            </w:r>
          </w:p>
        </w:tc>
        <w:tc>
          <w:tcPr>
            <w:tcW w:w="0" w:type="dxa"/>
            <w:shd w:val="clear" w:color="auto" w:fill="auto"/>
            <w:vAlign w:val="center"/>
          </w:tcPr>
          <w:p w14:paraId="4439606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8.2</w:t>
            </w:r>
          </w:p>
        </w:tc>
        <w:tc>
          <w:tcPr>
            <w:tcW w:w="0" w:type="dxa"/>
            <w:shd w:val="clear" w:color="auto" w:fill="auto"/>
            <w:vAlign w:val="center"/>
          </w:tcPr>
          <w:p w14:paraId="68354E7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0.28</w:t>
            </w:r>
          </w:p>
        </w:tc>
        <w:tc>
          <w:tcPr>
            <w:tcW w:w="0" w:type="dxa"/>
            <w:shd w:val="clear" w:color="auto" w:fill="auto"/>
            <w:vAlign w:val="center"/>
          </w:tcPr>
          <w:p w14:paraId="600F809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67/173 (39%)</w:t>
            </w:r>
          </w:p>
        </w:tc>
      </w:tr>
      <w:tr w:rsidR="00511D9B" w:rsidRPr="000817CB" w14:paraId="048FF5CC" w14:textId="77777777" w:rsidTr="00511D9B">
        <w:trPr>
          <w:jc w:val="center"/>
        </w:trPr>
        <w:tc>
          <w:tcPr>
            <w:tcW w:w="0" w:type="dxa"/>
            <w:shd w:val="clear" w:color="auto" w:fill="auto"/>
            <w:vAlign w:val="center"/>
          </w:tcPr>
          <w:p w14:paraId="2249835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Cytokines in Mediating Communication between Immune Cells</w:t>
            </w:r>
          </w:p>
        </w:tc>
        <w:tc>
          <w:tcPr>
            <w:tcW w:w="0" w:type="dxa"/>
            <w:shd w:val="clear" w:color="auto" w:fill="auto"/>
            <w:vAlign w:val="center"/>
          </w:tcPr>
          <w:p w14:paraId="793F7E7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w:t>
            </w:r>
          </w:p>
        </w:tc>
        <w:tc>
          <w:tcPr>
            <w:tcW w:w="0" w:type="dxa"/>
            <w:shd w:val="clear" w:color="auto" w:fill="auto"/>
            <w:vAlign w:val="center"/>
          </w:tcPr>
          <w:p w14:paraId="13E34C0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0.43</w:t>
            </w:r>
          </w:p>
        </w:tc>
        <w:tc>
          <w:tcPr>
            <w:tcW w:w="0" w:type="dxa"/>
            <w:shd w:val="clear" w:color="auto" w:fill="auto"/>
            <w:vAlign w:val="center"/>
          </w:tcPr>
          <w:p w14:paraId="11E7CC2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22/54 (41%)</w:t>
            </w:r>
          </w:p>
        </w:tc>
      </w:tr>
      <w:tr w:rsidR="00511D9B" w:rsidRPr="000817CB" w14:paraId="653FEC2D" w14:textId="77777777" w:rsidTr="00511D9B">
        <w:trPr>
          <w:jc w:val="center"/>
        </w:trPr>
        <w:tc>
          <w:tcPr>
            <w:tcW w:w="0" w:type="dxa"/>
            <w:shd w:val="clear" w:color="auto" w:fill="auto"/>
            <w:vAlign w:val="center"/>
          </w:tcPr>
          <w:p w14:paraId="21D54FB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Role of BRCA1 in DNA Damage Response</w:t>
            </w:r>
          </w:p>
        </w:tc>
        <w:tc>
          <w:tcPr>
            <w:tcW w:w="0" w:type="dxa"/>
            <w:shd w:val="clear" w:color="auto" w:fill="auto"/>
            <w:vAlign w:val="center"/>
          </w:tcPr>
          <w:p w14:paraId="0F606A6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w:t>
            </w:r>
          </w:p>
        </w:tc>
        <w:tc>
          <w:tcPr>
            <w:tcW w:w="0" w:type="dxa"/>
            <w:shd w:val="clear" w:color="auto" w:fill="auto"/>
            <w:vAlign w:val="center"/>
          </w:tcPr>
          <w:p w14:paraId="00DE2D5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0.36</w:t>
            </w:r>
          </w:p>
        </w:tc>
        <w:tc>
          <w:tcPr>
            <w:tcW w:w="0" w:type="dxa"/>
            <w:shd w:val="clear" w:color="auto" w:fill="auto"/>
            <w:vAlign w:val="center"/>
          </w:tcPr>
          <w:p w14:paraId="667D054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1/80 (1%)</w:t>
            </w:r>
          </w:p>
        </w:tc>
      </w:tr>
      <w:tr w:rsidR="00511D9B" w:rsidRPr="000817CB" w14:paraId="40FD0586" w14:textId="77777777" w:rsidTr="00511D9B">
        <w:trPr>
          <w:jc w:val="center"/>
        </w:trPr>
        <w:tc>
          <w:tcPr>
            <w:tcW w:w="0" w:type="dxa"/>
            <w:shd w:val="clear" w:color="auto" w:fill="auto"/>
            <w:vAlign w:val="center"/>
          </w:tcPr>
          <w:p w14:paraId="605463E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HMGB1 Signalling</w:t>
            </w:r>
          </w:p>
        </w:tc>
        <w:tc>
          <w:tcPr>
            <w:tcW w:w="0" w:type="dxa"/>
            <w:shd w:val="clear" w:color="auto" w:fill="auto"/>
            <w:vAlign w:val="center"/>
          </w:tcPr>
          <w:p w14:paraId="208A2BF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8.0</w:t>
            </w:r>
          </w:p>
        </w:tc>
        <w:tc>
          <w:tcPr>
            <w:tcW w:w="0" w:type="dxa"/>
            <w:shd w:val="clear" w:color="auto" w:fill="auto"/>
            <w:vAlign w:val="center"/>
          </w:tcPr>
          <w:p w14:paraId="6FC4F39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0.28</w:t>
            </w:r>
          </w:p>
        </w:tc>
        <w:tc>
          <w:tcPr>
            <w:tcW w:w="0" w:type="dxa"/>
            <w:shd w:val="clear" w:color="auto" w:fill="auto"/>
            <w:vAlign w:val="center"/>
          </w:tcPr>
          <w:p w14:paraId="71C22B1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24/165 (15%)</w:t>
            </w:r>
          </w:p>
        </w:tc>
      </w:tr>
      <w:tr w:rsidR="00511D9B" w:rsidRPr="000817CB" w14:paraId="3D130922" w14:textId="77777777" w:rsidTr="00511D9B">
        <w:trPr>
          <w:jc w:val="center"/>
        </w:trPr>
        <w:tc>
          <w:tcPr>
            <w:tcW w:w="0" w:type="dxa"/>
            <w:shd w:val="clear" w:color="auto" w:fill="auto"/>
            <w:vAlign w:val="center"/>
          </w:tcPr>
          <w:p w14:paraId="45C9C79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Altered T Cell and B Cell Signalling in Rheumatoid Arthritis</w:t>
            </w:r>
          </w:p>
        </w:tc>
        <w:tc>
          <w:tcPr>
            <w:tcW w:w="0" w:type="dxa"/>
            <w:shd w:val="clear" w:color="auto" w:fill="auto"/>
            <w:vAlign w:val="center"/>
          </w:tcPr>
          <w:p w14:paraId="68FB9505"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7.9</w:t>
            </w:r>
          </w:p>
        </w:tc>
        <w:tc>
          <w:tcPr>
            <w:tcW w:w="0" w:type="dxa"/>
            <w:shd w:val="clear" w:color="auto" w:fill="auto"/>
            <w:vAlign w:val="center"/>
          </w:tcPr>
          <w:p w14:paraId="1690C97E"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0.34</w:t>
            </w:r>
          </w:p>
        </w:tc>
        <w:tc>
          <w:tcPr>
            <w:tcW w:w="0" w:type="dxa"/>
            <w:shd w:val="clear" w:color="auto" w:fill="auto"/>
            <w:vAlign w:val="center"/>
          </w:tcPr>
          <w:p w14:paraId="4B8EB71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20/90 (22%)</w:t>
            </w:r>
          </w:p>
        </w:tc>
      </w:tr>
      <w:tr w:rsidR="00511D9B" w:rsidRPr="000817CB" w14:paraId="278913F7" w14:textId="77777777" w:rsidTr="00511D9B">
        <w:trPr>
          <w:jc w:val="center"/>
        </w:trPr>
        <w:tc>
          <w:tcPr>
            <w:tcW w:w="0" w:type="dxa"/>
            <w:shd w:val="clear" w:color="auto" w:fill="auto"/>
            <w:vAlign w:val="center"/>
          </w:tcPr>
          <w:p w14:paraId="1E522908"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Airway Inflammation in Asthma</w:t>
            </w:r>
          </w:p>
        </w:tc>
        <w:tc>
          <w:tcPr>
            <w:tcW w:w="0" w:type="dxa"/>
            <w:shd w:val="clear" w:color="auto" w:fill="auto"/>
            <w:vAlign w:val="center"/>
          </w:tcPr>
          <w:p w14:paraId="50FCDCE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7.9</w:t>
            </w:r>
          </w:p>
        </w:tc>
        <w:tc>
          <w:tcPr>
            <w:tcW w:w="0" w:type="dxa"/>
            <w:shd w:val="clear" w:color="auto" w:fill="auto"/>
            <w:vAlign w:val="center"/>
          </w:tcPr>
          <w:p w14:paraId="0FB3E20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0.53</w:t>
            </w:r>
          </w:p>
        </w:tc>
        <w:tc>
          <w:tcPr>
            <w:tcW w:w="0" w:type="dxa"/>
            <w:shd w:val="clear" w:color="auto" w:fill="auto"/>
            <w:vAlign w:val="center"/>
          </w:tcPr>
          <w:p w14:paraId="02F2613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3/32 (9%)</w:t>
            </w:r>
          </w:p>
        </w:tc>
      </w:tr>
      <w:tr w:rsidR="00511D9B" w:rsidRPr="000817CB" w14:paraId="752197FF" w14:textId="77777777" w:rsidTr="00511D9B">
        <w:trPr>
          <w:jc w:val="center"/>
        </w:trPr>
        <w:tc>
          <w:tcPr>
            <w:tcW w:w="0" w:type="dxa"/>
            <w:shd w:val="clear" w:color="auto" w:fill="auto"/>
            <w:vAlign w:val="center"/>
          </w:tcPr>
          <w:p w14:paraId="50CFA40D"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Cardiac Hypertrophy Signalling (Enhanced)</w:t>
            </w:r>
          </w:p>
        </w:tc>
        <w:tc>
          <w:tcPr>
            <w:tcW w:w="0" w:type="dxa"/>
            <w:shd w:val="clear" w:color="auto" w:fill="auto"/>
            <w:vAlign w:val="center"/>
          </w:tcPr>
          <w:p w14:paraId="48D575D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w:t>
            </w:r>
          </w:p>
        </w:tc>
        <w:tc>
          <w:tcPr>
            <w:tcW w:w="0" w:type="dxa"/>
            <w:shd w:val="clear" w:color="auto" w:fill="auto"/>
            <w:vAlign w:val="center"/>
          </w:tcPr>
          <w:p w14:paraId="4016A142"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0.20</w:t>
            </w:r>
          </w:p>
        </w:tc>
        <w:tc>
          <w:tcPr>
            <w:tcW w:w="0" w:type="dxa"/>
            <w:shd w:val="clear" w:color="auto" w:fill="auto"/>
            <w:vAlign w:val="center"/>
          </w:tcPr>
          <w:p w14:paraId="3F3526E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92/497 (19%)</w:t>
            </w:r>
          </w:p>
        </w:tc>
      </w:tr>
      <w:tr w:rsidR="00511D9B" w:rsidRPr="000817CB" w14:paraId="52214946" w14:textId="77777777" w:rsidTr="00511D9B">
        <w:trPr>
          <w:jc w:val="center"/>
        </w:trPr>
        <w:tc>
          <w:tcPr>
            <w:tcW w:w="0" w:type="dxa"/>
            <w:shd w:val="clear" w:color="auto" w:fill="auto"/>
            <w:vAlign w:val="center"/>
          </w:tcPr>
          <w:p w14:paraId="24D1010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Systemic Lupus Erythematosus In B Cell Signalling Pathway</w:t>
            </w:r>
          </w:p>
        </w:tc>
        <w:tc>
          <w:tcPr>
            <w:tcW w:w="0" w:type="dxa"/>
            <w:shd w:val="clear" w:color="auto" w:fill="auto"/>
            <w:vAlign w:val="center"/>
          </w:tcPr>
          <w:p w14:paraId="012253D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7.8</w:t>
            </w:r>
          </w:p>
        </w:tc>
        <w:tc>
          <w:tcPr>
            <w:tcW w:w="0" w:type="dxa"/>
            <w:shd w:val="clear" w:color="auto" w:fill="auto"/>
            <w:vAlign w:val="center"/>
          </w:tcPr>
          <w:p w14:paraId="1CF6820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0.24</w:t>
            </w:r>
          </w:p>
        </w:tc>
        <w:tc>
          <w:tcPr>
            <w:tcW w:w="0" w:type="dxa"/>
            <w:shd w:val="clear" w:color="auto" w:fill="auto"/>
            <w:vAlign w:val="center"/>
          </w:tcPr>
          <w:p w14:paraId="37E7C94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43/275 (16%)</w:t>
            </w:r>
          </w:p>
        </w:tc>
      </w:tr>
      <w:tr w:rsidR="00511D9B" w:rsidRPr="000817CB" w14:paraId="6D53606A" w14:textId="77777777" w:rsidTr="00511D9B">
        <w:trPr>
          <w:jc w:val="center"/>
        </w:trPr>
        <w:tc>
          <w:tcPr>
            <w:tcW w:w="0" w:type="dxa"/>
            <w:shd w:val="clear" w:color="auto" w:fill="auto"/>
            <w:vAlign w:val="center"/>
          </w:tcPr>
          <w:p w14:paraId="6204E57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Th2 Pathway</w:t>
            </w:r>
          </w:p>
        </w:tc>
        <w:tc>
          <w:tcPr>
            <w:tcW w:w="0" w:type="dxa"/>
            <w:shd w:val="clear" w:color="auto" w:fill="auto"/>
            <w:vAlign w:val="center"/>
          </w:tcPr>
          <w:p w14:paraId="70E4A4D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7.7</w:t>
            </w:r>
          </w:p>
        </w:tc>
        <w:tc>
          <w:tcPr>
            <w:tcW w:w="0" w:type="dxa"/>
            <w:shd w:val="clear" w:color="auto" w:fill="auto"/>
            <w:vAlign w:val="center"/>
          </w:tcPr>
          <w:p w14:paraId="0E94509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0.29</w:t>
            </w:r>
          </w:p>
        </w:tc>
        <w:tc>
          <w:tcPr>
            <w:tcW w:w="0" w:type="dxa"/>
            <w:shd w:val="clear" w:color="auto" w:fill="auto"/>
            <w:vAlign w:val="center"/>
          </w:tcPr>
          <w:p w14:paraId="6AE4F9E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15/136 (11%)</w:t>
            </w:r>
          </w:p>
        </w:tc>
      </w:tr>
      <w:tr w:rsidR="00511D9B" w:rsidRPr="000817CB" w14:paraId="402717C9" w14:textId="77777777" w:rsidTr="00511D9B">
        <w:trPr>
          <w:jc w:val="center"/>
        </w:trPr>
        <w:tc>
          <w:tcPr>
            <w:tcW w:w="0" w:type="dxa"/>
            <w:shd w:val="clear" w:color="auto" w:fill="auto"/>
            <w:vAlign w:val="center"/>
          </w:tcPr>
          <w:p w14:paraId="32A6B28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Aryl Hydrocarbon Receptor Signalling</w:t>
            </w:r>
          </w:p>
        </w:tc>
        <w:tc>
          <w:tcPr>
            <w:tcW w:w="0" w:type="dxa"/>
            <w:shd w:val="clear" w:color="auto" w:fill="auto"/>
            <w:vAlign w:val="center"/>
          </w:tcPr>
          <w:p w14:paraId="401BADCC"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7.6</w:t>
            </w:r>
          </w:p>
        </w:tc>
        <w:tc>
          <w:tcPr>
            <w:tcW w:w="0" w:type="dxa"/>
            <w:shd w:val="clear" w:color="auto" w:fill="auto"/>
            <w:vAlign w:val="center"/>
          </w:tcPr>
          <w:p w14:paraId="00E7534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0.29</w:t>
            </w:r>
          </w:p>
        </w:tc>
        <w:tc>
          <w:tcPr>
            <w:tcW w:w="0" w:type="dxa"/>
            <w:shd w:val="clear" w:color="auto" w:fill="auto"/>
            <w:vAlign w:val="center"/>
          </w:tcPr>
          <w:p w14:paraId="4571F73F"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23/143 (16%)</w:t>
            </w:r>
          </w:p>
        </w:tc>
      </w:tr>
      <w:tr w:rsidR="00511D9B" w:rsidRPr="000817CB" w14:paraId="26828E1C" w14:textId="77777777" w:rsidTr="00511D9B">
        <w:trPr>
          <w:jc w:val="center"/>
        </w:trPr>
        <w:tc>
          <w:tcPr>
            <w:tcW w:w="0" w:type="dxa"/>
            <w:shd w:val="clear" w:color="auto" w:fill="auto"/>
            <w:vAlign w:val="center"/>
          </w:tcPr>
          <w:p w14:paraId="36C84E8A"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Cell Cycle: G2/M DNA Damage Checkpoint Regulation</w:t>
            </w:r>
          </w:p>
        </w:tc>
        <w:tc>
          <w:tcPr>
            <w:tcW w:w="0" w:type="dxa"/>
            <w:shd w:val="clear" w:color="auto" w:fill="auto"/>
            <w:vAlign w:val="center"/>
          </w:tcPr>
          <w:p w14:paraId="3D79D9C7"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7.5</w:t>
            </w:r>
          </w:p>
        </w:tc>
        <w:tc>
          <w:tcPr>
            <w:tcW w:w="0" w:type="dxa"/>
            <w:shd w:val="clear" w:color="auto" w:fill="auto"/>
            <w:vAlign w:val="center"/>
          </w:tcPr>
          <w:p w14:paraId="06A4726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0.43</w:t>
            </w:r>
          </w:p>
        </w:tc>
        <w:tc>
          <w:tcPr>
            <w:tcW w:w="0" w:type="dxa"/>
            <w:shd w:val="clear" w:color="auto" w:fill="auto"/>
            <w:vAlign w:val="center"/>
          </w:tcPr>
          <w:p w14:paraId="6DC4808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0/49 (0%)</w:t>
            </w:r>
          </w:p>
        </w:tc>
      </w:tr>
      <w:tr w:rsidR="00511D9B" w:rsidRPr="000817CB" w14:paraId="45C50521" w14:textId="77777777" w:rsidTr="00511D9B">
        <w:trPr>
          <w:jc w:val="center"/>
        </w:trPr>
        <w:tc>
          <w:tcPr>
            <w:tcW w:w="0" w:type="dxa"/>
            <w:shd w:val="clear" w:color="auto" w:fill="auto"/>
            <w:vAlign w:val="center"/>
          </w:tcPr>
          <w:p w14:paraId="7992995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PI3K/AKT Signalling</w:t>
            </w:r>
          </w:p>
        </w:tc>
        <w:tc>
          <w:tcPr>
            <w:tcW w:w="0" w:type="dxa"/>
            <w:shd w:val="clear" w:color="auto" w:fill="auto"/>
            <w:vAlign w:val="center"/>
          </w:tcPr>
          <w:p w14:paraId="0810ADC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w:t>
            </w:r>
          </w:p>
        </w:tc>
        <w:tc>
          <w:tcPr>
            <w:tcW w:w="0" w:type="dxa"/>
            <w:shd w:val="clear" w:color="auto" w:fill="auto"/>
            <w:vAlign w:val="center"/>
          </w:tcPr>
          <w:p w14:paraId="02E6FD1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0.26</w:t>
            </w:r>
          </w:p>
        </w:tc>
        <w:tc>
          <w:tcPr>
            <w:tcW w:w="0" w:type="dxa"/>
            <w:shd w:val="clear" w:color="auto" w:fill="auto"/>
            <w:vAlign w:val="center"/>
          </w:tcPr>
          <w:p w14:paraId="728725E0"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12/184 (7%)</w:t>
            </w:r>
          </w:p>
        </w:tc>
      </w:tr>
      <w:tr w:rsidR="00511D9B" w:rsidRPr="000817CB" w14:paraId="07B33120" w14:textId="77777777" w:rsidTr="00511D9B">
        <w:trPr>
          <w:jc w:val="center"/>
        </w:trPr>
        <w:tc>
          <w:tcPr>
            <w:tcW w:w="0" w:type="dxa"/>
            <w:shd w:val="clear" w:color="auto" w:fill="auto"/>
            <w:vAlign w:val="center"/>
          </w:tcPr>
          <w:p w14:paraId="32628C0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Erythropoietin Signalling Pathway</w:t>
            </w:r>
          </w:p>
        </w:tc>
        <w:tc>
          <w:tcPr>
            <w:tcW w:w="0" w:type="dxa"/>
            <w:shd w:val="clear" w:color="auto" w:fill="auto"/>
            <w:vAlign w:val="center"/>
          </w:tcPr>
          <w:p w14:paraId="09A35FA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7.3</w:t>
            </w:r>
          </w:p>
        </w:tc>
        <w:tc>
          <w:tcPr>
            <w:tcW w:w="0" w:type="dxa"/>
            <w:shd w:val="clear" w:color="auto" w:fill="auto"/>
            <w:vAlign w:val="center"/>
          </w:tcPr>
          <w:p w14:paraId="5B998BD1"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0.27</w:t>
            </w:r>
          </w:p>
        </w:tc>
        <w:tc>
          <w:tcPr>
            <w:tcW w:w="0" w:type="dxa"/>
            <w:shd w:val="clear" w:color="auto" w:fill="auto"/>
            <w:vAlign w:val="center"/>
          </w:tcPr>
          <w:p w14:paraId="2C95BE53"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23/173 (13%)</w:t>
            </w:r>
          </w:p>
        </w:tc>
      </w:tr>
      <w:tr w:rsidR="00511D9B" w:rsidRPr="000817CB" w14:paraId="06E689CA" w14:textId="77777777" w:rsidTr="00511D9B">
        <w:trPr>
          <w:jc w:val="center"/>
        </w:trPr>
        <w:tc>
          <w:tcPr>
            <w:tcW w:w="0" w:type="dxa"/>
            <w:tcBorders>
              <w:bottom w:val="single" w:sz="8" w:space="0" w:color="auto"/>
            </w:tcBorders>
            <w:shd w:val="clear" w:color="auto" w:fill="auto"/>
            <w:vAlign w:val="center"/>
          </w:tcPr>
          <w:p w14:paraId="00704A3B"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 xml:space="preserve">Role of </w:t>
            </w:r>
            <w:proofErr w:type="spellStart"/>
            <w:r w:rsidRPr="000817CB">
              <w:rPr>
                <w:rFonts w:ascii="Times New Roman" w:hAnsi="Times New Roman" w:cs="Times New Roman"/>
                <w:sz w:val="20"/>
              </w:rPr>
              <w:t>Hypercytokinemia</w:t>
            </w:r>
            <w:proofErr w:type="spellEnd"/>
            <w:r w:rsidRPr="000817CB">
              <w:rPr>
                <w:rFonts w:ascii="Times New Roman" w:hAnsi="Times New Roman" w:cs="Times New Roman"/>
                <w:sz w:val="20"/>
              </w:rPr>
              <w:t>/</w:t>
            </w:r>
            <w:proofErr w:type="spellStart"/>
            <w:r w:rsidRPr="000817CB">
              <w:rPr>
                <w:rFonts w:ascii="Times New Roman" w:hAnsi="Times New Roman" w:cs="Times New Roman"/>
                <w:sz w:val="20"/>
              </w:rPr>
              <w:t>hyperchemokinemia</w:t>
            </w:r>
            <w:proofErr w:type="spellEnd"/>
            <w:r w:rsidRPr="000817CB">
              <w:rPr>
                <w:rFonts w:ascii="Times New Roman" w:hAnsi="Times New Roman" w:cs="Times New Roman"/>
                <w:sz w:val="20"/>
              </w:rPr>
              <w:t xml:space="preserve"> in the Pathogenesis of Influenza</w:t>
            </w:r>
          </w:p>
        </w:tc>
        <w:tc>
          <w:tcPr>
            <w:tcW w:w="0" w:type="dxa"/>
            <w:tcBorders>
              <w:bottom w:val="single" w:sz="8" w:space="0" w:color="auto"/>
            </w:tcBorders>
            <w:shd w:val="clear" w:color="auto" w:fill="auto"/>
            <w:vAlign w:val="center"/>
          </w:tcPr>
          <w:p w14:paraId="6EDC7659"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7.2</w:t>
            </w:r>
          </w:p>
        </w:tc>
        <w:tc>
          <w:tcPr>
            <w:tcW w:w="0" w:type="dxa"/>
            <w:tcBorders>
              <w:bottom w:val="single" w:sz="8" w:space="0" w:color="auto"/>
            </w:tcBorders>
            <w:shd w:val="clear" w:color="auto" w:fill="auto"/>
            <w:vAlign w:val="center"/>
          </w:tcPr>
          <w:p w14:paraId="1AB52806"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0.34</w:t>
            </w:r>
          </w:p>
        </w:tc>
        <w:tc>
          <w:tcPr>
            <w:tcW w:w="0" w:type="dxa"/>
            <w:tcBorders>
              <w:bottom w:val="single" w:sz="8" w:space="0" w:color="auto"/>
            </w:tcBorders>
            <w:shd w:val="clear" w:color="auto" w:fill="auto"/>
            <w:vAlign w:val="center"/>
          </w:tcPr>
          <w:p w14:paraId="32CD3E94" w14:textId="77777777" w:rsidR="00511D9B" w:rsidRPr="000817CB" w:rsidRDefault="00511D9B" w:rsidP="00511D9B">
            <w:pPr>
              <w:autoSpaceDE w:val="0"/>
              <w:autoSpaceDN w:val="0"/>
              <w:adjustRightInd w:val="0"/>
              <w:snapToGrid w:val="0"/>
              <w:jc w:val="center"/>
              <w:rPr>
                <w:rFonts w:ascii="Times New Roman" w:hAnsi="Times New Roman" w:cs="Times New Roman"/>
                <w:sz w:val="20"/>
              </w:rPr>
            </w:pPr>
            <w:r w:rsidRPr="000817CB">
              <w:rPr>
                <w:rFonts w:ascii="Times New Roman" w:hAnsi="Times New Roman" w:cs="Times New Roman"/>
                <w:sz w:val="20"/>
              </w:rPr>
              <w:t>27/86 (31%)</w:t>
            </w:r>
          </w:p>
        </w:tc>
      </w:tr>
    </w:tbl>
    <w:p w14:paraId="5540AB93" w14:textId="77777777" w:rsidR="00511D9B" w:rsidRPr="000817CB" w:rsidRDefault="00511D9B" w:rsidP="00511D9B">
      <w:pPr>
        <w:adjustRightInd w:val="0"/>
        <w:snapToGrid w:val="0"/>
        <w:spacing w:line="228" w:lineRule="auto"/>
        <w:ind w:left="425" w:hanging="425"/>
        <w:jc w:val="both"/>
        <w:rPr>
          <w:sz w:val="18"/>
        </w:rPr>
      </w:pPr>
    </w:p>
    <w:p w14:paraId="2D031227" w14:textId="77777777" w:rsidR="00F709B0" w:rsidRPr="000817CB" w:rsidRDefault="00FF4921" w:rsidP="00FF4921">
      <w:pPr>
        <w:pStyle w:val="MDPI21heading1"/>
      </w:pPr>
      <w:r w:rsidRPr="000817CB">
        <w:t xml:space="preserve">4. </w:t>
      </w:r>
      <w:r w:rsidR="00F709B0" w:rsidRPr="000817CB">
        <w:t>Discussion</w:t>
      </w:r>
    </w:p>
    <w:p w14:paraId="69DC1D49" w14:textId="77777777" w:rsidR="00F709B0" w:rsidRPr="000817CB" w:rsidRDefault="00F709B0" w:rsidP="00FF4921">
      <w:pPr>
        <w:pStyle w:val="MDPI31text"/>
      </w:pPr>
      <w:r w:rsidRPr="000817CB">
        <w:t xml:space="preserve">The findings show that incorporation of 20:5n-3 and 22:6n-3 into PBMC total lipids from </w:t>
      </w:r>
      <w:proofErr w:type="spellStart"/>
      <w:r w:rsidRPr="000817CB">
        <w:t>t</w:t>
      </w:r>
      <w:r w:rsidRPr="000817CB">
        <w:rPr>
          <w:i/>
        </w:rPr>
        <w:t>CS</w:t>
      </w:r>
      <w:r w:rsidRPr="000817CB">
        <w:t>O</w:t>
      </w:r>
      <w:proofErr w:type="spellEnd"/>
      <w:r w:rsidRPr="000817CB">
        <w:t xml:space="preserve"> was similar to that from FO when these fatty acids are consumed according to the daily recommendation made by the UK Government to maintain general health</w:t>
      </w:r>
      <w:r w:rsidRPr="000817CB">
        <w:rPr>
          <w:noProof/>
        </w:rPr>
        <w:t xml:space="preserve"> [22]</w:t>
      </w:r>
      <w:r w:rsidRPr="000817CB">
        <w:t>.  Despite equivalence in the incorporation of 20:5n-3 and 22:6n-3 into PBMCs, there were differences between test oils in the mitogen-induced changes to the expression of the CD3</w:t>
      </w:r>
      <w:r w:rsidRPr="000817CB">
        <w:rPr>
          <w:vertAlign w:val="superscript"/>
        </w:rPr>
        <w:t>+</w:t>
      </w:r>
      <w:r w:rsidRPr="000817CB">
        <w:t xml:space="preserve"> T cell transcriptome.</w:t>
      </w:r>
    </w:p>
    <w:p w14:paraId="3C5C5F6C" w14:textId="66E317E4" w:rsidR="00F709B0" w:rsidRPr="000817CB" w:rsidRDefault="00F709B0" w:rsidP="00FF4921">
      <w:pPr>
        <w:pStyle w:val="MDPI31text"/>
      </w:pPr>
      <w:r w:rsidRPr="000817CB">
        <w:tab/>
        <w:t xml:space="preserve">We have shown that dietary supplementation with either </w:t>
      </w:r>
      <w:proofErr w:type="spellStart"/>
      <w:r w:rsidRPr="000817CB">
        <w:t>t</w:t>
      </w:r>
      <w:r w:rsidRPr="000817CB">
        <w:rPr>
          <w:i/>
        </w:rPr>
        <w:t>CS</w:t>
      </w:r>
      <w:r w:rsidRPr="000817CB">
        <w:t>O</w:t>
      </w:r>
      <w:proofErr w:type="spellEnd"/>
      <w:r w:rsidRPr="000817CB">
        <w:t xml:space="preserve"> or FO induced comparable increments 20:5n-3 and 22:6n-3 concentrations in individual plasma lipid classes in samples from the present study</w:t>
      </w:r>
      <w:r w:rsidRPr="000817CB">
        <w:rPr>
          <w:noProof/>
        </w:rPr>
        <w:t xml:space="preserve"> [25]</w:t>
      </w:r>
      <w:r w:rsidRPr="000817CB">
        <w:t>.  Since leukocytes can assimilate fatty acids from both lipoprotein</w:t>
      </w:r>
      <w:r w:rsidRPr="000817CB">
        <w:rPr>
          <w:noProof/>
        </w:rPr>
        <w:t xml:space="preserve"> [35]</w:t>
      </w:r>
      <w:r w:rsidRPr="000817CB">
        <w:t xml:space="preserve"> and non-esterified fatty acid pools</w:t>
      </w:r>
      <w:r w:rsidRPr="000817CB">
        <w:rPr>
          <w:noProof/>
        </w:rPr>
        <w:t xml:space="preserve"> [36]</w:t>
      </w:r>
      <w:r w:rsidRPr="000817CB">
        <w:t xml:space="preserve">, these findings show an overall enrichment of 20:5n-3 and 22:6n-3 in the lipid environment to which T cells were exposed </w:t>
      </w:r>
      <w:r w:rsidRPr="000817CB">
        <w:rPr>
          <w:i/>
        </w:rPr>
        <w:t>in vivo</w:t>
      </w:r>
      <w:r w:rsidRPr="000817CB">
        <w:t xml:space="preserve">.  Consequently, 20:5n-3 and 22:6n-3 were also enriched in PBMC lipids, independent of the type of oil supplement.  The proportions of 22:5n-3, 16:1n-7, 18:2n-6, 18:3n-6 and 20:2n-6 were also increased in quiescent PBMCs after supplementation with </w:t>
      </w:r>
      <w:r w:rsidRPr="000817CB">
        <w:lastRenderedPageBreak/>
        <w:t>the test oils, although they were not increased in plasma lipids</w:t>
      </w:r>
      <w:r w:rsidRPr="000817CB">
        <w:rPr>
          <w:noProof/>
        </w:rPr>
        <w:t xml:space="preserve"> [25]</w:t>
      </w:r>
      <w:r w:rsidRPr="000817CB">
        <w:t>.  Leukocytes can preferentially accumulate PUFAs from their environment</w:t>
      </w:r>
      <w:r w:rsidRPr="000817CB">
        <w:rPr>
          <w:noProof/>
        </w:rPr>
        <w:t xml:space="preserve"> [37]</w:t>
      </w:r>
      <w:r w:rsidRPr="000817CB">
        <w:t>, however the composition of leukocyte cell membranes reflects primarily the specificity of phospholipid biosynthesis</w:t>
      </w:r>
      <w:r w:rsidRPr="000817CB">
        <w:rPr>
          <w:noProof/>
        </w:rPr>
        <w:t xml:space="preserve"> [38]</w:t>
      </w:r>
      <w:r w:rsidRPr="000817CB">
        <w:t>.  The proportions of 22:5n-3, 16:1n-7, 18:2n-6, 18:3n-6 and 20:2n-6 increase in activated leukocytes, particularly T cells</w:t>
      </w:r>
      <w:r w:rsidRPr="000817CB">
        <w:rPr>
          <w:noProof/>
        </w:rPr>
        <w:t xml:space="preserve"> [39-41]</w:t>
      </w:r>
      <w:r w:rsidRPr="000817CB">
        <w:t xml:space="preserve"> as a result of changes in the specificity of phospholipid biosynthesis including increased phospholipid acyl-remodelling processes</w:t>
      </w:r>
      <w:r w:rsidRPr="000817CB">
        <w:rPr>
          <w:noProof/>
        </w:rPr>
        <w:t xml:space="preserve"> [37,38]</w:t>
      </w:r>
      <w:r w:rsidRPr="000817CB">
        <w:t xml:space="preserve">.  One possible explanation for enrichment of 22:5n-3, 16:1n-7, 18:2n-6, 18:3n-6 and 20:2n-6 in PBMCs in the present study is that it reflects induction of membrane changes by partial activation of the cells due by cell processing </w:t>
      </w:r>
      <w:r w:rsidRPr="000817CB">
        <w:rPr>
          <w:i/>
        </w:rPr>
        <w:t>in vitro</w:t>
      </w:r>
      <w:r w:rsidRPr="000817CB">
        <w:t>.</w:t>
      </w:r>
    </w:p>
    <w:p w14:paraId="3EC58D46" w14:textId="1DA5179A" w:rsidR="00F709B0" w:rsidRPr="000817CB" w:rsidRDefault="00F709B0" w:rsidP="00FF4921">
      <w:pPr>
        <w:pStyle w:val="MDPI31text"/>
      </w:pPr>
      <w:r w:rsidRPr="000817CB">
        <w:tab/>
        <w:t>There is considerable evidence that consumption of oils containing 20:5n-3 and 22:6n-3 can suppress the immune response</w:t>
      </w:r>
      <w:r w:rsidRPr="000817CB">
        <w:rPr>
          <w:noProof/>
        </w:rPr>
        <w:t xml:space="preserve"> [20]</w:t>
      </w:r>
      <w:r w:rsidRPr="000817CB">
        <w:t xml:space="preserve"> and modify the mRNA expression of individual genes that are involved in immune cell function</w:t>
      </w:r>
      <w:r w:rsidRPr="000817CB">
        <w:rPr>
          <w:noProof/>
        </w:rPr>
        <w:t xml:space="preserve"> [42-44]</w:t>
      </w:r>
      <w:r w:rsidRPr="000817CB">
        <w:t>.  However, there is limited information about the effect of dietary supplementation with oils containing 20:5n-3 and 22:6n-3 on activation-associated changes in the T cell transcriptome.  Previous analyses of the effect of dietary supplementation with FO or seed oils showed differential changes in the expression of the transcriptome of PBMCs.  FO supplementation has been shown to increase the mRNA expression of genes involved in cell cycling in quiescent PBMCs compared to a sunflower oil supplement</w:t>
      </w:r>
      <w:r w:rsidRPr="000817CB">
        <w:rPr>
          <w:noProof/>
        </w:rPr>
        <w:t xml:space="preserve"> [45]</w:t>
      </w:r>
      <w:r w:rsidRPr="000817CB">
        <w:t xml:space="preserve">.  Others have shown that consumption of 1.8g/day 20:5n-3 plus 22:6n-3 for 26 weeks in elderly men and women induced differential expression </w:t>
      </w:r>
      <w:r w:rsidR="00A401E7">
        <w:t xml:space="preserve">of </w:t>
      </w:r>
      <w:r w:rsidRPr="000817CB">
        <w:t>1,040 genes in quiescent PBMCs, primarily down-regulation of transcripts involved in inflammatory and atherogenic pathways, compared to 298 differentially expressed genes following supplementation with 4g/day sunflower oil</w:t>
      </w:r>
      <w:r w:rsidRPr="000817CB">
        <w:rPr>
          <w:noProof/>
        </w:rPr>
        <w:t xml:space="preserve"> [46]</w:t>
      </w:r>
      <w:r w:rsidRPr="000817CB">
        <w:t xml:space="preserve">.  Moreover, Polus </w:t>
      </w:r>
      <w:r w:rsidRPr="000817CB">
        <w:rPr>
          <w:i/>
        </w:rPr>
        <w:t>et al</w:t>
      </w:r>
      <w:r w:rsidRPr="000817CB">
        <w:t>. found differential expression of genes involved in inflammation and lipid metabolism in whole blood from obese women after supplementation with 1.8g/day 20:5n-3 plus 22:6n-3 compared to an undisclosed placebo</w:t>
      </w:r>
      <w:r w:rsidRPr="000817CB">
        <w:rPr>
          <w:noProof/>
        </w:rPr>
        <w:t xml:space="preserve"> [47]</w:t>
      </w:r>
      <w:r w:rsidRPr="000817CB">
        <w:t xml:space="preserve">.   None of these studies investigated the effect of dietary supplementation on changes induced in the leukocyte transcriptomes by mitogen stimulation.  Therefore, it is uncertain whether the differences in gene expression in quiescent PBMCs are reflected in activated cells or if they related to leukocyte function.  Furthermore, because these studies investigated the transcriptome of PBMCs, instead of single cell types, the findings are at risk of confounding due to variation in the relative proportions of each cell type both between individuals and within the same participant over time.  None of the previous studies disclosed whether the data were corrected for the proportions of different types of leukocytes.     </w:t>
      </w:r>
    </w:p>
    <w:p w14:paraId="3BC98481" w14:textId="52ED9CAD" w:rsidR="00F709B0" w:rsidRPr="000817CB" w:rsidRDefault="00F709B0" w:rsidP="00FF4921">
      <w:pPr>
        <w:pStyle w:val="MDPI31text"/>
      </w:pPr>
      <w:r w:rsidRPr="000817CB">
        <w:t>The present study showed differential effects between the test oils and compared to Baseline on mitogen-induced changes in individual genes and pathways in CD3</w:t>
      </w:r>
      <w:r w:rsidRPr="000817CB">
        <w:rPr>
          <w:vertAlign w:val="superscript"/>
        </w:rPr>
        <w:t>+</w:t>
      </w:r>
      <w:r w:rsidRPr="000817CB">
        <w:t xml:space="preserve"> T lymphocytes.  These findings suggested </w:t>
      </w:r>
      <w:r w:rsidR="0031522D">
        <w:t xml:space="preserve">that </w:t>
      </w:r>
      <w:r w:rsidRPr="000817CB">
        <w:t xml:space="preserve">consuming these test oils altered the capacity of T cells to undergo changes in transcription that are associated with the immune response.  Only 20% of the most up-regulated and 35% of the most down-regulated transcripts were among the most differentially expressed at Baseline and after supplementation with either test oil.  This suggests that despite comparable changes in PBMC lipid composition, these test oils differed in their effects on the expression of the transcriptome.  Moreover, the direction of mitogen-induced change in expression was reversed for a proportion (&lt; 2%) of differentially expressed genes irrespective of the test oil supplement.  </w:t>
      </w:r>
      <w:r w:rsidR="0031522D">
        <w:t xml:space="preserve">Two of  the most down-regulated transcripts were considered anomalies, namely CD163, which is a </w:t>
      </w:r>
      <w:r w:rsidR="0031522D" w:rsidRPr="00D34519">
        <w:t>macrophage</w:t>
      </w:r>
      <w:r w:rsidR="0031522D">
        <w:t xml:space="preserve">-specific </w:t>
      </w:r>
      <w:r w:rsidR="0031522D" w:rsidRPr="00D34519">
        <w:t xml:space="preserve">scavenger </w:t>
      </w:r>
      <w:r w:rsidR="0031522D" w:rsidRPr="004A23E8">
        <w:rPr>
          <w:sz w:val="18"/>
          <w:szCs w:val="18"/>
        </w:rPr>
        <w:t xml:space="preserve">receptor </w:t>
      </w:r>
      <w:r w:rsidR="0031522D" w:rsidRPr="004A23E8">
        <w:rPr>
          <w:noProof/>
          <w:sz w:val="18"/>
          <w:szCs w:val="18"/>
        </w:rPr>
        <w:t>[48]</w:t>
      </w:r>
      <w:r w:rsidR="0031522D" w:rsidRPr="00836B3E">
        <w:t xml:space="preserve"> </w:t>
      </w:r>
      <w:r w:rsidR="0031522D" w:rsidRPr="00C936F1">
        <w:t>and CD1</w:t>
      </w:r>
      <w:r w:rsidR="0031522D">
        <w:t>d</w:t>
      </w:r>
      <w:r w:rsidR="0031522D" w:rsidRPr="00C936F1">
        <w:t xml:space="preserve">, a marker expressed by antigen presenting </w:t>
      </w:r>
      <w:r w:rsidR="0031522D" w:rsidRPr="006C3765">
        <w:t xml:space="preserve">cells including </w:t>
      </w:r>
      <w:r w:rsidR="0031522D" w:rsidRPr="00836B3E">
        <w:t xml:space="preserve"> </w:t>
      </w:r>
      <w:r w:rsidR="0031522D">
        <w:t>CD19</w:t>
      </w:r>
      <w:r w:rsidR="0031522D" w:rsidRPr="00B707DE">
        <w:rPr>
          <w:vertAlign w:val="superscript"/>
        </w:rPr>
        <w:t>+</w:t>
      </w:r>
      <w:r w:rsidR="0031522D">
        <w:t xml:space="preserve"> CD1d</w:t>
      </w:r>
      <w:r w:rsidR="0031522D" w:rsidRPr="00B707DE">
        <w:rPr>
          <w:vertAlign w:val="superscript"/>
        </w:rPr>
        <w:t>+</w:t>
      </w:r>
      <w:r w:rsidR="0031522D">
        <w:t xml:space="preserve"> </w:t>
      </w:r>
      <w:r w:rsidR="0031522D" w:rsidRPr="00836B3E">
        <w:t>regulatory B lymphocytes</w:t>
      </w:r>
      <w:r w:rsidR="0031522D">
        <w:rPr>
          <w:noProof/>
        </w:rPr>
        <w:t xml:space="preserve"> [49]</w:t>
      </w:r>
      <w:r w:rsidR="0031522D" w:rsidRPr="00836B3E">
        <w:t xml:space="preserve"> and which is a target for invariant natural killer T cells</w:t>
      </w:r>
      <w:r w:rsidR="0031522D">
        <w:rPr>
          <w:noProof/>
        </w:rPr>
        <w:t xml:space="preserve"> [50]</w:t>
      </w:r>
      <w:r w:rsidR="0031522D" w:rsidRPr="00836B3E">
        <w:t xml:space="preserve">. </w:t>
      </w:r>
      <w:r w:rsidR="0031522D" w:rsidRPr="00836B3E">
        <w:tab/>
        <w:t xml:space="preserve"> One possible explanation is that there was low level </w:t>
      </w:r>
      <w:r w:rsidR="00A401E7" w:rsidRPr="00836B3E">
        <w:t>contamination</w:t>
      </w:r>
      <w:r w:rsidR="0031522D" w:rsidRPr="00836B3E">
        <w:t xml:space="preserve"> of the T cell preparations </w:t>
      </w:r>
      <w:r w:rsidR="0031522D" w:rsidRPr="00C936F1">
        <w:t xml:space="preserve">with macrophages </w:t>
      </w:r>
      <w:r w:rsidR="0031522D">
        <w:t>or CD1d</w:t>
      </w:r>
      <w:r w:rsidR="0031522D" w:rsidRPr="00B707DE">
        <w:rPr>
          <w:vertAlign w:val="superscript"/>
        </w:rPr>
        <w:t>+</w:t>
      </w:r>
      <w:r w:rsidR="0031522D">
        <w:t xml:space="preserve"> B cells that was</w:t>
      </w:r>
      <w:r w:rsidR="00A401E7">
        <w:t xml:space="preserve"> not</w:t>
      </w:r>
      <w:r w:rsidR="0031522D">
        <w:t xml:space="preserve"> detected by routine assessment of </w:t>
      </w:r>
      <w:r w:rsidR="00E72B70">
        <w:t xml:space="preserve">the purity of the T cell preparation by </w:t>
      </w:r>
      <w:r w:rsidR="0031522D">
        <w:t xml:space="preserve"> flow cytometry.  If so, the decrease in the expression of these markers could be explained by</w:t>
      </w:r>
      <w:r w:rsidR="00A401E7">
        <w:t xml:space="preserve"> </w:t>
      </w:r>
      <w:r w:rsidR="0031522D">
        <w:t>reduction in the proportion of contaminating cell populations by the mitogen-induced expansion of CD3</w:t>
      </w:r>
      <w:r w:rsidR="0031522D" w:rsidRPr="00B707DE">
        <w:rPr>
          <w:vertAlign w:val="superscript"/>
        </w:rPr>
        <w:t>+</w:t>
      </w:r>
      <w:r w:rsidR="0031522D">
        <w:t xml:space="preserve"> T lymphocytes.</w:t>
      </w:r>
      <w:r w:rsidRPr="000817CB">
        <w:t xml:space="preserve"> </w:t>
      </w:r>
    </w:p>
    <w:p w14:paraId="41E6147A" w14:textId="15DB6F8C" w:rsidR="0031522D" w:rsidRDefault="00F709B0" w:rsidP="00FF4921">
      <w:pPr>
        <w:pStyle w:val="MDPI31text"/>
      </w:pPr>
      <w:r w:rsidRPr="000817CB">
        <w:t xml:space="preserve">The most altered pathways were associated with cell proliferation and immune response in stimulated compared to unstimulated cells.   Previous RNAseq analysis of </w:t>
      </w:r>
      <w:r w:rsidRPr="000817CB">
        <w:lastRenderedPageBreak/>
        <w:t>PBMC cultures stimulated with anti-CD3 antibodies also showed increased expression of pathways involved in immune function and cell division</w:t>
      </w:r>
      <w:r w:rsidRPr="000817CB">
        <w:rPr>
          <w:noProof/>
        </w:rPr>
        <w:t xml:space="preserve"> [</w:t>
      </w:r>
      <w:r w:rsidR="007568BD">
        <w:rPr>
          <w:noProof/>
        </w:rPr>
        <w:t>51</w:t>
      </w:r>
      <w:r w:rsidRPr="000817CB">
        <w:rPr>
          <w:noProof/>
        </w:rPr>
        <w:t>]</w:t>
      </w:r>
      <w:r w:rsidRPr="000817CB">
        <w:t xml:space="preserve">, although differences between this </w:t>
      </w:r>
      <w:r w:rsidR="0031522D">
        <w:t xml:space="preserve">previous </w:t>
      </w:r>
      <w:r w:rsidRPr="000817CB">
        <w:t xml:space="preserve">report and the present findings may be due to analysis of a mixture of cell types in the previous study.  Both FO and </w:t>
      </w:r>
      <w:proofErr w:type="spellStart"/>
      <w:r w:rsidRPr="000817CB">
        <w:t>t</w:t>
      </w:r>
      <w:r w:rsidRPr="000817CB">
        <w:rPr>
          <w:i/>
        </w:rPr>
        <w:t>CS</w:t>
      </w:r>
      <w:r w:rsidRPr="000817CB">
        <w:t>O</w:t>
      </w:r>
      <w:proofErr w:type="spellEnd"/>
      <w:r w:rsidRPr="000817CB">
        <w:t xml:space="preserve"> increased the number of up-regulated transcripts in pathways involved in cell division</w:t>
      </w:r>
      <w:r w:rsidRPr="000817CB">
        <w:rPr>
          <w:noProof/>
        </w:rPr>
        <w:t xml:space="preserve"> [</w:t>
      </w:r>
      <w:r w:rsidR="007568BD">
        <w:rPr>
          <w:noProof/>
        </w:rPr>
        <w:t>52</w:t>
      </w:r>
      <w:r w:rsidRPr="000817CB">
        <w:rPr>
          <w:noProof/>
        </w:rPr>
        <w:t>]</w:t>
      </w:r>
      <w:r w:rsidRPr="000817CB">
        <w:t xml:space="preserve"> and immune-regulatory pathways such as interleukin-17 and interleukin-10 </w:t>
      </w:r>
      <w:proofErr w:type="spellStart"/>
      <w:r w:rsidRPr="000817CB">
        <w:t>signalling</w:t>
      </w:r>
      <w:proofErr w:type="spellEnd"/>
      <w:r w:rsidRPr="000817CB">
        <w:rPr>
          <w:noProof/>
        </w:rPr>
        <w:t xml:space="preserve"> [20,5</w:t>
      </w:r>
      <w:r w:rsidR="007568BD">
        <w:rPr>
          <w:noProof/>
        </w:rPr>
        <w:t>3</w:t>
      </w:r>
      <w:r w:rsidRPr="000817CB">
        <w:rPr>
          <w:noProof/>
        </w:rPr>
        <w:t>]</w:t>
      </w:r>
      <w:r w:rsidRPr="000817CB">
        <w:t>.   This suggests that even modest 20:5n-3 and 22:6n-3 intakes might modify immune function, possibly by changing the balance between cross-talking pathways</w:t>
      </w:r>
      <w:r w:rsidRPr="000817CB">
        <w:rPr>
          <w:noProof/>
        </w:rPr>
        <w:t xml:space="preserve"> [5</w:t>
      </w:r>
      <w:r w:rsidR="007568BD">
        <w:rPr>
          <w:noProof/>
        </w:rPr>
        <w:t>4</w:t>
      </w:r>
      <w:r w:rsidRPr="000817CB">
        <w:rPr>
          <w:noProof/>
        </w:rPr>
        <w:t>]</w:t>
      </w:r>
      <w:r w:rsidRPr="000817CB">
        <w:t>.</w:t>
      </w:r>
    </w:p>
    <w:p w14:paraId="3CED2D0B" w14:textId="1E530A54" w:rsidR="00F709B0" w:rsidRPr="004A23E8" w:rsidRDefault="0031522D" w:rsidP="0031522D">
      <w:pPr>
        <w:ind w:firstLine="720"/>
        <w:jc w:val="both"/>
        <w:rPr>
          <w:iCs/>
          <w:sz w:val="20"/>
          <w:szCs w:val="20"/>
        </w:rPr>
      </w:pPr>
      <w:r w:rsidRPr="004A23E8">
        <w:rPr>
          <w:iCs/>
          <w:sz w:val="20"/>
          <w:szCs w:val="20"/>
        </w:rPr>
        <w:t xml:space="preserve">Inevitably there are some limitations to the study design.  These include the modest number of participants, although groups were well-matched, which was based on a previous investigation of the effect of fish oil supplementation on the fatty acid composition of PBMCs </w:t>
      </w:r>
      <w:r w:rsidRPr="004A23E8">
        <w:rPr>
          <w:iCs/>
          <w:noProof/>
          <w:sz w:val="20"/>
          <w:szCs w:val="20"/>
        </w:rPr>
        <w:t>[55]</w:t>
      </w:r>
      <w:r w:rsidRPr="004A23E8">
        <w:rPr>
          <w:iCs/>
          <w:sz w:val="20"/>
          <w:szCs w:val="20"/>
        </w:rPr>
        <w:t xml:space="preserve"> as there are no previous studies of the effect of supplementation with fish oil on measurements of the expression of the T cell transcriptome by </w:t>
      </w:r>
      <w:proofErr w:type="spellStart"/>
      <w:r w:rsidRPr="004A23E8">
        <w:rPr>
          <w:iCs/>
          <w:sz w:val="20"/>
          <w:szCs w:val="20"/>
        </w:rPr>
        <w:t>RNAseq</w:t>
      </w:r>
      <w:proofErr w:type="spellEnd"/>
      <w:r w:rsidRPr="004A23E8">
        <w:rPr>
          <w:iCs/>
          <w:sz w:val="20"/>
          <w:szCs w:val="20"/>
        </w:rPr>
        <w:t xml:space="preserve"> on which to base a statistical power calculation.  For this reason, the current findings could be regarded as exploratory.   It is possible that there may have been low level contamination of the T lymphocyte preparations that was not detected by the limited assessment of the cell composition.  There were no analyses of cell function, such as cytokine secretion, because these measurements were not required to address the primary aim of the study.  </w:t>
      </w:r>
      <w:r w:rsidR="00E62AD4" w:rsidRPr="004A23E8">
        <w:rPr>
          <w:iCs/>
          <w:sz w:val="20"/>
          <w:szCs w:val="20"/>
        </w:rPr>
        <w:t xml:space="preserve">Nevertheless, previous studies have shown that </w:t>
      </w:r>
      <w:r w:rsidR="002D7B11" w:rsidRPr="004A23E8">
        <w:rPr>
          <w:iCs/>
          <w:sz w:val="20"/>
          <w:szCs w:val="20"/>
        </w:rPr>
        <w:t>omega-3 PUFA-induced changes in cytokine mRNA</w:t>
      </w:r>
      <w:r w:rsidR="00E62AD4" w:rsidRPr="004A23E8">
        <w:rPr>
          <w:iCs/>
          <w:sz w:val="20"/>
          <w:szCs w:val="20"/>
        </w:rPr>
        <w:t xml:space="preserve"> levels</w:t>
      </w:r>
      <w:r w:rsidR="002D7B11" w:rsidRPr="004A23E8">
        <w:rPr>
          <w:iCs/>
          <w:sz w:val="20"/>
          <w:szCs w:val="20"/>
        </w:rPr>
        <w:t>, including IL-17A and IL-5, in human</w:t>
      </w:r>
      <w:r w:rsidR="002D7B11">
        <w:rPr>
          <w:iCs/>
          <w:sz w:val="20"/>
          <w:szCs w:val="20"/>
        </w:rPr>
        <w:t xml:space="preserve"> </w:t>
      </w:r>
      <w:r w:rsidR="002D7B11" w:rsidRPr="00D82660">
        <w:rPr>
          <w:iCs/>
          <w:sz w:val="20"/>
          <w:szCs w:val="20"/>
        </w:rPr>
        <w:t>[5</w:t>
      </w:r>
      <w:r w:rsidR="00D82660" w:rsidRPr="004A23E8">
        <w:rPr>
          <w:iCs/>
          <w:sz w:val="20"/>
          <w:szCs w:val="20"/>
        </w:rPr>
        <w:t>6</w:t>
      </w:r>
      <w:r w:rsidR="002D7B11" w:rsidRPr="00D82660">
        <w:rPr>
          <w:iCs/>
          <w:sz w:val="20"/>
          <w:szCs w:val="20"/>
        </w:rPr>
        <w:t>]</w:t>
      </w:r>
      <w:r w:rsidR="002D7B11" w:rsidRPr="004A23E8">
        <w:rPr>
          <w:iCs/>
          <w:sz w:val="20"/>
          <w:szCs w:val="20"/>
        </w:rPr>
        <w:t xml:space="preserve"> and murine</w:t>
      </w:r>
      <w:r w:rsidR="002D7B11">
        <w:rPr>
          <w:iCs/>
          <w:sz w:val="20"/>
          <w:szCs w:val="20"/>
        </w:rPr>
        <w:t xml:space="preserve"> </w:t>
      </w:r>
      <w:r w:rsidR="002D7B11" w:rsidRPr="00D82660">
        <w:rPr>
          <w:iCs/>
          <w:sz w:val="20"/>
          <w:szCs w:val="20"/>
        </w:rPr>
        <w:t>[5</w:t>
      </w:r>
      <w:r w:rsidR="00D82660" w:rsidRPr="00D82660">
        <w:rPr>
          <w:iCs/>
          <w:sz w:val="20"/>
          <w:szCs w:val="20"/>
        </w:rPr>
        <w:t>7</w:t>
      </w:r>
      <w:r w:rsidR="002D7B11" w:rsidRPr="00D82660">
        <w:rPr>
          <w:iCs/>
          <w:sz w:val="20"/>
          <w:szCs w:val="20"/>
        </w:rPr>
        <w:t>]</w:t>
      </w:r>
      <w:r w:rsidR="002D7B11" w:rsidRPr="004A23E8">
        <w:rPr>
          <w:iCs/>
          <w:sz w:val="20"/>
          <w:szCs w:val="20"/>
        </w:rPr>
        <w:t xml:space="preserve"> T cells or PBMCs are related directly to their concentration in cell  culture supernatants.  Therefore, although the present study did not investigate whether changes in cytokine mRNA levels were associated with differences in their respective concentrations, it is probable that </w:t>
      </w:r>
      <w:r w:rsidR="002D7B11">
        <w:rPr>
          <w:iCs/>
          <w:sz w:val="20"/>
          <w:szCs w:val="20"/>
        </w:rPr>
        <w:t xml:space="preserve">differences in gene expression would have altered cytokine secretion. </w:t>
      </w:r>
      <w:r w:rsidR="002D7B11" w:rsidRPr="004A23E8">
        <w:rPr>
          <w:iCs/>
          <w:sz w:val="20"/>
          <w:szCs w:val="20"/>
        </w:rPr>
        <w:t xml:space="preserve"> </w:t>
      </w:r>
      <w:r w:rsidR="00E62AD4" w:rsidRPr="004A23E8">
        <w:rPr>
          <w:iCs/>
          <w:sz w:val="20"/>
          <w:szCs w:val="20"/>
        </w:rPr>
        <w:t xml:space="preserve"> </w:t>
      </w:r>
      <w:r w:rsidRPr="004A23E8">
        <w:rPr>
          <w:iCs/>
          <w:sz w:val="20"/>
          <w:szCs w:val="20"/>
        </w:rPr>
        <w:t xml:space="preserve">  </w:t>
      </w:r>
      <w:r w:rsidR="00F709B0" w:rsidRPr="004A23E8">
        <w:rPr>
          <w:sz w:val="20"/>
          <w:szCs w:val="20"/>
        </w:rPr>
        <w:t xml:space="preserve"> </w:t>
      </w:r>
    </w:p>
    <w:p w14:paraId="71E5D336" w14:textId="48C9D40F" w:rsidR="00F709B0" w:rsidRPr="000817CB" w:rsidRDefault="00F709B0" w:rsidP="00FF4921">
      <w:pPr>
        <w:pStyle w:val="MDPI31text"/>
      </w:pPr>
      <w:r w:rsidRPr="000817CB">
        <w:t xml:space="preserve">These analyses do not permit deduction of the underlying mechanism by which such differential effects between test oils were induced.  Although different individuals were randomised to either test oil, these groups were composed of women who were well matched with similar compliance, and so any effect of confounding due to different participants in each arm of the trial is likely to be modest.  The quantities of the test oils that were consumed were designed to deliver similar amounts of 20:5n-3 plus 22:6n-3, but were not matched for the other fatty acids present.  For example, the amounts of n-6 PUFA, primarily 18:2n-6, were approximately 10-fold greater in </w:t>
      </w:r>
      <w:proofErr w:type="spellStart"/>
      <w:r w:rsidRPr="000817CB">
        <w:t>t</w:t>
      </w:r>
      <w:r w:rsidRPr="000817CB">
        <w:rPr>
          <w:i/>
        </w:rPr>
        <w:t>CS</w:t>
      </w:r>
      <w:r w:rsidRPr="000817CB">
        <w:t>O</w:t>
      </w:r>
      <w:proofErr w:type="spellEnd"/>
      <w:r w:rsidRPr="000817CB">
        <w:t xml:space="preserve"> than in FO.  These differences in the fatty acid composition of the test oils were not reflected in the composition of PBMC total lipids.  This suggest that any influence of difference in the amounts of fatty acids provided between test oils </w:t>
      </w:r>
      <w:r w:rsidR="00F823A2">
        <w:rPr>
          <w:iCs/>
        </w:rPr>
        <w:t xml:space="preserve">on cell function </w:t>
      </w:r>
      <w:r w:rsidRPr="000817CB">
        <w:t>is unlikely to be mediated via changes in the composition of T cell membranes alone.  PPAR</w:t>
      </w:r>
      <w:r w:rsidRPr="000817CB">
        <w:rPr>
          <w:rFonts w:ascii="Cambria Math" w:hAnsi="Cambria Math" w:cs="Cambria Math"/>
        </w:rPr>
        <w:t>𝛾</w:t>
      </w:r>
      <w:r w:rsidRPr="000817CB">
        <w:t xml:space="preserve"> activity in PBMCs has been shown to be modified by dietary supplementation with FO</w:t>
      </w:r>
      <w:r w:rsidRPr="000817CB">
        <w:rPr>
          <w:noProof/>
        </w:rPr>
        <w:t xml:space="preserve"> [43,</w:t>
      </w:r>
      <w:r w:rsidR="007568BD">
        <w:rPr>
          <w:noProof/>
        </w:rPr>
        <w:t>5</w:t>
      </w:r>
      <w:r w:rsidR="00D82660">
        <w:rPr>
          <w:noProof/>
        </w:rPr>
        <w:t>8</w:t>
      </w:r>
      <w:r w:rsidRPr="000817CB">
        <w:rPr>
          <w:noProof/>
        </w:rPr>
        <w:t>]</w:t>
      </w:r>
      <w:r w:rsidRPr="000817CB">
        <w:t>.  Therefore, one possible explanation for the differential effects of the test oil on the expression of the T cell transcriptome is via the actions of ligand-activated fatty acid-binding transcription factors, such as members of the PPAR family.  Furthermore, dietary supplementation with FO or olive oil has been shown to induce changes in DNA methylation of PBMCs that are contingent on the type of oil</w:t>
      </w:r>
      <w:r w:rsidRPr="000817CB">
        <w:rPr>
          <w:noProof/>
        </w:rPr>
        <w:t xml:space="preserve"> [5</w:t>
      </w:r>
      <w:r w:rsidR="00D82660">
        <w:rPr>
          <w:noProof/>
        </w:rPr>
        <w:t>9</w:t>
      </w:r>
      <w:r w:rsidRPr="000817CB">
        <w:rPr>
          <w:noProof/>
        </w:rPr>
        <w:t>]</w:t>
      </w:r>
      <w:r w:rsidRPr="000817CB">
        <w:t xml:space="preserve"> and treatment of Jurkat T lymphocyte </w:t>
      </w:r>
      <w:proofErr w:type="spellStart"/>
      <w:r w:rsidRPr="000817CB">
        <w:t>leukaemia</w:t>
      </w:r>
      <w:proofErr w:type="spellEnd"/>
      <w:r w:rsidRPr="000817CB">
        <w:t xml:space="preserve"> cells with physiologically relevant amounts of 22:6n-3 or 18:1n-9 induced differential methylation of individual CpG loci</w:t>
      </w:r>
      <w:r w:rsidRPr="000817CB">
        <w:rPr>
          <w:noProof/>
        </w:rPr>
        <w:t xml:space="preserve"> [</w:t>
      </w:r>
      <w:r w:rsidR="00D82660">
        <w:rPr>
          <w:noProof/>
        </w:rPr>
        <w:t>60</w:t>
      </w:r>
      <w:r w:rsidRPr="000817CB">
        <w:rPr>
          <w:noProof/>
        </w:rPr>
        <w:t>]</w:t>
      </w:r>
      <w:r w:rsidRPr="000817CB">
        <w:t xml:space="preserve">.  This suggests that induction of altered epigenetic regulation may be one additional or alternative mechanism to any direct effect on PPAR activity by which supplementation with FO or </w:t>
      </w:r>
      <w:proofErr w:type="spellStart"/>
      <w:r w:rsidRPr="000817CB">
        <w:t>t</w:t>
      </w:r>
      <w:r w:rsidRPr="000817CB">
        <w:rPr>
          <w:i/>
        </w:rPr>
        <w:t>CS</w:t>
      </w:r>
      <w:r w:rsidRPr="000817CB">
        <w:t>O</w:t>
      </w:r>
      <w:proofErr w:type="spellEnd"/>
      <w:r w:rsidRPr="000817CB">
        <w:t xml:space="preserve"> could modify mitogen-induced changes in the T cell transcriptome.          </w:t>
      </w:r>
    </w:p>
    <w:p w14:paraId="18E4C51E" w14:textId="77777777" w:rsidR="00F709B0" w:rsidRPr="000817CB" w:rsidRDefault="00FF4921" w:rsidP="00FF4921">
      <w:pPr>
        <w:pStyle w:val="MDPI21heading1"/>
      </w:pPr>
      <w:r w:rsidRPr="000817CB">
        <w:t xml:space="preserve">5. </w:t>
      </w:r>
      <w:r w:rsidR="00F709B0" w:rsidRPr="000817CB">
        <w:t xml:space="preserve">Conclusions  </w:t>
      </w:r>
    </w:p>
    <w:p w14:paraId="1B6AC52D" w14:textId="1E373D28" w:rsidR="00F709B0" w:rsidRPr="000817CB" w:rsidRDefault="00F709B0" w:rsidP="00FF4921">
      <w:pPr>
        <w:pStyle w:val="MDPI31text"/>
      </w:pPr>
      <w:r w:rsidRPr="000817CB">
        <w:t xml:space="preserve">The findings of the present study show for the first time that consuming an amount of FO or </w:t>
      </w:r>
      <w:proofErr w:type="spellStart"/>
      <w:r w:rsidRPr="000817CB">
        <w:t>t</w:t>
      </w:r>
      <w:r w:rsidRPr="000817CB">
        <w:rPr>
          <w:i/>
        </w:rPr>
        <w:t>CS</w:t>
      </w:r>
      <w:r w:rsidRPr="000817CB">
        <w:t>O</w:t>
      </w:r>
      <w:proofErr w:type="spellEnd"/>
      <w:r w:rsidRPr="000817CB">
        <w:t xml:space="preserve"> oil which each provided 450 mg/day 20:5n-3 plus 22:6n-3, the amount recommended by the UK government for maintaining general health</w:t>
      </w:r>
      <w:r w:rsidRPr="000817CB">
        <w:rPr>
          <w:noProof/>
        </w:rPr>
        <w:t xml:space="preserve"> [22]</w:t>
      </w:r>
      <w:r w:rsidRPr="000817CB">
        <w:t xml:space="preserve">, </w:t>
      </w:r>
      <w:r w:rsidR="00B46122">
        <w:t>modified the</w:t>
      </w:r>
      <w:r w:rsidR="00B46122" w:rsidRPr="000817CB">
        <w:t xml:space="preserve"> </w:t>
      </w:r>
      <w:r w:rsidR="00B46122">
        <w:t xml:space="preserve">activation-induced </w:t>
      </w:r>
      <w:r w:rsidR="00B46122" w:rsidRPr="000817CB">
        <w:t xml:space="preserve">changes in the expression of the </w:t>
      </w:r>
      <w:r w:rsidR="00B46122">
        <w:t xml:space="preserve">T cell </w:t>
      </w:r>
      <w:r w:rsidR="00B46122" w:rsidRPr="000817CB">
        <w:t>transcriptome</w:t>
      </w:r>
      <w:r w:rsidR="00B46122">
        <w:t xml:space="preserve"> and so may alter the regulation of their function</w:t>
      </w:r>
      <w:r w:rsidR="00B46122" w:rsidRPr="000817CB">
        <w:t xml:space="preserve">. </w:t>
      </w:r>
      <w:r w:rsidRPr="000817CB">
        <w:t xml:space="preserve">.  </w:t>
      </w:r>
      <w:r w:rsidR="005230B6">
        <w:t xml:space="preserve">These </w:t>
      </w:r>
      <w:r w:rsidR="00F823A2">
        <w:rPr>
          <w:iCs/>
        </w:rPr>
        <w:t xml:space="preserve">changes </w:t>
      </w:r>
      <w:r w:rsidR="005230B6">
        <w:rPr>
          <w:iCs/>
        </w:rPr>
        <w:t xml:space="preserve">to the response of the transcriptome to activation </w:t>
      </w:r>
      <w:r w:rsidR="00F823A2">
        <w:rPr>
          <w:iCs/>
        </w:rPr>
        <w:t xml:space="preserve">differed between test oils which implies that 20:5n-3 and 22:6n-6 were not the only mediators of altered transcription.  </w:t>
      </w:r>
      <w:r w:rsidRPr="000817CB">
        <w:t>One possible implication of these findings is that consuming the amount of 20:5n-3 plus 22:6n-3 recommended by the UK Government</w:t>
      </w:r>
      <w:r w:rsidRPr="000817CB">
        <w:rPr>
          <w:noProof/>
        </w:rPr>
        <w:t xml:space="preserve"> [22]</w:t>
      </w:r>
      <w:r w:rsidRPr="000817CB">
        <w:t xml:space="preserve"> can induce changes in the T cell transcriptome that may have implications for understanding differences between individuals in their response to infection or vaccination.  Moreover, </w:t>
      </w:r>
      <w:r w:rsidRPr="000817CB">
        <w:lastRenderedPageBreak/>
        <w:t>the precise effect on the transcriptome of supplements containing EPA plus DHA may be contingent on the overall fatty acid composition of the oil.</w:t>
      </w:r>
    </w:p>
    <w:p w14:paraId="6A1B0871" w14:textId="77777777" w:rsidR="00F709B0" w:rsidRPr="000817CB" w:rsidRDefault="00FF4921" w:rsidP="00FF4921">
      <w:pPr>
        <w:pStyle w:val="MDPI62BackMatter"/>
        <w:spacing w:before="240"/>
      </w:pPr>
      <w:r w:rsidRPr="000817CB">
        <w:rPr>
          <w:b/>
        </w:rPr>
        <w:t>Author Contribution</w:t>
      </w:r>
      <w:r w:rsidR="00F709B0" w:rsidRPr="000817CB">
        <w:rPr>
          <w:b/>
        </w:rPr>
        <w:t xml:space="preserve">s: </w:t>
      </w:r>
      <w:r w:rsidR="00F709B0" w:rsidRPr="000817CB">
        <w:t>GCB, PCC, EAM, KAL and JAN designed and supervised the study; LH was responsible for generation and husbandry of the transgenic plants; ALW carried out the experiments; GCB and ALW analysed the data; GCB wrote the first draft of the manuscript with input from all authors; all authors approved the final version of the manuscript</w:t>
      </w:r>
    </w:p>
    <w:p w14:paraId="2A1FC0A0" w14:textId="77777777" w:rsidR="00F709B0" w:rsidRPr="000817CB" w:rsidRDefault="00F709B0" w:rsidP="00FF4921">
      <w:pPr>
        <w:pStyle w:val="MDPI62BackMatter"/>
      </w:pPr>
      <w:r w:rsidRPr="000817CB">
        <w:rPr>
          <w:b/>
        </w:rPr>
        <w:t xml:space="preserve">Ethics Statement: </w:t>
      </w:r>
      <w:r w:rsidRPr="000817CB">
        <w:t xml:space="preserve"> The study was reviewed and approved by the South Central – Hampshire B Research Ethics Committee (REC reference 15/SC/0627).  The trial is registered at ClinicalTrials.gov (identifier: NCT03477045).  </w:t>
      </w:r>
    </w:p>
    <w:p w14:paraId="1F2D9158" w14:textId="77777777" w:rsidR="00F709B0" w:rsidRPr="000817CB" w:rsidRDefault="00F709B0" w:rsidP="00FF4921">
      <w:pPr>
        <w:pStyle w:val="MDPI62BackMatter"/>
      </w:pPr>
      <w:r w:rsidRPr="000817CB">
        <w:rPr>
          <w:b/>
        </w:rPr>
        <w:t xml:space="preserve">Consent Statement: </w:t>
      </w:r>
      <w:r w:rsidRPr="000817CB">
        <w:t xml:space="preserve"> Written informed consent was obtained from all participants.</w:t>
      </w:r>
    </w:p>
    <w:p w14:paraId="322DA0EE" w14:textId="77777777" w:rsidR="00F709B0" w:rsidRPr="000817CB" w:rsidRDefault="00FF4921" w:rsidP="00FF4921">
      <w:pPr>
        <w:pStyle w:val="MDPI62BackMatter"/>
        <w:rPr>
          <w:b/>
          <w:iCs/>
        </w:rPr>
      </w:pPr>
      <w:r w:rsidRPr="000817CB">
        <w:rPr>
          <w:b/>
          <w:iCs/>
        </w:rPr>
        <w:t xml:space="preserve">Acknowledgments: </w:t>
      </w:r>
      <w:r w:rsidR="00F709B0" w:rsidRPr="000817CB">
        <w:t xml:space="preserve">The authors wish to acknowledge the assistance of Mrs Melissa Doherty </w:t>
      </w:r>
      <w:r w:rsidR="00C72351" w:rsidRPr="000817CB">
        <w:t>who</w:t>
      </w:r>
      <w:r w:rsidR="00F709B0" w:rsidRPr="000817CB">
        <w:t xml:space="preserve"> </w:t>
      </w:r>
      <w:r w:rsidR="00C72351" w:rsidRPr="000817CB">
        <w:t xml:space="preserve">carried </w:t>
      </w:r>
      <w:r w:rsidR="00F709B0" w:rsidRPr="000817CB">
        <w:t>out quality control testing of RNA prior to RNAseq analysis.  Venn diagrams were prepared using Venny (</w:t>
      </w:r>
      <w:r w:rsidR="00F709B0" w:rsidRPr="000817CB">
        <w:rPr>
          <w:iCs/>
        </w:rPr>
        <w:t>Oliveros, J.C. (2007-2015) Venny. An interactive tool for comparing lists with Venn's diagrams (</w:t>
      </w:r>
      <w:hyperlink r:id="rId12" w:history="1">
        <w:r w:rsidR="00F709B0" w:rsidRPr="000817CB">
          <w:rPr>
            <w:rStyle w:val="Hyperlink"/>
          </w:rPr>
          <w:t>www.bioinfogp.cnb.csic.es/tools/venny/index.html</w:t>
        </w:r>
      </w:hyperlink>
      <w:r w:rsidR="00F709B0" w:rsidRPr="000817CB">
        <w:t>)).</w:t>
      </w:r>
    </w:p>
    <w:p w14:paraId="1B839AA3" w14:textId="77777777" w:rsidR="00F709B0" w:rsidRPr="000817CB" w:rsidRDefault="00F709B0" w:rsidP="00FF4921">
      <w:pPr>
        <w:pStyle w:val="MDPI62BackMatter"/>
        <w:rPr>
          <w:b/>
        </w:rPr>
      </w:pPr>
      <w:r w:rsidRPr="000817CB">
        <w:rPr>
          <w:b/>
        </w:rPr>
        <w:t>Financial support</w:t>
      </w:r>
      <w:r w:rsidR="00FF4921" w:rsidRPr="000817CB">
        <w:rPr>
          <w:b/>
        </w:rPr>
        <w:t xml:space="preserve">: </w:t>
      </w:r>
      <w:r w:rsidRPr="000817CB">
        <w:t>This work was supported by grants from the Biotechnology and Biological Sciences Research Council, UK (awards BB/N014081/1 and BB/N01412X/1).</w:t>
      </w:r>
    </w:p>
    <w:p w14:paraId="22D02054" w14:textId="77777777" w:rsidR="00F709B0" w:rsidRPr="000817CB" w:rsidRDefault="00F709B0" w:rsidP="00FF4921">
      <w:pPr>
        <w:pStyle w:val="MDPI62BackMatter"/>
        <w:rPr>
          <w:b/>
          <w:bCs/>
        </w:rPr>
      </w:pPr>
      <w:r w:rsidRPr="000817CB">
        <w:rPr>
          <w:b/>
          <w:bCs/>
        </w:rPr>
        <w:t>Availability of data and materials</w:t>
      </w:r>
      <w:r w:rsidR="00FF4921" w:rsidRPr="000817CB">
        <w:rPr>
          <w:b/>
          <w:bCs/>
        </w:rPr>
        <w:t xml:space="preserve">: </w:t>
      </w:r>
      <w:r w:rsidRPr="000817CB">
        <w:t>The datasets generated during the current study are available from the corresponding author on reasonable request.</w:t>
      </w:r>
    </w:p>
    <w:p w14:paraId="25750A70" w14:textId="77777777" w:rsidR="00F709B0" w:rsidRPr="000817CB" w:rsidRDefault="00F709B0" w:rsidP="00FF4921">
      <w:pPr>
        <w:pStyle w:val="MDPI62BackMatter"/>
        <w:rPr>
          <w:b/>
        </w:rPr>
      </w:pPr>
      <w:r w:rsidRPr="000817CB">
        <w:rPr>
          <w:b/>
        </w:rPr>
        <w:t>Disclosures</w:t>
      </w:r>
      <w:r w:rsidR="00FF4921" w:rsidRPr="000817CB">
        <w:rPr>
          <w:b/>
        </w:rPr>
        <w:t xml:space="preserve">: </w:t>
      </w:r>
      <w:r w:rsidRPr="000817CB">
        <w:t xml:space="preserve">GCB has received research funding from Nestle, Abbott Nutrition and Danone and has served as member of the Scientific Advisory Board of BASF. PCC acts as a consultant to BASF, Smartfish, DSM, Cargill, Danone/Nutricia and Fresenius-Kabi. JAN has provided </w:t>
      </w:r>
      <w:r w:rsidRPr="000817CB">
        <w:rPr>
          <w:i/>
        </w:rPr>
        <w:t>ad hoc</w:t>
      </w:r>
      <w:r w:rsidRPr="000817CB">
        <w:t xml:space="preserve"> consultancy services to BASF. The other authors state they have nothing to disclose.</w:t>
      </w:r>
    </w:p>
    <w:p w14:paraId="161E2EF3" w14:textId="77777777" w:rsidR="00C72351" w:rsidRPr="000817CB" w:rsidRDefault="00C72351" w:rsidP="00FF4921">
      <w:pPr>
        <w:adjustRightInd w:val="0"/>
        <w:snapToGrid w:val="0"/>
        <w:rPr>
          <w:iCs/>
        </w:rPr>
      </w:pPr>
      <w:r w:rsidRPr="000817CB">
        <w:rPr>
          <w:iCs/>
        </w:rPr>
        <w:br w:type="page"/>
      </w:r>
    </w:p>
    <w:p w14:paraId="1EFBE5F7" w14:textId="77777777" w:rsidR="00C72351" w:rsidRPr="000817CB" w:rsidRDefault="00C72351" w:rsidP="00511D9B">
      <w:pPr>
        <w:pStyle w:val="MDPI21heading1"/>
        <w:ind w:left="0"/>
      </w:pPr>
      <w:r w:rsidRPr="000817CB">
        <w:lastRenderedPageBreak/>
        <w:t>References</w:t>
      </w:r>
    </w:p>
    <w:p w14:paraId="40B1E55C" w14:textId="77777777" w:rsidR="00C72351" w:rsidRPr="000817CB" w:rsidRDefault="00C72351" w:rsidP="00511D9B">
      <w:pPr>
        <w:pStyle w:val="MDPI71References"/>
        <w:numPr>
          <w:ilvl w:val="0"/>
          <w:numId w:val="3"/>
        </w:numPr>
      </w:pPr>
      <w:r w:rsidRPr="000817CB">
        <w:t xml:space="preserve">Mitchell, D.C.; Niu, S.L.; Litman, B.J. Optimization of receptor-G protein coupling by bilayer lipid composition I: kinetics of rhodopsin-transducin binding. </w:t>
      </w:r>
      <w:r w:rsidRPr="000817CB">
        <w:rPr>
          <w:i/>
        </w:rPr>
        <w:t xml:space="preserve">The Journal of biological chemistry </w:t>
      </w:r>
      <w:r w:rsidRPr="000817CB">
        <w:rPr>
          <w:b/>
        </w:rPr>
        <w:t>2001</w:t>
      </w:r>
      <w:r w:rsidRPr="000817CB">
        <w:t xml:space="preserve">, </w:t>
      </w:r>
      <w:r w:rsidRPr="000817CB">
        <w:rPr>
          <w:i/>
        </w:rPr>
        <w:t>276</w:t>
      </w:r>
      <w:r w:rsidRPr="000817CB">
        <w:t>, 42801-42806, doi:10.1074/jbc.M105772200.</w:t>
      </w:r>
    </w:p>
    <w:p w14:paraId="03B8CFD8" w14:textId="77777777" w:rsidR="00C72351" w:rsidRPr="000817CB" w:rsidRDefault="00C72351" w:rsidP="00511D9B">
      <w:pPr>
        <w:pStyle w:val="MDPI71References"/>
        <w:numPr>
          <w:ilvl w:val="0"/>
          <w:numId w:val="3"/>
        </w:numPr>
      </w:pPr>
      <w:r w:rsidRPr="000817CB">
        <w:t xml:space="preserve">Molloy, C.; Doyle, L.W.; Makrides, M.; Anderson, P.J. Docosahexaenoic acid and visual functioning in preterm infants: a review. </w:t>
      </w:r>
      <w:r w:rsidRPr="000817CB">
        <w:rPr>
          <w:i/>
        </w:rPr>
        <w:t xml:space="preserve">Neuropsychol Rev </w:t>
      </w:r>
      <w:r w:rsidRPr="000817CB">
        <w:rPr>
          <w:b/>
        </w:rPr>
        <w:t>2012</w:t>
      </w:r>
      <w:r w:rsidRPr="000817CB">
        <w:t xml:space="preserve">, </w:t>
      </w:r>
      <w:r w:rsidRPr="000817CB">
        <w:rPr>
          <w:i/>
        </w:rPr>
        <w:t>22</w:t>
      </w:r>
      <w:r w:rsidRPr="000817CB">
        <w:t>, 425-437, doi:10.1007/s11065-012-9216-z.</w:t>
      </w:r>
    </w:p>
    <w:p w14:paraId="640A47A4" w14:textId="77777777" w:rsidR="00C72351" w:rsidRPr="000817CB" w:rsidRDefault="00C72351" w:rsidP="00511D9B">
      <w:pPr>
        <w:pStyle w:val="MDPI71References"/>
        <w:numPr>
          <w:ilvl w:val="0"/>
          <w:numId w:val="3"/>
        </w:numPr>
      </w:pPr>
      <w:r w:rsidRPr="000817CB">
        <w:t xml:space="preserve">Burdge, G.C.; Rodway, H.; Kohler, J.A.; Lillycrop, K.A. Effect of fatty acid supplementation on growth and differentiation of human IMR-32 neuroblastoma cells in vitro. </w:t>
      </w:r>
      <w:r w:rsidRPr="000817CB">
        <w:rPr>
          <w:i/>
        </w:rPr>
        <w:t xml:space="preserve">Journal of cellular biochemistry </w:t>
      </w:r>
      <w:r w:rsidRPr="000817CB">
        <w:rPr>
          <w:b/>
        </w:rPr>
        <w:t>2000</w:t>
      </w:r>
      <w:r w:rsidRPr="000817CB">
        <w:t xml:space="preserve">, </w:t>
      </w:r>
      <w:r w:rsidRPr="000817CB">
        <w:rPr>
          <w:i/>
        </w:rPr>
        <w:t>80</w:t>
      </w:r>
      <w:r w:rsidRPr="000817CB">
        <w:t>, 266-273, doi:10.1002/1097-4644(20010201)80:2&lt;266::aid-jcb160&gt;3.3.co;2-y.</w:t>
      </w:r>
    </w:p>
    <w:p w14:paraId="796B44ED" w14:textId="77777777" w:rsidR="00C72351" w:rsidRPr="000817CB" w:rsidRDefault="00C72351" w:rsidP="00511D9B">
      <w:pPr>
        <w:pStyle w:val="MDPI71References"/>
        <w:numPr>
          <w:ilvl w:val="0"/>
          <w:numId w:val="3"/>
        </w:numPr>
      </w:pPr>
      <w:r w:rsidRPr="000817CB">
        <w:t xml:space="preserve">Burdge, G.C.; Lillycrop, K.A. Fatty acids and epigenetics. </w:t>
      </w:r>
      <w:r w:rsidRPr="000817CB">
        <w:rPr>
          <w:i/>
        </w:rPr>
        <w:t xml:space="preserve">Current Opin Clin Nutr Metabol Care </w:t>
      </w:r>
      <w:r w:rsidRPr="000817CB">
        <w:rPr>
          <w:b/>
        </w:rPr>
        <w:t>2014</w:t>
      </w:r>
      <w:r w:rsidRPr="000817CB">
        <w:t xml:space="preserve">, </w:t>
      </w:r>
      <w:r w:rsidRPr="000817CB">
        <w:rPr>
          <w:i/>
        </w:rPr>
        <w:t>17</w:t>
      </w:r>
      <w:r w:rsidRPr="000817CB">
        <w:t>, 156-161, doi:10.1097/MCO.0000000000000023.</w:t>
      </w:r>
    </w:p>
    <w:p w14:paraId="23403CF3" w14:textId="77777777" w:rsidR="00C72351" w:rsidRPr="000817CB" w:rsidRDefault="00C72351" w:rsidP="00511D9B">
      <w:pPr>
        <w:pStyle w:val="MDPI71References"/>
        <w:numPr>
          <w:ilvl w:val="0"/>
          <w:numId w:val="3"/>
        </w:numPr>
      </w:pPr>
      <w:r w:rsidRPr="000817CB">
        <w:t xml:space="preserve">Givens, D.I.G., R.A. Very long chain n-3 polyunsaturated fatty acids in the food chain in the UK and the potential of animal-derived foods to increase intake. </w:t>
      </w:r>
      <w:r w:rsidRPr="000817CB">
        <w:rPr>
          <w:i/>
        </w:rPr>
        <w:t xml:space="preserve">Nutr Bullet </w:t>
      </w:r>
      <w:r w:rsidRPr="000817CB">
        <w:rPr>
          <w:b/>
        </w:rPr>
        <w:t>2006</w:t>
      </w:r>
      <w:r w:rsidRPr="000817CB">
        <w:t xml:space="preserve">, </w:t>
      </w:r>
      <w:r w:rsidRPr="000817CB">
        <w:rPr>
          <w:i/>
        </w:rPr>
        <w:t>31</w:t>
      </w:r>
      <w:r w:rsidRPr="000817CB">
        <w:t>.</w:t>
      </w:r>
    </w:p>
    <w:p w14:paraId="726EEBB3" w14:textId="77777777" w:rsidR="00C72351" w:rsidRPr="000817CB" w:rsidRDefault="00C72351" w:rsidP="00511D9B">
      <w:pPr>
        <w:pStyle w:val="MDPI71References"/>
        <w:numPr>
          <w:ilvl w:val="0"/>
          <w:numId w:val="3"/>
        </w:numPr>
      </w:pPr>
      <w:r w:rsidRPr="000817CB">
        <w:t xml:space="preserve">Calder, P.C.; Grimble, R.F. Polyunsaturated fatty acids, inflammation and immunity. </w:t>
      </w:r>
      <w:r w:rsidRPr="000817CB">
        <w:rPr>
          <w:i/>
        </w:rPr>
        <w:t xml:space="preserve">Eur J Clin Nutr </w:t>
      </w:r>
      <w:r w:rsidRPr="000817CB">
        <w:rPr>
          <w:b/>
        </w:rPr>
        <w:t>2002</w:t>
      </w:r>
      <w:r w:rsidRPr="000817CB">
        <w:t xml:space="preserve">, </w:t>
      </w:r>
      <w:r w:rsidRPr="000817CB">
        <w:rPr>
          <w:i/>
        </w:rPr>
        <w:t>56 Suppl 3</w:t>
      </w:r>
      <w:r w:rsidRPr="000817CB">
        <w:t>, S14-S19.</w:t>
      </w:r>
    </w:p>
    <w:p w14:paraId="24551F6D" w14:textId="77777777" w:rsidR="00C72351" w:rsidRPr="000817CB" w:rsidRDefault="00C72351" w:rsidP="00511D9B">
      <w:pPr>
        <w:pStyle w:val="MDPI71References"/>
        <w:numPr>
          <w:ilvl w:val="0"/>
          <w:numId w:val="3"/>
        </w:numPr>
      </w:pPr>
      <w:r w:rsidRPr="000817CB">
        <w:t xml:space="preserve">Browning, L.M.; Walker, C.G.; Mander, A.P.; West, A.L.; Madden, J.; Gambell, J.M.; Young, S.; Wang, L.; Jebb, S.A.; Calder, P.C. Incorporation of eicosapentaenoic and docosahexaenoic acids into lipid pools when given as supplements providing doses equivalent to typical intakes of oily fish. </w:t>
      </w:r>
      <w:r w:rsidRPr="000817CB">
        <w:rPr>
          <w:i/>
        </w:rPr>
        <w:t xml:space="preserve">Am J Clin Nutr </w:t>
      </w:r>
      <w:r w:rsidRPr="000817CB">
        <w:rPr>
          <w:b/>
        </w:rPr>
        <w:t>2012</w:t>
      </w:r>
      <w:r w:rsidRPr="000817CB">
        <w:t xml:space="preserve">, </w:t>
      </w:r>
      <w:r w:rsidRPr="000817CB">
        <w:rPr>
          <w:i/>
        </w:rPr>
        <w:t>96</w:t>
      </w:r>
      <w:r w:rsidRPr="000817CB">
        <w:t>, 748-758, doi:10.3945/ajcn.112.041343.</w:t>
      </w:r>
    </w:p>
    <w:p w14:paraId="70A35390" w14:textId="77777777" w:rsidR="00C72351" w:rsidRPr="000817CB" w:rsidRDefault="00C72351" w:rsidP="00511D9B">
      <w:pPr>
        <w:pStyle w:val="MDPI71References"/>
        <w:numPr>
          <w:ilvl w:val="0"/>
          <w:numId w:val="3"/>
        </w:numPr>
      </w:pPr>
      <w:r w:rsidRPr="000817CB">
        <w:t xml:space="preserve">Faber, J.; Berkhout, M.; Vos, A.P.; Sijben, J.W.; Calder, P.C.; Garssen, J.; van Helvoort, A. Supplementation with a fish oil-enriched, high-protein medical food leads to rapid incorporation of EPA into white blood cells and modulates immune responses within one week in healthy men and women. </w:t>
      </w:r>
      <w:r w:rsidRPr="000817CB">
        <w:rPr>
          <w:i/>
        </w:rPr>
        <w:t xml:space="preserve">J Nutr </w:t>
      </w:r>
      <w:r w:rsidRPr="000817CB">
        <w:rPr>
          <w:b/>
        </w:rPr>
        <w:t>2011</w:t>
      </w:r>
      <w:r w:rsidRPr="000817CB">
        <w:t xml:space="preserve">, </w:t>
      </w:r>
      <w:r w:rsidRPr="000817CB">
        <w:rPr>
          <w:i/>
        </w:rPr>
        <w:t>141</w:t>
      </w:r>
      <w:r w:rsidRPr="000817CB">
        <w:t>, 964-970, doi:10.3945/jn.110.132985.</w:t>
      </w:r>
    </w:p>
    <w:p w14:paraId="44C9B9A4" w14:textId="77777777" w:rsidR="00C72351" w:rsidRPr="000817CB" w:rsidRDefault="00C72351" w:rsidP="00511D9B">
      <w:pPr>
        <w:pStyle w:val="MDPI71References"/>
        <w:numPr>
          <w:ilvl w:val="0"/>
          <w:numId w:val="3"/>
        </w:numPr>
      </w:pPr>
      <w:r w:rsidRPr="000817CB">
        <w:t xml:space="preserve">Miles, E.A.; Calder, P.C. Influence of marine n-3 polyunsaturated fatty acids on immune function and a systematic review of their effects on clinical outcomes in rheumatoid arthritis. </w:t>
      </w:r>
      <w:r w:rsidRPr="000817CB">
        <w:rPr>
          <w:i/>
        </w:rPr>
        <w:t xml:space="preserve">Br J Nutr </w:t>
      </w:r>
      <w:r w:rsidRPr="000817CB">
        <w:rPr>
          <w:b/>
        </w:rPr>
        <w:t>2012</w:t>
      </w:r>
      <w:r w:rsidRPr="000817CB">
        <w:t xml:space="preserve">, </w:t>
      </w:r>
      <w:r w:rsidRPr="000817CB">
        <w:rPr>
          <w:i/>
        </w:rPr>
        <w:t>107 Suppl 2</w:t>
      </w:r>
      <w:r w:rsidRPr="000817CB">
        <w:t>, S171-184, doi:10.1017/S0007114512001560.</w:t>
      </w:r>
    </w:p>
    <w:p w14:paraId="09E3AC03" w14:textId="77777777" w:rsidR="00C72351" w:rsidRPr="000817CB" w:rsidRDefault="00C72351" w:rsidP="00511D9B">
      <w:pPr>
        <w:pStyle w:val="MDPI71References"/>
        <w:numPr>
          <w:ilvl w:val="0"/>
          <w:numId w:val="3"/>
        </w:numPr>
      </w:pPr>
      <w:r w:rsidRPr="000817CB">
        <w:t xml:space="preserve">Miles, E.A.; Allen, E.; Calder, P.C. In vitro effects of eicosanoids derived from different 20-carbon Fatty acids on production of monocyte-derived cytokines in human whole blood cultures. </w:t>
      </w:r>
      <w:r w:rsidRPr="000817CB">
        <w:rPr>
          <w:i/>
        </w:rPr>
        <w:t xml:space="preserve">Cytokine </w:t>
      </w:r>
      <w:r w:rsidRPr="000817CB">
        <w:rPr>
          <w:b/>
        </w:rPr>
        <w:t>2002</w:t>
      </w:r>
      <w:r w:rsidRPr="000817CB">
        <w:t xml:space="preserve">, </w:t>
      </w:r>
      <w:r w:rsidRPr="000817CB">
        <w:rPr>
          <w:i/>
        </w:rPr>
        <w:t>20</w:t>
      </w:r>
      <w:r w:rsidRPr="000817CB">
        <w:t>, 215-223.</w:t>
      </w:r>
    </w:p>
    <w:p w14:paraId="7E4AA3FC" w14:textId="77777777" w:rsidR="00C72351" w:rsidRPr="000817CB" w:rsidRDefault="00C72351" w:rsidP="00511D9B">
      <w:pPr>
        <w:pStyle w:val="MDPI71References"/>
        <w:numPr>
          <w:ilvl w:val="0"/>
          <w:numId w:val="3"/>
        </w:numPr>
      </w:pPr>
      <w:r w:rsidRPr="000817CB">
        <w:t xml:space="preserve">Bagga, D.; Wang, L.; Farias-Eisner, R.; Glaspy, J.A.; Reddy, S.T. Differential effects of prostaglandin derived from omega-6 and omega-3 polyunsaturated fatty acids on COX-2 expression and IL-6 secretion. </w:t>
      </w:r>
      <w:r w:rsidRPr="000817CB">
        <w:rPr>
          <w:i/>
        </w:rPr>
        <w:t xml:space="preserve">Proc Natl Acad Sci U S A </w:t>
      </w:r>
      <w:r w:rsidRPr="000817CB">
        <w:rPr>
          <w:b/>
        </w:rPr>
        <w:t>2003</w:t>
      </w:r>
      <w:r w:rsidRPr="000817CB">
        <w:t xml:space="preserve">, </w:t>
      </w:r>
      <w:r w:rsidRPr="000817CB">
        <w:rPr>
          <w:i/>
        </w:rPr>
        <w:t>100</w:t>
      </w:r>
      <w:r w:rsidRPr="000817CB">
        <w:t>, 1751-1756, doi:10.1073/pnas.0334211100.</w:t>
      </w:r>
    </w:p>
    <w:p w14:paraId="108203E5" w14:textId="77777777" w:rsidR="00C72351" w:rsidRPr="000817CB" w:rsidRDefault="00C72351" w:rsidP="00511D9B">
      <w:pPr>
        <w:pStyle w:val="MDPI71References"/>
        <w:numPr>
          <w:ilvl w:val="0"/>
          <w:numId w:val="3"/>
        </w:numPr>
      </w:pPr>
      <w:r w:rsidRPr="000817CB">
        <w:t xml:space="preserve">Goldman, D.W.; Pickett, W.C.; Goetzl, E.J. Human neutrophil chemotactic and degranulating activities of leukotriene B5 (LTB5) derived from eicosapentaenoic acid. </w:t>
      </w:r>
      <w:r w:rsidRPr="000817CB">
        <w:rPr>
          <w:i/>
        </w:rPr>
        <w:t xml:space="preserve">Biochem Biophys Res Com </w:t>
      </w:r>
      <w:r w:rsidRPr="000817CB">
        <w:rPr>
          <w:b/>
        </w:rPr>
        <w:t>1983</w:t>
      </w:r>
      <w:r w:rsidRPr="000817CB">
        <w:t xml:space="preserve">, </w:t>
      </w:r>
      <w:r w:rsidRPr="000817CB">
        <w:rPr>
          <w:i/>
        </w:rPr>
        <w:t>117</w:t>
      </w:r>
      <w:r w:rsidRPr="000817CB">
        <w:t>, 282-288, doi:10.1016/0006-291x(83)91572-3.</w:t>
      </w:r>
    </w:p>
    <w:p w14:paraId="66DC19B8" w14:textId="77777777" w:rsidR="00C72351" w:rsidRPr="000817CB" w:rsidRDefault="00C72351" w:rsidP="00511D9B">
      <w:pPr>
        <w:pStyle w:val="MDPI71References"/>
        <w:numPr>
          <w:ilvl w:val="0"/>
          <w:numId w:val="3"/>
        </w:numPr>
      </w:pPr>
      <w:r w:rsidRPr="000817CB">
        <w:t xml:space="preserve">Endres, S.; Ghorbani, R.; Kelley, V.E.; Georgilis, K.; Lonnemann, G.; van der Meer, J.W.; Cannon, J.G.; Rogers, T.S.; Klempner, M.S.; Weber, P.C., </w:t>
      </w:r>
      <w:r w:rsidRPr="000817CB">
        <w:rPr>
          <w:i/>
        </w:rPr>
        <w:t>et al</w:t>
      </w:r>
      <w:r w:rsidRPr="000817CB">
        <w:t xml:space="preserve">. The effect of dietary supplementation with n-3 polyunsaturated fatty acids on the synthesis of interleukin-1 and tumor necrosis factor by mononuclear cells.  </w:t>
      </w:r>
      <w:r w:rsidRPr="000817CB">
        <w:rPr>
          <w:i/>
        </w:rPr>
        <w:t xml:space="preserve">New Eng J Med </w:t>
      </w:r>
      <w:r w:rsidRPr="000817CB">
        <w:rPr>
          <w:b/>
        </w:rPr>
        <w:t>1989</w:t>
      </w:r>
      <w:r w:rsidRPr="000817CB">
        <w:t xml:space="preserve">, </w:t>
      </w:r>
      <w:r w:rsidRPr="000817CB">
        <w:rPr>
          <w:i/>
        </w:rPr>
        <w:t>320</w:t>
      </w:r>
      <w:r w:rsidRPr="000817CB">
        <w:t>, 265-271, doi:10.1056/NEJM198902023200501.</w:t>
      </w:r>
    </w:p>
    <w:p w14:paraId="24D38428" w14:textId="77777777" w:rsidR="00C72351" w:rsidRPr="000817CB" w:rsidRDefault="00C72351" w:rsidP="00511D9B">
      <w:pPr>
        <w:pStyle w:val="MDPI71References"/>
        <w:numPr>
          <w:ilvl w:val="0"/>
          <w:numId w:val="3"/>
        </w:numPr>
      </w:pPr>
      <w:r w:rsidRPr="000817CB">
        <w:t xml:space="preserve">Lee, T.H.; Hoover, R.L.; Williams, J.D.; Sperling, R.I.; Ravalese, J., 3rd; Spur, B.W.; Robinson, D.R.; Corey, E.J.; Lewis, R.A.; Austen, K.F. Effect of dietary enrichment with eicosapentaenoic and docosahexaenoic acids on in vitro neutrophil and monocyte leukotriene generation and neutrophil function. </w:t>
      </w:r>
      <w:r w:rsidRPr="000817CB">
        <w:rPr>
          <w:i/>
        </w:rPr>
        <w:t xml:space="preserve">New Eng J Med </w:t>
      </w:r>
      <w:r w:rsidRPr="000817CB">
        <w:rPr>
          <w:b/>
        </w:rPr>
        <w:t>1985</w:t>
      </w:r>
      <w:r w:rsidRPr="000817CB">
        <w:t xml:space="preserve">, </w:t>
      </w:r>
      <w:r w:rsidRPr="000817CB">
        <w:rPr>
          <w:i/>
        </w:rPr>
        <w:t>312</w:t>
      </w:r>
      <w:r w:rsidRPr="000817CB">
        <w:t>, 1217-1224, doi:10.1056/NEJM198505093121903.</w:t>
      </w:r>
    </w:p>
    <w:p w14:paraId="6181C3FA" w14:textId="77777777" w:rsidR="00C72351" w:rsidRPr="000817CB" w:rsidRDefault="00C72351" w:rsidP="00511D9B">
      <w:pPr>
        <w:pStyle w:val="MDPI71References"/>
        <w:numPr>
          <w:ilvl w:val="0"/>
          <w:numId w:val="3"/>
        </w:numPr>
      </w:pPr>
      <w:r w:rsidRPr="000817CB">
        <w:t xml:space="preserve">Meydani, S.N.; Endres, S.; Woods, M.M.; Goldin, B.R.; Soo, C.; Morrill-Labrode, A.; Dinarello, C.A.; Gorbach, S.L. Oral (n-3) fatty acid supplementation suppresses cytokine production and lymphocyte proliferation: comparison between young and older women. </w:t>
      </w:r>
      <w:r w:rsidRPr="000817CB">
        <w:rPr>
          <w:i/>
        </w:rPr>
        <w:t xml:space="preserve">J Nutr </w:t>
      </w:r>
      <w:r w:rsidRPr="000817CB">
        <w:rPr>
          <w:b/>
        </w:rPr>
        <w:t>1991</w:t>
      </w:r>
      <w:r w:rsidRPr="000817CB">
        <w:t xml:space="preserve">, </w:t>
      </w:r>
      <w:r w:rsidRPr="000817CB">
        <w:rPr>
          <w:i/>
        </w:rPr>
        <w:t>121</w:t>
      </w:r>
      <w:r w:rsidRPr="000817CB">
        <w:t>, 547-555, doi:10.1093/jn/121.4.547.</w:t>
      </w:r>
    </w:p>
    <w:p w14:paraId="4A4838AB" w14:textId="77777777" w:rsidR="00C72351" w:rsidRPr="000817CB" w:rsidRDefault="00C72351" w:rsidP="00511D9B">
      <w:pPr>
        <w:pStyle w:val="MDPI71References"/>
        <w:numPr>
          <w:ilvl w:val="0"/>
          <w:numId w:val="3"/>
        </w:numPr>
      </w:pPr>
      <w:r w:rsidRPr="000817CB">
        <w:t xml:space="preserve">Cleland, L.G.; Caughey, G.E.; James, M.J.; Proudman, S.M. Reduction of cardiovascular risk factors with longterm fish oil treatment in early rheumatoid arthritis. </w:t>
      </w:r>
      <w:r w:rsidRPr="000817CB">
        <w:rPr>
          <w:i/>
        </w:rPr>
        <w:t xml:space="preserve">J Rheumatol </w:t>
      </w:r>
      <w:r w:rsidRPr="000817CB">
        <w:rPr>
          <w:b/>
        </w:rPr>
        <w:t>2006</w:t>
      </w:r>
      <w:r w:rsidRPr="000817CB">
        <w:t xml:space="preserve">, </w:t>
      </w:r>
      <w:r w:rsidRPr="000817CB">
        <w:rPr>
          <w:i/>
        </w:rPr>
        <w:t>33</w:t>
      </w:r>
      <w:r w:rsidRPr="000817CB">
        <w:t>, 1973-1979.</w:t>
      </w:r>
    </w:p>
    <w:p w14:paraId="4FB2D2B5" w14:textId="77777777" w:rsidR="00C72351" w:rsidRPr="000817CB" w:rsidRDefault="00C72351" w:rsidP="00511D9B">
      <w:pPr>
        <w:pStyle w:val="MDPI71References"/>
        <w:numPr>
          <w:ilvl w:val="0"/>
          <w:numId w:val="3"/>
        </w:numPr>
      </w:pPr>
      <w:r w:rsidRPr="000817CB">
        <w:t xml:space="preserve">Kremer, J.M.; Lawrence, D.A.; Jubiz, W.; DiGiacomo, R.; Rynes, R.; Bartholomew, L.E.; Sherman, M. Dietary fish oil and olive oil supplementation in patients with rheumatoid arthritis. Clinical and immunologic effects. </w:t>
      </w:r>
      <w:r w:rsidRPr="000817CB">
        <w:rPr>
          <w:i/>
        </w:rPr>
        <w:t xml:space="preserve">Arthritis Rheum </w:t>
      </w:r>
      <w:r w:rsidRPr="000817CB">
        <w:rPr>
          <w:b/>
        </w:rPr>
        <w:t>1990</w:t>
      </w:r>
      <w:r w:rsidRPr="000817CB">
        <w:t xml:space="preserve">, </w:t>
      </w:r>
      <w:r w:rsidRPr="000817CB">
        <w:rPr>
          <w:i/>
        </w:rPr>
        <w:t>33</w:t>
      </w:r>
      <w:r w:rsidRPr="000817CB">
        <w:t>, 810-820, doi:10.1002/art.1780330607.</w:t>
      </w:r>
    </w:p>
    <w:p w14:paraId="1A4A5AC0" w14:textId="77777777" w:rsidR="00C72351" w:rsidRPr="000817CB" w:rsidRDefault="00C72351" w:rsidP="00511D9B">
      <w:pPr>
        <w:pStyle w:val="MDPI71References"/>
        <w:numPr>
          <w:ilvl w:val="0"/>
          <w:numId w:val="3"/>
        </w:numPr>
      </w:pPr>
      <w:r w:rsidRPr="000817CB">
        <w:t xml:space="preserve">Sperling, R.I.; Weinblatt, M.; Robin, J.L.; Ravalese, J., 3rd; Hoover, R.L.; House, F.; Coblyn, J.S.; Fraser, P.A.; Spur, B.W.; Robinson, D.R., et al. Effects of dietary supplementation with marine fish oil on leukocyte lipid mediator generation and function in rheumatoid arthritis. </w:t>
      </w:r>
      <w:r w:rsidRPr="000817CB">
        <w:rPr>
          <w:i/>
        </w:rPr>
        <w:t xml:space="preserve">Arthritis Rheum </w:t>
      </w:r>
      <w:r w:rsidRPr="000817CB">
        <w:rPr>
          <w:b/>
        </w:rPr>
        <w:t>1987</w:t>
      </w:r>
      <w:r w:rsidRPr="000817CB">
        <w:t xml:space="preserve">, </w:t>
      </w:r>
      <w:r w:rsidRPr="000817CB">
        <w:rPr>
          <w:i/>
        </w:rPr>
        <w:t>30</w:t>
      </w:r>
      <w:r w:rsidRPr="000817CB">
        <w:t>, 988-997, doi:10.1002/art.1780300905.</w:t>
      </w:r>
    </w:p>
    <w:p w14:paraId="318827EE" w14:textId="77777777" w:rsidR="00C72351" w:rsidRPr="000817CB" w:rsidRDefault="00C72351" w:rsidP="00511D9B">
      <w:pPr>
        <w:pStyle w:val="MDPI71References"/>
        <w:numPr>
          <w:ilvl w:val="0"/>
          <w:numId w:val="3"/>
        </w:numPr>
      </w:pPr>
      <w:r w:rsidRPr="000817CB">
        <w:t xml:space="preserve">van der Tempel, H.; Tulleken, J.E.; Limburg, P.C.; Muskiet, F.A.; van Rijswijk, M.H. Effects of fish oil supplementation in rheumatoid arthritis. </w:t>
      </w:r>
      <w:r w:rsidRPr="000817CB">
        <w:rPr>
          <w:i/>
        </w:rPr>
        <w:t xml:space="preserve">Ann Rheum Dis </w:t>
      </w:r>
      <w:r w:rsidRPr="000817CB">
        <w:rPr>
          <w:b/>
        </w:rPr>
        <w:t>1990</w:t>
      </w:r>
      <w:r w:rsidRPr="000817CB">
        <w:t xml:space="preserve">, </w:t>
      </w:r>
      <w:r w:rsidRPr="000817CB">
        <w:rPr>
          <w:i/>
        </w:rPr>
        <w:t>49</w:t>
      </w:r>
      <w:r w:rsidRPr="000817CB">
        <w:t>, 76-80, doi:10.1136/ard.49.2.76.</w:t>
      </w:r>
    </w:p>
    <w:p w14:paraId="4F70A76F" w14:textId="77777777" w:rsidR="00C72351" w:rsidRPr="000817CB" w:rsidRDefault="00C72351" w:rsidP="00511D9B">
      <w:pPr>
        <w:pStyle w:val="MDPI71References"/>
        <w:numPr>
          <w:ilvl w:val="0"/>
          <w:numId w:val="3"/>
        </w:numPr>
      </w:pPr>
      <w:r w:rsidRPr="000817CB">
        <w:t xml:space="preserve">Calder, P.C. Omega-3 fatty acids and inflammatory processes: from molecules to man. </w:t>
      </w:r>
      <w:r w:rsidRPr="000817CB">
        <w:rPr>
          <w:i/>
        </w:rPr>
        <w:t xml:space="preserve">Biochem Soc Trans </w:t>
      </w:r>
      <w:r w:rsidRPr="000817CB">
        <w:rPr>
          <w:b/>
        </w:rPr>
        <w:t>2017</w:t>
      </w:r>
      <w:r w:rsidRPr="000817CB">
        <w:t xml:space="preserve">, </w:t>
      </w:r>
      <w:r w:rsidRPr="000817CB">
        <w:rPr>
          <w:i/>
        </w:rPr>
        <w:t>45</w:t>
      </w:r>
      <w:r w:rsidRPr="000817CB">
        <w:t>, 1105-1115, doi:10.1042/BST20160474.</w:t>
      </w:r>
    </w:p>
    <w:p w14:paraId="2FD41C3A" w14:textId="77777777" w:rsidR="00C72351" w:rsidRPr="000817CB" w:rsidRDefault="00C72351" w:rsidP="00511D9B">
      <w:pPr>
        <w:pStyle w:val="MDPI71References"/>
        <w:numPr>
          <w:ilvl w:val="0"/>
          <w:numId w:val="3"/>
        </w:numPr>
      </w:pPr>
      <w:r w:rsidRPr="000817CB">
        <w:t xml:space="preserve">Givens, D.I.; Gibbs, R.A. Current intakes of EPA and DHA in European populations and the potential of animal-derived foods to increase them.  </w:t>
      </w:r>
      <w:r w:rsidRPr="000817CB">
        <w:rPr>
          <w:i/>
        </w:rPr>
        <w:t xml:space="preserve">Proc Nutr Soc. </w:t>
      </w:r>
      <w:r w:rsidRPr="000817CB">
        <w:rPr>
          <w:b/>
        </w:rPr>
        <w:t>2008</w:t>
      </w:r>
      <w:r w:rsidRPr="000817CB">
        <w:t xml:space="preserve">, </w:t>
      </w:r>
      <w:r w:rsidRPr="000817CB">
        <w:rPr>
          <w:i/>
        </w:rPr>
        <w:t>67</w:t>
      </w:r>
      <w:r w:rsidRPr="000817CB">
        <w:t>, 273-280.</w:t>
      </w:r>
    </w:p>
    <w:p w14:paraId="774B9ACF" w14:textId="77777777" w:rsidR="00C72351" w:rsidRPr="000817CB" w:rsidRDefault="00C72351" w:rsidP="00511D9B">
      <w:pPr>
        <w:pStyle w:val="MDPI71References"/>
        <w:numPr>
          <w:ilvl w:val="0"/>
          <w:numId w:val="3"/>
        </w:numPr>
      </w:pPr>
      <w:r w:rsidRPr="000817CB">
        <w:t xml:space="preserve">Scientific Advisory Committee on Nutrition Advice on Fish Consumption: Benefits and Risks. </w:t>
      </w:r>
      <w:r w:rsidRPr="000817CB">
        <w:rPr>
          <w:b/>
        </w:rPr>
        <w:t xml:space="preserve">2004, </w:t>
      </w:r>
      <w:r w:rsidRPr="000817CB">
        <w:t>TSO.</w:t>
      </w:r>
    </w:p>
    <w:p w14:paraId="2A7EEAD1" w14:textId="77777777" w:rsidR="00C72351" w:rsidRPr="000817CB" w:rsidRDefault="00C72351" w:rsidP="00511D9B">
      <w:pPr>
        <w:pStyle w:val="MDPI71References"/>
        <w:numPr>
          <w:ilvl w:val="0"/>
          <w:numId w:val="3"/>
        </w:numPr>
      </w:pPr>
      <w:r w:rsidRPr="000817CB">
        <w:t xml:space="preserve">Welch, A.A.; Shakya-Shrestha, S.; Lentjes, M.A.; Wareham, N.J.; Khaw, K.T. Dietary intake and status of n-3 polyunsaturated fatty acids in a population of fish-eating and non-fish-eating meat-eaters, vegetarians, and vegans and the precursor-product ratio of alpha-linolenic acid to long-chain n-3 polyunsaturated fatty acids: results from the EPIC-Norfolk cohort. </w:t>
      </w:r>
      <w:r w:rsidRPr="000817CB">
        <w:rPr>
          <w:i/>
        </w:rPr>
        <w:t xml:space="preserve">Am J Clin Nutr </w:t>
      </w:r>
      <w:r w:rsidRPr="000817CB">
        <w:rPr>
          <w:b/>
        </w:rPr>
        <w:t>2010</w:t>
      </w:r>
      <w:r w:rsidRPr="000817CB">
        <w:t xml:space="preserve">, </w:t>
      </w:r>
      <w:r w:rsidRPr="000817CB">
        <w:rPr>
          <w:i/>
        </w:rPr>
        <w:t>92</w:t>
      </w:r>
      <w:r w:rsidRPr="000817CB">
        <w:t>, 1040-1051.</w:t>
      </w:r>
    </w:p>
    <w:p w14:paraId="620311E4" w14:textId="77777777" w:rsidR="00C72351" w:rsidRPr="000817CB" w:rsidRDefault="00C72351" w:rsidP="00511D9B">
      <w:pPr>
        <w:pStyle w:val="MDPI71References"/>
        <w:numPr>
          <w:ilvl w:val="0"/>
          <w:numId w:val="3"/>
        </w:numPr>
      </w:pPr>
      <w:r w:rsidRPr="000817CB">
        <w:lastRenderedPageBreak/>
        <w:t xml:space="preserve">Ruiz-Lopez, N.; Haslam, R.P.; Napier, J.A.; Sayanova, O. Successful high-level accumulation of fish oil omega-3 long-chain polyunsaturated fatty acids in a transgenic oilseed crop. </w:t>
      </w:r>
      <w:r w:rsidRPr="000817CB">
        <w:rPr>
          <w:i/>
        </w:rPr>
        <w:t xml:space="preserve">Plant J </w:t>
      </w:r>
      <w:r w:rsidRPr="000817CB">
        <w:rPr>
          <w:b/>
        </w:rPr>
        <w:t>2014</w:t>
      </w:r>
      <w:r w:rsidRPr="000817CB">
        <w:t xml:space="preserve">, </w:t>
      </w:r>
      <w:r w:rsidRPr="000817CB">
        <w:rPr>
          <w:i/>
        </w:rPr>
        <w:t>77</w:t>
      </w:r>
      <w:r w:rsidRPr="000817CB">
        <w:t>, 198-208, doi:10.1111/tpj.12378.</w:t>
      </w:r>
    </w:p>
    <w:p w14:paraId="2AD239FC" w14:textId="77777777" w:rsidR="00C72351" w:rsidRPr="000817CB" w:rsidRDefault="00C72351" w:rsidP="00511D9B">
      <w:pPr>
        <w:pStyle w:val="MDPI71References"/>
        <w:numPr>
          <w:ilvl w:val="0"/>
          <w:numId w:val="3"/>
        </w:numPr>
      </w:pPr>
      <w:r w:rsidRPr="000817CB">
        <w:t xml:space="preserve">West AL; Miles EA; Lillycrop KA; Han L; Napier JA; Calder PC; Burdge GC Dietary supplementation with seed oil from transgenic Camelina sativa induces similar increments in plasma and erythrocyte DHA and EPA to fish oil in healthy humans. </w:t>
      </w:r>
      <w:r w:rsidR="00B87F35" w:rsidRPr="000817CB">
        <w:rPr>
          <w:i/>
        </w:rPr>
        <w:t>Br J Nutr</w:t>
      </w:r>
      <w:r w:rsidRPr="000817CB">
        <w:rPr>
          <w:i/>
        </w:rPr>
        <w:t xml:space="preserve"> </w:t>
      </w:r>
      <w:r w:rsidRPr="000817CB">
        <w:rPr>
          <w:b/>
        </w:rPr>
        <w:t>2020</w:t>
      </w:r>
      <w:r w:rsidRPr="000817CB">
        <w:t xml:space="preserve">, </w:t>
      </w:r>
      <w:r w:rsidRPr="000817CB">
        <w:rPr>
          <w:i/>
        </w:rPr>
        <w:t>124</w:t>
      </w:r>
      <w:r w:rsidRPr="000817CB">
        <w:t>, 922-930, doi:10.1017/S0007114520002044.</w:t>
      </w:r>
    </w:p>
    <w:p w14:paraId="5E075070" w14:textId="77777777" w:rsidR="00C72351" w:rsidRPr="000817CB" w:rsidRDefault="00C72351" w:rsidP="00511D9B">
      <w:pPr>
        <w:pStyle w:val="MDPI71References"/>
        <w:numPr>
          <w:ilvl w:val="0"/>
          <w:numId w:val="3"/>
        </w:numPr>
      </w:pPr>
      <w:r w:rsidRPr="000817CB">
        <w:t xml:space="preserve">West, A.L.; Miles, E.A.; Lillycrop, K.A.; Han, L.; Sayanova, O.; Napier, J.A.; Calder, P.C.; Burdge, G.C. Postprandial incorporation of EPA and DHA from transgenic Camelina sativa oil into blood lipids is equivalent to that from fish oil in healthy humans. </w:t>
      </w:r>
      <w:r w:rsidRPr="000817CB">
        <w:rPr>
          <w:i/>
        </w:rPr>
        <w:t xml:space="preserve">The </w:t>
      </w:r>
      <w:r w:rsidR="00B87F35" w:rsidRPr="000817CB">
        <w:rPr>
          <w:i/>
        </w:rPr>
        <w:t>Br J Nutr</w:t>
      </w:r>
      <w:r w:rsidRPr="000817CB">
        <w:rPr>
          <w:i/>
        </w:rPr>
        <w:t xml:space="preserve"> </w:t>
      </w:r>
      <w:r w:rsidRPr="000817CB">
        <w:rPr>
          <w:b/>
        </w:rPr>
        <w:t>2019</w:t>
      </w:r>
      <w:r w:rsidRPr="000817CB">
        <w:t xml:space="preserve">, </w:t>
      </w:r>
      <w:r w:rsidRPr="000817CB">
        <w:rPr>
          <w:i/>
        </w:rPr>
        <w:t>121</w:t>
      </w:r>
      <w:r w:rsidRPr="000817CB">
        <w:t>, 1235-1246, doi:10.1017/S0007114519000825.</w:t>
      </w:r>
    </w:p>
    <w:p w14:paraId="59A5B4FF" w14:textId="77777777" w:rsidR="00C72351" w:rsidRPr="000817CB" w:rsidRDefault="00B87F35" w:rsidP="00511D9B">
      <w:pPr>
        <w:pStyle w:val="MDPI71References"/>
        <w:numPr>
          <w:ilvl w:val="0"/>
          <w:numId w:val="3"/>
        </w:numPr>
      </w:pPr>
      <w:r w:rsidRPr="000817CB">
        <w:t>Miles, EA; Banerjee T; Dooper MM; M'Rabet L; Graus</w:t>
      </w:r>
      <w:r w:rsidR="00C72351" w:rsidRPr="000817CB">
        <w:t xml:space="preserve"> YM; Calder PC The influence of different combinations of gamma-linolenic acid, stearidonic acid and EPA on immune function in healthy young male subjects. </w:t>
      </w:r>
      <w:r w:rsidRPr="000817CB">
        <w:rPr>
          <w:i/>
        </w:rPr>
        <w:t>Br J Nutr</w:t>
      </w:r>
      <w:r w:rsidR="00C72351" w:rsidRPr="000817CB">
        <w:rPr>
          <w:i/>
        </w:rPr>
        <w:t xml:space="preserve"> </w:t>
      </w:r>
      <w:r w:rsidR="00C72351" w:rsidRPr="000817CB">
        <w:rPr>
          <w:b/>
        </w:rPr>
        <w:t>2004</w:t>
      </w:r>
      <w:r w:rsidR="00C72351" w:rsidRPr="000817CB">
        <w:t xml:space="preserve">, </w:t>
      </w:r>
      <w:r w:rsidR="00C72351" w:rsidRPr="000817CB">
        <w:rPr>
          <w:i/>
        </w:rPr>
        <w:t>91</w:t>
      </w:r>
      <w:r w:rsidR="00C72351" w:rsidRPr="000817CB">
        <w:t>, 893-903.</w:t>
      </w:r>
    </w:p>
    <w:p w14:paraId="451D9272" w14:textId="77777777" w:rsidR="00C72351" w:rsidRPr="000817CB" w:rsidRDefault="00B87F35" w:rsidP="00511D9B">
      <w:pPr>
        <w:pStyle w:val="MDPI71References"/>
        <w:numPr>
          <w:ilvl w:val="0"/>
          <w:numId w:val="3"/>
        </w:numPr>
      </w:pPr>
      <w:r w:rsidRPr="000817CB">
        <w:t>Folch J; Lees</w:t>
      </w:r>
      <w:r w:rsidR="00C72351" w:rsidRPr="000817CB">
        <w:t xml:space="preserve"> M.; Sloane-Stanley, G.H. A simple method for the isolation and purification of total lipides from animal tissues. </w:t>
      </w:r>
      <w:r w:rsidRPr="000817CB">
        <w:rPr>
          <w:i/>
        </w:rPr>
        <w:t xml:space="preserve">J </w:t>
      </w:r>
      <w:r w:rsidR="00F17D80" w:rsidRPr="000817CB">
        <w:rPr>
          <w:i/>
        </w:rPr>
        <w:t>Bio</w:t>
      </w:r>
      <w:r w:rsidR="00C72351" w:rsidRPr="000817CB">
        <w:rPr>
          <w:i/>
        </w:rPr>
        <w:t xml:space="preserve"> Chem </w:t>
      </w:r>
      <w:r w:rsidR="00C72351" w:rsidRPr="000817CB">
        <w:rPr>
          <w:b/>
        </w:rPr>
        <w:t>1957</w:t>
      </w:r>
      <w:r w:rsidR="00C72351" w:rsidRPr="000817CB">
        <w:t xml:space="preserve">, </w:t>
      </w:r>
      <w:r w:rsidR="00C72351" w:rsidRPr="000817CB">
        <w:rPr>
          <w:i/>
        </w:rPr>
        <w:t>226</w:t>
      </w:r>
      <w:r w:rsidR="00C72351" w:rsidRPr="000817CB">
        <w:t>, 497-509.</w:t>
      </w:r>
    </w:p>
    <w:p w14:paraId="1A880A44" w14:textId="77777777" w:rsidR="00C72351" w:rsidRPr="000817CB" w:rsidRDefault="00C72351" w:rsidP="00511D9B">
      <w:pPr>
        <w:pStyle w:val="MDPI71References"/>
        <w:numPr>
          <w:ilvl w:val="0"/>
          <w:numId w:val="3"/>
        </w:numPr>
      </w:pPr>
      <w:r w:rsidRPr="000817CB">
        <w:t xml:space="preserve">Burdge, G.C.; Wright, P.; Jones, A.E.; Wootton, S.A. A method for separation of phosphatidylcholine, triacylglycerol, non-esterified fatty acids and cholesterol esters from plasma by solid-phase extraction. </w:t>
      </w:r>
      <w:r w:rsidRPr="000817CB">
        <w:rPr>
          <w:i/>
        </w:rPr>
        <w:t xml:space="preserve">Br.J Nutr </w:t>
      </w:r>
      <w:r w:rsidRPr="000817CB">
        <w:rPr>
          <w:b/>
        </w:rPr>
        <w:t>2000</w:t>
      </w:r>
      <w:r w:rsidRPr="000817CB">
        <w:t xml:space="preserve">, </w:t>
      </w:r>
      <w:r w:rsidRPr="000817CB">
        <w:rPr>
          <w:i/>
        </w:rPr>
        <w:t>84</w:t>
      </w:r>
      <w:r w:rsidRPr="000817CB">
        <w:t>, 781-787.</w:t>
      </w:r>
    </w:p>
    <w:p w14:paraId="6FFE86ED" w14:textId="77777777" w:rsidR="00C72351" w:rsidRPr="000817CB" w:rsidRDefault="00C72351" w:rsidP="00511D9B">
      <w:pPr>
        <w:pStyle w:val="MDPI71References"/>
        <w:numPr>
          <w:ilvl w:val="0"/>
          <w:numId w:val="3"/>
        </w:numPr>
      </w:pPr>
      <w:r w:rsidRPr="000817CB">
        <w:t xml:space="preserve">Dobin, A.; Davis, C.A.; Schlesinger, F.; Drenkow, J.; Zaleski, C.; Jha, S.; Batut, P.; Chaisson, M.; Gingeras, T.R. STAR: ultrafast universal RNA-seq aligner. </w:t>
      </w:r>
      <w:r w:rsidRPr="000817CB">
        <w:rPr>
          <w:i/>
        </w:rPr>
        <w:t xml:space="preserve">Bioinformatics </w:t>
      </w:r>
      <w:r w:rsidRPr="000817CB">
        <w:rPr>
          <w:b/>
        </w:rPr>
        <w:t>2013</w:t>
      </w:r>
      <w:r w:rsidRPr="000817CB">
        <w:t xml:space="preserve">, </w:t>
      </w:r>
      <w:r w:rsidRPr="000817CB">
        <w:rPr>
          <w:i/>
        </w:rPr>
        <w:t>29</w:t>
      </w:r>
      <w:r w:rsidRPr="000817CB">
        <w:t>, 15-21, doi:10.1093/bioinformatics/bts635.</w:t>
      </w:r>
    </w:p>
    <w:p w14:paraId="128B2318" w14:textId="77777777" w:rsidR="00C72351" w:rsidRPr="000817CB" w:rsidRDefault="00C72351" w:rsidP="00511D9B">
      <w:pPr>
        <w:pStyle w:val="MDPI71References"/>
        <w:numPr>
          <w:ilvl w:val="0"/>
          <w:numId w:val="3"/>
        </w:numPr>
      </w:pPr>
      <w:r w:rsidRPr="000817CB">
        <w:t xml:space="preserve">Patro, R.; Duggal, G.; Love, M.I.; Irizarry, R.A.; Kingsford, C. Salmon provides fast and bias-aware quantification of transcript expression. </w:t>
      </w:r>
      <w:r w:rsidRPr="000817CB">
        <w:rPr>
          <w:i/>
        </w:rPr>
        <w:t xml:space="preserve">Nat Methods </w:t>
      </w:r>
      <w:r w:rsidRPr="000817CB">
        <w:rPr>
          <w:b/>
        </w:rPr>
        <w:t>2017</w:t>
      </w:r>
      <w:r w:rsidRPr="000817CB">
        <w:t xml:space="preserve">, </w:t>
      </w:r>
      <w:r w:rsidRPr="000817CB">
        <w:rPr>
          <w:i/>
        </w:rPr>
        <w:t>14</w:t>
      </w:r>
      <w:r w:rsidRPr="000817CB">
        <w:t>, 417-419, doi:10.1038/nmeth.4197.</w:t>
      </w:r>
    </w:p>
    <w:p w14:paraId="7ECDFFE5" w14:textId="77777777" w:rsidR="00C72351" w:rsidRPr="000817CB" w:rsidRDefault="00C72351" w:rsidP="00511D9B">
      <w:pPr>
        <w:pStyle w:val="MDPI71References"/>
        <w:numPr>
          <w:ilvl w:val="0"/>
          <w:numId w:val="3"/>
        </w:numPr>
      </w:pPr>
      <w:r w:rsidRPr="000817CB">
        <w:t xml:space="preserve">Kim, S.; Scheffler, K.; Halpern, A.L.; Bekritsky, M.A.; Noh, E.; Kallberg, M.; Chen, X.; Kim, Y.; Beyter, D.; Krusche, P., et al. Strelka2: fast and accurate calling of germline and somatic variants. </w:t>
      </w:r>
      <w:r w:rsidRPr="000817CB">
        <w:rPr>
          <w:i/>
        </w:rPr>
        <w:t xml:space="preserve">Nat Methods </w:t>
      </w:r>
      <w:r w:rsidRPr="000817CB">
        <w:rPr>
          <w:b/>
        </w:rPr>
        <w:t>2018</w:t>
      </w:r>
      <w:r w:rsidRPr="000817CB">
        <w:t xml:space="preserve">, </w:t>
      </w:r>
      <w:r w:rsidRPr="000817CB">
        <w:rPr>
          <w:i/>
        </w:rPr>
        <w:t>15</w:t>
      </w:r>
      <w:r w:rsidRPr="000817CB">
        <w:t>, 591-594, doi:10.1038/s41592-018-0051-x.</w:t>
      </w:r>
    </w:p>
    <w:p w14:paraId="3FDEEC87" w14:textId="77777777" w:rsidR="00C72351" w:rsidRPr="000817CB" w:rsidRDefault="00C72351" w:rsidP="00511D9B">
      <w:pPr>
        <w:pStyle w:val="MDPI71References"/>
        <w:numPr>
          <w:ilvl w:val="0"/>
          <w:numId w:val="3"/>
        </w:numPr>
      </w:pPr>
      <w:r w:rsidRPr="000817CB">
        <w:t xml:space="preserve">Love, M.I.; Huber, W.; Anders, S. Moderated estimation of fold change and dispersion for RNA-seq data with DESeq2. </w:t>
      </w:r>
      <w:r w:rsidRPr="000817CB">
        <w:rPr>
          <w:i/>
        </w:rPr>
        <w:t xml:space="preserve">Genome Biol </w:t>
      </w:r>
      <w:r w:rsidRPr="000817CB">
        <w:rPr>
          <w:b/>
        </w:rPr>
        <w:t>2014</w:t>
      </w:r>
      <w:r w:rsidRPr="000817CB">
        <w:t xml:space="preserve">, </w:t>
      </w:r>
      <w:r w:rsidRPr="000817CB">
        <w:rPr>
          <w:i/>
        </w:rPr>
        <w:t>15</w:t>
      </w:r>
      <w:r w:rsidRPr="000817CB">
        <w:t>, 550, doi:10.1186/s13059-014-0550-8.</w:t>
      </w:r>
    </w:p>
    <w:p w14:paraId="6624C617" w14:textId="77777777" w:rsidR="00C72351" w:rsidRPr="000817CB" w:rsidRDefault="00C72351" w:rsidP="00511D9B">
      <w:pPr>
        <w:pStyle w:val="MDPI71References"/>
        <w:numPr>
          <w:ilvl w:val="0"/>
          <w:numId w:val="3"/>
        </w:numPr>
      </w:pPr>
      <w:r w:rsidRPr="000817CB">
        <w:t xml:space="preserve">Sibbons, C.M.; Irvine, N.A.; Pérez-Mojica, J.E.; Calder, P.C.; Lillycrop, K.A.; Fielding, B.A.; Burdge, G.C. Polyunsaturated Fatty Acid Biosynthesis Involving Δ8 Desaturation and Differential DNA Methylation of FADS2 Regulates Proliferation of Human Peripheral Blood Mononuclear Cells. </w:t>
      </w:r>
      <w:r w:rsidRPr="000817CB">
        <w:rPr>
          <w:i/>
        </w:rPr>
        <w:t xml:space="preserve">Front Immunol </w:t>
      </w:r>
      <w:r w:rsidRPr="000817CB">
        <w:rPr>
          <w:b/>
        </w:rPr>
        <w:t>2018</w:t>
      </w:r>
      <w:r w:rsidRPr="000817CB">
        <w:t xml:space="preserve">, </w:t>
      </w:r>
      <w:r w:rsidRPr="000817CB">
        <w:rPr>
          <w:i/>
        </w:rPr>
        <w:t>9</w:t>
      </w:r>
      <w:r w:rsidRPr="000817CB">
        <w:t>, doi:10.3389/fimmu.2018.00432.</w:t>
      </w:r>
    </w:p>
    <w:p w14:paraId="2BD05266" w14:textId="77777777" w:rsidR="00C72351" w:rsidRPr="000817CB" w:rsidRDefault="00C72351" w:rsidP="00511D9B">
      <w:pPr>
        <w:pStyle w:val="MDPI71References"/>
        <w:numPr>
          <w:ilvl w:val="0"/>
          <w:numId w:val="3"/>
        </w:numPr>
      </w:pPr>
      <w:r w:rsidRPr="000817CB">
        <w:t>Cald</w:t>
      </w:r>
      <w:r w:rsidR="00F17D80" w:rsidRPr="000817CB">
        <w:t>er, PC; Yaqoob, P; Newsholme, EA</w:t>
      </w:r>
      <w:r w:rsidRPr="000817CB">
        <w:t xml:space="preserve"> Triacylglycerol metabolism by lymphocytes and the effect of triacylglycerols on lymphocyte proliferation. </w:t>
      </w:r>
      <w:r w:rsidR="00F17D80" w:rsidRPr="000817CB">
        <w:rPr>
          <w:i/>
        </w:rPr>
        <w:t xml:space="preserve">Biochem </w:t>
      </w:r>
      <w:r w:rsidRPr="000817CB">
        <w:rPr>
          <w:i/>
        </w:rPr>
        <w:t xml:space="preserve">J </w:t>
      </w:r>
      <w:r w:rsidRPr="000817CB">
        <w:rPr>
          <w:b/>
        </w:rPr>
        <w:t>1994</w:t>
      </w:r>
      <w:r w:rsidRPr="000817CB">
        <w:t xml:space="preserve">, </w:t>
      </w:r>
      <w:r w:rsidRPr="000817CB">
        <w:rPr>
          <w:i/>
        </w:rPr>
        <w:t>298 Pt 3</w:t>
      </w:r>
      <w:r w:rsidRPr="000817CB">
        <w:t>, 605-611.</w:t>
      </w:r>
    </w:p>
    <w:p w14:paraId="71F5D810" w14:textId="77777777" w:rsidR="00C72351" w:rsidRPr="000817CB" w:rsidRDefault="00F17D80" w:rsidP="00511D9B">
      <w:pPr>
        <w:pStyle w:val="MDPI71References"/>
        <w:numPr>
          <w:ilvl w:val="0"/>
          <w:numId w:val="3"/>
        </w:numPr>
      </w:pPr>
      <w:r w:rsidRPr="000817CB">
        <w:t>Yaqoob P; Newsholme EA; Calder PC</w:t>
      </w:r>
      <w:r w:rsidR="00C72351" w:rsidRPr="000817CB">
        <w:t xml:space="preserve"> Fatty acid oxidation by lymphocytes. </w:t>
      </w:r>
      <w:r w:rsidRPr="000817CB">
        <w:rPr>
          <w:i/>
        </w:rPr>
        <w:t xml:space="preserve">Biochem Soc </w:t>
      </w:r>
      <w:r w:rsidR="00C72351" w:rsidRPr="000817CB">
        <w:rPr>
          <w:i/>
        </w:rPr>
        <w:t xml:space="preserve">Trans. </w:t>
      </w:r>
      <w:r w:rsidR="00C72351" w:rsidRPr="000817CB">
        <w:rPr>
          <w:b/>
        </w:rPr>
        <w:t>1994</w:t>
      </w:r>
      <w:r w:rsidR="00C72351" w:rsidRPr="000817CB">
        <w:t xml:space="preserve">, </w:t>
      </w:r>
      <w:r w:rsidR="00C72351" w:rsidRPr="000817CB">
        <w:rPr>
          <w:i/>
        </w:rPr>
        <w:t>22</w:t>
      </w:r>
      <w:r w:rsidR="00C72351" w:rsidRPr="000817CB">
        <w:t>, 116S.</w:t>
      </w:r>
    </w:p>
    <w:p w14:paraId="7F6EC2D0" w14:textId="77777777" w:rsidR="00C72351" w:rsidRPr="000817CB" w:rsidRDefault="00C72351" w:rsidP="00511D9B">
      <w:pPr>
        <w:pStyle w:val="MDPI71References"/>
        <w:numPr>
          <w:ilvl w:val="0"/>
          <w:numId w:val="3"/>
        </w:numPr>
      </w:pPr>
      <w:r w:rsidRPr="000817CB">
        <w:t xml:space="preserve">Rode, H.N.; Szamel, M.; Schneider, S.; Resch, K. Phospholipid metabolism of stimulated lymphocytes. Preferential incorporation of polyunsaturated fatty acids into plasma membrane phospholipid upon stimulation with concanavalin A. </w:t>
      </w:r>
      <w:r w:rsidRPr="000817CB">
        <w:rPr>
          <w:i/>
        </w:rPr>
        <w:t xml:space="preserve">Biochim </w:t>
      </w:r>
      <w:r w:rsidR="00D27A91" w:rsidRPr="000817CB">
        <w:rPr>
          <w:i/>
        </w:rPr>
        <w:t>B</w:t>
      </w:r>
      <w:r w:rsidRPr="000817CB">
        <w:rPr>
          <w:i/>
        </w:rPr>
        <w:t xml:space="preserve">iophys </w:t>
      </w:r>
      <w:r w:rsidR="00D27A91" w:rsidRPr="000817CB">
        <w:rPr>
          <w:i/>
        </w:rPr>
        <w:t>A</w:t>
      </w:r>
      <w:r w:rsidRPr="000817CB">
        <w:rPr>
          <w:i/>
        </w:rPr>
        <w:t xml:space="preserve">cta </w:t>
      </w:r>
      <w:r w:rsidRPr="000817CB">
        <w:rPr>
          <w:b/>
        </w:rPr>
        <w:t>1982</w:t>
      </w:r>
      <w:r w:rsidRPr="000817CB">
        <w:t xml:space="preserve">, </w:t>
      </w:r>
      <w:r w:rsidRPr="000817CB">
        <w:rPr>
          <w:i/>
        </w:rPr>
        <w:t>688</w:t>
      </w:r>
      <w:r w:rsidRPr="000817CB">
        <w:t>, 66-74, doi:10.1016/0005-2736(82)90579-x.</w:t>
      </w:r>
    </w:p>
    <w:p w14:paraId="5734A012" w14:textId="77777777" w:rsidR="00C72351" w:rsidRPr="000817CB" w:rsidRDefault="00C72351" w:rsidP="00511D9B">
      <w:pPr>
        <w:pStyle w:val="MDPI71References"/>
        <w:numPr>
          <w:ilvl w:val="0"/>
          <w:numId w:val="3"/>
        </w:numPr>
      </w:pPr>
      <w:r w:rsidRPr="000817CB">
        <w:t xml:space="preserve">Ferber, E.; De Pasquale, G.G.; Resch, K. Phospholipid metabolism of stimulated lymphocytes. Composition of phospholipid fatty acids. </w:t>
      </w:r>
      <w:r w:rsidRPr="000817CB">
        <w:rPr>
          <w:i/>
        </w:rPr>
        <w:t xml:space="preserve">Biochimica et biophysica acta </w:t>
      </w:r>
      <w:r w:rsidRPr="000817CB">
        <w:rPr>
          <w:b/>
        </w:rPr>
        <w:t>1975</w:t>
      </w:r>
      <w:r w:rsidRPr="000817CB">
        <w:t xml:space="preserve">, </w:t>
      </w:r>
      <w:r w:rsidRPr="000817CB">
        <w:rPr>
          <w:i/>
        </w:rPr>
        <w:t>398</w:t>
      </w:r>
      <w:r w:rsidRPr="000817CB">
        <w:t>, 364-376, doi:10.1016/0005-2760(75)90187-3.</w:t>
      </w:r>
    </w:p>
    <w:p w14:paraId="18EDABC8" w14:textId="77777777" w:rsidR="00C72351" w:rsidRPr="000817CB" w:rsidRDefault="00C72351" w:rsidP="00511D9B">
      <w:pPr>
        <w:pStyle w:val="MDPI71References"/>
        <w:numPr>
          <w:ilvl w:val="0"/>
          <w:numId w:val="3"/>
        </w:numPr>
      </w:pPr>
      <w:r w:rsidRPr="000817CB">
        <w:t xml:space="preserve">Anel, A.; Naval, J.; Gonzalez, B.; Torres, J.M.; Mishal, Z.; Uriel, J.; Pineiro, A. Fatty acid metabolism in human lymphocytes. I. Time-course changes in fatty acid composition and membrane fluidity during blastic transformation of peripheral blood lymphocytes. </w:t>
      </w:r>
      <w:r w:rsidRPr="000817CB">
        <w:rPr>
          <w:i/>
        </w:rPr>
        <w:t>Biochim</w:t>
      </w:r>
      <w:r w:rsidR="00D27A91" w:rsidRPr="000817CB">
        <w:rPr>
          <w:i/>
        </w:rPr>
        <w:t xml:space="preserve"> </w:t>
      </w:r>
      <w:r w:rsidRPr="000817CB">
        <w:rPr>
          <w:i/>
        </w:rPr>
        <w:t xml:space="preserve">Biophys Acta </w:t>
      </w:r>
      <w:r w:rsidRPr="000817CB">
        <w:rPr>
          <w:b/>
        </w:rPr>
        <w:t>1990</w:t>
      </w:r>
      <w:r w:rsidRPr="000817CB">
        <w:t xml:space="preserve">, </w:t>
      </w:r>
      <w:r w:rsidRPr="000817CB">
        <w:rPr>
          <w:i/>
        </w:rPr>
        <w:t>1044</w:t>
      </w:r>
      <w:r w:rsidRPr="000817CB">
        <w:t>, 323-331.</w:t>
      </w:r>
    </w:p>
    <w:p w14:paraId="70E3D7F1" w14:textId="77777777" w:rsidR="00C72351" w:rsidRPr="000817CB" w:rsidRDefault="00C72351" w:rsidP="00511D9B">
      <w:pPr>
        <w:pStyle w:val="MDPI71References"/>
        <w:numPr>
          <w:ilvl w:val="0"/>
          <w:numId w:val="3"/>
        </w:numPr>
      </w:pPr>
      <w:r w:rsidRPr="000817CB">
        <w:t xml:space="preserve">Calder, P.C.; Yaqoob, P.; Harvey, D.J.; Watts, A.; Newsholme, E.A. Incorporation of fatty acids by concanavalin A-stimulated lymphocytes and the effect on fatty acid composition and membrane fluidity. </w:t>
      </w:r>
      <w:r w:rsidR="00EB3B13" w:rsidRPr="000817CB">
        <w:rPr>
          <w:i/>
        </w:rPr>
        <w:t xml:space="preserve">Biochem </w:t>
      </w:r>
      <w:r w:rsidRPr="000817CB">
        <w:rPr>
          <w:i/>
        </w:rPr>
        <w:t xml:space="preserve">J </w:t>
      </w:r>
      <w:r w:rsidRPr="000817CB">
        <w:rPr>
          <w:b/>
        </w:rPr>
        <w:t>1994</w:t>
      </w:r>
      <w:r w:rsidRPr="000817CB">
        <w:t xml:space="preserve">, </w:t>
      </w:r>
      <w:r w:rsidRPr="000817CB">
        <w:rPr>
          <w:i/>
        </w:rPr>
        <w:t>300 ( Pt 2)</w:t>
      </w:r>
      <w:r w:rsidRPr="000817CB">
        <w:t>, 509-518.</w:t>
      </w:r>
    </w:p>
    <w:p w14:paraId="6FE032E8" w14:textId="77777777" w:rsidR="00C72351" w:rsidRPr="000817CB" w:rsidRDefault="00C72351" w:rsidP="00511D9B">
      <w:pPr>
        <w:pStyle w:val="MDPI71References"/>
        <w:numPr>
          <w:ilvl w:val="0"/>
          <w:numId w:val="3"/>
        </w:numPr>
      </w:pPr>
      <w:r w:rsidRPr="000817CB">
        <w:t xml:space="preserve">Shires, S.E.; Kelleher, J.; Trejdosiewicz, L.K. Effects of linoleic acid and mitogenic stimulation on the fatty acid composition of human lymphocytes. </w:t>
      </w:r>
      <w:r w:rsidRPr="000817CB">
        <w:rPr>
          <w:i/>
        </w:rPr>
        <w:t xml:space="preserve">Biochim </w:t>
      </w:r>
      <w:r w:rsidR="00EB3B13" w:rsidRPr="000817CB">
        <w:rPr>
          <w:i/>
        </w:rPr>
        <w:t>B</w:t>
      </w:r>
      <w:r w:rsidRPr="000817CB">
        <w:rPr>
          <w:i/>
        </w:rPr>
        <w:t xml:space="preserve">iophys </w:t>
      </w:r>
      <w:r w:rsidR="00EB3B13" w:rsidRPr="000817CB">
        <w:rPr>
          <w:i/>
        </w:rPr>
        <w:t>A</w:t>
      </w:r>
      <w:r w:rsidRPr="000817CB">
        <w:rPr>
          <w:i/>
        </w:rPr>
        <w:t xml:space="preserve">cta </w:t>
      </w:r>
      <w:r w:rsidRPr="000817CB">
        <w:rPr>
          <w:b/>
        </w:rPr>
        <w:t>1989</w:t>
      </w:r>
      <w:r w:rsidRPr="000817CB">
        <w:t xml:space="preserve">, </w:t>
      </w:r>
      <w:r w:rsidRPr="000817CB">
        <w:rPr>
          <w:i/>
        </w:rPr>
        <w:t>1002</w:t>
      </w:r>
      <w:r w:rsidRPr="000817CB">
        <w:t>, 74-78, doi:10.1016/0005-2760(89)90066-0.</w:t>
      </w:r>
    </w:p>
    <w:p w14:paraId="070DDFF4" w14:textId="77777777" w:rsidR="00C72351" w:rsidRPr="000817CB" w:rsidRDefault="00C72351" w:rsidP="00511D9B">
      <w:pPr>
        <w:pStyle w:val="MDPI71References"/>
        <w:numPr>
          <w:ilvl w:val="0"/>
          <w:numId w:val="3"/>
        </w:numPr>
      </w:pPr>
      <w:r w:rsidRPr="000817CB">
        <w:t xml:space="preserve">Myhrstad, M.C.; Narverud, I.; Telle-Hansen, V.H.; Karhu, T.; Lund, D.B.; Herzig, K.H.; Makinen, M.; Halvorsen, B.; Retterstol, K.; Kirkhus, B., et al. Effect of the fat composition of a single high-fat meal on inflammatory markers in healthy young women. </w:t>
      </w:r>
      <w:r w:rsidR="00EB3B13" w:rsidRPr="000817CB">
        <w:rPr>
          <w:i/>
        </w:rPr>
        <w:t>Br J Nutr</w:t>
      </w:r>
      <w:r w:rsidRPr="000817CB">
        <w:rPr>
          <w:i/>
        </w:rPr>
        <w:t xml:space="preserve"> </w:t>
      </w:r>
      <w:r w:rsidRPr="000817CB">
        <w:rPr>
          <w:b/>
        </w:rPr>
        <w:t>2011</w:t>
      </w:r>
      <w:r w:rsidRPr="000817CB">
        <w:t xml:space="preserve">, </w:t>
      </w:r>
      <w:r w:rsidRPr="000817CB">
        <w:rPr>
          <w:i/>
        </w:rPr>
        <w:t>106</w:t>
      </w:r>
      <w:r w:rsidRPr="000817CB">
        <w:t>, 1826-1835, doi:10.1017/S0007114511002510.</w:t>
      </w:r>
    </w:p>
    <w:p w14:paraId="3A5535E2" w14:textId="77777777" w:rsidR="00C72351" w:rsidRPr="000817CB" w:rsidRDefault="00C72351" w:rsidP="00511D9B">
      <w:pPr>
        <w:pStyle w:val="MDPI71References"/>
        <w:numPr>
          <w:ilvl w:val="0"/>
          <w:numId w:val="3"/>
        </w:numPr>
      </w:pPr>
      <w:r w:rsidRPr="000817CB">
        <w:t xml:space="preserve">Naeini, Z.; Toupchian, O.; Vatannejad, A.; Sotoudeh, G.; Teimouri, M.; Ghorbani, M.; Nasli-Esfahani, E.; Koohdani, F. Effects of DHA-enriched fish oil on gene expression levels of p53 and NF-kappaB and PPAR-gamma activity in PBMCs of patients with T2DM: A randomized, double-blind, clinical trial. </w:t>
      </w:r>
      <w:r w:rsidRPr="000817CB">
        <w:rPr>
          <w:i/>
        </w:rPr>
        <w:t xml:space="preserve">Nutr Metab Cardiovasc Dis </w:t>
      </w:r>
      <w:r w:rsidRPr="000817CB">
        <w:rPr>
          <w:b/>
        </w:rPr>
        <w:t>2020</w:t>
      </w:r>
      <w:r w:rsidRPr="000817CB">
        <w:t xml:space="preserve">, </w:t>
      </w:r>
      <w:r w:rsidRPr="000817CB">
        <w:rPr>
          <w:i/>
        </w:rPr>
        <w:t>30</w:t>
      </w:r>
      <w:r w:rsidRPr="000817CB">
        <w:t>, 441-447, doi:10.1016/j.numecd.2019.10.012.</w:t>
      </w:r>
    </w:p>
    <w:p w14:paraId="7200F950" w14:textId="77777777" w:rsidR="00C72351" w:rsidRPr="000817CB" w:rsidRDefault="00C72351" w:rsidP="00511D9B">
      <w:pPr>
        <w:pStyle w:val="MDPI71References"/>
        <w:numPr>
          <w:ilvl w:val="0"/>
          <w:numId w:val="3"/>
        </w:numPr>
      </w:pPr>
      <w:r w:rsidRPr="000817CB">
        <w:t xml:space="preserve">Rundblad, A.; Holven, K.B.; Bruheim, I.; Myhrstad, M.C.; Ulven, S.M. Effects of fish and krill oil on gene expression in peripheral blood mononuclear cells and circulating markers of inflammation: a randomised controlled trial. </w:t>
      </w:r>
      <w:r w:rsidR="00EB3B13" w:rsidRPr="000817CB">
        <w:rPr>
          <w:i/>
        </w:rPr>
        <w:t>J</w:t>
      </w:r>
      <w:r w:rsidRPr="000817CB">
        <w:rPr>
          <w:i/>
        </w:rPr>
        <w:t xml:space="preserve"> </w:t>
      </w:r>
      <w:r w:rsidR="00EB3B13" w:rsidRPr="000817CB">
        <w:rPr>
          <w:i/>
        </w:rPr>
        <w:t>N</w:t>
      </w:r>
      <w:r w:rsidRPr="000817CB">
        <w:rPr>
          <w:i/>
        </w:rPr>
        <w:t>utr</w:t>
      </w:r>
      <w:r w:rsidR="00EB3B13" w:rsidRPr="000817CB">
        <w:rPr>
          <w:i/>
        </w:rPr>
        <w:t xml:space="preserve"> S</w:t>
      </w:r>
      <w:r w:rsidRPr="000817CB">
        <w:rPr>
          <w:i/>
        </w:rPr>
        <w:t xml:space="preserve">ci </w:t>
      </w:r>
      <w:r w:rsidRPr="000817CB">
        <w:rPr>
          <w:b/>
        </w:rPr>
        <w:t>2018</w:t>
      </w:r>
      <w:r w:rsidRPr="000817CB">
        <w:t xml:space="preserve">, </w:t>
      </w:r>
      <w:r w:rsidRPr="000817CB">
        <w:rPr>
          <w:i/>
        </w:rPr>
        <w:t>7</w:t>
      </w:r>
      <w:r w:rsidRPr="000817CB">
        <w:t>, e10, doi:10.1017/jns.2018.2.</w:t>
      </w:r>
    </w:p>
    <w:p w14:paraId="2A696694" w14:textId="77777777" w:rsidR="00C72351" w:rsidRPr="000817CB" w:rsidRDefault="00C72351" w:rsidP="00511D9B">
      <w:pPr>
        <w:pStyle w:val="MDPI71References"/>
        <w:numPr>
          <w:ilvl w:val="0"/>
          <w:numId w:val="3"/>
        </w:numPr>
      </w:pPr>
      <w:r w:rsidRPr="000817CB">
        <w:t xml:space="preserve">Myhrstad, M.C.; Ulven, S.M.; Gunther, C.C.; Ottestad, I.; Holden, M.; Ryeng, E.; Borge, G.I.; Kohler, A.; Bronner, K.W.; Thoresen, M., et al. Fish oil supplementation induces expression of genes related to cell cycle, endoplasmic reticulum stress and apoptosis in peripheral blood mononuclear cells: a transcriptomic approach. </w:t>
      </w:r>
      <w:r w:rsidRPr="000817CB">
        <w:rPr>
          <w:i/>
        </w:rPr>
        <w:t xml:space="preserve">J Intern Med </w:t>
      </w:r>
      <w:r w:rsidRPr="000817CB">
        <w:rPr>
          <w:b/>
        </w:rPr>
        <w:t>2014</w:t>
      </w:r>
      <w:r w:rsidRPr="000817CB">
        <w:t xml:space="preserve">, </w:t>
      </w:r>
      <w:r w:rsidRPr="000817CB">
        <w:rPr>
          <w:i/>
        </w:rPr>
        <w:t>276</w:t>
      </w:r>
      <w:r w:rsidRPr="000817CB">
        <w:t>, 498-511, doi:10.1111/joim.12217.</w:t>
      </w:r>
    </w:p>
    <w:p w14:paraId="289100A0" w14:textId="77777777" w:rsidR="00C72351" w:rsidRPr="000817CB" w:rsidRDefault="00C72351" w:rsidP="00511D9B">
      <w:pPr>
        <w:pStyle w:val="MDPI71References"/>
        <w:numPr>
          <w:ilvl w:val="0"/>
          <w:numId w:val="3"/>
        </w:numPr>
      </w:pPr>
      <w:r w:rsidRPr="000817CB">
        <w:t xml:space="preserve">Bouwens, M.; van de Rest, O.; Dellschaft, N.; Bromhaar, M.G.; de Groot, L.C.; Geleijnse, J.M.; Muller, M.; Afman, L.A. Fish-oil supplementation induces antiinflammatory gene expression profiles in human blood mononuclear cells. </w:t>
      </w:r>
      <w:r w:rsidRPr="000817CB">
        <w:rPr>
          <w:i/>
        </w:rPr>
        <w:t xml:space="preserve">Am J Clin Nutr </w:t>
      </w:r>
      <w:r w:rsidRPr="000817CB">
        <w:rPr>
          <w:b/>
        </w:rPr>
        <w:t>2009</w:t>
      </w:r>
      <w:r w:rsidRPr="000817CB">
        <w:t xml:space="preserve">, </w:t>
      </w:r>
      <w:r w:rsidRPr="000817CB">
        <w:rPr>
          <w:i/>
        </w:rPr>
        <w:t>90</w:t>
      </w:r>
      <w:r w:rsidRPr="000817CB">
        <w:t>, 415-424, doi:10.3945/ajcn.2009.27680.</w:t>
      </w:r>
    </w:p>
    <w:p w14:paraId="5DD1D131" w14:textId="3714F124" w:rsidR="00C72351" w:rsidRDefault="00C72351" w:rsidP="00511D9B">
      <w:pPr>
        <w:pStyle w:val="MDPI71References"/>
        <w:numPr>
          <w:ilvl w:val="0"/>
          <w:numId w:val="3"/>
        </w:numPr>
      </w:pPr>
      <w:r w:rsidRPr="000817CB">
        <w:t xml:space="preserve">Polus, A.; Zapala, B.; Razny, U.; Gielicz, A.; Kiec-Wilk, B.; Malczewska-Malec, M.; Sanak, M.; Childs, C.E.; Calder, P.C.; Dembinska-Kiec, A. Omega-3 fatty acid supplementation influences the whole blood transcriptome in women with obesity, </w:t>
      </w:r>
      <w:r w:rsidRPr="000817CB">
        <w:lastRenderedPageBreak/>
        <w:t xml:space="preserve">associated with pro-resolving lipid mediator production. </w:t>
      </w:r>
      <w:r w:rsidRPr="000817CB">
        <w:rPr>
          <w:i/>
        </w:rPr>
        <w:t xml:space="preserve">Biochim </w:t>
      </w:r>
      <w:r w:rsidR="0048471B" w:rsidRPr="000817CB">
        <w:rPr>
          <w:i/>
        </w:rPr>
        <w:t>B</w:t>
      </w:r>
      <w:r w:rsidRPr="000817CB">
        <w:rPr>
          <w:i/>
        </w:rPr>
        <w:t xml:space="preserve">iophys </w:t>
      </w:r>
      <w:r w:rsidR="0048471B" w:rsidRPr="000817CB">
        <w:rPr>
          <w:i/>
        </w:rPr>
        <w:t>A</w:t>
      </w:r>
      <w:r w:rsidRPr="000817CB">
        <w:rPr>
          <w:i/>
        </w:rPr>
        <w:t xml:space="preserve">cta </w:t>
      </w:r>
      <w:r w:rsidRPr="000817CB">
        <w:rPr>
          <w:b/>
        </w:rPr>
        <w:t>2016</w:t>
      </w:r>
      <w:r w:rsidRPr="000817CB">
        <w:t xml:space="preserve">, </w:t>
      </w:r>
      <w:r w:rsidRPr="000817CB">
        <w:rPr>
          <w:i/>
        </w:rPr>
        <w:t>1861</w:t>
      </w:r>
      <w:r w:rsidRPr="000817CB">
        <w:t>, 1746-1755, doi:10.1016/j.bbalip.2016.08.005.</w:t>
      </w:r>
    </w:p>
    <w:p w14:paraId="25C8FE0A" w14:textId="77777777" w:rsidR="00F823A2" w:rsidRPr="00F823A2" w:rsidRDefault="00F823A2" w:rsidP="00F823A2">
      <w:pPr>
        <w:pStyle w:val="MDPI71References"/>
        <w:numPr>
          <w:ilvl w:val="0"/>
          <w:numId w:val="3"/>
        </w:numPr>
      </w:pPr>
      <w:proofErr w:type="spellStart"/>
      <w:r w:rsidRPr="00F823A2">
        <w:t>Fabriek</w:t>
      </w:r>
      <w:proofErr w:type="spellEnd"/>
      <w:r w:rsidRPr="00F823A2">
        <w:t xml:space="preserve">, B.O.; Dijkstra, C.D.; van den Berg, T.K. The macrophage scavenger receptor CD163. </w:t>
      </w:r>
      <w:proofErr w:type="spellStart"/>
      <w:r w:rsidRPr="00F823A2">
        <w:rPr>
          <w:i/>
        </w:rPr>
        <w:t>Immunobiol</w:t>
      </w:r>
      <w:proofErr w:type="spellEnd"/>
      <w:r w:rsidRPr="00F823A2">
        <w:rPr>
          <w:i/>
        </w:rPr>
        <w:t xml:space="preserve"> </w:t>
      </w:r>
      <w:r w:rsidRPr="00F823A2">
        <w:rPr>
          <w:b/>
        </w:rPr>
        <w:t>2005</w:t>
      </w:r>
      <w:r w:rsidRPr="00F823A2">
        <w:t xml:space="preserve">, </w:t>
      </w:r>
      <w:r w:rsidRPr="00F823A2">
        <w:rPr>
          <w:i/>
        </w:rPr>
        <w:t>210</w:t>
      </w:r>
      <w:r w:rsidRPr="00F823A2">
        <w:t>, 153-160, doi:10.1016/j.imbio.2005.05.010.</w:t>
      </w:r>
    </w:p>
    <w:p w14:paraId="2AC69B34" w14:textId="77777777" w:rsidR="00F823A2" w:rsidRPr="00F823A2" w:rsidRDefault="00F823A2" w:rsidP="00F823A2">
      <w:pPr>
        <w:pStyle w:val="MDPI71References"/>
        <w:numPr>
          <w:ilvl w:val="0"/>
          <w:numId w:val="3"/>
        </w:numPr>
      </w:pPr>
      <w:r w:rsidRPr="00F823A2">
        <w:t>49.</w:t>
      </w:r>
      <w:r w:rsidRPr="00F823A2">
        <w:tab/>
        <w:t xml:space="preserve">Singh, R.P.; Hahn, B.H.; Bischoff, D.S. Effects of Peptide-Induced Immune Tolerance on Murine Lupus. </w:t>
      </w:r>
      <w:r w:rsidRPr="00F823A2">
        <w:rPr>
          <w:i/>
        </w:rPr>
        <w:t xml:space="preserve">Front Immunol </w:t>
      </w:r>
      <w:r w:rsidRPr="00F823A2">
        <w:rPr>
          <w:b/>
        </w:rPr>
        <w:t>2021</w:t>
      </w:r>
      <w:r w:rsidRPr="00F823A2">
        <w:t xml:space="preserve">, </w:t>
      </w:r>
      <w:r w:rsidRPr="00F823A2">
        <w:rPr>
          <w:i/>
        </w:rPr>
        <w:t>12</w:t>
      </w:r>
      <w:r w:rsidRPr="00F823A2">
        <w:t>, 662901, doi:10.3389/fimmu.2021.662901.</w:t>
      </w:r>
    </w:p>
    <w:p w14:paraId="3973D1EA" w14:textId="7DF1B1BA" w:rsidR="00F823A2" w:rsidRPr="000817CB" w:rsidRDefault="00F823A2" w:rsidP="00F823A2">
      <w:pPr>
        <w:pStyle w:val="MDPI71References"/>
        <w:numPr>
          <w:ilvl w:val="0"/>
          <w:numId w:val="3"/>
        </w:numPr>
      </w:pPr>
      <w:r w:rsidRPr="00F823A2">
        <w:t>50.</w:t>
      </w:r>
      <w:r w:rsidRPr="00F823A2">
        <w:tab/>
        <w:t xml:space="preserve">Vincent, M.S.; </w:t>
      </w:r>
      <w:proofErr w:type="spellStart"/>
      <w:r w:rsidRPr="00F823A2">
        <w:t>Gumperz</w:t>
      </w:r>
      <w:proofErr w:type="spellEnd"/>
      <w:r w:rsidRPr="00F823A2">
        <w:t xml:space="preserve">, J.E.; Brenner, M.B. Understanding the function of CD1-restricted T cells. </w:t>
      </w:r>
      <w:r w:rsidRPr="00F823A2">
        <w:rPr>
          <w:i/>
        </w:rPr>
        <w:t xml:space="preserve">Nat Immunol </w:t>
      </w:r>
      <w:r w:rsidRPr="00F823A2">
        <w:rPr>
          <w:b/>
        </w:rPr>
        <w:t>2003</w:t>
      </w:r>
      <w:r w:rsidRPr="00F823A2">
        <w:t xml:space="preserve">, </w:t>
      </w:r>
      <w:r w:rsidRPr="00F823A2">
        <w:rPr>
          <w:i/>
        </w:rPr>
        <w:t>4</w:t>
      </w:r>
      <w:r w:rsidRPr="00F823A2">
        <w:t>, 517-523, doi:10.1038/ni0603-517.</w:t>
      </w:r>
      <w:r w:rsidRPr="00F823A2">
        <w:tab/>
      </w:r>
    </w:p>
    <w:p w14:paraId="55532130" w14:textId="77777777" w:rsidR="00C72351" w:rsidRPr="000817CB" w:rsidRDefault="00C72351" w:rsidP="00511D9B">
      <w:pPr>
        <w:pStyle w:val="MDPI71References"/>
        <w:numPr>
          <w:ilvl w:val="0"/>
          <w:numId w:val="3"/>
        </w:numPr>
      </w:pPr>
      <w:r w:rsidRPr="000817CB">
        <w:t xml:space="preserve">Sousa, I.G.; Simi, K.C.R.; do Almo, M.M.; Bezerra, M.A.G.; Doose, G.; Raiol, T.; Stadler, P.F.; Hoffmann, S.; Maranhao, A.Q.; Brigido, M.M. Gene expression profile of human T cells following a single stimulation of peripheral blood mononuclear cells with anti-CD3 antibodies. </w:t>
      </w:r>
      <w:r w:rsidRPr="000817CB">
        <w:rPr>
          <w:i/>
        </w:rPr>
        <w:t xml:space="preserve">BMC </w:t>
      </w:r>
      <w:r w:rsidR="0048471B" w:rsidRPr="000817CB">
        <w:rPr>
          <w:i/>
        </w:rPr>
        <w:t>G</w:t>
      </w:r>
      <w:r w:rsidRPr="000817CB">
        <w:rPr>
          <w:i/>
        </w:rPr>
        <w:t xml:space="preserve">enomics </w:t>
      </w:r>
      <w:r w:rsidRPr="000817CB">
        <w:rPr>
          <w:b/>
        </w:rPr>
        <w:t>2019</w:t>
      </w:r>
      <w:r w:rsidRPr="000817CB">
        <w:t xml:space="preserve">, </w:t>
      </w:r>
      <w:r w:rsidRPr="000817CB">
        <w:rPr>
          <w:i/>
        </w:rPr>
        <w:t>20</w:t>
      </w:r>
      <w:r w:rsidRPr="000817CB">
        <w:t>, 593, doi:10.1186/s12864-019-5967-8.</w:t>
      </w:r>
    </w:p>
    <w:p w14:paraId="712D06DA" w14:textId="77777777" w:rsidR="00C72351" w:rsidRPr="000817CB" w:rsidRDefault="00C72351" w:rsidP="00511D9B">
      <w:pPr>
        <w:pStyle w:val="MDPI71References"/>
        <w:numPr>
          <w:ilvl w:val="0"/>
          <w:numId w:val="3"/>
        </w:numPr>
      </w:pPr>
      <w:r w:rsidRPr="000817CB">
        <w:t xml:space="preserve">Hara, M.; Fukagawa, T. Dynamics of kinetochore structure and its regulations during mitotic progression. </w:t>
      </w:r>
      <w:r w:rsidRPr="000817CB">
        <w:rPr>
          <w:i/>
        </w:rPr>
        <w:t xml:space="preserve">Cell </w:t>
      </w:r>
      <w:r w:rsidR="0048471B" w:rsidRPr="000817CB">
        <w:rPr>
          <w:i/>
        </w:rPr>
        <w:t>M</w:t>
      </w:r>
      <w:r w:rsidRPr="000817CB">
        <w:rPr>
          <w:i/>
        </w:rPr>
        <w:t xml:space="preserve">ol </w:t>
      </w:r>
      <w:r w:rsidR="0048471B" w:rsidRPr="000817CB">
        <w:rPr>
          <w:i/>
        </w:rPr>
        <w:t>L</w:t>
      </w:r>
      <w:r w:rsidRPr="000817CB">
        <w:rPr>
          <w:i/>
        </w:rPr>
        <w:t xml:space="preserve">ife </w:t>
      </w:r>
      <w:r w:rsidR="00944DFF" w:rsidRPr="000817CB">
        <w:rPr>
          <w:i/>
        </w:rPr>
        <w:t>S</w:t>
      </w:r>
      <w:r w:rsidRPr="000817CB">
        <w:rPr>
          <w:i/>
        </w:rPr>
        <w:t xml:space="preserve">ci </w:t>
      </w:r>
      <w:r w:rsidRPr="000817CB">
        <w:rPr>
          <w:b/>
        </w:rPr>
        <w:t>2020</w:t>
      </w:r>
      <w:r w:rsidRPr="000817CB">
        <w:t xml:space="preserve">, </w:t>
      </w:r>
      <w:r w:rsidRPr="000817CB">
        <w:rPr>
          <w:i/>
        </w:rPr>
        <w:t>77</w:t>
      </w:r>
      <w:r w:rsidRPr="000817CB">
        <w:t>, 2981-2995, doi:10.1007/s00018-020-03472-4.</w:t>
      </w:r>
    </w:p>
    <w:p w14:paraId="676CBFEC" w14:textId="77777777" w:rsidR="00C72351" w:rsidRPr="000817CB" w:rsidRDefault="00C72351" w:rsidP="00511D9B">
      <w:pPr>
        <w:pStyle w:val="MDPI71References"/>
        <w:numPr>
          <w:ilvl w:val="0"/>
          <w:numId w:val="3"/>
        </w:numPr>
      </w:pPr>
      <w:proofErr w:type="spellStart"/>
      <w:r w:rsidRPr="000817CB">
        <w:t>Sabat</w:t>
      </w:r>
      <w:proofErr w:type="spellEnd"/>
      <w:r w:rsidRPr="000817CB">
        <w:t xml:space="preserve">, R.; Grutz, G.; Warszawska, K.; Kirsch, S.; Witte, E.; Wolk, K.; Geginat, J. Biology of interleukin-10. </w:t>
      </w:r>
      <w:r w:rsidRPr="000817CB">
        <w:rPr>
          <w:i/>
        </w:rPr>
        <w:t xml:space="preserve">Cytokine Growth Factor Rev </w:t>
      </w:r>
      <w:r w:rsidRPr="000817CB">
        <w:rPr>
          <w:b/>
        </w:rPr>
        <w:t>2010</w:t>
      </w:r>
      <w:r w:rsidRPr="000817CB">
        <w:t xml:space="preserve">, </w:t>
      </w:r>
      <w:r w:rsidRPr="000817CB">
        <w:rPr>
          <w:i/>
        </w:rPr>
        <w:t>21</w:t>
      </w:r>
      <w:r w:rsidRPr="000817CB">
        <w:t>, 331-344, doi:10.1016/j.cytogfr.2010.09.002.</w:t>
      </w:r>
    </w:p>
    <w:p w14:paraId="520B9BC5" w14:textId="5DA3EFF6" w:rsidR="00C72351" w:rsidRDefault="00C72351" w:rsidP="00511D9B">
      <w:pPr>
        <w:pStyle w:val="MDPI71References"/>
        <w:numPr>
          <w:ilvl w:val="0"/>
          <w:numId w:val="3"/>
        </w:numPr>
      </w:pPr>
      <w:r w:rsidRPr="000817CB">
        <w:t xml:space="preserve">Huber, S.; Gagliani, N.; Esplugues, E.; O'Connor, W., Jr.; Huber, F.J.; Chaudhry, A.; Kamanaka, M.; Kobayashi, Y.; Booth, C.J.; Rudensky, A.Y., et al. Th17 cells express interleukin-10 receptor and are controlled by Foxp3(-) and Foxp3+ regulatory CD4+ T cells in an interleukin-10-dependent manner. </w:t>
      </w:r>
      <w:r w:rsidRPr="000817CB">
        <w:rPr>
          <w:i/>
        </w:rPr>
        <w:t xml:space="preserve">Immunity </w:t>
      </w:r>
      <w:r w:rsidRPr="000817CB">
        <w:rPr>
          <w:b/>
        </w:rPr>
        <w:t>2011</w:t>
      </w:r>
      <w:r w:rsidRPr="000817CB">
        <w:t xml:space="preserve">, </w:t>
      </w:r>
      <w:r w:rsidRPr="000817CB">
        <w:rPr>
          <w:i/>
        </w:rPr>
        <w:t>34</w:t>
      </w:r>
      <w:r w:rsidRPr="000817CB">
        <w:t>, 554-565, doi:10.1016/j.immuni.2011.01.020.</w:t>
      </w:r>
    </w:p>
    <w:p w14:paraId="75398D5A" w14:textId="1ABD3E7E" w:rsidR="00F823A2" w:rsidRDefault="00F823A2" w:rsidP="00511D9B">
      <w:pPr>
        <w:pStyle w:val="MDPI71References"/>
        <w:numPr>
          <w:ilvl w:val="0"/>
          <w:numId w:val="3"/>
        </w:numPr>
      </w:pPr>
      <w:r w:rsidRPr="00FF72F3">
        <w:t xml:space="preserve">Browning, L.M.; Walker, C.G.; </w:t>
      </w:r>
      <w:proofErr w:type="spellStart"/>
      <w:r w:rsidRPr="00FF72F3">
        <w:t>Mander</w:t>
      </w:r>
      <w:proofErr w:type="spellEnd"/>
      <w:r w:rsidRPr="00FF72F3">
        <w:t xml:space="preserve">, A.P.; West, A.L.; Madden, J.; </w:t>
      </w:r>
      <w:proofErr w:type="spellStart"/>
      <w:r w:rsidRPr="00FF72F3">
        <w:t>Gambell</w:t>
      </w:r>
      <w:proofErr w:type="spellEnd"/>
      <w:r w:rsidRPr="00FF72F3">
        <w:t xml:space="preserve">, J.M.; Young, S.; Wang, L.; </w:t>
      </w:r>
      <w:proofErr w:type="spellStart"/>
      <w:r w:rsidRPr="00FF72F3">
        <w:t>Jebb</w:t>
      </w:r>
      <w:proofErr w:type="spellEnd"/>
      <w:r w:rsidRPr="00FF72F3">
        <w:t xml:space="preserve">, S.A.; Calder, P.C. Incorporation of </w:t>
      </w:r>
      <w:proofErr w:type="spellStart"/>
      <w:r w:rsidRPr="00FF72F3">
        <w:t>eicosapentaenoic</w:t>
      </w:r>
      <w:proofErr w:type="spellEnd"/>
      <w:r w:rsidRPr="00FF72F3">
        <w:t xml:space="preserve"> and docosahexaenoic acids into lipid pools when given as supplements providing doses equivalent to typical intakes of oily fish. </w:t>
      </w:r>
      <w:r w:rsidRPr="00FF72F3">
        <w:rPr>
          <w:i/>
        </w:rPr>
        <w:t xml:space="preserve">Am J Clin </w:t>
      </w:r>
      <w:proofErr w:type="spellStart"/>
      <w:r w:rsidRPr="00FF72F3">
        <w:rPr>
          <w:i/>
        </w:rPr>
        <w:t>Nutr</w:t>
      </w:r>
      <w:proofErr w:type="spellEnd"/>
      <w:r w:rsidRPr="00FF72F3">
        <w:rPr>
          <w:i/>
        </w:rPr>
        <w:t xml:space="preserve"> </w:t>
      </w:r>
      <w:r w:rsidRPr="00FF72F3">
        <w:rPr>
          <w:b/>
        </w:rPr>
        <w:t>2012</w:t>
      </w:r>
      <w:r w:rsidRPr="00FF72F3">
        <w:t xml:space="preserve">, </w:t>
      </w:r>
      <w:r w:rsidRPr="00FF72F3">
        <w:rPr>
          <w:i/>
        </w:rPr>
        <w:t>96</w:t>
      </w:r>
      <w:r w:rsidRPr="00FF72F3">
        <w:t>, 748-758, doi:10.3945/ajcn.112.041343.</w:t>
      </w:r>
    </w:p>
    <w:p w14:paraId="61737264" w14:textId="1BFB0AAC" w:rsidR="00D82660" w:rsidRDefault="00D82660" w:rsidP="00D82660">
      <w:pPr>
        <w:pStyle w:val="MDPI71References"/>
        <w:numPr>
          <w:ilvl w:val="0"/>
          <w:numId w:val="3"/>
        </w:numPr>
      </w:pPr>
      <w:proofErr w:type="spellStart"/>
      <w:r>
        <w:t>Chehimi</w:t>
      </w:r>
      <w:proofErr w:type="spellEnd"/>
      <w:r>
        <w:t xml:space="preserve">, M.; Ward, R.; Pestel, J.; Robert, M.; </w:t>
      </w:r>
      <w:proofErr w:type="spellStart"/>
      <w:r>
        <w:t>Pesenti</w:t>
      </w:r>
      <w:proofErr w:type="spellEnd"/>
      <w:r>
        <w:t xml:space="preserve">, S.; </w:t>
      </w:r>
      <w:proofErr w:type="spellStart"/>
      <w:r>
        <w:t>Bendridi</w:t>
      </w:r>
      <w:proofErr w:type="spellEnd"/>
      <w:r>
        <w:t xml:space="preserve">, N.; Michalski, M.C.; </w:t>
      </w:r>
      <w:proofErr w:type="spellStart"/>
      <w:r>
        <w:t>Laville</w:t>
      </w:r>
      <w:proofErr w:type="spellEnd"/>
      <w:r>
        <w:t xml:space="preserve">, M.; Vidal, H.; </w:t>
      </w:r>
      <w:proofErr w:type="spellStart"/>
      <w:r>
        <w:t>Eljaafari</w:t>
      </w:r>
      <w:proofErr w:type="spellEnd"/>
      <w:r>
        <w:t xml:space="preserve">, A. Omega-3 Polyunsaturated Fatty Acids Inhibit IL-17A Secretion through Decreased ICAM-1 Expression in T Cells Co-Cultured with Adipose-Derived Stem Cells Harvested from Adipose Tissues of Obese Subjects. </w:t>
      </w:r>
      <w:r w:rsidRPr="004A23E8">
        <w:rPr>
          <w:i/>
          <w:iCs/>
        </w:rPr>
        <w:t xml:space="preserve">Mol </w:t>
      </w:r>
      <w:proofErr w:type="spellStart"/>
      <w:r w:rsidR="00312292" w:rsidRPr="004A23E8">
        <w:rPr>
          <w:i/>
          <w:iCs/>
        </w:rPr>
        <w:t>N</w:t>
      </w:r>
      <w:r w:rsidRPr="004A23E8">
        <w:rPr>
          <w:i/>
          <w:iCs/>
        </w:rPr>
        <w:t>utr</w:t>
      </w:r>
      <w:proofErr w:type="spellEnd"/>
      <w:r w:rsidRPr="004A23E8">
        <w:rPr>
          <w:i/>
          <w:iCs/>
        </w:rPr>
        <w:t xml:space="preserve"> </w:t>
      </w:r>
      <w:r w:rsidR="00312292" w:rsidRPr="004A23E8">
        <w:rPr>
          <w:i/>
          <w:iCs/>
        </w:rPr>
        <w:t>F</w:t>
      </w:r>
      <w:r w:rsidRPr="004A23E8">
        <w:rPr>
          <w:i/>
          <w:iCs/>
        </w:rPr>
        <w:t xml:space="preserve">ood </w:t>
      </w:r>
      <w:r w:rsidR="00312292" w:rsidRPr="004A23E8">
        <w:rPr>
          <w:i/>
          <w:iCs/>
        </w:rPr>
        <w:t>R</w:t>
      </w:r>
      <w:r w:rsidRPr="004A23E8">
        <w:rPr>
          <w:i/>
          <w:iCs/>
        </w:rPr>
        <w:t>es</w:t>
      </w:r>
      <w:r>
        <w:t xml:space="preserve"> </w:t>
      </w:r>
      <w:r w:rsidRPr="004A23E8">
        <w:rPr>
          <w:b/>
          <w:bCs/>
        </w:rPr>
        <w:t>2019</w:t>
      </w:r>
      <w:r>
        <w:t>, 63, e1801148, doi:10.1002/mnfr.201801148.</w:t>
      </w:r>
    </w:p>
    <w:p w14:paraId="6913359F" w14:textId="687FD482" w:rsidR="00D82660" w:rsidRPr="000817CB" w:rsidRDefault="00D82660" w:rsidP="00D82660">
      <w:pPr>
        <w:pStyle w:val="MDPI71References"/>
        <w:numPr>
          <w:ilvl w:val="0"/>
          <w:numId w:val="3"/>
        </w:numPr>
      </w:pPr>
      <w:proofErr w:type="spellStart"/>
      <w:r>
        <w:t>Shoda</w:t>
      </w:r>
      <w:proofErr w:type="spellEnd"/>
      <w:r>
        <w:t xml:space="preserve">, H.; </w:t>
      </w:r>
      <w:proofErr w:type="spellStart"/>
      <w:r>
        <w:t>Yanai</w:t>
      </w:r>
      <w:proofErr w:type="spellEnd"/>
      <w:r>
        <w:t xml:space="preserve">, R.; Yoshimura, T.; Nagai, T.; Kimura, K.; </w:t>
      </w:r>
      <w:proofErr w:type="spellStart"/>
      <w:r>
        <w:t>Sobrin</w:t>
      </w:r>
      <w:proofErr w:type="spellEnd"/>
      <w:r>
        <w:t xml:space="preserve">, L.; Connor, K.M.; Sakoda, Y.; </w:t>
      </w:r>
      <w:proofErr w:type="spellStart"/>
      <w:r>
        <w:t>Tamada</w:t>
      </w:r>
      <w:proofErr w:type="spellEnd"/>
      <w:r>
        <w:t xml:space="preserve">, K.; Ikeda, T., et al. Dietary Omega-3 Fatty Acids Suppress Experimental Autoimmune Uveitis in Association with Inhibition of Th1 and Th17 Cell Function. </w:t>
      </w:r>
      <w:proofErr w:type="spellStart"/>
      <w:r w:rsidRPr="004A23E8">
        <w:rPr>
          <w:i/>
          <w:iCs/>
        </w:rPr>
        <w:t>PLoS</w:t>
      </w:r>
      <w:proofErr w:type="spellEnd"/>
      <w:r w:rsidRPr="004A23E8">
        <w:rPr>
          <w:i/>
          <w:iCs/>
        </w:rPr>
        <w:t xml:space="preserve"> One</w:t>
      </w:r>
      <w:r>
        <w:t xml:space="preserve"> </w:t>
      </w:r>
      <w:r w:rsidRPr="004A23E8">
        <w:rPr>
          <w:b/>
          <w:bCs/>
        </w:rPr>
        <w:t>2015</w:t>
      </w:r>
      <w:r>
        <w:t>, 10, e0138241, doi:10.1371/journal.pone.0138241.</w:t>
      </w:r>
    </w:p>
    <w:p w14:paraId="2263C902" w14:textId="77777777" w:rsidR="00C72351" w:rsidRPr="000817CB" w:rsidRDefault="00C72351" w:rsidP="00511D9B">
      <w:pPr>
        <w:pStyle w:val="MDPI71References"/>
        <w:numPr>
          <w:ilvl w:val="0"/>
          <w:numId w:val="3"/>
        </w:numPr>
      </w:pPr>
      <w:proofErr w:type="spellStart"/>
      <w:r w:rsidRPr="000817CB">
        <w:t>Mansoori</w:t>
      </w:r>
      <w:proofErr w:type="spellEnd"/>
      <w:r w:rsidRPr="000817CB">
        <w:t xml:space="preserve">, A.; Sotoudeh, G.; Djalali, M.; Eshraghian, M.R.; Keramatipour, M.; Nasli-Esfahani, E.; Shidfar, F.; Alvandi, E.; Toupchian, O.; Koohdani, F. Effect of DHA-rich fish oil on PPARgamma target genes related to lipid metabolism in type 2 diabetes: A randomized, double-blind, placebo-controlled clinical trial. </w:t>
      </w:r>
      <w:r w:rsidRPr="000817CB">
        <w:rPr>
          <w:i/>
        </w:rPr>
        <w:t xml:space="preserve">J </w:t>
      </w:r>
      <w:r w:rsidR="00944DFF" w:rsidRPr="000817CB">
        <w:rPr>
          <w:i/>
        </w:rPr>
        <w:t>C</w:t>
      </w:r>
      <w:r w:rsidRPr="000817CB">
        <w:rPr>
          <w:i/>
        </w:rPr>
        <w:t>li</w:t>
      </w:r>
      <w:r w:rsidR="00944DFF" w:rsidRPr="000817CB">
        <w:rPr>
          <w:i/>
        </w:rPr>
        <w:t>n</w:t>
      </w:r>
      <w:r w:rsidRPr="000817CB">
        <w:rPr>
          <w:i/>
        </w:rPr>
        <w:t xml:space="preserve"> </w:t>
      </w:r>
      <w:r w:rsidR="00944DFF" w:rsidRPr="000817CB">
        <w:rPr>
          <w:i/>
        </w:rPr>
        <w:t>L</w:t>
      </w:r>
      <w:r w:rsidRPr="000817CB">
        <w:rPr>
          <w:i/>
        </w:rPr>
        <w:t xml:space="preserve">ipidol </w:t>
      </w:r>
      <w:r w:rsidRPr="000817CB">
        <w:rPr>
          <w:b/>
        </w:rPr>
        <w:t>2015</w:t>
      </w:r>
      <w:r w:rsidRPr="000817CB">
        <w:t xml:space="preserve">, </w:t>
      </w:r>
      <w:r w:rsidRPr="000817CB">
        <w:rPr>
          <w:i/>
        </w:rPr>
        <w:t>9</w:t>
      </w:r>
      <w:r w:rsidRPr="000817CB">
        <w:t>, 770-777, doi:10.1016/j.jacl.2015.08.007.</w:t>
      </w:r>
    </w:p>
    <w:p w14:paraId="69230F8A" w14:textId="77777777" w:rsidR="00C72351" w:rsidRPr="000817CB" w:rsidRDefault="00C72351" w:rsidP="00511D9B">
      <w:pPr>
        <w:pStyle w:val="MDPI71References"/>
        <w:numPr>
          <w:ilvl w:val="0"/>
          <w:numId w:val="3"/>
        </w:numPr>
      </w:pPr>
      <w:proofErr w:type="spellStart"/>
      <w:r w:rsidRPr="000817CB">
        <w:t>Hoile</w:t>
      </w:r>
      <w:proofErr w:type="spellEnd"/>
      <w:r w:rsidRPr="000817CB">
        <w:t xml:space="preserve">, S.P.; Clarke-Harris, R.; Huang, R.C.; Calder, P.C.; Mori, T.A.; Beilin, L.J.; Lillycrop, K.A.; Burdge, G.C. Supplementation with N-3 Long-Chain Polyunsaturated Fatty Acids or Olive Oil in Men and Women with Renal Disease Induces Differential Changes in the DNA Methylation of FADS2 and ELOVL5 in Peripheral Blood Mononuclear Cells. </w:t>
      </w:r>
      <w:r w:rsidRPr="000817CB">
        <w:rPr>
          <w:i/>
        </w:rPr>
        <w:t xml:space="preserve">PLoS One </w:t>
      </w:r>
      <w:r w:rsidRPr="000817CB">
        <w:rPr>
          <w:b/>
        </w:rPr>
        <w:t>2014</w:t>
      </w:r>
      <w:r w:rsidRPr="000817CB">
        <w:t xml:space="preserve">, </w:t>
      </w:r>
      <w:r w:rsidRPr="000817CB">
        <w:rPr>
          <w:i/>
        </w:rPr>
        <w:t>9</w:t>
      </w:r>
      <w:r w:rsidRPr="000817CB">
        <w:t>, e109896, doi:10.1371/journal.pone.0109896.</w:t>
      </w:r>
    </w:p>
    <w:p w14:paraId="01181BB8" w14:textId="77777777" w:rsidR="00C72351" w:rsidRPr="000817CB" w:rsidRDefault="00C72351" w:rsidP="00511D9B">
      <w:pPr>
        <w:pStyle w:val="MDPI71References"/>
        <w:numPr>
          <w:ilvl w:val="0"/>
          <w:numId w:val="3"/>
        </w:numPr>
      </w:pPr>
      <w:r w:rsidRPr="000817CB">
        <w:t>Perez-Mojica, J.E.; Lillycrop, K.A.; Cooper, C.; Calder, P.C.; Burdge, G.C. Docosahexaenoic acid and oleic acid induce altered DNA methylation of individual CpG loci in Jurkat T cells</w:t>
      </w:r>
      <w:r w:rsidR="00944DFF" w:rsidRPr="000817CB">
        <w:t xml:space="preserve"> </w:t>
      </w:r>
      <w:r w:rsidR="00944DFF" w:rsidRPr="000817CB">
        <w:rPr>
          <w:i/>
        </w:rPr>
        <w:t xml:space="preserve">Prostaglandins Leukot Essent Fatty Acids </w:t>
      </w:r>
      <w:r w:rsidRPr="000817CB">
        <w:rPr>
          <w:b/>
        </w:rPr>
        <w:t>2020</w:t>
      </w:r>
      <w:r w:rsidRPr="000817CB">
        <w:t xml:space="preserve">, </w:t>
      </w:r>
      <w:r w:rsidRPr="000817CB">
        <w:rPr>
          <w:i/>
        </w:rPr>
        <w:t>158</w:t>
      </w:r>
      <w:r w:rsidRPr="000817CB">
        <w:t>, 102128, doi:10.1016/j.plefa.2020.102128.</w:t>
      </w:r>
    </w:p>
    <w:p w14:paraId="14EC1B9E" w14:textId="77777777" w:rsidR="00C72351" w:rsidRPr="000817CB" w:rsidRDefault="00C72351" w:rsidP="00511D9B">
      <w:pPr>
        <w:pStyle w:val="MDPI71References"/>
        <w:numPr>
          <w:ilvl w:val="0"/>
          <w:numId w:val="3"/>
        </w:numPr>
      </w:pPr>
      <w:proofErr w:type="spellStart"/>
      <w:r w:rsidRPr="000817CB">
        <w:t>Bustin</w:t>
      </w:r>
      <w:proofErr w:type="spellEnd"/>
      <w:r w:rsidRPr="000817CB">
        <w:t xml:space="preserve">, S.A. Absolute quantification of mRNA using real-time reverse transcription polymerase chain reaction assays. </w:t>
      </w:r>
      <w:r w:rsidR="00944DFF" w:rsidRPr="000817CB">
        <w:rPr>
          <w:i/>
        </w:rPr>
        <w:t xml:space="preserve">J Mol </w:t>
      </w:r>
      <w:r w:rsidRPr="000817CB">
        <w:rPr>
          <w:i/>
        </w:rPr>
        <w:t xml:space="preserve">Endocrinol. </w:t>
      </w:r>
      <w:r w:rsidRPr="000817CB">
        <w:rPr>
          <w:b/>
        </w:rPr>
        <w:t>2000</w:t>
      </w:r>
      <w:r w:rsidRPr="000817CB">
        <w:t xml:space="preserve">, </w:t>
      </w:r>
      <w:r w:rsidRPr="000817CB">
        <w:rPr>
          <w:i/>
        </w:rPr>
        <w:t>25</w:t>
      </w:r>
      <w:r w:rsidRPr="000817CB">
        <w:t>, 169-193.</w:t>
      </w:r>
    </w:p>
    <w:p w14:paraId="40EC3199" w14:textId="77777777" w:rsidR="00F709B0" w:rsidRPr="00511D9B" w:rsidRDefault="00F709B0" w:rsidP="00511D9B">
      <w:pPr>
        <w:adjustRightInd w:val="0"/>
        <w:snapToGrid w:val="0"/>
        <w:spacing w:line="228" w:lineRule="auto"/>
        <w:ind w:left="425" w:hanging="425"/>
        <w:jc w:val="both"/>
        <w:rPr>
          <w:iCs/>
          <w:sz w:val="18"/>
        </w:rPr>
      </w:pPr>
    </w:p>
    <w:p w14:paraId="40379E93" w14:textId="77777777" w:rsidR="00DC57CA" w:rsidRPr="00944DFF" w:rsidRDefault="00DC57CA" w:rsidP="00FF4921">
      <w:pPr>
        <w:adjustRightInd w:val="0"/>
        <w:snapToGrid w:val="0"/>
      </w:pPr>
    </w:p>
    <w:sectPr w:rsidR="00DC57CA" w:rsidRPr="00944DFF" w:rsidSect="00902660">
      <w:headerReference w:type="default" r:id="rId13"/>
      <w:footerReference w:type="default" r:id="rId14"/>
      <w:headerReference w:type="first" r:id="rId15"/>
      <w:footerReference w:type="first" r:id="rId16"/>
      <w:pgSz w:w="11901" w:h="16834"/>
      <w:pgMar w:top="1417" w:right="720" w:bottom="1077" w:left="720" w:header="1020" w:footer="340" w:gutter="0"/>
      <w:lnNumType w:countBy="1" w:restart="continuous"/>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6063F" w14:textId="77777777" w:rsidR="00C01ACE" w:rsidRDefault="00C01ACE">
      <w:r>
        <w:separator/>
      </w:r>
    </w:p>
  </w:endnote>
  <w:endnote w:type="continuationSeparator" w:id="0">
    <w:p w14:paraId="0D80984F" w14:textId="77777777" w:rsidR="00C01ACE" w:rsidRDefault="00C01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dvOT8608a8d1+22">
    <w:altName w:val="MS Gothic"/>
    <w:panose1 w:val="020B0604020202020204"/>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7571769"/>
      <w:docPartObj>
        <w:docPartGallery w:val="Page Numbers (Bottom of Page)"/>
        <w:docPartUnique/>
      </w:docPartObj>
    </w:sdtPr>
    <w:sdtEndPr>
      <w:rPr>
        <w:noProof/>
      </w:rPr>
    </w:sdtEndPr>
    <w:sdtContent>
      <w:p w14:paraId="134232F1" w14:textId="77777777" w:rsidR="00F674B7" w:rsidRDefault="00F674B7">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6DA8F9E6" w14:textId="77777777" w:rsidR="00F674B7" w:rsidRDefault="00F67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0D52A" w14:textId="77777777" w:rsidR="00F674B7" w:rsidRPr="008B308E" w:rsidRDefault="00F674B7" w:rsidP="00FF4921">
    <w:pPr>
      <w:pStyle w:val="MDPIfooterfirstpage"/>
      <w:tabs>
        <w:tab w:val="clear" w:pos="8845"/>
        <w:tab w:val="right" w:pos="10466"/>
      </w:tabs>
      <w:spacing w:line="240" w:lineRule="auto"/>
      <w:jc w:val="both"/>
      <w:rPr>
        <w:lang w:val="fr-CH"/>
      </w:rPr>
    </w:pPr>
    <w:r w:rsidRPr="00141586">
      <w:rPr>
        <w:i/>
        <w:szCs w:val="16"/>
      </w:rPr>
      <w:t>Nutrients</w:t>
    </w:r>
    <w:r w:rsidRPr="00A70616">
      <w:rPr>
        <w:iCs/>
        <w:szCs w:val="16"/>
      </w:rPr>
      <w:t xml:space="preserve"> </w:t>
    </w:r>
    <w:r w:rsidRPr="008C455F">
      <w:rPr>
        <w:b/>
        <w:bCs/>
        <w:iCs/>
        <w:szCs w:val="16"/>
      </w:rPr>
      <w:t>2021</w:t>
    </w:r>
    <w:r w:rsidRPr="008313A9">
      <w:rPr>
        <w:bCs/>
        <w:iCs/>
        <w:szCs w:val="16"/>
      </w:rPr>
      <w:t xml:space="preserve">, </w:t>
    </w:r>
    <w:r w:rsidRPr="008C455F">
      <w:rPr>
        <w:bCs/>
        <w:i/>
        <w:iCs/>
        <w:szCs w:val="16"/>
      </w:rPr>
      <w:t>13</w:t>
    </w:r>
    <w:r w:rsidRPr="008313A9">
      <w:rPr>
        <w:bCs/>
        <w:iCs/>
        <w:szCs w:val="16"/>
      </w:rPr>
      <w:t xml:space="preserve">, </w:t>
    </w:r>
    <w:r>
      <w:rPr>
        <w:bCs/>
        <w:iCs/>
        <w:szCs w:val="16"/>
      </w:rPr>
      <w:t>x. https://doi.org/10.3390/xxxxx</w:t>
    </w:r>
    <w:r w:rsidRPr="008B308E">
      <w:rPr>
        <w:lang w:val="fr-CH"/>
      </w:rPr>
      <w:tab/>
      <w:t>www.mdpi.com/journal/</w:t>
    </w:r>
    <w:r>
      <w:t>nutrients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CBFA0" w14:textId="77777777" w:rsidR="00C01ACE" w:rsidRDefault="00C01ACE">
      <w:r>
        <w:separator/>
      </w:r>
    </w:p>
  </w:footnote>
  <w:footnote w:type="continuationSeparator" w:id="0">
    <w:p w14:paraId="61161113" w14:textId="77777777" w:rsidR="00C01ACE" w:rsidRDefault="00C01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8B15C" w14:textId="77777777" w:rsidR="00F674B7" w:rsidRDefault="00F674B7" w:rsidP="000817CB">
    <w:pPr>
      <w:tabs>
        <w:tab w:val="right" w:pos="10466"/>
      </w:tabs>
      <w:adjustRightInd w:val="0"/>
      <w:snapToGrid w:val="0"/>
      <w:rPr>
        <w:sz w:val="16"/>
      </w:rPr>
    </w:pPr>
    <w:r>
      <w:rPr>
        <w:i/>
        <w:sz w:val="16"/>
      </w:rPr>
      <w:t xml:space="preserve">Nutrients </w:t>
    </w:r>
    <w:r w:rsidRPr="002C5127">
      <w:rPr>
        <w:b/>
        <w:sz w:val="16"/>
      </w:rPr>
      <w:t>2021</w:t>
    </w:r>
    <w:r w:rsidRPr="008313A9">
      <w:rPr>
        <w:sz w:val="16"/>
      </w:rPr>
      <w:t xml:space="preserve">, </w:t>
    </w:r>
    <w:r w:rsidRPr="002C5127">
      <w:rPr>
        <w:i/>
        <w:sz w:val="16"/>
      </w:rPr>
      <w:t>13</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0298F56F" w14:textId="77777777" w:rsidR="00F674B7" w:rsidRPr="00310EBF" w:rsidRDefault="00F674B7" w:rsidP="000817CB">
    <w:pPr>
      <w:pBdr>
        <w:bottom w:val="single" w:sz="4" w:space="1" w:color="000000"/>
      </w:pBdr>
      <w:tabs>
        <w:tab w:val="right" w:pos="8844"/>
      </w:tabs>
      <w:adjustRightInd w:val="0"/>
      <w:snapToGrid w:val="0"/>
      <w:spacing w:after="480" w:line="100" w:lineRule="exac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F674B7" w:rsidRPr="000943F3" w14:paraId="2635E318" w14:textId="77777777" w:rsidTr="00511D9B">
      <w:trPr>
        <w:trHeight w:val="686"/>
      </w:trPr>
      <w:tc>
        <w:tcPr>
          <w:tcW w:w="3679" w:type="dxa"/>
          <w:shd w:val="clear" w:color="auto" w:fill="auto"/>
          <w:vAlign w:val="center"/>
        </w:tcPr>
        <w:p w14:paraId="27EE9C16" w14:textId="77777777" w:rsidR="00F674B7" w:rsidRPr="00D15AC3" w:rsidRDefault="00F674B7" w:rsidP="00FF4921">
          <w:pPr>
            <w:pStyle w:val="Header"/>
            <w:rPr>
              <w:rFonts w:eastAsia="DengXian"/>
              <w:b/>
              <w:bCs/>
            </w:rPr>
          </w:pPr>
          <w:r w:rsidRPr="00D15AC3">
            <w:rPr>
              <w:rFonts w:eastAsia="DengXian"/>
              <w:b/>
              <w:bCs/>
              <w:noProof/>
            </w:rPr>
            <w:drawing>
              <wp:inline distT="0" distB="0" distL="0" distR="0" wp14:anchorId="150360A6" wp14:editId="3D9F6D90">
                <wp:extent cx="1699260" cy="426720"/>
                <wp:effectExtent l="0" t="0" r="0" b="0"/>
                <wp:docPr id="7" name="Picture 7" descr="C:\Users\home\Desktop\logos\Nutri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Nutrient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426720"/>
                        </a:xfrm>
                        <a:prstGeom prst="rect">
                          <a:avLst/>
                        </a:prstGeom>
                        <a:noFill/>
                        <a:ln>
                          <a:noFill/>
                        </a:ln>
                      </pic:spPr>
                    </pic:pic>
                  </a:graphicData>
                </a:graphic>
              </wp:inline>
            </w:drawing>
          </w:r>
        </w:p>
      </w:tc>
      <w:tc>
        <w:tcPr>
          <w:tcW w:w="4535" w:type="dxa"/>
          <w:shd w:val="clear" w:color="auto" w:fill="auto"/>
          <w:vAlign w:val="center"/>
        </w:tcPr>
        <w:p w14:paraId="07E6C792" w14:textId="77777777" w:rsidR="00F674B7" w:rsidRPr="00D15AC3" w:rsidRDefault="00F674B7" w:rsidP="00FF4921">
          <w:pPr>
            <w:pStyle w:val="Header"/>
            <w:rPr>
              <w:rFonts w:eastAsia="DengXian"/>
              <w:b/>
              <w:bCs/>
            </w:rPr>
          </w:pPr>
        </w:p>
      </w:tc>
      <w:tc>
        <w:tcPr>
          <w:tcW w:w="2273" w:type="dxa"/>
          <w:shd w:val="clear" w:color="auto" w:fill="auto"/>
          <w:vAlign w:val="center"/>
        </w:tcPr>
        <w:p w14:paraId="3B82DBC5" w14:textId="77777777" w:rsidR="00F674B7" w:rsidRPr="00D15AC3" w:rsidRDefault="00F674B7" w:rsidP="00FF4921">
          <w:pPr>
            <w:pStyle w:val="Header"/>
            <w:jc w:val="right"/>
            <w:rPr>
              <w:rFonts w:eastAsia="DengXian"/>
              <w:b/>
              <w:bCs/>
            </w:rPr>
          </w:pPr>
          <w:r w:rsidRPr="00D15AC3">
            <w:rPr>
              <w:rFonts w:eastAsia="DengXian"/>
              <w:b/>
              <w:bCs/>
              <w:noProof/>
            </w:rPr>
            <w:drawing>
              <wp:inline distT="0" distB="0" distL="0" distR="0" wp14:anchorId="283AFC10" wp14:editId="79E4C7FA">
                <wp:extent cx="541020" cy="358140"/>
                <wp:effectExtent l="0" t="0" r="0" b="3810"/>
                <wp:docPr id="6" name="Picture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c>
    </w:tr>
  </w:tbl>
  <w:p w14:paraId="7C55D0FA" w14:textId="77777777" w:rsidR="00F674B7" w:rsidRPr="0045699E" w:rsidRDefault="00F674B7" w:rsidP="00FF4921">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 w15:restartNumberingAfterBreak="0">
    <w:nsid w:val="3A6E475A"/>
    <w:multiLevelType w:val="hybridMultilevel"/>
    <w:tmpl w:val="1D607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trackRevisions/>
  <w:defaultTabStop w:val="51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709B0"/>
    <w:rsid w:val="000817CB"/>
    <w:rsid w:val="000F6FB3"/>
    <w:rsid w:val="00235941"/>
    <w:rsid w:val="00292872"/>
    <w:rsid w:val="002D7B11"/>
    <w:rsid w:val="0030265E"/>
    <w:rsid w:val="00312292"/>
    <w:rsid w:val="0031522D"/>
    <w:rsid w:val="003B30CD"/>
    <w:rsid w:val="0048471B"/>
    <w:rsid w:val="004A23E8"/>
    <w:rsid w:val="004E72F7"/>
    <w:rsid w:val="00511D9B"/>
    <w:rsid w:val="005230B6"/>
    <w:rsid w:val="00523F94"/>
    <w:rsid w:val="005D3845"/>
    <w:rsid w:val="00657A82"/>
    <w:rsid w:val="0066546B"/>
    <w:rsid w:val="00673847"/>
    <w:rsid w:val="00723480"/>
    <w:rsid w:val="00724E64"/>
    <w:rsid w:val="00746D2E"/>
    <w:rsid w:val="007568BD"/>
    <w:rsid w:val="00773D63"/>
    <w:rsid w:val="007C2EC8"/>
    <w:rsid w:val="00805CC3"/>
    <w:rsid w:val="008652D3"/>
    <w:rsid w:val="00866215"/>
    <w:rsid w:val="00902660"/>
    <w:rsid w:val="009442EB"/>
    <w:rsid w:val="00944DFF"/>
    <w:rsid w:val="00A25531"/>
    <w:rsid w:val="00A401E7"/>
    <w:rsid w:val="00A4123F"/>
    <w:rsid w:val="00B46122"/>
    <w:rsid w:val="00B87F35"/>
    <w:rsid w:val="00BA40E9"/>
    <w:rsid w:val="00C01ACE"/>
    <w:rsid w:val="00C13EC3"/>
    <w:rsid w:val="00C72351"/>
    <w:rsid w:val="00CF0A75"/>
    <w:rsid w:val="00D27A91"/>
    <w:rsid w:val="00D73862"/>
    <w:rsid w:val="00D82660"/>
    <w:rsid w:val="00D9047A"/>
    <w:rsid w:val="00DB23DB"/>
    <w:rsid w:val="00DB5746"/>
    <w:rsid w:val="00DC57CA"/>
    <w:rsid w:val="00DF2138"/>
    <w:rsid w:val="00E62AD4"/>
    <w:rsid w:val="00E72B70"/>
    <w:rsid w:val="00EB3B13"/>
    <w:rsid w:val="00EB6751"/>
    <w:rsid w:val="00EE0D90"/>
    <w:rsid w:val="00F103CC"/>
    <w:rsid w:val="00F17D80"/>
    <w:rsid w:val="00F674B7"/>
    <w:rsid w:val="00F709B0"/>
    <w:rsid w:val="00F823A2"/>
    <w:rsid w:val="00FF49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BDAD"/>
  <w15:chartTrackingRefBased/>
  <w15:docId w15:val="{EECBEEBC-7C72-43C3-950F-F71372CFF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9B0"/>
    <w:rPr>
      <w:rFonts w:eastAsia="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09B0"/>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09B0"/>
    <w:pPr>
      <w:tabs>
        <w:tab w:val="center" w:pos="4513"/>
        <w:tab w:val="right" w:pos="9026"/>
      </w:tabs>
    </w:pPr>
  </w:style>
  <w:style w:type="character" w:customStyle="1" w:styleId="HeaderChar">
    <w:name w:val="Header Char"/>
    <w:basedOn w:val="DefaultParagraphFont"/>
    <w:link w:val="Header"/>
    <w:uiPriority w:val="99"/>
    <w:rsid w:val="00F709B0"/>
    <w:rPr>
      <w:rFonts w:eastAsia="Times New Roman"/>
      <w:lang w:eastAsia="en-GB"/>
    </w:rPr>
  </w:style>
  <w:style w:type="paragraph" w:styleId="Footer">
    <w:name w:val="footer"/>
    <w:basedOn w:val="Normal"/>
    <w:link w:val="FooterChar"/>
    <w:uiPriority w:val="99"/>
    <w:unhideWhenUsed/>
    <w:rsid w:val="00F709B0"/>
    <w:pPr>
      <w:tabs>
        <w:tab w:val="center" w:pos="4513"/>
        <w:tab w:val="right" w:pos="9026"/>
      </w:tabs>
    </w:pPr>
  </w:style>
  <w:style w:type="character" w:customStyle="1" w:styleId="FooterChar">
    <w:name w:val="Footer Char"/>
    <w:basedOn w:val="DefaultParagraphFont"/>
    <w:link w:val="Footer"/>
    <w:uiPriority w:val="99"/>
    <w:rsid w:val="00F709B0"/>
    <w:rPr>
      <w:rFonts w:eastAsia="Times New Roman"/>
      <w:lang w:eastAsia="en-GB"/>
    </w:rPr>
  </w:style>
  <w:style w:type="character" w:styleId="CommentReference">
    <w:name w:val="annotation reference"/>
    <w:basedOn w:val="DefaultParagraphFont"/>
    <w:uiPriority w:val="99"/>
    <w:semiHidden/>
    <w:unhideWhenUsed/>
    <w:rsid w:val="00F709B0"/>
    <w:rPr>
      <w:sz w:val="16"/>
      <w:szCs w:val="16"/>
    </w:rPr>
  </w:style>
  <w:style w:type="paragraph" w:styleId="CommentText">
    <w:name w:val="annotation text"/>
    <w:basedOn w:val="Normal"/>
    <w:link w:val="CommentTextChar"/>
    <w:uiPriority w:val="99"/>
    <w:semiHidden/>
    <w:unhideWhenUsed/>
    <w:rsid w:val="00F709B0"/>
    <w:rPr>
      <w:sz w:val="20"/>
      <w:szCs w:val="20"/>
    </w:rPr>
  </w:style>
  <w:style w:type="character" w:customStyle="1" w:styleId="CommentTextChar">
    <w:name w:val="Comment Text Char"/>
    <w:basedOn w:val="DefaultParagraphFont"/>
    <w:link w:val="CommentText"/>
    <w:uiPriority w:val="99"/>
    <w:semiHidden/>
    <w:rsid w:val="00F709B0"/>
    <w:rPr>
      <w:rFonts w:eastAsia="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709B0"/>
    <w:rPr>
      <w:b/>
      <w:bCs/>
    </w:rPr>
  </w:style>
  <w:style w:type="character" w:customStyle="1" w:styleId="CommentSubjectChar">
    <w:name w:val="Comment Subject Char"/>
    <w:basedOn w:val="CommentTextChar"/>
    <w:link w:val="CommentSubject"/>
    <w:uiPriority w:val="99"/>
    <w:semiHidden/>
    <w:rsid w:val="00F709B0"/>
    <w:rPr>
      <w:rFonts w:eastAsia="Times New Roman"/>
      <w:b/>
      <w:bCs/>
      <w:sz w:val="20"/>
      <w:szCs w:val="20"/>
      <w:lang w:eastAsia="en-GB"/>
    </w:rPr>
  </w:style>
  <w:style w:type="paragraph" w:styleId="BalloonText">
    <w:name w:val="Balloon Text"/>
    <w:basedOn w:val="Normal"/>
    <w:link w:val="BalloonTextChar"/>
    <w:uiPriority w:val="99"/>
    <w:semiHidden/>
    <w:unhideWhenUsed/>
    <w:rsid w:val="00F709B0"/>
    <w:rPr>
      <w:sz w:val="18"/>
      <w:szCs w:val="18"/>
    </w:rPr>
  </w:style>
  <w:style w:type="character" w:customStyle="1" w:styleId="BalloonTextChar">
    <w:name w:val="Balloon Text Char"/>
    <w:basedOn w:val="DefaultParagraphFont"/>
    <w:link w:val="BalloonText"/>
    <w:uiPriority w:val="99"/>
    <w:semiHidden/>
    <w:rsid w:val="00F709B0"/>
    <w:rPr>
      <w:rFonts w:eastAsia="Times New Roman"/>
      <w:sz w:val="18"/>
      <w:szCs w:val="18"/>
      <w:lang w:eastAsia="en-GB"/>
    </w:rPr>
  </w:style>
  <w:style w:type="character" w:styleId="Hyperlink">
    <w:name w:val="Hyperlink"/>
    <w:basedOn w:val="DefaultParagraphFont"/>
    <w:uiPriority w:val="99"/>
    <w:unhideWhenUsed/>
    <w:rsid w:val="00F709B0"/>
    <w:rPr>
      <w:color w:val="0000FF"/>
      <w:u w:val="single"/>
    </w:rPr>
  </w:style>
  <w:style w:type="paragraph" w:customStyle="1" w:styleId="Default">
    <w:name w:val="Default"/>
    <w:rsid w:val="00F709B0"/>
    <w:pPr>
      <w:autoSpaceDE w:val="0"/>
      <w:autoSpaceDN w:val="0"/>
      <w:adjustRightInd w:val="0"/>
    </w:pPr>
    <w:rPr>
      <w:rFonts w:ascii="Arial" w:hAnsi="Arial" w:cs="Arial"/>
      <w:color w:val="000000"/>
    </w:rPr>
  </w:style>
  <w:style w:type="paragraph" w:customStyle="1" w:styleId="EndNoteBibliographyTitle">
    <w:name w:val="EndNote Bibliography Title"/>
    <w:basedOn w:val="Normal"/>
    <w:link w:val="EndNoteBibliographyTitleChar"/>
    <w:rsid w:val="00F709B0"/>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709B0"/>
    <w:rPr>
      <w:rFonts w:ascii="Calibri" w:eastAsia="Times New Roman" w:hAnsi="Calibri" w:cs="Calibri"/>
      <w:noProof/>
      <w:lang w:val="en-US" w:eastAsia="en-GB"/>
    </w:rPr>
  </w:style>
  <w:style w:type="paragraph" w:customStyle="1" w:styleId="EndNoteBibliography">
    <w:name w:val="EndNote Bibliography"/>
    <w:basedOn w:val="Normal"/>
    <w:link w:val="EndNoteBibliographyChar"/>
    <w:rsid w:val="00F709B0"/>
    <w:rPr>
      <w:rFonts w:ascii="Calibri" w:hAnsi="Calibri" w:cs="Calibri"/>
      <w:noProof/>
      <w:lang w:val="en-US"/>
    </w:rPr>
  </w:style>
  <w:style w:type="character" w:customStyle="1" w:styleId="EndNoteBibliographyChar">
    <w:name w:val="EndNote Bibliography Char"/>
    <w:basedOn w:val="DefaultParagraphFont"/>
    <w:link w:val="EndNoteBibliography"/>
    <w:rsid w:val="00F709B0"/>
    <w:rPr>
      <w:rFonts w:ascii="Calibri" w:eastAsia="Times New Roman" w:hAnsi="Calibri" w:cs="Calibri"/>
      <w:noProof/>
      <w:lang w:val="en-US" w:eastAsia="en-GB"/>
    </w:rPr>
  </w:style>
  <w:style w:type="character" w:styleId="Emphasis">
    <w:name w:val="Emphasis"/>
    <w:basedOn w:val="DefaultParagraphFont"/>
    <w:uiPriority w:val="20"/>
    <w:qFormat/>
    <w:rsid w:val="00F709B0"/>
    <w:rPr>
      <w:i/>
      <w:iCs/>
    </w:rPr>
  </w:style>
  <w:style w:type="character" w:customStyle="1" w:styleId="UnresolvedMention1">
    <w:name w:val="Unresolved Mention1"/>
    <w:basedOn w:val="DefaultParagraphFont"/>
    <w:uiPriority w:val="99"/>
    <w:semiHidden/>
    <w:unhideWhenUsed/>
    <w:rsid w:val="00F709B0"/>
    <w:rPr>
      <w:color w:val="605E5C"/>
      <w:shd w:val="clear" w:color="auto" w:fill="E1DFDD"/>
    </w:rPr>
  </w:style>
  <w:style w:type="paragraph" w:styleId="NormalWeb">
    <w:name w:val="Normal (Web)"/>
    <w:basedOn w:val="Normal"/>
    <w:uiPriority w:val="99"/>
    <w:unhideWhenUsed/>
    <w:rsid w:val="00F709B0"/>
    <w:pPr>
      <w:spacing w:before="100" w:beforeAutospacing="1" w:after="100" w:afterAutospacing="1"/>
    </w:pPr>
  </w:style>
  <w:style w:type="character" w:customStyle="1" w:styleId="apple-converted-space">
    <w:name w:val="apple-converted-space"/>
    <w:basedOn w:val="DefaultParagraphFont"/>
    <w:rsid w:val="00F709B0"/>
  </w:style>
  <w:style w:type="character" w:styleId="FollowedHyperlink">
    <w:name w:val="FollowedHyperlink"/>
    <w:basedOn w:val="DefaultParagraphFont"/>
    <w:uiPriority w:val="99"/>
    <w:semiHidden/>
    <w:unhideWhenUsed/>
    <w:rsid w:val="00F709B0"/>
    <w:rPr>
      <w:color w:val="954F72" w:themeColor="followedHyperlink"/>
      <w:u w:val="single"/>
    </w:rPr>
  </w:style>
  <w:style w:type="character" w:styleId="LineNumber">
    <w:name w:val="line number"/>
    <w:uiPriority w:val="99"/>
    <w:rsid w:val="00FF4921"/>
    <w:rPr>
      <w:rFonts w:ascii="Palatino Linotype" w:hAnsi="Palatino Linotype"/>
      <w:sz w:val="16"/>
    </w:rPr>
  </w:style>
  <w:style w:type="paragraph" w:customStyle="1" w:styleId="MDPI11articletype">
    <w:name w:val="MDPI_1.1_article_type"/>
    <w:next w:val="Normal"/>
    <w:qFormat/>
    <w:rsid w:val="00FF4921"/>
    <w:pPr>
      <w:adjustRightInd w:val="0"/>
      <w:snapToGrid w:val="0"/>
      <w:spacing w:before="240"/>
    </w:pPr>
    <w:rPr>
      <w:rFonts w:ascii="Palatino Linotype" w:eastAsia="Times New Roman" w:hAnsi="Palatino Linotype"/>
      <w:i/>
      <w:snapToGrid w:val="0"/>
      <w:color w:val="000000"/>
      <w:sz w:val="20"/>
      <w:szCs w:val="22"/>
      <w:lang w:val="en-US" w:eastAsia="de-DE" w:bidi="en-US"/>
    </w:rPr>
  </w:style>
  <w:style w:type="paragraph" w:customStyle="1" w:styleId="MDPI12title">
    <w:name w:val="MDPI_1.2_title"/>
    <w:next w:val="Normal"/>
    <w:qFormat/>
    <w:rsid w:val="00FF4921"/>
    <w:pPr>
      <w:adjustRightInd w:val="0"/>
      <w:snapToGrid w:val="0"/>
      <w:spacing w:after="240" w:line="240" w:lineRule="atLeast"/>
    </w:pPr>
    <w:rPr>
      <w:rFonts w:ascii="Palatino Linotype" w:eastAsia="Times New Roman" w:hAnsi="Palatino Linotype"/>
      <w:b/>
      <w:snapToGrid w:val="0"/>
      <w:color w:val="000000"/>
      <w:sz w:val="36"/>
      <w:szCs w:val="20"/>
      <w:lang w:val="en-US" w:eastAsia="de-DE" w:bidi="en-US"/>
    </w:rPr>
  </w:style>
  <w:style w:type="paragraph" w:customStyle="1" w:styleId="MDPI13authornames">
    <w:name w:val="MDPI_1.3_authornames"/>
    <w:next w:val="Normal"/>
    <w:qFormat/>
    <w:rsid w:val="00FF4921"/>
    <w:pPr>
      <w:adjustRightInd w:val="0"/>
      <w:snapToGrid w:val="0"/>
      <w:spacing w:after="360" w:line="260" w:lineRule="atLeast"/>
    </w:pPr>
    <w:rPr>
      <w:rFonts w:ascii="Palatino Linotype" w:eastAsia="Times New Roman" w:hAnsi="Palatino Linotype"/>
      <w:b/>
      <w:color w:val="000000"/>
      <w:sz w:val="20"/>
      <w:szCs w:val="22"/>
      <w:lang w:val="en-US" w:eastAsia="de-DE" w:bidi="en-US"/>
    </w:rPr>
  </w:style>
  <w:style w:type="paragraph" w:customStyle="1" w:styleId="MDPI14history">
    <w:name w:val="MDPI_1.4_history"/>
    <w:basedOn w:val="Normal"/>
    <w:next w:val="Normal"/>
    <w:qFormat/>
    <w:rsid w:val="00FF4921"/>
    <w:pPr>
      <w:adjustRightInd w:val="0"/>
      <w:snapToGrid w:val="0"/>
      <w:spacing w:line="240" w:lineRule="atLeast"/>
      <w:ind w:right="113"/>
    </w:pPr>
    <w:rPr>
      <w:rFonts w:ascii="Palatino Linotype" w:hAnsi="Palatino Linotype"/>
      <w:color w:val="000000"/>
      <w:sz w:val="14"/>
      <w:szCs w:val="20"/>
      <w:lang w:val="en-US" w:eastAsia="de-DE" w:bidi="en-US"/>
    </w:rPr>
  </w:style>
  <w:style w:type="paragraph" w:customStyle="1" w:styleId="MDPI15academiceditor">
    <w:name w:val="MDPI_1.5_academic_editor"/>
    <w:qFormat/>
    <w:rsid w:val="00FF4921"/>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6affiliation">
    <w:name w:val="MDPI_1.6_affiliation"/>
    <w:qFormat/>
    <w:rsid w:val="00FF4921"/>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FF4921"/>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FF4921"/>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classification">
    <w:name w:val="MDPI_1.9_classification"/>
    <w:qFormat/>
    <w:rsid w:val="00FF4921"/>
    <w:pPr>
      <w:spacing w:before="240" w:line="260" w:lineRule="atLeast"/>
      <w:ind w:left="113"/>
      <w:jc w:val="both"/>
    </w:pPr>
    <w:rPr>
      <w:rFonts w:ascii="Palatino Linotype" w:eastAsia="Times New Roman" w:hAnsi="Palatino Linotype"/>
      <w:b/>
      <w:color w:val="000000"/>
      <w:sz w:val="20"/>
      <w:szCs w:val="22"/>
      <w:lang w:val="en-US" w:eastAsia="de-DE" w:bidi="en-US"/>
    </w:rPr>
  </w:style>
  <w:style w:type="paragraph" w:customStyle="1" w:styleId="MDPI19line">
    <w:name w:val="MDPI_1.9_line"/>
    <w:qFormat/>
    <w:rsid w:val="00FF492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lang w:val="en-US" w:eastAsia="de-DE" w:bidi="en-US"/>
    </w:rPr>
  </w:style>
  <w:style w:type="paragraph" w:customStyle="1" w:styleId="MDPI21heading1">
    <w:name w:val="MDPI_2.1_heading1"/>
    <w:qFormat/>
    <w:rsid w:val="00FF4921"/>
    <w:pPr>
      <w:adjustRightInd w:val="0"/>
      <w:snapToGrid w:val="0"/>
      <w:spacing w:before="240" w:after="60" w:line="228" w:lineRule="auto"/>
      <w:ind w:left="2608"/>
      <w:outlineLvl w:val="0"/>
    </w:pPr>
    <w:rPr>
      <w:rFonts w:ascii="Palatino Linotype" w:eastAsia="Times New Roman" w:hAnsi="Palatino Linotype"/>
      <w:b/>
      <w:snapToGrid w:val="0"/>
      <w:color w:val="000000"/>
      <w:sz w:val="20"/>
      <w:szCs w:val="22"/>
      <w:lang w:val="en-US" w:eastAsia="de-DE" w:bidi="en-US"/>
    </w:rPr>
  </w:style>
  <w:style w:type="paragraph" w:customStyle="1" w:styleId="MDPI22heading2">
    <w:name w:val="MDPI_2.2_heading2"/>
    <w:qFormat/>
    <w:rsid w:val="00FF4921"/>
    <w:pPr>
      <w:adjustRightInd w:val="0"/>
      <w:snapToGrid w:val="0"/>
      <w:spacing w:before="60" w:after="60" w:line="228" w:lineRule="auto"/>
      <w:ind w:left="2608"/>
      <w:outlineLvl w:val="1"/>
    </w:pPr>
    <w:rPr>
      <w:rFonts w:ascii="Palatino Linotype" w:eastAsia="Times New Roman" w:hAnsi="Palatino Linotype"/>
      <w:i/>
      <w:noProof/>
      <w:snapToGrid w:val="0"/>
      <w:color w:val="000000"/>
      <w:sz w:val="20"/>
      <w:szCs w:val="22"/>
      <w:lang w:val="en-US" w:eastAsia="de-DE" w:bidi="en-US"/>
    </w:rPr>
  </w:style>
  <w:style w:type="paragraph" w:customStyle="1" w:styleId="MDPI23heading3">
    <w:name w:val="MDPI_2.3_heading3"/>
    <w:qFormat/>
    <w:rsid w:val="00FF4921"/>
    <w:pPr>
      <w:adjustRightInd w:val="0"/>
      <w:snapToGrid w:val="0"/>
      <w:spacing w:before="60" w:after="60" w:line="228" w:lineRule="auto"/>
      <w:ind w:left="2608"/>
      <w:outlineLvl w:val="2"/>
    </w:pPr>
    <w:rPr>
      <w:rFonts w:ascii="Palatino Linotype" w:eastAsia="Times New Roman" w:hAnsi="Palatino Linotype"/>
      <w:snapToGrid w:val="0"/>
      <w:color w:val="000000"/>
      <w:sz w:val="20"/>
      <w:szCs w:val="22"/>
      <w:lang w:val="en-US" w:eastAsia="de-DE" w:bidi="en-US"/>
    </w:rPr>
  </w:style>
  <w:style w:type="paragraph" w:customStyle="1" w:styleId="MDPI31text">
    <w:name w:val="MDPI_3.1_text"/>
    <w:qFormat/>
    <w:rsid w:val="00FF4921"/>
    <w:pPr>
      <w:adjustRightInd w:val="0"/>
      <w:snapToGrid w:val="0"/>
      <w:spacing w:line="228" w:lineRule="auto"/>
      <w:ind w:left="2608" w:firstLine="425"/>
      <w:jc w:val="both"/>
    </w:pPr>
    <w:rPr>
      <w:rFonts w:ascii="Palatino Linotype" w:eastAsia="Times New Roman" w:hAnsi="Palatino Linotype"/>
      <w:snapToGrid w:val="0"/>
      <w:color w:val="000000"/>
      <w:sz w:val="20"/>
      <w:szCs w:val="22"/>
      <w:lang w:val="en-US" w:eastAsia="de-DE" w:bidi="en-US"/>
    </w:rPr>
  </w:style>
  <w:style w:type="paragraph" w:customStyle="1" w:styleId="MDPI32textnoindent">
    <w:name w:val="MDPI_3.2_text_no_indent"/>
    <w:basedOn w:val="MDPI31text"/>
    <w:qFormat/>
    <w:rsid w:val="00FF4921"/>
    <w:pPr>
      <w:ind w:firstLine="0"/>
    </w:pPr>
  </w:style>
  <w:style w:type="paragraph" w:customStyle="1" w:styleId="MDPI33textspaceafter">
    <w:name w:val="MDPI_3.3_text_space_after"/>
    <w:qFormat/>
    <w:rsid w:val="00FF4921"/>
    <w:pPr>
      <w:adjustRightInd w:val="0"/>
      <w:snapToGrid w:val="0"/>
      <w:spacing w:after="240" w:line="228" w:lineRule="auto"/>
      <w:ind w:left="2608"/>
      <w:jc w:val="both"/>
    </w:pPr>
    <w:rPr>
      <w:rFonts w:ascii="Palatino Linotype" w:eastAsia="Times New Roman" w:hAnsi="Palatino Linotype"/>
      <w:snapToGrid w:val="0"/>
      <w:color w:val="000000"/>
      <w:sz w:val="20"/>
      <w:szCs w:val="22"/>
      <w:lang w:val="en-US" w:eastAsia="de-DE" w:bidi="en-US"/>
    </w:rPr>
  </w:style>
  <w:style w:type="paragraph" w:customStyle="1" w:styleId="MDPI34textspacebefore">
    <w:name w:val="MDPI_3.4_text_space_before"/>
    <w:qFormat/>
    <w:rsid w:val="00FF4921"/>
    <w:pPr>
      <w:adjustRightInd w:val="0"/>
      <w:snapToGrid w:val="0"/>
      <w:spacing w:before="240" w:line="228" w:lineRule="auto"/>
      <w:ind w:left="2608"/>
      <w:jc w:val="both"/>
    </w:pPr>
    <w:rPr>
      <w:rFonts w:ascii="Palatino Linotype" w:eastAsia="Times New Roman" w:hAnsi="Palatino Linotype"/>
      <w:snapToGrid w:val="0"/>
      <w:color w:val="000000"/>
      <w:sz w:val="20"/>
      <w:szCs w:val="22"/>
      <w:lang w:val="en-US" w:eastAsia="de-DE" w:bidi="en-US"/>
    </w:rPr>
  </w:style>
  <w:style w:type="paragraph" w:customStyle="1" w:styleId="MDPI35textbeforelist">
    <w:name w:val="MDPI_3.5_text_before_list"/>
    <w:qFormat/>
    <w:rsid w:val="00FF4921"/>
    <w:pPr>
      <w:adjustRightInd w:val="0"/>
      <w:snapToGrid w:val="0"/>
      <w:spacing w:line="228" w:lineRule="auto"/>
      <w:ind w:left="2608" w:firstLine="425"/>
      <w:jc w:val="both"/>
    </w:pPr>
    <w:rPr>
      <w:rFonts w:ascii="Palatino Linotype" w:eastAsia="Times New Roman" w:hAnsi="Palatino Linotype"/>
      <w:snapToGrid w:val="0"/>
      <w:color w:val="000000"/>
      <w:sz w:val="20"/>
      <w:szCs w:val="22"/>
      <w:lang w:val="en-US" w:eastAsia="de-DE" w:bidi="en-US"/>
    </w:rPr>
  </w:style>
  <w:style w:type="paragraph" w:customStyle="1" w:styleId="MDPI36textafterlist">
    <w:name w:val="MDPI_3.6_text_after_list"/>
    <w:qFormat/>
    <w:rsid w:val="00FF4921"/>
    <w:pPr>
      <w:adjustRightInd w:val="0"/>
      <w:snapToGrid w:val="0"/>
      <w:spacing w:before="120" w:line="228" w:lineRule="auto"/>
      <w:ind w:left="2608"/>
      <w:jc w:val="both"/>
    </w:pPr>
    <w:rPr>
      <w:rFonts w:ascii="Palatino Linotype" w:eastAsia="Times New Roman" w:hAnsi="Palatino Linotype"/>
      <w:snapToGrid w:val="0"/>
      <w:color w:val="000000"/>
      <w:sz w:val="20"/>
      <w:szCs w:val="22"/>
      <w:lang w:val="en-US" w:eastAsia="de-DE" w:bidi="en-US"/>
    </w:rPr>
  </w:style>
  <w:style w:type="paragraph" w:customStyle="1" w:styleId="MDPI37itemize">
    <w:name w:val="MDPI_3.7_itemize"/>
    <w:qFormat/>
    <w:rsid w:val="00FF4921"/>
    <w:pPr>
      <w:numPr>
        <w:numId w:val="1"/>
      </w:numPr>
      <w:adjustRightInd w:val="0"/>
      <w:snapToGrid w:val="0"/>
      <w:spacing w:line="228" w:lineRule="auto"/>
      <w:jc w:val="both"/>
    </w:pPr>
    <w:rPr>
      <w:rFonts w:ascii="Palatino Linotype" w:eastAsia="Times New Roman" w:hAnsi="Palatino Linotype"/>
      <w:color w:val="000000"/>
      <w:sz w:val="20"/>
      <w:szCs w:val="22"/>
      <w:lang w:val="en-US" w:eastAsia="de-DE" w:bidi="en-US"/>
    </w:rPr>
  </w:style>
  <w:style w:type="paragraph" w:customStyle="1" w:styleId="MDPI38bullet">
    <w:name w:val="MDPI_3.8_bullet"/>
    <w:qFormat/>
    <w:rsid w:val="00FF4921"/>
    <w:pPr>
      <w:numPr>
        <w:numId w:val="2"/>
      </w:numPr>
      <w:adjustRightInd w:val="0"/>
      <w:snapToGrid w:val="0"/>
      <w:spacing w:line="228" w:lineRule="auto"/>
      <w:jc w:val="both"/>
    </w:pPr>
    <w:rPr>
      <w:rFonts w:ascii="Palatino Linotype" w:eastAsia="Times New Roman" w:hAnsi="Palatino Linotype"/>
      <w:color w:val="000000"/>
      <w:sz w:val="20"/>
      <w:szCs w:val="22"/>
      <w:lang w:val="en-US" w:eastAsia="de-DE" w:bidi="en-US"/>
    </w:rPr>
  </w:style>
  <w:style w:type="paragraph" w:customStyle="1" w:styleId="MDPI39equation">
    <w:name w:val="MDPI_3.9_equation"/>
    <w:qFormat/>
    <w:rsid w:val="00FF4921"/>
    <w:pPr>
      <w:adjustRightInd w:val="0"/>
      <w:snapToGrid w:val="0"/>
      <w:spacing w:before="120" w:after="120" w:line="260" w:lineRule="atLeast"/>
      <w:ind w:left="709"/>
      <w:jc w:val="center"/>
    </w:pPr>
    <w:rPr>
      <w:rFonts w:ascii="Palatino Linotype" w:eastAsia="Times New Roman" w:hAnsi="Palatino Linotype"/>
      <w:snapToGrid w:val="0"/>
      <w:color w:val="000000"/>
      <w:sz w:val="20"/>
      <w:szCs w:val="22"/>
      <w:lang w:val="en-US" w:eastAsia="de-DE" w:bidi="en-US"/>
    </w:rPr>
  </w:style>
  <w:style w:type="paragraph" w:customStyle="1" w:styleId="MDPI3aequationnumber">
    <w:name w:val="MDPI_3.a_equation_number"/>
    <w:qFormat/>
    <w:rsid w:val="00FF4921"/>
    <w:pPr>
      <w:spacing w:before="120" w:after="120"/>
      <w:jc w:val="right"/>
    </w:pPr>
    <w:rPr>
      <w:rFonts w:ascii="Palatino Linotype" w:eastAsia="Times New Roman" w:hAnsi="Palatino Linotype"/>
      <w:snapToGrid w:val="0"/>
      <w:color w:val="000000"/>
      <w:sz w:val="20"/>
      <w:szCs w:val="22"/>
      <w:lang w:val="en-US" w:eastAsia="de-DE" w:bidi="en-US"/>
    </w:rPr>
  </w:style>
  <w:style w:type="paragraph" w:customStyle="1" w:styleId="MDPI411onetablecaption">
    <w:name w:val="MDPI_4.1.1_one_table_caption"/>
    <w:qFormat/>
    <w:rsid w:val="00FF4921"/>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val="en-US" w:eastAsia="zh-CN" w:bidi="en-US"/>
    </w:rPr>
  </w:style>
  <w:style w:type="paragraph" w:customStyle="1" w:styleId="MDPI41tablecaption">
    <w:name w:val="MDPI_4.1_table_caption"/>
    <w:qFormat/>
    <w:rsid w:val="00FF4921"/>
    <w:pPr>
      <w:adjustRightInd w:val="0"/>
      <w:snapToGrid w:val="0"/>
      <w:spacing w:before="240" w:after="120" w:line="228" w:lineRule="auto"/>
      <w:ind w:left="2608"/>
    </w:pPr>
    <w:rPr>
      <w:rFonts w:ascii="Palatino Linotype" w:eastAsia="Times New Roman" w:hAnsi="Palatino Linotype" w:cstheme="minorBidi"/>
      <w:color w:val="000000"/>
      <w:sz w:val="18"/>
      <w:szCs w:val="22"/>
      <w:lang w:val="en-US" w:eastAsia="de-DE" w:bidi="en-US"/>
    </w:rPr>
  </w:style>
  <w:style w:type="table" w:customStyle="1" w:styleId="MDPI41threelinetable">
    <w:name w:val="MDPI_4.1_three_line_table"/>
    <w:basedOn w:val="TableNormal"/>
    <w:uiPriority w:val="99"/>
    <w:rsid w:val="00FF4921"/>
    <w:pPr>
      <w:adjustRightInd w:val="0"/>
      <w:snapToGrid w:val="0"/>
      <w:jc w:val="center"/>
    </w:pPr>
    <w:rPr>
      <w:rFonts w:ascii="Palatino Linotype" w:eastAsiaTheme="minorEastAsia" w:hAnsi="Palatino Linotype"/>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qFormat/>
    <w:rsid w:val="00FF4921"/>
    <w:pPr>
      <w:adjustRightInd w:val="0"/>
      <w:snapToGrid w:val="0"/>
      <w:jc w:val="center"/>
    </w:pPr>
    <w:rPr>
      <w:rFonts w:ascii="Palatino Linotype" w:eastAsia="Times New Roman" w:hAnsi="Palatino Linotype"/>
      <w:snapToGrid w:val="0"/>
      <w:color w:val="000000"/>
      <w:sz w:val="20"/>
      <w:szCs w:val="20"/>
      <w:lang w:val="en-US" w:eastAsia="de-DE" w:bidi="en-US"/>
    </w:rPr>
  </w:style>
  <w:style w:type="paragraph" w:customStyle="1" w:styleId="MDPI43tablefooter">
    <w:name w:val="MDPI_4.3_table_footer"/>
    <w:next w:val="MDPI31text"/>
    <w:qFormat/>
    <w:rsid w:val="00FF4921"/>
    <w:pPr>
      <w:adjustRightInd w:val="0"/>
      <w:snapToGrid w:val="0"/>
      <w:spacing w:after="24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1onefigurecaption">
    <w:name w:val="MDPI_5.1.1_one_figure_caption"/>
    <w:qFormat/>
    <w:rsid w:val="00FF4921"/>
    <w:pPr>
      <w:adjustRightInd w:val="0"/>
      <w:snapToGrid w:val="0"/>
      <w:spacing w:before="240" w:after="120" w:line="260" w:lineRule="atLeast"/>
      <w:jc w:val="center"/>
    </w:pPr>
    <w:rPr>
      <w:rFonts w:ascii="Palatino Linotype" w:eastAsiaTheme="minorEastAsia" w:hAnsi="Palatino Linotype"/>
      <w:noProof/>
      <w:color w:val="000000"/>
      <w:sz w:val="18"/>
      <w:szCs w:val="20"/>
      <w:lang w:val="en-US" w:eastAsia="zh-CN" w:bidi="en-US"/>
    </w:rPr>
  </w:style>
  <w:style w:type="paragraph" w:customStyle="1" w:styleId="MDPI51figurecaption">
    <w:name w:val="MDPI_5.1_figure_caption"/>
    <w:qFormat/>
    <w:rsid w:val="00FF4921"/>
    <w:pPr>
      <w:adjustRightInd w:val="0"/>
      <w:snapToGrid w:val="0"/>
      <w:spacing w:before="120" w:after="240" w:line="228" w:lineRule="auto"/>
      <w:ind w:left="2608"/>
    </w:pPr>
    <w:rPr>
      <w:rFonts w:ascii="Palatino Linotype" w:eastAsia="Times New Roman" w:hAnsi="Palatino Linotype"/>
      <w:color w:val="000000"/>
      <w:sz w:val="18"/>
      <w:szCs w:val="20"/>
      <w:lang w:val="en-US" w:eastAsia="de-DE" w:bidi="en-US"/>
    </w:rPr>
  </w:style>
  <w:style w:type="paragraph" w:customStyle="1" w:styleId="MDPI52figure">
    <w:name w:val="MDPI_5.2_figure"/>
    <w:qFormat/>
    <w:rsid w:val="00FF4921"/>
    <w:pPr>
      <w:adjustRightInd w:val="0"/>
      <w:snapToGrid w:val="0"/>
      <w:spacing w:before="240" w:after="120"/>
      <w:jc w:val="center"/>
    </w:pPr>
    <w:rPr>
      <w:rFonts w:ascii="Palatino Linotype" w:eastAsia="Times New Roman" w:hAnsi="Palatino Linotype"/>
      <w:snapToGrid w:val="0"/>
      <w:color w:val="000000"/>
      <w:sz w:val="20"/>
      <w:szCs w:val="20"/>
      <w:lang w:val="en-US" w:eastAsia="de-DE" w:bidi="en-US"/>
    </w:rPr>
  </w:style>
  <w:style w:type="paragraph" w:customStyle="1" w:styleId="MDPI61Citation">
    <w:name w:val="MDPI_6.1_Citation"/>
    <w:qFormat/>
    <w:rsid w:val="00FF4921"/>
    <w:pPr>
      <w:adjustRightInd w:val="0"/>
      <w:snapToGrid w:val="0"/>
      <w:spacing w:line="240" w:lineRule="atLeast"/>
      <w:ind w:right="113"/>
    </w:pPr>
    <w:rPr>
      <w:rFonts w:ascii="Palatino Linotype" w:eastAsiaTheme="minorEastAsia" w:hAnsi="Palatino Linotype" w:cstheme="minorBidi"/>
      <w:sz w:val="14"/>
      <w:szCs w:val="22"/>
      <w:lang w:val="en-US" w:eastAsia="zh-CN"/>
    </w:rPr>
  </w:style>
  <w:style w:type="paragraph" w:customStyle="1" w:styleId="MDPI61Supplementary">
    <w:name w:val="MDPI_6.1_Supplementary"/>
    <w:basedOn w:val="Normal"/>
    <w:qFormat/>
    <w:rsid w:val="00FF4921"/>
    <w:pPr>
      <w:adjustRightInd w:val="0"/>
      <w:snapToGrid w:val="0"/>
      <w:spacing w:before="240" w:line="200" w:lineRule="atLeast"/>
      <w:jc w:val="both"/>
    </w:pPr>
    <w:rPr>
      <w:rFonts w:ascii="Palatino Linotype" w:hAnsi="Palatino Linotype"/>
      <w:snapToGrid w:val="0"/>
      <w:color w:val="000000"/>
      <w:sz w:val="18"/>
      <w:szCs w:val="20"/>
      <w:lang w:val="en-US" w:eastAsia="en-US" w:bidi="en-US"/>
    </w:rPr>
  </w:style>
  <w:style w:type="paragraph" w:customStyle="1" w:styleId="MDPI62Acknowledgments">
    <w:name w:val="MDPI_6.2_Acknowledgments"/>
    <w:qFormat/>
    <w:rsid w:val="00FF4921"/>
    <w:pPr>
      <w:adjustRightInd w:val="0"/>
      <w:snapToGrid w:val="0"/>
      <w:spacing w:before="120" w:line="200" w:lineRule="atLeast"/>
      <w:jc w:val="both"/>
    </w:pPr>
    <w:rPr>
      <w:rFonts w:ascii="Palatino Linotype" w:eastAsia="Times New Roman" w:hAnsi="Palatino Linotype"/>
      <w:snapToGrid w:val="0"/>
      <w:color w:val="000000"/>
      <w:sz w:val="18"/>
      <w:szCs w:val="20"/>
      <w:lang w:val="en-US" w:eastAsia="de-DE" w:bidi="en-US"/>
    </w:rPr>
  </w:style>
  <w:style w:type="paragraph" w:customStyle="1" w:styleId="MDPI62BackMatter">
    <w:name w:val="MDPI_6.2_BackMatter"/>
    <w:qFormat/>
    <w:rsid w:val="00FF4921"/>
    <w:pPr>
      <w:adjustRightInd w:val="0"/>
      <w:snapToGrid w:val="0"/>
      <w:spacing w:after="120" w:line="228" w:lineRule="auto"/>
      <w:ind w:left="2608"/>
      <w:jc w:val="both"/>
    </w:pPr>
    <w:rPr>
      <w:rFonts w:ascii="Palatino Linotype" w:eastAsia="Times New Roman" w:hAnsi="Palatino Linotype"/>
      <w:snapToGrid w:val="0"/>
      <w:color w:val="000000"/>
      <w:sz w:val="18"/>
      <w:szCs w:val="20"/>
      <w:lang w:val="en-US" w:bidi="en-US"/>
    </w:rPr>
  </w:style>
  <w:style w:type="paragraph" w:customStyle="1" w:styleId="MDPI63AuthorContributions">
    <w:name w:val="MDPI_6.3_AuthorContributions"/>
    <w:basedOn w:val="MDPI62Acknowledgments"/>
    <w:qFormat/>
    <w:rsid w:val="00FF4921"/>
    <w:rPr>
      <w:rFonts w:eastAsia="SimSun"/>
      <w:color w:val="auto"/>
      <w:lang w:eastAsia="en-US"/>
    </w:rPr>
  </w:style>
  <w:style w:type="paragraph" w:customStyle="1" w:styleId="MDPI63Notes">
    <w:name w:val="MDPI_6.3_Notes"/>
    <w:qFormat/>
    <w:rsid w:val="00FF4921"/>
    <w:pPr>
      <w:adjustRightInd w:val="0"/>
      <w:snapToGrid w:val="0"/>
      <w:spacing w:after="120" w:line="240" w:lineRule="atLeast"/>
      <w:ind w:right="113"/>
    </w:pPr>
    <w:rPr>
      <w:rFonts w:ascii="Palatino Linotype" w:hAnsi="Palatino Linotype"/>
      <w:snapToGrid w:val="0"/>
      <w:color w:val="000000" w:themeColor="text1"/>
      <w:sz w:val="14"/>
      <w:szCs w:val="20"/>
      <w:lang w:val="en-US" w:bidi="en-US"/>
    </w:rPr>
  </w:style>
  <w:style w:type="paragraph" w:customStyle="1" w:styleId="MDPI64CoI">
    <w:name w:val="MDPI_6.4_CoI"/>
    <w:basedOn w:val="MDPI62Acknowledgments"/>
    <w:qFormat/>
    <w:rsid w:val="00FF4921"/>
  </w:style>
  <w:style w:type="paragraph" w:customStyle="1" w:styleId="MDPI71References">
    <w:name w:val="MDPI_7.1_References"/>
    <w:qFormat/>
    <w:rsid w:val="00FF4921"/>
    <w:pPr>
      <w:adjustRightInd w:val="0"/>
      <w:snapToGrid w:val="0"/>
      <w:spacing w:line="228" w:lineRule="auto"/>
      <w:ind w:left="425" w:hanging="425"/>
      <w:jc w:val="both"/>
    </w:pPr>
    <w:rPr>
      <w:rFonts w:ascii="Palatino Linotype" w:eastAsia="Times New Roman" w:hAnsi="Palatino Linotype"/>
      <w:color w:val="000000"/>
      <w:sz w:val="18"/>
      <w:szCs w:val="20"/>
      <w:lang w:val="en-US" w:eastAsia="de-DE" w:bidi="en-US"/>
    </w:rPr>
  </w:style>
  <w:style w:type="paragraph" w:customStyle="1" w:styleId="MDPI72Copyright">
    <w:name w:val="MDPI_7.2_Copyright"/>
    <w:qFormat/>
    <w:rsid w:val="00FF4921"/>
    <w:pPr>
      <w:adjustRightInd w:val="0"/>
      <w:snapToGrid w:val="0"/>
      <w:spacing w:before="240" w:line="240" w:lineRule="atLeast"/>
      <w:ind w:right="113"/>
    </w:pPr>
    <w:rPr>
      <w:rFonts w:ascii="Palatino Linotype" w:eastAsia="Times New Roman" w:hAnsi="Palatino Linotype"/>
      <w:noProof/>
      <w:snapToGrid w:val="0"/>
      <w:color w:val="000000"/>
      <w:spacing w:val="-2"/>
      <w:sz w:val="14"/>
      <w:szCs w:val="20"/>
      <w:lang w:eastAsia="en-GB"/>
    </w:rPr>
  </w:style>
  <w:style w:type="paragraph" w:customStyle="1" w:styleId="MDPI73CopyrightImage">
    <w:name w:val="MDPI_7.3_CopyrightImage"/>
    <w:rsid w:val="00FF4921"/>
    <w:pPr>
      <w:adjustRightInd w:val="0"/>
      <w:snapToGrid w:val="0"/>
      <w:spacing w:after="100" w:line="260" w:lineRule="atLeast"/>
      <w:jc w:val="right"/>
    </w:pPr>
    <w:rPr>
      <w:rFonts w:ascii="Palatino Linotype" w:eastAsia="Times New Roman" w:hAnsi="Palatino Linotype"/>
      <w:color w:val="000000"/>
      <w:sz w:val="20"/>
      <w:szCs w:val="20"/>
      <w:lang w:val="en-US" w:eastAsia="de-CH"/>
    </w:rPr>
  </w:style>
  <w:style w:type="paragraph" w:customStyle="1" w:styleId="MDPI74PublishersNote">
    <w:name w:val="MDPI_7.4_Publisher'sNote"/>
    <w:qFormat/>
    <w:rsid w:val="00FF4921"/>
    <w:pPr>
      <w:adjustRightInd w:val="0"/>
      <w:snapToGrid w:val="0"/>
      <w:spacing w:before="240" w:after="240" w:line="200" w:lineRule="atLeast"/>
    </w:pPr>
    <w:rPr>
      <w:rFonts w:ascii="Palatino Linotype" w:hAnsi="Palatino Linotype"/>
      <w:sz w:val="18"/>
      <w:szCs w:val="22"/>
      <w:lang w:val="en-US" w:eastAsia="zh-CN"/>
    </w:rPr>
  </w:style>
  <w:style w:type="paragraph" w:customStyle="1" w:styleId="MDPI81theorem">
    <w:name w:val="MDPI_8.1_theorem"/>
    <w:qFormat/>
    <w:rsid w:val="00FF4921"/>
    <w:pPr>
      <w:adjustRightInd w:val="0"/>
      <w:snapToGrid w:val="0"/>
      <w:spacing w:line="228" w:lineRule="auto"/>
      <w:ind w:left="2608"/>
      <w:jc w:val="both"/>
    </w:pPr>
    <w:rPr>
      <w:rFonts w:ascii="Palatino Linotype" w:eastAsia="Times New Roman" w:hAnsi="Palatino Linotype"/>
      <w:i/>
      <w:snapToGrid w:val="0"/>
      <w:color w:val="000000"/>
      <w:sz w:val="20"/>
      <w:szCs w:val="22"/>
      <w:lang w:val="en-US" w:eastAsia="de-DE" w:bidi="en-US"/>
    </w:rPr>
  </w:style>
  <w:style w:type="paragraph" w:customStyle="1" w:styleId="MDPI82proof">
    <w:name w:val="MDPI_8.2_proof"/>
    <w:qFormat/>
    <w:rsid w:val="00FF4921"/>
    <w:pPr>
      <w:adjustRightInd w:val="0"/>
      <w:snapToGrid w:val="0"/>
      <w:spacing w:line="228" w:lineRule="auto"/>
      <w:ind w:left="2608"/>
      <w:jc w:val="both"/>
    </w:pPr>
    <w:rPr>
      <w:rFonts w:ascii="Palatino Linotype" w:eastAsia="Times New Roman" w:hAnsi="Palatino Linotype"/>
      <w:snapToGrid w:val="0"/>
      <w:color w:val="000000"/>
      <w:sz w:val="20"/>
      <w:szCs w:val="22"/>
      <w:lang w:val="en-US" w:eastAsia="de-DE" w:bidi="en-US"/>
    </w:rPr>
  </w:style>
  <w:style w:type="paragraph" w:customStyle="1" w:styleId="MDPIequationFram">
    <w:name w:val="MDPI_equationFram"/>
    <w:qFormat/>
    <w:rsid w:val="00FF4921"/>
    <w:pPr>
      <w:adjustRightInd w:val="0"/>
      <w:snapToGrid w:val="0"/>
      <w:spacing w:before="120" w:after="120"/>
      <w:jc w:val="center"/>
    </w:pPr>
    <w:rPr>
      <w:rFonts w:ascii="Palatino Linotype" w:eastAsia="Times New Roman" w:hAnsi="Palatino Linotype"/>
      <w:snapToGrid w:val="0"/>
      <w:color w:val="000000"/>
      <w:sz w:val="20"/>
      <w:szCs w:val="22"/>
      <w:lang w:val="en-US" w:eastAsia="de-DE" w:bidi="en-US"/>
    </w:rPr>
  </w:style>
  <w:style w:type="paragraph" w:customStyle="1" w:styleId="MDPIfooter">
    <w:name w:val="MDPI_footer"/>
    <w:qFormat/>
    <w:rsid w:val="00FF4921"/>
    <w:pPr>
      <w:adjustRightInd w:val="0"/>
      <w:snapToGrid w:val="0"/>
      <w:spacing w:before="120" w:line="260" w:lineRule="atLeast"/>
      <w:jc w:val="center"/>
    </w:pPr>
    <w:rPr>
      <w:rFonts w:ascii="Palatino Linotype" w:eastAsia="Times New Roman" w:hAnsi="Palatino Linotype"/>
      <w:color w:val="000000"/>
      <w:sz w:val="20"/>
      <w:szCs w:val="20"/>
      <w:lang w:val="en-US" w:eastAsia="de-DE"/>
    </w:rPr>
  </w:style>
  <w:style w:type="paragraph" w:customStyle="1" w:styleId="MDPIfooterfirstpage">
    <w:name w:val="MDPI_footer_firstpage"/>
    <w:qFormat/>
    <w:rsid w:val="00FF4921"/>
    <w:pPr>
      <w:tabs>
        <w:tab w:val="right" w:pos="8845"/>
      </w:tabs>
      <w:spacing w:line="160" w:lineRule="exact"/>
    </w:pPr>
    <w:rPr>
      <w:rFonts w:ascii="Palatino Linotype" w:eastAsia="Times New Roman" w:hAnsi="Palatino Linotype"/>
      <w:color w:val="000000"/>
      <w:sz w:val="16"/>
      <w:szCs w:val="20"/>
      <w:lang w:val="en-US" w:eastAsia="de-DE"/>
    </w:rPr>
  </w:style>
  <w:style w:type="paragraph" w:customStyle="1" w:styleId="MDPIheader">
    <w:name w:val="MDPI_header"/>
    <w:qFormat/>
    <w:rsid w:val="00FF4921"/>
    <w:pPr>
      <w:adjustRightInd w:val="0"/>
      <w:snapToGrid w:val="0"/>
      <w:spacing w:after="240" w:line="260" w:lineRule="atLeast"/>
      <w:jc w:val="both"/>
    </w:pPr>
    <w:rPr>
      <w:rFonts w:ascii="Palatino Linotype" w:eastAsia="Times New Roman" w:hAnsi="Palatino Linotype"/>
      <w:iCs/>
      <w:color w:val="000000"/>
      <w:sz w:val="16"/>
      <w:szCs w:val="20"/>
      <w:lang w:val="en-US" w:eastAsia="de-DE"/>
    </w:rPr>
  </w:style>
  <w:style w:type="paragraph" w:customStyle="1" w:styleId="MDPIheadercitation">
    <w:name w:val="MDPI_header_citation"/>
    <w:rsid w:val="00FF4921"/>
    <w:pPr>
      <w:spacing w:after="240"/>
    </w:pPr>
    <w:rPr>
      <w:rFonts w:ascii="Palatino Linotype" w:eastAsia="Times New Roman" w:hAnsi="Palatino Linotype"/>
      <w:snapToGrid w:val="0"/>
      <w:color w:val="000000"/>
      <w:sz w:val="18"/>
      <w:szCs w:val="20"/>
      <w:lang w:val="en-US" w:eastAsia="de-DE" w:bidi="en-US"/>
    </w:rPr>
  </w:style>
  <w:style w:type="paragraph" w:customStyle="1" w:styleId="MDPIheaderjournallogo">
    <w:name w:val="MDPI_header_journal_logo"/>
    <w:qFormat/>
    <w:rsid w:val="00FF4921"/>
    <w:pPr>
      <w:adjustRightInd w:val="0"/>
      <w:snapToGrid w:val="0"/>
      <w:spacing w:line="260" w:lineRule="atLeast"/>
      <w:jc w:val="both"/>
    </w:pPr>
    <w:rPr>
      <w:rFonts w:ascii="Palatino Linotype" w:eastAsia="Times New Roman" w:hAnsi="Palatino Linotype"/>
      <w:i/>
      <w:color w:val="000000"/>
      <w:szCs w:val="22"/>
      <w:lang w:val="en-US" w:eastAsia="de-CH"/>
    </w:rPr>
  </w:style>
  <w:style w:type="paragraph" w:customStyle="1" w:styleId="MDPIheadermdpilogo">
    <w:name w:val="MDPI_header_mdpi_logo"/>
    <w:qFormat/>
    <w:rsid w:val="00FF4921"/>
    <w:pPr>
      <w:adjustRightInd w:val="0"/>
      <w:snapToGrid w:val="0"/>
      <w:spacing w:line="260" w:lineRule="atLeast"/>
      <w:jc w:val="right"/>
    </w:pPr>
    <w:rPr>
      <w:rFonts w:ascii="Palatino Linotype" w:eastAsia="Times New Roman" w:hAnsi="Palatino Linotype"/>
      <w:color w:val="000000"/>
      <w:szCs w:val="22"/>
      <w:lang w:val="en-US" w:eastAsia="de-CH"/>
    </w:rPr>
  </w:style>
  <w:style w:type="table" w:customStyle="1" w:styleId="MDPITable">
    <w:name w:val="MDPI_Table"/>
    <w:basedOn w:val="TableNormal"/>
    <w:uiPriority w:val="99"/>
    <w:rsid w:val="00FF4921"/>
    <w:rPr>
      <w:rFonts w:ascii="Palatino Linotype" w:hAnsi="Palatino Linotype"/>
      <w:color w:val="000000" w:themeColor="text1"/>
      <w:sz w:val="20"/>
      <w:szCs w:val="20"/>
      <w:lang w:val="en-CA"/>
    </w:rPr>
    <w:tblPr>
      <w:tblCellMar>
        <w:left w:w="0" w:type="dxa"/>
        <w:right w:w="0" w:type="dxa"/>
      </w:tblCellMar>
    </w:tblPr>
  </w:style>
  <w:style w:type="paragraph" w:customStyle="1" w:styleId="MDPItext">
    <w:name w:val="MDPI_text"/>
    <w:qFormat/>
    <w:rsid w:val="00FF4921"/>
    <w:pPr>
      <w:spacing w:line="260" w:lineRule="atLeast"/>
      <w:ind w:left="425" w:right="425" w:firstLine="284"/>
      <w:jc w:val="both"/>
    </w:pPr>
    <w:rPr>
      <w:rFonts w:eastAsia="Times New Roman"/>
      <w:noProof/>
      <w:snapToGrid w:val="0"/>
      <w:color w:val="000000"/>
      <w:sz w:val="22"/>
      <w:szCs w:val="22"/>
      <w:lang w:val="en-US" w:eastAsia="de-DE" w:bidi="en-US"/>
    </w:rPr>
  </w:style>
  <w:style w:type="paragraph" w:customStyle="1" w:styleId="MDPItitle">
    <w:name w:val="MDPI_title"/>
    <w:qFormat/>
    <w:rsid w:val="00FF4921"/>
    <w:pPr>
      <w:adjustRightInd w:val="0"/>
      <w:snapToGrid w:val="0"/>
      <w:spacing w:after="240" w:line="260" w:lineRule="atLeast"/>
      <w:jc w:val="both"/>
    </w:pPr>
    <w:rPr>
      <w:rFonts w:ascii="Palatino Linotype" w:eastAsia="Times New Roman" w:hAnsi="Palatino Linotype"/>
      <w:b/>
      <w:snapToGrid w:val="0"/>
      <w:color w:val="000000"/>
      <w:sz w:val="36"/>
      <w:szCs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lumina.com/products/by-type/informatics-products/basespace-sequence-hub/apps/rna-seq-alignment.htm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ioinfogp.cnb.csic.es/tools/venny/index.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21</Pages>
  <Words>9784</Words>
  <Characters>55773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vt:lpstr>
    </vt:vector>
  </TitlesOfParts>
  <Company>University Of Southampton</Company>
  <LinksUpToDate>false</LinksUpToDate>
  <CharactersWithSpaces>65427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MDPI</dc:creator>
  <cp:keywords/>
  <dc:description/>
  <cp:lastModifiedBy>Graham Burdge</cp:lastModifiedBy>
  <cp:revision>11</cp:revision>
  <cp:lastPrinted>2021-06-15T06:31:00Z</cp:lastPrinted>
  <dcterms:created xsi:type="dcterms:W3CDTF">2021-07-19T07:07:00Z</dcterms:created>
  <dcterms:modified xsi:type="dcterms:W3CDTF">2021-09-02T07:54:00Z</dcterms:modified>
</cp:coreProperties>
</file>