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DA94B" w14:textId="3B4C1247" w:rsidR="00EB5346" w:rsidRPr="003C331C" w:rsidRDefault="003C331C" w:rsidP="008C59DC">
      <w:pPr>
        <w:pStyle w:val="Heading1"/>
        <w:spacing w:line="276" w:lineRule="auto"/>
        <w:ind w:left="567"/>
        <w:rPr>
          <w:lang w:val="en-GB"/>
        </w:rPr>
      </w:pPr>
      <w:bookmarkStart w:id="0" w:name="_GoBack"/>
      <w:bookmarkEnd w:id="0"/>
      <w:r w:rsidRPr="003C331C">
        <w:rPr>
          <w:lang w:val="en-GB"/>
        </w:rPr>
        <w:t>Pakistan treatment threshold</w:t>
      </w:r>
      <w:r w:rsidR="00EB5346" w:rsidRPr="003C331C">
        <w:rPr>
          <w:lang w:val="en-GB"/>
        </w:rPr>
        <w:t xml:space="preserve">.doc </w:t>
      </w:r>
    </w:p>
    <w:p w14:paraId="7604890B" w14:textId="77777777" w:rsidR="00EB5346" w:rsidRPr="003C331C" w:rsidRDefault="00EB5346" w:rsidP="00827EF0">
      <w:pPr>
        <w:ind w:left="1134"/>
        <w:outlineLvl w:val="0"/>
        <w:rPr>
          <w:i/>
          <w:sz w:val="20"/>
          <w:lang w:val="en-GB"/>
        </w:rPr>
      </w:pPr>
    </w:p>
    <w:p w14:paraId="270A734B" w14:textId="19257F4E" w:rsidR="00EB5346" w:rsidRPr="003C331C" w:rsidRDefault="007C35CF" w:rsidP="00827EF0">
      <w:pPr>
        <w:ind w:left="1134"/>
        <w:jc w:val="right"/>
        <w:rPr>
          <w:i/>
          <w:sz w:val="20"/>
          <w:lang w:val="en-GB"/>
        </w:rPr>
      </w:pPr>
      <w:r>
        <w:rPr>
          <w:i/>
          <w:sz w:val="20"/>
          <w:lang w:val="en-GB"/>
        </w:rPr>
        <w:t xml:space="preserve">21st </w:t>
      </w:r>
      <w:r w:rsidR="001E072E">
        <w:rPr>
          <w:i/>
          <w:sz w:val="20"/>
          <w:lang w:val="en-GB"/>
        </w:rPr>
        <w:t xml:space="preserve">June </w:t>
      </w:r>
      <w:r w:rsidR="001E072E" w:rsidRPr="003C331C">
        <w:rPr>
          <w:i/>
          <w:sz w:val="20"/>
          <w:lang w:val="en-GB"/>
        </w:rPr>
        <w:t>2021</w:t>
      </w:r>
    </w:p>
    <w:p w14:paraId="56F5C74E" w14:textId="2269436A" w:rsidR="00EB5346" w:rsidRPr="003C331C" w:rsidRDefault="007E60AF" w:rsidP="00827EF0">
      <w:pPr>
        <w:ind w:left="1134"/>
        <w:rPr>
          <w:i/>
          <w:sz w:val="20"/>
          <w:lang w:val="en-GB"/>
        </w:rPr>
      </w:pPr>
      <w:r w:rsidRPr="007E60AF">
        <w:rPr>
          <w:i/>
          <w:sz w:val="20"/>
          <w:lang w:val="en-GB"/>
        </w:rPr>
        <w:t>OSIN-D-21-00584</w:t>
      </w:r>
      <w:r>
        <w:rPr>
          <w:i/>
          <w:sz w:val="20"/>
          <w:lang w:val="en-GB"/>
        </w:rPr>
        <w:t xml:space="preserve"> R</w:t>
      </w:r>
      <w:r w:rsidR="00386C06">
        <w:rPr>
          <w:i/>
          <w:sz w:val="20"/>
          <w:lang w:val="en-GB"/>
        </w:rPr>
        <w:t>1</w:t>
      </w:r>
    </w:p>
    <w:p w14:paraId="2DEBEAFB" w14:textId="2734A73B" w:rsidR="00EB5346" w:rsidRPr="003C331C" w:rsidRDefault="00EB5346" w:rsidP="00D22FF7">
      <w:pPr>
        <w:ind w:left="567"/>
        <w:jc w:val="center"/>
        <w:rPr>
          <w:b/>
          <w:bCs/>
          <w:sz w:val="32"/>
          <w:szCs w:val="32"/>
          <w:lang w:val="en-GB"/>
        </w:rPr>
      </w:pPr>
      <w:r w:rsidRPr="003C331C">
        <w:rPr>
          <w:b/>
          <w:bCs/>
          <w:sz w:val="32"/>
          <w:szCs w:val="32"/>
          <w:lang w:val="en-GB"/>
        </w:rPr>
        <w:t xml:space="preserve">FRAX based </w:t>
      </w:r>
      <w:r w:rsidR="0089660F" w:rsidRPr="003C331C">
        <w:rPr>
          <w:b/>
          <w:bCs/>
          <w:sz w:val="32"/>
          <w:szCs w:val="32"/>
          <w:lang w:val="en-GB"/>
        </w:rPr>
        <w:t xml:space="preserve">intervention </w:t>
      </w:r>
      <w:r w:rsidR="00B64FE2" w:rsidRPr="003C331C">
        <w:rPr>
          <w:b/>
          <w:bCs/>
          <w:sz w:val="32"/>
          <w:szCs w:val="32"/>
          <w:lang w:val="en-GB"/>
        </w:rPr>
        <w:t xml:space="preserve">thresholds for </w:t>
      </w:r>
      <w:r w:rsidR="003C331C" w:rsidRPr="003C331C">
        <w:rPr>
          <w:b/>
          <w:bCs/>
          <w:sz w:val="32"/>
          <w:szCs w:val="32"/>
          <w:lang w:val="en-GB"/>
        </w:rPr>
        <w:t>Pakistan</w:t>
      </w:r>
    </w:p>
    <w:p w14:paraId="5FC5A2F3" w14:textId="3C0937BE" w:rsidR="00323236" w:rsidRDefault="00323236" w:rsidP="008C59DC">
      <w:pPr>
        <w:suppressAutoHyphens/>
        <w:spacing w:after="0" w:line="360" w:lineRule="auto"/>
        <w:ind w:left="567"/>
        <w:jc w:val="center"/>
        <w:rPr>
          <w:sz w:val="24"/>
          <w:szCs w:val="24"/>
          <w:vertAlign w:val="superscript"/>
          <w:lang w:val="en-GB"/>
        </w:rPr>
      </w:pPr>
      <w:bookmarkStart w:id="1" w:name="_Hlk11400915"/>
    </w:p>
    <w:p w14:paraId="48AC4A57" w14:textId="4EF248DE" w:rsidR="00323236" w:rsidRPr="00323236" w:rsidRDefault="00323236" w:rsidP="008C59DC">
      <w:pPr>
        <w:suppressAutoHyphens/>
        <w:spacing w:after="0" w:line="360" w:lineRule="auto"/>
        <w:ind w:left="567"/>
        <w:jc w:val="center"/>
        <w:rPr>
          <w:sz w:val="24"/>
          <w:szCs w:val="24"/>
          <w:lang w:val="en-GB"/>
        </w:rPr>
      </w:pPr>
      <w:r w:rsidRPr="00323236">
        <w:rPr>
          <w:sz w:val="24"/>
          <w:szCs w:val="24"/>
          <w:lang w:val="en-GB"/>
        </w:rPr>
        <w:t xml:space="preserve">H Johansson </w:t>
      </w:r>
      <w:r w:rsidRPr="00292C75">
        <w:rPr>
          <w:sz w:val="24"/>
          <w:szCs w:val="24"/>
          <w:lang w:val="en-GB"/>
        </w:rPr>
        <w:t>∙ G Naureen ∙ R Iqbal ∙ L Jafri ∙ AH Khan ∙ M Umer</w:t>
      </w:r>
      <w:r w:rsidRPr="00323236">
        <w:rPr>
          <w:sz w:val="24"/>
          <w:szCs w:val="24"/>
          <w:lang w:val="en-GB"/>
        </w:rPr>
        <w:t xml:space="preserve"> ∙ E Liu ∙ L Vandenput ∙ M Lorentzon ∙ EV McCloskey ∙ JA Kanis</w:t>
      </w:r>
      <w:r w:rsidR="00D22FF7">
        <w:rPr>
          <w:sz w:val="24"/>
          <w:szCs w:val="24"/>
          <w:lang w:val="en-GB"/>
        </w:rPr>
        <w:t xml:space="preserve"> </w:t>
      </w:r>
      <w:r w:rsidRPr="00323236">
        <w:rPr>
          <w:sz w:val="24"/>
          <w:szCs w:val="24"/>
          <w:lang w:val="en-GB"/>
        </w:rPr>
        <w:t>∙ NC Harvey</w:t>
      </w:r>
    </w:p>
    <w:p w14:paraId="448F6788" w14:textId="77777777" w:rsidR="00323236" w:rsidRDefault="00323236" w:rsidP="008C59DC">
      <w:pPr>
        <w:suppressAutoHyphens/>
        <w:spacing w:after="0" w:line="360" w:lineRule="auto"/>
        <w:ind w:left="567"/>
        <w:jc w:val="center"/>
        <w:rPr>
          <w:sz w:val="24"/>
          <w:szCs w:val="24"/>
          <w:vertAlign w:val="superscript"/>
          <w:lang w:val="en-GB"/>
        </w:rPr>
      </w:pPr>
    </w:p>
    <w:tbl>
      <w:tblPr>
        <w:tblStyle w:val="TableGrid"/>
        <w:tblW w:w="0" w:type="auto"/>
        <w:tblLook w:val="04A0" w:firstRow="1" w:lastRow="0" w:firstColumn="1" w:lastColumn="0" w:noHBand="0" w:noVBand="1"/>
      </w:tblPr>
      <w:tblGrid>
        <w:gridCol w:w="650"/>
        <w:gridCol w:w="1636"/>
        <w:gridCol w:w="3526"/>
        <w:gridCol w:w="3415"/>
      </w:tblGrid>
      <w:tr w:rsidR="0030154D" w:rsidRPr="00752FAD" w14:paraId="0DFBC2A7" w14:textId="77777777" w:rsidTr="00842928">
        <w:tc>
          <w:tcPr>
            <w:tcW w:w="650" w:type="dxa"/>
          </w:tcPr>
          <w:p w14:paraId="1A8B432F" w14:textId="77777777" w:rsidR="0030154D" w:rsidRPr="00752FAD" w:rsidRDefault="0030154D" w:rsidP="00323236">
            <w:pPr>
              <w:suppressAutoHyphens/>
              <w:spacing w:line="240" w:lineRule="auto"/>
              <w:jc w:val="right"/>
              <w:rPr>
                <w:rFonts w:cs="Calibri"/>
                <w:sz w:val="22"/>
                <w:szCs w:val="22"/>
                <w:lang w:val="en-GB"/>
              </w:rPr>
            </w:pPr>
          </w:p>
        </w:tc>
        <w:tc>
          <w:tcPr>
            <w:tcW w:w="1636" w:type="dxa"/>
          </w:tcPr>
          <w:p w14:paraId="21D4BB7D" w14:textId="775C6F5E" w:rsidR="0030154D" w:rsidRPr="00752FAD" w:rsidRDefault="00323236" w:rsidP="00323236">
            <w:pPr>
              <w:suppressAutoHyphens/>
              <w:spacing w:line="240" w:lineRule="auto"/>
              <w:rPr>
                <w:rFonts w:cs="Calibri"/>
                <w:sz w:val="22"/>
                <w:szCs w:val="22"/>
                <w:lang w:val="en-GB"/>
              </w:rPr>
            </w:pPr>
            <w:r w:rsidRPr="00752FAD">
              <w:rPr>
                <w:rFonts w:cs="Calibri"/>
                <w:sz w:val="22"/>
                <w:szCs w:val="22"/>
                <w:lang w:val="en-GB"/>
              </w:rPr>
              <w:t>Author</w:t>
            </w:r>
          </w:p>
        </w:tc>
        <w:tc>
          <w:tcPr>
            <w:tcW w:w="3526" w:type="dxa"/>
          </w:tcPr>
          <w:p w14:paraId="79297B08" w14:textId="4DD3DB6E" w:rsidR="0030154D" w:rsidRPr="00752FAD" w:rsidRDefault="00323236" w:rsidP="00323236">
            <w:pPr>
              <w:suppressAutoHyphens/>
              <w:spacing w:line="240" w:lineRule="auto"/>
              <w:rPr>
                <w:rFonts w:cs="Calibri"/>
                <w:sz w:val="22"/>
                <w:szCs w:val="22"/>
                <w:lang w:val="en-GB"/>
              </w:rPr>
            </w:pPr>
            <w:r w:rsidRPr="00752FAD">
              <w:rPr>
                <w:rFonts w:cs="Calibri"/>
                <w:sz w:val="22"/>
                <w:szCs w:val="22"/>
                <w:lang w:val="en-GB"/>
              </w:rPr>
              <w:t>Affiliation</w:t>
            </w:r>
          </w:p>
        </w:tc>
        <w:tc>
          <w:tcPr>
            <w:tcW w:w="3415" w:type="dxa"/>
          </w:tcPr>
          <w:p w14:paraId="4761CCD4" w14:textId="68F23BD9" w:rsidR="0030154D" w:rsidRPr="00752FAD" w:rsidRDefault="00323236" w:rsidP="00323236">
            <w:pPr>
              <w:suppressAutoHyphens/>
              <w:spacing w:line="240" w:lineRule="auto"/>
              <w:rPr>
                <w:rFonts w:cs="Calibri"/>
                <w:sz w:val="22"/>
                <w:szCs w:val="22"/>
                <w:lang w:val="en-GB"/>
              </w:rPr>
            </w:pPr>
            <w:r w:rsidRPr="00752FAD">
              <w:rPr>
                <w:rFonts w:cs="Calibri"/>
                <w:sz w:val="22"/>
                <w:szCs w:val="22"/>
                <w:lang w:val="en-GB"/>
              </w:rPr>
              <w:t>Contact</w:t>
            </w:r>
          </w:p>
        </w:tc>
      </w:tr>
      <w:tr w:rsidR="00BF08DF" w:rsidRPr="00752FAD" w14:paraId="553D76DE" w14:textId="77777777" w:rsidTr="00842928">
        <w:tc>
          <w:tcPr>
            <w:tcW w:w="650" w:type="dxa"/>
            <w:vMerge w:val="restart"/>
          </w:tcPr>
          <w:p w14:paraId="076FAFF2" w14:textId="58E9F480" w:rsidR="00BF08DF" w:rsidRPr="00752FAD" w:rsidRDefault="00BF08DF" w:rsidP="00323236">
            <w:pPr>
              <w:suppressAutoHyphens/>
              <w:spacing w:line="240" w:lineRule="auto"/>
              <w:jc w:val="right"/>
              <w:rPr>
                <w:rFonts w:cs="Calibri"/>
                <w:sz w:val="22"/>
                <w:szCs w:val="22"/>
                <w:lang w:val="en-GB"/>
              </w:rPr>
            </w:pPr>
            <w:r w:rsidRPr="00752FAD">
              <w:rPr>
                <w:rFonts w:cs="Calibri"/>
                <w:sz w:val="22"/>
                <w:szCs w:val="22"/>
                <w:lang w:val="en-GB"/>
              </w:rPr>
              <w:t>H</w:t>
            </w:r>
          </w:p>
        </w:tc>
        <w:tc>
          <w:tcPr>
            <w:tcW w:w="1636" w:type="dxa"/>
            <w:vMerge w:val="restart"/>
          </w:tcPr>
          <w:p w14:paraId="0E6727C9" w14:textId="2A501FC4" w:rsidR="00BF08DF" w:rsidRPr="00752FAD" w:rsidRDefault="00BF08DF" w:rsidP="00323236">
            <w:pPr>
              <w:suppressAutoHyphens/>
              <w:spacing w:line="240" w:lineRule="auto"/>
              <w:rPr>
                <w:rFonts w:cs="Calibri"/>
                <w:sz w:val="22"/>
                <w:szCs w:val="22"/>
                <w:lang w:val="en-GB"/>
              </w:rPr>
            </w:pPr>
            <w:r w:rsidRPr="00752FAD">
              <w:rPr>
                <w:rFonts w:cs="Calibri"/>
                <w:sz w:val="22"/>
                <w:szCs w:val="22"/>
                <w:lang w:val="en-GB"/>
              </w:rPr>
              <w:t>Johansson</w:t>
            </w:r>
          </w:p>
        </w:tc>
        <w:tc>
          <w:tcPr>
            <w:tcW w:w="3526" w:type="dxa"/>
          </w:tcPr>
          <w:p w14:paraId="266DF674" w14:textId="345058ED" w:rsidR="00BF08DF" w:rsidRPr="00752FAD" w:rsidRDefault="00BF08DF" w:rsidP="00323236">
            <w:pPr>
              <w:suppressAutoHyphens/>
              <w:spacing w:line="240" w:lineRule="auto"/>
              <w:rPr>
                <w:rFonts w:cs="Calibri"/>
                <w:sz w:val="22"/>
                <w:szCs w:val="22"/>
                <w:lang w:val="en-GB"/>
              </w:rPr>
            </w:pPr>
            <w:r w:rsidRPr="00752FAD">
              <w:rPr>
                <w:rFonts w:eastAsia="Times New Roman" w:cs="Calibri"/>
                <w:sz w:val="22"/>
                <w:szCs w:val="22"/>
                <w:lang w:val="ru-RU" w:eastAsia="ru-RU"/>
              </w:rPr>
              <w:t>Mary McKillop Institute for Health Research, Australian Catholic University, Melbourne, Australia</w:t>
            </w:r>
          </w:p>
        </w:tc>
        <w:tc>
          <w:tcPr>
            <w:tcW w:w="3415" w:type="dxa"/>
            <w:vMerge w:val="restart"/>
          </w:tcPr>
          <w:p w14:paraId="63948EF7" w14:textId="726550FB" w:rsidR="00BF08DF" w:rsidRPr="00752FAD" w:rsidRDefault="00BF08DF" w:rsidP="00323236">
            <w:pPr>
              <w:suppressAutoHyphens/>
              <w:spacing w:line="240" w:lineRule="auto"/>
              <w:rPr>
                <w:rFonts w:cs="Calibri"/>
                <w:sz w:val="22"/>
                <w:szCs w:val="22"/>
                <w:lang w:val="en-GB"/>
              </w:rPr>
            </w:pPr>
            <w:r w:rsidRPr="00752FAD">
              <w:rPr>
                <w:rFonts w:cs="Calibri"/>
                <w:sz w:val="22"/>
                <w:szCs w:val="22"/>
                <w:lang w:val="en-GB"/>
              </w:rPr>
              <w:t>helena@statiq.se</w:t>
            </w:r>
          </w:p>
        </w:tc>
      </w:tr>
      <w:tr w:rsidR="00BF08DF" w:rsidRPr="00752FAD" w14:paraId="3023BD65" w14:textId="77777777" w:rsidTr="00842928">
        <w:tc>
          <w:tcPr>
            <w:tcW w:w="650" w:type="dxa"/>
            <w:vMerge/>
          </w:tcPr>
          <w:p w14:paraId="1D2AE7BA" w14:textId="77777777" w:rsidR="00BF08DF" w:rsidRPr="00752FAD" w:rsidRDefault="00BF08DF" w:rsidP="00323236">
            <w:pPr>
              <w:suppressAutoHyphens/>
              <w:spacing w:line="240" w:lineRule="auto"/>
              <w:jc w:val="right"/>
              <w:rPr>
                <w:rFonts w:cs="Calibri"/>
                <w:sz w:val="22"/>
                <w:szCs w:val="22"/>
                <w:lang w:val="en-GB"/>
              </w:rPr>
            </w:pPr>
          </w:p>
        </w:tc>
        <w:tc>
          <w:tcPr>
            <w:tcW w:w="1636" w:type="dxa"/>
            <w:vMerge/>
          </w:tcPr>
          <w:p w14:paraId="20EE3C03" w14:textId="62BD8F2F" w:rsidR="00BF08DF" w:rsidRPr="00752FAD" w:rsidRDefault="00BF08DF" w:rsidP="00323236">
            <w:pPr>
              <w:suppressAutoHyphens/>
              <w:spacing w:line="240" w:lineRule="auto"/>
              <w:rPr>
                <w:rFonts w:cs="Calibri"/>
                <w:sz w:val="22"/>
                <w:szCs w:val="22"/>
                <w:lang w:val="en-GB"/>
              </w:rPr>
            </w:pPr>
          </w:p>
        </w:tc>
        <w:tc>
          <w:tcPr>
            <w:tcW w:w="3526" w:type="dxa"/>
          </w:tcPr>
          <w:p w14:paraId="6E81151B" w14:textId="0970392B" w:rsidR="00BF08DF" w:rsidRPr="00752FAD" w:rsidRDefault="00BF08DF" w:rsidP="00323236">
            <w:pPr>
              <w:suppressAutoHyphens/>
              <w:spacing w:line="240" w:lineRule="auto"/>
              <w:rPr>
                <w:rFonts w:cs="Calibri"/>
                <w:sz w:val="22"/>
                <w:szCs w:val="22"/>
                <w:lang w:val="en-GB"/>
              </w:rPr>
            </w:pPr>
            <w:r w:rsidRPr="00752FAD">
              <w:rPr>
                <w:rFonts w:eastAsia="Times New Roman" w:cs="Calibri"/>
                <w:sz w:val="22"/>
                <w:szCs w:val="22"/>
                <w:lang w:val="ru-RU" w:eastAsia="ru-RU"/>
              </w:rPr>
              <w:t>Centre for Metabolic Bone Diseases, University of Sheffield, Sheffield, UK</w:t>
            </w:r>
          </w:p>
        </w:tc>
        <w:tc>
          <w:tcPr>
            <w:tcW w:w="3415" w:type="dxa"/>
            <w:vMerge/>
          </w:tcPr>
          <w:p w14:paraId="69139ABA" w14:textId="77777777" w:rsidR="00BF08DF" w:rsidRPr="00752FAD" w:rsidRDefault="00BF08DF" w:rsidP="00323236">
            <w:pPr>
              <w:suppressAutoHyphens/>
              <w:spacing w:line="240" w:lineRule="auto"/>
              <w:rPr>
                <w:rFonts w:cs="Calibri"/>
                <w:sz w:val="22"/>
                <w:szCs w:val="22"/>
                <w:lang w:val="en-GB"/>
              </w:rPr>
            </w:pPr>
          </w:p>
        </w:tc>
      </w:tr>
      <w:tr w:rsidR="00BF08DF" w:rsidRPr="00F054D3" w14:paraId="4D30EA55" w14:textId="77777777" w:rsidTr="00842928">
        <w:tc>
          <w:tcPr>
            <w:tcW w:w="650" w:type="dxa"/>
          </w:tcPr>
          <w:p w14:paraId="4257F81B" w14:textId="77777777" w:rsidR="00BF08DF" w:rsidRPr="00F054D3" w:rsidRDefault="00BF08DF" w:rsidP="00323236">
            <w:pPr>
              <w:suppressAutoHyphens/>
              <w:spacing w:line="240" w:lineRule="auto"/>
              <w:jc w:val="right"/>
              <w:rPr>
                <w:rFonts w:cs="Calibri"/>
                <w:sz w:val="22"/>
                <w:szCs w:val="22"/>
                <w:lang w:val="en-GB"/>
              </w:rPr>
            </w:pPr>
          </w:p>
        </w:tc>
        <w:tc>
          <w:tcPr>
            <w:tcW w:w="1636" w:type="dxa"/>
            <w:vMerge/>
          </w:tcPr>
          <w:p w14:paraId="43D5EFC9" w14:textId="77777777" w:rsidR="00BF08DF" w:rsidRPr="00F054D3" w:rsidRDefault="00BF08DF" w:rsidP="00323236">
            <w:pPr>
              <w:suppressAutoHyphens/>
              <w:spacing w:line="240" w:lineRule="auto"/>
              <w:rPr>
                <w:rFonts w:cs="Calibri"/>
                <w:sz w:val="22"/>
                <w:szCs w:val="22"/>
                <w:lang w:val="en-GB"/>
              </w:rPr>
            </w:pPr>
          </w:p>
        </w:tc>
        <w:tc>
          <w:tcPr>
            <w:tcW w:w="3526" w:type="dxa"/>
          </w:tcPr>
          <w:p w14:paraId="015CD2E8" w14:textId="668E4DF2" w:rsidR="00BF08DF" w:rsidRPr="00F054D3" w:rsidRDefault="00BF08DF" w:rsidP="00323236">
            <w:pPr>
              <w:suppressAutoHyphens/>
              <w:spacing w:line="240" w:lineRule="auto"/>
              <w:rPr>
                <w:rFonts w:eastAsia="Times New Roman" w:cs="Calibri"/>
                <w:sz w:val="22"/>
                <w:szCs w:val="22"/>
                <w:lang w:val="ru-RU" w:eastAsia="ru-RU"/>
              </w:rPr>
            </w:pPr>
            <w:r w:rsidRPr="00752FAD">
              <w:rPr>
                <w:rFonts w:cs="Calibri"/>
                <w:sz w:val="22"/>
                <w:szCs w:val="22"/>
                <w:lang w:val="en-GB"/>
              </w:rPr>
              <w:t>Sahlgrenska Osteoporosis Centre, Institute of Medicine, University of Gothenburg, Sweden</w:t>
            </w:r>
          </w:p>
        </w:tc>
        <w:tc>
          <w:tcPr>
            <w:tcW w:w="3415" w:type="dxa"/>
            <w:vMerge/>
          </w:tcPr>
          <w:p w14:paraId="6113BC6F" w14:textId="77777777" w:rsidR="00BF08DF" w:rsidRPr="00F054D3" w:rsidRDefault="00BF08DF" w:rsidP="00323236">
            <w:pPr>
              <w:suppressAutoHyphens/>
              <w:spacing w:line="240" w:lineRule="auto"/>
              <w:rPr>
                <w:rFonts w:cs="Calibri"/>
                <w:sz w:val="22"/>
                <w:szCs w:val="22"/>
                <w:lang w:val="en-GB"/>
              </w:rPr>
            </w:pPr>
          </w:p>
        </w:tc>
      </w:tr>
      <w:tr w:rsidR="00475E3D" w:rsidRPr="00F054D3" w14:paraId="7FE46B20" w14:textId="77777777" w:rsidTr="00842928">
        <w:tc>
          <w:tcPr>
            <w:tcW w:w="650" w:type="dxa"/>
            <w:vMerge w:val="restart"/>
          </w:tcPr>
          <w:p w14:paraId="6B7F1C87" w14:textId="2255B854" w:rsidR="00475E3D" w:rsidRPr="00F054D3" w:rsidRDefault="00475E3D" w:rsidP="00323236">
            <w:pPr>
              <w:suppressAutoHyphens/>
              <w:spacing w:line="240" w:lineRule="auto"/>
              <w:jc w:val="right"/>
              <w:rPr>
                <w:rFonts w:cs="Calibri"/>
                <w:sz w:val="22"/>
                <w:szCs w:val="22"/>
                <w:lang w:val="en-GB"/>
              </w:rPr>
            </w:pPr>
            <w:r w:rsidRPr="00F054D3">
              <w:rPr>
                <w:rFonts w:cs="Calibri"/>
                <w:sz w:val="22"/>
                <w:szCs w:val="22"/>
                <w:lang w:val="en-GB"/>
              </w:rPr>
              <w:t>G</w:t>
            </w:r>
          </w:p>
        </w:tc>
        <w:tc>
          <w:tcPr>
            <w:tcW w:w="1636" w:type="dxa"/>
            <w:vMerge w:val="restart"/>
          </w:tcPr>
          <w:p w14:paraId="3205F406" w14:textId="5EDF58C0" w:rsidR="00475E3D" w:rsidRPr="00F054D3" w:rsidRDefault="00475E3D" w:rsidP="00323236">
            <w:pPr>
              <w:suppressAutoHyphens/>
              <w:spacing w:line="240" w:lineRule="auto"/>
              <w:rPr>
                <w:rFonts w:cs="Calibri"/>
                <w:sz w:val="22"/>
                <w:szCs w:val="22"/>
                <w:lang w:val="en-GB"/>
              </w:rPr>
            </w:pPr>
            <w:r w:rsidRPr="00F054D3">
              <w:rPr>
                <w:rFonts w:cs="Calibri"/>
                <w:sz w:val="22"/>
                <w:szCs w:val="22"/>
                <w:lang w:val="en-GB"/>
              </w:rPr>
              <w:t>Naureen</w:t>
            </w:r>
          </w:p>
        </w:tc>
        <w:tc>
          <w:tcPr>
            <w:tcW w:w="3526" w:type="dxa"/>
          </w:tcPr>
          <w:p w14:paraId="296F47B3" w14:textId="32404209" w:rsidR="00475E3D" w:rsidRPr="00F054D3" w:rsidRDefault="00475E3D" w:rsidP="00323236">
            <w:pPr>
              <w:suppressAutoHyphens/>
              <w:spacing w:line="240" w:lineRule="auto"/>
              <w:rPr>
                <w:rFonts w:cs="Calibri"/>
                <w:sz w:val="22"/>
                <w:szCs w:val="22"/>
                <w:lang w:val="en-GB"/>
              </w:rPr>
            </w:pPr>
            <w:r w:rsidRPr="00F054D3">
              <w:rPr>
                <w:rFonts w:eastAsia="Times New Roman" w:cs="Calibri"/>
                <w:sz w:val="22"/>
                <w:szCs w:val="22"/>
                <w:lang w:val="ru-RU" w:eastAsia="ru-RU"/>
              </w:rPr>
              <w:t>Faculty of Medicine, Dentistry and Health Sciences, University of Melbourne, Australia</w:t>
            </w:r>
          </w:p>
        </w:tc>
        <w:tc>
          <w:tcPr>
            <w:tcW w:w="3415" w:type="dxa"/>
            <w:vMerge w:val="restart"/>
          </w:tcPr>
          <w:p w14:paraId="2D1E5660" w14:textId="41BDD2E3" w:rsidR="00475E3D" w:rsidRPr="00F054D3" w:rsidRDefault="00475E3D" w:rsidP="00323236">
            <w:pPr>
              <w:suppressAutoHyphens/>
              <w:spacing w:line="240" w:lineRule="auto"/>
              <w:rPr>
                <w:rFonts w:cs="Calibri"/>
                <w:sz w:val="22"/>
                <w:szCs w:val="22"/>
                <w:lang w:val="en-GB"/>
              </w:rPr>
            </w:pPr>
            <w:r w:rsidRPr="00F054D3">
              <w:rPr>
                <w:rFonts w:cs="Calibri"/>
                <w:sz w:val="22"/>
                <w:szCs w:val="22"/>
                <w:lang w:val="en-GB"/>
              </w:rPr>
              <w:t>gnaureen@student.unimelb.edu.au</w:t>
            </w:r>
          </w:p>
        </w:tc>
      </w:tr>
      <w:tr w:rsidR="00475E3D" w:rsidRPr="00F054D3" w14:paraId="07BC5B48" w14:textId="77777777" w:rsidTr="00842928">
        <w:tc>
          <w:tcPr>
            <w:tcW w:w="650" w:type="dxa"/>
            <w:vMerge/>
          </w:tcPr>
          <w:p w14:paraId="06A7503C" w14:textId="77777777" w:rsidR="00475E3D" w:rsidRPr="00F054D3" w:rsidRDefault="00475E3D" w:rsidP="00323236">
            <w:pPr>
              <w:suppressAutoHyphens/>
              <w:spacing w:line="240" w:lineRule="auto"/>
              <w:jc w:val="right"/>
              <w:rPr>
                <w:rFonts w:cs="Calibri"/>
                <w:sz w:val="22"/>
                <w:szCs w:val="22"/>
                <w:lang w:val="en-GB"/>
              </w:rPr>
            </w:pPr>
          </w:p>
        </w:tc>
        <w:tc>
          <w:tcPr>
            <w:tcW w:w="1636" w:type="dxa"/>
            <w:vMerge/>
          </w:tcPr>
          <w:p w14:paraId="5BBDBECC" w14:textId="77777777" w:rsidR="00475E3D" w:rsidRPr="00F054D3" w:rsidRDefault="00475E3D" w:rsidP="00323236">
            <w:pPr>
              <w:suppressAutoHyphens/>
              <w:spacing w:line="240" w:lineRule="auto"/>
              <w:rPr>
                <w:rFonts w:cs="Calibri"/>
                <w:sz w:val="22"/>
                <w:szCs w:val="22"/>
                <w:lang w:val="en-GB"/>
              </w:rPr>
            </w:pPr>
          </w:p>
        </w:tc>
        <w:tc>
          <w:tcPr>
            <w:tcW w:w="3526" w:type="dxa"/>
          </w:tcPr>
          <w:p w14:paraId="194D905F" w14:textId="3C2FCAEF" w:rsidR="00475E3D" w:rsidRPr="00F054D3" w:rsidRDefault="00475E3D" w:rsidP="00F0685B">
            <w:pPr>
              <w:suppressAutoHyphens/>
              <w:spacing w:line="240" w:lineRule="auto"/>
              <w:rPr>
                <w:rFonts w:eastAsia="Times New Roman" w:cs="Calibri"/>
                <w:sz w:val="22"/>
                <w:szCs w:val="22"/>
                <w:lang w:val="ru-RU" w:eastAsia="ru-RU"/>
              </w:rPr>
            </w:pPr>
            <w:r w:rsidRPr="00752FAD">
              <w:rPr>
                <w:rFonts w:eastAsia="Times New Roman" w:cs="Calibri"/>
                <w:sz w:val="22"/>
                <w:szCs w:val="22"/>
                <w:lang w:val="ru-RU" w:eastAsia="ru-RU"/>
              </w:rPr>
              <w:t xml:space="preserve">Australian Institute for </w:t>
            </w:r>
            <w:r w:rsidRPr="00F054D3">
              <w:rPr>
                <w:rFonts w:eastAsia="Times New Roman" w:cs="Calibri"/>
                <w:sz w:val="22"/>
                <w:szCs w:val="22"/>
                <w:lang w:val="ru-RU" w:eastAsia="ru-RU"/>
              </w:rPr>
              <w:t>Musculoskeletal Science (AIMSS), The</w:t>
            </w:r>
            <w:r w:rsidRPr="00F054D3">
              <w:rPr>
                <w:rFonts w:eastAsia="Times New Roman" w:cs="Calibri"/>
                <w:sz w:val="22"/>
                <w:szCs w:val="22"/>
                <w:lang w:val="en-AU" w:eastAsia="ru-RU"/>
              </w:rPr>
              <w:t xml:space="preserve"> </w:t>
            </w:r>
            <w:r w:rsidRPr="00F054D3">
              <w:rPr>
                <w:rFonts w:eastAsia="Times New Roman" w:cs="Calibri"/>
                <w:sz w:val="22"/>
                <w:szCs w:val="22"/>
                <w:lang w:val="ru-RU" w:eastAsia="ru-RU"/>
              </w:rPr>
              <w:t>University of Melbourne and Western Health,</w:t>
            </w:r>
            <w:r w:rsidR="00F0685B" w:rsidRPr="00F054D3">
              <w:rPr>
                <w:rFonts w:eastAsia="Times New Roman" w:cs="Calibri"/>
                <w:sz w:val="22"/>
                <w:szCs w:val="22"/>
                <w:lang w:val="en-AU" w:eastAsia="ru-RU"/>
              </w:rPr>
              <w:t xml:space="preserve"> </w:t>
            </w:r>
            <w:r w:rsidRPr="00F054D3">
              <w:rPr>
                <w:rFonts w:eastAsia="Times New Roman" w:cs="Calibri"/>
                <w:sz w:val="22"/>
                <w:szCs w:val="22"/>
                <w:lang w:val="ru-RU" w:eastAsia="ru-RU"/>
              </w:rPr>
              <w:t>Australia</w:t>
            </w:r>
          </w:p>
        </w:tc>
        <w:tc>
          <w:tcPr>
            <w:tcW w:w="3415" w:type="dxa"/>
            <w:vMerge/>
          </w:tcPr>
          <w:p w14:paraId="4FA85471" w14:textId="77777777" w:rsidR="00475E3D" w:rsidRPr="00F054D3" w:rsidRDefault="00475E3D" w:rsidP="00323236">
            <w:pPr>
              <w:suppressAutoHyphens/>
              <w:spacing w:line="240" w:lineRule="auto"/>
              <w:rPr>
                <w:rFonts w:cs="Calibri"/>
                <w:sz w:val="22"/>
                <w:szCs w:val="22"/>
                <w:lang w:val="en-GB"/>
              </w:rPr>
            </w:pPr>
          </w:p>
        </w:tc>
      </w:tr>
      <w:tr w:rsidR="00842928" w:rsidRPr="00F054D3" w14:paraId="4B7CD613" w14:textId="77777777" w:rsidTr="00842928">
        <w:tc>
          <w:tcPr>
            <w:tcW w:w="650" w:type="dxa"/>
          </w:tcPr>
          <w:p w14:paraId="05FF3DAC" w14:textId="4D8D4296" w:rsidR="00842928" w:rsidRPr="00F054D3" w:rsidRDefault="00842928" w:rsidP="00842928">
            <w:pPr>
              <w:suppressAutoHyphens/>
              <w:spacing w:line="240" w:lineRule="auto"/>
              <w:jc w:val="right"/>
              <w:rPr>
                <w:rFonts w:cs="Calibri"/>
                <w:sz w:val="22"/>
                <w:szCs w:val="22"/>
                <w:lang w:val="en-GB"/>
              </w:rPr>
            </w:pPr>
            <w:r w:rsidRPr="00F054D3">
              <w:rPr>
                <w:rFonts w:cs="Calibri"/>
                <w:sz w:val="22"/>
                <w:szCs w:val="22"/>
                <w:lang w:val="en-GB"/>
              </w:rPr>
              <w:t>R</w:t>
            </w:r>
          </w:p>
        </w:tc>
        <w:tc>
          <w:tcPr>
            <w:tcW w:w="1636" w:type="dxa"/>
          </w:tcPr>
          <w:p w14:paraId="78EEAB0D" w14:textId="395CA095" w:rsidR="00842928" w:rsidRPr="00F054D3" w:rsidRDefault="00842928" w:rsidP="00842928">
            <w:pPr>
              <w:suppressAutoHyphens/>
              <w:spacing w:line="240" w:lineRule="auto"/>
              <w:rPr>
                <w:rFonts w:cs="Calibri"/>
                <w:sz w:val="22"/>
                <w:szCs w:val="22"/>
                <w:lang w:val="en-GB"/>
              </w:rPr>
            </w:pPr>
            <w:r w:rsidRPr="00F054D3">
              <w:rPr>
                <w:rFonts w:cs="Calibri"/>
                <w:sz w:val="22"/>
                <w:szCs w:val="22"/>
                <w:lang w:val="en-GB"/>
              </w:rPr>
              <w:t>Iqbal</w:t>
            </w:r>
          </w:p>
        </w:tc>
        <w:tc>
          <w:tcPr>
            <w:tcW w:w="3526" w:type="dxa"/>
          </w:tcPr>
          <w:p w14:paraId="7724F872" w14:textId="6BAD7467" w:rsidR="00842928" w:rsidRPr="00F054D3" w:rsidRDefault="00842928" w:rsidP="00842928">
            <w:pPr>
              <w:suppressAutoHyphens/>
              <w:spacing w:line="240" w:lineRule="auto"/>
              <w:rPr>
                <w:rFonts w:cs="Calibri"/>
                <w:sz w:val="22"/>
                <w:szCs w:val="22"/>
                <w:lang w:val="en-GB"/>
              </w:rPr>
            </w:pPr>
            <w:r w:rsidRPr="00F054D3">
              <w:rPr>
                <w:rFonts w:cs="Calibri"/>
                <w:sz w:val="22"/>
                <w:szCs w:val="22"/>
                <w:lang w:val="en-GB"/>
              </w:rPr>
              <w:t>Departments of Community Health Sciences and Medicine, Aga Khan University, Pakistan</w:t>
            </w:r>
          </w:p>
        </w:tc>
        <w:tc>
          <w:tcPr>
            <w:tcW w:w="3415" w:type="dxa"/>
          </w:tcPr>
          <w:p w14:paraId="605C2ED0" w14:textId="7385A20F" w:rsidR="00842928" w:rsidRPr="00752FAD" w:rsidRDefault="00842928" w:rsidP="00842928">
            <w:pPr>
              <w:suppressAutoHyphens/>
              <w:spacing w:line="240" w:lineRule="auto"/>
              <w:rPr>
                <w:rFonts w:cs="Calibri"/>
                <w:sz w:val="22"/>
                <w:szCs w:val="22"/>
                <w:lang w:val="en-GB"/>
              </w:rPr>
            </w:pPr>
            <w:r w:rsidRPr="00F054D3">
              <w:rPr>
                <w:rFonts w:cs="Calibri"/>
                <w:sz w:val="22"/>
                <w:szCs w:val="22"/>
              </w:rPr>
              <w:t>romaina.iqbal@aku.edu</w:t>
            </w:r>
          </w:p>
        </w:tc>
      </w:tr>
      <w:tr w:rsidR="00842928" w:rsidRPr="00F054D3" w14:paraId="709B3E26" w14:textId="77777777" w:rsidTr="00842928">
        <w:tc>
          <w:tcPr>
            <w:tcW w:w="650" w:type="dxa"/>
          </w:tcPr>
          <w:p w14:paraId="59630894" w14:textId="3F4046B0" w:rsidR="00842928" w:rsidRPr="00F054D3" w:rsidRDefault="00842928" w:rsidP="00842928">
            <w:pPr>
              <w:suppressAutoHyphens/>
              <w:spacing w:line="240" w:lineRule="auto"/>
              <w:jc w:val="right"/>
              <w:rPr>
                <w:rFonts w:cs="Calibri"/>
                <w:sz w:val="22"/>
                <w:szCs w:val="22"/>
                <w:lang w:val="en-GB"/>
              </w:rPr>
            </w:pPr>
            <w:r w:rsidRPr="00F054D3">
              <w:rPr>
                <w:rFonts w:cs="Calibri"/>
                <w:sz w:val="22"/>
                <w:szCs w:val="22"/>
                <w:lang w:val="en-GB"/>
              </w:rPr>
              <w:t>L</w:t>
            </w:r>
          </w:p>
        </w:tc>
        <w:tc>
          <w:tcPr>
            <w:tcW w:w="1636" w:type="dxa"/>
          </w:tcPr>
          <w:p w14:paraId="0F2D820E" w14:textId="31893E02" w:rsidR="00842928" w:rsidRPr="00F054D3" w:rsidRDefault="00842928" w:rsidP="00842928">
            <w:pPr>
              <w:suppressAutoHyphens/>
              <w:spacing w:line="240" w:lineRule="auto"/>
              <w:rPr>
                <w:rFonts w:cs="Calibri"/>
                <w:sz w:val="22"/>
                <w:szCs w:val="22"/>
                <w:lang w:val="en-GB"/>
              </w:rPr>
            </w:pPr>
            <w:r w:rsidRPr="00F054D3">
              <w:rPr>
                <w:rFonts w:cs="Calibri"/>
                <w:sz w:val="22"/>
                <w:szCs w:val="22"/>
                <w:lang w:val="en-GB"/>
              </w:rPr>
              <w:t>Jafri</w:t>
            </w:r>
          </w:p>
        </w:tc>
        <w:tc>
          <w:tcPr>
            <w:tcW w:w="3526" w:type="dxa"/>
          </w:tcPr>
          <w:p w14:paraId="5FE2FCD2" w14:textId="55C0D6DA" w:rsidR="00842928" w:rsidRPr="00F054D3" w:rsidRDefault="00842928" w:rsidP="00842928">
            <w:pPr>
              <w:suppressAutoHyphens/>
              <w:spacing w:line="240" w:lineRule="auto"/>
              <w:rPr>
                <w:rFonts w:cs="Calibri"/>
                <w:sz w:val="22"/>
                <w:szCs w:val="22"/>
                <w:lang w:val="en-GB"/>
              </w:rPr>
            </w:pPr>
            <w:r w:rsidRPr="00F054D3">
              <w:rPr>
                <w:rFonts w:cs="Calibri"/>
                <w:sz w:val="22"/>
                <w:szCs w:val="22"/>
                <w:lang w:val="en-GB"/>
              </w:rPr>
              <w:t>Department of Pathology &amp; Laboratory Medicine, Aga Khan University, Karachi, Pakistan</w:t>
            </w:r>
          </w:p>
        </w:tc>
        <w:tc>
          <w:tcPr>
            <w:tcW w:w="3415" w:type="dxa"/>
          </w:tcPr>
          <w:p w14:paraId="2209E4CD" w14:textId="68A70FD5" w:rsidR="00842928" w:rsidRPr="00752FAD" w:rsidRDefault="00842928" w:rsidP="00842928">
            <w:pPr>
              <w:suppressAutoHyphens/>
              <w:spacing w:line="240" w:lineRule="auto"/>
              <w:rPr>
                <w:rFonts w:cs="Calibri"/>
                <w:sz w:val="22"/>
                <w:szCs w:val="22"/>
                <w:lang w:val="en-GB"/>
              </w:rPr>
            </w:pPr>
            <w:r w:rsidRPr="00F054D3">
              <w:rPr>
                <w:rFonts w:cs="Calibri"/>
                <w:sz w:val="22"/>
                <w:szCs w:val="22"/>
              </w:rPr>
              <w:t>lena.jafri@aku.edu</w:t>
            </w:r>
          </w:p>
        </w:tc>
      </w:tr>
      <w:tr w:rsidR="00842928" w:rsidRPr="00F054D3" w14:paraId="0326EC2A" w14:textId="77777777" w:rsidTr="00842928">
        <w:tc>
          <w:tcPr>
            <w:tcW w:w="650" w:type="dxa"/>
          </w:tcPr>
          <w:p w14:paraId="6DB63D4C" w14:textId="23839DC4" w:rsidR="00842928" w:rsidRPr="00F054D3" w:rsidRDefault="00842928" w:rsidP="00842928">
            <w:pPr>
              <w:suppressAutoHyphens/>
              <w:spacing w:line="240" w:lineRule="auto"/>
              <w:jc w:val="right"/>
              <w:rPr>
                <w:rFonts w:cs="Calibri"/>
                <w:sz w:val="22"/>
                <w:szCs w:val="22"/>
                <w:lang w:val="en-GB"/>
              </w:rPr>
            </w:pPr>
            <w:r w:rsidRPr="00F054D3">
              <w:rPr>
                <w:rFonts w:cs="Calibri"/>
                <w:sz w:val="22"/>
                <w:szCs w:val="22"/>
                <w:lang w:val="en-GB"/>
              </w:rPr>
              <w:t>AH</w:t>
            </w:r>
          </w:p>
        </w:tc>
        <w:tc>
          <w:tcPr>
            <w:tcW w:w="1636" w:type="dxa"/>
          </w:tcPr>
          <w:p w14:paraId="0EAC220E" w14:textId="791CB04F" w:rsidR="00842928" w:rsidRPr="00F054D3" w:rsidRDefault="00842928" w:rsidP="00842928">
            <w:pPr>
              <w:suppressAutoHyphens/>
              <w:spacing w:line="240" w:lineRule="auto"/>
              <w:rPr>
                <w:rFonts w:cs="Calibri"/>
                <w:sz w:val="22"/>
                <w:szCs w:val="22"/>
                <w:lang w:val="en-GB"/>
              </w:rPr>
            </w:pPr>
            <w:r w:rsidRPr="00F054D3">
              <w:rPr>
                <w:rFonts w:cs="Calibri"/>
                <w:sz w:val="22"/>
                <w:szCs w:val="22"/>
                <w:lang w:val="en-GB"/>
              </w:rPr>
              <w:t>Khan</w:t>
            </w:r>
          </w:p>
        </w:tc>
        <w:tc>
          <w:tcPr>
            <w:tcW w:w="3526" w:type="dxa"/>
          </w:tcPr>
          <w:p w14:paraId="7CA33C70" w14:textId="1CB531DB" w:rsidR="00842928" w:rsidRPr="00F054D3" w:rsidRDefault="00842928" w:rsidP="00842928">
            <w:pPr>
              <w:suppressAutoHyphens/>
              <w:spacing w:line="240" w:lineRule="auto"/>
              <w:rPr>
                <w:rFonts w:cs="Calibri"/>
                <w:sz w:val="22"/>
                <w:szCs w:val="22"/>
                <w:lang w:val="en-GB"/>
              </w:rPr>
            </w:pPr>
            <w:r w:rsidRPr="00F054D3">
              <w:rPr>
                <w:rFonts w:cs="Calibri"/>
                <w:sz w:val="22"/>
                <w:szCs w:val="22"/>
                <w:lang w:val="en-GB"/>
              </w:rPr>
              <w:t>Department of Pathology &amp; Laboratory Medicine, Aga Khan University, Karachi, Pakistan</w:t>
            </w:r>
          </w:p>
        </w:tc>
        <w:tc>
          <w:tcPr>
            <w:tcW w:w="3415" w:type="dxa"/>
          </w:tcPr>
          <w:p w14:paraId="1D528E39" w14:textId="6C175E47" w:rsidR="00842928" w:rsidRPr="00752FAD" w:rsidRDefault="00842928" w:rsidP="00842928">
            <w:pPr>
              <w:suppressAutoHyphens/>
              <w:spacing w:line="240" w:lineRule="auto"/>
              <w:rPr>
                <w:rFonts w:cs="Calibri"/>
                <w:sz w:val="22"/>
                <w:szCs w:val="22"/>
                <w:lang w:val="en-GB"/>
              </w:rPr>
            </w:pPr>
            <w:r w:rsidRPr="00F054D3">
              <w:rPr>
                <w:rFonts w:cs="Calibri"/>
                <w:sz w:val="22"/>
                <w:szCs w:val="22"/>
              </w:rPr>
              <w:t>aysha.habib@aku.edu</w:t>
            </w:r>
          </w:p>
        </w:tc>
      </w:tr>
      <w:tr w:rsidR="00842928" w:rsidRPr="00F054D3" w14:paraId="2445C476" w14:textId="77777777" w:rsidTr="00842928">
        <w:tc>
          <w:tcPr>
            <w:tcW w:w="650" w:type="dxa"/>
          </w:tcPr>
          <w:p w14:paraId="4180146A" w14:textId="0B483695" w:rsidR="00842928" w:rsidRPr="00F054D3" w:rsidRDefault="00842928" w:rsidP="00842928">
            <w:pPr>
              <w:suppressAutoHyphens/>
              <w:spacing w:line="240" w:lineRule="auto"/>
              <w:jc w:val="right"/>
              <w:rPr>
                <w:rFonts w:cs="Calibri"/>
                <w:sz w:val="22"/>
                <w:szCs w:val="22"/>
                <w:lang w:val="en-GB"/>
              </w:rPr>
            </w:pPr>
            <w:r w:rsidRPr="00F054D3">
              <w:rPr>
                <w:rFonts w:cs="Calibri"/>
                <w:sz w:val="22"/>
                <w:szCs w:val="22"/>
                <w:lang w:val="en-GB"/>
              </w:rPr>
              <w:t>M</w:t>
            </w:r>
          </w:p>
        </w:tc>
        <w:tc>
          <w:tcPr>
            <w:tcW w:w="1636" w:type="dxa"/>
          </w:tcPr>
          <w:p w14:paraId="073EB75E" w14:textId="5CA4C1E1" w:rsidR="00842928" w:rsidRPr="00F054D3" w:rsidRDefault="00842928" w:rsidP="00842928">
            <w:pPr>
              <w:suppressAutoHyphens/>
              <w:spacing w:line="240" w:lineRule="auto"/>
              <w:rPr>
                <w:rFonts w:cs="Calibri"/>
                <w:sz w:val="22"/>
                <w:szCs w:val="22"/>
                <w:lang w:val="en-GB"/>
              </w:rPr>
            </w:pPr>
            <w:r w:rsidRPr="00F054D3">
              <w:rPr>
                <w:rFonts w:cs="Calibri"/>
                <w:sz w:val="22"/>
                <w:szCs w:val="22"/>
                <w:lang w:val="en-GB"/>
              </w:rPr>
              <w:t>Umer</w:t>
            </w:r>
          </w:p>
        </w:tc>
        <w:tc>
          <w:tcPr>
            <w:tcW w:w="3526" w:type="dxa"/>
          </w:tcPr>
          <w:p w14:paraId="0C0D35CB" w14:textId="443FA129" w:rsidR="00842928" w:rsidRPr="00F054D3" w:rsidRDefault="00842928" w:rsidP="00842928">
            <w:pPr>
              <w:suppressAutoHyphens/>
              <w:spacing w:line="240" w:lineRule="auto"/>
              <w:rPr>
                <w:rFonts w:cs="Calibri"/>
                <w:sz w:val="22"/>
                <w:szCs w:val="22"/>
                <w:lang w:val="en-GB"/>
              </w:rPr>
            </w:pPr>
            <w:r w:rsidRPr="00F054D3">
              <w:rPr>
                <w:rFonts w:cs="Calibri"/>
                <w:sz w:val="22"/>
                <w:szCs w:val="22"/>
                <w:lang w:val="en-GB"/>
              </w:rPr>
              <w:t>Department of Orthopaedics, Aga Khan University, Karachi, Pakistan</w:t>
            </w:r>
          </w:p>
        </w:tc>
        <w:tc>
          <w:tcPr>
            <w:tcW w:w="3415" w:type="dxa"/>
          </w:tcPr>
          <w:p w14:paraId="71D57065" w14:textId="5788CC51" w:rsidR="00842928" w:rsidRPr="00752FAD" w:rsidRDefault="00842928" w:rsidP="00842928">
            <w:pPr>
              <w:suppressAutoHyphens/>
              <w:spacing w:line="240" w:lineRule="auto"/>
              <w:rPr>
                <w:rFonts w:cs="Calibri"/>
                <w:sz w:val="22"/>
                <w:szCs w:val="22"/>
                <w:lang w:val="en-GB"/>
              </w:rPr>
            </w:pPr>
            <w:r w:rsidRPr="00F054D3">
              <w:rPr>
                <w:rFonts w:cs="Calibri"/>
                <w:sz w:val="22"/>
                <w:szCs w:val="22"/>
              </w:rPr>
              <w:t>masood.umer@aku.edu</w:t>
            </w:r>
          </w:p>
        </w:tc>
      </w:tr>
      <w:tr w:rsidR="00D22FF7" w:rsidRPr="00F054D3" w14:paraId="133F6B6F" w14:textId="77777777" w:rsidTr="00842928">
        <w:tc>
          <w:tcPr>
            <w:tcW w:w="650" w:type="dxa"/>
          </w:tcPr>
          <w:p w14:paraId="1FA3D511" w14:textId="6C62A574" w:rsidR="00D22FF7" w:rsidRPr="00F054D3" w:rsidRDefault="00D22FF7" w:rsidP="00D22FF7">
            <w:pPr>
              <w:suppressAutoHyphens/>
              <w:spacing w:line="240" w:lineRule="auto"/>
              <w:jc w:val="right"/>
              <w:rPr>
                <w:rFonts w:cs="Calibri"/>
                <w:sz w:val="22"/>
                <w:szCs w:val="22"/>
                <w:lang w:val="en-GB"/>
              </w:rPr>
            </w:pPr>
            <w:r w:rsidRPr="00F054D3">
              <w:rPr>
                <w:rFonts w:cs="Calibri"/>
                <w:sz w:val="22"/>
                <w:szCs w:val="22"/>
                <w:lang w:val="en-GB"/>
              </w:rPr>
              <w:lastRenderedPageBreak/>
              <w:t>E</w:t>
            </w:r>
          </w:p>
        </w:tc>
        <w:tc>
          <w:tcPr>
            <w:tcW w:w="1636" w:type="dxa"/>
          </w:tcPr>
          <w:p w14:paraId="238EB9DC" w14:textId="37AEC641" w:rsidR="00D22FF7" w:rsidRPr="00F054D3" w:rsidRDefault="00D22FF7" w:rsidP="00D22FF7">
            <w:pPr>
              <w:suppressAutoHyphens/>
              <w:spacing w:line="240" w:lineRule="auto"/>
              <w:rPr>
                <w:rFonts w:cs="Calibri"/>
                <w:sz w:val="22"/>
                <w:szCs w:val="22"/>
                <w:lang w:val="en-GB"/>
              </w:rPr>
            </w:pPr>
            <w:r w:rsidRPr="00F054D3">
              <w:rPr>
                <w:rFonts w:cs="Calibri"/>
                <w:sz w:val="22"/>
                <w:szCs w:val="22"/>
                <w:lang w:val="en-GB"/>
              </w:rPr>
              <w:t>Liu</w:t>
            </w:r>
          </w:p>
        </w:tc>
        <w:tc>
          <w:tcPr>
            <w:tcW w:w="3526" w:type="dxa"/>
          </w:tcPr>
          <w:p w14:paraId="357D0257" w14:textId="156C3412" w:rsidR="00D22FF7" w:rsidRPr="00F054D3" w:rsidRDefault="00D22FF7" w:rsidP="00D22FF7">
            <w:pPr>
              <w:suppressAutoHyphens/>
              <w:spacing w:line="240" w:lineRule="auto"/>
              <w:rPr>
                <w:rFonts w:cs="Calibri"/>
                <w:sz w:val="22"/>
                <w:szCs w:val="22"/>
                <w:lang w:val="en-GB"/>
              </w:rPr>
            </w:pPr>
            <w:r w:rsidRPr="00F054D3">
              <w:rPr>
                <w:rFonts w:eastAsia="Times New Roman" w:cs="Calibri"/>
                <w:sz w:val="22"/>
                <w:szCs w:val="22"/>
                <w:lang w:val="ru-RU" w:eastAsia="ru-RU"/>
              </w:rPr>
              <w:t>Mary McKillop Institute for Health Research, Australian Catholic University, Melbourne, Australia</w:t>
            </w:r>
          </w:p>
        </w:tc>
        <w:tc>
          <w:tcPr>
            <w:tcW w:w="3415" w:type="dxa"/>
          </w:tcPr>
          <w:p w14:paraId="17CFA025" w14:textId="2F33D3E9" w:rsidR="00D22FF7" w:rsidRPr="00752FAD" w:rsidRDefault="00D22FF7" w:rsidP="00D22FF7">
            <w:pPr>
              <w:suppressAutoHyphens/>
              <w:spacing w:line="240" w:lineRule="auto"/>
              <w:rPr>
                <w:rFonts w:cs="Calibri"/>
                <w:sz w:val="22"/>
                <w:szCs w:val="22"/>
                <w:lang w:val="en-GB"/>
              </w:rPr>
            </w:pPr>
            <w:r w:rsidRPr="00F054D3">
              <w:rPr>
                <w:rFonts w:cs="Calibri"/>
                <w:sz w:val="22"/>
                <w:szCs w:val="22"/>
                <w:lang w:val="en-GB"/>
              </w:rPr>
              <w:t>Enwu.Liu@acu.edu.au</w:t>
            </w:r>
          </w:p>
        </w:tc>
      </w:tr>
      <w:tr w:rsidR="009E6DB1" w:rsidRPr="00F054D3" w14:paraId="48D918D0" w14:textId="77777777" w:rsidTr="00842928">
        <w:tc>
          <w:tcPr>
            <w:tcW w:w="650" w:type="dxa"/>
            <w:vMerge w:val="restart"/>
          </w:tcPr>
          <w:p w14:paraId="6EBE20DB" w14:textId="1F723D3E" w:rsidR="009E6DB1" w:rsidRPr="00F054D3" w:rsidRDefault="009E6DB1" w:rsidP="00D22FF7">
            <w:pPr>
              <w:suppressAutoHyphens/>
              <w:spacing w:line="240" w:lineRule="auto"/>
              <w:jc w:val="right"/>
              <w:rPr>
                <w:rFonts w:cs="Calibri"/>
                <w:sz w:val="22"/>
                <w:szCs w:val="22"/>
                <w:lang w:val="en-GB"/>
              </w:rPr>
            </w:pPr>
            <w:r w:rsidRPr="00F054D3">
              <w:rPr>
                <w:rFonts w:cs="Calibri"/>
                <w:sz w:val="22"/>
                <w:szCs w:val="22"/>
                <w:lang w:val="en-GB"/>
              </w:rPr>
              <w:t>L</w:t>
            </w:r>
          </w:p>
        </w:tc>
        <w:tc>
          <w:tcPr>
            <w:tcW w:w="1636" w:type="dxa"/>
            <w:vMerge w:val="restart"/>
          </w:tcPr>
          <w:p w14:paraId="29AA5A0F" w14:textId="46F88C92"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Vandenput</w:t>
            </w:r>
          </w:p>
        </w:tc>
        <w:tc>
          <w:tcPr>
            <w:tcW w:w="3526" w:type="dxa"/>
          </w:tcPr>
          <w:p w14:paraId="074DBFC1" w14:textId="590FFEAC"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Mary McKillop Institute for Health Research, Australian Catholic University, Melbourne, Australia</w:t>
            </w:r>
          </w:p>
        </w:tc>
        <w:tc>
          <w:tcPr>
            <w:tcW w:w="3415" w:type="dxa"/>
            <w:vMerge w:val="restart"/>
          </w:tcPr>
          <w:p w14:paraId="4CC1FB78" w14:textId="6169FC6C"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liesbeth.vandenput@acu.edu.au</w:t>
            </w:r>
          </w:p>
        </w:tc>
      </w:tr>
      <w:tr w:rsidR="009E6DB1" w:rsidRPr="00F054D3" w14:paraId="34F76390" w14:textId="77777777" w:rsidTr="00842928">
        <w:tc>
          <w:tcPr>
            <w:tcW w:w="650" w:type="dxa"/>
            <w:vMerge/>
          </w:tcPr>
          <w:p w14:paraId="2614DB4C" w14:textId="77777777" w:rsidR="009E6DB1" w:rsidRPr="00F054D3" w:rsidRDefault="009E6DB1" w:rsidP="00D22FF7">
            <w:pPr>
              <w:suppressAutoHyphens/>
              <w:spacing w:line="240" w:lineRule="auto"/>
              <w:jc w:val="right"/>
              <w:rPr>
                <w:rFonts w:cs="Calibri"/>
                <w:sz w:val="22"/>
                <w:szCs w:val="22"/>
                <w:lang w:val="en-GB"/>
              </w:rPr>
            </w:pPr>
          </w:p>
        </w:tc>
        <w:tc>
          <w:tcPr>
            <w:tcW w:w="1636" w:type="dxa"/>
            <w:vMerge/>
          </w:tcPr>
          <w:p w14:paraId="092DA99C" w14:textId="77777777" w:rsidR="009E6DB1" w:rsidRPr="00F054D3" w:rsidRDefault="009E6DB1" w:rsidP="00D22FF7">
            <w:pPr>
              <w:suppressAutoHyphens/>
              <w:spacing w:line="240" w:lineRule="auto"/>
              <w:rPr>
                <w:rFonts w:cs="Calibri"/>
                <w:sz w:val="22"/>
                <w:szCs w:val="22"/>
                <w:lang w:val="en-GB"/>
              </w:rPr>
            </w:pPr>
          </w:p>
        </w:tc>
        <w:tc>
          <w:tcPr>
            <w:tcW w:w="3526" w:type="dxa"/>
          </w:tcPr>
          <w:p w14:paraId="37D08596" w14:textId="08ECC577"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Centre for Bone and Arthritis Research, Department of Internal Medicine and Clinical Nutrition, Institute of Medicine, Sahlgrenska Academy, University of Gothenburg, Sweden</w:t>
            </w:r>
          </w:p>
        </w:tc>
        <w:tc>
          <w:tcPr>
            <w:tcW w:w="3415" w:type="dxa"/>
            <w:vMerge/>
          </w:tcPr>
          <w:p w14:paraId="55A1A302" w14:textId="77777777" w:rsidR="009E6DB1" w:rsidRPr="00F054D3" w:rsidRDefault="009E6DB1" w:rsidP="00D22FF7">
            <w:pPr>
              <w:suppressAutoHyphens/>
              <w:spacing w:line="240" w:lineRule="auto"/>
              <w:rPr>
                <w:rFonts w:cs="Calibri"/>
                <w:sz w:val="22"/>
                <w:szCs w:val="22"/>
                <w:lang w:val="en-GB"/>
              </w:rPr>
            </w:pPr>
          </w:p>
        </w:tc>
      </w:tr>
      <w:tr w:rsidR="009E6DB1" w:rsidRPr="00F054D3" w14:paraId="38337A5E" w14:textId="77777777" w:rsidTr="00842928">
        <w:tc>
          <w:tcPr>
            <w:tcW w:w="650" w:type="dxa"/>
            <w:vMerge w:val="restart"/>
          </w:tcPr>
          <w:p w14:paraId="78321DCB" w14:textId="7CA42ECA" w:rsidR="009E6DB1" w:rsidRPr="00F054D3" w:rsidRDefault="009E6DB1" w:rsidP="00D22FF7">
            <w:pPr>
              <w:suppressAutoHyphens/>
              <w:spacing w:line="240" w:lineRule="auto"/>
              <w:jc w:val="right"/>
              <w:rPr>
                <w:rFonts w:cs="Calibri"/>
                <w:sz w:val="22"/>
                <w:szCs w:val="22"/>
                <w:lang w:val="en-GB"/>
              </w:rPr>
            </w:pPr>
            <w:r w:rsidRPr="00F054D3">
              <w:rPr>
                <w:rFonts w:cs="Calibri"/>
                <w:sz w:val="22"/>
                <w:szCs w:val="22"/>
                <w:lang w:val="en-GB"/>
              </w:rPr>
              <w:t>M</w:t>
            </w:r>
          </w:p>
        </w:tc>
        <w:tc>
          <w:tcPr>
            <w:tcW w:w="1636" w:type="dxa"/>
            <w:vMerge w:val="restart"/>
          </w:tcPr>
          <w:p w14:paraId="0BE9FE74" w14:textId="48359887"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Lorentzon</w:t>
            </w:r>
          </w:p>
        </w:tc>
        <w:tc>
          <w:tcPr>
            <w:tcW w:w="3526" w:type="dxa"/>
          </w:tcPr>
          <w:p w14:paraId="2AD35B51" w14:textId="18CE34C2"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Mary McKillop Institute for Health Research, Australian Catholic University, Melbourne, Australia</w:t>
            </w:r>
          </w:p>
        </w:tc>
        <w:tc>
          <w:tcPr>
            <w:tcW w:w="3415" w:type="dxa"/>
            <w:vMerge w:val="restart"/>
          </w:tcPr>
          <w:p w14:paraId="09630E97" w14:textId="3B012466" w:rsidR="009E6DB1" w:rsidRPr="00752FAD" w:rsidRDefault="009E6DB1" w:rsidP="00D22FF7">
            <w:pPr>
              <w:suppressAutoHyphens/>
              <w:spacing w:line="240" w:lineRule="auto"/>
              <w:rPr>
                <w:rFonts w:cs="Calibri"/>
                <w:sz w:val="22"/>
                <w:szCs w:val="22"/>
                <w:lang w:val="en-GB"/>
              </w:rPr>
            </w:pPr>
            <w:r w:rsidRPr="00F054D3">
              <w:rPr>
                <w:rFonts w:cs="Calibri"/>
                <w:sz w:val="22"/>
                <w:szCs w:val="22"/>
                <w:lang w:val="en-GB"/>
              </w:rPr>
              <w:t>mattias.lorentzon@medic.gu.se</w:t>
            </w:r>
          </w:p>
        </w:tc>
      </w:tr>
      <w:tr w:rsidR="009E6DB1" w:rsidRPr="00F054D3" w14:paraId="17F7B2B7" w14:textId="77777777" w:rsidTr="00842928">
        <w:tc>
          <w:tcPr>
            <w:tcW w:w="650" w:type="dxa"/>
            <w:vMerge/>
          </w:tcPr>
          <w:p w14:paraId="7BE2231A" w14:textId="77777777" w:rsidR="009E6DB1" w:rsidRPr="00F054D3" w:rsidRDefault="009E6DB1" w:rsidP="00D22FF7">
            <w:pPr>
              <w:suppressAutoHyphens/>
              <w:spacing w:line="240" w:lineRule="auto"/>
              <w:jc w:val="right"/>
              <w:rPr>
                <w:rFonts w:cs="Calibri"/>
                <w:sz w:val="22"/>
                <w:szCs w:val="22"/>
                <w:lang w:val="en-GB"/>
              </w:rPr>
            </w:pPr>
          </w:p>
        </w:tc>
        <w:tc>
          <w:tcPr>
            <w:tcW w:w="1636" w:type="dxa"/>
            <w:vMerge/>
          </w:tcPr>
          <w:p w14:paraId="2D6993BC" w14:textId="77777777" w:rsidR="009E6DB1" w:rsidRPr="00F054D3" w:rsidRDefault="009E6DB1" w:rsidP="00D22FF7">
            <w:pPr>
              <w:suppressAutoHyphens/>
              <w:spacing w:line="240" w:lineRule="auto"/>
              <w:rPr>
                <w:rFonts w:cs="Calibri"/>
                <w:sz w:val="22"/>
                <w:szCs w:val="22"/>
                <w:lang w:val="en-GB"/>
              </w:rPr>
            </w:pPr>
          </w:p>
        </w:tc>
        <w:tc>
          <w:tcPr>
            <w:tcW w:w="3526" w:type="dxa"/>
          </w:tcPr>
          <w:p w14:paraId="46554D5E" w14:textId="7073B2B6" w:rsidR="009E6DB1" w:rsidRPr="00F054D3" w:rsidRDefault="00444AF0" w:rsidP="00D22FF7">
            <w:pPr>
              <w:suppressAutoHyphens/>
              <w:spacing w:line="240" w:lineRule="auto"/>
              <w:rPr>
                <w:rFonts w:cs="Calibri"/>
                <w:sz w:val="22"/>
                <w:szCs w:val="22"/>
                <w:lang w:val="en-GB"/>
              </w:rPr>
            </w:pPr>
            <w:r w:rsidRPr="00F054D3">
              <w:rPr>
                <w:rFonts w:cs="Calibri"/>
                <w:sz w:val="22"/>
                <w:szCs w:val="22"/>
                <w:lang w:val="en-GB"/>
              </w:rPr>
              <w:t>Sahlgrenska Osteoporosis Centre</w:t>
            </w:r>
            <w:r w:rsidR="009E6DB1" w:rsidRPr="00F054D3">
              <w:rPr>
                <w:rFonts w:cs="Calibri"/>
                <w:sz w:val="22"/>
                <w:szCs w:val="22"/>
                <w:lang w:val="en-GB"/>
              </w:rPr>
              <w:t>, Institute of Medicine, University of Gothenburg, Sweden</w:t>
            </w:r>
          </w:p>
        </w:tc>
        <w:tc>
          <w:tcPr>
            <w:tcW w:w="3415" w:type="dxa"/>
            <w:vMerge/>
          </w:tcPr>
          <w:p w14:paraId="5185E038" w14:textId="77777777" w:rsidR="009E6DB1" w:rsidRPr="00F054D3" w:rsidRDefault="009E6DB1" w:rsidP="00D22FF7">
            <w:pPr>
              <w:suppressAutoHyphens/>
              <w:spacing w:line="240" w:lineRule="auto"/>
              <w:rPr>
                <w:rFonts w:cs="Calibri"/>
                <w:sz w:val="22"/>
                <w:szCs w:val="22"/>
                <w:lang w:val="en-GB"/>
              </w:rPr>
            </w:pPr>
          </w:p>
        </w:tc>
      </w:tr>
      <w:tr w:rsidR="009E6DB1" w:rsidRPr="00F054D3" w14:paraId="0DDD8E4C" w14:textId="77777777" w:rsidTr="00842928">
        <w:tc>
          <w:tcPr>
            <w:tcW w:w="650" w:type="dxa"/>
            <w:vMerge w:val="restart"/>
          </w:tcPr>
          <w:p w14:paraId="69BB2CB7" w14:textId="491D30A7" w:rsidR="009E6DB1" w:rsidRPr="00F054D3" w:rsidRDefault="009E6DB1" w:rsidP="00D22FF7">
            <w:pPr>
              <w:suppressAutoHyphens/>
              <w:spacing w:line="240" w:lineRule="auto"/>
              <w:jc w:val="right"/>
              <w:rPr>
                <w:rFonts w:cs="Calibri"/>
                <w:sz w:val="22"/>
                <w:szCs w:val="22"/>
                <w:lang w:val="en-GB"/>
              </w:rPr>
            </w:pPr>
            <w:r w:rsidRPr="00F054D3">
              <w:rPr>
                <w:rFonts w:cs="Calibri"/>
                <w:sz w:val="22"/>
                <w:szCs w:val="22"/>
                <w:lang w:val="en-GB"/>
              </w:rPr>
              <w:t>EV</w:t>
            </w:r>
          </w:p>
        </w:tc>
        <w:tc>
          <w:tcPr>
            <w:tcW w:w="1636" w:type="dxa"/>
            <w:vMerge w:val="restart"/>
          </w:tcPr>
          <w:p w14:paraId="1ED5C831" w14:textId="35ADDB19"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EV McCloskey</w:t>
            </w:r>
          </w:p>
        </w:tc>
        <w:tc>
          <w:tcPr>
            <w:tcW w:w="3526" w:type="dxa"/>
          </w:tcPr>
          <w:p w14:paraId="0A6DD466" w14:textId="29AB04A6" w:rsidR="009E6DB1" w:rsidRPr="00F054D3" w:rsidRDefault="009E6DB1" w:rsidP="00D22FF7">
            <w:pPr>
              <w:suppressAutoHyphens/>
              <w:spacing w:line="240" w:lineRule="auto"/>
              <w:rPr>
                <w:rFonts w:cs="Calibri"/>
                <w:sz w:val="22"/>
                <w:szCs w:val="22"/>
                <w:lang w:val="en-GB"/>
              </w:rPr>
            </w:pPr>
            <w:r w:rsidRPr="00F054D3">
              <w:rPr>
                <w:rFonts w:eastAsia="Times New Roman" w:cs="Calibri"/>
                <w:sz w:val="22"/>
                <w:szCs w:val="22"/>
                <w:lang w:val="ru-RU" w:eastAsia="ru-RU"/>
              </w:rPr>
              <w:t>Centre for Metabolic Bone Diseases, University of Sheffield, Sheffield, UK</w:t>
            </w:r>
          </w:p>
        </w:tc>
        <w:tc>
          <w:tcPr>
            <w:tcW w:w="3415" w:type="dxa"/>
            <w:vMerge w:val="restart"/>
          </w:tcPr>
          <w:p w14:paraId="327A034E" w14:textId="3089E43A"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e.v.mccloskey@sheffield.ac.uk</w:t>
            </w:r>
          </w:p>
        </w:tc>
      </w:tr>
      <w:tr w:rsidR="009E6DB1" w:rsidRPr="00F054D3" w14:paraId="0ABC61F0" w14:textId="77777777" w:rsidTr="00842928">
        <w:tc>
          <w:tcPr>
            <w:tcW w:w="650" w:type="dxa"/>
            <w:vMerge/>
          </w:tcPr>
          <w:p w14:paraId="4065EBAB" w14:textId="77777777" w:rsidR="009E6DB1" w:rsidRPr="00F054D3" w:rsidRDefault="009E6DB1" w:rsidP="00D22FF7">
            <w:pPr>
              <w:suppressAutoHyphens/>
              <w:spacing w:line="240" w:lineRule="auto"/>
              <w:jc w:val="right"/>
              <w:rPr>
                <w:rFonts w:cs="Calibri"/>
                <w:sz w:val="22"/>
                <w:szCs w:val="22"/>
                <w:lang w:val="en-GB"/>
              </w:rPr>
            </w:pPr>
          </w:p>
        </w:tc>
        <w:tc>
          <w:tcPr>
            <w:tcW w:w="1636" w:type="dxa"/>
            <w:vMerge/>
          </w:tcPr>
          <w:p w14:paraId="210EDC7C" w14:textId="77777777" w:rsidR="009E6DB1" w:rsidRPr="00F054D3" w:rsidRDefault="009E6DB1" w:rsidP="00D22FF7">
            <w:pPr>
              <w:suppressAutoHyphens/>
              <w:spacing w:line="240" w:lineRule="auto"/>
              <w:rPr>
                <w:rFonts w:cs="Calibri"/>
                <w:sz w:val="22"/>
                <w:szCs w:val="22"/>
                <w:lang w:val="en-GB"/>
              </w:rPr>
            </w:pPr>
          </w:p>
        </w:tc>
        <w:tc>
          <w:tcPr>
            <w:tcW w:w="3526" w:type="dxa"/>
          </w:tcPr>
          <w:p w14:paraId="522D40F6" w14:textId="219BDA25" w:rsidR="009E6DB1" w:rsidRPr="00F054D3" w:rsidRDefault="009E6DB1" w:rsidP="00D22FF7">
            <w:pPr>
              <w:suppressAutoHyphens/>
              <w:spacing w:line="240" w:lineRule="auto"/>
              <w:rPr>
                <w:rFonts w:eastAsia="Times New Roman" w:cs="Calibri"/>
                <w:sz w:val="22"/>
                <w:szCs w:val="22"/>
                <w:lang w:val="ru-RU" w:eastAsia="ru-RU"/>
              </w:rPr>
            </w:pPr>
            <w:r w:rsidRPr="00F054D3">
              <w:rPr>
                <w:rFonts w:eastAsia="Times New Roman" w:cs="Calibri"/>
                <w:sz w:val="22"/>
                <w:szCs w:val="22"/>
                <w:lang w:val="ru-RU" w:eastAsia="ru-RU"/>
              </w:rPr>
              <w:t xml:space="preserve">Mellanby Centre for </w:t>
            </w:r>
            <w:r w:rsidR="00964148" w:rsidRPr="00F054D3">
              <w:rPr>
                <w:rFonts w:eastAsia="Times New Roman" w:cs="Calibri"/>
                <w:sz w:val="22"/>
                <w:szCs w:val="22"/>
                <w:lang w:val="en-GB" w:eastAsia="ru-RU"/>
              </w:rPr>
              <w:t>Musculoskeletal</w:t>
            </w:r>
            <w:r w:rsidR="00964148" w:rsidRPr="00F054D3">
              <w:rPr>
                <w:rFonts w:eastAsia="Times New Roman" w:cs="Calibri"/>
                <w:sz w:val="22"/>
                <w:szCs w:val="22"/>
                <w:lang w:val="ru-RU" w:eastAsia="ru-RU"/>
              </w:rPr>
              <w:t xml:space="preserve"> </w:t>
            </w:r>
            <w:r w:rsidRPr="00F054D3">
              <w:rPr>
                <w:rFonts w:eastAsia="Times New Roman" w:cs="Calibri"/>
                <w:sz w:val="22"/>
                <w:szCs w:val="22"/>
                <w:lang w:val="ru-RU" w:eastAsia="ru-RU"/>
              </w:rPr>
              <w:t>Research, Department of Oncology and Metabolism, University of Sheffield, Sheffield, UK</w:t>
            </w:r>
          </w:p>
        </w:tc>
        <w:tc>
          <w:tcPr>
            <w:tcW w:w="3415" w:type="dxa"/>
            <w:vMerge/>
          </w:tcPr>
          <w:p w14:paraId="2D21F4E3" w14:textId="77777777" w:rsidR="009E6DB1" w:rsidRPr="00F054D3" w:rsidRDefault="009E6DB1" w:rsidP="00D22FF7">
            <w:pPr>
              <w:suppressAutoHyphens/>
              <w:spacing w:line="240" w:lineRule="auto"/>
              <w:rPr>
                <w:rFonts w:cs="Calibri"/>
                <w:sz w:val="22"/>
                <w:szCs w:val="22"/>
                <w:lang w:val="en-GB"/>
              </w:rPr>
            </w:pPr>
          </w:p>
        </w:tc>
      </w:tr>
      <w:tr w:rsidR="009E6DB1" w:rsidRPr="00F054D3" w14:paraId="25A642EE" w14:textId="77777777" w:rsidTr="00842928">
        <w:tc>
          <w:tcPr>
            <w:tcW w:w="650" w:type="dxa"/>
            <w:vMerge w:val="restart"/>
          </w:tcPr>
          <w:p w14:paraId="7CEE9A2B" w14:textId="5BED77DA" w:rsidR="009E6DB1" w:rsidRPr="00F054D3" w:rsidRDefault="009E6DB1" w:rsidP="00D22FF7">
            <w:pPr>
              <w:suppressAutoHyphens/>
              <w:spacing w:line="240" w:lineRule="auto"/>
              <w:jc w:val="right"/>
              <w:rPr>
                <w:rFonts w:cs="Calibri"/>
                <w:sz w:val="22"/>
                <w:szCs w:val="22"/>
                <w:lang w:val="en-GB"/>
              </w:rPr>
            </w:pPr>
            <w:r w:rsidRPr="00F054D3">
              <w:rPr>
                <w:rFonts w:cs="Calibri"/>
                <w:sz w:val="22"/>
                <w:szCs w:val="22"/>
                <w:lang w:val="en-GB"/>
              </w:rPr>
              <w:t>JA</w:t>
            </w:r>
          </w:p>
        </w:tc>
        <w:tc>
          <w:tcPr>
            <w:tcW w:w="1636" w:type="dxa"/>
            <w:vMerge w:val="restart"/>
          </w:tcPr>
          <w:p w14:paraId="174B4166" w14:textId="4B294491"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Kanis</w:t>
            </w:r>
          </w:p>
        </w:tc>
        <w:tc>
          <w:tcPr>
            <w:tcW w:w="3526" w:type="dxa"/>
          </w:tcPr>
          <w:p w14:paraId="3D18A9CA" w14:textId="12155E0F"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Mary McKillop Institute for Health Research, Australian Catholic University, Melbourne, Australia</w:t>
            </w:r>
          </w:p>
        </w:tc>
        <w:tc>
          <w:tcPr>
            <w:tcW w:w="3415" w:type="dxa"/>
            <w:vMerge w:val="restart"/>
          </w:tcPr>
          <w:p w14:paraId="76368C03" w14:textId="69156CC4"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w.j.pontefract@shef.ac.uk</w:t>
            </w:r>
          </w:p>
        </w:tc>
      </w:tr>
      <w:tr w:rsidR="009E6DB1" w:rsidRPr="00F054D3" w14:paraId="4FA525E7" w14:textId="77777777" w:rsidTr="00842928">
        <w:tc>
          <w:tcPr>
            <w:tcW w:w="650" w:type="dxa"/>
            <w:vMerge/>
          </w:tcPr>
          <w:p w14:paraId="1389F9C1" w14:textId="77777777" w:rsidR="009E6DB1" w:rsidRPr="00F054D3" w:rsidRDefault="009E6DB1" w:rsidP="00D22FF7">
            <w:pPr>
              <w:suppressAutoHyphens/>
              <w:spacing w:line="240" w:lineRule="auto"/>
              <w:jc w:val="right"/>
              <w:rPr>
                <w:rFonts w:cs="Calibri"/>
                <w:sz w:val="22"/>
                <w:szCs w:val="22"/>
                <w:lang w:val="en-GB"/>
              </w:rPr>
            </w:pPr>
          </w:p>
        </w:tc>
        <w:tc>
          <w:tcPr>
            <w:tcW w:w="1636" w:type="dxa"/>
            <w:vMerge/>
          </w:tcPr>
          <w:p w14:paraId="2F3F18C9" w14:textId="77777777" w:rsidR="009E6DB1" w:rsidRPr="00F054D3" w:rsidRDefault="009E6DB1" w:rsidP="00D22FF7">
            <w:pPr>
              <w:suppressAutoHyphens/>
              <w:spacing w:line="240" w:lineRule="auto"/>
              <w:rPr>
                <w:rFonts w:cs="Calibri"/>
                <w:sz w:val="22"/>
                <w:szCs w:val="22"/>
                <w:lang w:val="en-GB"/>
              </w:rPr>
            </w:pPr>
          </w:p>
        </w:tc>
        <w:tc>
          <w:tcPr>
            <w:tcW w:w="3526" w:type="dxa"/>
          </w:tcPr>
          <w:p w14:paraId="22A6AF4A" w14:textId="06AA1269"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Centre for Metabolic Bone Diseases, University of Sheffield, Sheffield, UK</w:t>
            </w:r>
          </w:p>
        </w:tc>
        <w:tc>
          <w:tcPr>
            <w:tcW w:w="3415" w:type="dxa"/>
            <w:vMerge/>
          </w:tcPr>
          <w:p w14:paraId="6F9F5C4F" w14:textId="77777777" w:rsidR="009E6DB1" w:rsidRPr="00F054D3" w:rsidRDefault="009E6DB1" w:rsidP="00D22FF7">
            <w:pPr>
              <w:suppressAutoHyphens/>
              <w:spacing w:line="240" w:lineRule="auto"/>
              <w:rPr>
                <w:rFonts w:cs="Calibri"/>
                <w:sz w:val="22"/>
                <w:szCs w:val="22"/>
                <w:lang w:val="en-GB"/>
              </w:rPr>
            </w:pPr>
          </w:p>
        </w:tc>
      </w:tr>
      <w:tr w:rsidR="009E6DB1" w:rsidRPr="00F054D3" w14:paraId="78149BB5" w14:textId="77777777" w:rsidTr="00842928">
        <w:tc>
          <w:tcPr>
            <w:tcW w:w="650" w:type="dxa"/>
            <w:vMerge w:val="restart"/>
          </w:tcPr>
          <w:p w14:paraId="7AE5B1FB" w14:textId="083D75EC" w:rsidR="009E6DB1" w:rsidRPr="00F054D3" w:rsidRDefault="009E6DB1" w:rsidP="00D22FF7">
            <w:pPr>
              <w:suppressAutoHyphens/>
              <w:spacing w:line="240" w:lineRule="auto"/>
              <w:jc w:val="right"/>
              <w:rPr>
                <w:rFonts w:cs="Calibri"/>
                <w:sz w:val="22"/>
                <w:szCs w:val="22"/>
                <w:lang w:val="en-GB"/>
              </w:rPr>
            </w:pPr>
            <w:r w:rsidRPr="00F054D3">
              <w:rPr>
                <w:rFonts w:cs="Calibri"/>
                <w:sz w:val="22"/>
                <w:szCs w:val="22"/>
                <w:lang w:val="en-GB"/>
              </w:rPr>
              <w:t>NC</w:t>
            </w:r>
          </w:p>
        </w:tc>
        <w:tc>
          <w:tcPr>
            <w:tcW w:w="1636" w:type="dxa"/>
            <w:vMerge w:val="restart"/>
          </w:tcPr>
          <w:p w14:paraId="6047A335" w14:textId="09383A22" w:rsidR="009E6DB1" w:rsidRPr="00F054D3" w:rsidRDefault="009E6DB1" w:rsidP="00D22FF7">
            <w:pPr>
              <w:suppressAutoHyphens/>
              <w:spacing w:line="240" w:lineRule="auto"/>
              <w:rPr>
                <w:rFonts w:cs="Calibri"/>
                <w:sz w:val="22"/>
                <w:szCs w:val="22"/>
                <w:lang w:val="en-GB"/>
              </w:rPr>
            </w:pPr>
            <w:r w:rsidRPr="00F054D3">
              <w:rPr>
                <w:rFonts w:cs="Calibri"/>
                <w:sz w:val="22"/>
                <w:szCs w:val="22"/>
                <w:lang w:val="en-GB"/>
              </w:rPr>
              <w:t>Harvey</w:t>
            </w:r>
          </w:p>
        </w:tc>
        <w:tc>
          <w:tcPr>
            <w:tcW w:w="3526" w:type="dxa"/>
          </w:tcPr>
          <w:p w14:paraId="374D0FCE" w14:textId="3AB64DEB" w:rsidR="009E6DB1" w:rsidRPr="00752FAD" w:rsidRDefault="009E6DB1" w:rsidP="00D22FF7">
            <w:pPr>
              <w:suppressAutoHyphens/>
              <w:spacing w:line="240" w:lineRule="auto"/>
              <w:rPr>
                <w:rFonts w:cs="Calibri"/>
                <w:sz w:val="22"/>
                <w:szCs w:val="22"/>
                <w:lang w:val="en-GB"/>
              </w:rPr>
            </w:pPr>
            <w:r w:rsidRPr="00F054D3">
              <w:rPr>
                <w:rFonts w:cs="Calibri"/>
                <w:sz w:val="22"/>
                <w:szCs w:val="22"/>
                <w:lang w:val="en-AU"/>
              </w:rPr>
              <w:t xml:space="preserve">MRC Lifecourse Epidemiology Unit, University of Southampton, Southampton, UK </w:t>
            </w:r>
          </w:p>
        </w:tc>
        <w:tc>
          <w:tcPr>
            <w:tcW w:w="3415" w:type="dxa"/>
            <w:vMerge w:val="restart"/>
          </w:tcPr>
          <w:p w14:paraId="22642CBA" w14:textId="5E8843E7" w:rsidR="009E6DB1" w:rsidRPr="00752FAD" w:rsidRDefault="009E6DB1" w:rsidP="00D22FF7">
            <w:pPr>
              <w:suppressAutoHyphens/>
              <w:spacing w:line="240" w:lineRule="auto"/>
              <w:rPr>
                <w:rFonts w:cs="Calibri"/>
                <w:sz w:val="22"/>
                <w:szCs w:val="22"/>
                <w:lang w:val="en-GB"/>
              </w:rPr>
            </w:pPr>
            <w:r w:rsidRPr="00F054D3">
              <w:rPr>
                <w:rFonts w:cs="Calibri"/>
                <w:sz w:val="22"/>
                <w:szCs w:val="22"/>
                <w:lang w:val="en-GB"/>
              </w:rPr>
              <w:t>nch@mrc.soton.ac.uk</w:t>
            </w:r>
          </w:p>
        </w:tc>
      </w:tr>
      <w:tr w:rsidR="009E6DB1" w:rsidRPr="00F054D3" w14:paraId="7872EB5A" w14:textId="77777777" w:rsidTr="00842928">
        <w:tc>
          <w:tcPr>
            <w:tcW w:w="650" w:type="dxa"/>
            <w:vMerge/>
          </w:tcPr>
          <w:p w14:paraId="23E76412" w14:textId="77777777" w:rsidR="009E6DB1" w:rsidRPr="00F054D3" w:rsidRDefault="009E6DB1" w:rsidP="00D22FF7">
            <w:pPr>
              <w:suppressAutoHyphens/>
              <w:spacing w:line="240" w:lineRule="auto"/>
              <w:jc w:val="right"/>
              <w:rPr>
                <w:rFonts w:cs="Calibri"/>
                <w:sz w:val="22"/>
                <w:szCs w:val="22"/>
                <w:lang w:val="en-GB"/>
              </w:rPr>
            </w:pPr>
          </w:p>
        </w:tc>
        <w:tc>
          <w:tcPr>
            <w:tcW w:w="1636" w:type="dxa"/>
            <w:vMerge/>
          </w:tcPr>
          <w:p w14:paraId="7EF6C507" w14:textId="77777777" w:rsidR="009E6DB1" w:rsidRPr="00F054D3" w:rsidRDefault="009E6DB1" w:rsidP="00D22FF7">
            <w:pPr>
              <w:suppressAutoHyphens/>
              <w:spacing w:line="240" w:lineRule="auto"/>
              <w:rPr>
                <w:rFonts w:cs="Calibri"/>
                <w:sz w:val="22"/>
                <w:szCs w:val="22"/>
                <w:lang w:val="en-GB"/>
              </w:rPr>
            </w:pPr>
          </w:p>
        </w:tc>
        <w:tc>
          <w:tcPr>
            <w:tcW w:w="3526" w:type="dxa"/>
          </w:tcPr>
          <w:p w14:paraId="5BF18A1D" w14:textId="7ED7F7A0" w:rsidR="009E6DB1" w:rsidRPr="00752FAD" w:rsidRDefault="009E6DB1" w:rsidP="00D22FF7">
            <w:pPr>
              <w:suppressAutoHyphens/>
              <w:spacing w:line="240" w:lineRule="auto"/>
              <w:rPr>
                <w:rFonts w:cs="Calibri"/>
                <w:sz w:val="22"/>
                <w:szCs w:val="22"/>
                <w:lang w:val="en-GB"/>
              </w:rPr>
            </w:pPr>
            <w:r w:rsidRPr="00F054D3">
              <w:rPr>
                <w:rFonts w:cs="Calibri"/>
                <w:sz w:val="22"/>
                <w:szCs w:val="22"/>
                <w:lang w:val="en-AU"/>
              </w:rPr>
              <w:t>NIHR Southampton Biomedical Research Centre, University of Southampton and University Hospital Southampton NHS Foundation Trust, Southampton, UK</w:t>
            </w:r>
          </w:p>
        </w:tc>
        <w:tc>
          <w:tcPr>
            <w:tcW w:w="3415" w:type="dxa"/>
            <w:vMerge/>
          </w:tcPr>
          <w:p w14:paraId="5C4C5C04" w14:textId="77777777" w:rsidR="009E6DB1" w:rsidRPr="00F054D3" w:rsidRDefault="009E6DB1" w:rsidP="00D22FF7">
            <w:pPr>
              <w:suppressAutoHyphens/>
              <w:spacing w:line="240" w:lineRule="auto"/>
              <w:rPr>
                <w:rFonts w:cs="Calibri"/>
                <w:sz w:val="22"/>
                <w:szCs w:val="22"/>
                <w:lang w:val="en-GB"/>
              </w:rPr>
            </w:pPr>
          </w:p>
        </w:tc>
      </w:tr>
    </w:tbl>
    <w:p w14:paraId="72DFC75D" w14:textId="77777777" w:rsidR="0030154D" w:rsidRPr="008C59DC" w:rsidRDefault="0030154D" w:rsidP="0030154D">
      <w:pPr>
        <w:suppressAutoHyphens/>
        <w:spacing w:after="0" w:line="360" w:lineRule="auto"/>
        <w:ind w:left="567"/>
        <w:rPr>
          <w:sz w:val="24"/>
          <w:szCs w:val="24"/>
          <w:lang w:val="en-GB"/>
        </w:rPr>
      </w:pPr>
    </w:p>
    <w:bookmarkEnd w:id="1"/>
    <w:p w14:paraId="1B3AE1A9" w14:textId="77777777" w:rsidR="008C59DC" w:rsidRPr="008C59DC" w:rsidRDefault="008C59DC" w:rsidP="008C59DC">
      <w:pPr>
        <w:spacing w:after="240" w:line="240" w:lineRule="auto"/>
        <w:ind w:left="567"/>
        <w:rPr>
          <w:rFonts w:eastAsia="MS Mincho"/>
          <w:sz w:val="24"/>
          <w:szCs w:val="24"/>
          <w:lang w:val="en-US" w:eastAsia="ja-JP"/>
        </w:rPr>
      </w:pPr>
      <w:r w:rsidRPr="008C59DC">
        <w:rPr>
          <w:rFonts w:eastAsia="MS Mincho"/>
          <w:sz w:val="24"/>
          <w:szCs w:val="24"/>
          <w:lang w:val="en-US" w:eastAsia="ja-JP"/>
        </w:rPr>
        <w:t>Author for correspondence</w:t>
      </w:r>
    </w:p>
    <w:p w14:paraId="3CEFCD76" w14:textId="77777777" w:rsidR="008C59DC" w:rsidRPr="008C59DC" w:rsidRDefault="008C59DC" w:rsidP="008C59DC">
      <w:pPr>
        <w:spacing w:after="240" w:line="240" w:lineRule="auto"/>
        <w:ind w:left="567"/>
        <w:rPr>
          <w:rFonts w:eastAsia="MS Mincho"/>
          <w:sz w:val="24"/>
          <w:szCs w:val="24"/>
          <w:lang w:val="en-US" w:eastAsia="ja-JP"/>
        </w:rPr>
      </w:pPr>
      <w:r w:rsidRPr="008C59DC">
        <w:rPr>
          <w:rFonts w:eastAsia="MS Mincho"/>
          <w:sz w:val="24"/>
          <w:szCs w:val="24"/>
          <w:lang w:val="en-US" w:eastAsia="ja-JP"/>
        </w:rPr>
        <w:t>John A Kanis (</w:t>
      </w:r>
      <w:r w:rsidRPr="008C59DC">
        <w:rPr>
          <w:rFonts w:eastAsia="MS Mincho" w:cs="Calibri"/>
          <w:sz w:val="24"/>
          <w:szCs w:val="24"/>
          <w:lang w:val="en-GB" w:eastAsia="ja-JP"/>
        </w:rPr>
        <w:sym w:font="Wingdings" w:char="F02A"/>
      </w:r>
      <w:r w:rsidRPr="008C59DC">
        <w:rPr>
          <w:rFonts w:eastAsia="MS Mincho" w:cs="Calibri"/>
          <w:sz w:val="24"/>
          <w:szCs w:val="24"/>
          <w:lang w:val="en-GB" w:eastAsia="ja-JP"/>
        </w:rPr>
        <w:t xml:space="preserve">) </w:t>
      </w:r>
      <w:r w:rsidRPr="008C59DC">
        <w:rPr>
          <w:rFonts w:eastAsia="MS Mincho"/>
          <w:sz w:val="24"/>
          <w:szCs w:val="24"/>
          <w:lang w:val="en-US" w:eastAsia="ja-JP"/>
        </w:rPr>
        <w:t>Centre for Metabolic Bone Diseases, University of Sheffield Medical School, Beech Hill Road, Sheffield S10 2RX, UK.</w:t>
      </w:r>
    </w:p>
    <w:p w14:paraId="2C10EE2D" w14:textId="43132118" w:rsidR="00015463" w:rsidRPr="009E6DB1" w:rsidRDefault="00015463" w:rsidP="00015463">
      <w:pPr>
        <w:ind w:left="567"/>
        <w:rPr>
          <w:sz w:val="24"/>
          <w:szCs w:val="24"/>
          <w:lang w:val="en-GB"/>
        </w:rPr>
      </w:pPr>
      <w:r w:rsidRPr="009E6DB1">
        <w:rPr>
          <w:b/>
          <w:bCs/>
          <w:sz w:val="24"/>
          <w:szCs w:val="24"/>
          <w:lang w:val="en-GB"/>
        </w:rPr>
        <w:lastRenderedPageBreak/>
        <w:t>Abstrac</w:t>
      </w:r>
      <w:r w:rsidRPr="009E6DB1">
        <w:rPr>
          <w:sz w:val="24"/>
          <w:szCs w:val="24"/>
          <w:lang w:val="en-GB"/>
        </w:rPr>
        <w:t xml:space="preserve">t </w:t>
      </w:r>
    </w:p>
    <w:p w14:paraId="208E03D9" w14:textId="3C7FF3FD" w:rsidR="00015463" w:rsidRPr="009E6DB1" w:rsidRDefault="00015463" w:rsidP="00015463">
      <w:pPr>
        <w:ind w:left="567"/>
        <w:rPr>
          <w:sz w:val="24"/>
          <w:szCs w:val="24"/>
          <w:lang w:val="en-GB"/>
        </w:rPr>
      </w:pPr>
      <w:r w:rsidRPr="009E6DB1">
        <w:rPr>
          <w:b/>
          <w:bCs/>
          <w:sz w:val="24"/>
          <w:szCs w:val="24"/>
          <w:lang w:val="en-GB"/>
        </w:rPr>
        <w:t xml:space="preserve">Summary </w:t>
      </w:r>
      <w:r w:rsidRPr="009E6DB1">
        <w:rPr>
          <w:sz w:val="24"/>
          <w:szCs w:val="24"/>
          <w:lang w:val="en-GB"/>
        </w:rPr>
        <w:t xml:space="preserve">We </w:t>
      </w:r>
      <w:r w:rsidR="00EC3747">
        <w:rPr>
          <w:sz w:val="24"/>
          <w:szCs w:val="24"/>
          <w:lang w:val="en-GB"/>
        </w:rPr>
        <w:t>compared,</w:t>
      </w:r>
      <w:r w:rsidR="00EC3747" w:rsidRPr="009E6DB1">
        <w:rPr>
          <w:sz w:val="24"/>
          <w:szCs w:val="24"/>
          <w:lang w:val="en-GB"/>
        </w:rPr>
        <w:t xml:space="preserve"> for women in Pakistan</w:t>
      </w:r>
      <w:r w:rsidR="00EC3747">
        <w:rPr>
          <w:sz w:val="24"/>
          <w:szCs w:val="24"/>
          <w:lang w:val="en-GB"/>
        </w:rPr>
        <w:t>,</w:t>
      </w:r>
      <w:r w:rsidR="00EC3747" w:rsidRPr="009E6DB1">
        <w:rPr>
          <w:sz w:val="24"/>
          <w:szCs w:val="24"/>
          <w:lang w:val="en-GB"/>
        </w:rPr>
        <w:t xml:space="preserve"> </w:t>
      </w:r>
      <w:r w:rsidRPr="009E6DB1">
        <w:rPr>
          <w:sz w:val="24"/>
          <w:szCs w:val="24"/>
          <w:lang w:val="en-GB"/>
        </w:rPr>
        <w:t xml:space="preserve">the utility of intervention thresholds </w:t>
      </w:r>
      <w:r w:rsidR="00EC3747">
        <w:rPr>
          <w:sz w:val="24"/>
          <w:szCs w:val="24"/>
          <w:lang w:val="en-GB"/>
        </w:rPr>
        <w:t xml:space="preserve">either at </w:t>
      </w:r>
      <w:r w:rsidRPr="009E6DB1">
        <w:rPr>
          <w:sz w:val="24"/>
          <w:szCs w:val="24"/>
          <w:lang w:val="en-GB"/>
        </w:rPr>
        <w:t>a T-score ≤−</w:t>
      </w:r>
      <w:r w:rsidR="00AB2F00" w:rsidRPr="009E6DB1">
        <w:rPr>
          <w:sz w:val="24"/>
          <w:szCs w:val="24"/>
          <w:lang w:val="en-GB"/>
        </w:rPr>
        <w:t>2.5</w:t>
      </w:r>
      <w:r w:rsidR="00AB2F00">
        <w:rPr>
          <w:sz w:val="24"/>
          <w:szCs w:val="24"/>
          <w:lang w:val="en-GB"/>
        </w:rPr>
        <w:t xml:space="preserve"> or</w:t>
      </w:r>
      <w:r w:rsidR="00EC3747">
        <w:rPr>
          <w:sz w:val="24"/>
          <w:szCs w:val="24"/>
          <w:lang w:val="en-GB"/>
        </w:rPr>
        <w:t xml:space="preserve"> based on a</w:t>
      </w:r>
      <w:r w:rsidRPr="009E6DB1">
        <w:rPr>
          <w:sz w:val="24"/>
          <w:szCs w:val="24"/>
          <w:lang w:val="en-GB"/>
        </w:rPr>
        <w:t xml:space="preserve"> FRAX</w:t>
      </w:r>
      <w:r w:rsidR="00EC3747">
        <w:rPr>
          <w:sz w:val="24"/>
          <w:szCs w:val="24"/>
          <w:lang w:val="en-GB"/>
        </w:rPr>
        <w:t xml:space="preserve"> probability</w:t>
      </w:r>
      <w:r w:rsidRPr="009E6DB1">
        <w:rPr>
          <w:sz w:val="24"/>
          <w:szCs w:val="24"/>
          <w:lang w:val="en-GB"/>
        </w:rPr>
        <w:t xml:space="preserve"> equivalent to women of average </w:t>
      </w:r>
      <w:r w:rsidR="007E096A">
        <w:rPr>
          <w:sz w:val="24"/>
          <w:szCs w:val="24"/>
          <w:lang w:val="en-GB"/>
        </w:rPr>
        <w:t>body mass index</w:t>
      </w:r>
      <w:r w:rsidR="00146D2E" w:rsidRPr="009E6DB1">
        <w:rPr>
          <w:sz w:val="24"/>
          <w:szCs w:val="24"/>
          <w:lang w:val="en-GB"/>
        </w:rPr>
        <w:t xml:space="preserve"> </w:t>
      </w:r>
      <w:r w:rsidR="007623DA">
        <w:rPr>
          <w:sz w:val="24"/>
          <w:szCs w:val="24"/>
          <w:lang w:val="en-GB"/>
        </w:rPr>
        <w:t xml:space="preserve">(BMI) </w:t>
      </w:r>
      <w:r w:rsidRPr="009E6DB1">
        <w:rPr>
          <w:sz w:val="24"/>
          <w:szCs w:val="24"/>
          <w:lang w:val="en-GB"/>
        </w:rPr>
        <w:t xml:space="preserve">with a prior fragility fracture.  Whereas the FRAX-based intervention threshold identified women at high fracture probability, the T-score threshold was less sensitive, and the associated fracture risk decreased markedly with age. </w:t>
      </w:r>
    </w:p>
    <w:p w14:paraId="59B20BA6" w14:textId="797E042C" w:rsidR="00015463" w:rsidRPr="009E6DB1" w:rsidRDefault="00015463" w:rsidP="00015463">
      <w:pPr>
        <w:ind w:left="567"/>
        <w:rPr>
          <w:sz w:val="24"/>
          <w:szCs w:val="24"/>
          <w:lang w:val="en-GB"/>
        </w:rPr>
      </w:pPr>
      <w:r w:rsidRPr="009E6DB1">
        <w:rPr>
          <w:b/>
          <w:bCs/>
          <w:sz w:val="24"/>
          <w:szCs w:val="24"/>
          <w:lang w:val="en-GB"/>
        </w:rPr>
        <w:t>Purpose</w:t>
      </w:r>
      <w:r w:rsidRPr="009E6DB1">
        <w:rPr>
          <w:sz w:val="24"/>
          <w:szCs w:val="24"/>
          <w:lang w:val="en-GB"/>
        </w:rPr>
        <w:t xml:space="preserve"> The fracture risk assessment algorithm FRAX® has been recently calibrated for Pakistan, but guidance is needed on how to apply fracture probabilities to clinical practice.  </w:t>
      </w:r>
    </w:p>
    <w:p w14:paraId="1E75C690" w14:textId="04383E73" w:rsidR="00015463" w:rsidRPr="009E6DB1" w:rsidRDefault="00015463" w:rsidP="00015463">
      <w:pPr>
        <w:ind w:left="567"/>
        <w:rPr>
          <w:sz w:val="24"/>
          <w:szCs w:val="24"/>
          <w:lang w:val="en-GB"/>
        </w:rPr>
      </w:pPr>
      <w:r w:rsidRPr="009E6DB1">
        <w:rPr>
          <w:b/>
          <w:bCs/>
          <w:sz w:val="24"/>
          <w:szCs w:val="24"/>
          <w:lang w:val="en-GB"/>
        </w:rPr>
        <w:t>Methods</w:t>
      </w:r>
      <w:r w:rsidRPr="009E6DB1">
        <w:rPr>
          <w:sz w:val="24"/>
          <w:szCs w:val="24"/>
          <w:lang w:val="en-GB"/>
        </w:rPr>
        <w:t xml:space="preserve"> The age-specific ten-year probabilities of a major osteoporotic fracture were calculated in women with average BMI to determine fracture probabilities at two potential intervention thresholds. The first comprised the age-specific fracture probabilities associated with a femoral neck T-score of -2.5.  The second approach determined age-specific fracture probabilities that were equivalent to a woman with a prior fragility fracture, without </w:t>
      </w:r>
      <w:r w:rsidR="00335E9D">
        <w:rPr>
          <w:sz w:val="24"/>
          <w:szCs w:val="24"/>
          <w:lang w:val="en-GB"/>
        </w:rPr>
        <w:t>bone mineral density (</w:t>
      </w:r>
      <w:r w:rsidRPr="009E6DB1">
        <w:rPr>
          <w:sz w:val="24"/>
          <w:szCs w:val="24"/>
          <w:lang w:val="en-GB"/>
        </w:rPr>
        <w:t>BMD</w:t>
      </w:r>
      <w:r w:rsidR="00335E9D">
        <w:rPr>
          <w:sz w:val="24"/>
          <w:szCs w:val="24"/>
          <w:lang w:val="en-GB"/>
        </w:rPr>
        <w:t>)</w:t>
      </w:r>
      <w:r w:rsidRPr="009E6DB1">
        <w:rPr>
          <w:sz w:val="24"/>
          <w:szCs w:val="24"/>
          <w:lang w:val="en-GB"/>
        </w:rPr>
        <w:t>. The parsimonious use of BMD was additionally explored by the computation of upper and lower assessment thresholds for BMD testing.</w:t>
      </w:r>
    </w:p>
    <w:p w14:paraId="274F31F8" w14:textId="4428044D" w:rsidR="00015463" w:rsidRPr="009E6DB1" w:rsidRDefault="00015463" w:rsidP="00015463">
      <w:pPr>
        <w:ind w:left="567"/>
        <w:rPr>
          <w:sz w:val="24"/>
          <w:szCs w:val="24"/>
          <w:lang w:val="en-GB"/>
        </w:rPr>
      </w:pPr>
      <w:r w:rsidRPr="009E6DB1">
        <w:rPr>
          <w:b/>
          <w:bCs/>
          <w:sz w:val="24"/>
          <w:szCs w:val="24"/>
          <w:lang w:val="en-GB"/>
        </w:rPr>
        <w:t>Results</w:t>
      </w:r>
      <w:r w:rsidRPr="009E6DB1">
        <w:rPr>
          <w:sz w:val="24"/>
          <w:szCs w:val="24"/>
          <w:lang w:val="en-GB"/>
        </w:rPr>
        <w:t xml:space="preserve"> When a BMD T-score ≤−2.5 was used as an intervention threshold, FRAX probabilities in women aged 50 years </w:t>
      </w:r>
      <w:r w:rsidR="00EC3747">
        <w:rPr>
          <w:sz w:val="24"/>
          <w:szCs w:val="24"/>
          <w:lang w:val="en-GB"/>
        </w:rPr>
        <w:t>were</w:t>
      </w:r>
      <w:r w:rsidR="00EC3747" w:rsidRPr="009E6DB1">
        <w:rPr>
          <w:sz w:val="24"/>
          <w:szCs w:val="24"/>
          <w:lang w:val="en-GB"/>
        </w:rPr>
        <w:t xml:space="preserve"> </w:t>
      </w:r>
      <w:r w:rsidRPr="009E6DB1">
        <w:rPr>
          <w:sz w:val="24"/>
          <w:szCs w:val="24"/>
          <w:lang w:val="en-GB"/>
        </w:rPr>
        <w:t>approximately two-fold higher than in women of the same age but with no risk factors</w:t>
      </w:r>
      <w:r w:rsidR="004D1483">
        <w:rPr>
          <w:sz w:val="24"/>
          <w:szCs w:val="24"/>
          <w:lang w:val="en-GB"/>
        </w:rPr>
        <w:t xml:space="preserve"> and</w:t>
      </w:r>
      <w:r w:rsidR="004D1483" w:rsidRPr="004D1483">
        <w:t xml:space="preserve"> </w:t>
      </w:r>
      <w:r w:rsidR="004D1483" w:rsidRPr="004D1483">
        <w:rPr>
          <w:sz w:val="24"/>
          <w:szCs w:val="24"/>
          <w:lang w:val="en-GB"/>
        </w:rPr>
        <w:t>average BMD</w:t>
      </w:r>
      <w:r w:rsidRPr="009E6DB1">
        <w:rPr>
          <w:sz w:val="24"/>
          <w:szCs w:val="24"/>
          <w:lang w:val="en-GB"/>
        </w:rPr>
        <w:t>. The relative increase in risk associated with the BMD threshold decreased progressively with age such that, at the age of 80 years or more, a T-score of -2.5 was actually protective. The 10-year probability of a major osteoporotic fracture by age, equivalent to women with a previous fracture</w:t>
      </w:r>
      <w:r w:rsidR="00EC3747">
        <w:rPr>
          <w:sz w:val="24"/>
          <w:szCs w:val="24"/>
          <w:lang w:val="en-GB"/>
        </w:rPr>
        <w:t>,</w:t>
      </w:r>
      <w:r w:rsidRPr="009E6DB1">
        <w:rPr>
          <w:sz w:val="24"/>
          <w:szCs w:val="24"/>
          <w:lang w:val="en-GB"/>
        </w:rPr>
        <w:t xml:space="preserve"> rose with age from </w:t>
      </w:r>
      <w:r w:rsidR="009E6DB1" w:rsidRPr="009E6DB1">
        <w:rPr>
          <w:sz w:val="24"/>
          <w:szCs w:val="24"/>
          <w:lang w:val="en-GB"/>
        </w:rPr>
        <w:t>2.1</w:t>
      </w:r>
      <w:r w:rsidRPr="009E6DB1">
        <w:rPr>
          <w:sz w:val="24"/>
          <w:szCs w:val="24"/>
          <w:lang w:val="en-GB"/>
        </w:rPr>
        <w:t xml:space="preserve">% at the age of </w:t>
      </w:r>
      <w:r w:rsidR="009E6DB1" w:rsidRPr="009E6DB1">
        <w:rPr>
          <w:sz w:val="24"/>
          <w:szCs w:val="24"/>
          <w:lang w:val="en-GB"/>
        </w:rPr>
        <w:t>4</w:t>
      </w:r>
      <w:r w:rsidRPr="009E6DB1">
        <w:rPr>
          <w:sz w:val="24"/>
          <w:szCs w:val="24"/>
          <w:lang w:val="en-GB"/>
        </w:rPr>
        <w:t xml:space="preserve">0 years to 17%, at the age of </w:t>
      </w:r>
      <w:r w:rsidR="009E6DB1" w:rsidRPr="009E6DB1">
        <w:rPr>
          <w:sz w:val="24"/>
          <w:szCs w:val="24"/>
          <w:lang w:val="en-GB"/>
        </w:rPr>
        <w:t>9</w:t>
      </w:r>
      <w:r w:rsidRPr="009E6DB1">
        <w:rPr>
          <w:sz w:val="24"/>
          <w:szCs w:val="24"/>
          <w:lang w:val="en-GB"/>
        </w:rPr>
        <w:t xml:space="preserve">0 years, and identified women at increased risk at all ages. </w:t>
      </w:r>
    </w:p>
    <w:p w14:paraId="243CBEA7" w14:textId="77777777" w:rsidR="00015463" w:rsidRPr="009E6DB1" w:rsidRDefault="00015463" w:rsidP="00015463">
      <w:pPr>
        <w:ind w:left="567"/>
        <w:rPr>
          <w:sz w:val="24"/>
          <w:szCs w:val="24"/>
          <w:lang w:val="en-GB"/>
        </w:rPr>
      </w:pPr>
      <w:r w:rsidRPr="009E6DB1">
        <w:rPr>
          <w:b/>
          <w:bCs/>
          <w:sz w:val="24"/>
          <w:szCs w:val="24"/>
          <w:lang w:val="en-GB"/>
        </w:rPr>
        <w:t xml:space="preserve">Conclusion </w:t>
      </w:r>
      <w:r w:rsidRPr="009E6DB1">
        <w:rPr>
          <w:sz w:val="24"/>
          <w:szCs w:val="24"/>
          <w:lang w:val="en-GB"/>
        </w:rPr>
        <w:t xml:space="preserve">Intervention thresholds based on BMD alone do not effectively target women at high fracture risk, particularly in the elderly. In contrast, intervention thresholds based on fracture probabilities equivalent to a ‘fracture threshold’ target women at high fracture risk. </w:t>
      </w:r>
    </w:p>
    <w:p w14:paraId="1CECA668" w14:textId="08FDC87A" w:rsidR="00015463" w:rsidRPr="009E6DB1" w:rsidRDefault="00015463" w:rsidP="00580ED2">
      <w:pPr>
        <w:ind w:left="567"/>
        <w:rPr>
          <w:sz w:val="24"/>
          <w:szCs w:val="24"/>
          <w:lang w:val="en-GB"/>
        </w:rPr>
      </w:pPr>
      <w:r w:rsidRPr="009E6DB1">
        <w:rPr>
          <w:b/>
          <w:bCs/>
          <w:sz w:val="24"/>
          <w:szCs w:val="24"/>
          <w:lang w:val="en-GB"/>
        </w:rPr>
        <w:t>Keywords</w:t>
      </w:r>
      <w:r w:rsidRPr="009E6DB1">
        <w:rPr>
          <w:sz w:val="24"/>
          <w:szCs w:val="24"/>
          <w:lang w:val="en-GB"/>
        </w:rPr>
        <w:t xml:space="preserve"> FRAX · Fracture probability · Guidelines</w:t>
      </w:r>
      <w:bookmarkStart w:id="2" w:name="_Hlk64717202"/>
      <w:r w:rsidRPr="009E6DB1">
        <w:rPr>
          <w:sz w:val="24"/>
          <w:szCs w:val="24"/>
          <w:lang w:val="en-GB"/>
        </w:rPr>
        <w:t xml:space="preserve"> · </w:t>
      </w:r>
      <w:bookmarkEnd w:id="2"/>
      <w:r w:rsidRPr="009E6DB1">
        <w:rPr>
          <w:sz w:val="24"/>
          <w:szCs w:val="24"/>
          <w:lang w:val="en-GB"/>
        </w:rPr>
        <w:t>Intervention threshold · Osteoporosis ·</w:t>
      </w:r>
      <w:r w:rsidR="00EC3747">
        <w:rPr>
          <w:sz w:val="24"/>
          <w:szCs w:val="24"/>
          <w:lang w:val="en-GB"/>
        </w:rPr>
        <w:t xml:space="preserve"> Epidemiology</w:t>
      </w:r>
      <w:r w:rsidR="00EC3747" w:rsidRPr="009E6DB1">
        <w:rPr>
          <w:sz w:val="24"/>
          <w:szCs w:val="24"/>
          <w:lang w:val="en-GB"/>
        </w:rPr>
        <w:t xml:space="preserve"> · </w:t>
      </w:r>
      <w:r w:rsidRPr="009E6DB1">
        <w:rPr>
          <w:sz w:val="24"/>
          <w:szCs w:val="24"/>
          <w:lang w:val="en-GB"/>
        </w:rPr>
        <w:t>Pakistan</w:t>
      </w:r>
      <w:r w:rsidR="00580ED2" w:rsidRPr="009E6DB1">
        <w:rPr>
          <w:sz w:val="24"/>
          <w:szCs w:val="24"/>
          <w:lang w:val="en-GB"/>
        </w:rPr>
        <w:t xml:space="preserve"> </w:t>
      </w:r>
    </w:p>
    <w:p w14:paraId="6E644713" w14:textId="77777777" w:rsidR="00015463" w:rsidRPr="009E6DB1" w:rsidRDefault="00015463" w:rsidP="00015463">
      <w:pPr>
        <w:ind w:left="567"/>
        <w:rPr>
          <w:sz w:val="24"/>
          <w:szCs w:val="24"/>
          <w:lang w:val="en-GB"/>
        </w:rPr>
      </w:pPr>
    </w:p>
    <w:p w14:paraId="7868EEF7" w14:textId="77777777" w:rsidR="00015463" w:rsidRDefault="00015463" w:rsidP="00015463">
      <w:pPr>
        <w:ind w:left="567"/>
        <w:rPr>
          <w:lang w:val="en-GB"/>
        </w:rPr>
      </w:pPr>
    </w:p>
    <w:p w14:paraId="7D063638" w14:textId="77777777" w:rsidR="00015463" w:rsidRDefault="00015463">
      <w:pPr>
        <w:spacing w:after="0" w:line="240" w:lineRule="auto"/>
        <w:rPr>
          <w:lang w:val="en-GB"/>
        </w:rPr>
      </w:pPr>
      <w:r>
        <w:rPr>
          <w:lang w:val="en-GB"/>
        </w:rPr>
        <w:br w:type="page"/>
      </w:r>
    </w:p>
    <w:p w14:paraId="78B7423D" w14:textId="0A1C88F9" w:rsidR="002F052D" w:rsidRPr="003C331C" w:rsidRDefault="002F052D" w:rsidP="00190B8D">
      <w:pPr>
        <w:ind w:left="567"/>
        <w:rPr>
          <w:rFonts w:asciiTheme="minorHAnsi" w:hAnsiTheme="minorHAnsi" w:cstheme="minorHAnsi"/>
          <w:b/>
          <w:bCs/>
          <w:sz w:val="24"/>
          <w:szCs w:val="24"/>
          <w:shd w:val="clear" w:color="auto" w:fill="FFFFFF"/>
          <w:lang w:val="en-GB"/>
        </w:rPr>
      </w:pPr>
      <w:r w:rsidRPr="003C331C">
        <w:rPr>
          <w:rFonts w:asciiTheme="minorHAnsi" w:hAnsiTheme="minorHAnsi" w:cstheme="minorHAnsi"/>
          <w:b/>
          <w:bCs/>
          <w:sz w:val="24"/>
          <w:szCs w:val="24"/>
          <w:shd w:val="clear" w:color="auto" w:fill="FFFFFF"/>
          <w:lang w:val="en-GB"/>
        </w:rPr>
        <w:t>Introduction</w:t>
      </w:r>
      <w:r w:rsidR="00F579DA" w:rsidRPr="003C331C">
        <w:rPr>
          <w:rFonts w:asciiTheme="minorHAnsi" w:hAnsiTheme="minorHAnsi" w:cstheme="minorHAnsi"/>
          <w:b/>
          <w:bCs/>
          <w:sz w:val="24"/>
          <w:szCs w:val="24"/>
          <w:shd w:val="clear" w:color="auto" w:fill="FFFFFF"/>
          <w:lang w:val="en-GB"/>
        </w:rPr>
        <w:t xml:space="preserve"> </w:t>
      </w:r>
    </w:p>
    <w:p w14:paraId="168098DB" w14:textId="2B0CA276" w:rsidR="00184EC9" w:rsidRDefault="002F052D" w:rsidP="00190B8D">
      <w:pPr>
        <w:ind w:left="567"/>
        <w:rPr>
          <w:rFonts w:asciiTheme="minorHAnsi" w:hAnsiTheme="minorHAnsi" w:cstheme="minorHAnsi"/>
          <w:sz w:val="24"/>
          <w:szCs w:val="24"/>
          <w:shd w:val="clear" w:color="auto" w:fill="FFFFFF"/>
          <w:lang w:val="en-GB"/>
        </w:rPr>
      </w:pPr>
      <w:bookmarkStart w:id="3" w:name="_Hlk24989621"/>
      <w:r w:rsidRPr="003C331C">
        <w:rPr>
          <w:rFonts w:asciiTheme="minorHAnsi" w:hAnsiTheme="minorHAnsi" w:cstheme="minorHAnsi"/>
          <w:sz w:val="24"/>
          <w:szCs w:val="24"/>
          <w:shd w:val="clear" w:color="auto" w:fill="FFFFFF"/>
          <w:lang w:val="en-GB"/>
        </w:rPr>
        <w:t xml:space="preserve">Osteoporosis is a common, chronic, and costly condition; its </w:t>
      </w:r>
      <w:r w:rsidR="00547B3E" w:rsidRPr="003C331C">
        <w:rPr>
          <w:rFonts w:asciiTheme="minorHAnsi" w:hAnsiTheme="minorHAnsi" w:cstheme="minorHAnsi"/>
          <w:sz w:val="24"/>
          <w:szCs w:val="24"/>
          <w:shd w:val="clear" w:color="auto" w:fill="FFFFFF"/>
          <w:lang w:val="en-GB"/>
        </w:rPr>
        <w:t>ma</w:t>
      </w:r>
      <w:r w:rsidR="00862333" w:rsidRPr="003C331C">
        <w:rPr>
          <w:rFonts w:asciiTheme="minorHAnsi" w:hAnsiTheme="minorHAnsi" w:cstheme="minorHAnsi"/>
          <w:sz w:val="24"/>
          <w:szCs w:val="24"/>
          <w:shd w:val="clear" w:color="auto" w:fill="FFFFFF"/>
          <w:lang w:val="en-GB"/>
        </w:rPr>
        <w:t>jor</w:t>
      </w:r>
      <w:r w:rsidRPr="003C331C">
        <w:rPr>
          <w:rFonts w:asciiTheme="minorHAnsi" w:hAnsiTheme="minorHAnsi" w:cstheme="minorHAnsi"/>
          <w:sz w:val="24"/>
          <w:szCs w:val="24"/>
          <w:shd w:val="clear" w:color="auto" w:fill="FFFFFF"/>
          <w:lang w:val="en-GB"/>
        </w:rPr>
        <w:t xml:space="preserve"> clinical consequence is fracture</w:t>
      </w:r>
      <w:r w:rsidR="00964148">
        <w:rPr>
          <w:rFonts w:asciiTheme="minorHAnsi" w:hAnsiTheme="minorHAnsi" w:cstheme="minorHAnsi"/>
          <w:sz w:val="24"/>
          <w:szCs w:val="24"/>
          <w:shd w:val="clear" w:color="auto" w:fill="FFFFFF"/>
          <w:lang w:val="en-GB"/>
        </w:rPr>
        <w:t>, with an</w:t>
      </w:r>
      <w:r w:rsidRPr="003C331C">
        <w:rPr>
          <w:rFonts w:asciiTheme="minorHAnsi" w:hAnsiTheme="minorHAnsi" w:cstheme="minorHAnsi"/>
          <w:sz w:val="24"/>
          <w:szCs w:val="24"/>
          <w:shd w:val="clear" w:color="auto" w:fill="FFFFFF"/>
          <w:lang w:val="en-GB"/>
        </w:rPr>
        <w:t xml:space="preserve"> annual cost exceed</w:t>
      </w:r>
      <w:r w:rsidR="00964148">
        <w:rPr>
          <w:rFonts w:asciiTheme="minorHAnsi" w:hAnsiTheme="minorHAnsi" w:cstheme="minorHAnsi"/>
          <w:sz w:val="24"/>
          <w:szCs w:val="24"/>
          <w:shd w:val="clear" w:color="auto" w:fill="FFFFFF"/>
          <w:lang w:val="en-GB"/>
        </w:rPr>
        <w:t>ing</w:t>
      </w:r>
      <w:r w:rsidRPr="003C331C">
        <w:rPr>
          <w:rFonts w:asciiTheme="minorHAnsi" w:hAnsiTheme="minorHAnsi" w:cstheme="minorHAnsi"/>
          <w:sz w:val="24"/>
          <w:szCs w:val="24"/>
          <w:shd w:val="clear" w:color="auto" w:fill="FFFFFF"/>
          <w:lang w:val="en-GB"/>
        </w:rPr>
        <w:t xml:space="preserve"> </w:t>
      </w:r>
      <w:r w:rsidR="006C7436" w:rsidRPr="006C7436">
        <w:rPr>
          <w:rFonts w:asciiTheme="minorHAnsi" w:hAnsiTheme="minorHAnsi" w:cstheme="minorHAnsi"/>
          <w:sz w:val="24"/>
          <w:szCs w:val="24"/>
          <w:shd w:val="clear" w:color="auto" w:fill="FFFFFF"/>
          <w:lang w:val="en-GB"/>
        </w:rPr>
        <w:t xml:space="preserve">€55.3 billion in </w:t>
      </w:r>
      <w:r w:rsidR="00964148">
        <w:rPr>
          <w:rFonts w:asciiTheme="minorHAnsi" w:hAnsiTheme="minorHAnsi" w:cstheme="minorHAnsi"/>
          <w:sz w:val="24"/>
          <w:szCs w:val="24"/>
          <w:shd w:val="clear" w:color="auto" w:fill="FFFFFF"/>
          <w:lang w:val="en-GB"/>
        </w:rPr>
        <w:t xml:space="preserve">Europe in </w:t>
      </w:r>
      <w:r w:rsidR="006C7436" w:rsidRPr="002B7BF5">
        <w:rPr>
          <w:rFonts w:asciiTheme="minorHAnsi" w:hAnsiTheme="minorHAnsi" w:cstheme="minorHAnsi"/>
          <w:sz w:val="24"/>
          <w:szCs w:val="24"/>
          <w:shd w:val="clear" w:color="auto" w:fill="FFFFFF"/>
          <w:lang w:val="en-GB"/>
        </w:rPr>
        <w:t xml:space="preserve">2019 </w:t>
      </w:r>
      <w:r w:rsidRPr="002B7BF5">
        <w:rPr>
          <w:rFonts w:asciiTheme="minorHAnsi" w:hAnsiTheme="minorHAnsi" w:cstheme="minorHAnsi"/>
          <w:sz w:val="24"/>
          <w:szCs w:val="24"/>
          <w:shd w:val="clear" w:color="auto" w:fill="FFFFFF"/>
          <w:lang w:val="en-GB"/>
        </w:rPr>
        <w:t>[</w:t>
      </w:r>
      <w:r w:rsidR="00AF0EF2" w:rsidRPr="002B7BF5">
        <w:rPr>
          <w:rFonts w:asciiTheme="minorHAnsi" w:hAnsiTheme="minorHAnsi" w:cstheme="minorHAnsi"/>
          <w:sz w:val="24"/>
          <w:szCs w:val="24"/>
          <w:shd w:val="clear" w:color="auto" w:fill="FFFFFF"/>
          <w:lang w:val="en-GB"/>
        </w:rPr>
        <w:t>1</w:t>
      </w:r>
      <w:r w:rsidRPr="002B7BF5">
        <w:rPr>
          <w:rFonts w:asciiTheme="minorHAnsi" w:hAnsiTheme="minorHAnsi" w:cstheme="minorHAnsi"/>
          <w:sz w:val="24"/>
          <w:szCs w:val="24"/>
          <w:shd w:val="clear" w:color="auto" w:fill="FFFFFF"/>
          <w:lang w:val="en-GB"/>
        </w:rPr>
        <w:t>]</w:t>
      </w:r>
      <w:r w:rsidR="00964148">
        <w:rPr>
          <w:rFonts w:asciiTheme="minorHAnsi" w:hAnsiTheme="minorHAnsi" w:cstheme="minorHAnsi"/>
          <w:sz w:val="24"/>
          <w:szCs w:val="24"/>
          <w:shd w:val="clear" w:color="auto" w:fill="FFFFFF"/>
          <w:lang w:val="en-GB"/>
        </w:rPr>
        <w:t xml:space="preserve">.  </w:t>
      </w:r>
      <w:r w:rsidR="00E169A5">
        <w:rPr>
          <w:rFonts w:asciiTheme="minorHAnsi" w:hAnsiTheme="minorHAnsi" w:cstheme="minorHAnsi"/>
          <w:sz w:val="24"/>
          <w:szCs w:val="24"/>
          <w:shd w:val="clear" w:color="auto" w:fill="FFFFFF"/>
          <w:lang w:val="en-GB"/>
        </w:rPr>
        <w:t>This cost</w:t>
      </w:r>
      <w:r w:rsidR="006C7436" w:rsidRPr="002B7BF5">
        <w:rPr>
          <w:rFonts w:asciiTheme="minorHAnsi" w:hAnsiTheme="minorHAnsi" w:cstheme="minorHAnsi"/>
          <w:sz w:val="24"/>
          <w:szCs w:val="24"/>
          <w:shd w:val="clear" w:color="auto" w:fill="FFFFFF"/>
          <w:lang w:val="en-GB"/>
        </w:rPr>
        <w:t xml:space="preserve"> account</w:t>
      </w:r>
      <w:r w:rsidR="00964148">
        <w:rPr>
          <w:rFonts w:asciiTheme="minorHAnsi" w:hAnsiTheme="minorHAnsi" w:cstheme="minorHAnsi"/>
          <w:sz w:val="24"/>
          <w:szCs w:val="24"/>
          <w:shd w:val="clear" w:color="auto" w:fill="FFFFFF"/>
          <w:lang w:val="en-GB"/>
        </w:rPr>
        <w:t>s</w:t>
      </w:r>
      <w:r w:rsidR="006C7436" w:rsidRPr="006C7436">
        <w:rPr>
          <w:rFonts w:asciiTheme="minorHAnsi" w:hAnsiTheme="minorHAnsi" w:cstheme="minorHAnsi"/>
          <w:sz w:val="24"/>
          <w:szCs w:val="24"/>
          <w:shd w:val="clear" w:color="auto" w:fill="FFFFFF"/>
          <w:lang w:val="en-GB"/>
        </w:rPr>
        <w:t xml:space="preserve"> for approximately 3.5% of </w:t>
      </w:r>
      <w:r w:rsidR="006C7436">
        <w:rPr>
          <w:rFonts w:asciiTheme="minorHAnsi" w:hAnsiTheme="minorHAnsi" w:cstheme="minorHAnsi"/>
          <w:sz w:val="24"/>
          <w:szCs w:val="24"/>
          <w:shd w:val="clear" w:color="auto" w:fill="FFFFFF"/>
          <w:lang w:val="en-GB"/>
        </w:rPr>
        <w:t xml:space="preserve">all </w:t>
      </w:r>
      <w:r w:rsidR="006C7436" w:rsidRPr="006C7436">
        <w:rPr>
          <w:rFonts w:asciiTheme="minorHAnsi" w:hAnsiTheme="minorHAnsi" w:cstheme="minorHAnsi"/>
          <w:sz w:val="24"/>
          <w:szCs w:val="24"/>
          <w:shd w:val="clear" w:color="auto" w:fill="FFFFFF"/>
          <w:lang w:val="en-GB"/>
        </w:rPr>
        <w:t>healthcare spending</w:t>
      </w:r>
      <w:r w:rsidR="00964148">
        <w:rPr>
          <w:rFonts w:asciiTheme="minorHAnsi" w:hAnsiTheme="minorHAnsi" w:cstheme="minorHAnsi"/>
          <w:sz w:val="24"/>
          <w:szCs w:val="24"/>
          <w:shd w:val="clear" w:color="auto" w:fill="FFFFFF"/>
          <w:lang w:val="en-GB"/>
        </w:rPr>
        <w:t>,</w:t>
      </w:r>
      <w:r w:rsidR="006C7436" w:rsidRPr="006C7436">
        <w:rPr>
          <w:rFonts w:asciiTheme="minorHAnsi" w:hAnsiTheme="minorHAnsi" w:cstheme="minorHAnsi"/>
          <w:sz w:val="24"/>
          <w:szCs w:val="24"/>
          <w:shd w:val="clear" w:color="auto" w:fill="FFFFFF"/>
          <w:lang w:val="en-GB"/>
        </w:rPr>
        <w:t xml:space="preserve"> indicating a very substantial impact of fragility fractures on present healthcare budgets.</w:t>
      </w:r>
      <w:r w:rsidR="006C7436">
        <w:rPr>
          <w:rFonts w:asciiTheme="minorHAnsi" w:hAnsiTheme="minorHAnsi" w:cstheme="minorHAnsi"/>
          <w:sz w:val="24"/>
          <w:szCs w:val="24"/>
          <w:shd w:val="clear" w:color="auto" w:fill="FFFFFF"/>
          <w:lang w:val="en-GB"/>
        </w:rPr>
        <w:t xml:space="preserve"> </w:t>
      </w:r>
      <w:r w:rsidR="002B7BF5">
        <w:rPr>
          <w:rFonts w:asciiTheme="minorHAnsi" w:hAnsiTheme="minorHAnsi" w:cstheme="minorHAnsi"/>
          <w:sz w:val="24"/>
          <w:szCs w:val="24"/>
          <w:shd w:val="clear" w:color="auto" w:fill="FFFFFF"/>
          <w:lang w:val="en-GB"/>
        </w:rPr>
        <w:t xml:space="preserve"> </w:t>
      </w:r>
      <w:r w:rsidR="00A612CD" w:rsidRPr="003C331C">
        <w:rPr>
          <w:rFonts w:asciiTheme="minorHAnsi" w:hAnsiTheme="minorHAnsi" w:cstheme="minorHAnsi"/>
          <w:sz w:val="24"/>
          <w:szCs w:val="24"/>
          <w:shd w:val="clear" w:color="auto" w:fill="FFFFFF"/>
          <w:lang w:val="en-GB"/>
        </w:rPr>
        <w:t>D</w:t>
      </w:r>
      <w:r w:rsidRPr="003C331C">
        <w:rPr>
          <w:rFonts w:asciiTheme="minorHAnsi" w:hAnsiTheme="minorHAnsi" w:cstheme="minorHAnsi"/>
          <w:sz w:val="24"/>
          <w:szCs w:val="24"/>
          <w:shd w:val="clear" w:color="auto" w:fill="FFFFFF"/>
          <w:lang w:val="en-GB"/>
        </w:rPr>
        <w:t xml:space="preserve">isability due to </w:t>
      </w:r>
      <w:r w:rsidR="00A57373" w:rsidRPr="003C331C">
        <w:rPr>
          <w:rFonts w:asciiTheme="minorHAnsi" w:hAnsiTheme="minorHAnsi" w:cstheme="minorHAnsi"/>
          <w:sz w:val="24"/>
          <w:szCs w:val="24"/>
          <w:shd w:val="clear" w:color="auto" w:fill="FFFFFF"/>
          <w:lang w:val="en-GB"/>
        </w:rPr>
        <w:t>fragility</w:t>
      </w:r>
      <w:r w:rsidR="00F62C17" w:rsidRPr="003C331C">
        <w:rPr>
          <w:rFonts w:asciiTheme="minorHAnsi" w:hAnsiTheme="minorHAnsi" w:cstheme="minorHAnsi"/>
          <w:sz w:val="24"/>
          <w:szCs w:val="24"/>
          <w:shd w:val="clear" w:color="auto" w:fill="FFFFFF"/>
          <w:lang w:val="en-GB"/>
        </w:rPr>
        <w:t xml:space="preserve"> fractures</w:t>
      </w:r>
      <w:r w:rsidRPr="003C331C">
        <w:rPr>
          <w:rFonts w:asciiTheme="minorHAnsi" w:hAnsiTheme="minorHAnsi" w:cstheme="minorHAnsi"/>
          <w:sz w:val="24"/>
          <w:szCs w:val="24"/>
          <w:shd w:val="clear" w:color="auto" w:fill="FFFFFF"/>
          <w:lang w:val="en-GB"/>
        </w:rPr>
        <w:t xml:space="preserve"> was greater than that caused by any single cancer, with the exception of lung cancer</w:t>
      </w:r>
      <w:r w:rsidR="0039319B" w:rsidRPr="003C331C">
        <w:rPr>
          <w:rFonts w:asciiTheme="minorHAnsi" w:hAnsiTheme="minorHAnsi" w:cstheme="minorHAnsi"/>
          <w:sz w:val="24"/>
          <w:szCs w:val="24"/>
          <w:shd w:val="clear" w:color="auto" w:fill="FFFFFF"/>
          <w:lang w:val="en-GB"/>
        </w:rPr>
        <w:t>,</w:t>
      </w:r>
      <w:r w:rsidRPr="003C331C">
        <w:rPr>
          <w:rFonts w:asciiTheme="minorHAnsi" w:hAnsiTheme="minorHAnsi" w:cstheme="minorHAnsi"/>
          <w:sz w:val="24"/>
          <w:szCs w:val="24"/>
          <w:shd w:val="clear" w:color="auto" w:fill="FFFFFF"/>
          <w:lang w:val="en-GB"/>
        </w:rPr>
        <w:t xml:space="preserve"> and was comparable or greater than that </w:t>
      </w:r>
      <w:r w:rsidR="00F41D28" w:rsidRPr="003C331C">
        <w:rPr>
          <w:rFonts w:asciiTheme="minorHAnsi" w:hAnsiTheme="minorHAnsi" w:cstheme="minorHAnsi"/>
          <w:sz w:val="24"/>
          <w:szCs w:val="24"/>
          <w:shd w:val="clear" w:color="auto" w:fill="FFFFFF"/>
          <w:lang w:val="en-GB"/>
        </w:rPr>
        <w:t>caused by</w:t>
      </w:r>
      <w:r w:rsidRPr="003C331C">
        <w:rPr>
          <w:rFonts w:asciiTheme="minorHAnsi" w:hAnsiTheme="minorHAnsi" w:cstheme="minorHAnsi"/>
          <w:sz w:val="24"/>
          <w:szCs w:val="24"/>
          <w:shd w:val="clear" w:color="auto" w:fill="FFFFFF"/>
          <w:lang w:val="en-GB"/>
        </w:rPr>
        <w:t xml:space="preserve"> a variety of chronic noncommunicable diseases, such as rheumatoid arthritis, asthma </w:t>
      </w:r>
      <w:r w:rsidR="00F97D77" w:rsidRPr="003C331C">
        <w:rPr>
          <w:rFonts w:asciiTheme="minorHAnsi" w:hAnsiTheme="minorHAnsi" w:cstheme="minorHAnsi"/>
          <w:sz w:val="24"/>
          <w:szCs w:val="24"/>
          <w:shd w:val="clear" w:color="auto" w:fill="FFFFFF"/>
          <w:lang w:val="en-GB"/>
        </w:rPr>
        <w:t>or</w:t>
      </w:r>
      <w:r w:rsidRPr="003C331C">
        <w:rPr>
          <w:rFonts w:asciiTheme="minorHAnsi" w:hAnsiTheme="minorHAnsi" w:cstheme="minorHAnsi"/>
          <w:sz w:val="24"/>
          <w:szCs w:val="24"/>
          <w:shd w:val="clear" w:color="auto" w:fill="FFFFFF"/>
          <w:lang w:val="en-GB"/>
        </w:rPr>
        <w:t xml:space="preserve"> high blood pressure related heart </w:t>
      </w:r>
      <w:r w:rsidRPr="002B7BF5">
        <w:rPr>
          <w:rFonts w:asciiTheme="minorHAnsi" w:hAnsiTheme="minorHAnsi" w:cstheme="minorHAnsi"/>
          <w:sz w:val="24"/>
          <w:szCs w:val="24"/>
          <w:shd w:val="clear" w:color="auto" w:fill="FFFFFF"/>
          <w:lang w:val="en-GB"/>
        </w:rPr>
        <w:t>disease [2]. Fortunately</w:t>
      </w:r>
      <w:r w:rsidRPr="003C331C">
        <w:rPr>
          <w:rFonts w:asciiTheme="minorHAnsi" w:hAnsiTheme="minorHAnsi" w:cstheme="minorHAnsi"/>
          <w:sz w:val="24"/>
          <w:szCs w:val="24"/>
          <w:shd w:val="clear" w:color="auto" w:fill="FFFFFF"/>
          <w:lang w:val="en-GB"/>
        </w:rPr>
        <w:t xml:space="preserve">, a wide variety of treatments is available that favourably affect bone mass and thereby decrease the risk of fractures associated with </w:t>
      </w:r>
      <w:r w:rsidRPr="002B7BF5">
        <w:rPr>
          <w:rFonts w:asciiTheme="minorHAnsi" w:hAnsiTheme="minorHAnsi" w:cstheme="minorHAnsi"/>
          <w:sz w:val="24"/>
          <w:szCs w:val="24"/>
          <w:shd w:val="clear" w:color="auto" w:fill="FFFFFF"/>
          <w:lang w:val="en-GB"/>
        </w:rPr>
        <w:t>osteoporosis [3].  The</w:t>
      </w:r>
      <w:r w:rsidRPr="003C331C">
        <w:rPr>
          <w:rFonts w:asciiTheme="minorHAnsi" w:hAnsiTheme="minorHAnsi" w:cstheme="minorHAnsi"/>
          <w:sz w:val="24"/>
          <w:szCs w:val="24"/>
          <w:shd w:val="clear" w:color="auto" w:fill="FFFFFF"/>
          <w:lang w:val="en-GB"/>
        </w:rPr>
        <w:t xml:space="preserve"> use of such interventions by health care practitioners is assisted by </w:t>
      </w:r>
      <w:r w:rsidR="00A7653B">
        <w:rPr>
          <w:rFonts w:asciiTheme="minorHAnsi" w:hAnsiTheme="minorHAnsi" w:cstheme="minorHAnsi"/>
          <w:sz w:val="24"/>
          <w:szCs w:val="24"/>
          <w:shd w:val="clear" w:color="auto" w:fill="FFFFFF"/>
          <w:lang w:val="en-GB"/>
        </w:rPr>
        <w:t>techniques</w:t>
      </w:r>
      <w:r w:rsidR="003C6EA5" w:rsidRPr="003C331C">
        <w:rPr>
          <w:rFonts w:asciiTheme="minorHAnsi" w:hAnsiTheme="minorHAnsi" w:cstheme="minorHAnsi"/>
          <w:sz w:val="24"/>
          <w:szCs w:val="24"/>
          <w:shd w:val="clear" w:color="auto" w:fill="FFFFFF"/>
          <w:lang w:val="en-GB"/>
        </w:rPr>
        <w:t xml:space="preserve"> </w:t>
      </w:r>
      <w:r w:rsidRPr="003C331C">
        <w:rPr>
          <w:rFonts w:asciiTheme="minorHAnsi" w:hAnsiTheme="minorHAnsi" w:cstheme="minorHAnsi"/>
          <w:sz w:val="24"/>
          <w:szCs w:val="24"/>
          <w:shd w:val="clear" w:color="auto" w:fill="FFFFFF"/>
          <w:lang w:val="en-GB"/>
        </w:rPr>
        <w:t xml:space="preserve">that assess patients’ fracture risk to optimise clinical decisions about prevention and treatment. </w:t>
      </w:r>
    </w:p>
    <w:p w14:paraId="29750796" w14:textId="021BB894" w:rsidR="002F052D" w:rsidRPr="00B842E5" w:rsidRDefault="0031482A" w:rsidP="00190B8D">
      <w:pPr>
        <w:ind w:left="567"/>
        <w:rPr>
          <w:rFonts w:asciiTheme="minorHAnsi" w:hAnsiTheme="minorHAnsi" w:cstheme="minorHAnsi"/>
          <w:sz w:val="24"/>
          <w:szCs w:val="24"/>
          <w:shd w:val="clear" w:color="auto" w:fill="FFFFFF"/>
          <w:lang w:val="en-GB"/>
        </w:rPr>
      </w:pPr>
      <w:r w:rsidRPr="0031482A">
        <w:rPr>
          <w:rFonts w:asciiTheme="minorHAnsi" w:hAnsiTheme="minorHAnsi" w:cstheme="minorHAnsi"/>
          <w:sz w:val="24"/>
          <w:szCs w:val="24"/>
          <w:shd w:val="clear" w:color="auto" w:fill="FFFFFF"/>
          <w:lang w:val="en-GB"/>
        </w:rPr>
        <w:t>In many countries, intervention thresholds have historically</w:t>
      </w:r>
      <w:r>
        <w:rPr>
          <w:rFonts w:asciiTheme="minorHAnsi" w:hAnsiTheme="minorHAnsi" w:cstheme="minorHAnsi"/>
          <w:sz w:val="24"/>
          <w:szCs w:val="24"/>
          <w:shd w:val="clear" w:color="auto" w:fill="FFFFFF"/>
          <w:lang w:val="en-GB"/>
        </w:rPr>
        <w:t xml:space="preserve"> </w:t>
      </w:r>
      <w:r w:rsidRPr="0031482A">
        <w:rPr>
          <w:rFonts w:asciiTheme="minorHAnsi" w:hAnsiTheme="minorHAnsi" w:cstheme="minorHAnsi"/>
          <w:sz w:val="24"/>
          <w:szCs w:val="24"/>
          <w:shd w:val="clear" w:color="auto" w:fill="FFFFFF"/>
          <w:lang w:val="en-GB"/>
        </w:rPr>
        <w:t xml:space="preserve">been based on the T-score for </w:t>
      </w:r>
      <w:r w:rsidR="0089412E">
        <w:rPr>
          <w:rFonts w:asciiTheme="minorHAnsi" w:hAnsiTheme="minorHAnsi" w:cstheme="minorHAnsi"/>
          <w:sz w:val="24"/>
          <w:szCs w:val="24"/>
          <w:shd w:val="clear" w:color="auto" w:fill="FFFFFF"/>
          <w:lang w:val="en-GB"/>
        </w:rPr>
        <w:t>b</w:t>
      </w:r>
      <w:r w:rsidR="00C32BB2">
        <w:rPr>
          <w:rFonts w:asciiTheme="minorHAnsi" w:hAnsiTheme="minorHAnsi" w:cstheme="minorHAnsi"/>
          <w:sz w:val="24"/>
          <w:szCs w:val="24"/>
          <w:shd w:val="clear" w:color="auto" w:fill="FFFFFF"/>
          <w:lang w:val="en-GB"/>
        </w:rPr>
        <w:t>one mineral density (</w:t>
      </w:r>
      <w:r w:rsidRPr="0031482A">
        <w:rPr>
          <w:rFonts w:asciiTheme="minorHAnsi" w:hAnsiTheme="minorHAnsi" w:cstheme="minorHAnsi"/>
          <w:sz w:val="24"/>
          <w:szCs w:val="24"/>
          <w:shd w:val="clear" w:color="auto" w:fill="FFFFFF"/>
          <w:lang w:val="en-GB"/>
        </w:rPr>
        <w:t>BMD</w:t>
      </w:r>
      <w:r w:rsidR="00C32BB2">
        <w:rPr>
          <w:rFonts w:asciiTheme="minorHAnsi" w:hAnsiTheme="minorHAnsi" w:cstheme="minorHAnsi"/>
          <w:sz w:val="24"/>
          <w:szCs w:val="24"/>
          <w:shd w:val="clear" w:color="auto" w:fill="FFFFFF"/>
          <w:lang w:val="en-GB"/>
        </w:rPr>
        <w:t>)</w:t>
      </w:r>
      <w:r w:rsidRPr="0031482A">
        <w:rPr>
          <w:rFonts w:asciiTheme="minorHAnsi" w:hAnsiTheme="minorHAnsi" w:cstheme="minorHAnsi"/>
          <w:sz w:val="24"/>
          <w:szCs w:val="24"/>
          <w:shd w:val="clear" w:color="auto" w:fill="FFFFFF"/>
          <w:lang w:val="en-GB"/>
        </w:rPr>
        <w:t xml:space="preserve"> and/or the presence of a</w:t>
      </w:r>
      <w:r>
        <w:rPr>
          <w:rFonts w:asciiTheme="minorHAnsi" w:hAnsiTheme="minorHAnsi" w:cstheme="minorHAnsi"/>
          <w:sz w:val="24"/>
          <w:szCs w:val="24"/>
          <w:shd w:val="clear" w:color="auto" w:fill="FFFFFF"/>
          <w:lang w:val="en-GB"/>
        </w:rPr>
        <w:t xml:space="preserve"> </w:t>
      </w:r>
      <w:r w:rsidRPr="0031482A">
        <w:rPr>
          <w:rFonts w:asciiTheme="minorHAnsi" w:hAnsiTheme="minorHAnsi" w:cstheme="minorHAnsi"/>
          <w:sz w:val="24"/>
          <w:szCs w:val="24"/>
          <w:shd w:val="clear" w:color="auto" w:fill="FFFFFF"/>
          <w:lang w:val="en-GB"/>
        </w:rPr>
        <w:t>prior fragility fracture. These strategies seem intuitively sound</w:t>
      </w:r>
      <w:r>
        <w:rPr>
          <w:rFonts w:asciiTheme="minorHAnsi" w:hAnsiTheme="minorHAnsi" w:cstheme="minorHAnsi"/>
          <w:sz w:val="24"/>
          <w:szCs w:val="24"/>
          <w:shd w:val="clear" w:color="auto" w:fill="FFFFFF"/>
          <w:lang w:val="en-GB"/>
        </w:rPr>
        <w:t xml:space="preserve"> </w:t>
      </w:r>
      <w:r w:rsidRPr="0031482A">
        <w:rPr>
          <w:rFonts w:asciiTheme="minorHAnsi" w:hAnsiTheme="minorHAnsi" w:cstheme="minorHAnsi"/>
          <w:sz w:val="24"/>
          <w:szCs w:val="24"/>
          <w:shd w:val="clear" w:color="auto" w:fill="FFFFFF"/>
          <w:lang w:val="en-GB"/>
        </w:rPr>
        <w:t>because they cover the operational definition of disease and/or</w:t>
      </w:r>
      <w:r>
        <w:rPr>
          <w:rFonts w:asciiTheme="minorHAnsi" w:hAnsiTheme="minorHAnsi" w:cstheme="minorHAnsi"/>
          <w:sz w:val="24"/>
          <w:szCs w:val="24"/>
          <w:shd w:val="clear" w:color="auto" w:fill="FFFFFF"/>
          <w:lang w:val="en-GB"/>
        </w:rPr>
        <w:t xml:space="preserve"> </w:t>
      </w:r>
      <w:r w:rsidRPr="0031482A">
        <w:rPr>
          <w:rFonts w:asciiTheme="minorHAnsi" w:hAnsiTheme="minorHAnsi" w:cstheme="minorHAnsi"/>
          <w:sz w:val="24"/>
          <w:szCs w:val="24"/>
          <w:shd w:val="clear" w:color="auto" w:fill="FFFFFF"/>
          <w:lang w:val="en-GB"/>
        </w:rPr>
        <w:t xml:space="preserve">its clinical expression. For example, the </w:t>
      </w:r>
      <w:r w:rsidR="00CC02C3">
        <w:rPr>
          <w:rFonts w:asciiTheme="minorHAnsi" w:hAnsiTheme="minorHAnsi" w:cstheme="minorHAnsi"/>
          <w:sz w:val="24"/>
          <w:szCs w:val="24"/>
          <w:shd w:val="clear" w:color="auto" w:fill="FFFFFF"/>
          <w:lang w:val="en-GB"/>
        </w:rPr>
        <w:t>National Osteoporosis Foundation (</w:t>
      </w:r>
      <w:r w:rsidRPr="0031482A">
        <w:rPr>
          <w:rFonts w:asciiTheme="minorHAnsi" w:hAnsiTheme="minorHAnsi" w:cstheme="minorHAnsi"/>
          <w:sz w:val="24"/>
          <w:szCs w:val="24"/>
          <w:shd w:val="clear" w:color="auto" w:fill="FFFFFF"/>
          <w:lang w:val="en-GB"/>
        </w:rPr>
        <w:t>NOF</w:t>
      </w:r>
      <w:r w:rsidR="00CC02C3">
        <w:rPr>
          <w:rFonts w:asciiTheme="minorHAnsi" w:hAnsiTheme="minorHAnsi" w:cstheme="minorHAnsi"/>
          <w:sz w:val="24"/>
          <w:szCs w:val="24"/>
          <w:shd w:val="clear" w:color="auto" w:fill="FFFFFF"/>
          <w:lang w:val="en-GB"/>
        </w:rPr>
        <w:t>)</w:t>
      </w:r>
      <w:r w:rsidRPr="0031482A">
        <w:rPr>
          <w:rFonts w:asciiTheme="minorHAnsi" w:hAnsiTheme="minorHAnsi" w:cstheme="minorHAnsi"/>
          <w:sz w:val="24"/>
          <w:szCs w:val="24"/>
          <w:shd w:val="clear" w:color="auto" w:fill="FFFFFF"/>
          <w:lang w:val="en-GB"/>
        </w:rPr>
        <w:t xml:space="preserve"> in the United States</w:t>
      </w:r>
      <w:r>
        <w:rPr>
          <w:rFonts w:asciiTheme="minorHAnsi" w:hAnsiTheme="minorHAnsi" w:cstheme="minorHAnsi"/>
          <w:sz w:val="24"/>
          <w:szCs w:val="24"/>
          <w:shd w:val="clear" w:color="auto" w:fill="FFFFFF"/>
          <w:lang w:val="en-GB"/>
        </w:rPr>
        <w:t xml:space="preserve"> </w:t>
      </w:r>
      <w:r w:rsidRPr="0031482A">
        <w:rPr>
          <w:rFonts w:asciiTheme="minorHAnsi" w:hAnsiTheme="minorHAnsi" w:cstheme="minorHAnsi"/>
          <w:sz w:val="24"/>
          <w:szCs w:val="24"/>
          <w:shd w:val="clear" w:color="auto" w:fill="FFFFFF"/>
          <w:lang w:val="en-GB"/>
        </w:rPr>
        <w:t>recommends BMD assessment in women and treatment is</w:t>
      </w:r>
      <w:r>
        <w:rPr>
          <w:rFonts w:asciiTheme="minorHAnsi" w:hAnsiTheme="minorHAnsi" w:cstheme="minorHAnsi"/>
          <w:sz w:val="24"/>
          <w:szCs w:val="24"/>
          <w:shd w:val="clear" w:color="auto" w:fill="FFFFFF"/>
          <w:lang w:val="en-GB"/>
        </w:rPr>
        <w:t xml:space="preserve"> </w:t>
      </w:r>
      <w:r w:rsidRPr="0031482A">
        <w:rPr>
          <w:rFonts w:asciiTheme="minorHAnsi" w:hAnsiTheme="minorHAnsi" w:cstheme="minorHAnsi"/>
          <w:sz w:val="24"/>
          <w:szCs w:val="24"/>
          <w:shd w:val="clear" w:color="auto" w:fill="FFFFFF"/>
          <w:lang w:val="en-GB"/>
        </w:rPr>
        <w:t>advised in women with a T-score of &lt;–2.</w:t>
      </w:r>
      <w:r w:rsidR="00E019E2" w:rsidRPr="0031482A">
        <w:rPr>
          <w:rFonts w:asciiTheme="minorHAnsi" w:hAnsiTheme="minorHAnsi" w:cstheme="minorHAnsi"/>
          <w:sz w:val="24"/>
          <w:szCs w:val="24"/>
          <w:shd w:val="clear" w:color="auto" w:fill="FFFFFF"/>
          <w:lang w:val="en-GB"/>
        </w:rPr>
        <w:t>5</w:t>
      </w:r>
      <w:r w:rsidR="00E019E2">
        <w:rPr>
          <w:rFonts w:asciiTheme="minorHAnsi" w:hAnsiTheme="minorHAnsi" w:cstheme="minorHAnsi"/>
          <w:sz w:val="24"/>
          <w:szCs w:val="24"/>
          <w:shd w:val="clear" w:color="auto" w:fill="FFFFFF"/>
          <w:lang w:val="en-GB"/>
        </w:rPr>
        <w:t xml:space="preserve"> [</w:t>
      </w:r>
      <w:r w:rsidR="00507FC5">
        <w:rPr>
          <w:rFonts w:asciiTheme="minorHAnsi" w:hAnsiTheme="minorHAnsi" w:cstheme="minorHAnsi"/>
          <w:sz w:val="24"/>
          <w:szCs w:val="24"/>
          <w:shd w:val="clear" w:color="auto" w:fill="FFFFFF"/>
          <w:lang w:val="en-GB"/>
        </w:rPr>
        <w:t>4]</w:t>
      </w:r>
      <w:r w:rsidRPr="0031482A">
        <w:rPr>
          <w:rFonts w:asciiTheme="minorHAnsi" w:hAnsiTheme="minorHAnsi" w:cstheme="minorHAnsi"/>
          <w:sz w:val="24"/>
          <w:szCs w:val="24"/>
          <w:shd w:val="clear" w:color="auto" w:fill="FFFFFF"/>
          <w:lang w:val="en-GB"/>
        </w:rPr>
        <w:t>. Treatment is also</w:t>
      </w:r>
      <w:r>
        <w:rPr>
          <w:rFonts w:asciiTheme="minorHAnsi" w:hAnsiTheme="minorHAnsi" w:cstheme="minorHAnsi"/>
          <w:sz w:val="24"/>
          <w:szCs w:val="24"/>
          <w:shd w:val="clear" w:color="auto" w:fill="FFFFFF"/>
          <w:lang w:val="en-GB"/>
        </w:rPr>
        <w:t xml:space="preserve"> </w:t>
      </w:r>
      <w:r w:rsidRPr="0031482A">
        <w:rPr>
          <w:rFonts w:asciiTheme="minorHAnsi" w:hAnsiTheme="minorHAnsi" w:cstheme="minorHAnsi"/>
          <w:sz w:val="24"/>
          <w:szCs w:val="24"/>
          <w:shd w:val="clear" w:color="auto" w:fill="FFFFFF"/>
          <w:lang w:val="en-GB"/>
        </w:rPr>
        <w:t>recommended in women with a prior spine or hip fracture</w:t>
      </w:r>
      <w:r>
        <w:rPr>
          <w:rFonts w:asciiTheme="minorHAnsi" w:hAnsiTheme="minorHAnsi" w:cstheme="minorHAnsi"/>
          <w:sz w:val="24"/>
          <w:szCs w:val="24"/>
          <w:shd w:val="clear" w:color="auto" w:fill="FFFFFF"/>
          <w:lang w:val="en-GB"/>
        </w:rPr>
        <w:t xml:space="preserve">.  More recently, </w:t>
      </w:r>
      <w:r w:rsidRPr="0031482A">
        <w:rPr>
          <w:rFonts w:asciiTheme="minorHAnsi" w:hAnsiTheme="minorHAnsi" w:cstheme="minorHAnsi"/>
          <w:sz w:val="24"/>
          <w:szCs w:val="24"/>
          <w:shd w:val="clear" w:color="auto" w:fill="FFFFFF"/>
          <w:lang w:val="en-GB"/>
        </w:rPr>
        <w:t xml:space="preserve">the use of tools designed to calculate fracture risk </w:t>
      </w:r>
      <w:r>
        <w:rPr>
          <w:rFonts w:asciiTheme="minorHAnsi" w:hAnsiTheme="minorHAnsi" w:cstheme="minorHAnsi"/>
          <w:sz w:val="24"/>
          <w:szCs w:val="24"/>
          <w:shd w:val="clear" w:color="auto" w:fill="FFFFFF"/>
          <w:lang w:val="en-GB"/>
        </w:rPr>
        <w:t>are</w:t>
      </w:r>
      <w:r w:rsidRPr="0031482A">
        <w:rPr>
          <w:rFonts w:asciiTheme="minorHAnsi" w:hAnsiTheme="minorHAnsi" w:cstheme="minorHAnsi"/>
          <w:sz w:val="24"/>
          <w:szCs w:val="24"/>
          <w:shd w:val="clear" w:color="auto" w:fill="FFFFFF"/>
          <w:lang w:val="en-GB"/>
        </w:rPr>
        <w:t xml:space="preserve"> increasingly </w:t>
      </w:r>
      <w:r>
        <w:rPr>
          <w:rFonts w:asciiTheme="minorHAnsi" w:hAnsiTheme="minorHAnsi" w:cstheme="minorHAnsi"/>
          <w:sz w:val="24"/>
          <w:szCs w:val="24"/>
          <w:shd w:val="clear" w:color="auto" w:fill="FFFFFF"/>
          <w:lang w:val="en-GB"/>
        </w:rPr>
        <w:t>used</w:t>
      </w:r>
      <w:r w:rsidRPr="0031482A">
        <w:rPr>
          <w:rFonts w:asciiTheme="minorHAnsi" w:hAnsiTheme="minorHAnsi" w:cstheme="minorHAnsi"/>
          <w:sz w:val="24"/>
          <w:szCs w:val="24"/>
          <w:shd w:val="clear" w:color="auto" w:fill="FFFFFF"/>
          <w:lang w:val="en-GB"/>
        </w:rPr>
        <w:t xml:space="preserve"> to improve identification of those at highest risk who would benefit from appropriate treatment. Of these, </w:t>
      </w:r>
      <w:r w:rsidR="001E5302">
        <w:rPr>
          <w:rFonts w:asciiTheme="minorHAnsi" w:hAnsiTheme="minorHAnsi" w:cstheme="minorHAnsi"/>
          <w:sz w:val="24"/>
          <w:szCs w:val="24"/>
          <w:shd w:val="clear" w:color="auto" w:fill="FFFFFF"/>
          <w:lang w:val="en-GB"/>
        </w:rPr>
        <w:t xml:space="preserve">the </w:t>
      </w:r>
      <w:r w:rsidRPr="0031482A">
        <w:rPr>
          <w:rFonts w:asciiTheme="minorHAnsi" w:hAnsiTheme="minorHAnsi" w:cstheme="minorHAnsi"/>
          <w:sz w:val="24"/>
          <w:szCs w:val="24"/>
          <w:shd w:val="clear" w:color="auto" w:fill="FFFFFF"/>
          <w:lang w:val="en-GB"/>
        </w:rPr>
        <w:t xml:space="preserve">FRAX® tool (www.sheffield.ac.uk/FRAX) </w:t>
      </w:r>
      <w:r w:rsidR="001E5302">
        <w:rPr>
          <w:rFonts w:asciiTheme="minorHAnsi" w:hAnsiTheme="minorHAnsi" w:cstheme="minorHAnsi"/>
          <w:sz w:val="24"/>
          <w:szCs w:val="24"/>
          <w:shd w:val="clear" w:color="auto" w:fill="FFFFFF"/>
          <w:lang w:val="en-GB"/>
        </w:rPr>
        <w:t>is most</w:t>
      </w:r>
      <w:r w:rsidR="001E5302" w:rsidRPr="001E5302">
        <w:rPr>
          <w:rFonts w:asciiTheme="minorHAnsi" w:hAnsiTheme="minorHAnsi" w:cstheme="minorHAnsi"/>
          <w:sz w:val="24"/>
          <w:szCs w:val="24"/>
          <w:shd w:val="clear" w:color="auto" w:fill="FFFFFF"/>
          <w:lang w:val="en-GB"/>
        </w:rPr>
        <w:t xml:space="preserve"> widely used </w:t>
      </w:r>
      <w:r w:rsidR="00CC02C3">
        <w:rPr>
          <w:rFonts w:asciiTheme="minorHAnsi" w:hAnsiTheme="minorHAnsi" w:cstheme="minorHAnsi"/>
          <w:sz w:val="24"/>
          <w:szCs w:val="24"/>
          <w:shd w:val="clear" w:color="auto" w:fill="FFFFFF"/>
          <w:lang w:val="en-GB"/>
        </w:rPr>
        <w:t>globally</w:t>
      </w:r>
      <w:r w:rsidR="001E5302">
        <w:rPr>
          <w:rFonts w:asciiTheme="minorHAnsi" w:hAnsiTheme="minorHAnsi" w:cstheme="minorHAnsi"/>
          <w:sz w:val="24"/>
          <w:szCs w:val="24"/>
          <w:shd w:val="clear" w:color="auto" w:fill="FFFFFF"/>
          <w:lang w:val="en-GB"/>
        </w:rPr>
        <w:t xml:space="preserve">.  FRAX </w:t>
      </w:r>
      <w:r w:rsidRPr="0031482A">
        <w:rPr>
          <w:rFonts w:asciiTheme="minorHAnsi" w:hAnsiTheme="minorHAnsi" w:cstheme="minorHAnsi"/>
          <w:sz w:val="24"/>
          <w:szCs w:val="24"/>
          <w:shd w:val="clear" w:color="auto" w:fill="FFFFFF"/>
          <w:lang w:val="en-GB"/>
        </w:rPr>
        <w:t xml:space="preserve">computes the 10-year probability of a major osteoporotic fracture (MOF, comprising a hip, spine, forearm or humerus fractures) or hip fracture alone from simple, easily captured clinical risk factors (CRFs) with the optional incorporation of femoral neck </w:t>
      </w:r>
      <w:r w:rsidR="00B844FC">
        <w:rPr>
          <w:rFonts w:asciiTheme="minorHAnsi" w:hAnsiTheme="minorHAnsi" w:cstheme="minorHAnsi"/>
          <w:sz w:val="24"/>
          <w:szCs w:val="24"/>
          <w:shd w:val="clear" w:color="auto" w:fill="FFFFFF"/>
          <w:lang w:val="en-GB"/>
        </w:rPr>
        <w:t>BMD</w:t>
      </w:r>
      <w:r w:rsidRPr="0031482A">
        <w:rPr>
          <w:rFonts w:asciiTheme="minorHAnsi" w:hAnsiTheme="minorHAnsi" w:cstheme="minorHAnsi"/>
          <w:sz w:val="24"/>
          <w:szCs w:val="24"/>
          <w:shd w:val="clear" w:color="auto" w:fill="FFFFFF"/>
          <w:lang w:val="en-GB"/>
        </w:rPr>
        <w:t xml:space="preserve"> measured by dual-energy Х-ray absorptiometry (</w:t>
      </w:r>
      <w:r w:rsidRPr="00B0194B">
        <w:rPr>
          <w:rFonts w:asciiTheme="minorHAnsi" w:hAnsiTheme="minorHAnsi" w:cstheme="minorHAnsi"/>
          <w:sz w:val="24"/>
          <w:szCs w:val="24"/>
          <w:shd w:val="clear" w:color="auto" w:fill="FFFFFF"/>
          <w:lang w:val="en-GB"/>
        </w:rPr>
        <w:t>DXA</w:t>
      </w:r>
      <w:r w:rsidRPr="00E019E2">
        <w:rPr>
          <w:rFonts w:asciiTheme="minorHAnsi" w:hAnsiTheme="minorHAnsi" w:cstheme="minorHAnsi"/>
          <w:sz w:val="24"/>
          <w:szCs w:val="24"/>
          <w:shd w:val="clear" w:color="auto" w:fill="FFFFFF"/>
          <w:lang w:val="en-GB"/>
        </w:rPr>
        <w:t>) [</w:t>
      </w:r>
      <w:r w:rsidR="00E019E2" w:rsidRPr="00E019E2">
        <w:rPr>
          <w:rFonts w:asciiTheme="minorHAnsi" w:hAnsiTheme="minorHAnsi" w:cstheme="minorHAnsi"/>
          <w:sz w:val="24"/>
          <w:szCs w:val="24"/>
          <w:shd w:val="clear" w:color="auto" w:fill="FFFFFF"/>
          <w:lang w:val="en-GB"/>
        </w:rPr>
        <w:t>5</w:t>
      </w:r>
      <w:r w:rsidRPr="00E019E2">
        <w:rPr>
          <w:rFonts w:asciiTheme="minorHAnsi" w:hAnsiTheme="minorHAnsi" w:cstheme="minorHAnsi"/>
          <w:sz w:val="24"/>
          <w:szCs w:val="24"/>
          <w:shd w:val="clear" w:color="auto" w:fill="FFFFFF"/>
          <w:lang w:val="en-GB"/>
        </w:rPr>
        <w:t xml:space="preserve">, </w:t>
      </w:r>
      <w:r w:rsidR="00E019E2" w:rsidRPr="00E019E2">
        <w:rPr>
          <w:rFonts w:asciiTheme="minorHAnsi" w:hAnsiTheme="minorHAnsi" w:cstheme="minorHAnsi"/>
          <w:sz w:val="24"/>
          <w:szCs w:val="24"/>
          <w:shd w:val="clear" w:color="auto" w:fill="FFFFFF"/>
          <w:lang w:val="en-GB"/>
        </w:rPr>
        <w:t>6</w:t>
      </w:r>
      <w:r w:rsidRPr="00E019E2">
        <w:rPr>
          <w:rFonts w:asciiTheme="minorHAnsi" w:hAnsiTheme="minorHAnsi" w:cstheme="minorHAnsi"/>
          <w:sz w:val="24"/>
          <w:szCs w:val="24"/>
          <w:shd w:val="clear" w:color="auto" w:fill="FFFFFF"/>
          <w:lang w:val="en-GB"/>
        </w:rPr>
        <w:t>].</w:t>
      </w:r>
      <w:r w:rsidRPr="00B0194B">
        <w:rPr>
          <w:rFonts w:asciiTheme="minorHAnsi" w:hAnsiTheme="minorHAnsi" w:cstheme="minorHAnsi"/>
          <w:sz w:val="24"/>
          <w:szCs w:val="24"/>
          <w:shd w:val="clear" w:color="auto" w:fill="FFFFFF"/>
          <w:lang w:val="en-GB"/>
        </w:rPr>
        <w:t xml:space="preserve"> </w:t>
      </w:r>
      <w:r w:rsidR="002F052D" w:rsidRPr="00B0194B">
        <w:rPr>
          <w:rFonts w:asciiTheme="minorHAnsi" w:hAnsiTheme="minorHAnsi" w:cstheme="minorHAnsi"/>
          <w:sz w:val="24"/>
          <w:szCs w:val="24"/>
          <w:shd w:val="clear" w:color="auto" w:fill="FFFFFF"/>
          <w:lang w:val="en-GB"/>
        </w:rPr>
        <w:t>FRAX</w:t>
      </w:r>
      <w:r w:rsidR="002F052D" w:rsidRPr="003C331C">
        <w:rPr>
          <w:rFonts w:asciiTheme="minorHAnsi" w:hAnsiTheme="minorHAnsi" w:cstheme="minorHAnsi"/>
          <w:sz w:val="24"/>
          <w:szCs w:val="24"/>
          <w:shd w:val="clear" w:color="auto" w:fill="FFFFFF"/>
          <w:lang w:val="en-GB"/>
        </w:rPr>
        <w:t xml:space="preserve"> models are available for </w:t>
      </w:r>
      <w:r w:rsidR="001E5302">
        <w:rPr>
          <w:rFonts w:asciiTheme="minorHAnsi" w:hAnsiTheme="minorHAnsi" w:cstheme="minorHAnsi"/>
          <w:sz w:val="24"/>
          <w:szCs w:val="24"/>
          <w:shd w:val="clear" w:color="auto" w:fill="FFFFFF"/>
          <w:lang w:val="en-GB"/>
        </w:rPr>
        <w:t>73</w:t>
      </w:r>
      <w:r w:rsidR="002F052D" w:rsidRPr="003C331C">
        <w:rPr>
          <w:rFonts w:asciiTheme="minorHAnsi" w:hAnsiTheme="minorHAnsi" w:cstheme="minorHAnsi"/>
          <w:sz w:val="24"/>
          <w:szCs w:val="24"/>
          <w:shd w:val="clear" w:color="auto" w:fill="FFFFFF"/>
          <w:lang w:val="en-GB"/>
        </w:rPr>
        <w:t xml:space="preserve"> countries covering more than 80% of the world population at risk [</w:t>
      </w:r>
      <w:r w:rsidR="00E019E2">
        <w:rPr>
          <w:rFonts w:asciiTheme="minorHAnsi" w:hAnsiTheme="minorHAnsi" w:cstheme="minorHAnsi"/>
          <w:sz w:val="24"/>
          <w:szCs w:val="24"/>
          <w:shd w:val="clear" w:color="auto" w:fill="FFFFFF"/>
          <w:lang w:val="en-GB"/>
        </w:rPr>
        <w:t>7</w:t>
      </w:r>
      <w:r w:rsidR="002F052D" w:rsidRPr="003C331C">
        <w:rPr>
          <w:rFonts w:asciiTheme="minorHAnsi" w:hAnsiTheme="minorHAnsi" w:cstheme="minorHAnsi"/>
          <w:sz w:val="24"/>
          <w:szCs w:val="24"/>
          <w:shd w:val="clear" w:color="auto" w:fill="FFFFFF"/>
          <w:lang w:val="en-GB"/>
        </w:rPr>
        <w:t>] and ha</w:t>
      </w:r>
      <w:r w:rsidR="00D44B54" w:rsidRPr="003C331C">
        <w:rPr>
          <w:rFonts w:asciiTheme="minorHAnsi" w:hAnsiTheme="minorHAnsi" w:cstheme="minorHAnsi"/>
          <w:sz w:val="24"/>
          <w:szCs w:val="24"/>
          <w:shd w:val="clear" w:color="auto" w:fill="FFFFFF"/>
          <w:lang w:val="en-GB"/>
        </w:rPr>
        <w:t>ve</w:t>
      </w:r>
      <w:r w:rsidR="002F052D" w:rsidRPr="003C331C">
        <w:rPr>
          <w:rFonts w:asciiTheme="minorHAnsi" w:hAnsiTheme="minorHAnsi" w:cstheme="minorHAnsi"/>
          <w:sz w:val="24"/>
          <w:szCs w:val="24"/>
          <w:shd w:val="clear" w:color="auto" w:fill="FFFFFF"/>
          <w:lang w:val="en-GB"/>
        </w:rPr>
        <w:t xml:space="preserve"> been incorporated into more than 100 guidelines worldwide [</w:t>
      </w:r>
      <w:r w:rsidR="00E80220">
        <w:rPr>
          <w:rFonts w:asciiTheme="minorHAnsi" w:hAnsiTheme="minorHAnsi" w:cstheme="minorHAnsi"/>
          <w:sz w:val="24"/>
          <w:szCs w:val="24"/>
          <w:shd w:val="clear" w:color="auto" w:fill="FFFFFF"/>
          <w:lang w:val="en-GB"/>
        </w:rPr>
        <w:t>8</w:t>
      </w:r>
      <w:r w:rsidR="002F052D" w:rsidRPr="003C331C">
        <w:rPr>
          <w:rFonts w:asciiTheme="minorHAnsi" w:hAnsiTheme="minorHAnsi" w:cstheme="minorHAnsi"/>
          <w:sz w:val="24"/>
          <w:szCs w:val="24"/>
          <w:shd w:val="clear" w:color="auto" w:fill="FFFFFF"/>
          <w:lang w:val="en-GB"/>
        </w:rPr>
        <w:t>].</w:t>
      </w:r>
    </w:p>
    <w:bookmarkEnd w:id="3"/>
    <w:p w14:paraId="0F872AF8" w14:textId="22B12D34" w:rsidR="0052751E" w:rsidRPr="00DF0D46" w:rsidRDefault="007C1360" w:rsidP="00190B8D">
      <w:pPr>
        <w:ind w:left="567"/>
        <w:rPr>
          <w:rFonts w:asciiTheme="minorHAnsi" w:hAnsiTheme="minorHAnsi" w:cstheme="minorHAnsi"/>
          <w:sz w:val="24"/>
          <w:szCs w:val="24"/>
          <w:shd w:val="clear" w:color="auto" w:fill="FFFFFF"/>
          <w:lang w:val="en-GB"/>
        </w:rPr>
      </w:pPr>
      <w:r w:rsidRPr="00B0194B">
        <w:rPr>
          <w:rFonts w:asciiTheme="minorHAnsi" w:hAnsiTheme="minorHAnsi" w:cstheme="minorHAnsi"/>
          <w:sz w:val="24"/>
          <w:szCs w:val="24"/>
          <w:shd w:val="clear" w:color="auto" w:fill="FFFFFF"/>
          <w:lang w:val="en-GB"/>
        </w:rPr>
        <w:t>A</w:t>
      </w:r>
      <w:r w:rsidR="00E172DF" w:rsidRPr="00B0194B">
        <w:rPr>
          <w:rFonts w:asciiTheme="minorHAnsi" w:hAnsiTheme="minorHAnsi" w:cstheme="minorHAnsi"/>
          <w:sz w:val="24"/>
          <w:szCs w:val="24"/>
          <w:shd w:val="clear" w:color="auto" w:fill="FFFFFF"/>
          <w:lang w:val="en-GB"/>
        </w:rPr>
        <w:t xml:space="preserve"> </w:t>
      </w:r>
      <w:r w:rsidR="0094205C" w:rsidRPr="00B0194B">
        <w:rPr>
          <w:rFonts w:asciiTheme="minorHAnsi" w:hAnsiTheme="minorHAnsi" w:cstheme="minorHAnsi"/>
          <w:sz w:val="24"/>
          <w:szCs w:val="24"/>
          <w:shd w:val="clear" w:color="auto" w:fill="FFFFFF"/>
          <w:lang w:val="en-GB"/>
        </w:rPr>
        <w:t>country specific</w:t>
      </w:r>
      <w:r w:rsidR="00E172DF" w:rsidRPr="00B0194B">
        <w:rPr>
          <w:rFonts w:asciiTheme="minorHAnsi" w:hAnsiTheme="minorHAnsi" w:cstheme="minorHAnsi"/>
          <w:sz w:val="24"/>
          <w:szCs w:val="24"/>
          <w:shd w:val="clear" w:color="auto" w:fill="FFFFFF"/>
          <w:lang w:val="en-GB"/>
        </w:rPr>
        <w:t xml:space="preserve"> FRAX model</w:t>
      </w:r>
      <w:r w:rsidR="00530B8C" w:rsidRPr="00B0194B">
        <w:rPr>
          <w:rFonts w:asciiTheme="minorHAnsi" w:hAnsiTheme="minorHAnsi" w:cstheme="minorHAnsi"/>
          <w:sz w:val="24"/>
          <w:szCs w:val="24"/>
          <w:shd w:val="clear" w:color="auto" w:fill="FFFFFF"/>
          <w:lang w:val="en-GB"/>
        </w:rPr>
        <w:t xml:space="preserve"> </w:t>
      </w:r>
      <w:r w:rsidR="00964148" w:rsidRPr="00B0194B">
        <w:rPr>
          <w:rFonts w:asciiTheme="minorHAnsi" w:hAnsiTheme="minorHAnsi" w:cstheme="minorHAnsi"/>
          <w:sz w:val="24"/>
          <w:szCs w:val="24"/>
          <w:shd w:val="clear" w:color="auto" w:fill="FFFFFF"/>
          <w:lang w:val="en-GB"/>
        </w:rPr>
        <w:t xml:space="preserve">for Pakistan </w:t>
      </w:r>
      <w:r w:rsidR="00530B8C" w:rsidRPr="00B0194B">
        <w:rPr>
          <w:rFonts w:asciiTheme="minorHAnsi" w:hAnsiTheme="minorHAnsi" w:cstheme="minorHAnsi"/>
          <w:sz w:val="24"/>
          <w:szCs w:val="24"/>
          <w:shd w:val="clear" w:color="auto" w:fill="FFFFFF"/>
          <w:lang w:val="en-GB"/>
        </w:rPr>
        <w:t>wa</w:t>
      </w:r>
      <w:r w:rsidR="00B56835" w:rsidRPr="00B0194B">
        <w:rPr>
          <w:rFonts w:asciiTheme="minorHAnsi" w:hAnsiTheme="minorHAnsi" w:cstheme="minorHAnsi"/>
          <w:sz w:val="24"/>
          <w:szCs w:val="24"/>
          <w:shd w:val="clear" w:color="auto" w:fill="FFFFFF"/>
          <w:lang w:val="en-GB"/>
        </w:rPr>
        <w:t>s</w:t>
      </w:r>
      <w:r w:rsidR="00E172DF" w:rsidRPr="00B0194B">
        <w:rPr>
          <w:rFonts w:asciiTheme="minorHAnsi" w:hAnsiTheme="minorHAnsi" w:cstheme="minorHAnsi"/>
          <w:sz w:val="24"/>
          <w:szCs w:val="24"/>
          <w:shd w:val="clear" w:color="auto" w:fill="FFFFFF"/>
          <w:lang w:val="en-GB"/>
        </w:rPr>
        <w:t xml:space="preserve"> developed </w:t>
      </w:r>
      <w:r w:rsidR="00964148">
        <w:rPr>
          <w:rFonts w:asciiTheme="minorHAnsi" w:hAnsiTheme="minorHAnsi" w:cstheme="minorHAnsi"/>
          <w:sz w:val="24"/>
          <w:szCs w:val="24"/>
          <w:shd w:val="clear" w:color="auto" w:fill="FFFFFF"/>
          <w:lang w:val="en-GB"/>
        </w:rPr>
        <w:t>and</w:t>
      </w:r>
      <w:r w:rsidR="00B56835" w:rsidRPr="00B0194B">
        <w:rPr>
          <w:rFonts w:asciiTheme="minorHAnsi" w:hAnsiTheme="minorHAnsi" w:cstheme="minorHAnsi"/>
          <w:sz w:val="24"/>
          <w:szCs w:val="24"/>
          <w:shd w:val="clear" w:color="auto" w:fill="FFFFFF"/>
          <w:lang w:val="en-GB"/>
        </w:rPr>
        <w:t xml:space="preserve"> launched in </w:t>
      </w:r>
      <w:r w:rsidR="003C331C" w:rsidRPr="00B0194B">
        <w:rPr>
          <w:rFonts w:asciiTheme="minorHAnsi" w:hAnsiTheme="minorHAnsi" w:cstheme="minorHAnsi"/>
          <w:sz w:val="24"/>
          <w:szCs w:val="24"/>
          <w:shd w:val="clear" w:color="auto" w:fill="FFFFFF"/>
          <w:lang w:val="en-GB"/>
        </w:rPr>
        <w:t>2020 [</w:t>
      </w:r>
      <w:r w:rsidR="00E80220">
        <w:rPr>
          <w:rFonts w:asciiTheme="minorHAnsi" w:hAnsiTheme="minorHAnsi" w:cstheme="minorHAnsi"/>
          <w:sz w:val="24"/>
          <w:szCs w:val="24"/>
          <w:shd w:val="clear" w:color="auto" w:fill="FFFFFF"/>
          <w:lang w:val="en-GB"/>
        </w:rPr>
        <w:t>9</w:t>
      </w:r>
      <w:r w:rsidR="003C331C" w:rsidRPr="00B0194B">
        <w:rPr>
          <w:rFonts w:asciiTheme="minorHAnsi" w:hAnsiTheme="minorHAnsi" w:cstheme="minorHAnsi"/>
          <w:sz w:val="24"/>
          <w:szCs w:val="24"/>
          <w:shd w:val="clear" w:color="auto" w:fill="FFFFFF"/>
          <w:lang w:val="en-GB"/>
        </w:rPr>
        <w:t>]</w:t>
      </w:r>
      <w:r w:rsidR="00E172DF" w:rsidRPr="00B0194B">
        <w:rPr>
          <w:rFonts w:asciiTheme="minorHAnsi" w:hAnsiTheme="minorHAnsi" w:cstheme="minorHAnsi"/>
          <w:sz w:val="24"/>
          <w:szCs w:val="24"/>
          <w:shd w:val="clear" w:color="auto" w:fill="FFFFFF"/>
          <w:lang w:val="en-GB"/>
        </w:rPr>
        <w:t xml:space="preserve">. </w:t>
      </w:r>
      <w:r w:rsidR="004A36E8" w:rsidRPr="00B0194B">
        <w:rPr>
          <w:rFonts w:asciiTheme="minorHAnsi" w:hAnsiTheme="minorHAnsi" w:cstheme="minorHAnsi"/>
          <w:sz w:val="24"/>
          <w:szCs w:val="24"/>
          <w:shd w:val="clear" w:color="auto" w:fill="FFFFFF"/>
          <w:lang w:val="en-GB"/>
        </w:rPr>
        <w:t xml:space="preserve">Whereas the </w:t>
      </w:r>
      <w:r w:rsidR="00E172DF" w:rsidRPr="00B0194B">
        <w:rPr>
          <w:rFonts w:asciiTheme="minorHAnsi" w:hAnsiTheme="minorHAnsi" w:cstheme="minorHAnsi"/>
          <w:sz w:val="24"/>
          <w:szCs w:val="24"/>
          <w:shd w:val="clear" w:color="auto" w:fill="FFFFFF"/>
          <w:lang w:val="en-GB"/>
        </w:rPr>
        <w:t xml:space="preserve">model should enhance accuracy of determining fracture probability among the </w:t>
      </w:r>
      <w:r w:rsidR="003C331C" w:rsidRPr="00B0194B">
        <w:rPr>
          <w:rFonts w:asciiTheme="minorHAnsi" w:hAnsiTheme="minorHAnsi" w:cstheme="minorHAnsi"/>
          <w:sz w:val="24"/>
          <w:szCs w:val="24"/>
          <w:shd w:val="clear" w:color="auto" w:fill="FFFFFF"/>
          <w:lang w:val="en-GB"/>
        </w:rPr>
        <w:t>Pakistan</w:t>
      </w:r>
      <w:r w:rsidR="001E5302" w:rsidRPr="00B0194B">
        <w:rPr>
          <w:rFonts w:asciiTheme="minorHAnsi" w:hAnsiTheme="minorHAnsi" w:cstheme="minorHAnsi"/>
          <w:sz w:val="24"/>
          <w:szCs w:val="24"/>
          <w:shd w:val="clear" w:color="auto" w:fill="FFFFFF"/>
          <w:lang w:val="en-GB"/>
        </w:rPr>
        <w:t>i</w:t>
      </w:r>
      <w:r w:rsidR="00E172DF" w:rsidRPr="00B0194B">
        <w:rPr>
          <w:rFonts w:asciiTheme="minorHAnsi" w:hAnsiTheme="minorHAnsi" w:cstheme="minorHAnsi"/>
          <w:sz w:val="24"/>
          <w:szCs w:val="24"/>
          <w:shd w:val="clear" w:color="auto" w:fill="FFFFFF"/>
          <w:lang w:val="en-GB"/>
        </w:rPr>
        <w:t xml:space="preserve"> population</w:t>
      </w:r>
      <w:r w:rsidR="00F30D4F" w:rsidRPr="00B0194B">
        <w:rPr>
          <w:rFonts w:asciiTheme="minorHAnsi" w:hAnsiTheme="minorHAnsi" w:cstheme="minorHAnsi"/>
          <w:sz w:val="24"/>
          <w:szCs w:val="24"/>
          <w:shd w:val="clear" w:color="auto" w:fill="FFFFFF"/>
          <w:lang w:val="en-GB"/>
        </w:rPr>
        <w:t>,</w:t>
      </w:r>
      <w:r w:rsidR="00E172DF" w:rsidRPr="00B0194B">
        <w:rPr>
          <w:rFonts w:asciiTheme="minorHAnsi" w:hAnsiTheme="minorHAnsi" w:cstheme="minorHAnsi"/>
          <w:sz w:val="24"/>
          <w:szCs w:val="24"/>
          <w:shd w:val="clear" w:color="auto" w:fill="FFFFFF"/>
          <w:lang w:val="en-GB"/>
        </w:rPr>
        <w:t xml:space="preserve"> </w:t>
      </w:r>
      <w:r w:rsidR="00F30D4F" w:rsidRPr="00B0194B">
        <w:rPr>
          <w:rFonts w:asciiTheme="minorHAnsi" w:hAnsiTheme="minorHAnsi" w:cstheme="minorHAnsi"/>
          <w:sz w:val="24"/>
          <w:szCs w:val="24"/>
          <w:shd w:val="clear" w:color="auto" w:fill="FFFFFF"/>
          <w:lang w:val="en-GB"/>
        </w:rPr>
        <w:t xml:space="preserve">guidance is </w:t>
      </w:r>
      <w:r w:rsidR="00ED4600" w:rsidRPr="00B0194B">
        <w:rPr>
          <w:rFonts w:asciiTheme="minorHAnsi" w:hAnsiTheme="minorHAnsi" w:cstheme="minorHAnsi"/>
          <w:sz w:val="24"/>
          <w:szCs w:val="24"/>
          <w:shd w:val="clear" w:color="auto" w:fill="FFFFFF"/>
          <w:lang w:val="en-GB"/>
        </w:rPr>
        <w:t>not yet</w:t>
      </w:r>
      <w:r w:rsidR="0062597E" w:rsidRPr="00B0194B">
        <w:rPr>
          <w:rFonts w:asciiTheme="minorHAnsi" w:hAnsiTheme="minorHAnsi" w:cstheme="minorHAnsi"/>
          <w:sz w:val="24"/>
          <w:szCs w:val="24"/>
          <w:shd w:val="clear" w:color="auto" w:fill="FFFFFF"/>
          <w:lang w:val="en-GB"/>
        </w:rPr>
        <w:t xml:space="preserve"> available</w:t>
      </w:r>
      <w:r w:rsidR="00F30D4F" w:rsidRPr="00B0194B">
        <w:rPr>
          <w:rFonts w:asciiTheme="minorHAnsi" w:hAnsiTheme="minorHAnsi" w:cstheme="minorHAnsi"/>
          <w:sz w:val="24"/>
          <w:szCs w:val="24"/>
          <w:shd w:val="clear" w:color="auto" w:fill="FFFFFF"/>
          <w:lang w:val="en-GB"/>
        </w:rPr>
        <w:t xml:space="preserve"> </w:t>
      </w:r>
      <w:r w:rsidR="001126F3" w:rsidRPr="00B0194B">
        <w:rPr>
          <w:rFonts w:asciiTheme="minorHAnsi" w:hAnsiTheme="minorHAnsi" w:cstheme="minorHAnsi"/>
          <w:sz w:val="24"/>
          <w:szCs w:val="24"/>
          <w:shd w:val="clear" w:color="auto" w:fill="FFFFFF"/>
          <w:lang w:val="en-GB"/>
        </w:rPr>
        <w:t xml:space="preserve">to make </w:t>
      </w:r>
      <w:r w:rsidR="00E172DF" w:rsidRPr="00B0194B">
        <w:rPr>
          <w:rFonts w:asciiTheme="minorHAnsi" w:hAnsiTheme="minorHAnsi" w:cstheme="minorHAnsi"/>
          <w:sz w:val="24"/>
          <w:szCs w:val="24"/>
          <w:shd w:val="clear" w:color="auto" w:fill="FFFFFF"/>
          <w:lang w:val="en-GB"/>
        </w:rPr>
        <w:t>decisions about treatment</w:t>
      </w:r>
      <w:r w:rsidR="00354851" w:rsidRPr="00B0194B">
        <w:rPr>
          <w:rFonts w:asciiTheme="minorHAnsi" w:hAnsiTheme="minorHAnsi" w:cstheme="minorHAnsi"/>
          <w:sz w:val="24"/>
          <w:szCs w:val="24"/>
          <w:shd w:val="clear" w:color="auto" w:fill="FFFFFF"/>
          <w:lang w:val="en-GB"/>
        </w:rPr>
        <w:t xml:space="preserve"> [</w:t>
      </w:r>
      <w:r w:rsidR="00E80220">
        <w:rPr>
          <w:rFonts w:asciiTheme="minorHAnsi" w:hAnsiTheme="minorHAnsi" w:cstheme="minorHAnsi"/>
          <w:sz w:val="24"/>
          <w:szCs w:val="24"/>
          <w:shd w:val="clear" w:color="auto" w:fill="FFFFFF"/>
          <w:lang w:val="en-GB"/>
        </w:rPr>
        <w:t>10</w:t>
      </w:r>
      <w:r w:rsidR="00354851" w:rsidRPr="00B0194B">
        <w:rPr>
          <w:rFonts w:asciiTheme="minorHAnsi" w:hAnsiTheme="minorHAnsi" w:cstheme="minorHAnsi"/>
          <w:sz w:val="24"/>
          <w:szCs w:val="24"/>
          <w:shd w:val="clear" w:color="auto" w:fill="FFFFFF"/>
          <w:lang w:val="en-GB"/>
        </w:rPr>
        <w:t>]</w:t>
      </w:r>
      <w:r w:rsidR="00E172DF" w:rsidRPr="00B0194B">
        <w:rPr>
          <w:rFonts w:asciiTheme="minorHAnsi" w:hAnsiTheme="minorHAnsi" w:cstheme="minorHAnsi"/>
          <w:sz w:val="24"/>
          <w:szCs w:val="24"/>
          <w:shd w:val="clear" w:color="auto" w:fill="FFFFFF"/>
          <w:lang w:val="en-GB"/>
        </w:rPr>
        <w:t>.</w:t>
      </w:r>
      <w:r w:rsidR="00E172DF" w:rsidRPr="00B842E5">
        <w:rPr>
          <w:rFonts w:asciiTheme="minorHAnsi" w:hAnsiTheme="minorHAnsi" w:cstheme="minorHAnsi"/>
          <w:sz w:val="24"/>
          <w:szCs w:val="24"/>
          <w:shd w:val="clear" w:color="auto" w:fill="FFFFFF"/>
          <w:lang w:val="en-GB"/>
        </w:rPr>
        <w:t xml:space="preserve"> </w:t>
      </w:r>
      <w:r w:rsidR="004B6D8C" w:rsidRPr="00B842E5">
        <w:rPr>
          <w:rFonts w:asciiTheme="minorHAnsi" w:hAnsiTheme="minorHAnsi" w:cstheme="minorHAnsi"/>
          <w:sz w:val="24"/>
          <w:szCs w:val="24"/>
          <w:shd w:val="clear" w:color="auto" w:fill="FFFFFF"/>
          <w:lang w:val="en-GB"/>
        </w:rPr>
        <w:t xml:space="preserve"> </w:t>
      </w:r>
      <w:r w:rsidR="00827864" w:rsidRPr="00B842E5">
        <w:rPr>
          <w:rFonts w:asciiTheme="minorHAnsi" w:hAnsiTheme="minorHAnsi" w:cstheme="minorHAnsi"/>
          <w:sz w:val="24"/>
          <w:szCs w:val="24"/>
          <w:shd w:val="clear" w:color="auto" w:fill="FFFFFF"/>
          <w:lang w:val="en-GB"/>
        </w:rPr>
        <w:t xml:space="preserve">The aim of the </w:t>
      </w:r>
      <w:r w:rsidR="00827864" w:rsidRPr="00DF0D46">
        <w:rPr>
          <w:rFonts w:asciiTheme="minorHAnsi" w:hAnsiTheme="minorHAnsi" w:cstheme="minorHAnsi"/>
          <w:sz w:val="24"/>
          <w:szCs w:val="24"/>
          <w:shd w:val="clear" w:color="auto" w:fill="FFFFFF"/>
          <w:lang w:val="en-GB"/>
        </w:rPr>
        <w:t xml:space="preserve">present study </w:t>
      </w:r>
      <w:r w:rsidR="007434EA" w:rsidRPr="00DF0D46">
        <w:rPr>
          <w:rFonts w:asciiTheme="minorHAnsi" w:hAnsiTheme="minorHAnsi" w:cstheme="minorHAnsi"/>
          <w:sz w:val="24"/>
          <w:szCs w:val="24"/>
          <w:shd w:val="clear" w:color="auto" w:fill="FFFFFF"/>
          <w:lang w:val="en-GB"/>
        </w:rPr>
        <w:t xml:space="preserve">was to </w:t>
      </w:r>
      <w:r w:rsidR="00CC02C3">
        <w:rPr>
          <w:rFonts w:asciiTheme="minorHAnsi" w:hAnsiTheme="minorHAnsi" w:cstheme="minorHAnsi"/>
          <w:sz w:val="24"/>
          <w:szCs w:val="24"/>
          <w:shd w:val="clear" w:color="auto" w:fill="FFFFFF"/>
          <w:lang w:val="en-GB"/>
        </w:rPr>
        <w:t>investigate</w:t>
      </w:r>
      <w:r w:rsidR="00CC02C3" w:rsidRPr="00DF0D46">
        <w:rPr>
          <w:rFonts w:asciiTheme="minorHAnsi" w:hAnsiTheme="minorHAnsi" w:cstheme="minorHAnsi"/>
          <w:sz w:val="24"/>
          <w:szCs w:val="24"/>
          <w:shd w:val="clear" w:color="auto" w:fill="FFFFFF"/>
          <w:lang w:val="en-GB"/>
        </w:rPr>
        <w:t xml:space="preserve"> </w:t>
      </w:r>
      <w:r w:rsidR="00614278">
        <w:rPr>
          <w:rFonts w:asciiTheme="minorHAnsi" w:hAnsiTheme="minorHAnsi" w:cstheme="minorHAnsi"/>
          <w:sz w:val="24"/>
          <w:szCs w:val="24"/>
          <w:shd w:val="clear" w:color="auto" w:fill="FFFFFF"/>
          <w:lang w:val="en-GB"/>
        </w:rPr>
        <w:t xml:space="preserve">BMD and </w:t>
      </w:r>
      <w:r w:rsidR="000C1EF6">
        <w:rPr>
          <w:rFonts w:asciiTheme="minorHAnsi" w:hAnsiTheme="minorHAnsi" w:cstheme="minorHAnsi"/>
          <w:sz w:val="24"/>
          <w:szCs w:val="24"/>
          <w:shd w:val="clear" w:color="auto" w:fill="FFFFFF"/>
          <w:lang w:val="en-GB"/>
        </w:rPr>
        <w:t xml:space="preserve">FRAX-based intervention </w:t>
      </w:r>
      <w:r w:rsidR="00B842E5" w:rsidRPr="00DF0D46">
        <w:rPr>
          <w:rFonts w:asciiTheme="minorHAnsi" w:hAnsiTheme="minorHAnsi" w:cstheme="minorHAnsi"/>
          <w:sz w:val="24"/>
          <w:szCs w:val="24"/>
          <w:shd w:val="clear" w:color="auto" w:fill="FFFFFF"/>
          <w:lang w:val="en-GB"/>
        </w:rPr>
        <w:t>thresholds for Pakistan</w:t>
      </w:r>
      <w:r w:rsidR="002E2460" w:rsidRPr="00DF0D46">
        <w:rPr>
          <w:rFonts w:asciiTheme="minorHAnsi" w:hAnsiTheme="minorHAnsi" w:cstheme="minorHAnsi"/>
          <w:sz w:val="24"/>
          <w:szCs w:val="24"/>
          <w:shd w:val="clear" w:color="auto" w:fill="FFFFFF"/>
          <w:lang w:val="en-GB"/>
        </w:rPr>
        <w:t>.</w:t>
      </w:r>
      <w:r w:rsidR="00241ED0" w:rsidRPr="00DF0D46">
        <w:rPr>
          <w:rFonts w:asciiTheme="minorHAnsi" w:hAnsiTheme="minorHAnsi" w:cstheme="minorHAnsi"/>
          <w:sz w:val="24"/>
          <w:szCs w:val="24"/>
          <w:shd w:val="clear" w:color="auto" w:fill="FFFFFF"/>
          <w:lang w:val="en-GB"/>
        </w:rPr>
        <w:t xml:space="preserve"> </w:t>
      </w:r>
    </w:p>
    <w:p w14:paraId="1957F5C8" w14:textId="632CA0C3" w:rsidR="00DF0D46" w:rsidRDefault="00AB07BE" w:rsidP="00190B8D">
      <w:pPr>
        <w:ind w:left="567"/>
        <w:rPr>
          <w:rFonts w:asciiTheme="minorHAnsi" w:hAnsiTheme="minorHAnsi" w:cstheme="minorHAnsi"/>
          <w:b/>
          <w:bCs/>
          <w:sz w:val="24"/>
          <w:szCs w:val="24"/>
          <w:shd w:val="clear" w:color="auto" w:fill="FFFFFF"/>
          <w:lang w:val="en-GB"/>
        </w:rPr>
      </w:pPr>
      <w:r w:rsidRPr="00DF0D46">
        <w:rPr>
          <w:rFonts w:asciiTheme="minorHAnsi" w:hAnsiTheme="minorHAnsi" w:cstheme="minorHAnsi"/>
          <w:b/>
          <w:bCs/>
          <w:sz w:val="24"/>
          <w:szCs w:val="24"/>
          <w:shd w:val="clear" w:color="auto" w:fill="FFFFFF"/>
          <w:lang w:val="en-GB"/>
        </w:rPr>
        <w:t>Methods</w:t>
      </w:r>
    </w:p>
    <w:p w14:paraId="1BEAF588" w14:textId="373CBF32" w:rsidR="00BA39D8" w:rsidRDefault="00BA39D8" w:rsidP="00190B8D">
      <w:pPr>
        <w:ind w:left="567"/>
        <w:rPr>
          <w:rFonts w:asciiTheme="minorHAnsi" w:hAnsiTheme="minorHAnsi" w:cstheme="minorHAnsi"/>
          <w:i/>
          <w:iCs/>
          <w:sz w:val="24"/>
          <w:szCs w:val="24"/>
          <w:shd w:val="clear" w:color="auto" w:fill="FFFFFF"/>
          <w:lang w:val="en-GB"/>
        </w:rPr>
      </w:pPr>
      <w:r w:rsidRPr="00BA39D8">
        <w:rPr>
          <w:rFonts w:asciiTheme="minorHAnsi" w:hAnsiTheme="minorHAnsi" w:cstheme="minorHAnsi"/>
          <w:i/>
          <w:iCs/>
          <w:sz w:val="24"/>
          <w:szCs w:val="24"/>
          <w:shd w:val="clear" w:color="auto" w:fill="FFFFFF"/>
          <w:lang w:val="en-GB"/>
        </w:rPr>
        <w:t>Intervention thresholds</w:t>
      </w:r>
    </w:p>
    <w:p w14:paraId="307FC45F" w14:textId="51575F42" w:rsidR="00BA39D8" w:rsidRPr="00BA39D8" w:rsidRDefault="007B43F4" w:rsidP="00190B8D">
      <w:pPr>
        <w:ind w:left="567"/>
        <w:rPr>
          <w:rFonts w:asciiTheme="minorHAnsi" w:hAnsiTheme="minorHAnsi" w:cstheme="minorHAnsi"/>
          <w:sz w:val="24"/>
          <w:szCs w:val="24"/>
          <w:shd w:val="clear" w:color="auto" w:fill="FFFFFF"/>
          <w:lang w:val="en-GB"/>
        </w:rPr>
      </w:pPr>
      <w:r w:rsidRPr="00475F17">
        <w:rPr>
          <w:sz w:val="24"/>
          <w:szCs w:val="24"/>
          <w:lang w:val="en-AU"/>
        </w:rPr>
        <w:t>The FRAX model for Pakistan is a surrogate model that used the ethnic-specific incidence of hip fracture in Indian men and women living in Singapore, combined with the death risk for Pakistan.</w:t>
      </w:r>
      <w:r w:rsidR="00EB2414" w:rsidRPr="00475F17">
        <w:rPr>
          <w:lang w:val="en-AU"/>
        </w:rPr>
        <w:t xml:space="preserve"> </w:t>
      </w:r>
      <w:r w:rsidR="00A161CE" w:rsidRPr="00BF4643">
        <w:rPr>
          <w:sz w:val="24"/>
          <w:szCs w:val="24"/>
          <w:lang w:val="en-AU"/>
        </w:rPr>
        <w:t>The need for a surrogate model arises because of a dearth of epidemiological data on osteoporosis and fragility fractures [</w:t>
      </w:r>
      <w:r w:rsidR="001A3BEE">
        <w:rPr>
          <w:sz w:val="24"/>
          <w:szCs w:val="24"/>
          <w:lang w:val="en-AU"/>
        </w:rPr>
        <w:t>11</w:t>
      </w:r>
      <w:r w:rsidR="00A161CE" w:rsidRPr="00B34C70">
        <w:rPr>
          <w:sz w:val="24"/>
          <w:szCs w:val="24"/>
          <w:lang w:val="en-AU"/>
        </w:rPr>
        <w:t>]</w:t>
      </w:r>
      <w:r w:rsidR="00385EE1" w:rsidRPr="00F85CAE">
        <w:rPr>
          <w:sz w:val="24"/>
          <w:szCs w:val="24"/>
          <w:lang w:val="en-AU"/>
        </w:rPr>
        <w:t>.</w:t>
      </w:r>
      <w:r w:rsidR="00A161CE" w:rsidRPr="00391C16">
        <w:rPr>
          <w:sz w:val="24"/>
          <w:szCs w:val="24"/>
          <w:lang w:val="en-AU"/>
        </w:rPr>
        <w:t xml:space="preserve"> </w:t>
      </w:r>
      <w:r w:rsidR="009874CA" w:rsidRPr="00391C16">
        <w:rPr>
          <w:sz w:val="24"/>
          <w:szCs w:val="24"/>
          <w:lang w:val="en-AU"/>
        </w:rPr>
        <w:t>The surrogate model gives somewhat lower 10-year fracture probabilities for men and women at all ages compared to the model for Indians from Singapore, reflecting a higher mortality risk in Pakistan.</w:t>
      </w:r>
      <w:r w:rsidR="0068136D">
        <w:rPr>
          <w:lang w:val="en-AU"/>
        </w:rPr>
        <w:t xml:space="preserve"> </w:t>
      </w:r>
      <w:r w:rsidR="00EB2414" w:rsidRPr="00475F17">
        <w:rPr>
          <w:sz w:val="24"/>
          <w:szCs w:val="24"/>
          <w:lang w:val="en-AU"/>
        </w:rPr>
        <w:t>Two intervention thresholds were tested using the Pakistan FRAX model</w:t>
      </w:r>
      <w:r w:rsidR="00F85CAE">
        <w:rPr>
          <w:sz w:val="24"/>
          <w:szCs w:val="24"/>
          <w:lang w:val="en-AU"/>
        </w:rPr>
        <w:t xml:space="preserve"> applied to p</w:t>
      </w:r>
      <w:r w:rsidR="00211579">
        <w:rPr>
          <w:sz w:val="24"/>
          <w:szCs w:val="24"/>
          <w:lang w:val="en-AU"/>
        </w:rPr>
        <w:t>o</w:t>
      </w:r>
      <w:r w:rsidR="00F85CAE">
        <w:rPr>
          <w:sz w:val="24"/>
          <w:szCs w:val="24"/>
          <w:lang w:val="en-AU"/>
        </w:rPr>
        <w:t xml:space="preserve">stmenopausal </w:t>
      </w:r>
      <w:r w:rsidR="00211579">
        <w:rPr>
          <w:sz w:val="24"/>
          <w:szCs w:val="24"/>
          <w:lang w:val="en-AU"/>
        </w:rPr>
        <w:t>women</w:t>
      </w:r>
      <w:r w:rsidR="00EB2414" w:rsidRPr="00475F17">
        <w:rPr>
          <w:sz w:val="24"/>
          <w:szCs w:val="24"/>
          <w:lang w:val="en-AU"/>
        </w:rPr>
        <w:t xml:space="preserve">. </w:t>
      </w:r>
      <w:r w:rsidR="00BA39D8" w:rsidRPr="00475F17">
        <w:rPr>
          <w:sz w:val="24"/>
          <w:szCs w:val="24"/>
          <w:lang w:val="en-AU"/>
        </w:rPr>
        <w:t xml:space="preserve">The first was </w:t>
      </w:r>
      <w:r w:rsidR="00BA39D8" w:rsidRPr="007B43F4">
        <w:rPr>
          <w:rFonts w:asciiTheme="minorHAnsi" w:hAnsiTheme="minorHAnsi" w:cstheme="minorHAnsi"/>
          <w:sz w:val="24"/>
          <w:szCs w:val="24"/>
          <w:shd w:val="clear" w:color="auto" w:fill="FFFFFF"/>
          <w:lang w:val="en-GB"/>
        </w:rPr>
        <w:t>based on BMD measurements</w:t>
      </w:r>
      <w:r w:rsidR="00BA39D8" w:rsidRPr="00BA39D8">
        <w:rPr>
          <w:rFonts w:asciiTheme="minorHAnsi" w:hAnsiTheme="minorHAnsi" w:cstheme="minorHAnsi"/>
          <w:sz w:val="24"/>
          <w:szCs w:val="24"/>
          <w:shd w:val="clear" w:color="auto" w:fill="FFFFFF"/>
          <w:lang w:val="en-GB"/>
        </w:rPr>
        <w:t xml:space="preserve"> </w:t>
      </w:r>
      <w:r w:rsidR="00CC02C3">
        <w:rPr>
          <w:rFonts w:asciiTheme="minorHAnsi" w:hAnsiTheme="minorHAnsi" w:cstheme="minorHAnsi"/>
          <w:sz w:val="24"/>
          <w:szCs w:val="24"/>
          <w:shd w:val="clear" w:color="auto" w:fill="FFFFFF"/>
          <w:lang w:val="en-GB"/>
        </w:rPr>
        <w:t>from</w:t>
      </w:r>
      <w:r w:rsidR="00CC02C3" w:rsidRPr="00BA39D8">
        <w:rPr>
          <w:rFonts w:asciiTheme="minorHAnsi" w:hAnsiTheme="minorHAnsi" w:cstheme="minorHAnsi"/>
          <w:sz w:val="24"/>
          <w:szCs w:val="24"/>
          <w:shd w:val="clear" w:color="auto" w:fill="FFFFFF"/>
          <w:lang w:val="en-GB"/>
        </w:rPr>
        <w:t xml:space="preserve"> </w:t>
      </w:r>
      <w:r w:rsidR="00BA39D8" w:rsidRPr="00BA39D8">
        <w:rPr>
          <w:rFonts w:asciiTheme="minorHAnsi" w:hAnsiTheme="minorHAnsi" w:cstheme="minorHAnsi"/>
          <w:sz w:val="24"/>
          <w:szCs w:val="24"/>
          <w:shd w:val="clear" w:color="auto" w:fill="FFFFFF"/>
          <w:lang w:val="en-GB"/>
        </w:rPr>
        <w:t xml:space="preserve">DXA with a threshold for </w:t>
      </w:r>
      <w:r w:rsidR="00BA39D8">
        <w:rPr>
          <w:rFonts w:asciiTheme="minorHAnsi" w:hAnsiTheme="minorHAnsi" w:cstheme="minorHAnsi"/>
          <w:sz w:val="24"/>
          <w:szCs w:val="24"/>
          <w:shd w:val="clear" w:color="auto" w:fill="FFFFFF"/>
          <w:lang w:val="en-GB"/>
        </w:rPr>
        <w:t>intervention</w:t>
      </w:r>
      <w:r w:rsidR="00BA39D8" w:rsidRPr="00BA39D8">
        <w:rPr>
          <w:rFonts w:asciiTheme="minorHAnsi" w:hAnsiTheme="minorHAnsi" w:cstheme="minorHAnsi"/>
          <w:sz w:val="24"/>
          <w:szCs w:val="24"/>
          <w:shd w:val="clear" w:color="auto" w:fill="FFFFFF"/>
          <w:lang w:val="en-GB"/>
        </w:rPr>
        <w:t xml:space="preserve"> set at</w:t>
      </w:r>
      <w:r w:rsidR="00CC02C3">
        <w:rPr>
          <w:rFonts w:asciiTheme="minorHAnsi" w:hAnsiTheme="minorHAnsi" w:cstheme="minorHAnsi"/>
          <w:sz w:val="24"/>
          <w:szCs w:val="24"/>
          <w:shd w:val="clear" w:color="auto" w:fill="FFFFFF"/>
          <w:lang w:val="en-GB"/>
        </w:rPr>
        <w:t xml:space="preserve"> a T-score of</w:t>
      </w:r>
      <w:r w:rsidR="00BA39D8" w:rsidRPr="00BA39D8">
        <w:rPr>
          <w:rFonts w:asciiTheme="minorHAnsi" w:hAnsiTheme="minorHAnsi" w:cstheme="minorHAnsi"/>
          <w:sz w:val="24"/>
          <w:szCs w:val="24"/>
          <w:shd w:val="clear" w:color="auto" w:fill="FFFFFF"/>
          <w:lang w:val="en-GB"/>
        </w:rPr>
        <w:t xml:space="preserve"> -2.5. The ten-year probabilities of a major osteoporotic fracture were calculated by age (in </w:t>
      </w:r>
      <w:r w:rsidR="00063B9B" w:rsidRPr="00BA39D8">
        <w:rPr>
          <w:rFonts w:asciiTheme="minorHAnsi" w:hAnsiTheme="minorHAnsi" w:cstheme="minorHAnsi"/>
          <w:sz w:val="24"/>
          <w:szCs w:val="24"/>
          <w:shd w:val="clear" w:color="auto" w:fill="FFFFFF"/>
          <w:lang w:val="en-GB"/>
        </w:rPr>
        <w:t>5-year</w:t>
      </w:r>
      <w:r w:rsidR="00BA39D8" w:rsidRPr="00BA39D8">
        <w:rPr>
          <w:rFonts w:asciiTheme="minorHAnsi" w:hAnsiTheme="minorHAnsi" w:cstheme="minorHAnsi"/>
          <w:sz w:val="24"/>
          <w:szCs w:val="24"/>
          <w:shd w:val="clear" w:color="auto" w:fill="FFFFFF"/>
          <w:lang w:val="en-GB"/>
        </w:rPr>
        <w:t xml:space="preserve"> increments from the age of 40 to 90 years) in women at the threshold of osteoporosis (</w:t>
      </w:r>
      <w:r w:rsidR="00295F6B">
        <w:rPr>
          <w:rFonts w:asciiTheme="minorHAnsi" w:hAnsiTheme="minorHAnsi" w:cstheme="minorHAnsi"/>
          <w:sz w:val="24"/>
          <w:szCs w:val="24"/>
          <w:shd w:val="clear" w:color="auto" w:fill="FFFFFF"/>
          <w:lang w:val="en-GB"/>
        </w:rPr>
        <w:t>i.e.,</w:t>
      </w:r>
      <w:r w:rsidR="00566B2C">
        <w:rPr>
          <w:rFonts w:asciiTheme="minorHAnsi" w:hAnsiTheme="minorHAnsi" w:cstheme="minorHAnsi"/>
          <w:sz w:val="24"/>
          <w:szCs w:val="24"/>
          <w:shd w:val="clear" w:color="auto" w:fill="FFFFFF"/>
          <w:lang w:val="en-GB"/>
        </w:rPr>
        <w:t xml:space="preserve"> with a </w:t>
      </w:r>
      <w:r w:rsidR="00BA39D8" w:rsidRPr="00BA39D8">
        <w:rPr>
          <w:rFonts w:asciiTheme="minorHAnsi" w:hAnsiTheme="minorHAnsi" w:cstheme="minorHAnsi"/>
          <w:sz w:val="24"/>
          <w:szCs w:val="24"/>
          <w:shd w:val="clear" w:color="auto" w:fill="FFFFFF"/>
          <w:lang w:val="en-GB"/>
        </w:rPr>
        <w:t xml:space="preserve">T-score </w:t>
      </w:r>
      <w:r w:rsidR="00566B2C">
        <w:rPr>
          <w:rFonts w:asciiTheme="minorHAnsi" w:hAnsiTheme="minorHAnsi" w:cstheme="minorHAnsi"/>
          <w:sz w:val="24"/>
          <w:szCs w:val="24"/>
          <w:shd w:val="clear" w:color="auto" w:fill="FFFFFF"/>
          <w:lang w:val="en-GB"/>
        </w:rPr>
        <w:t>set at</w:t>
      </w:r>
      <w:r w:rsidR="00566B2C" w:rsidRPr="00BA39D8">
        <w:rPr>
          <w:rFonts w:asciiTheme="minorHAnsi" w:hAnsiTheme="minorHAnsi" w:cstheme="minorHAnsi"/>
          <w:sz w:val="24"/>
          <w:szCs w:val="24"/>
          <w:shd w:val="clear" w:color="auto" w:fill="FFFFFF"/>
          <w:lang w:val="en-GB"/>
        </w:rPr>
        <w:t xml:space="preserve"> </w:t>
      </w:r>
      <w:r w:rsidR="00BA39D8" w:rsidRPr="00BA39D8">
        <w:rPr>
          <w:rFonts w:asciiTheme="minorHAnsi" w:hAnsiTheme="minorHAnsi" w:cstheme="minorHAnsi"/>
          <w:sz w:val="24"/>
          <w:szCs w:val="24"/>
          <w:shd w:val="clear" w:color="auto" w:fill="FFFFFF"/>
          <w:lang w:val="en-GB"/>
        </w:rPr>
        <w:t xml:space="preserve">-2.5). </w:t>
      </w:r>
      <w:r w:rsidR="00566B2C">
        <w:rPr>
          <w:rFonts w:asciiTheme="minorHAnsi" w:hAnsiTheme="minorHAnsi" w:cstheme="minorHAnsi"/>
          <w:sz w:val="24"/>
          <w:szCs w:val="24"/>
          <w:shd w:val="clear" w:color="auto" w:fill="FFFFFF"/>
          <w:lang w:val="en-GB"/>
        </w:rPr>
        <w:t xml:space="preserve"> The a</w:t>
      </w:r>
      <w:r w:rsidR="007123D1">
        <w:rPr>
          <w:rFonts w:asciiTheme="minorHAnsi" w:hAnsiTheme="minorHAnsi" w:cstheme="minorHAnsi"/>
          <w:sz w:val="24"/>
          <w:szCs w:val="24"/>
          <w:shd w:val="clear" w:color="auto" w:fill="FFFFFF"/>
          <w:lang w:val="en-GB"/>
        </w:rPr>
        <w:t>ge of 40 years was chosen to accommodate women with an ea</w:t>
      </w:r>
      <w:r w:rsidR="0076543D">
        <w:rPr>
          <w:rFonts w:asciiTheme="minorHAnsi" w:hAnsiTheme="minorHAnsi" w:cstheme="minorHAnsi"/>
          <w:sz w:val="24"/>
          <w:szCs w:val="24"/>
          <w:shd w:val="clear" w:color="auto" w:fill="FFFFFF"/>
          <w:lang w:val="en-GB"/>
        </w:rPr>
        <w:t xml:space="preserve">rly menopause. </w:t>
      </w:r>
      <w:r w:rsidR="00BA39D8" w:rsidRPr="00BA39D8">
        <w:rPr>
          <w:rFonts w:asciiTheme="minorHAnsi" w:hAnsiTheme="minorHAnsi" w:cstheme="minorHAnsi"/>
          <w:sz w:val="24"/>
          <w:szCs w:val="24"/>
          <w:shd w:val="clear" w:color="auto" w:fill="FFFFFF"/>
          <w:lang w:val="en-GB"/>
        </w:rPr>
        <w:t>Women were assumed to have no other clinical risk factors that might contribute to fracture probability.</w:t>
      </w:r>
    </w:p>
    <w:p w14:paraId="42204E67" w14:textId="66BF961B" w:rsidR="00BA39D8" w:rsidRPr="00BF4643" w:rsidRDefault="00BA39D8" w:rsidP="00190B8D">
      <w:pPr>
        <w:ind w:left="567"/>
        <w:rPr>
          <w:rFonts w:asciiTheme="minorHAnsi" w:hAnsiTheme="minorHAnsi" w:cstheme="minorHAnsi"/>
          <w:sz w:val="24"/>
          <w:szCs w:val="24"/>
          <w:shd w:val="clear" w:color="auto" w:fill="FFFFFF"/>
          <w:lang w:val="en-GB"/>
        </w:rPr>
      </w:pPr>
      <w:r w:rsidRPr="00BF4643">
        <w:rPr>
          <w:rFonts w:asciiTheme="minorHAnsi" w:hAnsiTheme="minorHAnsi" w:cstheme="minorHAnsi"/>
          <w:sz w:val="24"/>
          <w:szCs w:val="24"/>
          <w:shd w:val="clear" w:color="auto" w:fill="FFFFFF"/>
          <w:lang w:val="en-GB"/>
        </w:rPr>
        <w:t>Many guidelines recommend treatment in women with a previous fragility fracture</w:t>
      </w:r>
      <w:r w:rsidR="007659B8" w:rsidRPr="00BF4643">
        <w:rPr>
          <w:rFonts w:asciiTheme="minorHAnsi" w:hAnsiTheme="minorHAnsi" w:cstheme="minorHAnsi"/>
          <w:sz w:val="24"/>
          <w:szCs w:val="24"/>
          <w:shd w:val="clear" w:color="auto" w:fill="FFFFFF"/>
          <w:lang w:val="en-GB"/>
        </w:rPr>
        <w:t xml:space="preserve"> [</w:t>
      </w:r>
      <w:r w:rsidR="007B43F4" w:rsidRPr="00BF4643">
        <w:rPr>
          <w:rFonts w:asciiTheme="minorHAnsi" w:hAnsiTheme="minorHAnsi" w:cstheme="minorHAnsi"/>
          <w:sz w:val="24"/>
          <w:szCs w:val="24"/>
          <w:shd w:val="clear" w:color="auto" w:fill="FFFFFF"/>
          <w:lang w:val="en-GB"/>
        </w:rPr>
        <w:t xml:space="preserve">3, </w:t>
      </w:r>
      <w:r w:rsidR="00E80220" w:rsidRPr="00BF4643">
        <w:rPr>
          <w:rFonts w:asciiTheme="minorHAnsi" w:hAnsiTheme="minorHAnsi" w:cstheme="minorHAnsi"/>
          <w:sz w:val="24"/>
          <w:szCs w:val="24"/>
          <w:shd w:val="clear" w:color="auto" w:fill="FFFFFF"/>
          <w:lang w:val="en-GB"/>
        </w:rPr>
        <w:t>4</w:t>
      </w:r>
      <w:r w:rsidR="0015280B" w:rsidRPr="00BF4643">
        <w:rPr>
          <w:rFonts w:asciiTheme="minorHAnsi" w:hAnsiTheme="minorHAnsi" w:cstheme="minorHAnsi"/>
          <w:sz w:val="24"/>
          <w:szCs w:val="24"/>
          <w:shd w:val="clear" w:color="auto" w:fill="FFFFFF"/>
          <w:lang w:val="en-GB"/>
        </w:rPr>
        <w:t xml:space="preserve">, </w:t>
      </w:r>
      <w:r w:rsidR="00E80220" w:rsidRPr="00BF4643">
        <w:rPr>
          <w:rFonts w:asciiTheme="minorHAnsi" w:hAnsiTheme="minorHAnsi" w:cstheme="minorHAnsi"/>
          <w:sz w:val="24"/>
          <w:szCs w:val="24"/>
          <w:shd w:val="clear" w:color="auto" w:fill="FFFFFF"/>
          <w:lang w:val="en-GB"/>
        </w:rPr>
        <w:t>8</w:t>
      </w:r>
      <w:r w:rsidR="007B43F4" w:rsidRPr="00BF4643">
        <w:rPr>
          <w:rFonts w:asciiTheme="minorHAnsi" w:hAnsiTheme="minorHAnsi" w:cstheme="minorHAnsi"/>
          <w:sz w:val="24"/>
          <w:szCs w:val="24"/>
          <w:shd w:val="clear" w:color="auto" w:fill="FFFFFF"/>
          <w:lang w:val="en-GB"/>
        </w:rPr>
        <w:t xml:space="preserve">, </w:t>
      </w:r>
      <w:r w:rsidR="00A717FA" w:rsidRPr="00BF4643">
        <w:rPr>
          <w:rFonts w:asciiTheme="minorHAnsi" w:hAnsiTheme="minorHAnsi" w:cstheme="minorHAnsi"/>
          <w:sz w:val="24"/>
          <w:szCs w:val="24"/>
          <w:shd w:val="clear" w:color="auto" w:fill="FFFFFF"/>
          <w:lang w:val="en-GB"/>
        </w:rPr>
        <w:t>12</w:t>
      </w:r>
      <w:r w:rsidR="007B43F4" w:rsidRPr="00BF4643">
        <w:rPr>
          <w:rFonts w:asciiTheme="minorHAnsi" w:hAnsiTheme="minorHAnsi" w:cstheme="minorHAnsi"/>
          <w:sz w:val="24"/>
          <w:szCs w:val="24"/>
          <w:shd w:val="clear" w:color="auto" w:fill="FFFFFF"/>
          <w:lang w:val="en-GB"/>
        </w:rPr>
        <w:t xml:space="preserve">, </w:t>
      </w:r>
      <w:r w:rsidR="00C6671E" w:rsidRPr="00BF4643">
        <w:rPr>
          <w:rFonts w:asciiTheme="minorHAnsi" w:hAnsiTheme="minorHAnsi" w:cstheme="minorHAnsi"/>
          <w:sz w:val="24"/>
          <w:szCs w:val="24"/>
          <w:shd w:val="clear" w:color="auto" w:fill="FFFFFF"/>
          <w:lang w:val="en-GB"/>
        </w:rPr>
        <w:t>13</w:t>
      </w:r>
      <w:r w:rsidR="007B43F4" w:rsidRPr="00BF4643">
        <w:rPr>
          <w:rFonts w:asciiTheme="minorHAnsi" w:hAnsiTheme="minorHAnsi" w:cstheme="minorHAnsi"/>
          <w:sz w:val="24"/>
          <w:szCs w:val="24"/>
          <w:shd w:val="clear" w:color="auto" w:fill="FFFFFF"/>
          <w:lang w:val="en-GB"/>
        </w:rPr>
        <w:t xml:space="preserve">, </w:t>
      </w:r>
      <w:r w:rsidR="00DB77DB" w:rsidRPr="00BF4643">
        <w:rPr>
          <w:rFonts w:asciiTheme="minorHAnsi" w:hAnsiTheme="minorHAnsi" w:cstheme="minorHAnsi"/>
          <w:sz w:val="24"/>
          <w:szCs w:val="24"/>
          <w:shd w:val="clear" w:color="auto" w:fill="FFFFFF"/>
          <w:lang w:val="en-GB"/>
        </w:rPr>
        <w:t>14</w:t>
      </w:r>
      <w:r w:rsidR="0068268D" w:rsidRPr="00BF4643">
        <w:rPr>
          <w:rFonts w:asciiTheme="minorHAnsi" w:hAnsiTheme="minorHAnsi" w:cstheme="minorHAnsi"/>
          <w:sz w:val="24"/>
          <w:szCs w:val="24"/>
          <w:shd w:val="clear" w:color="auto" w:fill="FFFFFF"/>
          <w:lang w:val="en-GB"/>
        </w:rPr>
        <w:t>, 15</w:t>
      </w:r>
      <w:r w:rsidR="007659B8" w:rsidRPr="00BF4643">
        <w:rPr>
          <w:rFonts w:asciiTheme="minorHAnsi" w:hAnsiTheme="minorHAnsi" w:cstheme="minorHAnsi"/>
          <w:sz w:val="24"/>
          <w:szCs w:val="24"/>
          <w:shd w:val="clear" w:color="auto" w:fill="FFFFFF"/>
          <w:lang w:val="en-GB"/>
        </w:rPr>
        <w:t>]</w:t>
      </w:r>
      <w:r w:rsidRPr="00BF4643">
        <w:rPr>
          <w:rFonts w:asciiTheme="minorHAnsi" w:hAnsiTheme="minorHAnsi" w:cstheme="minorHAnsi"/>
          <w:sz w:val="24"/>
          <w:szCs w:val="24"/>
          <w:shd w:val="clear" w:color="auto" w:fill="FFFFFF"/>
          <w:lang w:val="en-GB"/>
        </w:rPr>
        <w:t xml:space="preserve">. </w:t>
      </w:r>
      <w:r w:rsidR="00063B9B" w:rsidRPr="00BF4643">
        <w:rPr>
          <w:rFonts w:asciiTheme="minorHAnsi" w:hAnsiTheme="minorHAnsi" w:cstheme="minorHAnsi"/>
          <w:sz w:val="24"/>
          <w:szCs w:val="24"/>
          <w:shd w:val="clear" w:color="auto" w:fill="FFFFFF"/>
          <w:lang w:val="en-GB"/>
        </w:rPr>
        <w:t xml:space="preserve"> </w:t>
      </w:r>
      <w:r w:rsidRPr="00BF4643">
        <w:rPr>
          <w:rFonts w:asciiTheme="minorHAnsi" w:hAnsiTheme="minorHAnsi" w:cstheme="minorHAnsi"/>
          <w:sz w:val="24"/>
          <w:szCs w:val="24"/>
          <w:shd w:val="clear" w:color="auto" w:fill="FFFFFF"/>
          <w:lang w:val="en-GB"/>
        </w:rPr>
        <w:t>For this reason, a second intervention threshold was calculated over the same age intervals</w:t>
      </w:r>
      <w:r w:rsidR="0092687B" w:rsidRPr="00BF4643">
        <w:rPr>
          <w:rFonts w:asciiTheme="minorHAnsi" w:hAnsiTheme="minorHAnsi" w:cstheme="minorHAnsi"/>
          <w:sz w:val="24"/>
          <w:szCs w:val="24"/>
          <w:shd w:val="clear" w:color="auto" w:fill="FFFFFF"/>
          <w:lang w:val="en-GB"/>
        </w:rPr>
        <w:t xml:space="preserve">, set as the age-specific FRAX probability of major osteoporotic fracture </w:t>
      </w:r>
      <w:r w:rsidRPr="00BF4643">
        <w:rPr>
          <w:rFonts w:asciiTheme="minorHAnsi" w:hAnsiTheme="minorHAnsi" w:cstheme="minorHAnsi"/>
          <w:sz w:val="24"/>
          <w:szCs w:val="24"/>
          <w:shd w:val="clear" w:color="auto" w:fill="FFFFFF"/>
          <w:lang w:val="en-GB"/>
        </w:rPr>
        <w:t>in women with a prior fracture but no other clinical risk factors</w:t>
      </w:r>
      <w:r w:rsidR="0092687B" w:rsidRPr="00BF4643">
        <w:rPr>
          <w:rFonts w:asciiTheme="minorHAnsi" w:hAnsiTheme="minorHAnsi" w:cstheme="minorHAnsi"/>
          <w:sz w:val="24"/>
          <w:szCs w:val="24"/>
          <w:shd w:val="clear" w:color="auto" w:fill="FFFFFF"/>
          <w:lang w:val="en-GB"/>
        </w:rPr>
        <w:t>,</w:t>
      </w:r>
      <w:r w:rsidRPr="00BF4643">
        <w:rPr>
          <w:rFonts w:asciiTheme="minorHAnsi" w:hAnsiTheme="minorHAnsi" w:cstheme="minorHAnsi"/>
          <w:sz w:val="24"/>
          <w:szCs w:val="24"/>
          <w:shd w:val="clear" w:color="auto" w:fill="FFFFFF"/>
          <w:lang w:val="en-GB"/>
        </w:rPr>
        <w:t xml:space="preserve"> using the </w:t>
      </w:r>
      <w:r w:rsidR="00063B9B" w:rsidRPr="00BF4643">
        <w:rPr>
          <w:rFonts w:asciiTheme="minorHAnsi" w:hAnsiTheme="minorHAnsi" w:cstheme="minorHAnsi"/>
          <w:sz w:val="24"/>
          <w:szCs w:val="24"/>
          <w:shd w:val="clear" w:color="auto" w:fill="FFFFFF"/>
          <w:lang w:val="en-GB"/>
        </w:rPr>
        <w:t>Pakistan</w:t>
      </w:r>
      <w:r w:rsidRPr="00BF4643">
        <w:rPr>
          <w:rFonts w:asciiTheme="minorHAnsi" w:hAnsiTheme="minorHAnsi" w:cstheme="minorHAnsi"/>
          <w:sz w:val="24"/>
          <w:szCs w:val="24"/>
          <w:shd w:val="clear" w:color="auto" w:fill="FFFFFF"/>
          <w:lang w:val="en-GB"/>
        </w:rPr>
        <w:t>-specific FRAX tool without BMD</w:t>
      </w:r>
      <w:r w:rsidR="00CC02C3" w:rsidRPr="00BF4643">
        <w:rPr>
          <w:rFonts w:asciiTheme="minorHAnsi" w:hAnsiTheme="minorHAnsi" w:cstheme="minorHAnsi"/>
          <w:sz w:val="24"/>
          <w:szCs w:val="24"/>
          <w:shd w:val="clear" w:color="auto" w:fill="FFFFFF"/>
          <w:lang w:val="en-GB"/>
        </w:rPr>
        <w:t>,</w:t>
      </w:r>
      <w:r w:rsidRPr="00BF4643">
        <w:rPr>
          <w:rFonts w:asciiTheme="minorHAnsi" w:hAnsiTheme="minorHAnsi" w:cstheme="minorHAnsi"/>
          <w:sz w:val="24"/>
          <w:szCs w:val="24"/>
          <w:shd w:val="clear" w:color="auto" w:fill="FFFFFF"/>
          <w:lang w:val="en-GB"/>
        </w:rPr>
        <w:t xml:space="preserve"> and </w:t>
      </w:r>
      <w:r w:rsidR="001742E4" w:rsidRPr="00BF4643">
        <w:rPr>
          <w:rFonts w:asciiTheme="minorHAnsi" w:hAnsiTheme="minorHAnsi" w:cstheme="minorHAnsi"/>
          <w:sz w:val="24"/>
          <w:szCs w:val="24"/>
          <w:shd w:val="clear" w:color="auto" w:fill="FFFFFF"/>
          <w:lang w:val="en-GB"/>
        </w:rPr>
        <w:t xml:space="preserve">body mass index (BMI) </w:t>
      </w:r>
      <w:r w:rsidRPr="00BF4643">
        <w:rPr>
          <w:rFonts w:asciiTheme="minorHAnsi" w:hAnsiTheme="minorHAnsi" w:cstheme="minorHAnsi"/>
          <w:sz w:val="24"/>
          <w:szCs w:val="24"/>
          <w:shd w:val="clear" w:color="auto" w:fill="FFFFFF"/>
          <w:lang w:val="en-GB"/>
        </w:rPr>
        <w:t>set at 2</w:t>
      </w:r>
      <w:r w:rsidR="00634EFF" w:rsidRPr="00BF4643">
        <w:rPr>
          <w:rFonts w:asciiTheme="minorHAnsi" w:hAnsiTheme="minorHAnsi" w:cstheme="minorHAnsi"/>
          <w:sz w:val="24"/>
          <w:szCs w:val="24"/>
          <w:shd w:val="clear" w:color="auto" w:fill="FFFFFF"/>
          <w:lang w:val="en-GB"/>
        </w:rPr>
        <w:t>5</w:t>
      </w:r>
      <w:r w:rsidRPr="00BF4643">
        <w:rPr>
          <w:rFonts w:asciiTheme="minorHAnsi" w:hAnsiTheme="minorHAnsi" w:cstheme="minorHAnsi"/>
          <w:sz w:val="24"/>
          <w:szCs w:val="24"/>
          <w:shd w:val="clear" w:color="auto" w:fill="FFFFFF"/>
          <w:lang w:val="en-GB"/>
        </w:rPr>
        <w:t xml:space="preserve"> kg/m</w:t>
      </w:r>
      <w:r w:rsidRPr="00BF4643">
        <w:rPr>
          <w:rFonts w:asciiTheme="minorHAnsi" w:hAnsiTheme="minorHAnsi" w:cstheme="minorHAnsi"/>
          <w:sz w:val="24"/>
          <w:szCs w:val="24"/>
          <w:shd w:val="clear" w:color="auto" w:fill="FFFFFF"/>
          <w:vertAlign w:val="superscript"/>
          <w:lang w:val="en-GB"/>
        </w:rPr>
        <w:t>2</w:t>
      </w:r>
      <w:r w:rsidR="0092687B" w:rsidRPr="00BF4643">
        <w:rPr>
          <w:rFonts w:asciiTheme="minorHAnsi" w:hAnsiTheme="minorHAnsi" w:cstheme="minorHAnsi"/>
          <w:sz w:val="24"/>
          <w:szCs w:val="24"/>
          <w:shd w:val="clear" w:color="auto" w:fill="FFFFFF"/>
          <w:lang w:val="en-GB"/>
        </w:rPr>
        <w:t>,</w:t>
      </w:r>
      <w:r w:rsidR="00063B9B" w:rsidRPr="00BF4643">
        <w:rPr>
          <w:rFonts w:asciiTheme="minorHAnsi" w:hAnsiTheme="minorHAnsi" w:cstheme="minorHAnsi"/>
          <w:sz w:val="24"/>
          <w:szCs w:val="24"/>
          <w:shd w:val="clear" w:color="auto" w:fill="FFFFFF"/>
          <w:lang w:val="en-GB"/>
        </w:rPr>
        <w:t xml:space="preserve"> which approximates</w:t>
      </w:r>
      <w:r w:rsidR="0085276A" w:rsidRPr="00BF4643">
        <w:rPr>
          <w:rFonts w:asciiTheme="minorHAnsi" w:hAnsiTheme="minorHAnsi" w:cstheme="minorHAnsi"/>
          <w:sz w:val="24"/>
          <w:szCs w:val="24"/>
          <w:shd w:val="clear" w:color="auto" w:fill="FFFFFF"/>
          <w:lang w:val="en-GB"/>
        </w:rPr>
        <w:t xml:space="preserve"> </w:t>
      </w:r>
      <w:r w:rsidR="00063B9B" w:rsidRPr="00BF4643">
        <w:rPr>
          <w:rFonts w:asciiTheme="minorHAnsi" w:hAnsiTheme="minorHAnsi" w:cstheme="minorHAnsi"/>
          <w:sz w:val="24"/>
          <w:szCs w:val="24"/>
          <w:shd w:val="clear" w:color="auto" w:fill="FFFFFF"/>
          <w:lang w:val="en-GB"/>
        </w:rPr>
        <w:t xml:space="preserve">the mean </w:t>
      </w:r>
      <w:r w:rsidR="007659B8" w:rsidRPr="00BF4643">
        <w:rPr>
          <w:rFonts w:asciiTheme="minorHAnsi" w:hAnsiTheme="minorHAnsi" w:cstheme="minorHAnsi"/>
          <w:sz w:val="24"/>
          <w:szCs w:val="24"/>
          <w:shd w:val="clear" w:color="auto" w:fill="FFFFFF"/>
          <w:lang w:val="en-GB"/>
        </w:rPr>
        <w:t xml:space="preserve">value for women </w:t>
      </w:r>
      <w:r w:rsidR="0007160D" w:rsidRPr="00BF4643">
        <w:rPr>
          <w:rFonts w:asciiTheme="minorHAnsi" w:hAnsiTheme="minorHAnsi" w:cstheme="minorHAnsi"/>
          <w:sz w:val="24"/>
          <w:szCs w:val="24"/>
          <w:shd w:val="clear" w:color="auto" w:fill="FFFFFF"/>
          <w:lang w:val="en-GB"/>
        </w:rPr>
        <w:t xml:space="preserve">at the </w:t>
      </w:r>
      <w:r w:rsidR="00634EFF" w:rsidRPr="00BF4643">
        <w:rPr>
          <w:rFonts w:asciiTheme="minorHAnsi" w:hAnsiTheme="minorHAnsi" w:cstheme="minorHAnsi"/>
          <w:sz w:val="24"/>
          <w:szCs w:val="24"/>
          <w:shd w:val="clear" w:color="auto" w:fill="FFFFFF"/>
          <w:lang w:val="en-GB"/>
        </w:rPr>
        <w:t xml:space="preserve">age </w:t>
      </w:r>
      <w:r w:rsidR="001742E4" w:rsidRPr="00BF4643">
        <w:rPr>
          <w:rFonts w:asciiTheme="minorHAnsi" w:hAnsiTheme="minorHAnsi" w:cstheme="minorHAnsi"/>
          <w:sz w:val="24"/>
          <w:szCs w:val="24"/>
          <w:shd w:val="clear" w:color="auto" w:fill="FFFFFF"/>
          <w:lang w:val="en-GB"/>
        </w:rPr>
        <w:t xml:space="preserve">of </w:t>
      </w:r>
      <w:r w:rsidR="00634EFF" w:rsidRPr="00BF4643">
        <w:rPr>
          <w:rFonts w:asciiTheme="minorHAnsi" w:hAnsiTheme="minorHAnsi" w:cstheme="minorHAnsi"/>
          <w:sz w:val="24"/>
          <w:szCs w:val="24"/>
          <w:shd w:val="clear" w:color="auto" w:fill="FFFFFF"/>
          <w:lang w:val="en-GB"/>
        </w:rPr>
        <w:t xml:space="preserve">50 years </w:t>
      </w:r>
      <w:r w:rsidR="00F13BBE" w:rsidRPr="00BF4643">
        <w:rPr>
          <w:rFonts w:asciiTheme="minorHAnsi" w:hAnsiTheme="minorHAnsi" w:cstheme="minorHAnsi"/>
          <w:sz w:val="24"/>
          <w:szCs w:val="24"/>
          <w:shd w:val="clear" w:color="auto" w:fill="FFFFFF"/>
          <w:lang w:val="en-GB"/>
        </w:rPr>
        <w:t>in Pakistan</w:t>
      </w:r>
      <w:r w:rsidR="00634EFF" w:rsidRPr="00BF4643">
        <w:rPr>
          <w:rFonts w:asciiTheme="minorHAnsi" w:hAnsiTheme="minorHAnsi" w:cstheme="minorHAnsi"/>
          <w:sz w:val="24"/>
          <w:szCs w:val="24"/>
          <w:shd w:val="clear" w:color="auto" w:fill="FFFFFF"/>
          <w:lang w:val="en-GB"/>
        </w:rPr>
        <w:t xml:space="preserve"> [</w:t>
      </w:r>
      <w:r w:rsidR="0068268D" w:rsidRPr="00BF4643">
        <w:rPr>
          <w:rFonts w:asciiTheme="minorHAnsi" w:hAnsiTheme="minorHAnsi" w:cstheme="minorHAnsi"/>
          <w:sz w:val="24"/>
          <w:szCs w:val="24"/>
          <w:shd w:val="clear" w:color="auto" w:fill="FFFFFF"/>
          <w:lang w:val="en-GB"/>
        </w:rPr>
        <w:t>16</w:t>
      </w:r>
      <w:r w:rsidR="00667D3C" w:rsidRPr="00BF4643">
        <w:rPr>
          <w:rFonts w:asciiTheme="minorHAnsi" w:hAnsiTheme="minorHAnsi" w:cstheme="minorHAnsi"/>
          <w:sz w:val="24"/>
          <w:szCs w:val="24"/>
          <w:shd w:val="clear" w:color="auto" w:fill="FFFFFF"/>
          <w:lang w:val="en-GB"/>
        </w:rPr>
        <w:t>]</w:t>
      </w:r>
      <w:r w:rsidR="007659B8" w:rsidRPr="00BF4643">
        <w:rPr>
          <w:rFonts w:asciiTheme="minorHAnsi" w:hAnsiTheme="minorHAnsi" w:cstheme="minorHAnsi"/>
          <w:sz w:val="24"/>
          <w:szCs w:val="24"/>
          <w:shd w:val="clear" w:color="auto" w:fill="FFFFFF"/>
          <w:lang w:val="en-GB"/>
        </w:rPr>
        <w:t>.</w:t>
      </w:r>
    </w:p>
    <w:p w14:paraId="110491DB" w14:textId="77777777" w:rsidR="00634EFF" w:rsidRPr="00BF4643" w:rsidRDefault="00634EFF" w:rsidP="00190B8D">
      <w:pPr>
        <w:ind w:left="567"/>
        <w:rPr>
          <w:rFonts w:asciiTheme="minorHAnsi" w:hAnsiTheme="minorHAnsi" w:cstheme="minorHAnsi"/>
          <w:i/>
          <w:iCs/>
          <w:sz w:val="24"/>
          <w:szCs w:val="24"/>
          <w:shd w:val="clear" w:color="auto" w:fill="FFFFFF"/>
          <w:lang w:val="en-GB"/>
        </w:rPr>
      </w:pPr>
      <w:r w:rsidRPr="00BF4643">
        <w:rPr>
          <w:rFonts w:asciiTheme="minorHAnsi" w:hAnsiTheme="minorHAnsi" w:cstheme="minorHAnsi"/>
          <w:i/>
          <w:iCs/>
          <w:sz w:val="24"/>
          <w:szCs w:val="24"/>
          <w:shd w:val="clear" w:color="auto" w:fill="FFFFFF"/>
          <w:lang w:val="en-GB"/>
        </w:rPr>
        <w:t xml:space="preserve">Assessment thresholds for BMD testing </w:t>
      </w:r>
    </w:p>
    <w:p w14:paraId="775C3255" w14:textId="1740F850" w:rsidR="00634EFF" w:rsidRPr="00BF4643" w:rsidRDefault="00634EFF" w:rsidP="004843BC">
      <w:pPr>
        <w:ind w:left="567"/>
        <w:rPr>
          <w:rFonts w:asciiTheme="minorHAnsi" w:hAnsiTheme="minorHAnsi" w:cstheme="minorHAnsi"/>
          <w:sz w:val="24"/>
          <w:szCs w:val="24"/>
          <w:shd w:val="clear" w:color="auto" w:fill="FFFFFF"/>
          <w:lang w:val="en-GB"/>
        </w:rPr>
      </w:pPr>
      <w:r w:rsidRPr="00BF4643">
        <w:rPr>
          <w:rFonts w:asciiTheme="minorHAnsi" w:hAnsiTheme="minorHAnsi" w:cstheme="minorHAnsi"/>
          <w:sz w:val="24"/>
          <w:szCs w:val="24"/>
          <w:shd w:val="clear" w:color="auto" w:fill="FFFFFF"/>
          <w:lang w:val="en-GB"/>
        </w:rPr>
        <w:t>The intervention threshold based on the fracture</w:t>
      </w:r>
      <w:r w:rsidR="0092687B" w:rsidRPr="00BF4643">
        <w:rPr>
          <w:rFonts w:asciiTheme="minorHAnsi" w:hAnsiTheme="minorHAnsi" w:cstheme="minorHAnsi"/>
          <w:sz w:val="24"/>
          <w:szCs w:val="24"/>
          <w:shd w:val="clear" w:color="auto" w:fill="FFFFFF"/>
          <w:lang w:val="en-GB"/>
        </w:rPr>
        <w:t xml:space="preserve"> probability</w:t>
      </w:r>
      <w:r w:rsidRPr="00BF4643">
        <w:rPr>
          <w:rFonts w:asciiTheme="minorHAnsi" w:hAnsiTheme="minorHAnsi" w:cstheme="minorHAnsi"/>
          <w:sz w:val="24"/>
          <w:szCs w:val="24"/>
          <w:shd w:val="clear" w:color="auto" w:fill="FFFFFF"/>
          <w:lang w:val="en-GB"/>
        </w:rPr>
        <w:t xml:space="preserve"> in women with a prior fracture and no other clinical risk factors was determined without the use of BMD. However, the inclusion of BMD in the assessment calculation of probability improves the accuracy of the assessment [</w:t>
      </w:r>
      <w:r w:rsidR="0068268D" w:rsidRPr="00BF4643">
        <w:rPr>
          <w:rFonts w:asciiTheme="minorHAnsi" w:hAnsiTheme="minorHAnsi" w:cstheme="minorHAnsi"/>
          <w:sz w:val="24"/>
          <w:szCs w:val="24"/>
          <w:shd w:val="clear" w:color="auto" w:fill="FFFFFF"/>
          <w:lang w:val="en-GB"/>
        </w:rPr>
        <w:t>17</w:t>
      </w:r>
      <w:r w:rsidR="00C97A14" w:rsidRPr="00BF4643">
        <w:rPr>
          <w:rFonts w:asciiTheme="minorHAnsi" w:hAnsiTheme="minorHAnsi" w:cstheme="minorHAnsi"/>
          <w:sz w:val="24"/>
          <w:szCs w:val="24"/>
          <w:shd w:val="clear" w:color="auto" w:fill="FFFFFF"/>
          <w:lang w:val="en-GB"/>
        </w:rPr>
        <w:t xml:space="preserve">] </w:t>
      </w:r>
      <w:r w:rsidRPr="00BF4643">
        <w:rPr>
          <w:rFonts w:asciiTheme="minorHAnsi" w:hAnsiTheme="minorHAnsi" w:cstheme="minorHAnsi"/>
          <w:sz w:val="24"/>
          <w:szCs w:val="24"/>
          <w:shd w:val="clear" w:color="auto" w:fill="FFFFFF"/>
          <w:lang w:val="en-GB"/>
        </w:rPr>
        <w:t>but the value of BMD in a clinical context is greatest in individuals in whom fracture probabilities lie close to the intervention threshold [</w:t>
      </w:r>
      <w:bookmarkStart w:id="4" w:name="_Hlk64732052"/>
      <w:r w:rsidR="00C97A14" w:rsidRPr="00BF4643">
        <w:rPr>
          <w:rFonts w:asciiTheme="minorHAnsi" w:hAnsiTheme="minorHAnsi" w:cstheme="minorHAnsi"/>
          <w:sz w:val="24"/>
          <w:szCs w:val="24"/>
          <w:shd w:val="clear" w:color="auto" w:fill="FFFFFF"/>
          <w:lang w:val="en-GB"/>
        </w:rPr>
        <w:t>17</w:t>
      </w:r>
      <w:r w:rsidR="00E82C46" w:rsidRPr="00BF4643">
        <w:rPr>
          <w:rFonts w:asciiTheme="minorHAnsi" w:hAnsiTheme="minorHAnsi" w:cstheme="minorHAnsi"/>
          <w:sz w:val="24"/>
          <w:szCs w:val="24"/>
          <w:shd w:val="clear" w:color="auto" w:fill="FFFFFF"/>
          <w:lang w:val="en-GB"/>
        </w:rPr>
        <w:t>]</w:t>
      </w:r>
      <w:bookmarkEnd w:id="4"/>
      <w:r w:rsidRPr="00BF4643">
        <w:rPr>
          <w:rFonts w:asciiTheme="minorHAnsi" w:hAnsiTheme="minorHAnsi" w:cstheme="minorHAnsi"/>
          <w:sz w:val="24"/>
          <w:szCs w:val="24"/>
          <w:shd w:val="clear" w:color="auto" w:fill="FFFFFF"/>
          <w:lang w:val="en-GB"/>
        </w:rPr>
        <w:t>. Thus, where access to BMD testing is limited, the use of BMD can be optimised by only testing those individuals in whom probabilities are close to the intervention threshold [</w:t>
      </w:r>
      <w:r w:rsidR="0068268D" w:rsidRPr="00BF4643">
        <w:rPr>
          <w:rFonts w:asciiTheme="minorHAnsi" w:hAnsiTheme="minorHAnsi" w:cstheme="minorHAnsi"/>
          <w:sz w:val="24"/>
          <w:szCs w:val="24"/>
          <w:shd w:val="clear" w:color="auto" w:fill="FFFFFF"/>
          <w:lang w:val="en-GB"/>
        </w:rPr>
        <w:t>18</w:t>
      </w:r>
      <w:r w:rsidR="00BF4457" w:rsidRPr="00BF4643">
        <w:rPr>
          <w:rFonts w:asciiTheme="minorHAnsi" w:hAnsiTheme="minorHAnsi" w:cstheme="minorHAnsi"/>
          <w:sz w:val="24"/>
          <w:szCs w:val="24"/>
          <w:shd w:val="clear" w:color="auto" w:fill="FFFFFF"/>
          <w:lang w:val="en-GB"/>
        </w:rPr>
        <w:t xml:space="preserve">, </w:t>
      </w:r>
      <w:r w:rsidR="0068268D" w:rsidRPr="00BF4643">
        <w:rPr>
          <w:rFonts w:asciiTheme="minorHAnsi" w:hAnsiTheme="minorHAnsi" w:cstheme="minorHAnsi"/>
          <w:sz w:val="24"/>
          <w:szCs w:val="24"/>
          <w:shd w:val="clear" w:color="auto" w:fill="FFFFFF"/>
          <w:lang w:val="en-GB"/>
        </w:rPr>
        <w:t>19</w:t>
      </w:r>
      <w:r w:rsidR="004D297A" w:rsidRPr="00BF4643">
        <w:rPr>
          <w:rFonts w:asciiTheme="minorHAnsi" w:hAnsiTheme="minorHAnsi" w:cstheme="minorHAnsi"/>
          <w:sz w:val="24"/>
          <w:szCs w:val="24"/>
          <w:shd w:val="clear" w:color="auto" w:fill="FFFFFF"/>
          <w:lang w:val="en-GB"/>
        </w:rPr>
        <w:t>,</w:t>
      </w:r>
      <w:r w:rsidR="00E82C46" w:rsidRPr="00BF4643">
        <w:rPr>
          <w:rFonts w:asciiTheme="minorHAnsi" w:hAnsiTheme="minorHAnsi" w:cstheme="minorHAnsi"/>
          <w:sz w:val="24"/>
          <w:szCs w:val="24"/>
          <w:shd w:val="clear" w:color="auto" w:fill="FFFFFF"/>
          <w:lang w:val="en-GB"/>
        </w:rPr>
        <w:t xml:space="preserve"> </w:t>
      </w:r>
      <w:r w:rsidR="0068268D" w:rsidRPr="00BF4643">
        <w:rPr>
          <w:rFonts w:asciiTheme="minorHAnsi" w:hAnsiTheme="minorHAnsi" w:cstheme="minorHAnsi"/>
          <w:sz w:val="24"/>
          <w:szCs w:val="24"/>
          <w:shd w:val="clear" w:color="auto" w:fill="FFFFFF"/>
          <w:lang w:val="en-GB"/>
        </w:rPr>
        <w:t>20</w:t>
      </w:r>
      <w:r w:rsidR="00AD5396" w:rsidRPr="00BF4643">
        <w:rPr>
          <w:rFonts w:asciiTheme="minorHAnsi" w:hAnsiTheme="minorHAnsi" w:cstheme="minorHAnsi"/>
          <w:sz w:val="24"/>
          <w:szCs w:val="24"/>
          <w:shd w:val="clear" w:color="auto" w:fill="FFFFFF"/>
          <w:lang w:val="en-GB"/>
        </w:rPr>
        <w:t>]</w:t>
      </w:r>
      <w:r w:rsidRPr="00BF4643">
        <w:rPr>
          <w:rFonts w:asciiTheme="minorHAnsi" w:hAnsiTheme="minorHAnsi" w:cstheme="minorHAnsi"/>
          <w:sz w:val="24"/>
          <w:szCs w:val="24"/>
          <w:shd w:val="clear" w:color="auto" w:fill="FFFFFF"/>
          <w:lang w:val="en-GB"/>
        </w:rPr>
        <w:t>.  In other words, testing is confined to those in whom there is a reasonable likelihood that individuals at high (or low) risk would be reclassified at low (or high) risk on the basis of the BMD test.   On this basis, we calculated two assessment thresholds which were applied to the intervention threshold described above</w:t>
      </w:r>
      <w:r w:rsidR="00190B8D" w:rsidRPr="00BF4643">
        <w:rPr>
          <w:rFonts w:asciiTheme="minorHAnsi" w:hAnsiTheme="minorHAnsi" w:cstheme="minorHAnsi"/>
          <w:sz w:val="24"/>
          <w:szCs w:val="24"/>
          <w:shd w:val="clear" w:color="auto" w:fill="FFFFFF"/>
          <w:lang w:val="en-GB"/>
        </w:rPr>
        <w:t xml:space="preserve"> [</w:t>
      </w:r>
      <w:r w:rsidR="006A54AA" w:rsidRPr="00BF4643">
        <w:rPr>
          <w:rFonts w:asciiTheme="minorHAnsi" w:hAnsiTheme="minorHAnsi" w:cstheme="minorHAnsi"/>
          <w:sz w:val="24"/>
          <w:szCs w:val="24"/>
          <w:shd w:val="clear" w:color="auto" w:fill="FFFFFF"/>
          <w:lang w:val="en-GB"/>
        </w:rPr>
        <w:t>5</w:t>
      </w:r>
      <w:r w:rsidR="00190B8D" w:rsidRPr="00BF4643">
        <w:rPr>
          <w:rFonts w:asciiTheme="minorHAnsi" w:hAnsiTheme="minorHAnsi" w:cstheme="minorHAnsi"/>
          <w:sz w:val="24"/>
          <w:szCs w:val="24"/>
          <w:shd w:val="clear" w:color="auto" w:fill="FFFFFF"/>
          <w:lang w:val="en-GB"/>
        </w:rPr>
        <w:t xml:space="preserve">, </w:t>
      </w:r>
      <w:r w:rsidR="00AD69D2" w:rsidRPr="00BF4643">
        <w:rPr>
          <w:rFonts w:asciiTheme="minorHAnsi" w:hAnsiTheme="minorHAnsi" w:cstheme="minorHAnsi"/>
          <w:sz w:val="24"/>
          <w:szCs w:val="24"/>
          <w:shd w:val="clear" w:color="auto" w:fill="FFFFFF"/>
          <w:lang w:val="en-GB"/>
        </w:rPr>
        <w:t>10</w:t>
      </w:r>
      <w:r w:rsidR="002D184D" w:rsidRPr="00BF4643">
        <w:rPr>
          <w:rFonts w:asciiTheme="minorHAnsi" w:hAnsiTheme="minorHAnsi" w:cstheme="minorHAnsi"/>
          <w:sz w:val="24"/>
          <w:szCs w:val="24"/>
          <w:shd w:val="clear" w:color="auto" w:fill="FFFFFF"/>
          <w:lang w:val="en-GB"/>
        </w:rPr>
        <w:t xml:space="preserve">, </w:t>
      </w:r>
      <w:r w:rsidR="0068268D" w:rsidRPr="00BF4643">
        <w:rPr>
          <w:rFonts w:asciiTheme="minorHAnsi" w:hAnsiTheme="minorHAnsi" w:cstheme="minorHAnsi"/>
          <w:sz w:val="24"/>
          <w:szCs w:val="24"/>
          <w:shd w:val="clear" w:color="auto" w:fill="FFFFFF"/>
          <w:lang w:val="en-GB"/>
        </w:rPr>
        <w:t>20</w:t>
      </w:r>
      <w:r w:rsidR="00190B8D" w:rsidRPr="00BF4643">
        <w:rPr>
          <w:rFonts w:asciiTheme="minorHAnsi" w:hAnsiTheme="minorHAnsi" w:cstheme="minorHAnsi"/>
          <w:sz w:val="24"/>
          <w:szCs w:val="24"/>
          <w:shd w:val="clear" w:color="auto" w:fill="FFFFFF"/>
          <w:lang w:val="en-GB"/>
        </w:rPr>
        <w:t>]:</w:t>
      </w:r>
    </w:p>
    <w:p w14:paraId="2703D46D" w14:textId="77777777" w:rsidR="00634EFF" w:rsidRPr="00BF4643" w:rsidRDefault="00634EFF" w:rsidP="0062677D">
      <w:pPr>
        <w:ind w:left="993"/>
        <w:rPr>
          <w:rFonts w:asciiTheme="minorHAnsi" w:hAnsiTheme="minorHAnsi" w:cstheme="minorHAnsi"/>
          <w:sz w:val="24"/>
          <w:szCs w:val="24"/>
          <w:shd w:val="clear" w:color="auto" w:fill="FFFFFF"/>
          <w:lang w:val="en-GB"/>
        </w:rPr>
      </w:pPr>
      <w:r w:rsidRPr="00BF4643">
        <w:rPr>
          <w:rFonts w:asciiTheme="minorHAnsi" w:hAnsiTheme="minorHAnsi" w:cstheme="minorHAnsi"/>
          <w:sz w:val="24"/>
          <w:szCs w:val="24"/>
          <w:shd w:val="clear" w:color="auto" w:fill="FFFFFF"/>
          <w:lang w:val="en-GB"/>
        </w:rPr>
        <w:t xml:space="preserve">The threshold probability below which neither treatment nor a BMD test should be considered (lower assessment threshold). </w:t>
      </w:r>
    </w:p>
    <w:p w14:paraId="58F922A7" w14:textId="77777777" w:rsidR="00634EFF" w:rsidRPr="00BF4643" w:rsidRDefault="00634EFF" w:rsidP="0062677D">
      <w:pPr>
        <w:ind w:left="993"/>
        <w:rPr>
          <w:rFonts w:asciiTheme="minorHAnsi" w:hAnsiTheme="minorHAnsi" w:cstheme="minorHAnsi"/>
          <w:sz w:val="24"/>
          <w:szCs w:val="24"/>
          <w:shd w:val="clear" w:color="auto" w:fill="FFFFFF"/>
          <w:lang w:val="en-GB"/>
        </w:rPr>
      </w:pPr>
      <w:r w:rsidRPr="00BF4643">
        <w:rPr>
          <w:rFonts w:asciiTheme="minorHAnsi" w:hAnsiTheme="minorHAnsi" w:cstheme="minorHAnsi"/>
          <w:sz w:val="24"/>
          <w:szCs w:val="24"/>
          <w:shd w:val="clear" w:color="auto" w:fill="FFFFFF"/>
          <w:lang w:val="en-GB"/>
        </w:rPr>
        <w:t>The threshold probability above which treatment may be recommended without the need for BMD (upper assessment threshold).</w:t>
      </w:r>
    </w:p>
    <w:p w14:paraId="68B33E54" w14:textId="73EB5A43" w:rsidR="00634EFF" w:rsidRDefault="00634EFF" w:rsidP="00190B8D">
      <w:pPr>
        <w:ind w:left="567"/>
        <w:rPr>
          <w:rFonts w:asciiTheme="minorHAnsi" w:hAnsiTheme="minorHAnsi" w:cstheme="minorHAnsi"/>
          <w:sz w:val="24"/>
          <w:szCs w:val="24"/>
          <w:shd w:val="clear" w:color="auto" w:fill="FFFFFF"/>
          <w:lang w:val="en-GB"/>
        </w:rPr>
      </w:pPr>
      <w:r w:rsidRPr="00BF4643">
        <w:rPr>
          <w:rFonts w:asciiTheme="minorHAnsi" w:hAnsiTheme="minorHAnsi" w:cstheme="minorHAnsi"/>
          <w:sz w:val="24"/>
          <w:szCs w:val="24"/>
          <w:shd w:val="clear" w:color="auto" w:fill="FFFFFF"/>
          <w:lang w:val="en-GB"/>
        </w:rPr>
        <w:t>The lower assessment threshold</w:t>
      </w:r>
      <w:r w:rsidR="0092687B" w:rsidRPr="00BF4643">
        <w:rPr>
          <w:rFonts w:asciiTheme="minorHAnsi" w:hAnsiTheme="minorHAnsi" w:cstheme="minorHAnsi"/>
          <w:sz w:val="24"/>
          <w:szCs w:val="24"/>
          <w:shd w:val="clear" w:color="auto" w:fill="FFFFFF"/>
          <w:lang w:val="en-GB"/>
        </w:rPr>
        <w:t xml:space="preserve"> </w:t>
      </w:r>
      <w:r w:rsidRPr="00BF4643">
        <w:rPr>
          <w:rFonts w:asciiTheme="minorHAnsi" w:hAnsiTheme="minorHAnsi" w:cstheme="minorHAnsi"/>
          <w:sz w:val="24"/>
          <w:szCs w:val="24"/>
          <w:shd w:val="clear" w:color="auto" w:fill="FFFFFF"/>
          <w:lang w:val="en-GB"/>
        </w:rPr>
        <w:t>was based on the 10-year probability of a major osteoporo</w:t>
      </w:r>
      <w:r w:rsidR="0092687B" w:rsidRPr="00BF4643">
        <w:rPr>
          <w:rFonts w:asciiTheme="minorHAnsi" w:hAnsiTheme="minorHAnsi" w:cstheme="minorHAnsi"/>
          <w:sz w:val="24"/>
          <w:szCs w:val="24"/>
          <w:shd w:val="clear" w:color="auto" w:fill="FFFFFF"/>
          <w:lang w:val="en-GB"/>
        </w:rPr>
        <w:t>tic</w:t>
      </w:r>
      <w:r w:rsidRPr="00BF4643">
        <w:rPr>
          <w:rFonts w:asciiTheme="minorHAnsi" w:hAnsiTheme="minorHAnsi" w:cstheme="minorHAnsi"/>
          <w:sz w:val="24"/>
          <w:szCs w:val="24"/>
          <w:shd w:val="clear" w:color="auto" w:fill="FFFFFF"/>
          <w:lang w:val="en-GB"/>
        </w:rPr>
        <w:t xml:space="preserve"> fracture equivalent to women without clinical risk factors (and a body mass index of 2</w:t>
      </w:r>
      <w:r w:rsidR="007B43F4" w:rsidRPr="00BF4643">
        <w:rPr>
          <w:rFonts w:asciiTheme="minorHAnsi" w:hAnsiTheme="minorHAnsi" w:cstheme="minorHAnsi"/>
          <w:sz w:val="24"/>
          <w:szCs w:val="24"/>
          <w:shd w:val="clear" w:color="auto" w:fill="FFFFFF"/>
          <w:lang w:val="en-GB"/>
        </w:rPr>
        <w:t>5</w:t>
      </w:r>
      <w:r w:rsidRPr="00BF4643">
        <w:rPr>
          <w:rFonts w:asciiTheme="minorHAnsi" w:hAnsiTheme="minorHAnsi" w:cstheme="minorHAnsi"/>
          <w:sz w:val="24"/>
          <w:szCs w:val="24"/>
          <w:shd w:val="clear" w:color="auto" w:fill="FFFFFF"/>
          <w:lang w:val="en-GB"/>
        </w:rPr>
        <w:t>kg/m</w:t>
      </w:r>
      <w:r w:rsidRPr="00BF4643">
        <w:rPr>
          <w:rFonts w:asciiTheme="minorHAnsi" w:hAnsiTheme="minorHAnsi" w:cstheme="minorHAnsi"/>
          <w:sz w:val="24"/>
          <w:szCs w:val="24"/>
          <w:shd w:val="clear" w:color="auto" w:fill="FFFFFF"/>
          <w:vertAlign w:val="superscript"/>
          <w:lang w:val="en-GB"/>
        </w:rPr>
        <w:t>2</w:t>
      </w:r>
      <w:r w:rsidRPr="00BF4643">
        <w:rPr>
          <w:rFonts w:asciiTheme="minorHAnsi" w:hAnsiTheme="minorHAnsi" w:cstheme="minorHAnsi"/>
          <w:sz w:val="24"/>
          <w:szCs w:val="24"/>
          <w:shd w:val="clear" w:color="auto" w:fill="FFFFFF"/>
          <w:lang w:val="en-GB"/>
        </w:rPr>
        <w:t xml:space="preserve"> and without BMD). This is consistent with a view in most practice guidelines that individuals without clinical risk factors should not be considered eligible for assessment [</w:t>
      </w:r>
      <w:r w:rsidR="001C6273" w:rsidRPr="00BF4643">
        <w:rPr>
          <w:rFonts w:asciiTheme="minorHAnsi" w:hAnsiTheme="minorHAnsi" w:cstheme="minorHAnsi"/>
          <w:sz w:val="24"/>
          <w:szCs w:val="24"/>
          <w:shd w:val="clear" w:color="auto" w:fill="FFFFFF"/>
          <w:lang w:val="en-GB"/>
        </w:rPr>
        <w:t>3]</w:t>
      </w:r>
      <w:r w:rsidRPr="00BF4643">
        <w:rPr>
          <w:rFonts w:asciiTheme="minorHAnsi" w:hAnsiTheme="minorHAnsi" w:cstheme="minorHAnsi"/>
          <w:sz w:val="24"/>
          <w:szCs w:val="24"/>
          <w:shd w:val="clear" w:color="auto" w:fill="FFFFFF"/>
          <w:lang w:val="en-GB"/>
        </w:rPr>
        <w:t>.</w:t>
      </w:r>
      <w:r w:rsidR="00190B8D" w:rsidRPr="00BF4643">
        <w:rPr>
          <w:lang w:val="en-AU"/>
        </w:rPr>
        <w:t xml:space="preserve"> </w:t>
      </w:r>
      <w:r w:rsidR="00190B8D" w:rsidRPr="00BF4643">
        <w:rPr>
          <w:rFonts w:asciiTheme="minorHAnsi" w:hAnsiTheme="minorHAnsi" w:cstheme="minorHAnsi"/>
          <w:sz w:val="24"/>
          <w:szCs w:val="24"/>
          <w:shd w:val="clear" w:color="auto" w:fill="FFFFFF"/>
          <w:lang w:val="en-GB"/>
        </w:rPr>
        <w:t>The upper assessment threshold was set at 1.2 times the intervention threshold as used in the UK [</w:t>
      </w:r>
      <w:r w:rsidR="0068268D" w:rsidRPr="00BF4643">
        <w:rPr>
          <w:rFonts w:asciiTheme="minorHAnsi" w:hAnsiTheme="minorHAnsi" w:cstheme="minorHAnsi"/>
          <w:sz w:val="24"/>
          <w:szCs w:val="24"/>
          <w:shd w:val="clear" w:color="auto" w:fill="FFFFFF"/>
          <w:lang w:val="en-GB"/>
        </w:rPr>
        <w:t>20</w:t>
      </w:r>
      <w:r w:rsidR="009A4AD1" w:rsidRPr="00BF4643">
        <w:rPr>
          <w:rFonts w:asciiTheme="minorHAnsi" w:hAnsiTheme="minorHAnsi" w:cstheme="minorHAnsi"/>
          <w:sz w:val="24"/>
          <w:szCs w:val="24"/>
          <w:shd w:val="clear" w:color="auto" w:fill="FFFFFF"/>
          <w:lang w:val="en-GB"/>
        </w:rPr>
        <w:t>]</w:t>
      </w:r>
      <w:r w:rsidR="00190B8D" w:rsidRPr="00BF4643">
        <w:rPr>
          <w:rFonts w:asciiTheme="minorHAnsi" w:hAnsiTheme="minorHAnsi" w:cstheme="minorHAnsi"/>
          <w:sz w:val="24"/>
          <w:szCs w:val="24"/>
          <w:shd w:val="clear" w:color="auto" w:fill="FFFFFF"/>
          <w:lang w:val="en-GB"/>
        </w:rPr>
        <w:t>.</w:t>
      </w:r>
    </w:p>
    <w:p w14:paraId="26F2B4E7" w14:textId="2EE98B8B" w:rsidR="00E24EC0" w:rsidRPr="00634EFF" w:rsidRDefault="00267F1B" w:rsidP="00190B8D">
      <w:pPr>
        <w:ind w:left="567"/>
        <w:rPr>
          <w:rFonts w:asciiTheme="minorHAnsi" w:hAnsiTheme="minorHAnsi" w:cstheme="minorHAnsi"/>
          <w:sz w:val="24"/>
          <w:szCs w:val="24"/>
          <w:shd w:val="clear" w:color="auto" w:fill="FFFFFF"/>
          <w:lang w:val="en-GB"/>
        </w:rPr>
      </w:pPr>
      <w:r>
        <w:rPr>
          <w:rFonts w:asciiTheme="minorHAnsi" w:hAnsiTheme="minorHAnsi" w:cstheme="minorHAnsi"/>
          <w:sz w:val="24"/>
          <w:szCs w:val="24"/>
          <w:shd w:val="clear" w:color="auto" w:fill="FFFFFF"/>
          <w:lang w:val="en-GB"/>
        </w:rPr>
        <w:t>FRAX also computes the 10-year probability of hip fracture</w:t>
      </w:r>
      <w:r w:rsidR="00E35023">
        <w:rPr>
          <w:rFonts w:asciiTheme="minorHAnsi" w:hAnsiTheme="minorHAnsi" w:cstheme="minorHAnsi"/>
          <w:sz w:val="24"/>
          <w:szCs w:val="24"/>
          <w:shd w:val="clear" w:color="auto" w:fill="FFFFFF"/>
          <w:lang w:val="en-GB"/>
        </w:rPr>
        <w:t xml:space="preserve"> which can also be used </w:t>
      </w:r>
      <w:r w:rsidR="008903AA">
        <w:rPr>
          <w:rFonts w:asciiTheme="minorHAnsi" w:hAnsiTheme="minorHAnsi" w:cstheme="minorHAnsi"/>
          <w:sz w:val="24"/>
          <w:szCs w:val="24"/>
          <w:shd w:val="clear" w:color="auto" w:fill="FFFFFF"/>
          <w:lang w:val="en-GB"/>
        </w:rPr>
        <w:t>to determine eligibility for treatment.  Indeed</w:t>
      </w:r>
      <w:r w:rsidR="00A82F38">
        <w:rPr>
          <w:rFonts w:asciiTheme="minorHAnsi" w:hAnsiTheme="minorHAnsi" w:cstheme="minorHAnsi"/>
          <w:sz w:val="24"/>
          <w:szCs w:val="24"/>
          <w:shd w:val="clear" w:color="auto" w:fill="FFFFFF"/>
          <w:lang w:val="en-GB"/>
        </w:rPr>
        <w:t xml:space="preserve">, </w:t>
      </w:r>
      <w:r w:rsidR="002B2120">
        <w:rPr>
          <w:rFonts w:asciiTheme="minorHAnsi" w:hAnsiTheme="minorHAnsi" w:cstheme="minorHAnsi"/>
          <w:sz w:val="24"/>
          <w:szCs w:val="24"/>
          <w:shd w:val="clear" w:color="auto" w:fill="FFFFFF"/>
          <w:lang w:val="en-GB"/>
        </w:rPr>
        <w:t>guidelines commonly recommend</w:t>
      </w:r>
      <w:r w:rsidR="004630CC">
        <w:rPr>
          <w:rFonts w:asciiTheme="minorHAnsi" w:hAnsiTheme="minorHAnsi" w:cstheme="minorHAnsi"/>
          <w:sz w:val="24"/>
          <w:szCs w:val="24"/>
          <w:shd w:val="clear" w:color="auto" w:fill="FFFFFF"/>
          <w:lang w:val="en-GB"/>
        </w:rPr>
        <w:t xml:space="preserve"> that eligibility for treatment should be </w:t>
      </w:r>
      <w:r w:rsidR="0057728D">
        <w:rPr>
          <w:rFonts w:asciiTheme="minorHAnsi" w:hAnsiTheme="minorHAnsi" w:cstheme="minorHAnsi"/>
          <w:sz w:val="24"/>
          <w:szCs w:val="24"/>
          <w:shd w:val="clear" w:color="auto" w:fill="FFFFFF"/>
          <w:lang w:val="en-GB"/>
        </w:rPr>
        <w:t>predicated</w:t>
      </w:r>
      <w:r w:rsidR="00456748">
        <w:rPr>
          <w:rFonts w:asciiTheme="minorHAnsi" w:hAnsiTheme="minorHAnsi" w:cstheme="minorHAnsi"/>
          <w:sz w:val="24"/>
          <w:szCs w:val="24"/>
          <w:shd w:val="clear" w:color="auto" w:fill="FFFFFF"/>
          <w:lang w:val="en-GB"/>
        </w:rPr>
        <w:t xml:space="preserve"> on whether the intervention threshold </w:t>
      </w:r>
      <w:r w:rsidR="00D37CE5">
        <w:rPr>
          <w:rFonts w:asciiTheme="minorHAnsi" w:hAnsiTheme="minorHAnsi" w:cstheme="minorHAnsi"/>
          <w:sz w:val="24"/>
          <w:szCs w:val="24"/>
          <w:shd w:val="clear" w:color="auto" w:fill="FFFFFF"/>
          <w:lang w:val="en-GB"/>
        </w:rPr>
        <w:t>is exceeded for the probability of a major osteoporotic fracture o</w:t>
      </w:r>
      <w:r w:rsidR="003E3192">
        <w:rPr>
          <w:rFonts w:asciiTheme="minorHAnsi" w:hAnsiTheme="minorHAnsi" w:cstheme="minorHAnsi"/>
          <w:sz w:val="24"/>
          <w:szCs w:val="24"/>
          <w:shd w:val="clear" w:color="auto" w:fill="FFFFFF"/>
          <w:lang w:val="en-GB"/>
        </w:rPr>
        <w:t>r that for a hip fracture [3, 4, 12]</w:t>
      </w:r>
      <w:r w:rsidR="004E0945">
        <w:rPr>
          <w:rFonts w:asciiTheme="minorHAnsi" w:hAnsiTheme="minorHAnsi" w:cstheme="minorHAnsi"/>
          <w:sz w:val="24"/>
          <w:szCs w:val="24"/>
          <w:shd w:val="clear" w:color="auto" w:fill="FFFFFF"/>
          <w:lang w:val="en-GB"/>
        </w:rPr>
        <w:t>.  For the present report, we consi</w:t>
      </w:r>
      <w:r w:rsidR="006808D3">
        <w:rPr>
          <w:rFonts w:asciiTheme="minorHAnsi" w:hAnsiTheme="minorHAnsi" w:cstheme="minorHAnsi"/>
          <w:sz w:val="24"/>
          <w:szCs w:val="24"/>
          <w:shd w:val="clear" w:color="auto" w:fill="FFFFFF"/>
          <w:lang w:val="en-GB"/>
        </w:rPr>
        <w:t xml:space="preserve">der the use of thresholds based on the probability of a major </w:t>
      </w:r>
      <w:r w:rsidR="00F61711">
        <w:rPr>
          <w:rFonts w:asciiTheme="minorHAnsi" w:hAnsiTheme="minorHAnsi" w:cstheme="minorHAnsi"/>
          <w:sz w:val="24"/>
          <w:szCs w:val="24"/>
          <w:shd w:val="clear" w:color="auto" w:fill="FFFFFF"/>
          <w:lang w:val="en-GB"/>
        </w:rPr>
        <w:t>osteoporotic</w:t>
      </w:r>
      <w:r w:rsidR="006808D3">
        <w:rPr>
          <w:rFonts w:asciiTheme="minorHAnsi" w:hAnsiTheme="minorHAnsi" w:cstheme="minorHAnsi"/>
          <w:sz w:val="24"/>
          <w:szCs w:val="24"/>
          <w:shd w:val="clear" w:color="auto" w:fill="FFFFFF"/>
          <w:lang w:val="en-GB"/>
        </w:rPr>
        <w:t xml:space="preserve"> fracture</w:t>
      </w:r>
      <w:r w:rsidR="007B537B">
        <w:rPr>
          <w:rFonts w:asciiTheme="minorHAnsi" w:hAnsiTheme="minorHAnsi" w:cstheme="minorHAnsi"/>
          <w:sz w:val="24"/>
          <w:szCs w:val="24"/>
          <w:shd w:val="clear" w:color="auto" w:fill="FFFFFF"/>
          <w:lang w:val="en-GB"/>
        </w:rPr>
        <w:t xml:space="preserve"> but provide </w:t>
      </w:r>
      <w:r w:rsidR="00F817CA">
        <w:rPr>
          <w:rFonts w:asciiTheme="minorHAnsi" w:hAnsiTheme="minorHAnsi" w:cstheme="minorHAnsi"/>
          <w:sz w:val="24"/>
          <w:szCs w:val="24"/>
          <w:shd w:val="clear" w:color="auto" w:fill="FFFFFF"/>
          <w:lang w:val="en-GB"/>
        </w:rPr>
        <w:t>assessment</w:t>
      </w:r>
      <w:r w:rsidR="007B537B">
        <w:rPr>
          <w:rFonts w:asciiTheme="minorHAnsi" w:hAnsiTheme="minorHAnsi" w:cstheme="minorHAnsi"/>
          <w:sz w:val="24"/>
          <w:szCs w:val="24"/>
          <w:shd w:val="clear" w:color="auto" w:fill="FFFFFF"/>
          <w:lang w:val="en-GB"/>
        </w:rPr>
        <w:t xml:space="preserve"> and intervention thr</w:t>
      </w:r>
      <w:r w:rsidR="00F817CA">
        <w:rPr>
          <w:rFonts w:asciiTheme="minorHAnsi" w:hAnsiTheme="minorHAnsi" w:cstheme="minorHAnsi"/>
          <w:sz w:val="24"/>
          <w:szCs w:val="24"/>
          <w:shd w:val="clear" w:color="auto" w:fill="FFFFFF"/>
          <w:lang w:val="en-GB"/>
        </w:rPr>
        <w:t>esholds for hip fracture probability</w:t>
      </w:r>
      <w:r w:rsidR="00C36E80">
        <w:rPr>
          <w:rFonts w:asciiTheme="minorHAnsi" w:hAnsiTheme="minorHAnsi" w:cstheme="minorHAnsi"/>
          <w:sz w:val="24"/>
          <w:szCs w:val="24"/>
          <w:shd w:val="clear" w:color="auto" w:fill="FFFFFF"/>
          <w:lang w:val="en-GB"/>
        </w:rPr>
        <w:t xml:space="preserve">.  These were derived on the same basis as those for </w:t>
      </w:r>
      <w:r w:rsidR="00E606B1">
        <w:rPr>
          <w:rFonts w:asciiTheme="minorHAnsi" w:hAnsiTheme="minorHAnsi" w:cstheme="minorHAnsi"/>
          <w:sz w:val="24"/>
          <w:szCs w:val="24"/>
          <w:shd w:val="clear" w:color="auto" w:fill="FFFFFF"/>
          <w:lang w:val="en-GB"/>
        </w:rPr>
        <w:t>a major</w:t>
      </w:r>
      <w:r w:rsidR="00C36E80" w:rsidRPr="00C36E80">
        <w:rPr>
          <w:rFonts w:asciiTheme="minorHAnsi" w:hAnsiTheme="minorHAnsi" w:cstheme="minorHAnsi"/>
          <w:sz w:val="24"/>
          <w:szCs w:val="24"/>
          <w:shd w:val="clear" w:color="auto" w:fill="FFFFFF"/>
          <w:lang w:val="en-GB"/>
        </w:rPr>
        <w:t xml:space="preserve"> osteoporotic fracture</w:t>
      </w:r>
      <w:r w:rsidR="00C36E80">
        <w:rPr>
          <w:rFonts w:asciiTheme="minorHAnsi" w:hAnsiTheme="minorHAnsi" w:cstheme="minorHAnsi"/>
          <w:sz w:val="24"/>
          <w:szCs w:val="24"/>
          <w:shd w:val="clear" w:color="auto" w:fill="FFFFFF"/>
          <w:lang w:val="en-GB"/>
        </w:rPr>
        <w:t>.</w:t>
      </w:r>
    </w:p>
    <w:p w14:paraId="25B64B32" w14:textId="77777777" w:rsidR="00063B9B" w:rsidRDefault="00063B9B" w:rsidP="00190B8D">
      <w:pPr>
        <w:ind w:left="567"/>
        <w:rPr>
          <w:rFonts w:asciiTheme="minorHAnsi" w:hAnsiTheme="minorHAnsi" w:cstheme="minorHAnsi"/>
          <w:sz w:val="24"/>
          <w:szCs w:val="24"/>
          <w:shd w:val="clear" w:color="auto" w:fill="FFFFFF"/>
          <w:lang w:val="en-GB"/>
        </w:rPr>
      </w:pPr>
    </w:p>
    <w:p w14:paraId="03694578" w14:textId="01D275CA" w:rsidR="00EB5346" w:rsidRPr="004B7718" w:rsidRDefault="00EB5346" w:rsidP="00190B8D">
      <w:pPr>
        <w:pStyle w:val="PlainText"/>
        <w:spacing w:after="240" w:line="276" w:lineRule="auto"/>
        <w:ind w:left="567"/>
        <w:rPr>
          <w:rFonts w:ascii="Calibri" w:hAnsi="Calibri"/>
          <w:b/>
          <w:bCs/>
          <w:sz w:val="24"/>
          <w:szCs w:val="24"/>
          <w:lang w:val="en-GB"/>
        </w:rPr>
      </w:pPr>
      <w:r w:rsidRPr="004B7718">
        <w:rPr>
          <w:rFonts w:ascii="Calibri" w:hAnsi="Calibri"/>
          <w:b/>
          <w:bCs/>
          <w:sz w:val="24"/>
          <w:szCs w:val="24"/>
          <w:lang w:val="en-GB"/>
        </w:rPr>
        <w:t>Results</w:t>
      </w:r>
      <w:r w:rsidR="00E31689" w:rsidRPr="004B7718">
        <w:rPr>
          <w:rFonts w:ascii="Calibri" w:hAnsi="Calibri"/>
          <w:b/>
          <w:bCs/>
          <w:sz w:val="24"/>
          <w:szCs w:val="24"/>
          <w:lang w:val="en-GB"/>
        </w:rPr>
        <w:t xml:space="preserve"> </w:t>
      </w:r>
    </w:p>
    <w:p w14:paraId="3A6D0029" w14:textId="00DB4BCB" w:rsidR="00DB74D2" w:rsidRDefault="00DB74D2" w:rsidP="00032422">
      <w:pPr>
        <w:pStyle w:val="BodyText"/>
        <w:tabs>
          <w:tab w:val="left" w:pos="3060"/>
        </w:tabs>
        <w:spacing w:line="276" w:lineRule="auto"/>
        <w:ind w:left="567"/>
        <w:rPr>
          <w:rFonts w:ascii="Calibri" w:hAnsi="Calibri"/>
        </w:rPr>
      </w:pPr>
      <w:r>
        <w:rPr>
          <w:noProof/>
          <w:lang w:eastAsia="en-GB"/>
        </w:rPr>
        <w:drawing>
          <wp:anchor distT="0" distB="0" distL="114300" distR="114300" simplePos="0" relativeHeight="251661312" behindDoc="0" locked="0" layoutInCell="1" allowOverlap="1" wp14:anchorId="6C02EA4A" wp14:editId="4208C3C8">
            <wp:simplePos x="0" y="0"/>
            <wp:positionH relativeFrom="column">
              <wp:posOffset>1009650</wp:posOffset>
            </wp:positionH>
            <wp:positionV relativeFrom="paragraph">
              <wp:posOffset>958215</wp:posOffset>
            </wp:positionV>
            <wp:extent cx="3219450" cy="2875280"/>
            <wp:effectExtent l="0" t="0" r="0" b="1270"/>
            <wp:wrapTopAndBottom/>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9"/>
                        </a:ext>
                      </a:extLst>
                    </a:blip>
                    <a:srcRect l="27122" t="12846" r="17984"/>
                    <a:stretch/>
                  </pic:blipFill>
                  <pic:spPr bwMode="auto">
                    <a:xfrm>
                      <a:off x="0" y="0"/>
                      <a:ext cx="3219450" cy="2875280"/>
                    </a:xfrm>
                    <a:prstGeom prst="rect">
                      <a:avLst/>
                    </a:prstGeom>
                    <a:ln>
                      <a:noFill/>
                    </a:ln>
                    <a:extLst>
                      <a:ext uri="{53640926-AAD7-44D8-BBD7-CCE9431645EC}">
                        <a14:shadowObscured xmlns:a14="http://schemas.microsoft.com/office/drawing/2010/main"/>
                      </a:ext>
                    </a:extLst>
                  </pic:spPr>
                </pic:pic>
              </a:graphicData>
            </a:graphic>
          </wp:anchor>
        </w:drawing>
      </w:r>
      <w:r w:rsidRPr="00DB74D2">
        <w:rPr>
          <w:rFonts w:ascii="Calibri" w:hAnsi="Calibri"/>
        </w:rPr>
        <w:t>In women with no clinical risk factors,</w:t>
      </w:r>
      <w:r w:rsidR="006B625E">
        <w:rPr>
          <w:rFonts w:ascii="Calibri" w:hAnsi="Calibri"/>
        </w:rPr>
        <w:t xml:space="preserve"> 10-year</w:t>
      </w:r>
      <w:r w:rsidRPr="00DB74D2">
        <w:rPr>
          <w:rFonts w:ascii="Calibri" w:hAnsi="Calibri"/>
        </w:rPr>
        <w:t xml:space="preserve"> </w:t>
      </w:r>
      <w:r w:rsidR="006B625E">
        <w:rPr>
          <w:rFonts w:ascii="Calibri" w:hAnsi="Calibri"/>
        </w:rPr>
        <w:t xml:space="preserve">major osteoporotic </w:t>
      </w:r>
      <w:r w:rsidRPr="00DB74D2">
        <w:rPr>
          <w:rFonts w:ascii="Calibri" w:hAnsi="Calibri"/>
        </w:rPr>
        <w:t xml:space="preserve">fracture probability rose with age from 0.9% at the age of 50 years to 10.6% at the age of </w:t>
      </w:r>
      <w:r w:rsidR="00224969">
        <w:rPr>
          <w:rFonts w:ascii="Calibri" w:hAnsi="Calibri"/>
        </w:rPr>
        <w:t>9</w:t>
      </w:r>
      <w:r w:rsidRPr="00DB74D2">
        <w:rPr>
          <w:rFonts w:ascii="Calibri" w:hAnsi="Calibri"/>
        </w:rPr>
        <w:t>0 years (Figure 1).  The increase in fracture probability with age was non-linear a</w:t>
      </w:r>
      <w:r w:rsidR="006B625E">
        <w:rPr>
          <w:rFonts w:ascii="Calibri" w:hAnsi="Calibri"/>
        </w:rPr>
        <w:t>nd</w:t>
      </w:r>
      <w:r w:rsidRPr="00DB74D2">
        <w:rPr>
          <w:rFonts w:ascii="Calibri" w:hAnsi="Calibri"/>
        </w:rPr>
        <w:t xml:space="preserve"> began to flatten off after the age of </w:t>
      </w:r>
      <w:r w:rsidR="00AF461D">
        <w:rPr>
          <w:rFonts w:ascii="Calibri" w:hAnsi="Calibri"/>
        </w:rPr>
        <w:t>8</w:t>
      </w:r>
      <w:r w:rsidRPr="00DB74D2">
        <w:rPr>
          <w:rFonts w:ascii="Calibri" w:hAnsi="Calibri"/>
        </w:rPr>
        <w:t xml:space="preserve">0 years due to the competing effect of mortality.  </w:t>
      </w:r>
    </w:p>
    <w:p w14:paraId="79915510" w14:textId="4E69179D" w:rsidR="00DB74D2" w:rsidRPr="00CD3600" w:rsidRDefault="00DB74D2" w:rsidP="00DB74D2">
      <w:pPr>
        <w:autoSpaceDE w:val="0"/>
        <w:autoSpaceDN w:val="0"/>
        <w:adjustRightInd w:val="0"/>
        <w:spacing w:after="120" w:line="240" w:lineRule="auto"/>
        <w:ind w:left="1276" w:right="996"/>
        <w:jc w:val="both"/>
        <w:rPr>
          <w:rFonts w:asciiTheme="minorHAnsi" w:hAnsiTheme="minorHAnsi"/>
          <w:sz w:val="24"/>
          <w:szCs w:val="24"/>
          <w:lang w:val="en-GB"/>
        </w:rPr>
      </w:pPr>
      <w:r w:rsidRPr="00CD3600">
        <w:rPr>
          <w:rFonts w:asciiTheme="minorHAnsi" w:hAnsiTheme="minorHAnsi"/>
          <w:b/>
          <w:sz w:val="24"/>
          <w:szCs w:val="24"/>
          <w:lang w:val="en-GB"/>
        </w:rPr>
        <w:t xml:space="preserve">Fig. </w:t>
      </w:r>
      <w:r w:rsidR="0062677D">
        <w:rPr>
          <w:rFonts w:asciiTheme="minorHAnsi" w:hAnsiTheme="minorHAnsi"/>
          <w:b/>
          <w:sz w:val="24"/>
          <w:szCs w:val="24"/>
          <w:lang w:val="en-GB"/>
        </w:rPr>
        <w:t>1</w:t>
      </w:r>
      <w:r w:rsidRPr="00CD3600">
        <w:rPr>
          <w:rFonts w:asciiTheme="minorHAnsi" w:hAnsiTheme="minorHAnsi"/>
          <w:sz w:val="24"/>
          <w:szCs w:val="24"/>
          <w:lang w:val="en-GB"/>
        </w:rPr>
        <w:t xml:space="preserve"> </w:t>
      </w:r>
      <w:r w:rsidRPr="00CD3600">
        <w:rPr>
          <w:rFonts w:asciiTheme="minorHAnsi" w:hAnsiTheme="minorHAnsi"/>
          <w:sz w:val="20"/>
          <w:szCs w:val="20"/>
          <w:lang w:val="en-GB"/>
        </w:rPr>
        <w:t xml:space="preserve">10-year probabilities of a major osteoporotic fracture (MOF; hip, clinical spine, humerus and forearm) calculated with the </w:t>
      </w:r>
      <w:r w:rsidRPr="00C72062">
        <w:rPr>
          <w:rFonts w:asciiTheme="minorHAnsi" w:hAnsiTheme="minorHAnsi"/>
          <w:sz w:val="20"/>
          <w:szCs w:val="20"/>
          <w:lang w:val="en-GB"/>
        </w:rPr>
        <w:t>Pakistani</w:t>
      </w:r>
      <w:r w:rsidRPr="00CD3600">
        <w:rPr>
          <w:rFonts w:asciiTheme="minorHAnsi" w:hAnsiTheme="minorHAnsi"/>
          <w:sz w:val="20"/>
          <w:szCs w:val="20"/>
          <w:lang w:val="en-GB"/>
        </w:rPr>
        <w:t xml:space="preserve"> FRAX model for women</w:t>
      </w:r>
      <w:r w:rsidRPr="00CD3600">
        <w:rPr>
          <w:rFonts w:asciiTheme="minorHAnsi" w:hAnsiTheme="minorHAnsi"/>
          <w:sz w:val="24"/>
          <w:szCs w:val="24"/>
          <w:lang w:val="en-GB"/>
        </w:rPr>
        <w:t>.</w:t>
      </w:r>
    </w:p>
    <w:p w14:paraId="08119D06" w14:textId="113DAD39" w:rsidR="00DB74D2" w:rsidRPr="00DB74D2" w:rsidRDefault="00DB74D2" w:rsidP="00DB74D2">
      <w:pPr>
        <w:pStyle w:val="BodyText"/>
        <w:tabs>
          <w:tab w:val="left" w:pos="3060"/>
        </w:tabs>
        <w:ind w:left="567"/>
        <w:rPr>
          <w:rFonts w:ascii="Calibri" w:hAnsi="Calibri"/>
        </w:rPr>
      </w:pPr>
    </w:p>
    <w:p w14:paraId="02ABE76F" w14:textId="77777777" w:rsidR="00DB74D2" w:rsidRPr="00DB74D2" w:rsidRDefault="00DB74D2" w:rsidP="00DB74D2">
      <w:pPr>
        <w:pStyle w:val="BodyText"/>
        <w:tabs>
          <w:tab w:val="left" w:pos="3060"/>
        </w:tabs>
        <w:ind w:left="567"/>
        <w:rPr>
          <w:rFonts w:ascii="Calibri" w:hAnsi="Calibri"/>
          <w:i/>
          <w:iCs/>
        </w:rPr>
      </w:pPr>
      <w:r w:rsidRPr="00DB74D2">
        <w:rPr>
          <w:rFonts w:ascii="Calibri" w:hAnsi="Calibri"/>
          <w:i/>
          <w:iCs/>
        </w:rPr>
        <w:t xml:space="preserve">T-score threshold   </w:t>
      </w:r>
    </w:p>
    <w:p w14:paraId="531B078B" w14:textId="0D761871" w:rsidR="00DB74D2" w:rsidRPr="00224969" w:rsidRDefault="00DB74D2" w:rsidP="00DB74D2">
      <w:pPr>
        <w:pStyle w:val="BodyText"/>
        <w:tabs>
          <w:tab w:val="left" w:pos="3060"/>
        </w:tabs>
        <w:spacing w:line="276" w:lineRule="auto"/>
        <w:ind w:left="567"/>
        <w:rPr>
          <w:rFonts w:ascii="Calibri" w:hAnsi="Calibri"/>
        </w:rPr>
      </w:pPr>
      <w:r w:rsidRPr="00224969">
        <w:rPr>
          <w:rFonts w:ascii="Calibri" w:hAnsi="Calibri"/>
        </w:rPr>
        <w:t xml:space="preserve">In women aged 40 years at the threshold of osteoporosis (a BMD T-score of -2.5), fracture probability was approximately two-fold higher than in women of the same age </w:t>
      </w:r>
      <w:r w:rsidR="00055858">
        <w:rPr>
          <w:rFonts w:ascii="Calibri" w:hAnsi="Calibri"/>
        </w:rPr>
        <w:t xml:space="preserve">with </w:t>
      </w:r>
      <w:r w:rsidR="00E7363B">
        <w:rPr>
          <w:rFonts w:ascii="Calibri" w:hAnsi="Calibri"/>
        </w:rPr>
        <w:t>no cli</w:t>
      </w:r>
      <w:r w:rsidR="00685701">
        <w:rPr>
          <w:rFonts w:ascii="Calibri" w:hAnsi="Calibri"/>
        </w:rPr>
        <w:t xml:space="preserve">nical risk </w:t>
      </w:r>
      <w:r w:rsidR="00391C16">
        <w:rPr>
          <w:rFonts w:ascii="Calibri" w:hAnsi="Calibri"/>
        </w:rPr>
        <w:t xml:space="preserve">factors </w:t>
      </w:r>
      <w:r w:rsidR="00391C16" w:rsidRPr="00224969">
        <w:rPr>
          <w:rFonts w:ascii="Calibri" w:hAnsi="Calibri"/>
        </w:rPr>
        <w:t>and</w:t>
      </w:r>
      <w:r w:rsidR="00814E5C">
        <w:rPr>
          <w:rFonts w:ascii="Calibri" w:hAnsi="Calibri"/>
        </w:rPr>
        <w:t xml:space="preserve"> </w:t>
      </w:r>
      <w:r w:rsidRPr="00224969">
        <w:rPr>
          <w:rFonts w:ascii="Calibri" w:hAnsi="Calibri"/>
        </w:rPr>
        <w:t>an average BMD</w:t>
      </w:r>
      <w:r w:rsidR="00BA10C2">
        <w:rPr>
          <w:rFonts w:ascii="Calibri" w:hAnsi="Calibri"/>
        </w:rPr>
        <w:t xml:space="preserve"> for such women</w:t>
      </w:r>
      <w:r w:rsidRPr="00224969">
        <w:rPr>
          <w:rFonts w:ascii="Calibri" w:hAnsi="Calibri"/>
        </w:rPr>
        <w:t>. The 10-year fracture probability rose progressively with age from 2.1% at the age of 40 years to 10.3% at the age of 75 years.  Thereafter, fracture probability decreased with age and, at the age of 90 years, was comparable to the risk at 65 years</w:t>
      </w:r>
      <w:r w:rsidR="00224969">
        <w:rPr>
          <w:rFonts w:ascii="Calibri" w:hAnsi="Calibri"/>
        </w:rPr>
        <w:t xml:space="preserve"> (see Figure 1)</w:t>
      </w:r>
      <w:r w:rsidRPr="00224969">
        <w:rPr>
          <w:rFonts w:ascii="Calibri" w:hAnsi="Calibri"/>
        </w:rPr>
        <w:t>.  Indeed, at the age of 90 years, the fracture probability was lower than in women of the same age but with no risk factors (</w:t>
      </w:r>
      <w:r w:rsidR="00224969" w:rsidRPr="00224969">
        <w:rPr>
          <w:rFonts w:ascii="Calibri" w:hAnsi="Calibri"/>
        </w:rPr>
        <w:t>8.2</w:t>
      </w:r>
      <w:r w:rsidR="006B625E">
        <w:rPr>
          <w:rFonts w:ascii="Calibri" w:hAnsi="Calibri"/>
        </w:rPr>
        <w:t>%</w:t>
      </w:r>
      <w:r w:rsidRPr="00224969">
        <w:rPr>
          <w:rFonts w:ascii="Calibri" w:hAnsi="Calibri"/>
        </w:rPr>
        <w:t xml:space="preserve"> vs. </w:t>
      </w:r>
      <w:r w:rsidR="00224969" w:rsidRPr="00224969">
        <w:rPr>
          <w:rFonts w:ascii="Calibri" w:hAnsi="Calibri"/>
        </w:rPr>
        <w:t>10.6</w:t>
      </w:r>
      <w:r w:rsidRPr="00224969">
        <w:rPr>
          <w:rFonts w:ascii="Calibri" w:hAnsi="Calibri"/>
        </w:rPr>
        <w:t xml:space="preserve">%, respectively). </w:t>
      </w:r>
      <w:r w:rsidR="00224969" w:rsidRPr="00224969">
        <w:rPr>
          <w:rFonts w:ascii="Calibri" w:hAnsi="Calibri"/>
        </w:rPr>
        <w:t xml:space="preserve"> </w:t>
      </w:r>
      <w:r w:rsidRPr="00224969">
        <w:rPr>
          <w:rFonts w:ascii="Calibri" w:hAnsi="Calibri"/>
        </w:rPr>
        <w:t xml:space="preserve">Thus, the BMD </w:t>
      </w:r>
      <w:r w:rsidR="00224969" w:rsidRPr="00224969">
        <w:rPr>
          <w:rFonts w:ascii="Calibri" w:hAnsi="Calibri"/>
        </w:rPr>
        <w:t>threshold</w:t>
      </w:r>
      <w:r w:rsidRPr="00224969">
        <w:rPr>
          <w:rFonts w:ascii="Calibri" w:hAnsi="Calibri"/>
        </w:rPr>
        <w:t xml:space="preserve"> became less and less </w:t>
      </w:r>
      <w:r w:rsidR="006B625E">
        <w:rPr>
          <w:rFonts w:ascii="Calibri" w:hAnsi="Calibri"/>
        </w:rPr>
        <w:t xml:space="preserve">clinically </w:t>
      </w:r>
      <w:r w:rsidRPr="00224969">
        <w:rPr>
          <w:rFonts w:ascii="Calibri" w:hAnsi="Calibri"/>
        </w:rPr>
        <w:t>appropriate with advancing age.</w:t>
      </w:r>
    </w:p>
    <w:p w14:paraId="732B755C" w14:textId="77777777" w:rsidR="00224969" w:rsidRPr="00224969" w:rsidRDefault="00224969" w:rsidP="00224969">
      <w:pPr>
        <w:pStyle w:val="BodyText"/>
        <w:tabs>
          <w:tab w:val="left" w:pos="3060"/>
        </w:tabs>
        <w:ind w:left="567"/>
        <w:rPr>
          <w:rFonts w:ascii="Calibri" w:hAnsi="Calibri"/>
          <w:i/>
          <w:iCs/>
        </w:rPr>
      </w:pPr>
      <w:r w:rsidRPr="00224969">
        <w:rPr>
          <w:rFonts w:ascii="Calibri" w:hAnsi="Calibri"/>
          <w:i/>
          <w:iCs/>
        </w:rPr>
        <w:t>Prior fracture threshold</w:t>
      </w:r>
    </w:p>
    <w:p w14:paraId="6741FF3C" w14:textId="4CBBBF5A" w:rsidR="00DB74D2" w:rsidRPr="00224969" w:rsidRDefault="00224969" w:rsidP="00224969">
      <w:pPr>
        <w:pStyle w:val="BodyText"/>
        <w:tabs>
          <w:tab w:val="left" w:pos="3060"/>
        </w:tabs>
        <w:spacing w:line="276" w:lineRule="auto"/>
        <w:ind w:left="567"/>
        <w:rPr>
          <w:rFonts w:ascii="Calibri" w:hAnsi="Calibri"/>
        </w:rPr>
      </w:pPr>
      <w:r w:rsidRPr="00224969">
        <w:rPr>
          <w:rFonts w:ascii="Calibri" w:hAnsi="Calibri"/>
        </w:rPr>
        <w:t xml:space="preserve">The </w:t>
      </w:r>
      <w:r w:rsidR="009759E8">
        <w:rPr>
          <w:rFonts w:ascii="Calibri" w:hAnsi="Calibri"/>
        </w:rPr>
        <w:t xml:space="preserve">10-year major osteoporotic </w:t>
      </w:r>
      <w:r w:rsidRPr="00224969">
        <w:rPr>
          <w:rFonts w:ascii="Calibri" w:hAnsi="Calibri"/>
        </w:rPr>
        <w:t>fracture probabilities equivalent to women with a previous fragility fracture are shown in Figure 1. The 10-year probability rose with age, from 2.1% at the age of 40 years to 16%, at the age of 75 years and was relatively stable thereafter</w:t>
      </w:r>
      <w:r w:rsidR="005A2CBE">
        <w:rPr>
          <w:rFonts w:ascii="Calibri" w:hAnsi="Calibri"/>
        </w:rPr>
        <w:t xml:space="preserve"> due to the competing effect of mortality</w:t>
      </w:r>
      <w:r w:rsidR="00D56F4C">
        <w:rPr>
          <w:rFonts w:ascii="Calibri" w:hAnsi="Calibri"/>
        </w:rPr>
        <w:t xml:space="preserve"> </w:t>
      </w:r>
      <w:r w:rsidR="00F06A2A">
        <w:rPr>
          <w:rFonts w:ascii="Calibri" w:hAnsi="Calibri"/>
        </w:rPr>
        <w:t>on</w:t>
      </w:r>
      <w:r w:rsidR="00D56F4C">
        <w:rPr>
          <w:rFonts w:ascii="Calibri" w:hAnsi="Calibri"/>
        </w:rPr>
        <w:t xml:space="preserve"> the fracture ri</w:t>
      </w:r>
      <w:r w:rsidR="003C458B">
        <w:rPr>
          <w:rFonts w:ascii="Calibri" w:hAnsi="Calibri"/>
        </w:rPr>
        <w:t>sk</w:t>
      </w:r>
      <w:r w:rsidRPr="00224969">
        <w:rPr>
          <w:rFonts w:ascii="Calibri" w:hAnsi="Calibri"/>
        </w:rPr>
        <w:t xml:space="preserve">. </w:t>
      </w:r>
      <w:r w:rsidR="006B6ECC">
        <w:rPr>
          <w:rFonts w:ascii="Calibri" w:hAnsi="Calibri"/>
        </w:rPr>
        <w:t xml:space="preserve"> </w:t>
      </w:r>
      <w:r w:rsidRPr="00224969">
        <w:rPr>
          <w:rFonts w:ascii="Calibri" w:hAnsi="Calibri"/>
        </w:rPr>
        <w:t xml:space="preserve">Fracture probabilities at this threshold were consistently higher than in women with no clinical risk factors and in women with a </w:t>
      </w:r>
      <w:r w:rsidR="00D8549F">
        <w:rPr>
          <w:rFonts w:ascii="Calibri" w:hAnsi="Calibri"/>
        </w:rPr>
        <w:t>T</w:t>
      </w:r>
      <w:r w:rsidRPr="00224969">
        <w:rPr>
          <w:rFonts w:ascii="Calibri" w:hAnsi="Calibri"/>
        </w:rPr>
        <w:t>-score of -2.5.</w:t>
      </w:r>
    </w:p>
    <w:p w14:paraId="030E1586" w14:textId="77777777" w:rsidR="00EB2414" w:rsidRPr="00EB2414" w:rsidRDefault="00EB2414" w:rsidP="00EB2414">
      <w:pPr>
        <w:pStyle w:val="BodyText"/>
        <w:tabs>
          <w:tab w:val="left" w:pos="3060"/>
        </w:tabs>
        <w:ind w:left="567"/>
        <w:rPr>
          <w:rFonts w:ascii="Calibri" w:hAnsi="Calibri"/>
          <w:i/>
          <w:iCs/>
        </w:rPr>
      </w:pPr>
      <w:r w:rsidRPr="00EB2414">
        <w:rPr>
          <w:rFonts w:ascii="Calibri" w:hAnsi="Calibri"/>
          <w:i/>
          <w:iCs/>
        </w:rPr>
        <w:t>BMD assessment thresholds</w:t>
      </w:r>
    </w:p>
    <w:p w14:paraId="7F49A4E9" w14:textId="353EC679" w:rsidR="00EB2414" w:rsidRPr="00EB2414" w:rsidRDefault="00EB2414" w:rsidP="00EB2414">
      <w:pPr>
        <w:pStyle w:val="BodyText"/>
        <w:tabs>
          <w:tab w:val="left" w:pos="3060"/>
        </w:tabs>
        <w:spacing w:line="276" w:lineRule="auto"/>
        <w:ind w:left="567"/>
        <w:rPr>
          <w:rFonts w:ascii="Calibri" w:hAnsi="Calibri"/>
        </w:rPr>
      </w:pPr>
      <w:r w:rsidRPr="00EB2414">
        <w:rPr>
          <w:rFonts w:ascii="Calibri" w:hAnsi="Calibri"/>
        </w:rPr>
        <w:t>The lower assessment threshold, below which BMD tests are of limited value, is shown in Table 1, representing the age-specific probabilities in women with no clinical risk factors.  The upper assessment was set at 1.2 times the intervention threshold.  The intervention threshold together with the two assessment thresholds is shown in Figure 2.</w:t>
      </w:r>
      <w:r>
        <w:rPr>
          <w:rFonts w:ascii="Calibri" w:hAnsi="Calibri"/>
        </w:rPr>
        <w:t xml:space="preserve">  BMD testing (where available) is recommended for fracture probabilities that lie between the upper and lower assessment thresholds</w:t>
      </w:r>
      <w:r w:rsidR="0062677D">
        <w:rPr>
          <w:rFonts w:ascii="Calibri" w:hAnsi="Calibri"/>
        </w:rPr>
        <w:t>.</w:t>
      </w:r>
    </w:p>
    <w:p w14:paraId="072110E9" w14:textId="77777777" w:rsidR="00EB2414" w:rsidRPr="004B7718" w:rsidRDefault="00EB2414" w:rsidP="00190B8D">
      <w:pPr>
        <w:pStyle w:val="BodyText"/>
        <w:tabs>
          <w:tab w:val="left" w:pos="3060"/>
        </w:tabs>
        <w:spacing w:line="276" w:lineRule="auto"/>
        <w:ind w:left="567"/>
        <w:rPr>
          <w:rFonts w:ascii="Calibri" w:hAnsi="Calibri"/>
          <w:i/>
          <w:iCs/>
        </w:rPr>
      </w:pPr>
    </w:p>
    <w:p w14:paraId="09CE94B7" w14:textId="48286497" w:rsidR="00633FE2" w:rsidRPr="004B7718" w:rsidRDefault="00633FE2" w:rsidP="00190B8D">
      <w:pPr>
        <w:ind w:left="567"/>
        <w:rPr>
          <w:rFonts w:asciiTheme="minorHAnsi" w:hAnsiTheme="minorHAnsi" w:cstheme="minorHAnsi"/>
          <w:sz w:val="24"/>
          <w:szCs w:val="24"/>
          <w:shd w:val="clear" w:color="auto" w:fill="FFFFFF"/>
          <w:lang w:val="en-GB"/>
        </w:rPr>
      </w:pPr>
      <w:r w:rsidRPr="004B7718">
        <w:rPr>
          <w:rFonts w:asciiTheme="minorHAnsi" w:hAnsiTheme="minorHAnsi" w:cstheme="minorHAnsi"/>
          <w:sz w:val="24"/>
          <w:szCs w:val="24"/>
          <w:shd w:val="clear" w:color="auto" w:fill="FFFFFF"/>
          <w:lang w:val="en-GB"/>
        </w:rPr>
        <w:t>At the age of 6</w:t>
      </w:r>
      <w:r w:rsidR="00136336" w:rsidRPr="004B7718">
        <w:rPr>
          <w:rFonts w:asciiTheme="minorHAnsi" w:hAnsiTheme="minorHAnsi" w:cstheme="minorHAnsi"/>
          <w:sz w:val="24"/>
          <w:szCs w:val="24"/>
          <w:shd w:val="clear" w:color="auto" w:fill="FFFFFF"/>
          <w:lang w:val="en-GB"/>
        </w:rPr>
        <w:t>5</w:t>
      </w:r>
      <w:r w:rsidRPr="004B7718">
        <w:rPr>
          <w:rFonts w:asciiTheme="minorHAnsi" w:hAnsiTheme="minorHAnsi" w:cstheme="minorHAnsi"/>
          <w:sz w:val="24"/>
          <w:szCs w:val="24"/>
          <w:shd w:val="clear" w:color="auto" w:fill="FFFFFF"/>
          <w:lang w:val="en-GB"/>
        </w:rPr>
        <w:t xml:space="preserve"> years, for example, a BMD test would not be recommended in an individual with a fracture probability below </w:t>
      </w:r>
      <w:r w:rsidR="00EB2414">
        <w:rPr>
          <w:rFonts w:asciiTheme="minorHAnsi" w:hAnsiTheme="minorHAnsi" w:cstheme="minorHAnsi"/>
          <w:sz w:val="24"/>
          <w:szCs w:val="24"/>
          <w:shd w:val="clear" w:color="auto" w:fill="FFFFFF"/>
          <w:lang w:val="en-GB"/>
        </w:rPr>
        <w:t>5.5</w:t>
      </w:r>
      <w:r w:rsidRPr="004B7718">
        <w:rPr>
          <w:rFonts w:asciiTheme="minorHAnsi" w:hAnsiTheme="minorHAnsi" w:cstheme="minorHAnsi"/>
          <w:sz w:val="24"/>
          <w:szCs w:val="24"/>
          <w:shd w:val="clear" w:color="auto" w:fill="FFFFFF"/>
          <w:lang w:val="en-GB"/>
        </w:rPr>
        <w:t xml:space="preserve">%. At the same age, a BMD test would be recommended with a fracture probability that lay between </w:t>
      </w:r>
      <w:r w:rsidR="00EB2414">
        <w:rPr>
          <w:rFonts w:asciiTheme="minorHAnsi" w:hAnsiTheme="minorHAnsi" w:cstheme="minorHAnsi"/>
          <w:sz w:val="24"/>
          <w:szCs w:val="24"/>
          <w:shd w:val="clear" w:color="auto" w:fill="FFFFFF"/>
          <w:lang w:val="en-GB"/>
        </w:rPr>
        <w:t>5.5</w:t>
      </w:r>
      <w:r w:rsidRPr="004B7718">
        <w:rPr>
          <w:rFonts w:asciiTheme="minorHAnsi" w:hAnsiTheme="minorHAnsi" w:cstheme="minorHAnsi"/>
          <w:sz w:val="24"/>
          <w:szCs w:val="24"/>
          <w:shd w:val="clear" w:color="auto" w:fill="FFFFFF"/>
          <w:lang w:val="en-GB"/>
        </w:rPr>
        <w:t xml:space="preserve"> and 1</w:t>
      </w:r>
      <w:r w:rsidR="004B7718" w:rsidRPr="004B7718">
        <w:rPr>
          <w:rFonts w:asciiTheme="minorHAnsi" w:hAnsiTheme="minorHAnsi" w:cstheme="minorHAnsi"/>
          <w:sz w:val="24"/>
          <w:szCs w:val="24"/>
          <w:shd w:val="clear" w:color="auto" w:fill="FFFFFF"/>
          <w:lang w:val="en-GB"/>
        </w:rPr>
        <w:t>3</w:t>
      </w:r>
      <w:r w:rsidRPr="004B7718">
        <w:rPr>
          <w:rFonts w:asciiTheme="minorHAnsi" w:hAnsiTheme="minorHAnsi" w:cstheme="minorHAnsi"/>
          <w:sz w:val="24"/>
          <w:szCs w:val="24"/>
          <w:shd w:val="clear" w:color="auto" w:fill="FFFFFF"/>
          <w:lang w:val="en-GB"/>
        </w:rPr>
        <w:t>%. Treatment would be recommended without the requirement of a BMD test (for fracture risk assessment, though</w:t>
      </w:r>
      <w:r w:rsidR="00D8549F">
        <w:rPr>
          <w:rFonts w:asciiTheme="minorHAnsi" w:hAnsiTheme="minorHAnsi" w:cstheme="minorHAnsi"/>
          <w:sz w:val="24"/>
          <w:szCs w:val="24"/>
          <w:shd w:val="clear" w:color="auto" w:fill="FFFFFF"/>
          <w:lang w:val="en-GB"/>
        </w:rPr>
        <w:t xml:space="preserve"> it may still be useful f</w:t>
      </w:r>
      <w:r w:rsidRPr="004B7718">
        <w:rPr>
          <w:rFonts w:asciiTheme="minorHAnsi" w:hAnsiTheme="minorHAnsi" w:cstheme="minorHAnsi"/>
          <w:sz w:val="24"/>
          <w:szCs w:val="24"/>
          <w:shd w:val="clear" w:color="auto" w:fill="FFFFFF"/>
          <w:lang w:val="en-GB"/>
        </w:rPr>
        <w:t>or monitoring of treatment) in individuals with a fracture probability that exceeded 1</w:t>
      </w:r>
      <w:r w:rsidR="004B7718" w:rsidRPr="004B7718">
        <w:rPr>
          <w:rFonts w:asciiTheme="minorHAnsi" w:hAnsiTheme="minorHAnsi" w:cstheme="minorHAnsi"/>
          <w:sz w:val="24"/>
          <w:szCs w:val="24"/>
          <w:shd w:val="clear" w:color="auto" w:fill="FFFFFF"/>
          <w:lang w:val="en-GB"/>
        </w:rPr>
        <w:t>3</w:t>
      </w:r>
      <w:r w:rsidRPr="004B7718">
        <w:rPr>
          <w:rFonts w:asciiTheme="minorHAnsi" w:hAnsiTheme="minorHAnsi" w:cstheme="minorHAnsi"/>
          <w:sz w:val="24"/>
          <w:szCs w:val="24"/>
          <w:shd w:val="clear" w:color="auto" w:fill="FFFFFF"/>
          <w:lang w:val="en-GB"/>
        </w:rPr>
        <w:t xml:space="preserve">%. </w:t>
      </w:r>
      <w:r w:rsidR="00D8549F">
        <w:rPr>
          <w:rFonts w:asciiTheme="minorHAnsi" w:hAnsiTheme="minorHAnsi" w:cstheme="minorHAnsi"/>
          <w:sz w:val="24"/>
          <w:szCs w:val="24"/>
          <w:shd w:val="clear" w:color="auto" w:fill="FFFFFF"/>
          <w:lang w:val="en-GB"/>
        </w:rPr>
        <w:t>Amongst</w:t>
      </w:r>
      <w:r w:rsidR="00D8549F" w:rsidRPr="004B7718">
        <w:rPr>
          <w:rFonts w:asciiTheme="minorHAnsi" w:hAnsiTheme="minorHAnsi" w:cstheme="minorHAnsi"/>
          <w:sz w:val="24"/>
          <w:szCs w:val="24"/>
          <w:shd w:val="clear" w:color="auto" w:fill="FFFFFF"/>
          <w:lang w:val="en-GB"/>
        </w:rPr>
        <w:t xml:space="preserve"> </w:t>
      </w:r>
      <w:r w:rsidRPr="004B7718">
        <w:rPr>
          <w:rFonts w:asciiTheme="minorHAnsi" w:hAnsiTheme="minorHAnsi" w:cstheme="minorHAnsi"/>
          <w:sz w:val="24"/>
          <w:szCs w:val="24"/>
          <w:shd w:val="clear" w:color="auto" w:fill="FFFFFF"/>
          <w:lang w:val="en-GB"/>
        </w:rPr>
        <w:t xml:space="preserve">individuals in whom a BMD test was undertaken, treatment would be recommended in those with a fracture probability that was </w:t>
      </w:r>
      <w:r w:rsidR="003E7BDB" w:rsidRPr="004B7718">
        <w:rPr>
          <w:rFonts w:asciiTheme="minorHAnsi" w:hAnsiTheme="minorHAnsi" w:cstheme="minorHAnsi"/>
          <w:sz w:val="24"/>
          <w:szCs w:val="24"/>
          <w:shd w:val="clear" w:color="auto" w:fill="FFFFFF"/>
          <w:lang w:val="en-GB"/>
        </w:rPr>
        <w:t>1</w:t>
      </w:r>
      <w:r w:rsidR="004B7718" w:rsidRPr="004B7718">
        <w:rPr>
          <w:rFonts w:asciiTheme="minorHAnsi" w:hAnsiTheme="minorHAnsi" w:cstheme="minorHAnsi"/>
          <w:sz w:val="24"/>
          <w:szCs w:val="24"/>
          <w:shd w:val="clear" w:color="auto" w:fill="FFFFFF"/>
          <w:lang w:val="en-GB"/>
        </w:rPr>
        <w:t>1</w:t>
      </w:r>
      <w:r w:rsidRPr="004B7718">
        <w:rPr>
          <w:rFonts w:asciiTheme="minorHAnsi" w:hAnsiTheme="minorHAnsi" w:cstheme="minorHAnsi"/>
          <w:sz w:val="24"/>
          <w:szCs w:val="24"/>
          <w:shd w:val="clear" w:color="auto" w:fill="FFFFFF"/>
          <w:lang w:val="en-GB"/>
        </w:rPr>
        <w:t>% or greater.</w:t>
      </w:r>
    </w:p>
    <w:p w14:paraId="71425BCC" w14:textId="77777777" w:rsidR="00200D27" w:rsidRPr="004B7718" w:rsidRDefault="00200D27" w:rsidP="00827EF0">
      <w:pPr>
        <w:autoSpaceDE w:val="0"/>
        <w:autoSpaceDN w:val="0"/>
        <w:adjustRightInd w:val="0"/>
        <w:spacing w:after="0"/>
        <w:ind w:left="1134"/>
        <w:rPr>
          <w:rFonts w:asciiTheme="minorHAnsi" w:hAnsiTheme="minorHAnsi" w:cstheme="minorHAnsi"/>
          <w:sz w:val="24"/>
          <w:szCs w:val="24"/>
          <w:lang w:val="en-GB" w:eastAsia="en-GB"/>
        </w:rPr>
      </w:pPr>
    </w:p>
    <w:p w14:paraId="27D76502" w14:textId="77777777" w:rsidR="00800C89" w:rsidRPr="00800C89" w:rsidRDefault="00800C89" w:rsidP="00800C89">
      <w:pPr>
        <w:autoSpaceDE w:val="0"/>
        <w:autoSpaceDN w:val="0"/>
        <w:adjustRightInd w:val="0"/>
        <w:spacing w:after="0" w:line="240" w:lineRule="auto"/>
        <w:ind w:left="1134" w:right="732"/>
        <w:rPr>
          <w:rFonts w:cs="Calibri"/>
          <w:sz w:val="20"/>
          <w:szCs w:val="20"/>
          <w:lang w:val="en-GB" w:eastAsia="en-GB"/>
        </w:rPr>
      </w:pPr>
      <w:r w:rsidRPr="00800C89">
        <w:rPr>
          <w:rFonts w:cs="Calibri"/>
          <w:b/>
          <w:sz w:val="20"/>
          <w:szCs w:val="20"/>
          <w:lang w:val="en-GB" w:eastAsia="en-GB"/>
        </w:rPr>
        <w:t>Table 1</w:t>
      </w:r>
      <w:r w:rsidRPr="00800C89">
        <w:rPr>
          <w:rFonts w:cs="Calibri"/>
          <w:sz w:val="20"/>
          <w:szCs w:val="20"/>
          <w:lang w:val="en-GB" w:eastAsia="en-GB"/>
        </w:rPr>
        <w:t xml:space="preserve"> Ten-year probability of a major osteoporotic fracture (%) and hip fracture (%) by age at the intervention threshold, lower and upper assessment thresholds calculated with FRAX for Pakistan.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1298"/>
        <w:gridCol w:w="1466"/>
        <w:gridCol w:w="1470"/>
        <w:gridCol w:w="1299"/>
        <w:gridCol w:w="1467"/>
        <w:gridCol w:w="1470"/>
      </w:tblGrid>
      <w:tr w:rsidR="00800C89" w:rsidRPr="00800C89" w14:paraId="23083C91" w14:textId="77777777" w:rsidTr="00813735">
        <w:tc>
          <w:tcPr>
            <w:tcW w:w="0" w:type="auto"/>
            <w:tcBorders>
              <w:top w:val="single" w:sz="4" w:space="0" w:color="auto"/>
            </w:tcBorders>
          </w:tcPr>
          <w:p w14:paraId="0D4AB540" w14:textId="77777777" w:rsidR="00800C89" w:rsidRPr="00800C89" w:rsidRDefault="00800C89" w:rsidP="004970C9">
            <w:pPr>
              <w:spacing w:after="0" w:line="360" w:lineRule="auto"/>
              <w:rPr>
                <w:rFonts w:cs="Courier New"/>
                <w:lang w:val="en-US" w:eastAsia="en-GB"/>
              </w:rPr>
            </w:pPr>
          </w:p>
        </w:tc>
        <w:tc>
          <w:tcPr>
            <w:tcW w:w="0" w:type="auto"/>
            <w:gridSpan w:val="3"/>
            <w:tcBorders>
              <w:top w:val="single" w:sz="4" w:space="0" w:color="auto"/>
              <w:bottom w:val="single" w:sz="4" w:space="0" w:color="auto"/>
            </w:tcBorders>
          </w:tcPr>
          <w:p w14:paraId="06182295" w14:textId="77777777" w:rsidR="00800C89" w:rsidRPr="00800C89" w:rsidRDefault="00800C89" w:rsidP="004970C9">
            <w:pPr>
              <w:spacing w:after="0" w:line="360" w:lineRule="auto"/>
              <w:jc w:val="center"/>
              <w:rPr>
                <w:rFonts w:cs="Courier New"/>
                <w:lang w:val="en-US" w:eastAsia="en-GB"/>
              </w:rPr>
            </w:pPr>
            <w:r w:rsidRPr="00800C89">
              <w:rPr>
                <w:rFonts w:cs="Courier New"/>
                <w:lang w:val="en-US" w:eastAsia="en-GB"/>
              </w:rPr>
              <w:t>Major osteoporotic fracture</w:t>
            </w:r>
          </w:p>
        </w:tc>
        <w:tc>
          <w:tcPr>
            <w:tcW w:w="0" w:type="auto"/>
            <w:gridSpan w:val="3"/>
            <w:tcBorders>
              <w:top w:val="single" w:sz="4" w:space="0" w:color="auto"/>
              <w:bottom w:val="single" w:sz="4" w:space="0" w:color="auto"/>
            </w:tcBorders>
          </w:tcPr>
          <w:p w14:paraId="66F368CC" w14:textId="77777777" w:rsidR="00800C89" w:rsidRPr="00800C89" w:rsidRDefault="00800C89" w:rsidP="004970C9">
            <w:pPr>
              <w:spacing w:after="0" w:line="360" w:lineRule="auto"/>
              <w:jc w:val="center"/>
              <w:rPr>
                <w:rFonts w:cs="Courier New"/>
                <w:lang w:val="en-US" w:eastAsia="en-GB"/>
              </w:rPr>
            </w:pPr>
            <w:r w:rsidRPr="00800C89">
              <w:rPr>
                <w:rFonts w:cs="Courier New"/>
                <w:lang w:val="en-US" w:eastAsia="en-GB"/>
              </w:rPr>
              <w:t>Hip fracture</w:t>
            </w:r>
          </w:p>
        </w:tc>
      </w:tr>
      <w:tr w:rsidR="00800C89" w:rsidRPr="00800C89" w14:paraId="3BEE3F66" w14:textId="77777777" w:rsidTr="00813735">
        <w:tc>
          <w:tcPr>
            <w:tcW w:w="0" w:type="auto"/>
            <w:tcBorders>
              <w:bottom w:val="single" w:sz="4" w:space="0" w:color="auto"/>
            </w:tcBorders>
          </w:tcPr>
          <w:p w14:paraId="0E085415" w14:textId="77777777" w:rsidR="00800C89" w:rsidRPr="00800C89" w:rsidRDefault="00800C89" w:rsidP="00800C89">
            <w:pPr>
              <w:spacing w:after="0" w:line="240" w:lineRule="auto"/>
              <w:rPr>
                <w:rFonts w:cs="Courier New"/>
                <w:lang w:val="en-US" w:eastAsia="en-GB"/>
              </w:rPr>
            </w:pPr>
            <w:r w:rsidRPr="00800C89">
              <w:rPr>
                <w:rFonts w:cs="Courier New"/>
                <w:lang w:val="en-US" w:eastAsia="en-GB"/>
              </w:rPr>
              <w:t>Age</w:t>
            </w:r>
          </w:p>
          <w:p w14:paraId="708E4F17" w14:textId="77777777" w:rsidR="00800C89" w:rsidRPr="00800C89" w:rsidRDefault="00800C89" w:rsidP="00800C89">
            <w:pPr>
              <w:spacing w:after="0" w:line="240" w:lineRule="auto"/>
              <w:rPr>
                <w:rFonts w:cs="Courier New"/>
                <w:lang w:val="en-US" w:eastAsia="en-GB"/>
              </w:rPr>
            </w:pPr>
            <w:r w:rsidRPr="00800C89">
              <w:rPr>
                <w:rFonts w:cs="Courier New"/>
                <w:lang w:val="en-US" w:eastAsia="en-GB"/>
              </w:rPr>
              <w:t>(years)</w:t>
            </w:r>
          </w:p>
        </w:tc>
        <w:tc>
          <w:tcPr>
            <w:tcW w:w="0" w:type="auto"/>
            <w:tcBorders>
              <w:top w:val="single" w:sz="4" w:space="0" w:color="auto"/>
              <w:bottom w:val="single" w:sz="4" w:space="0" w:color="auto"/>
            </w:tcBorders>
          </w:tcPr>
          <w:p w14:paraId="1E7D1EAB" w14:textId="77777777" w:rsidR="00800C89" w:rsidRPr="00800C89" w:rsidRDefault="00800C89" w:rsidP="00800C89">
            <w:pPr>
              <w:spacing w:after="0" w:line="240" w:lineRule="auto"/>
              <w:jc w:val="center"/>
              <w:rPr>
                <w:rFonts w:cs="Courier New"/>
                <w:lang w:val="en-US" w:eastAsia="en-GB"/>
              </w:rPr>
            </w:pPr>
            <w:r w:rsidRPr="00800C89">
              <w:rPr>
                <w:rFonts w:cs="Calibri"/>
                <w:lang w:val="en-GB" w:eastAsia="en-GB"/>
              </w:rPr>
              <w:t xml:space="preserve">Intervention </w:t>
            </w:r>
            <w:r w:rsidRPr="00800C89">
              <w:rPr>
                <w:rFonts w:cs="Calibri"/>
                <w:lang w:val="en-GB" w:eastAsia="en-GB"/>
              </w:rPr>
              <w:br/>
              <w:t>threshold</w:t>
            </w:r>
            <w:r w:rsidRPr="00800C89">
              <w:rPr>
                <w:rFonts w:cs="Calibri"/>
                <w:vertAlign w:val="superscript"/>
                <w:lang w:val="en-GB" w:eastAsia="en-GB"/>
              </w:rPr>
              <w:t xml:space="preserve">a </w:t>
            </w:r>
            <w:r w:rsidRPr="00800C89">
              <w:rPr>
                <w:rFonts w:cs="Calibri"/>
                <w:lang w:val="en-GB" w:eastAsia="en-GB"/>
              </w:rPr>
              <w:t>(%)</w:t>
            </w:r>
          </w:p>
        </w:tc>
        <w:tc>
          <w:tcPr>
            <w:tcW w:w="0" w:type="auto"/>
            <w:tcBorders>
              <w:top w:val="single" w:sz="4" w:space="0" w:color="auto"/>
              <w:bottom w:val="single" w:sz="4" w:space="0" w:color="auto"/>
            </w:tcBorders>
          </w:tcPr>
          <w:p w14:paraId="410E3C98" w14:textId="77777777" w:rsidR="00800C89" w:rsidRPr="00800C89" w:rsidRDefault="00800C89" w:rsidP="00800C89">
            <w:pPr>
              <w:spacing w:after="0" w:line="240" w:lineRule="auto"/>
              <w:jc w:val="center"/>
              <w:rPr>
                <w:rFonts w:cs="Calibri"/>
                <w:lang w:val="en-GB" w:eastAsia="en-GB"/>
              </w:rPr>
            </w:pPr>
            <w:r w:rsidRPr="00800C89">
              <w:rPr>
                <w:rFonts w:cs="Courier New"/>
                <w:lang w:val="en-US" w:eastAsia="en-GB"/>
              </w:rPr>
              <w:t xml:space="preserve">Lower </w:t>
            </w:r>
            <w:r w:rsidRPr="00800C89">
              <w:rPr>
                <w:rFonts w:cs="Calibri"/>
                <w:lang w:val="en-GB" w:eastAsia="en-GB"/>
              </w:rPr>
              <w:t>assessment</w:t>
            </w:r>
          </w:p>
          <w:p w14:paraId="5A376F14" w14:textId="77777777" w:rsidR="00800C89" w:rsidRPr="00800C89" w:rsidRDefault="00800C89" w:rsidP="00800C89">
            <w:pPr>
              <w:spacing w:after="0" w:line="240" w:lineRule="auto"/>
              <w:jc w:val="center"/>
              <w:rPr>
                <w:rFonts w:cs="Courier New"/>
                <w:lang w:val="en-US" w:eastAsia="en-GB"/>
              </w:rPr>
            </w:pPr>
            <w:r w:rsidRPr="00800C89">
              <w:rPr>
                <w:rFonts w:cs="Calibri"/>
                <w:lang w:val="en-GB" w:eastAsia="en-GB"/>
              </w:rPr>
              <w:t>threshold</w:t>
            </w:r>
            <w:r w:rsidRPr="00800C89">
              <w:rPr>
                <w:rFonts w:cs="Courier New"/>
                <w:vertAlign w:val="superscript"/>
                <w:lang w:val="en-US" w:eastAsia="en-GB"/>
              </w:rPr>
              <w:t>b</w:t>
            </w:r>
            <w:r w:rsidRPr="00800C89">
              <w:rPr>
                <w:rFonts w:cs="Courier New"/>
                <w:lang w:val="en-US" w:eastAsia="en-GB"/>
              </w:rPr>
              <w:t xml:space="preserve"> (%)</w:t>
            </w:r>
          </w:p>
        </w:tc>
        <w:tc>
          <w:tcPr>
            <w:tcW w:w="0" w:type="auto"/>
            <w:tcBorders>
              <w:top w:val="single" w:sz="4" w:space="0" w:color="auto"/>
              <w:bottom w:val="single" w:sz="4" w:space="0" w:color="auto"/>
            </w:tcBorders>
          </w:tcPr>
          <w:p w14:paraId="1BAD46A2" w14:textId="77777777" w:rsidR="00800C89" w:rsidRPr="00800C89" w:rsidRDefault="00800C89" w:rsidP="00800C89">
            <w:pPr>
              <w:spacing w:after="0" w:line="240" w:lineRule="auto"/>
              <w:jc w:val="center"/>
              <w:rPr>
                <w:rFonts w:cs="Courier New"/>
                <w:lang w:val="en-US" w:eastAsia="en-GB"/>
              </w:rPr>
            </w:pPr>
            <w:r w:rsidRPr="00800C89">
              <w:rPr>
                <w:rFonts w:cs="Courier New"/>
                <w:lang w:val="en-US" w:eastAsia="en-GB"/>
              </w:rPr>
              <w:t>Upper assessment</w:t>
            </w:r>
          </w:p>
          <w:p w14:paraId="617B6BB3" w14:textId="77777777" w:rsidR="00800C89" w:rsidRPr="00800C89" w:rsidRDefault="00800C89" w:rsidP="00800C89">
            <w:pPr>
              <w:spacing w:after="0" w:line="240" w:lineRule="auto"/>
              <w:jc w:val="center"/>
              <w:rPr>
                <w:rFonts w:cs="Courier New"/>
                <w:lang w:val="en-US" w:eastAsia="en-GB"/>
              </w:rPr>
            </w:pPr>
            <w:r w:rsidRPr="00800C89">
              <w:rPr>
                <w:rFonts w:cs="Courier New"/>
                <w:lang w:val="en-US" w:eastAsia="en-GB"/>
              </w:rPr>
              <w:t>threshold</w:t>
            </w:r>
            <w:r w:rsidRPr="00800C89">
              <w:rPr>
                <w:rFonts w:cs="Courier New"/>
                <w:vertAlign w:val="superscript"/>
                <w:lang w:val="en-US" w:eastAsia="en-GB"/>
              </w:rPr>
              <w:t>c</w:t>
            </w:r>
            <w:r w:rsidRPr="00800C89">
              <w:rPr>
                <w:rFonts w:cs="Courier New"/>
                <w:lang w:val="en-US" w:eastAsia="en-GB"/>
              </w:rPr>
              <w:t xml:space="preserve"> </w:t>
            </w:r>
            <w:r w:rsidRPr="00800C89">
              <w:rPr>
                <w:rFonts w:cs="Calibri"/>
                <w:lang w:val="en-GB" w:eastAsia="en-GB"/>
              </w:rPr>
              <w:t>(%)</w:t>
            </w:r>
          </w:p>
        </w:tc>
        <w:tc>
          <w:tcPr>
            <w:tcW w:w="0" w:type="auto"/>
            <w:tcBorders>
              <w:top w:val="single" w:sz="4" w:space="0" w:color="auto"/>
              <w:bottom w:val="single" w:sz="4" w:space="0" w:color="auto"/>
            </w:tcBorders>
          </w:tcPr>
          <w:p w14:paraId="56DF8A5E" w14:textId="77777777" w:rsidR="00800C89" w:rsidRPr="00800C89" w:rsidRDefault="00800C89" w:rsidP="00800C89">
            <w:pPr>
              <w:spacing w:after="0" w:line="240" w:lineRule="auto"/>
              <w:jc w:val="center"/>
              <w:rPr>
                <w:rFonts w:cs="Courier New"/>
                <w:lang w:val="en-US" w:eastAsia="en-GB"/>
              </w:rPr>
            </w:pPr>
            <w:r w:rsidRPr="00800C89">
              <w:rPr>
                <w:rFonts w:cs="Calibri"/>
                <w:lang w:val="en-GB" w:eastAsia="en-GB"/>
              </w:rPr>
              <w:t xml:space="preserve">Intervention </w:t>
            </w:r>
            <w:r w:rsidRPr="00800C89">
              <w:rPr>
                <w:rFonts w:cs="Calibri"/>
                <w:lang w:val="en-GB" w:eastAsia="en-GB"/>
              </w:rPr>
              <w:br/>
              <w:t>threshold</w:t>
            </w:r>
            <w:r w:rsidRPr="00800C89">
              <w:rPr>
                <w:rFonts w:cs="Calibri"/>
                <w:vertAlign w:val="superscript"/>
                <w:lang w:val="en-GB" w:eastAsia="en-GB"/>
              </w:rPr>
              <w:t xml:space="preserve">a </w:t>
            </w:r>
            <w:r w:rsidRPr="00800C89">
              <w:rPr>
                <w:rFonts w:cs="Calibri"/>
                <w:lang w:val="en-GB" w:eastAsia="en-GB"/>
              </w:rPr>
              <w:t>(%)</w:t>
            </w:r>
          </w:p>
        </w:tc>
        <w:tc>
          <w:tcPr>
            <w:tcW w:w="0" w:type="auto"/>
            <w:tcBorders>
              <w:top w:val="single" w:sz="4" w:space="0" w:color="auto"/>
              <w:bottom w:val="single" w:sz="4" w:space="0" w:color="auto"/>
            </w:tcBorders>
          </w:tcPr>
          <w:p w14:paraId="58CC17E8" w14:textId="77777777" w:rsidR="00800C89" w:rsidRPr="00800C89" w:rsidRDefault="00800C89" w:rsidP="00800C89">
            <w:pPr>
              <w:spacing w:after="0" w:line="240" w:lineRule="auto"/>
              <w:jc w:val="center"/>
              <w:rPr>
                <w:rFonts w:cs="Calibri"/>
                <w:lang w:val="en-GB" w:eastAsia="en-GB"/>
              </w:rPr>
            </w:pPr>
            <w:r w:rsidRPr="00800C89">
              <w:rPr>
                <w:rFonts w:cs="Courier New"/>
                <w:lang w:val="en-US" w:eastAsia="en-GB"/>
              </w:rPr>
              <w:t xml:space="preserve">Lower </w:t>
            </w:r>
            <w:r w:rsidRPr="00800C89">
              <w:rPr>
                <w:rFonts w:cs="Calibri"/>
                <w:lang w:val="en-GB" w:eastAsia="en-GB"/>
              </w:rPr>
              <w:t>assessment</w:t>
            </w:r>
          </w:p>
          <w:p w14:paraId="28BDFE5E" w14:textId="77777777" w:rsidR="00800C89" w:rsidRPr="00800C89" w:rsidRDefault="00800C89" w:rsidP="00800C89">
            <w:pPr>
              <w:spacing w:after="0" w:line="240" w:lineRule="auto"/>
              <w:jc w:val="center"/>
              <w:rPr>
                <w:rFonts w:cs="Courier New"/>
                <w:lang w:val="en-US" w:eastAsia="en-GB"/>
              </w:rPr>
            </w:pPr>
            <w:r w:rsidRPr="00800C89">
              <w:rPr>
                <w:rFonts w:cs="Calibri"/>
                <w:lang w:val="en-GB" w:eastAsia="en-GB"/>
              </w:rPr>
              <w:t>threshold</w:t>
            </w:r>
            <w:r w:rsidRPr="00800C89">
              <w:rPr>
                <w:rFonts w:cs="Courier New"/>
                <w:vertAlign w:val="superscript"/>
                <w:lang w:val="en-US" w:eastAsia="en-GB"/>
              </w:rPr>
              <w:t>b</w:t>
            </w:r>
            <w:r w:rsidRPr="00800C89">
              <w:rPr>
                <w:rFonts w:cs="Courier New"/>
                <w:lang w:val="en-US" w:eastAsia="en-GB"/>
              </w:rPr>
              <w:t xml:space="preserve"> (%)</w:t>
            </w:r>
          </w:p>
        </w:tc>
        <w:tc>
          <w:tcPr>
            <w:tcW w:w="0" w:type="auto"/>
            <w:tcBorders>
              <w:top w:val="single" w:sz="4" w:space="0" w:color="auto"/>
              <w:bottom w:val="single" w:sz="4" w:space="0" w:color="auto"/>
            </w:tcBorders>
          </w:tcPr>
          <w:p w14:paraId="1BD422E2" w14:textId="77777777" w:rsidR="00800C89" w:rsidRPr="00800C89" w:rsidRDefault="00800C89" w:rsidP="00800C89">
            <w:pPr>
              <w:spacing w:after="0" w:line="240" w:lineRule="auto"/>
              <w:jc w:val="center"/>
              <w:rPr>
                <w:rFonts w:cs="Courier New"/>
                <w:lang w:val="en-US" w:eastAsia="en-GB"/>
              </w:rPr>
            </w:pPr>
            <w:r w:rsidRPr="00800C89">
              <w:rPr>
                <w:rFonts w:cs="Courier New"/>
                <w:lang w:val="en-US" w:eastAsia="en-GB"/>
              </w:rPr>
              <w:t>Upper assessment</w:t>
            </w:r>
          </w:p>
          <w:p w14:paraId="344AFD90" w14:textId="77777777" w:rsidR="00800C89" w:rsidRPr="00800C89" w:rsidRDefault="00800C89" w:rsidP="00800C89">
            <w:pPr>
              <w:spacing w:after="0" w:line="240" w:lineRule="auto"/>
              <w:jc w:val="center"/>
              <w:rPr>
                <w:rFonts w:cs="Courier New"/>
                <w:lang w:val="en-US" w:eastAsia="en-GB"/>
              </w:rPr>
            </w:pPr>
            <w:r w:rsidRPr="00800C89">
              <w:rPr>
                <w:rFonts w:cs="Courier New"/>
                <w:lang w:val="en-US" w:eastAsia="en-GB"/>
              </w:rPr>
              <w:t>threshold</w:t>
            </w:r>
            <w:r w:rsidRPr="00800C89">
              <w:rPr>
                <w:rFonts w:cs="Courier New"/>
                <w:vertAlign w:val="superscript"/>
                <w:lang w:val="en-US" w:eastAsia="en-GB"/>
              </w:rPr>
              <w:t>c</w:t>
            </w:r>
            <w:r w:rsidRPr="00800C89">
              <w:rPr>
                <w:rFonts w:cs="Courier New"/>
                <w:lang w:val="en-US" w:eastAsia="en-GB"/>
              </w:rPr>
              <w:t xml:space="preserve"> </w:t>
            </w:r>
            <w:r w:rsidRPr="00800C89">
              <w:rPr>
                <w:rFonts w:cs="Calibri"/>
                <w:lang w:val="en-GB" w:eastAsia="en-GB"/>
              </w:rPr>
              <w:t>(%)</w:t>
            </w:r>
          </w:p>
        </w:tc>
      </w:tr>
      <w:tr w:rsidR="003B3673" w:rsidRPr="00800C89" w14:paraId="12FEEE0B" w14:textId="77777777" w:rsidTr="00813735">
        <w:tc>
          <w:tcPr>
            <w:tcW w:w="0" w:type="auto"/>
            <w:tcBorders>
              <w:top w:val="single" w:sz="4" w:space="0" w:color="auto"/>
            </w:tcBorders>
          </w:tcPr>
          <w:p w14:paraId="3E030DD6" w14:textId="77777777" w:rsidR="003B3673" w:rsidRPr="00800C89" w:rsidRDefault="003B3673" w:rsidP="003B3673">
            <w:pPr>
              <w:spacing w:after="0" w:line="240" w:lineRule="auto"/>
              <w:rPr>
                <w:rFonts w:cs="Courier New"/>
                <w:lang w:val="en-US" w:eastAsia="en-GB"/>
              </w:rPr>
            </w:pPr>
            <w:r w:rsidRPr="00800C89">
              <w:rPr>
                <w:rFonts w:cs="Calibri"/>
                <w:lang w:val="en-US" w:eastAsia="en-GB"/>
              </w:rPr>
              <w:t>40</w:t>
            </w:r>
          </w:p>
        </w:tc>
        <w:tc>
          <w:tcPr>
            <w:tcW w:w="0" w:type="auto"/>
            <w:tcBorders>
              <w:top w:val="single" w:sz="4" w:space="0" w:color="auto"/>
            </w:tcBorders>
          </w:tcPr>
          <w:p w14:paraId="1636A628"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2.07</w:t>
            </w:r>
          </w:p>
        </w:tc>
        <w:tc>
          <w:tcPr>
            <w:tcW w:w="0" w:type="auto"/>
            <w:tcBorders>
              <w:top w:val="single" w:sz="4" w:space="0" w:color="auto"/>
            </w:tcBorders>
          </w:tcPr>
          <w:p w14:paraId="49911716"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0.92</w:t>
            </w:r>
          </w:p>
        </w:tc>
        <w:tc>
          <w:tcPr>
            <w:tcW w:w="0" w:type="auto"/>
            <w:tcBorders>
              <w:top w:val="single" w:sz="4" w:space="0" w:color="auto"/>
            </w:tcBorders>
            <w:vAlign w:val="bottom"/>
          </w:tcPr>
          <w:p w14:paraId="5E2F7691" w14:textId="77777777" w:rsidR="003B3673" w:rsidRPr="00800C89" w:rsidRDefault="003B3673" w:rsidP="003B3673">
            <w:pPr>
              <w:jc w:val="center"/>
              <w:rPr>
                <w:rFonts w:cs="Calibri"/>
                <w:lang w:eastAsia="en-GB"/>
              </w:rPr>
            </w:pPr>
            <w:r w:rsidRPr="00800C89">
              <w:rPr>
                <w:rFonts w:cs="Calibri"/>
                <w:lang w:eastAsia="en-GB"/>
              </w:rPr>
              <w:t>2.48</w:t>
            </w:r>
          </w:p>
        </w:tc>
        <w:tc>
          <w:tcPr>
            <w:tcW w:w="0" w:type="auto"/>
            <w:tcBorders>
              <w:top w:val="single" w:sz="4" w:space="0" w:color="auto"/>
            </w:tcBorders>
          </w:tcPr>
          <w:p w14:paraId="5DE46EC4" w14:textId="0510B142" w:rsidR="003B3673" w:rsidRPr="00800C89" w:rsidRDefault="003B3673" w:rsidP="003B3673">
            <w:pPr>
              <w:jc w:val="center"/>
              <w:rPr>
                <w:rFonts w:cs="Calibri"/>
                <w:lang w:eastAsia="en-GB"/>
              </w:rPr>
            </w:pPr>
            <w:r w:rsidRPr="00CA30D3">
              <w:t>0.04</w:t>
            </w:r>
          </w:p>
        </w:tc>
        <w:tc>
          <w:tcPr>
            <w:tcW w:w="0" w:type="auto"/>
            <w:tcBorders>
              <w:top w:val="single" w:sz="4" w:space="0" w:color="auto"/>
            </w:tcBorders>
          </w:tcPr>
          <w:p w14:paraId="1F7A4A18" w14:textId="6C6CE859" w:rsidR="003B3673" w:rsidRPr="00800C89" w:rsidRDefault="003B3673" w:rsidP="003B3673">
            <w:pPr>
              <w:jc w:val="center"/>
              <w:rPr>
                <w:rFonts w:cs="Calibri"/>
                <w:lang w:eastAsia="en-GB"/>
              </w:rPr>
            </w:pPr>
            <w:r>
              <w:rPr>
                <w:rFonts w:cstheme="minorHAnsi"/>
                <w:color w:val="000000"/>
                <w:shd w:val="clear" w:color="auto" w:fill="FFFFFF"/>
              </w:rPr>
              <w:t>0.19</w:t>
            </w:r>
          </w:p>
        </w:tc>
        <w:tc>
          <w:tcPr>
            <w:tcW w:w="0" w:type="auto"/>
            <w:tcBorders>
              <w:top w:val="single" w:sz="4" w:space="0" w:color="auto"/>
            </w:tcBorders>
          </w:tcPr>
          <w:p w14:paraId="31793BFC" w14:textId="291A8117" w:rsidR="003B3673" w:rsidRPr="00800C89" w:rsidRDefault="003B3673" w:rsidP="003B3673">
            <w:pPr>
              <w:jc w:val="center"/>
              <w:rPr>
                <w:rFonts w:cs="Calibri"/>
                <w:lang w:eastAsia="en-GB"/>
              </w:rPr>
            </w:pPr>
            <w:r>
              <w:rPr>
                <w:rFonts w:cstheme="minorHAnsi"/>
                <w:color w:val="000000"/>
                <w:shd w:val="clear" w:color="auto" w:fill="FFFFFF"/>
              </w:rPr>
              <w:t>0.23</w:t>
            </w:r>
          </w:p>
        </w:tc>
      </w:tr>
      <w:tr w:rsidR="003B3673" w:rsidRPr="00800C89" w14:paraId="53588A91" w14:textId="77777777" w:rsidTr="004970C9">
        <w:tc>
          <w:tcPr>
            <w:tcW w:w="0" w:type="auto"/>
          </w:tcPr>
          <w:p w14:paraId="58FED803" w14:textId="77777777" w:rsidR="003B3673" w:rsidRPr="00800C89" w:rsidRDefault="003B3673" w:rsidP="003B3673">
            <w:pPr>
              <w:spacing w:after="0" w:line="240" w:lineRule="auto"/>
              <w:rPr>
                <w:rFonts w:cs="Courier New"/>
                <w:lang w:val="en-US" w:eastAsia="en-GB"/>
              </w:rPr>
            </w:pPr>
            <w:r w:rsidRPr="00800C89">
              <w:rPr>
                <w:rFonts w:cs="Calibri"/>
                <w:lang w:val="en-US" w:eastAsia="en-GB"/>
              </w:rPr>
              <w:t>45</w:t>
            </w:r>
          </w:p>
        </w:tc>
        <w:tc>
          <w:tcPr>
            <w:tcW w:w="0" w:type="auto"/>
          </w:tcPr>
          <w:p w14:paraId="43B1D7E3"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2.03</w:t>
            </w:r>
          </w:p>
        </w:tc>
        <w:tc>
          <w:tcPr>
            <w:tcW w:w="0" w:type="auto"/>
          </w:tcPr>
          <w:p w14:paraId="18B3EF6B"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0.91</w:t>
            </w:r>
          </w:p>
        </w:tc>
        <w:tc>
          <w:tcPr>
            <w:tcW w:w="0" w:type="auto"/>
            <w:vAlign w:val="bottom"/>
          </w:tcPr>
          <w:p w14:paraId="49F48814" w14:textId="77777777" w:rsidR="003B3673" w:rsidRPr="00800C89" w:rsidRDefault="003B3673" w:rsidP="003B3673">
            <w:pPr>
              <w:jc w:val="center"/>
              <w:rPr>
                <w:rFonts w:cs="Calibri"/>
                <w:lang w:eastAsia="en-GB"/>
              </w:rPr>
            </w:pPr>
            <w:r w:rsidRPr="00800C89">
              <w:rPr>
                <w:rFonts w:cs="Calibri"/>
                <w:lang w:eastAsia="en-GB"/>
              </w:rPr>
              <w:t>2.44</w:t>
            </w:r>
          </w:p>
        </w:tc>
        <w:tc>
          <w:tcPr>
            <w:tcW w:w="0" w:type="auto"/>
          </w:tcPr>
          <w:p w14:paraId="4515478C" w14:textId="78D7126A" w:rsidR="003B3673" w:rsidRPr="00800C89" w:rsidRDefault="003B3673" w:rsidP="003B3673">
            <w:pPr>
              <w:jc w:val="center"/>
              <w:rPr>
                <w:rFonts w:cs="Calibri"/>
                <w:lang w:eastAsia="en-GB"/>
              </w:rPr>
            </w:pPr>
            <w:r w:rsidRPr="00CA30D3">
              <w:t>0.05</w:t>
            </w:r>
          </w:p>
        </w:tc>
        <w:tc>
          <w:tcPr>
            <w:tcW w:w="0" w:type="auto"/>
          </w:tcPr>
          <w:p w14:paraId="5C66AF5B" w14:textId="6DEA5C26" w:rsidR="003B3673" w:rsidRPr="00800C89" w:rsidRDefault="003B3673" w:rsidP="003B3673">
            <w:pPr>
              <w:jc w:val="center"/>
              <w:rPr>
                <w:rFonts w:cs="Calibri"/>
                <w:lang w:eastAsia="en-GB"/>
              </w:rPr>
            </w:pPr>
            <w:r>
              <w:rPr>
                <w:rFonts w:cstheme="minorHAnsi"/>
                <w:color w:val="000000"/>
                <w:shd w:val="clear" w:color="auto" w:fill="FFFFFF"/>
              </w:rPr>
              <w:t>0.25</w:t>
            </w:r>
          </w:p>
        </w:tc>
        <w:tc>
          <w:tcPr>
            <w:tcW w:w="0" w:type="auto"/>
          </w:tcPr>
          <w:p w14:paraId="6A622CAB" w14:textId="52DE1085" w:rsidR="003B3673" w:rsidRPr="00800C89" w:rsidRDefault="003B3673" w:rsidP="003B3673">
            <w:pPr>
              <w:jc w:val="center"/>
              <w:rPr>
                <w:rFonts w:cs="Calibri"/>
                <w:lang w:eastAsia="en-GB"/>
              </w:rPr>
            </w:pPr>
            <w:r>
              <w:rPr>
                <w:rFonts w:cstheme="minorHAnsi"/>
                <w:color w:val="000000"/>
                <w:shd w:val="clear" w:color="auto" w:fill="FFFFFF"/>
              </w:rPr>
              <w:t>0.30</w:t>
            </w:r>
          </w:p>
        </w:tc>
      </w:tr>
      <w:tr w:rsidR="003B3673" w:rsidRPr="00800C89" w14:paraId="74855E89" w14:textId="77777777" w:rsidTr="004970C9">
        <w:tc>
          <w:tcPr>
            <w:tcW w:w="0" w:type="auto"/>
          </w:tcPr>
          <w:p w14:paraId="06C8AC7A" w14:textId="77777777" w:rsidR="003B3673" w:rsidRPr="00800C89" w:rsidRDefault="003B3673" w:rsidP="003B3673">
            <w:pPr>
              <w:spacing w:after="0" w:line="240" w:lineRule="auto"/>
              <w:rPr>
                <w:rFonts w:cs="Courier New"/>
                <w:lang w:val="en-US" w:eastAsia="en-GB"/>
              </w:rPr>
            </w:pPr>
            <w:r w:rsidRPr="00800C89">
              <w:rPr>
                <w:rFonts w:cs="Calibri"/>
                <w:lang w:val="en-US" w:eastAsia="en-GB"/>
              </w:rPr>
              <w:t>50</w:t>
            </w:r>
          </w:p>
        </w:tc>
        <w:tc>
          <w:tcPr>
            <w:tcW w:w="0" w:type="auto"/>
          </w:tcPr>
          <w:p w14:paraId="5B8D88F4"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2.63</w:t>
            </w:r>
          </w:p>
        </w:tc>
        <w:tc>
          <w:tcPr>
            <w:tcW w:w="0" w:type="auto"/>
          </w:tcPr>
          <w:p w14:paraId="5FCBE12A"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1.19</w:t>
            </w:r>
          </w:p>
        </w:tc>
        <w:tc>
          <w:tcPr>
            <w:tcW w:w="0" w:type="auto"/>
            <w:vAlign w:val="bottom"/>
          </w:tcPr>
          <w:p w14:paraId="2B89F102" w14:textId="77777777" w:rsidR="003B3673" w:rsidRPr="00800C89" w:rsidRDefault="003B3673" w:rsidP="003B3673">
            <w:pPr>
              <w:jc w:val="center"/>
              <w:rPr>
                <w:rFonts w:cs="Calibri"/>
                <w:lang w:eastAsia="en-GB"/>
              </w:rPr>
            </w:pPr>
            <w:r w:rsidRPr="00800C89">
              <w:rPr>
                <w:rFonts w:cs="Calibri"/>
                <w:lang w:eastAsia="en-GB"/>
              </w:rPr>
              <w:t>3.16</w:t>
            </w:r>
          </w:p>
        </w:tc>
        <w:tc>
          <w:tcPr>
            <w:tcW w:w="0" w:type="auto"/>
          </w:tcPr>
          <w:p w14:paraId="65EFB104" w14:textId="2C2C9BC1" w:rsidR="003B3673" w:rsidRPr="00800C89" w:rsidRDefault="003B3673" w:rsidP="003B3673">
            <w:pPr>
              <w:jc w:val="center"/>
              <w:rPr>
                <w:rFonts w:cs="Calibri"/>
                <w:lang w:eastAsia="en-GB"/>
              </w:rPr>
            </w:pPr>
            <w:r w:rsidRPr="00CA30D3">
              <w:t>0.11</w:t>
            </w:r>
          </w:p>
        </w:tc>
        <w:tc>
          <w:tcPr>
            <w:tcW w:w="0" w:type="auto"/>
          </w:tcPr>
          <w:p w14:paraId="3766D7BF" w14:textId="466001FF" w:rsidR="003B3673" w:rsidRPr="00800C89" w:rsidRDefault="003B3673" w:rsidP="003B3673">
            <w:pPr>
              <w:jc w:val="center"/>
              <w:rPr>
                <w:rFonts w:cs="Calibri"/>
                <w:lang w:eastAsia="en-GB"/>
              </w:rPr>
            </w:pPr>
            <w:r>
              <w:rPr>
                <w:rFonts w:cstheme="minorHAnsi"/>
                <w:color w:val="000000"/>
                <w:shd w:val="clear" w:color="auto" w:fill="FFFFFF"/>
              </w:rPr>
              <w:t>0.42</w:t>
            </w:r>
          </w:p>
        </w:tc>
        <w:tc>
          <w:tcPr>
            <w:tcW w:w="0" w:type="auto"/>
          </w:tcPr>
          <w:p w14:paraId="7F6F866F" w14:textId="6C396708" w:rsidR="003B3673" w:rsidRPr="00800C89" w:rsidRDefault="003B3673" w:rsidP="003B3673">
            <w:pPr>
              <w:jc w:val="center"/>
              <w:rPr>
                <w:rFonts w:cs="Calibri"/>
                <w:lang w:eastAsia="en-GB"/>
              </w:rPr>
            </w:pPr>
            <w:r>
              <w:rPr>
                <w:rFonts w:cstheme="minorHAnsi"/>
                <w:color w:val="000000"/>
                <w:shd w:val="clear" w:color="auto" w:fill="FFFFFF"/>
              </w:rPr>
              <w:t>0.50</w:t>
            </w:r>
          </w:p>
        </w:tc>
      </w:tr>
      <w:tr w:rsidR="003B3673" w:rsidRPr="00800C89" w14:paraId="66D34785" w14:textId="77777777" w:rsidTr="004970C9">
        <w:tc>
          <w:tcPr>
            <w:tcW w:w="0" w:type="auto"/>
          </w:tcPr>
          <w:p w14:paraId="3B88A4AE" w14:textId="77777777" w:rsidR="003B3673" w:rsidRPr="00800C89" w:rsidRDefault="003B3673" w:rsidP="003B3673">
            <w:pPr>
              <w:spacing w:after="0" w:line="240" w:lineRule="auto"/>
              <w:rPr>
                <w:rFonts w:cs="Courier New"/>
                <w:lang w:val="en-US" w:eastAsia="en-GB"/>
              </w:rPr>
            </w:pPr>
            <w:r w:rsidRPr="00800C89">
              <w:rPr>
                <w:rFonts w:cs="Calibri"/>
                <w:lang w:val="en-US" w:eastAsia="en-GB"/>
              </w:rPr>
              <w:t>55</w:t>
            </w:r>
          </w:p>
        </w:tc>
        <w:tc>
          <w:tcPr>
            <w:tcW w:w="0" w:type="auto"/>
          </w:tcPr>
          <w:p w14:paraId="04228B3F"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4.28</w:t>
            </w:r>
          </w:p>
        </w:tc>
        <w:tc>
          <w:tcPr>
            <w:tcW w:w="0" w:type="auto"/>
          </w:tcPr>
          <w:p w14:paraId="3C448FCF"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1.98</w:t>
            </w:r>
          </w:p>
        </w:tc>
        <w:tc>
          <w:tcPr>
            <w:tcW w:w="0" w:type="auto"/>
            <w:vAlign w:val="bottom"/>
          </w:tcPr>
          <w:p w14:paraId="2D4DBA36" w14:textId="77777777" w:rsidR="003B3673" w:rsidRPr="00800C89" w:rsidRDefault="003B3673" w:rsidP="003B3673">
            <w:pPr>
              <w:jc w:val="center"/>
              <w:rPr>
                <w:rFonts w:cs="Calibri"/>
                <w:lang w:eastAsia="en-GB"/>
              </w:rPr>
            </w:pPr>
            <w:r w:rsidRPr="00800C89">
              <w:rPr>
                <w:rFonts w:cs="Calibri"/>
                <w:lang w:eastAsia="en-GB"/>
              </w:rPr>
              <w:t>5.14</w:t>
            </w:r>
          </w:p>
        </w:tc>
        <w:tc>
          <w:tcPr>
            <w:tcW w:w="0" w:type="auto"/>
          </w:tcPr>
          <w:p w14:paraId="19ED846F" w14:textId="71327E1D" w:rsidR="003B3673" w:rsidRPr="00800C89" w:rsidRDefault="003B3673" w:rsidP="003B3673">
            <w:pPr>
              <w:jc w:val="center"/>
              <w:rPr>
                <w:rFonts w:cs="Calibri"/>
                <w:lang w:eastAsia="en-GB"/>
              </w:rPr>
            </w:pPr>
            <w:r w:rsidRPr="00CA30D3">
              <w:t>0.24</w:t>
            </w:r>
          </w:p>
        </w:tc>
        <w:tc>
          <w:tcPr>
            <w:tcW w:w="0" w:type="auto"/>
          </w:tcPr>
          <w:p w14:paraId="47FE4F7F" w14:textId="391D0111" w:rsidR="003B3673" w:rsidRPr="00800C89" w:rsidRDefault="003B3673" w:rsidP="003B3673">
            <w:pPr>
              <w:jc w:val="center"/>
              <w:rPr>
                <w:rFonts w:cs="Calibri"/>
                <w:lang w:eastAsia="en-GB"/>
              </w:rPr>
            </w:pPr>
            <w:r>
              <w:rPr>
                <w:rFonts w:cstheme="minorHAnsi"/>
                <w:color w:val="000000"/>
                <w:shd w:val="clear" w:color="auto" w:fill="FFFFFF"/>
              </w:rPr>
              <w:t>0.82</w:t>
            </w:r>
          </w:p>
        </w:tc>
        <w:tc>
          <w:tcPr>
            <w:tcW w:w="0" w:type="auto"/>
          </w:tcPr>
          <w:p w14:paraId="023C8552" w14:textId="28BEBD9F" w:rsidR="003B3673" w:rsidRPr="00800C89" w:rsidRDefault="003B3673" w:rsidP="003B3673">
            <w:pPr>
              <w:jc w:val="center"/>
              <w:rPr>
                <w:rFonts w:cs="Calibri"/>
                <w:lang w:eastAsia="en-GB"/>
              </w:rPr>
            </w:pPr>
            <w:r>
              <w:rPr>
                <w:rFonts w:cstheme="minorHAnsi"/>
                <w:color w:val="000000"/>
                <w:shd w:val="clear" w:color="auto" w:fill="FFFFFF"/>
              </w:rPr>
              <w:t>0.98</w:t>
            </w:r>
          </w:p>
        </w:tc>
      </w:tr>
      <w:tr w:rsidR="003B3673" w:rsidRPr="00800C89" w14:paraId="5DD602E1" w14:textId="77777777" w:rsidTr="004970C9">
        <w:tc>
          <w:tcPr>
            <w:tcW w:w="0" w:type="auto"/>
          </w:tcPr>
          <w:p w14:paraId="526BA404" w14:textId="77777777" w:rsidR="003B3673" w:rsidRPr="00800C89" w:rsidRDefault="003B3673" w:rsidP="003B3673">
            <w:pPr>
              <w:spacing w:after="0" w:line="240" w:lineRule="auto"/>
              <w:rPr>
                <w:rFonts w:cs="Courier New"/>
                <w:lang w:val="en-US" w:eastAsia="en-GB"/>
              </w:rPr>
            </w:pPr>
            <w:r w:rsidRPr="00800C89">
              <w:rPr>
                <w:rFonts w:cs="Calibri"/>
                <w:lang w:val="en-US" w:eastAsia="en-GB"/>
              </w:rPr>
              <w:t>60</w:t>
            </w:r>
          </w:p>
        </w:tc>
        <w:tc>
          <w:tcPr>
            <w:tcW w:w="0" w:type="auto"/>
          </w:tcPr>
          <w:p w14:paraId="0680111D"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7.18</w:t>
            </w:r>
          </w:p>
        </w:tc>
        <w:tc>
          <w:tcPr>
            <w:tcW w:w="0" w:type="auto"/>
          </w:tcPr>
          <w:p w14:paraId="7A1D28F9"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3.43</w:t>
            </w:r>
          </w:p>
        </w:tc>
        <w:tc>
          <w:tcPr>
            <w:tcW w:w="0" w:type="auto"/>
            <w:vAlign w:val="bottom"/>
          </w:tcPr>
          <w:p w14:paraId="4BB9D570" w14:textId="77777777" w:rsidR="003B3673" w:rsidRPr="00800C89" w:rsidRDefault="003B3673" w:rsidP="003B3673">
            <w:pPr>
              <w:jc w:val="center"/>
              <w:rPr>
                <w:rFonts w:cs="Calibri"/>
                <w:lang w:eastAsia="en-GB"/>
              </w:rPr>
            </w:pPr>
            <w:r w:rsidRPr="00800C89">
              <w:rPr>
                <w:rFonts w:cs="Calibri"/>
                <w:lang w:eastAsia="en-GB"/>
              </w:rPr>
              <w:t>8.62</w:t>
            </w:r>
          </w:p>
        </w:tc>
        <w:tc>
          <w:tcPr>
            <w:tcW w:w="0" w:type="auto"/>
          </w:tcPr>
          <w:p w14:paraId="333E02A1" w14:textId="387D4B70" w:rsidR="003B3673" w:rsidRPr="00800C89" w:rsidRDefault="003B3673" w:rsidP="003B3673">
            <w:pPr>
              <w:jc w:val="center"/>
              <w:rPr>
                <w:rFonts w:cs="Calibri"/>
                <w:lang w:eastAsia="en-GB"/>
              </w:rPr>
            </w:pPr>
            <w:r w:rsidRPr="00CA30D3">
              <w:t>0.59</w:t>
            </w:r>
          </w:p>
        </w:tc>
        <w:tc>
          <w:tcPr>
            <w:tcW w:w="0" w:type="auto"/>
          </w:tcPr>
          <w:p w14:paraId="6CF7A544" w14:textId="39C3D6E3" w:rsidR="003B3673" w:rsidRPr="00800C89" w:rsidRDefault="003B3673" w:rsidP="003B3673">
            <w:pPr>
              <w:jc w:val="center"/>
              <w:rPr>
                <w:rFonts w:cs="Calibri"/>
                <w:lang w:eastAsia="en-GB"/>
              </w:rPr>
            </w:pPr>
            <w:r>
              <w:rPr>
                <w:rFonts w:cstheme="minorHAnsi"/>
                <w:color w:val="000000"/>
                <w:shd w:val="clear" w:color="auto" w:fill="FFFFFF"/>
              </w:rPr>
              <w:t>1.71</w:t>
            </w:r>
          </w:p>
        </w:tc>
        <w:tc>
          <w:tcPr>
            <w:tcW w:w="0" w:type="auto"/>
          </w:tcPr>
          <w:p w14:paraId="738C062E" w14:textId="29179C15" w:rsidR="003B3673" w:rsidRPr="00800C89" w:rsidRDefault="003B3673" w:rsidP="003B3673">
            <w:pPr>
              <w:jc w:val="center"/>
              <w:rPr>
                <w:rFonts w:cs="Calibri"/>
                <w:lang w:eastAsia="en-GB"/>
              </w:rPr>
            </w:pPr>
            <w:r>
              <w:rPr>
                <w:rFonts w:cstheme="minorHAnsi"/>
                <w:color w:val="000000"/>
                <w:shd w:val="clear" w:color="auto" w:fill="FFFFFF"/>
              </w:rPr>
              <w:t>2.05</w:t>
            </w:r>
          </w:p>
        </w:tc>
      </w:tr>
      <w:tr w:rsidR="003B3673" w:rsidRPr="00800C89" w14:paraId="6863ADD9" w14:textId="77777777" w:rsidTr="004970C9">
        <w:tc>
          <w:tcPr>
            <w:tcW w:w="0" w:type="auto"/>
          </w:tcPr>
          <w:p w14:paraId="7639486D" w14:textId="77777777" w:rsidR="003B3673" w:rsidRPr="00800C89" w:rsidRDefault="003B3673" w:rsidP="003B3673">
            <w:pPr>
              <w:spacing w:after="0" w:line="240" w:lineRule="auto"/>
              <w:rPr>
                <w:rFonts w:cs="Courier New"/>
                <w:lang w:val="en-US" w:eastAsia="en-GB"/>
              </w:rPr>
            </w:pPr>
            <w:r w:rsidRPr="00800C89">
              <w:rPr>
                <w:rFonts w:cs="Calibri"/>
                <w:lang w:val="en-US" w:eastAsia="en-GB"/>
              </w:rPr>
              <w:t>65</w:t>
            </w:r>
          </w:p>
        </w:tc>
        <w:tc>
          <w:tcPr>
            <w:tcW w:w="0" w:type="auto"/>
          </w:tcPr>
          <w:p w14:paraId="0E9C83DF"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11.03</w:t>
            </w:r>
          </w:p>
        </w:tc>
        <w:tc>
          <w:tcPr>
            <w:tcW w:w="0" w:type="auto"/>
          </w:tcPr>
          <w:p w14:paraId="257BC8AC"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5.54</w:t>
            </w:r>
          </w:p>
        </w:tc>
        <w:tc>
          <w:tcPr>
            <w:tcW w:w="0" w:type="auto"/>
            <w:vAlign w:val="bottom"/>
          </w:tcPr>
          <w:p w14:paraId="18CE2CFA" w14:textId="77777777" w:rsidR="003B3673" w:rsidRPr="00800C89" w:rsidRDefault="003B3673" w:rsidP="003B3673">
            <w:pPr>
              <w:jc w:val="center"/>
              <w:rPr>
                <w:rFonts w:cs="Calibri"/>
                <w:lang w:eastAsia="en-GB"/>
              </w:rPr>
            </w:pPr>
            <w:r w:rsidRPr="00800C89">
              <w:rPr>
                <w:rFonts w:cs="Calibri"/>
                <w:lang w:eastAsia="en-GB"/>
              </w:rPr>
              <w:t>13.24</w:t>
            </w:r>
          </w:p>
        </w:tc>
        <w:tc>
          <w:tcPr>
            <w:tcW w:w="0" w:type="auto"/>
          </w:tcPr>
          <w:p w14:paraId="38A03907" w14:textId="09CB8E66" w:rsidR="003B3673" w:rsidRPr="00800C89" w:rsidRDefault="003B3673" w:rsidP="003B3673">
            <w:pPr>
              <w:jc w:val="center"/>
              <w:rPr>
                <w:rFonts w:cs="Calibri"/>
                <w:lang w:eastAsia="en-GB"/>
              </w:rPr>
            </w:pPr>
            <w:r w:rsidRPr="00CA30D3">
              <w:t>1.24</w:t>
            </w:r>
          </w:p>
        </w:tc>
        <w:tc>
          <w:tcPr>
            <w:tcW w:w="0" w:type="auto"/>
          </w:tcPr>
          <w:p w14:paraId="75B8A2F2" w14:textId="61229E71" w:rsidR="003B3673" w:rsidRPr="00800C89" w:rsidRDefault="003B3673" w:rsidP="003B3673">
            <w:pPr>
              <w:jc w:val="center"/>
              <w:rPr>
                <w:rFonts w:cs="Calibri"/>
                <w:lang w:eastAsia="en-GB"/>
              </w:rPr>
            </w:pPr>
            <w:r>
              <w:rPr>
                <w:rFonts w:cstheme="minorHAnsi"/>
                <w:color w:val="000000"/>
                <w:shd w:val="clear" w:color="auto" w:fill="FFFFFF"/>
              </w:rPr>
              <w:t>3.06</w:t>
            </w:r>
          </w:p>
        </w:tc>
        <w:tc>
          <w:tcPr>
            <w:tcW w:w="0" w:type="auto"/>
          </w:tcPr>
          <w:p w14:paraId="47502336" w14:textId="08254885" w:rsidR="003B3673" w:rsidRPr="00800C89" w:rsidRDefault="003B3673" w:rsidP="003B3673">
            <w:pPr>
              <w:jc w:val="center"/>
              <w:rPr>
                <w:rFonts w:cs="Calibri"/>
                <w:lang w:eastAsia="en-GB"/>
              </w:rPr>
            </w:pPr>
            <w:r>
              <w:rPr>
                <w:rFonts w:cstheme="minorHAnsi"/>
                <w:color w:val="000000"/>
                <w:shd w:val="clear" w:color="auto" w:fill="FFFFFF"/>
              </w:rPr>
              <w:t>3.67</w:t>
            </w:r>
          </w:p>
        </w:tc>
      </w:tr>
      <w:tr w:rsidR="003B3673" w:rsidRPr="00800C89" w14:paraId="43F45FA7" w14:textId="77777777" w:rsidTr="004970C9">
        <w:tc>
          <w:tcPr>
            <w:tcW w:w="0" w:type="auto"/>
          </w:tcPr>
          <w:p w14:paraId="531158DD" w14:textId="77777777" w:rsidR="003B3673" w:rsidRPr="00800C89" w:rsidRDefault="003B3673" w:rsidP="003B3673">
            <w:pPr>
              <w:spacing w:after="0" w:line="240" w:lineRule="auto"/>
              <w:rPr>
                <w:rFonts w:cs="Courier New"/>
                <w:lang w:val="en-US" w:eastAsia="en-GB"/>
              </w:rPr>
            </w:pPr>
            <w:r w:rsidRPr="00800C89">
              <w:rPr>
                <w:rFonts w:cs="Calibri"/>
                <w:lang w:val="en-US" w:eastAsia="en-GB"/>
              </w:rPr>
              <w:t>70</w:t>
            </w:r>
          </w:p>
        </w:tc>
        <w:tc>
          <w:tcPr>
            <w:tcW w:w="0" w:type="auto"/>
          </w:tcPr>
          <w:p w14:paraId="5B8AF9DD"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14.24</w:t>
            </w:r>
          </w:p>
        </w:tc>
        <w:tc>
          <w:tcPr>
            <w:tcW w:w="0" w:type="auto"/>
          </w:tcPr>
          <w:p w14:paraId="7DA07C7B"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7.59</w:t>
            </w:r>
          </w:p>
        </w:tc>
        <w:tc>
          <w:tcPr>
            <w:tcW w:w="0" w:type="auto"/>
            <w:vAlign w:val="bottom"/>
          </w:tcPr>
          <w:p w14:paraId="10D47BCA" w14:textId="77777777" w:rsidR="003B3673" w:rsidRPr="00800C89" w:rsidRDefault="003B3673" w:rsidP="003B3673">
            <w:pPr>
              <w:jc w:val="center"/>
              <w:rPr>
                <w:rFonts w:cs="Calibri"/>
                <w:lang w:eastAsia="en-GB"/>
              </w:rPr>
            </w:pPr>
            <w:r w:rsidRPr="00800C89">
              <w:rPr>
                <w:rFonts w:cs="Calibri"/>
                <w:lang w:eastAsia="en-GB"/>
              </w:rPr>
              <w:t>17.09</w:t>
            </w:r>
          </w:p>
        </w:tc>
        <w:tc>
          <w:tcPr>
            <w:tcW w:w="0" w:type="auto"/>
          </w:tcPr>
          <w:p w14:paraId="429DA6A9" w14:textId="195BC646" w:rsidR="003B3673" w:rsidRPr="00800C89" w:rsidRDefault="003B3673" w:rsidP="003B3673">
            <w:pPr>
              <w:jc w:val="center"/>
              <w:rPr>
                <w:rFonts w:cs="Calibri"/>
                <w:lang w:eastAsia="en-GB"/>
              </w:rPr>
            </w:pPr>
            <w:r w:rsidRPr="00CA30D3">
              <w:t>2.06</w:t>
            </w:r>
          </w:p>
        </w:tc>
        <w:tc>
          <w:tcPr>
            <w:tcW w:w="0" w:type="auto"/>
          </w:tcPr>
          <w:p w14:paraId="350F76AA" w14:textId="70D2287E" w:rsidR="003B3673" w:rsidRPr="00800C89" w:rsidRDefault="003B3673" w:rsidP="003B3673">
            <w:pPr>
              <w:jc w:val="center"/>
              <w:rPr>
                <w:rFonts w:cs="Calibri"/>
                <w:lang w:eastAsia="en-GB"/>
              </w:rPr>
            </w:pPr>
            <w:r>
              <w:rPr>
                <w:rFonts w:cstheme="minorHAnsi"/>
                <w:color w:val="000000"/>
                <w:shd w:val="clear" w:color="auto" w:fill="FFFFFF"/>
              </w:rPr>
              <w:t>4.34</w:t>
            </w:r>
          </w:p>
        </w:tc>
        <w:tc>
          <w:tcPr>
            <w:tcW w:w="0" w:type="auto"/>
          </w:tcPr>
          <w:p w14:paraId="2D48265C" w14:textId="49686B66" w:rsidR="003B3673" w:rsidRPr="00800C89" w:rsidRDefault="003B3673" w:rsidP="003B3673">
            <w:pPr>
              <w:jc w:val="center"/>
              <w:rPr>
                <w:rFonts w:cs="Calibri"/>
                <w:lang w:eastAsia="en-GB"/>
              </w:rPr>
            </w:pPr>
            <w:r>
              <w:rPr>
                <w:rFonts w:cstheme="minorHAnsi"/>
                <w:color w:val="000000"/>
                <w:shd w:val="clear" w:color="auto" w:fill="FFFFFF"/>
              </w:rPr>
              <w:t>5.21</w:t>
            </w:r>
          </w:p>
        </w:tc>
      </w:tr>
      <w:tr w:rsidR="003B3673" w:rsidRPr="00800C89" w14:paraId="78A0FEF5" w14:textId="77777777" w:rsidTr="004970C9">
        <w:tc>
          <w:tcPr>
            <w:tcW w:w="0" w:type="auto"/>
          </w:tcPr>
          <w:p w14:paraId="11066768" w14:textId="77777777" w:rsidR="003B3673" w:rsidRPr="00800C89" w:rsidRDefault="003B3673" w:rsidP="003B3673">
            <w:pPr>
              <w:spacing w:after="0" w:line="240" w:lineRule="auto"/>
              <w:rPr>
                <w:rFonts w:cs="Courier New"/>
                <w:lang w:val="en-US" w:eastAsia="en-GB"/>
              </w:rPr>
            </w:pPr>
            <w:r w:rsidRPr="00800C89">
              <w:rPr>
                <w:rFonts w:cs="Calibri"/>
                <w:lang w:val="en-US" w:eastAsia="en-GB"/>
              </w:rPr>
              <w:t>75</w:t>
            </w:r>
          </w:p>
        </w:tc>
        <w:tc>
          <w:tcPr>
            <w:tcW w:w="0" w:type="auto"/>
          </w:tcPr>
          <w:p w14:paraId="3DB9BD2D"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15.94</w:t>
            </w:r>
          </w:p>
        </w:tc>
        <w:tc>
          <w:tcPr>
            <w:tcW w:w="0" w:type="auto"/>
          </w:tcPr>
          <w:p w14:paraId="199B2A43"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9.07</w:t>
            </w:r>
          </w:p>
        </w:tc>
        <w:tc>
          <w:tcPr>
            <w:tcW w:w="0" w:type="auto"/>
            <w:vAlign w:val="bottom"/>
          </w:tcPr>
          <w:p w14:paraId="70B107AE" w14:textId="77777777" w:rsidR="003B3673" w:rsidRPr="00800C89" w:rsidRDefault="003B3673" w:rsidP="003B3673">
            <w:pPr>
              <w:jc w:val="center"/>
              <w:rPr>
                <w:rFonts w:cs="Calibri"/>
                <w:lang w:eastAsia="en-GB"/>
              </w:rPr>
            </w:pPr>
            <w:r w:rsidRPr="00800C89">
              <w:rPr>
                <w:rFonts w:cs="Calibri"/>
                <w:lang w:eastAsia="en-GB"/>
              </w:rPr>
              <w:t>19.13</w:t>
            </w:r>
          </w:p>
        </w:tc>
        <w:tc>
          <w:tcPr>
            <w:tcW w:w="0" w:type="auto"/>
          </w:tcPr>
          <w:p w14:paraId="52809905" w14:textId="45ED0B2F" w:rsidR="003B3673" w:rsidRPr="00800C89" w:rsidRDefault="003B3673" w:rsidP="003B3673">
            <w:pPr>
              <w:jc w:val="center"/>
              <w:rPr>
                <w:rFonts w:cs="Calibri"/>
                <w:lang w:eastAsia="en-GB"/>
              </w:rPr>
            </w:pPr>
            <w:r w:rsidRPr="00CA30D3">
              <w:t>3.05</w:t>
            </w:r>
          </w:p>
        </w:tc>
        <w:tc>
          <w:tcPr>
            <w:tcW w:w="0" w:type="auto"/>
          </w:tcPr>
          <w:p w14:paraId="2A7B2391" w14:textId="31D2EFD4" w:rsidR="003B3673" w:rsidRPr="00800C89" w:rsidRDefault="003B3673" w:rsidP="003B3673">
            <w:pPr>
              <w:jc w:val="center"/>
              <w:rPr>
                <w:rFonts w:cs="Calibri"/>
                <w:lang w:eastAsia="en-GB"/>
              </w:rPr>
            </w:pPr>
            <w:r>
              <w:rPr>
                <w:rFonts w:cstheme="minorHAnsi"/>
                <w:color w:val="000000"/>
                <w:shd w:val="clear" w:color="auto" w:fill="FFFFFF"/>
              </w:rPr>
              <w:t>5.49</w:t>
            </w:r>
          </w:p>
        </w:tc>
        <w:tc>
          <w:tcPr>
            <w:tcW w:w="0" w:type="auto"/>
          </w:tcPr>
          <w:p w14:paraId="511047D8" w14:textId="0447651F" w:rsidR="003B3673" w:rsidRPr="00800C89" w:rsidRDefault="003B3673" w:rsidP="003B3673">
            <w:pPr>
              <w:jc w:val="center"/>
              <w:rPr>
                <w:rFonts w:cs="Calibri"/>
                <w:lang w:eastAsia="en-GB"/>
              </w:rPr>
            </w:pPr>
            <w:r>
              <w:rPr>
                <w:rFonts w:cstheme="minorHAnsi"/>
                <w:color w:val="000000"/>
                <w:shd w:val="clear" w:color="auto" w:fill="FFFFFF"/>
              </w:rPr>
              <w:t>6.59</w:t>
            </w:r>
          </w:p>
        </w:tc>
      </w:tr>
      <w:tr w:rsidR="003B3673" w:rsidRPr="00800C89" w14:paraId="65C51F92" w14:textId="77777777" w:rsidTr="004970C9">
        <w:tc>
          <w:tcPr>
            <w:tcW w:w="0" w:type="auto"/>
          </w:tcPr>
          <w:p w14:paraId="536206DF" w14:textId="77777777" w:rsidR="003B3673" w:rsidRPr="00800C89" w:rsidRDefault="003B3673" w:rsidP="003B3673">
            <w:pPr>
              <w:spacing w:after="0" w:line="240" w:lineRule="auto"/>
              <w:rPr>
                <w:rFonts w:cs="Courier New"/>
                <w:lang w:val="en-US" w:eastAsia="en-GB"/>
              </w:rPr>
            </w:pPr>
            <w:r w:rsidRPr="00800C89">
              <w:rPr>
                <w:rFonts w:cs="Calibri"/>
                <w:lang w:val="en-US" w:eastAsia="en-GB"/>
              </w:rPr>
              <w:t>80</w:t>
            </w:r>
          </w:p>
        </w:tc>
        <w:tc>
          <w:tcPr>
            <w:tcW w:w="0" w:type="auto"/>
          </w:tcPr>
          <w:p w14:paraId="72AE7B3D"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16.25</w:t>
            </w:r>
          </w:p>
        </w:tc>
        <w:tc>
          <w:tcPr>
            <w:tcW w:w="0" w:type="auto"/>
          </w:tcPr>
          <w:p w14:paraId="2ABAD862"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9.95</w:t>
            </w:r>
          </w:p>
        </w:tc>
        <w:tc>
          <w:tcPr>
            <w:tcW w:w="0" w:type="auto"/>
            <w:vAlign w:val="bottom"/>
          </w:tcPr>
          <w:p w14:paraId="5D0BFFF1" w14:textId="77777777" w:rsidR="003B3673" w:rsidRPr="00800C89" w:rsidRDefault="003B3673" w:rsidP="003B3673">
            <w:pPr>
              <w:jc w:val="center"/>
              <w:rPr>
                <w:rFonts w:cs="Calibri"/>
                <w:lang w:eastAsia="en-GB"/>
              </w:rPr>
            </w:pPr>
            <w:r w:rsidRPr="00800C89">
              <w:rPr>
                <w:rFonts w:cs="Calibri"/>
                <w:lang w:eastAsia="en-GB"/>
              </w:rPr>
              <w:t>19.50</w:t>
            </w:r>
          </w:p>
        </w:tc>
        <w:tc>
          <w:tcPr>
            <w:tcW w:w="0" w:type="auto"/>
          </w:tcPr>
          <w:p w14:paraId="3066A04F" w14:textId="41FF0637" w:rsidR="003B3673" w:rsidRPr="00800C89" w:rsidRDefault="003B3673" w:rsidP="003B3673">
            <w:pPr>
              <w:jc w:val="center"/>
              <w:rPr>
                <w:rFonts w:cs="Calibri"/>
                <w:lang w:eastAsia="en-GB"/>
              </w:rPr>
            </w:pPr>
            <w:r w:rsidRPr="00CA30D3">
              <w:t>4.16</w:t>
            </w:r>
          </w:p>
        </w:tc>
        <w:tc>
          <w:tcPr>
            <w:tcW w:w="0" w:type="auto"/>
          </w:tcPr>
          <w:p w14:paraId="6C20D5C8" w14:textId="6F9E4F68" w:rsidR="003B3673" w:rsidRPr="00800C89" w:rsidRDefault="003B3673" w:rsidP="003B3673">
            <w:pPr>
              <w:jc w:val="center"/>
              <w:rPr>
                <w:rFonts w:cs="Calibri"/>
                <w:lang w:eastAsia="en-GB"/>
              </w:rPr>
            </w:pPr>
            <w:r>
              <w:rPr>
                <w:rFonts w:cstheme="minorHAnsi"/>
                <w:color w:val="000000"/>
                <w:shd w:val="clear" w:color="auto" w:fill="FFFFFF"/>
              </w:rPr>
              <w:t>6.40</w:t>
            </w:r>
          </w:p>
        </w:tc>
        <w:tc>
          <w:tcPr>
            <w:tcW w:w="0" w:type="auto"/>
          </w:tcPr>
          <w:p w14:paraId="42B646C1" w14:textId="27594A69" w:rsidR="003B3673" w:rsidRPr="00800C89" w:rsidRDefault="003B3673" w:rsidP="003B3673">
            <w:pPr>
              <w:jc w:val="center"/>
              <w:rPr>
                <w:rFonts w:cs="Calibri"/>
                <w:lang w:eastAsia="en-GB"/>
              </w:rPr>
            </w:pPr>
            <w:r>
              <w:rPr>
                <w:rFonts w:cstheme="minorHAnsi"/>
                <w:color w:val="000000"/>
                <w:shd w:val="clear" w:color="auto" w:fill="FFFFFF"/>
              </w:rPr>
              <w:t>7.68</w:t>
            </w:r>
          </w:p>
        </w:tc>
      </w:tr>
      <w:tr w:rsidR="003B3673" w:rsidRPr="00800C89" w14:paraId="0C0627DF" w14:textId="77777777" w:rsidTr="00813735">
        <w:tc>
          <w:tcPr>
            <w:tcW w:w="0" w:type="auto"/>
          </w:tcPr>
          <w:p w14:paraId="56590C7D" w14:textId="77777777" w:rsidR="003B3673" w:rsidRPr="00800C89" w:rsidRDefault="003B3673" w:rsidP="003B3673">
            <w:pPr>
              <w:spacing w:after="0" w:line="240" w:lineRule="auto"/>
              <w:rPr>
                <w:rFonts w:cs="Courier New"/>
                <w:lang w:val="en-US" w:eastAsia="en-GB"/>
              </w:rPr>
            </w:pPr>
            <w:r w:rsidRPr="00800C89">
              <w:rPr>
                <w:rFonts w:cs="Calibri"/>
                <w:lang w:val="en-US" w:eastAsia="en-GB"/>
              </w:rPr>
              <w:t>85</w:t>
            </w:r>
          </w:p>
        </w:tc>
        <w:tc>
          <w:tcPr>
            <w:tcW w:w="0" w:type="auto"/>
          </w:tcPr>
          <w:p w14:paraId="3140F931"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16.94</w:t>
            </w:r>
          </w:p>
        </w:tc>
        <w:tc>
          <w:tcPr>
            <w:tcW w:w="0" w:type="auto"/>
          </w:tcPr>
          <w:p w14:paraId="24A4A837"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10.50</w:t>
            </w:r>
          </w:p>
        </w:tc>
        <w:tc>
          <w:tcPr>
            <w:tcW w:w="0" w:type="auto"/>
            <w:vAlign w:val="bottom"/>
          </w:tcPr>
          <w:p w14:paraId="5BD61088" w14:textId="77777777" w:rsidR="003B3673" w:rsidRPr="00800C89" w:rsidRDefault="003B3673" w:rsidP="003B3673">
            <w:pPr>
              <w:jc w:val="center"/>
              <w:rPr>
                <w:rFonts w:cs="Calibri"/>
                <w:lang w:eastAsia="en-GB"/>
              </w:rPr>
            </w:pPr>
            <w:r w:rsidRPr="00800C89">
              <w:rPr>
                <w:rFonts w:cs="Calibri"/>
                <w:lang w:eastAsia="en-GB"/>
              </w:rPr>
              <w:t>20.33</w:t>
            </w:r>
          </w:p>
        </w:tc>
        <w:tc>
          <w:tcPr>
            <w:tcW w:w="0" w:type="auto"/>
          </w:tcPr>
          <w:p w14:paraId="3E452758" w14:textId="27885AEA" w:rsidR="003B3673" w:rsidRPr="00800C89" w:rsidRDefault="003B3673" w:rsidP="003B3673">
            <w:pPr>
              <w:jc w:val="center"/>
              <w:rPr>
                <w:rFonts w:cs="Calibri"/>
                <w:lang w:eastAsia="en-GB"/>
              </w:rPr>
            </w:pPr>
            <w:r w:rsidRPr="00CA30D3">
              <w:t>4.64</w:t>
            </w:r>
          </w:p>
        </w:tc>
        <w:tc>
          <w:tcPr>
            <w:tcW w:w="0" w:type="auto"/>
          </w:tcPr>
          <w:p w14:paraId="7E03310F" w14:textId="35148266" w:rsidR="003B3673" w:rsidRPr="00800C89" w:rsidRDefault="003B3673" w:rsidP="003B3673">
            <w:pPr>
              <w:jc w:val="center"/>
              <w:rPr>
                <w:rFonts w:cs="Calibri"/>
                <w:lang w:eastAsia="en-GB"/>
              </w:rPr>
            </w:pPr>
            <w:r>
              <w:rPr>
                <w:rFonts w:cstheme="minorHAnsi"/>
                <w:color w:val="000000"/>
                <w:shd w:val="clear" w:color="auto" w:fill="FFFFFF"/>
              </w:rPr>
              <w:t>7.11</w:t>
            </w:r>
          </w:p>
        </w:tc>
        <w:tc>
          <w:tcPr>
            <w:tcW w:w="0" w:type="auto"/>
          </w:tcPr>
          <w:p w14:paraId="5B7E0156" w14:textId="6EDB5027" w:rsidR="003B3673" w:rsidRPr="00800C89" w:rsidRDefault="003B3673" w:rsidP="003B3673">
            <w:pPr>
              <w:jc w:val="center"/>
              <w:rPr>
                <w:rFonts w:cs="Calibri"/>
                <w:lang w:eastAsia="en-GB"/>
              </w:rPr>
            </w:pPr>
            <w:r>
              <w:rPr>
                <w:rFonts w:cstheme="minorHAnsi"/>
                <w:color w:val="000000"/>
                <w:shd w:val="clear" w:color="auto" w:fill="FFFFFF"/>
              </w:rPr>
              <w:t>8.53</w:t>
            </w:r>
          </w:p>
        </w:tc>
      </w:tr>
      <w:tr w:rsidR="003B3673" w:rsidRPr="00800C89" w14:paraId="1F81E237" w14:textId="77777777" w:rsidTr="00813735">
        <w:tc>
          <w:tcPr>
            <w:tcW w:w="0" w:type="auto"/>
            <w:tcBorders>
              <w:bottom w:val="single" w:sz="4" w:space="0" w:color="auto"/>
            </w:tcBorders>
          </w:tcPr>
          <w:p w14:paraId="63345181" w14:textId="77777777" w:rsidR="003B3673" w:rsidRPr="00800C89" w:rsidRDefault="003B3673" w:rsidP="003B3673">
            <w:pPr>
              <w:spacing w:after="0" w:line="240" w:lineRule="auto"/>
              <w:rPr>
                <w:rFonts w:cs="Calibri"/>
                <w:lang w:val="en-US" w:eastAsia="en-GB"/>
              </w:rPr>
            </w:pPr>
            <w:r w:rsidRPr="00800C89">
              <w:rPr>
                <w:rFonts w:cs="Calibri"/>
                <w:lang w:val="en-US" w:eastAsia="en-GB"/>
              </w:rPr>
              <w:t>90</w:t>
            </w:r>
          </w:p>
        </w:tc>
        <w:tc>
          <w:tcPr>
            <w:tcW w:w="0" w:type="auto"/>
            <w:tcBorders>
              <w:bottom w:val="single" w:sz="4" w:space="0" w:color="auto"/>
            </w:tcBorders>
          </w:tcPr>
          <w:p w14:paraId="6927A43E"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17.10</w:t>
            </w:r>
          </w:p>
        </w:tc>
        <w:tc>
          <w:tcPr>
            <w:tcW w:w="0" w:type="auto"/>
            <w:tcBorders>
              <w:bottom w:val="single" w:sz="4" w:space="0" w:color="auto"/>
            </w:tcBorders>
          </w:tcPr>
          <w:p w14:paraId="30D4CB52" w14:textId="77777777" w:rsidR="003B3673" w:rsidRPr="00800C89" w:rsidRDefault="003B3673" w:rsidP="003B3673">
            <w:pPr>
              <w:spacing w:after="0" w:line="240" w:lineRule="auto"/>
              <w:jc w:val="center"/>
              <w:rPr>
                <w:rFonts w:cs="Calibri"/>
                <w:lang w:val="en-US" w:eastAsia="en-GB"/>
              </w:rPr>
            </w:pPr>
            <w:r w:rsidRPr="00800C89">
              <w:rPr>
                <w:rFonts w:cs="Calibri"/>
                <w:lang w:val="en-US" w:eastAsia="en-GB"/>
              </w:rPr>
              <w:t>10.57</w:t>
            </w:r>
          </w:p>
        </w:tc>
        <w:tc>
          <w:tcPr>
            <w:tcW w:w="0" w:type="auto"/>
            <w:tcBorders>
              <w:bottom w:val="single" w:sz="4" w:space="0" w:color="auto"/>
            </w:tcBorders>
            <w:vAlign w:val="bottom"/>
          </w:tcPr>
          <w:p w14:paraId="6E88D8BC" w14:textId="77777777" w:rsidR="003B3673" w:rsidRPr="00800C89" w:rsidRDefault="003B3673" w:rsidP="003B3673">
            <w:pPr>
              <w:jc w:val="center"/>
              <w:rPr>
                <w:rFonts w:cs="Calibri"/>
                <w:lang w:eastAsia="en-GB"/>
              </w:rPr>
            </w:pPr>
            <w:r w:rsidRPr="00800C89">
              <w:rPr>
                <w:rFonts w:cs="Calibri"/>
                <w:lang w:eastAsia="en-GB"/>
              </w:rPr>
              <w:t>20.52</w:t>
            </w:r>
          </w:p>
        </w:tc>
        <w:tc>
          <w:tcPr>
            <w:tcW w:w="0" w:type="auto"/>
            <w:tcBorders>
              <w:bottom w:val="single" w:sz="4" w:space="0" w:color="auto"/>
            </w:tcBorders>
          </w:tcPr>
          <w:p w14:paraId="12EF9D3C" w14:textId="6E9EE4D9" w:rsidR="003B3673" w:rsidRPr="00800C89" w:rsidRDefault="003B3673" w:rsidP="003B3673">
            <w:pPr>
              <w:jc w:val="center"/>
              <w:rPr>
                <w:rFonts w:cs="Calibri"/>
                <w:lang w:eastAsia="en-GB"/>
              </w:rPr>
            </w:pPr>
            <w:r w:rsidRPr="00CA30D3">
              <w:t>4.00</w:t>
            </w:r>
          </w:p>
        </w:tc>
        <w:tc>
          <w:tcPr>
            <w:tcW w:w="0" w:type="auto"/>
            <w:tcBorders>
              <w:bottom w:val="single" w:sz="4" w:space="0" w:color="auto"/>
            </w:tcBorders>
          </w:tcPr>
          <w:p w14:paraId="0D6FC0DF" w14:textId="60BE3C43" w:rsidR="003B3673" w:rsidRPr="00800C89" w:rsidRDefault="003B3673" w:rsidP="003B3673">
            <w:pPr>
              <w:jc w:val="center"/>
              <w:rPr>
                <w:rFonts w:cs="Calibri"/>
                <w:lang w:eastAsia="en-GB"/>
              </w:rPr>
            </w:pPr>
            <w:r>
              <w:rPr>
                <w:rFonts w:cstheme="minorHAnsi"/>
                <w:color w:val="000000"/>
                <w:shd w:val="clear" w:color="auto" w:fill="FFFFFF"/>
              </w:rPr>
              <w:t>6.14</w:t>
            </w:r>
          </w:p>
        </w:tc>
        <w:tc>
          <w:tcPr>
            <w:tcW w:w="0" w:type="auto"/>
            <w:tcBorders>
              <w:bottom w:val="single" w:sz="4" w:space="0" w:color="auto"/>
            </w:tcBorders>
          </w:tcPr>
          <w:p w14:paraId="1346D5B9" w14:textId="7D1AB1AD" w:rsidR="003B3673" w:rsidRPr="00800C89" w:rsidRDefault="003B3673" w:rsidP="003B3673">
            <w:pPr>
              <w:jc w:val="center"/>
              <w:rPr>
                <w:rFonts w:cs="Calibri"/>
                <w:lang w:eastAsia="en-GB"/>
              </w:rPr>
            </w:pPr>
            <w:r>
              <w:rPr>
                <w:rFonts w:cstheme="minorHAnsi"/>
                <w:color w:val="000000"/>
                <w:shd w:val="clear" w:color="auto" w:fill="FFFFFF"/>
              </w:rPr>
              <w:t>7.37</w:t>
            </w:r>
          </w:p>
        </w:tc>
      </w:tr>
      <w:tr w:rsidR="00800C89" w:rsidRPr="00800C89" w14:paraId="14F98062" w14:textId="77777777" w:rsidTr="00813735">
        <w:tc>
          <w:tcPr>
            <w:tcW w:w="0" w:type="auto"/>
            <w:gridSpan w:val="7"/>
            <w:tcBorders>
              <w:top w:val="single" w:sz="4" w:space="0" w:color="auto"/>
            </w:tcBorders>
          </w:tcPr>
          <w:p w14:paraId="54D020CF" w14:textId="77777777" w:rsidR="00800C89" w:rsidRPr="00800C89" w:rsidRDefault="00800C89" w:rsidP="00800C89">
            <w:pPr>
              <w:autoSpaceDE w:val="0"/>
              <w:autoSpaceDN w:val="0"/>
              <w:adjustRightInd w:val="0"/>
              <w:spacing w:after="0" w:line="240" w:lineRule="auto"/>
              <w:ind w:left="321"/>
              <w:rPr>
                <w:rFonts w:cs="Calibri"/>
                <w:lang w:val="en-GB" w:eastAsia="en-GB"/>
              </w:rPr>
            </w:pPr>
            <w:r w:rsidRPr="00800C89">
              <w:rPr>
                <w:rFonts w:cs="Calibri"/>
                <w:vertAlign w:val="superscript"/>
                <w:lang w:val="en-GB" w:eastAsia="en-GB"/>
              </w:rPr>
              <w:t>a</w:t>
            </w:r>
            <w:r w:rsidRPr="00800C89">
              <w:rPr>
                <w:rFonts w:cs="Calibri"/>
                <w:lang w:val="en-GB" w:eastAsia="en-GB"/>
              </w:rPr>
              <w:t xml:space="preserve"> The threshold is the probability for a woman with a previous fracture and no other clinical risk factors without BMD. </w:t>
            </w:r>
          </w:p>
          <w:p w14:paraId="4F879451" w14:textId="77777777" w:rsidR="00800C89" w:rsidRPr="00800C89" w:rsidRDefault="00800C89" w:rsidP="00800C89">
            <w:pPr>
              <w:autoSpaceDE w:val="0"/>
              <w:autoSpaceDN w:val="0"/>
              <w:adjustRightInd w:val="0"/>
              <w:spacing w:after="0" w:line="240" w:lineRule="auto"/>
              <w:ind w:left="321"/>
              <w:rPr>
                <w:rFonts w:cs="Calibri"/>
                <w:lang w:val="en-GB" w:eastAsia="en-GB"/>
              </w:rPr>
            </w:pPr>
            <w:r w:rsidRPr="00800C89">
              <w:rPr>
                <w:rFonts w:cs="Calibri"/>
                <w:vertAlign w:val="superscript"/>
                <w:lang w:val="en-GB" w:eastAsia="en-GB"/>
              </w:rPr>
              <w:t>b</w:t>
            </w:r>
            <w:r w:rsidRPr="00800C89">
              <w:rPr>
                <w:rFonts w:cs="Calibri"/>
                <w:lang w:val="en-GB" w:eastAsia="en-GB"/>
              </w:rPr>
              <w:t xml:space="preserve"> The lower assessment is the probability for a woman with no clinical risk factors without BMD</w:t>
            </w:r>
          </w:p>
          <w:p w14:paraId="1F51CF94" w14:textId="77777777" w:rsidR="00800C89" w:rsidRPr="00800C89" w:rsidRDefault="00800C89" w:rsidP="00800C89">
            <w:pPr>
              <w:autoSpaceDE w:val="0"/>
              <w:autoSpaceDN w:val="0"/>
              <w:adjustRightInd w:val="0"/>
              <w:spacing w:after="0"/>
              <w:ind w:left="321"/>
              <w:rPr>
                <w:rFonts w:cs="Calibri"/>
                <w:lang w:val="en-GB" w:eastAsia="en-GB"/>
              </w:rPr>
            </w:pPr>
            <w:r w:rsidRPr="00800C89">
              <w:rPr>
                <w:rFonts w:cs="Calibri"/>
                <w:vertAlign w:val="superscript"/>
                <w:lang w:val="en-GB" w:eastAsia="en-GB"/>
              </w:rPr>
              <w:t>c</w:t>
            </w:r>
            <w:r w:rsidRPr="00800C89">
              <w:rPr>
                <w:rFonts w:cs="Calibri"/>
                <w:lang w:val="en-GB" w:eastAsia="en-GB"/>
              </w:rPr>
              <w:t xml:space="preserve"> The upper assessment was set at 1.2 times the intervention threshold.</w:t>
            </w:r>
          </w:p>
          <w:p w14:paraId="209526AD" w14:textId="77777777" w:rsidR="00800C89" w:rsidRPr="00800C89" w:rsidRDefault="00800C89" w:rsidP="00800C89">
            <w:pPr>
              <w:jc w:val="center"/>
              <w:rPr>
                <w:rFonts w:cs="Calibri"/>
                <w:lang w:eastAsia="en-GB"/>
              </w:rPr>
            </w:pPr>
          </w:p>
        </w:tc>
      </w:tr>
    </w:tbl>
    <w:p w14:paraId="5449BE80" w14:textId="2C1E1383" w:rsidR="00C72DAC" w:rsidRDefault="00C72DAC" w:rsidP="00827EF0">
      <w:pPr>
        <w:autoSpaceDE w:val="0"/>
        <w:autoSpaceDN w:val="0"/>
        <w:adjustRightInd w:val="0"/>
        <w:spacing w:after="0"/>
        <w:ind w:left="1134"/>
        <w:rPr>
          <w:rFonts w:asciiTheme="minorHAnsi" w:hAnsiTheme="minorHAnsi" w:cstheme="minorHAnsi"/>
          <w:sz w:val="20"/>
          <w:szCs w:val="20"/>
          <w:lang w:val="en-GB" w:eastAsia="en-GB"/>
        </w:rPr>
      </w:pPr>
    </w:p>
    <w:p w14:paraId="18DF485B" w14:textId="66605FAF" w:rsidR="00C72DAC" w:rsidRPr="007C1568" w:rsidRDefault="00C72DAC" w:rsidP="00827EF0">
      <w:pPr>
        <w:autoSpaceDE w:val="0"/>
        <w:autoSpaceDN w:val="0"/>
        <w:adjustRightInd w:val="0"/>
        <w:spacing w:after="0"/>
        <w:ind w:left="1134"/>
        <w:rPr>
          <w:rFonts w:asciiTheme="minorHAnsi" w:hAnsiTheme="minorHAnsi" w:cstheme="minorHAnsi"/>
          <w:sz w:val="20"/>
          <w:szCs w:val="20"/>
          <w:lang w:val="en-GB" w:eastAsia="en-GB"/>
        </w:rPr>
      </w:pPr>
    </w:p>
    <w:p w14:paraId="4AF1C916" w14:textId="1B004CBB" w:rsidR="00F3738D" w:rsidRPr="003C331C" w:rsidRDefault="004B4C29" w:rsidP="004B4C29">
      <w:pPr>
        <w:autoSpaceDE w:val="0"/>
        <w:autoSpaceDN w:val="0"/>
        <w:adjustRightInd w:val="0"/>
        <w:spacing w:after="0" w:line="240" w:lineRule="auto"/>
        <w:jc w:val="center"/>
        <w:rPr>
          <w:rFonts w:asciiTheme="minorHAnsi" w:hAnsiTheme="minorHAnsi" w:cstheme="minorHAnsi"/>
          <w:color w:val="FF0000"/>
          <w:sz w:val="24"/>
          <w:szCs w:val="24"/>
          <w:lang w:val="en-GB" w:eastAsia="en-GB"/>
        </w:rPr>
      </w:pPr>
      <w:r>
        <w:rPr>
          <w:noProof/>
          <w:lang w:val="en-GB" w:eastAsia="en-GB"/>
        </w:rPr>
        <w:drawing>
          <wp:inline distT="0" distB="0" distL="0" distR="0" wp14:anchorId="758C690A" wp14:editId="71091DDF">
            <wp:extent cx="3057525" cy="2880112"/>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rcRect l="37106" t="12702" r="10762"/>
                    <a:stretch/>
                  </pic:blipFill>
                  <pic:spPr bwMode="auto">
                    <a:xfrm>
                      <a:off x="0" y="0"/>
                      <a:ext cx="3057788" cy="2880360"/>
                    </a:xfrm>
                    <a:prstGeom prst="rect">
                      <a:avLst/>
                    </a:prstGeom>
                    <a:ln>
                      <a:noFill/>
                    </a:ln>
                    <a:extLst>
                      <a:ext uri="{53640926-AAD7-44D8-BBD7-CCE9431645EC}">
                        <a14:shadowObscured xmlns:a14="http://schemas.microsoft.com/office/drawing/2010/main"/>
                      </a:ext>
                    </a:extLst>
                  </pic:spPr>
                </pic:pic>
              </a:graphicData>
            </a:graphic>
          </wp:inline>
        </w:drawing>
      </w:r>
    </w:p>
    <w:p w14:paraId="729BC78E" w14:textId="74215FDD" w:rsidR="00BF219B" w:rsidRDefault="00BF219B" w:rsidP="00221DAD">
      <w:pPr>
        <w:autoSpaceDE w:val="0"/>
        <w:autoSpaceDN w:val="0"/>
        <w:adjustRightInd w:val="0"/>
        <w:spacing w:after="0" w:line="240" w:lineRule="auto"/>
        <w:ind w:left="1985" w:right="1724"/>
        <w:rPr>
          <w:rFonts w:asciiTheme="minorHAnsi" w:hAnsiTheme="minorHAnsi" w:cstheme="minorHAnsi"/>
          <w:b/>
          <w:sz w:val="20"/>
          <w:szCs w:val="20"/>
          <w:lang w:val="en-GB" w:eastAsia="en-GB"/>
        </w:rPr>
      </w:pPr>
    </w:p>
    <w:p w14:paraId="5DF0EDE0" w14:textId="609CDFCE" w:rsidR="007F170E" w:rsidRDefault="007F170E" w:rsidP="0052281B">
      <w:pPr>
        <w:autoSpaceDE w:val="0"/>
        <w:autoSpaceDN w:val="0"/>
        <w:adjustRightInd w:val="0"/>
        <w:spacing w:after="0" w:line="240" w:lineRule="auto"/>
        <w:ind w:left="1985" w:right="1724"/>
        <w:jc w:val="center"/>
        <w:rPr>
          <w:rFonts w:asciiTheme="minorHAnsi" w:hAnsiTheme="minorHAnsi" w:cstheme="minorHAnsi"/>
          <w:b/>
          <w:sz w:val="20"/>
          <w:szCs w:val="20"/>
          <w:lang w:val="en-GB" w:eastAsia="en-GB"/>
        </w:rPr>
      </w:pPr>
    </w:p>
    <w:p w14:paraId="332B8B96" w14:textId="63113D9B" w:rsidR="00D62541" w:rsidRPr="00A01DC5" w:rsidRDefault="00D62541" w:rsidP="00221DAD">
      <w:pPr>
        <w:autoSpaceDE w:val="0"/>
        <w:autoSpaceDN w:val="0"/>
        <w:adjustRightInd w:val="0"/>
        <w:spacing w:after="0" w:line="240" w:lineRule="auto"/>
        <w:ind w:left="1985" w:right="1724"/>
        <w:rPr>
          <w:rFonts w:asciiTheme="minorHAnsi" w:hAnsiTheme="minorHAnsi" w:cstheme="minorHAnsi"/>
          <w:sz w:val="20"/>
          <w:szCs w:val="20"/>
          <w:lang w:val="en-GB" w:eastAsia="en-GB"/>
        </w:rPr>
      </w:pPr>
      <w:r w:rsidRPr="00A01DC5">
        <w:rPr>
          <w:rFonts w:asciiTheme="minorHAnsi" w:hAnsiTheme="minorHAnsi" w:cstheme="minorHAnsi"/>
          <w:b/>
          <w:sz w:val="20"/>
          <w:szCs w:val="20"/>
          <w:lang w:val="en-GB" w:eastAsia="en-GB"/>
        </w:rPr>
        <w:t>Fig</w:t>
      </w:r>
      <w:r w:rsidR="0062677D">
        <w:rPr>
          <w:rFonts w:asciiTheme="minorHAnsi" w:hAnsiTheme="minorHAnsi" w:cstheme="minorHAnsi"/>
          <w:b/>
          <w:sz w:val="20"/>
          <w:szCs w:val="20"/>
          <w:lang w:val="en-GB" w:eastAsia="en-GB"/>
        </w:rPr>
        <w:t>.</w:t>
      </w:r>
      <w:r w:rsidRPr="00A01DC5">
        <w:rPr>
          <w:rFonts w:asciiTheme="minorHAnsi" w:hAnsiTheme="minorHAnsi" w:cstheme="minorHAnsi"/>
          <w:b/>
          <w:sz w:val="20"/>
          <w:szCs w:val="20"/>
          <w:lang w:val="en-GB" w:eastAsia="en-GB"/>
        </w:rPr>
        <w:t xml:space="preserve"> </w:t>
      </w:r>
      <w:r w:rsidR="0062677D">
        <w:rPr>
          <w:rFonts w:asciiTheme="minorHAnsi" w:hAnsiTheme="minorHAnsi" w:cstheme="minorHAnsi"/>
          <w:b/>
          <w:sz w:val="20"/>
          <w:szCs w:val="20"/>
          <w:lang w:val="en-GB" w:eastAsia="en-GB"/>
        </w:rPr>
        <w:t xml:space="preserve">2 </w:t>
      </w:r>
      <w:r w:rsidRPr="00A01DC5">
        <w:rPr>
          <w:rFonts w:asciiTheme="minorHAnsi" w:hAnsiTheme="minorHAnsi" w:cstheme="minorHAnsi"/>
          <w:sz w:val="20"/>
          <w:szCs w:val="20"/>
          <w:lang w:val="en-GB" w:eastAsia="en-GB"/>
        </w:rPr>
        <w:t xml:space="preserve"> </w:t>
      </w:r>
      <w:r w:rsidR="00D0508E" w:rsidRPr="00A01DC5">
        <w:rPr>
          <w:rFonts w:asciiTheme="minorHAnsi" w:hAnsiTheme="minorHAnsi" w:cstheme="minorHAnsi"/>
          <w:sz w:val="20"/>
          <w:szCs w:val="20"/>
          <w:lang w:val="en-GB" w:eastAsia="en-GB"/>
        </w:rPr>
        <w:t>10-year probability (%) of a major osteoporotic fracture corresponding to the l</w:t>
      </w:r>
      <w:r w:rsidRPr="00A01DC5">
        <w:rPr>
          <w:rFonts w:asciiTheme="minorHAnsi" w:hAnsiTheme="minorHAnsi" w:cstheme="minorHAnsi"/>
          <w:sz w:val="20"/>
          <w:szCs w:val="20"/>
          <w:lang w:val="en-GB" w:eastAsia="en-GB"/>
        </w:rPr>
        <w:t xml:space="preserve">ower assessment threshold </w:t>
      </w:r>
      <w:r w:rsidR="00D0508E" w:rsidRPr="00A01DC5">
        <w:rPr>
          <w:rFonts w:asciiTheme="minorHAnsi" w:hAnsiTheme="minorHAnsi" w:cstheme="minorHAnsi"/>
          <w:sz w:val="20"/>
          <w:szCs w:val="20"/>
          <w:lang w:val="en-GB" w:eastAsia="en-GB"/>
        </w:rPr>
        <w:t xml:space="preserve">(LAT) </w:t>
      </w:r>
      <w:r w:rsidRPr="00A01DC5">
        <w:rPr>
          <w:rFonts w:asciiTheme="minorHAnsi" w:hAnsiTheme="minorHAnsi" w:cstheme="minorHAnsi"/>
          <w:sz w:val="20"/>
          <w:szCs w:val="20"/>
          <w:lang w:val="en-GB" w:eastAsia="en-GB"/>
        </w:rPr>
        <w:t xml:space="preserve">and upper </w:t>
      </w:r>
      <w:bookmarkStart w:id="5" w:name="_Hlk12098985"/>
      <w:r w:rsidRPr="00A01DC5">
        <w:rPr>
          <w:rFonts w:asciiTheme="minorHAnsi" w:hAnsiTheme="minorHAnsi" w:cstheme="minorHAnsi"/>
          <w:sz w:val="20"/>
          <w:szCs w:val="20"/>
          <w:lang w:val="en-GB" w:eastAsia="en-GB"/>
        </w:rPr>
        <w:t xml:space="preserve">assessment threshold </w:t>
      </w:r>
      <w:bookmarkEnd w:id="5"/>
      <w:r w:rsidR="00D0508E" w:rsidRPr="00A01DC5">
        <w:rPr>
          <w:rFonts w:asciiTheme="minorHAnsi" w:hAnsiTheme="minorHAnsi" w:cstheme="minorHAnsi"/>
          <w:sz w:val="20"/>
          <w:szCs w:val="20"/>
          <w:lang w:val="en-GB" w:eastAsia="en-GB"/>
        </w:rPr>
        <w:t xml:space="preserve">(UAT) </w:t>
      </w:r>
      <w:r w:rsidRPr="00A01DC5">
        <w:rPr>
          <w:rFonts w:asciiTheme="minorHAnsi" w:hAnsiTheme="minorHAnsi" w:cstheme="minorHAnsi"/>
          <w:sz w:val="20"/>
          <w:szCs w:val="20"/>
          <w:lang w:val="en-GB" w:eastAsia="en-GB"/>
        </w:rPr>
        <w:t xml:space="preserve">for </w:t>
      </w:r>
      <w:r w:rsidR="003C331C" w:rsidRPr="00A01DC5">
        <w:rPr>
          <w:rFonts w:asciiTheme="minorHAnsi" w:hAnsiTheme="minorHAnsi" w:cstheme="minorHAnsi"/>
          <w:sz w:val="20"/>
          <w:szCs w:val="20"/>
          <w:lang w:val="en-GB" w:eastAsia="en-GB"/>
        </w:rPr>
        <w:t>Pakistan</w:t>
      </w:r>
      <w:r w:rsidRPr="00A01DC5">
        <w:rPr>
          <w:rFonts w:asciiTheme="minorHAnsi" w:hAnsiTheme="minorHAnsi" w:cstheme="minorHAnsi"/>
          <w:sz w:val="20"/>
          <w:szCs w:val="20"/>
          <w:lang w:val="en-GB" w:eastAsia="en-GB"/>
        </w:rPr>
        <w:t xml:space="preserve">. The red area is where the treatment </w:t>
      </w:r>
      <w:r w:rsidR="007B4BC9" w:rsidRPr="00A01DC5">
        <w:rPr>
          <w:rFonts w:asciiTheme="minorHAnsi" w:hAnsiTheme="minorHAnsi" w:cstheme="minorHAnsi"/>
          <w:sz w:val="20"/>
          <w:szCs w:val="20"/>
          <w:lang w:val="en-GB" w:eastAsia="en-GB"/>
        </w:rPr>
        <w:t>would normally</w:t>
      </w:r>
      <w:r w:rsidRPr="00A01DC5">
        <w:rPr>
          <w:rFonts w:asciiTheme="minorHAnsi" w:hAnsiTheme="minorHAnsi" w:cstheme="minorHAnsi"/>
          <w:sz w:val="20"/>
          <w:szCs w:val="20"/>
          <w:lang w:val="en-GB" w:eastAsia="en-GB"/>
        </w:rPr>
        <w:t xml:space="preserve"> be recommended, the </w:t>
      </w:r>
      <w:r w:rsidR="00140A3E">
        <w:rPr>
          <w:rFonts w:asciiTheme="minorHAnsi" w:hAnsiTheme="minorHAnsi" w:cstheme="minorHAnsi"/>
          <w:sz w:val="20"/>
          <w:szCs w:val="20"/>
          <w:lang w:val="en-GB" w:eastAsia="en-GB"/>
        </w:rPr>
        <w:t>amber</w:t>
      </w:r>
      <w:r w:rsidR="00140A3E" w:rsidRPr="00A01DC5">
        <w:rPr>
          <w:rFonts w:asciiTheme="minorHAnsi" w:hAnsiTheme="minorHAnsi" w:cstheme="minorHAnsi"/>
          <w:sz w:val="20"/>
          <w:szCs w:val="20"/>
          <w:lang w:val="en-GB" w:eastAsia="en-GB"/>
        </w:rPr>
        <w:t xml:space="preserve"> </w:t>
      </w:r>
      <w:r w:rsidRPr="00A01DC5">
        <w:rPr>
          <w:rFonts w:asciiTheme="minorHAnsi" w:hAnsiTheme="minorHAnsi" w:cstheme="minorHAnsi"/>
          <w:sz w:val="20"/>
          <w:szCs w:val="20"/>
          <w:lang w:val="en-GB" w:eastAsia="en-GB"/>
        </w:rPr>
        <w:t xml:space="preserve">area shows the limits of fracture probabilities for the assessment of BMD, and the green area is where treatment would not </w:t>
      </w:r>
      <w:r w:rsidR="00905A14" w:rsidRPr="00A01DC5">
        <w:rPr>
          <w:rFonts w:asciiTheme="minorHAnsi" w:hAnsiTheme="minorHAnsi" w:cstheme="minorHAnsi"/>
          <w:sz w:val="20"/>
          <w:szCs w:val="20"/>
          <w:lang w:val="en-GB" w:eastAsia="en-GB"/>
        </w:rPr>
        <w:t xml:space="preserve">normally </w:t>
      </w:r>
      <w:r w:rsidRPr="00A01DC5">
        <w:rPr>
          <w:rFonts w:asciiTheme="minorHAnsi" w:hAnsiTheme="minorHAnsi" w:cstheme="minorHAnsi"/>
          <w:sz w:val="20"/>
          <w:szCs w:val="20"/>
          <w:lang w:val="en-GB" w:eastAsia="en-GB"/>
        </w:rPr>
        <w:t xml:space="preserve">be recommended. The line </w:t>
      </w:r>
      <w:r w:rsidR="00BF219B">
        <w:rPr>
          <w:rFonts w:asciiTheme="minorHAnsi" w:hAnsiTheme="minorHAnsi" w:cstheme="minorHAnsi"/>
          <w:sz w:val="20"/>
          <w:szCs w:val="20"/>
          <w:lang w:val="en-GB" w:eastAsia="en-GB"/>
        </w:rPr>
        <w:t xml:space="preserve">within the amber area </w:t>
      </w:r>
      <w:r w:rsidRPr="00A01DC5">
        <w:rPr>
          <w:rFonts w:asciiTheme="minorHAnsi" w:hAnsiTheme="minorHAnsi" w:cstheme="minorHAnsi"/>
          <w:sz w:val="20"/>
          <w:szCs w:val="20"/>
          <w:lang w:val="en-GB" w:eastAsia="en-GB"/>
        </w:rPr>
        <w:t>represents the intervention threshold</w:t>
      </w:r>
      <w:r w:rsidR="007B4BC9" w:rsidRPr="00A01DC5">
        <w:rPr>
          <w:rFonts w:asciiTheme="minorHAnsi" w:hAnsiTheme="minorHAnsi" w:cstheme="minorHAnsi"/>
          <w:sz w:val="20"/>
          <w:szCs w:val="20"/>
          <w:lang w:val="en-GB" w:eastAsia="en-GB"/>
        </w:rPr>
        <w:t xml:space="preserve"> (IT).</w:t>
      </w:r>
      <w:r w:rsidR="00B76008" w:rsidRPr="00A01DC5">
        <w:rPr>
          <w:rFonts w:asciiTheme="minorHAnsi" w:hAnsiTheme="minorHAnsi" w:cstheme="minorHAnsi"/>
          <w:sz w:val="20"/>
          <w:szCs w:val="20"/>
          <w:lang w:val="en-GB" w:eastAsia="en-GB"/>
        </w:rPr>
        <w:br/>
      </w:r>
    </w:p>
    <w:p w14:paraId="1022E5DF" w14:textId="209F8D78" w:rsidR="00611541" w:rsidRDefault="00611541" w:rsidP="00CD3600">
      <w:pPr>
        <w:autoSpaceDE w:val="0"/>
        <w:autoSpaceDN w:val="0"/>
        <w:adjustRightInd w:val="0"/>
        <w:spacing w:after="120" w:line="240" w:lineRule="auto"/>
        <w:jc w:val="both"/>
        <w:rPr>
          <w:rFonts w:asciiTheme="minorHAnsi" w:hAnsiTheme="minorHAnsi"/>
          <w:color w:val="FF0000"/>
          <w:sz w:val="24"/>
          <w:szCs w:val="24"/>
          <w:lang w:val="en-GB"/>
        </w:rPr>
      </w:pPr>
    </w:p>
    <w:p w14:paraId="33BE8C58" w14:textId="618AD348" w:rsidR="005541F6" w:rsidRPr="00651E6B" w:rsidRDefault="00302089" w:rsidP="00327F40">
      <w:pPr>
        <w:pStyle w:val="BodyText"/>
        <w:tabs>
          <w:tab w:val="left" w:pos="3060"/>
        </w:tabs>
        <w:spacing w:line="276" w:lineRule="auto"/>
        <w:ind w:left="567"/>
        <w:rPr>
          <w:rFonts w:ascii="Calibri" w:eastAsia="Calibri" w:hAnsi="Calibri"/>
          <w:bCs/>
          <w:lang w:val="en-US" w:eastAsia="en-US"/>
        </w:rPr>
      </w:pPr>
      <w:r w:rsidRPr="00651E6B">
        <w:rPr>
          <w:rFonts w:ascii="Calibri" w:eastAsia="Calibri" w:hAnsi="Calibri"/>
          <w:bCs/>
          <w:lang w:val="en-US" w:eastAsia="en-US"/>
        </w:rPr>
        <w:t xml:space="preserve">For </w:t>
      </w:r>
      <w:r w:rsidR="00B70929" w:rsidRPr="00B70929">
        <w:rPr>
          <w:rFonts w:ascii="Calibri" w:eastAsia="Calibri" w:hAnsi="Calibri"/>
          <w:bCs/>
          <w:lang w:val="en-US" w:eastAsia="en-US"/>
        </w:rPr>
        <w:t xml:space="preserve">completeness, </w:t>
      </w:r>
      <w:r w:rsidR="00B70929">
        <w:rPr>
          <w:rFonts w:ascii="Calibri" w:eastAsia="Calibri" w:hAnsi="Calibri"/>
          <w:bCs/>
          <w:lang w:val="en-US" w:eastAsia="en-US"/>
        </w:rPr>
        <w:t>Table</w:t>
      </w:r>
      <w:r>
        <w:rPr>
          <w:rFonts w:ascii="Calibri" w:eastAsia="Calibri" w:hAnsi="Calibri"/>
          <w:bCs/>
          <w:lang w:val="en-US" w:eastAsia="en-US"/>
        </w:rPr>
        <w:t xml:space="preserve"> 1 also pro</w:t>
      </w:r>
      <w:r w:rsidR="00F85964">
        <w:rPr>
          <w:rFonts w:ascii="Calibri" w:eastAsia="Calibri" w:hAnsi="Calibri"/>
          <w:bCs/>
          <w:lang w:val="en-US" w:eastAsia="en-US"/>
        </w:rPr>
        <w:t>vid</w:t>
      </w:r>
      <w:r w:rsidR="00126BD1">
        <w:rPr>
          <w:rFonts w:ascii="Calibri" w:eastAsia="Calibri" w:hAnsi="Calibri"/>
          <w:bCs/>
          <w:lang w:val="en-US" w:eastAsia="en-US"/>
        </w:rPr>
        <w:t xml:space="preserve">es assessment and intervention thresholds </w:t>
      </w:r>
      <w:r w:rsidR="00F85964">
        <w:rPr>
          <w:rFonts w:ascii="Calibri" w:eastAsia="Calibri" w:hAnsi="Calibri"/>
          <w:bCs/>
          <w:lang w:val="en-US" w:eastAsia="en-US"/>
        </w:rPr>
        <w:t>based on hip fracture probability.</w:t>
      </w:r>
      <w:r w:rsidR="007B17C3">
        <w:rPr>
          <w:rFonts w:ascii="Calibri" w:eastAsia="Calibri" w:hAnsi="Calibri"/>
          <w:bCs/>
          <w:lang w:val="en-US" w:eastAsia="en-US"/>
        </w:rPr>
        <w:t xml:space="preserve"> </w:t>
      </w:r>
      <w:r w:rsidR="000F5D1C">
        <w:rPr>
          <w:rFonts w:ascii="Calibri" w:eastAsia="Calibri" w:hAnsi="Calibri"/>
          <w:bCs/>
          <w:lang w:val="en-US" w:eastAsia="en-US"/>
        </w:rPr>
        <w:t xml:space="preserve"> </w:t>
      </w:r>
    </w:p>
    <w:p w14:paraId="23CEFEA1" w14:textId="77777777" w:rsidR="00FC67E5" w:rsidRDefault="00FC67E5" w:rsidP="00327F40">
      <w:pPr>
        <w:pStyle w:val="BodyText"/>
        <w:tabs>
          <w:tab w:val="left" w:pos="3060"/>
        </w:tabs>
        <w:spacing w:line="276" w:lineRule="auto"/>
        <w:ind w:left="567"/>
        <w:rPr>
          <w:rFonts w:ascii="Calibri" w:eastAsia="Calibri" w:hAnsi="Calibri"/>
          <w:b/>
          <w:lang w:val="en-US" w:eastAsia="en-US"/>
        </w:rPr>
      </w:pPr>
    </w:p>
    <w:p w14:paraId="65C3EC71" w14:textId="0D34207C" w:rsidR="0078467D" w:rsidRPr="00C739B7" w:rsidRDefault="0078467D" w:rsidP="00327F40">
      <w:pPr>
        <w:pStyle w:val="BodyText"/>
        <w:tabs>
          <w:tab w:val="left" w:pos="3060"/>
        </w:tabs>
        <w:spacing w:line="276" w:lineRule="auto"/>
        <w:ind w:left="567"/>
        <w:rPr>
          <w:rFonts w:ascii="Calibri" w:eastAsia="Calibri" w:hAnsi="Calibri"/>
          <w:b/>
          <w:lang w:val="en-US" w:eastAsia="en-US"/>
        </w:rPr>
      </w:pPr>
      <w:r w:rsidRPr="00C739B7">
        <w:rPr>
          <w:rFonts w:ascii="Calibri" w:eastAsia="Calibri" w:hAnsi="Calibri"/>
          <w:b/>
          <w:lang w:val="en-US" w:eastAsia="en-US"/>
        </w:rPr>
        <w:t>Discuss</w:t>
      </w:r>
      <w:r w:rsidR="00A36D9B" w:rsidRPr="00C739B7">
        <w:rPr>
          <w:rFonts w:ascii="Calibri" w:eastAsia="Calibri" w:hAnsi="Calibri"/>
          <w:b/>
          <w:lang w:val="en-US" w:eastAsia="en-US"/>
        </w:rPr>
        <w:t>ion</w:t>
      </w:r>
    </w:p>
    <w:p w14:paraId="361BACF6" w14:textId="56D1AF35" w:rsidR="003B0D70" w:rsidRPr="007C1316" w:rsidRDefault="003B0D70" w:rsidP="00327F40">
      <w:pPr>
        <w:pStyle w:val="PlainText"/>
        <w:spacing w:after="240" w:line="276" w:lineRule="auto"/>
        <w:ind w:left="567"/>
        <w:rPr>
          <w:rFonts w:ascii="Calibri" w:hAnsi="Calibri"/>
          <w:bCs/>
          <w:sz w:val="24"/>
          <w:szCs w:val="24"/>
          <w:lang w:val="en-US"/>
        </w:rPr>
      </w:pPr>
      <w:r w:rsidRPr="003B0D70">
        <w:rPr>
          <w:rFonts w:ascii="Calibri" w:hAnsi="Calibri"/>
          <w:bCs/>
          <w:sz w:val="24"/>
          <w:szCs w:val="24"/>
          <w:lang w:val="en-US"/>
        </w:rPr>
        <w:t xml:space="preserve">In this study, we examined two scenarios for the assessment and treatment of women at high fracture risk based on the </w:t>
      </w:r>
      <w:r w:rsidR="00505758">
        <w:rPr>
          <w:rFonts w:ascii="Calibri" w:hAnsi="Calibri"/>
          <w:bCs/>
          <w:sz w:val="24"/>
          <w:szCs w:val="24"/>
          <w:lang w:val="en-US"/>
        </w:rPr>
        <w:t xml:space="preserve">hybrid </w:t>
      </w:r>
      <w:r w:rsidRPr="003B0D70">
        <w:rPr>
          <w:rFonts w:ascii="Calibri" w:hAnsi="Calibri"/>
          <w:bCs/>
          <w:sz w:val="24"/>
          <w:szCs w:val="24"/>
          <w:lang w:val="en-US"/>
        </w:rPr>
        <w:t xml:space="preserve">Pakistan FRAX tool.  The first examined </w:t>
      </w:r>
      <w:r w:rsidR="00D8549F">
        <w:rPr>
          <w:rFonts w:ascii="Calibri" w:hAnsi="Calibri"/>
          <w:bCs/>
          <w:sz w:val="24"/>
          <w:szCs w:val="24"/>
          <w:lang w:val="en-US"/>
        </w:rPr>
        <w:t>the scenario in which</w:t>
      </w:r>
      <w:r w:rsidR="00D8549F" w:rsidRPr="003B0D70">
        <w:rPr>
          <w:rFonts w:ascii="Calibri" w:hAnsi="Calibri"/>
          <w:bCs/>
          <w:sz w:val="24"/>
          <w:szCs w:val="24"/>
          <w:lang w:val="en-US"/>
        </w:rPr>
        <w:t xml:space="preserve"> </w:t>
      </w:r>
      <w:r w:rsidRPr="003B0D70">
        <w:rPr>
          <w:rFonts w:ascii="Calibri" w:hAnsi="Calibri"/>
          <w:bCs/>
          <w:sz w:val="24"/>
          <w:szCs w:val="24"/>
          <w:lang w:val="en-US"/>
        </w:rPr>
        <w:t xml:space="preserve">intervention </w:t>
      </w:r>
      <w:r w:rsidR="00D8549F">
        <w:rPr>
          <w:rFonts w:ascii="Calibri" w:hAnsi="Calibri"/>
          <w:bCs/>
          <w:sz w:val="24"/>
          <w:szCs w:val="24"/>
          <w:lang w:val="en-US"/>
        </w:rPr>
        <w:t>could</w:t>
      </w:r>
      <w:r w:rsidR="00D8549F" w:rsidRPr="003B0D70">
        <w:rPr>
          <w:rFonts w:ascii="Calibri" w:hAnsi="Calibri"/>
          <w:bCs/>
          <w:sz w:val="24"/>
          <w:szCs w:val="24"/>
          <w:lang w:val="en-US"/>
        </w:rPr>
        <w:t xml:space="preserve"> </w:t>
      </w:r>
      <w:r w:rsidRPr="003B0D70">
        <w:rPr>
          <w:rFonts w:ascii="Calibri" w:hAnsi="Calibri"/>
          <w:bCs/>
          <w:sz w:val="24"/>
          <w:szCs w:val="24"/>
          <w:lang w:val="en-US"/>
        </w:rPr>
        <w:t>be recommended with a BMD T-score of -2.5 or less. A fixed threshold based on the T-score of -2.5 has the advantage of simplicity and universality, but it also has important limitations.  The present study showed that fracture risk is approximately doubled in women age 40-50 years with a T-score of -2.5 compared to women of the same age with no clinical risk factors (see Fig</w:t>
      </w:r>
      <w:r>
        <w:rPr>
          <w:rFonts w:ascii="Calibri" w:hAnsi="Calibri"/>
          <w:bCs/>
          <w:sz w:val="24"/>
          <w:szCs w:val="24"/>
          <w:lang w:val="en-US"/>
        </w:rPr>
        <w:t>ure 1</w:t>
      </w:r>
      <w:r w:rsidRPr="003B0D70">
        <w:rPr>
          <w:rFonts w:ascii="Calibri" w:hAnsi="Calibri"/>
          <w:bCs/>
          <w:sz w:val="24"/>
          <w:szCs w:val="24"/>
          <w:lang w:val="en-US"/>
        </w:rPr>
        <w:t xml:space="preserve">) but, with advancing age, the difference is attenuated.  Indeed, from the age of 80 years, a T-score of -2.5 is protective, in the sense that the fracture probability is lower than that of the population </w:t>
      </w:r>
      <w:r w:rsidR="00674918">
        <w:rPr>
          <w:rFonts w:ascii="Calibri" w:hAnsi="Calibri"/>
          <w:bCs/>
          <w:sz w:val="24"/>
          <w:szCs w:val="24"/>
          <w:lang w:val="en-US"/>
        </w:rPr>
        <w:t xml:space="preserve">with no clinical risk factors </w:t>
      </w:r>
      <w:r w:rsidRPr="003B0D70">
        <w:rPr>
          <w:rFonts w:ascii="Calibri" w:hAnsi="Calibri"/>
          <w:bCs/>
          <w:sz w:val="24"/>
          <w:szCs w:val="24"/>
          <w:lang w:val="en-US"/>
        </w:rPr>
        <w:t xml:space="preserve">at that age. A </w:t>
      </w:r>
      <w:r w:rsidRPr="00A305FF">
        <w:rPr>
          <w:rFonts w:ascii="Calibri" w:hAnsi="Calibri"/>
          <w:bCs/>
          <w:sz w:val="24"/>
          <w:szCs w:val="24"/>
          <w:lang w:val="en-US"/>
        </w:rPr>
        <w:t xml:space="preserve">similar phenomenon is reported in the use of FRAX models </w:t>
      </w:r>
      <w:r w:rsidRPr="007C1316">
        <w:rPr>
          <w:rFonts w:ascii="Calibri" w:hAnsi="Calibri"/>
          <w:bCs/>
          <w:sz w:val="24"/>
          <w:szCs w:val="24"/>
          <w:lang w:val="en-US"/>
        </w:rPr>
        <w:t>elsewhere [</w:t>
      </w:r>
      <w:r w:rsidR="0091433A" w:rsidRPr="007C1316">
        <w:rPr>
          <w:rFonts w:ascii="Calibri" w:hAnsi="Calibri"/>
          <w:bCs/>
          <w:sz w:val="24"/>
          <w:szCs w:val="24"/>
          <w:lang w:val="en-US"/>
        </w:rPr>
        <w:t>21, 22, 23, 24</w:t>
      </w:r>
      <w:r w:rsidR="00A033D9" w:rsidRPr="007C1316">
        <w:rPr>
          <w:rFonts w:ascii="Calibri" w:hAnsi="Calibri"/>
          <w:bCs/>
          <w:sz w:val="24"/>
          <w:szCs w:val="24"/>
          <w:lang w:val="en-US"/>
        </w:rPr>
        <w:t>, 25</w:t>
      </w:r>
      <w:r w:rsidR="00A305FF" w:rsidRPr="007C1316">
        <w:rPr>
          <w:rFonts w:ascii="Calibri" w:hAnsi="Calibri"/>
          <w:bCs/>
          <w:sz w:val="24"/>
          <w:szCs w:val="24"/>
          <w:lang w:val="en-US"/>
        </w:rPr>
        <w:t>]</w:t>
      </w:r>
      <w:r w:rsidRPr="007C1316">
        <w:rPr>
          <w:rFonts w:ascii="Calibri" w:hAnsi="Calibri"/>
          <w:bCs/>
          <w:sz w:val="24"/>
          <w:szCs w:val="24"/>
          <w:lang w:val="en-US"/>
        </w:rPr>
        <w:t>. The explanation is that the average T-score in the elderly is less than -2.5 since the T-score of the general population decreases with age. Thus, at the age of 50 years the relative risk (RR) of hip fracture in a woman at the threshold value for osteoporosis (T score = -2.5) = 2.9.  At the age of 75 years the RR is &lt; 1.0 [</w:t>
      </w:r>
      <w:r w:rsidR="00A033D9" w:rsidRPr="007C1316">
        <w:rPr>
          <w:rFonts w:ascii="Calibri" w:hAnsi="Calibri"/>
          <w:bCs/>
          <w:sz w:val="24"/>
          <w:szCs w:val="24"/>
          <w:lang w:val="en-US"/>
        </w:rPr>
        <w:t>26</w:t>
      </w:r>
      <w:r w:rsidR="00B37256" w:rsidRPr="007C1316">
        <w:rPr>
          <w:rFonts w:ascii="Calibri" w:hAnsi="Calibri"/>
          <w:bCs/>
          <w:sz w:val="24"/>
          <w:szCs w:val="24"/>
          <w:lang w:val="en-US"/>
        </w:rPr>
        <w:t>]</w:t>
      </w:r>
      <w:r w:rsidRPr="007C1316">
        <w:rPr>
          <w:rFonts w:ascii="Calibri" w:hAnsi="Calibri"/>
          <w:bCs/>
          <w:sz w:val="24"/>
          <w:szCs w:val="24"/>
          <w:lang w:val="en-US"/>
        </w:rPr>
        <w:t>.  Also, a low BMD is associated with an increased mortality which decreases fracture probability.  These considerations suggest that fixed intervention thresholds based on the T-score alone bec</w:t>
      </w:r>
      <w:r w:rsidR="00506FB5" w:rsidRPr="007C1316">
        <w:rPr>
          <w:rFonts w:ascii="Calibri" w:hAnsi="Calibri"/>
          <w:bCs/>
          <w:sz w:val="24"/>
          <w:szCs w:val="24"/>
          <w:lang w:val="en-US"/>
        </w:rPr>
        <w:t>o</w:t>
      </w:r>
      <w:r w:rsidRPr="007C1316">
        <w:rPr>
          <w:rFonts w:ascii="Calibri" w:hAnsi="Calibri"/>
          <w:bCs/>
          <w:sz w:val="24"/>
          <w:szCs w:val="24"/>
          <w:lang w:val="en-US"/>
        </w:rPr>
        <w:t>me less and less appropriate with advancing age.</w:t>
      </w:r>
    </w:p>
    <w:p w14:paraId="1988DB00" w14:textId="76900D47" w:rsidR="003B0D70" w:rsidRPr="007C1316" w:rsidRDefault="00327F40" w:rsidP="00327F40">
      <w:pPr>
        <w:pStyle w:val="PlainText"/>
        <w:spacing w:after="240" w:line="276" w:lineRule="auto"/>
        <w:ind w:left="567"/>
        <w:rPr>
          <w:rFonts w:ascii="Calibri" w:hAnsi="Calibri"/>
          <w:bCs/>
          <w:sz w:val="24"/>
          <w:szCs w:val="24"/>
          <w:lang w:val="en-US"/>
        </w:rPr>
      </w:pPr>
      <w:r w:rsidRPr="007C1316">
        <w:rPr>
          <w:rFonts w:ascii="Calibri" w:hAnsi="Calibri"/>
          <w:bCs/>
          <w:sz w:val="24"/>
          <w:szCs w:val="24"/>
          <w:lang w:val="en-US"/>
        </w:rPr>
        <w:t>A number of additional problems have been identified with the use of BMD as the gateway for fracture risk assessment [</w:t>
      </w:r>
      <w:r w:rsidR="00A033D9" w:rsidRPr="007C1316">
        <w:rPr>
          <w:rFonts w:ascii="Calibri" w:hAnsi="Calibri"/>
          <w:bCs/>
          <w:sz w:val="24"/>
          <w:szCs w:val="24"/>
          <w:lang w:val="en-US"/>
        </w:rPr>
        <w:t>23</w:t>
      </w:r>
      <w:r w:rsidRPr="007C1316">
        <w:rPr>
          <w:rFonts w:ascii="Calibri" w:hAnsi="Calibri"/>
          <w:bCs/>
          <w:sz w:val="24"/>
          <w:szCs w:val="24"/>
          <w:lang w:val="en-US"/>
        </w:rPr>
        <w:t xml:space="preserve">]. </w:t>
      </w:r>
      <w:r w:rsidR="002033DC">
        <w:rPr>
          <w:rFonts w:ascii="Calibri" w:hAnsi="Calibri"/>
          <w:bCs/>
          <w:sz w:val="24"/>
          <w:szCs w:val="24"/>
          <w:lang w:val="en-US"/>
        </w:rPr>
        <w:t xml:space="preserve"> Problems o</w:t>
      </w:r>
      <w:r w:rsidR="009375A4">
        <w:rPr>
          <w:rFonts w:ascii="Calibri" w:hAnsi="Calibri"/>
          <w:bCs/>
          <w:sz w:val="24"/>
          <w:szCs w:val="24"/>
          <w:lang w:val="en-US"/>
        </w:rPr>
        <w:t xml:space="preserve">f accuracy arise when the T-score is </w:t>
      </w:r>
      <w:r w:rsidR="00545076">
        <w:rPr>
          <w:rFonts w:ascii="Calibri" w:hAnsi="Calibri"/>
          <w:bCs/>
          <w:sz w:val="24"/>
          <w:szCs w:val="24"/>
          <w:lang w:val="en-US"/>
        </w:rPr>
        <w:t>variously calculated based on different refe</w:t>
      </w:r>
      <w:r w:rsidR="0007225E">
        <w:rPr>
          <w:rFonts w:ascii="Calibri" w:hAnsi="Calibri"/>
          <w:bCs/>
          <w:sz w:val="24"/>
          <w:szCs w:val="24"/>
          <w:lang w:val="en-US"/>
        </w:rPr>
        <w:t xml:space="preserve">rents.  </w:t>
      </w:r>
      <w:r w:rsidRPr="007C1316">
        <w:rPr>
          <w:rFonts w:ascii="Calibri" w:hAnsi="Calibri"/>
          <w:bCs/>
          <w:sz w:val="24"/>
          <w:szCs w:val="24"/>
          <w:lang w:val="en-US"/>
        </w:rPr>
        <w:t>Although low BMD</w:t>
      </w:r>
      <w:r w:rsidRPr="00327F40">
        <w:rPr>
          <w:rFonts w:ascii="Calibri" w:hAnsi="Calibri"/>
          <w:bCs/>
          <w:sz w:val="24"/>
          <w:szCs w:val="24"/>
          <w:lang w:val="en-US"/>
        </w:rPr>
        <w:t xml:space="preserve"> is a strong risk factor for fracture, many studies have shown that half or more of all patients presenting with a fragility fracture have BMD T-scores at the lumbar spine or the hip greater than −2.5, i.e., are not </w:t>
      </w:r>
      <w:r w:rsidRPr="007C1316">
        <w:rPr>
          <w:rFonts w:ascii="Calibri" w:hAnsi="Calibri"/>
          <w:bCs/>
          <w:sz w:val="24"/>
          <w:szCs w:val="24"/>
          <w:lang w:val="en-US"/>
        </w:rPr>
        <w:t>osteoporotic [</w:t>
      </w:r>
      <w:r w:rsidR="00A033D9" w:rsidRPr="007C1316">
        <w:rPr>
          <w:rFonts w:ascii="Calibri" w:hAnsi="Calibri"/>
          <w:bCs/>
          <w:sz w:val="24"/>
          <w:szCs w:val="24"/>
          <w:lang w:val="en-US"/>
        </w:rPr>
        <w:t>27</w:t>
      </w:r>
      <w:r w:rsidR="003E0DFE" w:rsidRPr="007C1316">
        <w:rPr>
          <w:rFonts w:ascii="Calibri" w:hAnsi="Calibri"/>
          <w:bCs/>
          <w:sz w:val="24"/>
          <w:szCs w:val="24"/>
          <w:lang w:val="en-US"/>
        </w:rPr>
        <w:t>]</w:t>
      </w:r>
      <w:r w:rsidRPr="007C1316">
        <w:rPr>
          <w:rFonts w:ascii="Calibri" w:hAnsi="Calibri"/>
          <w:bCs/>
          <w:sz w:val="24"/>
          <w:szCs w:val="24"/>
          <w:lang w:val="en-US"/>
        </w:rPr>
        <w:t>. Thus, a BMD-based policy for risk assessment can only capture a minority of the population at high risk of fracture. The policy is also problematic in that it assumes that all prospective patients should have a BMD test and the availability of BMD equipment is limited in Pakistan and elsewhere</w:t>
      </w:r>
      <w:r w:rsidR="00CE7F46" w:rsidRPr="007C1316">
        <w:rPr>
          <w:rFonts w:ascii="Calibri" w:hAnsi="Calibri"/>
          <w:bCs/>
          <w:sz w:val="24"/>
          <w:szCs w:val="24"/>
          <w:lang w:val="en-US"/>
        </w:rPr>
        <w:t xml:space="preserve"> </w:t>
      </w:r>
      <w:r w:rsidR="0069129B" w:rsidRPr="007C1316">
        <w:rPr>
          <w:rFonts w:ascii="Calibri" w:hAnsi="Calibri"/>
          <w:bCs/>
          <w:sz w:val="24"/>
          <w:szCs w:val="24"/>
          <w:lang w:val="en-US"/>
        </w:rPr>
        <w:t>[</w:t>
      </w:r>
      <w:r w:rsidR="00A033D9" w:rsidRPr="007C1316">
        <w:rPr>
          <w:rFonts w:ascii="Calibri" w:hAnsi="Calibri"/>
          <w:bCs/>
          <w:sz w:val="24"/>
          <w:szCs w:val="24"/>
          <w:lang w:val="en-US"/>
        </w:rPr>
        <w:t>28</w:t>
      </w:r>
      <w:r w:rsidR="0069129B" w:rsidRPr="007C1316">
        <w:rPr>
          <w:rFonts w:ascii="Calibri" w:hAnsi="Calibri"/>
          <w:bCs/>
          <w:sz w:val="24"/>
          <w:szCs w:val="24"/>
          <w:lang w:val="en-US"/>
        </w:rPr>
        <w:t>]</w:t>
      </w:r>
      <w:r w:rsidRPr="007C1316">
        <w:rPr>
          <w:rFonts w:ascii="Calibri" w:hAnsi="Calibri"/>
          <w:bCs/>
          <w:sz w:val="24"/>
          <w:szCs w:val="24"/>
          <w:lang w:val="en-US"/>
        </w:rPr>
        <w:t>.</w:t>
      </w:r>
    </w:p>
    <w:p w14:paraId="01F3735C" w14:textId="149FED51" w:rsidR="00DA76CC" w:rsidRDefault="00CE1B8F" w:rsidP="00BC2D61">
      <w:pPr>
        <w:pStyle w:val="PlainText"/>
        <w:spacing w:after="240" w:line="276" w:lineRule="auto"/>
        <w:ind w:left="567"/>
        <w:rPr>
          <w:rFonts w:ascii="Calibri" w:hAnsi="Calibri"/>
          <w:bCs/>
          <w:sz w:val="24"/>
          <w:szCs w:val="24"/>
          <w:lang w:val="en-US"/>
        </w:rPr>
      </w:pPr>
      <w:r w:rsidRPr="007C1316">
        <w:rPr>
          <w:rFonts w:ascii="Calibri" w:hAnsi="Calibri"/>
          <w:bCs/>
          <w:sz w:val="24"/>
          <w:szCs w:val="24"/>
          <w:lang w:val="en-US"/>
        </w:rPr>
        <w:t xml:space="preserve">In this report, we </w:t>
      </w:r>
      <w:r w:rsidR="003B0D70" w:rsidRPr="007C1316">
        <w:rPr>
          <w:rFonts w:ascii="Calibri" w:hAnsi="Calibri"/>
          <w:bCs/>
          <w:sz w:val="24"/>
          <w:szCs w:val="24"/>
          <w:lang w:val="en-US"/>
        </w:rPr>
        <w:t>al</w:t>
      </w:r>
      <w:r w:rsidR="00BC2D61" w:rsidRPr="007C1316">
        <w:rPr>
          <w:rFonts w:ascii="Calibri" w:hAnsi="Calibri"/>
          <w:bCs/>
          <w:sz w:val="24"/>
          <w:szCs w:val="24"/>
          <w:lang w:val="en-US"/>
        </w:rPr>
        <w:t>s</w:t>
      </w:r>
      <w:r w:rsidR="003B0D70" w:rsidRPr="007C1316">
        <w:rPr>
          <w:rFonts w:ascii="Calibri" w:hAnsi="Calibri"/>
          <w:bCs/>
          <w:sz w:val="24"/>
          <w:szCs w:val="24"/>
          <w:lang w:val="en-US"/>
        </w:rPr>
        <w:t xml:space="preserve">o </w:t>
      </w:r>
      <w:r w:rsidRPr="007C1316">
        <w:rPr>
          <w:rFonts w:ascii="Calibri" w:hAnsi="Calibri"/>
          <w:bCs/>
          <w:sz w:val="24"/>
          <w:szCs w:val="24"/>
          <w:lang w:val="en-US"/>
        </w:rPr>
        <w:t xml:space="preserve">present </w:t>
      </w:r>
      <w:r w:rsidR="0008134A" w:rsidRPr="007C1316">
        <w:rPr>
          <w:rFonts w:ascii="Calibri" w:hAnsi="Calibri"/>
          <w:bCs/>
          <w:sz w:val="24"/>
          <w:szCs w:val="24"/>
          <w:lang w:val="en-US"/>
        </w:rPr>
        <w:t>intervention threshol</w:t>
      </w:r>
      <w:r w:rsidR="00F66435" w:rsidRPr="007C1316">
        <w:rPr>
          <w:rFonts w:ascii="Calibri" w:hAnsi="Calibri"/>
          <w:bCs/>
          <w:sz w:val="24"/>
          <w:szCs w:val="24"/>
          <w:lang w:val="en-US"/>
        </w:rPr>
        <w:t>ds and BMD assessment t</w:t>
      </w:r>
      <w:r w:rsidR="008779F0" w:rsidRPr="007C1316">
        <w:rPr>
          <w:rFonts w:ascii="Calibri" w:hAnsi="Calibri"/>
          <w:bCs/>
          <w:sz w:val="24"/>
          <w:szCs w:val="24"/>
          <w:lang w:val="en-US"/>
        </w:rPr>
        <w:t>h</w:t>
      </w:r>
      <w:r w:rsidR="00F66435" w:rsidRPr="007C1316">
        <w:rPr>
          <w:rFonts w:ascii="Calibri" w:hAnsi="Calibri"/>
          <w:bCs/>
          <w:sz w:val="24"/>
          <w:szCs w:val="24"/>
          <w:lang w:val="en-US"/>
        </w:rPr>
        <w:t>resholds</w:t>
      </w:r>
      <w:r w:rsidRPr="007C1316">
        <w:rPr>
          <w:rFonts w:ascii="Calibri" w:hAnsi="Calibri"/>
          <w:bCs/>
          <w:sz w:val="24"/>
          <w:szCs w:val="24"/>
          <w:lang w:val="en-US"/>
        </w:rPr>
        <w:t xml:space="preserve"> based on fracture probability</w:t>
      </w:r>
      <w:r w:rsidR="008779F0" w:rsidRPr="007C1316">
        <w:rPr>
          <w:rFonts w:ascii="Calibri" w:hAnsi="Calibri"/>
          <w:bCs/>
          <w:sz w:val="24"/>
          <w:szCs w:val="24"/>
          <w:lang w:val="en-US"/>
        </w:rPr>
        <w:t xml:space="preserve"> using FRAX</w:t>
      </w:r>
      <w:r w:rsidRPr="007C1316">
        <w:rPr>
          <w:rFonts w:ascii="Calibri" w:hAnsi="Calibri"/>
          <w:bCs/>
          <w:sz w:val="24"/>
          <w:szCs w:val="24"/>
          <w:lang w:val="en-US"/>
        </w:rPr>
        <w:t xml:space="preserve">. The approach used was similar to that </w:t>
      </w:r>
      <w:r w:rsidR="0062677D" w:rsidRPr="007C1316">
        <w:rPr>
          <w:rFonts w:ascii="Calibri" w:hAnsi="Calibri"/>
          <w:bCs/>
          <w:sz w:val="24"/>
          <w:szCs w:val="24"/>
          <w:lang w:val="en-US"/>
        </w:rPr>
        <w:t xml:space="preserve">first </w:t>
      </w:r>
      <w:r w:rsidRPr="007C1316">
        <w:rPr>
          <w:rFonts w:ascii="Calibri" w:hAnsi="Calibri"/>
          <w:bCs/>
          <w:sz w:val="24"/>
          <w:szCs w:val="24"/>
          <w:lang w:val="en-US"/>
        </w:rPr>
        <w:t>adopted by the National Osteoporosis Guideline Group (NOGG) in the UK</w:t>
      </w:r>
      <w:r w:rsidR="0062677D" w:rsidRPr="007C1316">
        <w:rPr>
          <w:rFonts w:ascii="Calibri" w:hAnsi="Calibri"/>
          <w:bCs/>
          <w:sz w:val="24"/>
          <w:szCs w:val="24"/>
          <w:lang w:val="en-US"/>
        </w:rPr>
        <w:t>,</w:t>
      </w:r>
      <w:r w:rsidRPr="007C1316">
        <w:rPr>
          <w:rFonts w:ascii="Calibri" w:hAnsi="Calibri"/>
          <w:bCs/>
          <w:sz w:val="24"/>
          <w:szCs w:val="24"/>
          <w:lang w:val="en-US"/>
        </w:rPr>
        <w:t xml:space="preserve"> </w:t>
      </w:r>
      <w:r w:rsidR="0062677D" w:rsidRPr="007C1316">
        <w:rPr>
          <w:rFonts w:ascii="Calibri" w:hAnsi="Calibri"/>
          <w:bCs/>
          <w:sz w:val="24"/>
          <w:szCs w:val="24"/>
          <w:lang w:val="en-US"/>
        </w:rPr>
        <w:t>and thereafter in ma</w:t>
      </w:r>
      <w:r w:rsidR="00BC2D61" w:rsidRPr="007C1316">
        <w:rPr>
          <w:rFonts w:ascii="Calibri" w:hAnsi="Calibri"/>
          <w:bCs/>
          <w:sz w:val="24"/>
          <w:szCs w:val="24"/>
          <w:lang w:val="en-US"/>
        </w:rPr>
        <w:t>n</w:t>
      </w:r>
      <w:r w:rsidR="0062677D" w:rsidRPr="007C1316">
        <w:rPr>
          <w:rFonts w:ascii="Calibri" w:hAnsi="Calibri"/>
          <w:bCs/>
          <w:sz w:val="24"/>
          <w:szCs w:val="24"/>
          <w:lang w:val="en-US"/>
        </w:rPr>
        <w:t xml:space="preserve">y counties of Europe, Eurasia, Latin America </w:t>
      </w:r>
      <w:r w:rsidRPr="007C1316">
        <w:rPr>
          <w:rFonts w:ascii="Calibri" w:hAnsi="Calibri"/>
          <w:bCs/>
          <w:sz w:val="24"/>
          <w:szCs w:val="24"/>
          <w:lang w:val="en-US"/>
        </w:rPr>
        <w:t>[</w:t>
      </w:r>
      <w:r w:rsidR="00DF6F2B" w:rsidRPr="007C1316">
        <w:rPr>
          <w:rFonts w:ascii="Calibri" w:hAnsi="Calibri"/>
          <w:bCs/>
          <w:sz w:val="24"/>
          <w:szCs w:val="24"/>
          <w:lang w:val="en-US"/>
        </w:rPr>
        <w:t xml:space="preserve">3, </w:t>
      </w:r>
      <w:r w:rsidR="00295800" w:rsidRPr="007C1316">
        <w:rPr>
          <w:rFonts w:ascii="Calibri" w:hAnsi="Calibri"/>
          <w:bCs/>
          <w:sz w:val="24"/>
          <w:szCs w:val="24"/>
          <w:lang w:val="en-US"/>
        </w:rPr>
        <w:t>6</w:t>
      </w:r>
      <w:r w:rsidRPr="007C1316">
        <w:rPr>
          <w:rFonts w:ascii="Calibri" w:hAnsi="Calibri"/>
          <w:bCs/>
          <w:sz w:val="24"/>
          <w:szCs w:val="24"/>
          <w:lang w:val="en-US"/>
        </w:rPr>
        <w:t xml:space="preserve">, </w:t>
      </w:r>
      <w:r w:rsidR="00A033D9" w:rsidRPr="007C1316">
        <w:rPr>
          <w:rFonts w:ascii="Calibri" w:hAnsi="Calibri"/>
          <w:bCs/>
          <w:sz w:val="24"/>
          <w:szCs w:val="24"/>
          <w:lang w:val="en-US"/>
        </w:rPr>
        <w:t>13</w:t>
      </w:r>
      <w:r w:rsidR="0062677D" w:rsidRPr="007C1316">
        <w:rPr>
          <w:rFonts w:ascii="Calibri" w:hAnsi="Calibri"/>
          <w:bCs/>
          <w:sz w:val="24"/>
          <w:szCs w:val="24"/>
          <w:lang w:val="en-US"/>
        </w:rPr>
        <w:t xml:space="preserve">, </w:t>
      </w:r>
      <w:r w:rsidR="00A033D9" w:rsidRPr="007C1316">
        <w:rPr>
          <w:rFonts w:ascii="Calibri" w:hAnsi="Calibri"/>
          <w:bCs/>
          <w:sz w:val="24"/>
          <w:szCs w:val="24"/>
          <w:lang w:val="en-US"/>
        </w:rPr>
        <w:t>29</w:t>
      </w:r>
      <w:r w:rsidR="00C47F2C" w:rsidRPr="007C1316">
        <w:rPr>
          <w:rFonts w:ascii="Calibri" w:hAnsi="Calibri"/>
          <w:bCs/>
          <w:sz w:val="24"/>
          <w:szCs w:val="24"/>
          <w:lang w:val="en-US"/>
        </w:rPr>
        <w:t>]</w:t>
      </w:r>
      <w:r w:rsidRPr="007C1316">
        <w:rPr>
          <w:rFonts w:ascii="Calibri" w:hAnsi="Calibri"/>
          <w:bCs/>
          <w:sz w:val="24"/>
          <w:szCs w:val="24"/>
          <w:lang w:val="en-US"/>
        </w:rPr>
        <w:t xml:space="preserve"> </w:t>
      </w:r>
      <w:r w:rsidR="0062677D" w:rsidRPr="007C1316">
        <w:rPr>
          <w:rFonts w:ascii="Calibri" w:hAnsi="Calibri"/>
          <w:bCs/>
          <w:sz w:val="24"/>
          <w:szCs w:val="24"/>
          <w:lang w:val="en-US"/>
        </w:rPr>
        <w:t>and</w:t>
      </w:r>
      <w:r w:rsidRPr="007C1316">
        <w:rPr>
          <w:rFonts w:ascii="Calibri" w:hAnsi="Calibri"/>
          <w:bCs/>
          <w:sz w:val="24"/>
          <w:szCs w:val="24"/>
          <w:lang w:val="en-US"/>
        </w:rPr>
        <w:t xml:space="preserve"> applied </w:t>
      </w:r>
      <w:r w:rsidR="003B0D70" w:rsidRPr="007C1316">
        <w:rPr>
          <w:rFonts w:ascii="Calibri" w:hAnsi="Calibri"/>
          <w:bCs/>
          <w:sz w:val="24"/>
          <w:szCs w:val="24"/>
          <w:lang w:val="en-US"/>
        </w:rPr>
        <w:t xml:space="preserve">in the present study </w:t>
      </w:r>
      <w:r w:rsidRPr="007C1316">
        <w:rPr>
          <w:rFonts w:ascii="Calibri" w:hAnsi="Calibri"/>
          <w:bCs/>
          <w:sz w:val="24"/>
          <w:szCs w:val="24"/>
          <w:lang w:val="en-US"/>
        </w:rPr>
        <w:t>to the FRAX model</w:t>
      </w:r>
      <w:r w:rsidR="00DC6994" w:rsidRPr="007C1316">
        <w:rPr>
          <w:rFonts w:ascii="Calibri" w:hAnsi="Calibri"/>
          <w:bCs/>
          <w:sz w:val="24"/>
          <w:szCs w:val="24"/>
          <w:lang w:val="en-US"/>
        </w:rPr>
        <w:t xml:space="preserve"> for </w:t>
      </w:r>
      <w:r w:rsidR="003C331C" w:rsidRPr="007C1316">
        <w:rPr>
          <w:rFonts w:ascii="Calibri" w:hAnsi="Calibri"/>
          <w:bCs/>
          <w:sz w:val="24"/>
          <w:szCs w:val="24"/>
          <w:lang w:val="en-US"/>
        </w:rPr>
        <w:t>Pakistan</w:t>
      </w:r>
      <w:r w:rsidRPr="007C1316">
        <w:rPr>
          <w:rFonts w:ascii="Calibri" w:hAnsi="Calibri"/>
          <w:bCs/>
          <w:sz w:val="24"/>
          <w:szCs w:val="24"/>
          <w:lang w:val="en-US"/>
        </w:rPr>
        <w:t xml:space="preserve">. </w:t>
      </w:r>
      <w:r w:rsidR="00710D49" w:rsidRPr="007C1316">
        <w:rPr>
          <w:rFonts w:ascii="Calibri" w:hAnsi="Calibri"/>
          <w:bCs/>
          <w:sz w:val="24"/>
          <w:szCs w:val="24"/>
          <w:lang w:val="en-US"/>
        </w:rPr>
        <w:t xml:space="preserve"> </w:t>
      </w:r>
      <w:r w:rsidR="008B79DB" w:rsidRPr="007C1316">
        <w:rPr>
          <w:rFonts w:ascii="Calibri" w:hAnsi="Calibri"/>
          <w:bCs/>
          <w:sz w:val="24"/>
          <w:szCs w:val="24"/>
          <w:lang w:val="en-US"/>
        </w:rPr>
        <w:t>Thus,</w:t>
      </w:r>
      <w:r w:rsidR="00EA72D8" w:rsidRPr="007C1316">
        <w:rPr>
          <w:rFonts w:ascii="Calibri" w:hAnsi="Calibri"/>
          <w:bCs/>
          <w:sz w:val="24"/>
          <w:szCs w:val="24"/>
          <w:lang w:val="en-US"/>
        </w:rPr>
        <w:t xml:space="preserve"> the intervention threshold was set a</w:t>
      </w:r>
      <w:r w:rsidR="00CD580B" w:rsidRPr="007C1316">
        <w:rPr>
          <w:rFonts w:ascii="Calibri" w:hAnsi="Calibri"/>
          <w:bCs/>
          <w:sz w:val="24"/>
          <w:szCs w:val="24"/>
          <w:lang w:val="en-US"/>
        </w:rPr>
        <w:t>t</w:t>
      </w:r>
      <w:r w:rsidR="00EA72D8" w:rsidRPr="007C1316">
        <w:rPr>
          <w:rFonts w:ascii="Calibri" w:hAnsi="Calibri"/>
          <w:bCs/>
          <w:sz w:val="24"/>
          <w:szCs w:val="24"/>
          <w:lang w:val="en-US"/>
        </w:rPr>
        <w:t xml:space="preserve"> the fracture probability equivalent to </w:t>
      </w:r>
      <w:r w:rsidR="00A148FC" w:rsidRPr="007C1316">
        <w:rPr>
          <w:rFonts w:ascii="Calibri" w:hAnsi="Calibri"/>
          <w:bCs/>
          <w:sz w:val="24"/>
          <w:szCs w:val="24"/>
          <w:lang w:val="en-US"/>
        </w:rPr>
        <w:t xml:space="preserve">a woman </w:t>
      </w:r>
      <w:r w:rsidR="00000B2C" w:rsidRPr="007C1316">
        <w:rPr>
          <w:rFonts w:ascii="Calibri" w:hAnsi="Calibri"/>
          <w:bCs/>
          <w:sz w:val="24"/>
          <w:szCs w:val="24"/>
          <w:lang w:val="en-US"/>
        </w:rPr>
        <w:t xml:space="preserve">from </w:t>
      </w:r>
      <w:r w:rsidR="003C331C" w:rsidRPr="007C1316">
        <w:rPr>
          <w:rFonts w:ascii="Calibri" w:hAnsi="Calibri"/>
          <w:bCs/>
          <w:sz w:val="24"/>
          <w:szCs w:val="24"/>
          <w:lang w:val="en-US"/>
        </w:rPr>
        <w:t>Pakistan</w:t>
      </w:r>
      <w:r w:rsidR="00000B2C" w:rsidRPr="007C1316">
        <w:rPr>
          <w:rFonts w:ascii="Calibri" w:hAnsi="Calibri"/>
          <w:bCs/>
          <w:sz w:val="24"/>
          <w:szCs w:val="24"/>
          <w:lang w:val="en-US"/>
        </w:rPr>
        <w:t xml:space="preserve"> </w:t>
      </w:r>
      <w:r w:rsidR="00A148FC" w:rsidRPr="007C1316">
        <w:rPr>
          <w:rFonts w:ascii="Calibri" w:hAnsi="Calibri"/>
          <w:bCs/>
          <w:sz w:val="24"/>
          <w:szCs w:val="24"/>
          <w:lang w:val="en-US"/>
        </w:rPr>
        <w:t>with</w:t>
      </w:r>
      <w:r w:rsidR="00CD580B" w:rsidRPr="007C1316">
        <w:rPr>
          <w:rFonts w:ascii="Calibri" w:hAnsi="Calibri"/>
          <w:bCs/>
          <w:sz w:val="24"/>
          <w:szCs w:val="24"/>
          <w:lang w:val="en-US"/>
        </w:rPr>
        <w:t xml:space="preserve"> a prior</w:t>
      </w:r>
      <w:r w:rsidR="00CD580B" w:rsidRPr="00C739B7">
        <w:rPr>
          <w:rFonts w:ascii="Calibri" w:hAnsi="Calibri"/>
          <w:bCs/>
          <w:sz w:val="24"/>
          <w:szCs w:val="24"/>
          <w:lang w:val="en-US"/>
        </w:rPr>
        <w:t xml:space="preserve"> </w:t>
      </w:r>
      <w:r w:rsidR="00A33913" w:rsidRPr="00C739B7">
        <w:rPr>
          <w:rFonts w:ascii="Calibri" w:hAnsi="Calibri"/>
          <w:bCs/>
          <w:sz w:val="24"/>
          <w:szCs w:val="24"/>
          <w:lang w:val="en-US"/>
        </w:rPr>
        <w:t>fragility fracture.</w:t>
      </w:r>
      <w:r w:rsidR="00A148FC" w:rsidRPr="00C739B7">
        <w:rPr>
          <w:rFonts w:ascii="Calibri" w:hAnsi="Calibri"/>
          <w:bCs/>
          <w:sz w:val="24"/>
          <w:szCs w:val="24"/>
          <w:lang w:val="en-US"/>
        </w:rPr>
        <w:t xml:space="preserve"> </w:t>
      </w:r>
      <w:r w:rsidR="00710D49" w:rsidRPr="00C739B7">
        <w:rPr>
          <w:rFonts w:ascii="Calibri" w:hAnsi="Calibri"/>
          <w:bCs/>
          <w:sz w:val="24"/>
          <w:szCs w:val="24"/>
          <w:lang w:val="en-US"/>
        </w:rPr>
        <w:t xml:space="preserve"> </w:t>
      </w:r>
      <w:r w:rsidRPr="00C739B7">
        <w:rPr>
          <w:rFonts w:ascii="Calibri" w:hAnsi="Calibri"/>
          <w:bCs/>
          <w:sz w:val="24"/>
          <w:szCs w:val="24"/>
          <w:lang w:val="en-US"/>
        </w:rPr>
        <w:t xml:space="preserve">The rationale is that if women with a prior fragility fracture are considered eligible for treatment, as commonly </w:t>
      </w:r>
      <w:r w:rsidR="00BF6652" w:rsidRPr="00C739B7">
        <w:rPr>
          <w:rFonts w:ascii="Calibri" w:hAnsi="Calibri"/>
          <w:bCs/>
          <w:sz w:val="24"/>
          <w:szCs w:val="24"/>
          <w:lang w:val="en-US"/>
        </w:rPr>
        <w:t>recommended</w:t>
      </w:r>
      <w:r w:rsidRPr="00C739B7">
        <w:rPr>
          <w:rFonts w:ascii="Calibri" w:hAnsi="Calibri"/>
          <w:bCs/>
          <w:sz w:val="24"/>
          <w:szCs w:val="24"/>
          <w:lang w:val="en-US"/>
        </w:rPr>
        <w:t xml:space="preserve">, then women without fracture but with equivalent probabilities </w:t>
      </w:r>
      <w:r w:rsidR="00902330" w:rsidRPr="00C739B7">
        <w:rPr>
          <w:rFonts w:ascii="Calibri" w:hAnsi="Calibri"/>
          <w:bCs/>
          <w:sz w:val="24"/>
          <w:szCs w:val="24"/>
          <w:lang w:val="en-US"/>
        </w:rPr>
        <w:t>should</w:t>
      </w:r>
      <w:r w:rsidRPr="00C739B7">
        <w:rPr>
          <w:rFonts w:ascii="Calibri" w:hAnsi="Calibri"/>
          <w:bCs/>
          <w:sz w:val="24"/>
          <w:szCs w:val="24"/>
          <w:lang w:val="en-US"/>
        </w:rPr>
        <w:t xml:space="preserve"> also </w:t>
      </w:r>
      <w:r w:rsidR="00902330" w:rsidRPr="00C739B7">
        <w:rPr>
          <w:rFonts w:ascii="Calibri" w:hAnsi="Calibri"/>
          <w:bCs/>
          <w:sz w:val="24"/>
          <w:szCs w:val="24"/>
          <w:lang w:val="en-US"/>
        </w:rPr>
        <w:t xml:space="preserve">be </w:t>
      </w:r>
      <w:r w:rsidRPr="00C739B7">
        <w:rPr>
          <w:rFonts w:ascii="Calibri" w:hAnsi="Calibri"/>
          <w:bCs/>
          <w:sz w:val="24"/>
          <w:szCs w:val="24"/>
          <w:lang w:val="en-US"/>
        </w:rPr>
        <w:t>eligible for treatment.</w:t>
      </w:r>
      <w:r w:rsidR="00BC2D61">
        <w:rPr>
          <w:rFonts w:ascii="Calibri" w:hAnsi="Calibri"/>
          <w:bCs/>
          <w:sz w:val="24"/>
          <w:szCs w:val="24"/>
          <w:lang w:val="en-US"/>
        </w:rPr>
        <w:t xml:space="preserve"> In contrast to the fixed T-score, a prior fracture was associated with a marked increase in fracture probability over all ages and thus, appears to represent the more suitable intervention threshold.</w:t>
      </w:r>
      <w:r w:rsidRPr="00C739B7">
        <w:rPr>
          <w:rFonts w:ascii="Calibri" w:hAnsi="Calibri"/>
          <w:bCs/>
          <w:sz w:val="24"/>
          <w:szCs w:val="24"/>
          <w:lang w:val="en-US"/>
        </w:rPr>
        <w:t xml:space="preserve"> </w:t>
      </w:r>
    </w:p>
    <w:p w14:paraId="2C04711A" w14:textId="52F20A24" w:rsidR="005F2D24" w:rsidRPr="00C739B7" w:rsidRDefault="00674918" w:rsidP="00327F40">
      <w:pPr>
        <w:pStyle w:val="PlainText"/>
        <w:spacing w:after="240" w:line="276" w:lineRule="auto"/>
        <w:ind w:left="567"/>
        <w:rPr>
          <w:rFonts w:ascii="Calibri" w:hAnsi="Calibri" w:cs="Calibri"/>
          <w:bCs/>
          <w:sz w:val="24"/>
          <w:szCs w:val="24"/>
          <w:lang w:val="en-US"/>
        </w:rPr>
      </w:pPr>
      <w:r w:rsidRPr="00674918">
        <w:rPr>
          <w:rFonts w:ascii="Calibri" w:hAnsi="Calibri"/>
          <w:bCs/>
          <w:sz w:val="24"/>
          <w:szCs w:val="24"/>
          <w:lang w:val="en-US"/>
        </w:rPr>
        <w:t>On this basis, the following management algorithm can be proposed</w:t>
      </w:r>
      <w:r w:rsidR="00983F2E">
        <w:rPr>
          <w:rFonts w:ascii="Calibri" w:hAnsi="Calibri"/>
          <w:bCs/>
          <w:sz w:val="24"/>
          <w:szCs w:val="24"/>
          <w:lang w:val="en-US"/>
        </w:rPr>
        <w:t xml:space="preserve"> for postmenopausal </w:t>
      </w:r>
      <w:r w:rsidR="00804E09">
        <w:rPr>
          <w:rFonts w:ascii="Calibri" w:hAnsi="Calibri"/>
          <w:bCs/>
          <w:sz w:val="24"/>
          <w:szCs w:val="24"/>
          <w:lang w:val="en-US"/>
        </w:rPr>
        <w:t>women</w:t>
      </w:r>
      <w:r w:rsidRPr="00674918">
        <w:rPr>
          <w:rFonts w:ascii="Calibri" w:hAnsi="Calibri"/>
          <w:bCs/>
          <w:sz w:val="24"/>
          <w:szCs w:val="24"/>
          <w:lang w:val="en-US"/>
        </w:rPr>
        <w:t xml:space="preserve">. </w:t>
      </w:r>
      <w:r>
        <w:rPr>
          <w:rFonts w:ascii="Calibri" w:hAnsi="Calibri"/>
          <w:bCs/>
          <w:sz w:val="24"/>
          <w:szCs w:val="24"/>
          <w:lang w:val="en-US"/>
        </w:rPr>
        <w:t xml:space="preserve">Women with a prior fragility fracture </w:t>
      </w:r>
      <w:r w:rsidR="00B3530C">
        <w:rPr>
          <w:rFonts w:ascii="Calibri" w:hAnsi="Calibri"/>
          <w:bCs/>
          <w:sz w:val="24"/>
          <w:szCs w:val="24"/>
          <w:lang w:val="en-US"/>
        </w:rPr>
        <w:t xml:space="preserve">should be considered for treatment.  Where there are facilities for BMD assessment, this can be undertaken as a baseline to monitor treatment (commonly by DXA at the lumbar spine).  </w:t>
      </w:r>
      <w:r w:rsidR="00CE1B8F" w:rsidRPr="00674918">
        <w:rPr>
          <w:rFonts w:ascii="Calibri" w:hAnsi="Calibri"/>
          <w:bCs/>
          <w:sz w:val="24"/>
          <w:szCs w:val="24"/>
          <w:lang w:val="en-US"/>
        </w:rPr>
        <w:t xml:space="preserve">The starting point in the assessment of women </w:t>
      </w:r>
      <w:r w:rsidR="00B3530C">
        <w:rPr>
          <w:rFonts w:ascii="Calibri" w:hAnsi="Calibri"/>
          <w:bCs/>
          <w:sz w:val="24"/>
          <w:szCs w:val="24"/>
          <w:lang w:val="en-US"/>
        </w:rPr>
        <w:t xml:space="preserve">without a prior fragility fracture </w:t>
      </w:r>
      <w:r w:rsidR="00CE1B8F" w:rsidRPr="00674918">
        <w:rPr>
          <w:rFonts w:ascii="Calibri" w:hAnsi="Calibri"/>
          <w:bCs/>
          <w:sz w:val="24"/>
          <w:szCs w:val="24"/>
          <w:lang w:val="en-US"/>
        </w:rPr>
        <w:t>is the presence</w:t>
      </w:r>
      <w:r w:rsidR="00CE1B8F" w:rsidRPr="00C739B7">
        <w:rPr>
          <w:rFonts w:ascii="Calibri" w:hAnsi="Calibri"/>
          <w:bCs/>
          <w:sz w:val="24"/>
          <w:szCs w:val="24"/>
          <w:lang w:val="en-US"/>
        </w:rPr>
        <w:t xml:space="preserve"> of a clinical risk factor that alerts the physician to consider osteoporosis. </w:t>
      </w:r>
      <w:r w:rsidR="00786F1F">
        <w:rPr>
          <w:rFonts w:ascii="Calibri" w:hAnsi="Calibri"/>
          <w:bCs/>
          <w:sz w:val="24"/>
          <w:szCs w:val="24"/>
          <w:lang w:val="en-US"/>
        </w:rPr>
        <w:t xml:space="preserve">The </w:t>
      </w:r>
      <w:r w:rsidR="00476599">
        <w:rPr>
          <w:rFonts w:ascii="Calibri" w:hAnsi="Calibri"/>
          <w:bCs/>
          <w:sz w:val="24"/>
          <w:szCs w:val="24"/>
          <w:lang w:val="en-US"/>
        </w:rPr>
        <w:t xml:space="preserve">sentinel </w:t>
      </w:r>
      <w:r w:rsidR="00786F1F">
        <w:rPr>
          <w:rFonts w:ascii="Calibri" w:hAnsi="Calibri"/>
          <w:bCs/>
          <w:sz w:val="24"/>
          <w:szCs w:val="24"/>
          <w:lang w:val="en-US"/>
        </w:rPr>
        <w:t>clinical risk factor might include</w:t>
      </w:r>
      <w:r w:rsidR="00476599">
        <w:rPr>
          <w:rFonts w:ascii="Calibri" w:hAnsi="Calibri"/>
          <w:bCs/>
          <w:sz w:val="24"/>
          <w:szCs w:val="24"/>
          <w:lang w:val="en-US"/>
        </w:rPr>
        <w:t xml:space="preserve"> one of those used in FRAX but</w:t>
      </w:r>
      <w:r w:rsidR="00386CF3">
        <w:rPr>
          <w:rFonts w:ascii="Calibri" w:hAnsi="Calibri"/>
          <w:bCs/>
          <w:sz w:val="24"/>
          <w:szCs w:val="24"/>
          <w:lang w:val="en-US"/>
        </w:rPr>
        <w:t xml:space="preserve"> could also include others such as thoracic kyphosis, height loss</w:t>
      </w:r>
      <w:r w:rsidR="00050AA6">
        <w:rPr>
          <w:rFonts w:ascii="Calibri" w:hAnsi="Calibri"/>
          <w:bCs/>
          <w:sz w:val="24"/>
          <w:szCs w:val="24"/>
          <w:lang w:val="en-US"/>
        </w:rPr>
        <w:t xml:space="preserve">, </w:t>
      </w:r>
      <w:r w:rsidR="00F34004">
        <w:rPr>
          <w:rFonts w:ascii="Calibri" w:hAnsi="Calibri"/>
          <w:bCs/>
          <w:sz w:val="24"/>
          <w:szCs w:val="24"/>
          <w:lang w:val="en-US"/>
        </w:rPr>
        <w:t>disorders associated with osteoporosis etc</w:t>
      </w:r>
      <w:r w:rsidR="006040F1">
        <w:rPr>
          <w:rFonts w:ascii="Calibri" w:hAnsi="Calibri"/>
          <w:bCs/>
          <w:sz w:val="24"/>
          <w:szCs w:val="24"/>
          <w:lang w:val="en-US"/>
        </w:rPr>
        <w:t>.</w:t>
      </w:r>
      <w:r w:rsidR="00476599">
        <w:rPr>
          <w:rFonts w:ascii="Calibri" w:hAnsi="Calibri"/>
          <w:bCs/>
          <w:sz w:val="24"/>
          <w:szCs w:val="24"/>
          <w:lang w:val="en-US"/>
        </w:rPr>
        <w:t xml:space="preserve"> </w:t>
      </w:r>
      <w:r w:rsidR="00CE1B8F" w:rsidRPr="00C739B7">
        <w:rPr>
          <w:rFonts w:ascii="Calibri" w:hAnsi="Calibri"/>
          <w:bCs/>
          <w:sz w:val="24"/>
          <w:szCs w:val="24"/>
          <w:lang w:val="en-US"/>
        </w:rPr>
        <w:t xml:space="preserve">The opportunistic case finding strategy arises because screening the general population is not widely recommended in </w:t>
      </w:r>
      <w:r w:rsidR="006D40B0" w:rsidRPr="00C739B7">
        <w:rPr>
          <w:rFonts w:ascii="Calibri" w:hAnsi="Calibri"/>
          <w:bCs/>
          <w:sz w:val="24"/>
          <w:szCs w:val="24"/>
          <w:lang w:val="en-US"/>
        </w:rPr>
        <w:t>A</w:t>
      </w:r>
      <w:r w:rsidR="00E05796" w:rsidRPr="00C739B7">
        <w:rPr>
          <w:rFonts w:ascii="Calibri" w:hAnsi="Calibri"/>
          <w:bCs/>
          <w:sz w:val="24"/>
          <w:szCs w:val="24"/>
          <w:lang w:val="en-US"/>
        </w:rPr>
        <w:t>sia</w:t>
      </w:r>
      <w:r w:rsidR="006D40B0" w:rsidRPr="00C739B7">
        <w:rPr>
          <w:rFonts w:ascii="Calibri" w:hAnsi="Calibri"/>
          <w:bCs/>
          <w:sz w:val="24"/>
          <w:szCs w:val="24"/>
          <w:lang w:val="en-US"/>
        </w:rPr>
        <w:t xml:space="preserve"> o</w:t>
      </w:r>
      <w:r w:rsidR="00832FA1" w:rsidRPr="00C739B7">
        <w:rPr>
          <w:rFonts w:ascii="Calibri" w:hAnsi="Calibri"/>
          <w:bCs/>
          <w:sz w:val="24"/>
          <w:szCs w:val="24"/>
          <w:lang w:val="en-US"/>
        </w:rPr>
        <w:t xml:space="preserve">r </w:t>
      </w:r>
      <w:r w:rsidR="00CE1B8F" w:rsidRPr="00C739B7">
        <w:rPr>
          <w:rFonts w:ascii="Calibri" w:hAnsi="Calibri"/>
          <w:bCs/>
          <w:sz w:val="24"/>
          <w:szCs w:val="24"/>
          <w:lang w:val="en-US"/>
        </w:rPr>
        <w:t>Europe, though advocated in North America [</w:t>
      </w:r>
      <w:r w:rsidR="00CD70A4">
        <w:rPr>
          <w:rFonts w:ascii="Calibri" w:hAnsi="Calibri"/>
          <w:bCs/>
          <w:sz w:val="24"/>
          <w:szCs w:val="24"/>
          <w:lang w:val="en-US"/>
        </w:rPr>
        <w:t>14</w:t>
      </w:r>
      <w:r w:rsidR="006B2D1C" w:rsidRPr="00C739B7">
        <w:rPr>
          <w:rFonts w:ascii="Calibri" w:hAnsi="Calibri"/>
          <w:bCs/>
          <w:sz w:val="24"/>
          <w:szCs w:val="24"/>
          <w:lang w:val="en-US"/>
        </w:rPr>
        <w:t xml:space="preserve">, </w:t>
      </w:r>
      <w:r w:rsidR="00CD70A4">
        <w:rPr>
          <w:rFonts w:ascii="Calibri" w:hAnsi="Calibri"/>
          <w:bCs/>
          <w:sz w:val="24"/>
          <w:szCs w:val="24"/>
          <w:lang w:val="en-US"/>
        </w:rPr>
        <w:t>15</w:t>
      </w:r>
      <w:r w:rsidR="00F60466">
        <w:rPr>
          <w:rFonts w:ascii="Calibri" w:hAnsi="Calibri"/>
          <w:bCs/>
          <w:sz w:val="24"/>
          <w:szCs w:val="24"/>
          <w:lang w:val="en-US"/>
        </w:rPr>
        <w:t>]</w:t>
      </w:r>
      <w:r w:rsidR="00CE1B8F" w:rsidRPr="00C739B7">
        <w:rPr>
          <w:rFonts w:ascii="Calibri" w:hAnsi="Calibri"/>
          <w:bCs/>
          <w:sz w:val="24"/>
          <w:szCs w:val="24"/>
          <w:lang w:val="en-US"/>
        </w:rPr>
        <w:t>. In those eligible for assessment</w:t>
      </w:r>
      <w:r w:rsidR="002277C4">
        <w:rPr>
          <w:rFonts w:ascii="Calibri" w:hAnsi="Calibri"/>
          <w:bCs/>
          <w:sz w:val="24"/>
          <w:szCs w:val="24"/>
          <w:lang w:val="en-US"/>
        </w:rPr>
        <w:t>,</w:t>
      </w:r>
      <w:r w:rsidR="00CE1B8F" w:rsidRPr="00C739B7">
        <w:rPr>
          <w:rFonts w:ascii="Calibri" w:hAnsi="Calibri"/>
          <w:bCs/>
          <w:sz w:val="24"/>
          <w:szCs w:val="24"/>
          <w:lang w:val="en-US"/>
        </w:rPr>
        <w:t xml:space="preserve"> </w:t>
      </w:r>
      <w:r w:rsidR="00B3530C">
        <w:rPr>
          <w:rFonts w:ascii="Calibri" w:hAnsi="Calibri"/>
          <w:bCs/>
          <w:sz w:val="24"/>
          <w:szCs w:val="24"/>
          <w:lang w:val="en-US"/>
        </w:rPr>
        <w:t>FRAX probabilities should be calculated without the inclusion of BMD</w:t>
      </w:r>
      <w:r w:rsidR="002E0986">
        <w:rPr>
          <w:rFonts w:ascii="Calibri" w:hAnsi="Calibri"/>
          <w:bCs/>
          <w:sz w:val="24"/>
          <w:szCs w:val="24"/>
          <w:lang w:val="en-US"/>
        </w:rPr>
        <w:t xml:space="preserve"> (Figure 3)</w:t>
      </w:r>
      <w:r w:rsidR="00B3530C">
        <w:rPr>
          <w:rFonts w:ascii="Calibri" w:hAnsi="Calibri"/>
          <w:bCs/>
          <w:sz w:val="24"/>
          <w:szCs w:val="24"/>
          <w:lang w:val="en-US"/>
        </w:rPr>
        <w:t xml:space="preserve">.  </w:t>
      </w:r>
      <w:r w:rsidR="00CE1B8F" w:rsidRPr="00C739B7">
        <w:rPr>
          <w:rFonts w:ascii="Calibri" w:hAnsi="Calibri"/>
          <w:bCs/>
          <w:sz w:val="24"/>
          <w:szCs w:val="24"/>
          <w:lang w:val="en-US"/>
        </w:rPr>
        <w:t xml:space="preserve">Those individuals with fracture probabilities equivalent or lower than women with no clinical risk factors (as used in FRAX) would not be assessed by BMD. At the other extreme, BMD testing </w:t>
      </w:r>
      <w:r w:rsidR="00B3530C">
        <w:rPr>
          <w:rFonts w:ascii="Calibri" w:hAnsi="Calibri"/>
          <w:bCs/>
          <w:sz w:val="24"/>
          <w:szCs w:val="24"/>
          <w:lang w:val="en-US"/>
        </w:rPr>
        <w:t>is</w:t>
      </w:r>
      <w:r w:rsidR="00CE1B8F" w:rsidRPr="00C739B7">
        <w:rPr>
          <w:rFonts w:ascii="Calibri" w:hAnsi="Calibri"/>
          <w:bCs/>
          <w:sz w:val="24"/>
          <w:szCs w:val="24"/>
          <w:lang w:val="en-US"/>
        </w:rPr>
        <w:t xml:space="preserve"> not universally recommended in individuals at high risk. </w:t>
      </w:r>
      <w:r w:rsidR="00B3530C">
        <w:rPr>
          <w:rFonts w:ascii="Calibri" w:hAnsi="Calibri"/>
          <w:bCs/>
          <w:sz w:val="24"/>
          <w:szCs w:val="24"/>
          <w:lang w:val="en-US"/>
        </w:rPr>
        <w:t xml:space="preserve"> Thus, BMD is reserved for those at intermediate risk. </w:t>
      </w:r>
      <w:r w:rsidR="00CE1B8F" w:rsidRPr="00C739B7">
        <w:rPr>
          <w:rFonts w:ascii="Calibri" w:hAnsi="Calibri"/>
          <w:bCs/>
          <w:sz w:val="24"/>
          <w:szCs w:val="24"/>
          <w:lang w:val="en-US"/>
        </w:rPr>
        <w:t>The rationale is that reclassification of risk with the addition of a BMD test (from high risk to low risk and vice versa) is</w:t>
      </w:r>
      <w:r w:rsidR="00B55F28" w:rsidRPr="00C739B7">
        <w:rPr>
          <w:rFonts w:ascii="Calibri" w:hAnsi="Calibri"/>
          <w:bCs/>
          <w:sz w:val="24"/>
          <w:szCs w:val="24"/>
          <w:lang w:val="en-US"/>
        </w:rPr>
        <w:t xml:space="preserve"> </w:t>
      </w:r>
      <w:r w:rsidR="00406447" w:rsidRPr="00C739B7">
        <w:rPr>
          <w:rFonts w:ascii="Calibri" w:hAnsi="Calibri"/>
          <w:bCs/>
          <w:sz w:val="24"/>
          <w:szCs w:val="24"/>
          <w:lang w:val="en-US"/>
        </w:rPr>
        <w:t>h</w:t>
      </w:r>
      <w:r w:rsidR="00B55F28" w:rsidRPr="00C739B7">
        <w:rPr>
          <w:rFonts w:ascii="Calibri" w:hAnsi="Calibri"/>
          <w:bCs/>
          <w:sz w:val="24"/>
          <w:szCs w:val="24"/>
          <w:lang w:val="en-US"/>
        </w:rPr>
        <w:t>igh</w:t>
      </w:r>
      <w:r w:rsidR="00406447" w:rsidRPr="00C739B7">
        <w:rPr>
          <w:rFonts w:ascii="Calibri" w:hAnsi="Calibri"/>
          <w:bCs/>
          <w:sz w:val="24"/>
          <w:szCs w:val="24"/>
          <w:lang w:val="en-US"/>
        </w:rPr>
        <w:t xml:space="preserve"> when fracture probabilities estimated without BMD are close to the intervention </w:t>
      </w:r>
      <w:r w:rsidR="003B0D70" w:rsidRPr="00C739B7">
        <w:rPr>
          <w:rFonts w:ascii="Calibri" w:hAnsi="Calibri"/>
          <w:bCs/>
          <w:sz w:val="24"/>
          <w:szCs w:val="24"/>
          <w:lang w:val="en-US"/>
        </w:rPr>
        <w:t>threshold,</w:t>
      </w:r>
      <w:r w:rsidR="00406447" w:rsidRPr="00C739B7">
        <w:rPr>
          <w:rFonts w:ascii="Calibri" w:hAnsi="Calibri"/>
          <w:bCs/>
          <w:sz w:val="24"/>
          <w:szCs w:val="24"/>
          <w:lang w:val="en-US"/>
        </w:rPr>
        <w:t xml:space="preserve"> but the </w:t>
      </w:r>
      <w:r w:rsidR="00406447" w:rsidRPr="00C94B77">
        <w:rPr>
          <w:rFonts w:ascii="Calibri" w:hAnsi="Calibri"/>
          <w:bCs/>
          <w:sz w:val="24"/>
          <w:szCs w:val="24"/>
          <w:lang w:val="en-US"/>
        </w:rPr>
        <w:t>likelihood of reclassification decreases the further away the probability estimate is from the intervention threshold [</w:t>
      </w:r>
      <w:r w:rsidR="00CD70A4" w:rsidRPr="00C94B77">
        <w:rPr>
          <w:rFonts w:ascii="Calibri" w:hAnsi="Calibri"/>
          <w:bCs/>
          <w:sz w:val="24"/>
          <w:szCs w:val="24"/>
          <w:lang w:val="en-US"/>
        </w:rPr>
        <w:t>18</w:t>
      </w:r>
      <w:r w:rsidR="005058F7" w:rsidRPr="00C94B77">
        <w:rPr>
          <w:rFonts w:ascii="Calibri" w:hAnsi="Calibri"/>
          <w:bCs/>
          <w:sz w:val="24"/>
          <w:szCs w:val="24"/>
          <w:lang w:val="en-US"/>
        </w:rPr>
        <w:t>]</w:t>
      </w:r>
      <w:r w:rsidR="00406447" w:rsidRPr="00C94B77">
        <w:rPr>
          <w:rFonts w:ascii="Calibri" w:hAnsi="Calibri"/>
          <w:bCs/>
          <w:sz w:val="24"/>
          <w:szCs w:val="24"/>
          <w:lang w:val="en-US"/>
        </w:rPr>
        <w:t xml:space="preserve">. </w:t>
      </w:r>
      <w:r w:rsidR="004B1926" w:rsidRPr="00C94B77">
        <w:rPr>
          <w:rFonts w:ascii="Calibri" w:hAnsi="Calibri"/>
          <w:bCs/>
          <w:sz w:val="24"/>
          <w:szCs w:val="24"/>
          <w:lang w:val="en-US"/>
        </w:rPr>
        <w:t xml:space="preserve"> </w:t>
      </w:r>
      <w:r w:rsidR="00406447" w:rsidRPr="00C94B77">
        <w:rPr>
          <w:rFonts w:ascii="Calibri" w:hAnsi="Calibri"/>
          <w:bCs/>
          <w:sz w:val="24"/>
          <w:szCs w:val="24"/>
          <w:lang w:val="en-US"/>
        </w:rPr>
        <w:t xml:space="preserve">The approach used has been well validated in the UK and </w:t>
      </w:r>
      <w:r w:rsidR="00406447" w:rsidRPr="00C94B77">
        <w:rPr>
          <w:rFonts w:ascii="Calibri" w:hAnsi="Calibri" w:cs="Calibri"/>
          <w:bCs/>
          <w:sz w:val="24"/>
          <w:szCs w:val="24"/>
          <w:lang w:val="en-US"/>
        </w:rPr>
        <w:t>Canada [</w:t>
      </w:r>
      <w:r w:rsidR="00CD70A4" w:rsidRPr="00C94B77">
        <w:rPr>
          <w:rFonts w:ascii="Calibri" w:hAnsi="Calibri" w:cs="Calibri"/>
          <w:bCs/>
          <w:sz w:val="24"/>
          <w:szCs w:val="24"/>
          <w:lang w:val="en-US"/>
        </w:rPr>
        <w:t>15</w:t>
      </w:r>
      <w:r w:rsidR="001762BB" w:rsidRPr="00C94B77">
        <w:rPr>
          <w:rFonts w:ascii="Calibri" w:hAnsi="Calibri" w:cs="Calibri"/>
          <w:bCs/>
          <w:sz w:val="24"/>
          <w:szCs w:val="24"/>
          <w:lang w:val="en-US"/>
        </w:rPr>
        <w:t xml:space="preserve">, </w:t>
      </w:r>
      <w:r w:rsidR="00CD70A4" w:rsidRPr="00C94B77">
        <w:rPr>
          <w:rFonts w:ascii="Calibri" w:hAnsi="Calibri" w:cs="Calibri"/>
          <w:sz w:val="24"/>
          <w:szCs w:val="24"/>
          <w:lang w:val="en-GB"/>
        </w:rPr>
        <w:t>19</w:t>
      </w:r>
      <w:r w:rsidR="000D2313" w:rsidRPr="00C94B77">
        <w:rPr>
          <w:rFonts w:ascii="Calibri" w:hAnsi="Calibri" w:cs="Calibri"/>
          <w:sz w:val="24"/>
          <w:szCs w:val="24"/>
          <w:lang w:val="en-GB"/>
        </w:rPr>
        <w:t xml:space="preserve">, </w:t>
      </w:r>
      <w:r w:rsidR="00CD70A4" w:rsidRPr="00C94B77">
        <w:rPr>
          <w:rFonts w:ascii="Calibri" w:hAnsi="Calibri" w:cs="Calibri"/>
          <w:sz w:val="24"/>
          <w:szCs w:val="24"/>
          <w:lang w:val="en-GB"/>
        </w:rPr>
        <w:t>25</w:t>
      </w:r>
      <w:r w:rsidR="004B1926" w:rsidRPr="00C94B77">
        <w:rPr>
          <w:rFonts w:ascii="Calibri" w:hAnsi="Calibri" w:cs="Calibri"/>
          <w:sz w:val="24"/>
          <w:szCs w:val="24"/>
          <w:lang w:val="en-GB"/>
        </w:rPr>
        <w:t xml:space="preserve">, </w:t>
      </w:r>
      <w:r w:rsidR="00CD70A4" w:rsidRPr="00C94B77">
        <w:rPr>
          <w:rFonts w:ascii="Calibri" w:hAnsi="Calibri" w:cs="Calibri"/>
          <w:sz w:val="24"/>
          <w:szCs w:val="24"/>
          <w:lang w:val="en-GB"/>
        </w:rPr>
        <w:t>26</w:t>
      </w:r>
      <w:r w:rsidR="004B1926" w:rsidRPr="00C94B77">
        <w:rPr>
          <w:rFonts w:ascii="Calibri" w:hAnsi="Calibri" w:cs="Calibri"/>
          <w:sz w:val="24"/>
          <w:szCs w:val="24"/>
          <w:lang w:val="en-GB"/>
        </w:rPr>
        <w:t xml:space="preserve">, </w:t>
      </w:r>
      <w:r w:rsidR="00CD70A4" w:rsidRPr="00C94B77">
        <w:rPr>
          <w:rFonts w:ascii="Calibri" w:hAnsi="Calibri" w:cs="Calibri"/>
          <w:sz w:val="24"/>
          <w:szCs w:val="24"/>
          <w:lang w:val="en-GB"/>
        </w:rPr>
        <w:t>30</w:t>
      </w:r>
      <w:r w:rsidR="005858DE" w:rsidRPr="00C94B77">
        <w:rPr>
          <w:rFonts w:ascii="Calibri" w:hAnsi="Calibri" w:cs="Calibri"/>
          <w:sz w:val="24"/>
          <w:szCs w:val="24"/>
          <w:lang w:val="en-GB"/>
        </w:rPr>
        <w:t xml:space="preserve">, </w:t>
      </w:r>
      <w:r w:rsidR="00CD70A4" w:rsidRPr="00C94B77">
        <w:rPr>
          <w:rFonts w:ascii="Calibri" w:hAnsi="Calibri" w:cs="Calibri"/>
          <w:sz w:val="24"/>
          <w:szCs w:val="24"/>
          <w:lang w:val="en-GB"/>
        </w:rPr>
        <w:t>31</w:t>
      </w:r>
      <w:r w:rsidR="005858DE" w:rsidRPr="00C94B77">
        <w:rPr>
          <w:rFonts w:ascii="Calibri" w:hAnsi="Calibri" w:cs="Calibri"/>
          <w:sz w:val="24"/>
          <w:szCs w:val="24"/>
          <w:lang w:val="en-GB"/>
        </w:rPr>
        <w:t xml:space="preserve">, </w:t>
      </w:r>
      <w:r w:rsidR="00CD70A4" w:rsidRPr="00C94B77">
        <w:rPr>
          <w:rFonts w:ascii="Calibri" w:hAnsi="Calibri" w:cs="Calibri"/>
          <w:sz w:val="24"/>
          <w:szCs w:val="24"/>
          <w:lang w:val="en-GB"/>
        </w:rPr>
        <w:t>32</w:t>
      </w:r>
      <w:r w:rsidR="00436364" w:rsidRPr="00C94B77">
        <w:rPr>
          <w:rFonts w:ascii="Calibri" w:hAnsi="Calibri" w:cs="Calibri"/>
          <w:sz w:val="24"/>
          <w:szCs w:val="24"/>
          <w:lang w:val="en-GB"/>
        </w:rPr>
        <w:t>]</w:t>
      </w:r>
      <w:r w:rsidR="00506FB5" w:rsidRPr="00C94B77">
        <w:rPr>
          <w:rFonts w:ascii="Calibri" w:hAnsi="Calibri" w:cs="Calibri"/>
          <w:sz w:val="24"/>
          <w:szCs w:val="24"/>
          <w:lang w:val="en-GB"/>
        </w:rPr>
        <w:t>.</w:t>
      </w:r>
    </w:p>
    <w:p w14:paraId="51E548A3" w14:textId="4D32D2AD" w:rsidR="001F7930" w:rsidRDefault="004F4177" w:rsidP="00747680">
      <w:pPr>
        <w:pStyle w:val="PlainText"/>
        <w:spacing w:after="240" w:line="276" w:lineRule="auto"/>
        <w:ind w:left="567"/>
        <w:jc w:val="center"/>
        <w:rPr>
          <w:rFonts w:ascii="Calibri" w:hAnsi="Calibri"/>
          <w:bCs/>
          <w:sz w:val="24"/>
          <w:szCs w:val="24"/>
          <w:lang w:val="en-US"/>
        </w:rPr>
      </w:pPr>
      <w:r>
        <w:rPr>
          <w:noProof/>
          <w:lang w:val="en-GB" w:eastAsia="en-GB"/>
        </w:rPr>
        <w:drawing>
          <wp:inline distT="0" distB="0" distL="0" distR="0" wp14:anchorId="31C9030D" wp14:editId="7C5FE6A7">
            <wp:extent cx="4241483" cy="3032760"/>
            <wp:effectExtent l="0" t="0" r="698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rcRect l="27687" t="8083"/>
                    <a:stretch/>
                  </pic:blipFill>
                  <pic:spPr bwMode="auto">
                    <a:xfrm>
                      <a:off x="0" y="0"/>
                      <a:ext cx="4241483" cy="3032760"/>
                    </a:xfrm>
                    <a:prstGeom prst="rect">
                      <a:avLst/>
                    </a:prstGeom>
                    <a:ln>
                      <a:noFill/>
                    </a:ln>
                    <a:extLst>
                      <a:ext uri="{53640926-AAD7-44D8-BBD7-CCE9431645EC}">
                        <a14:shadowObscured xmlns:a14="http://schemas.microsoft.com/office/drawing/2010/main"/>
                      </a:ext>
                    </a:extLst>
                  </pic:spPr>
                </pic:pic>
              </a:graphicData>
            </a:graphic>
          </wp:inline>
        </w:drawing>
      </w:r>
    </w:p>
    <w:p w14:paraId="293D4661" w14:textId="4196FD0C" w:rsidR="001F7930" w:rsidRDefault="001F7930" w:rsidP="009E6DB1">
      <w:pPr>
        <w:pStyle w:val="PlainText"/>
        <w:spacing w:after="240" w:line="276" w:lineRule="auto"/>
        <w:ind w:left="567"/>
        <w:jc w:val="center"/>
        <w:rPr>
          <w:rFonts w:ascii="Calibri" w:hAnsi="Calibri"/>
          <w:bCs/>
          <w:sz w:val="24"/>
          <w:szCs w:val="24"/>
          <w:lang w:val="en-US"/>
        </w:rPr>
      </w:pPr>
    </w:p>
    <w:p w14:paraId="3792DC2C" w14:textId="73C1C98B" w:rsidR="009E6DB1" w:rsidRPr="00D509AF" w:rsidRDefault="009E6DB1" w:rsidP="009E6DB1">
      <w:pPr>
        <w:pStyle w:val="Default"/>
        <w:ind w:left="1701" w:right="2291"/>
        <w:rPr>
          <w:rFonts w:asciiTheme="minorHAnsi" w:hAnsiTheme="minorHAnsi" w:cstheme="minorHAnsi"/>
          <w:color w:val="auto"/>
          <w:sz w:val="20"/>
          <w:szCs w:val="20"/>
          <w:lang w:val="en-US"/>
        </w:rPr>
      </w:pPr>
      <w:r w:rsidRPr="00D509AF">
        <w:rPr>
          <w:rFonts w:asciiTheme="minorHAnsi" w:hAnsiTheme="minorHAnsi" w:cstheme="minorHAnsi"/>
          <w:b/>
          <w:bCs/>
          <w:color w:val="auto"/>
          <w:sz w:val="20"/>
          <w:szCs w:val="20"/>
          <w:lang w:val="en-US"/>
        </w:rPr>
        <w:t>Fig</w:t>
      </w:r>
      <w:r>
        <w:rPr>
          <w:rFonts w:asciiTheme="minorHAnsi" w:hAnsiTheme="minorHAnsi" w:cstheme="minorHAnsi"/>
          <w:b/>
          <w:bCs/>
          <w:color w:val="auto"/>
          <w:sz w:val="20"/>
          <w:szCs w:val="20"/>
          <w:lang w:val="en-US"/>
        </w:rPr>
        <w:t xml:space="preserve">. 3 </w:t>
      </w:r>
      <w:r w:rsidRPr="00D509AF">
        <w:rPr>
          <w:rFonts w:asciiTheme="minorHAnsi" w:hAnsiTheme="minorHAnsi" w:cstheme="minorHAnsi"/>
          <w:b/>
          <w:bCs/>
          <w:color w:val="auto"/>
          <w:sz w:val="20"/>
          <w:szCs w:val="20"/>
          <w:lang w:val="en-US"/>
        </w:rPr>
        <w:t xml:space="preserve"> </w:t>
      </w:r>
      <w:r w:rsidRPr="00D509AF">
        <w:rPr>
          <w:rFonts w:ascii="Calibri" w:hAnsi="Calibri"/>
          <w:sz w:val="20"/>
          <w:szCs w:val="20"/>
          <w:lang w:val="en-GB"/>
        </w:rPr>
        <w:t xml:space="preserve">Management algorithm for the assessment of individuals at risk of fracture </w:t>
      </w:r>
      <w:r w:rsidR="00D1491B">
        <w:rPr>
          <w:rFonts w:ascii="Calibri" w:hAnsi="Calibri"/>
          <w:sz w:val="20"/>
          <w:szCs w:val="20"/>
          <w:lang w:val="en-GB"/>
        </w:rPr>
        <w:t>(</w:t>
      </w:r>
      <w:r w:rsidR="006E6C05" w:rsidRPr="006E6C05">
        <w:rPr>
          <w:rFonts w:ascii="Calibri" w:hAnsi="Calibri"/>
          <w:sz w:val="20"/>
          <w:szCs w:val="20"/>
          <w:lang w:val="en-GB"/>
        </w:rPr>
        <w:t>a</w:t>
      </w:r>
      <w:r w:rsidRPr="006E6C05">
        <w:rPr>
          <w:rFonts w:ascii="Calibri" w:hAnsi="Calibri"/>
          <w:sz w:val="20"/>
          <w:szCs w:val="20"/>
          <w:lang w:val="en-GB"/>
        </w:rPr>
        <w:t>dapted from Kanis 2008</w:t>
      </w:r>
      <w:r w:rsidR="00CB4C06" w:rsidRPr="006E6C05">
        <w:rPr>
          <w:rFonts w:ascii="Calibri" w:hAnsi="Calibri"/>
          <w:sz w:val="20"/>
          <w:szCs w:val="20"/>
          <w:lang w:val="en-GB"/>
        </w:rPr>
        <w:t xml:space="preserve"> [</w:t>
      </w:r>
      <w:r w:rsidR="00CD70A4">
        <w:rPr>
          <w:rFonts w:ascii="Calibri" w:hAnsi="Calibri"/>
          <w:sz w:val="20"/>
          <w:szCs w:val="20"/>
          <w:lang w:val="en-GB"/>
        </w:rPr>
        <w:t>20</w:t>
      </w:r>
      <w:r w:rsidR="00CB4C06" w:rsidRPr="006E6C05">
        <w:rPr>
          <w:rFonts w:ascii="Calibri" w:hAnsi="Calibri"/>
          <w:sz w:val="20"/>
          <w:szCs w:val="20"/>
          <w:lang w:val="en-GB"/>
        </w:rPr>
        <w:t>]</w:t>
      </w:r>
      <w:r w:rsidRPr="00D509AF">
        <w:rPr>
          <w:rFonts w:ascii="Calibri" w:hAnsi="Calibri"/>
          <w:sz w:val="20"/>
          <w:szCs w:val="20"/>
          <w:lang w:val="en-GB"/>
        </w:rPr>
        <w:t xml:space="preserve"> with kind permission from Springer Science and Business Media</w:t>
      </w:r>
      <w:r w:rsidR="006E6C05">
        <w:rPr>
          <w:rFonts w:ascii="Calibri" w:hAnsi="Calibri"/>
          <w:sz w:val="20"/>
          <w:szCs w:val="20"/>
          <w:lang w:val="en-GB"/>
        </w:rPr>
        <w:t>)</w:t>
      </w:r>
      <w:r w:rsidRPr="00D509AF">
        <w:rPr>
          <w:rFonts w:ascii="Calibri" w:hAnsi="Calibri"/>
          <w:sz w:val="20"/>
          <w:szCs w:val="20"/>
          <w:lang w:val="en-GB"/>
        </w:rPr>
        <w:t xml:space="preserve">. </w:t>
      </w:r>
      <w:r w:rsidRPr="00CD3600">
        <w:rPr>
          <w:rFonts w:ascii="Calibri" w:hAnsi="Calibri"/>
          <w:sz w:val="20"/>
          <w:szCs w:val="20"/>
          <w:lang w:val="en-GB"/>
        </w:rPr>
        <w:t>CRFs, clinical risk factors.</w:t>
      </w:r>
    </w:p>
    <w:p w14:paraId="7AF007A0" w14:textId="77777777" w:rsidR="009E6DB1" w:rsidRDefault="009E6DB1" w:rsidP="00327F40">
      <w:pPr>
        <w:pStyle w:val="PlainText"/>
        <w:spacing w:after="240" w:line="276" w:lineRule="auto"/>
        <w:ind w:left="567"/>
        <w:rPr>
          <w:rFonts w:ascii="Calibri" w:hAnsi="Calibri"/>
          <w:bCs/>
          <w:sz w:val="24"/>
          <w:szCs w:val="24"/>
          <w:lang w:val="en-US"/>
        </w:rPr>
      </w:pPr>
    </w:p>
    <w:p w14:paraId="6B14CB1B" w14:textId="0AD6BB0C" w:rsidR="00374038" w:rsidRPr="00C739B7" w:rsidRDefault="00406447" w:rsidP="00327F40">
      <w:pPr>
        <w:pStyle w:val="PlainText"/>
        <w:spacing w:after="240" w:line="276" w:lineRule="auto"/>
        <w:ind w:left="567"/>
        <w:rPr>
          <w:rFonts w:ascii="Calibri" w:hAnsi="Calibri"/>
          <w:bCs/>
          <w:sz w:val="24"/>
          <w:szCs w:val="24"/>
          <w:lang w:val="en-US"/>
        </w:rPr>
      </w:pPr>
      <w:r w:rsidRPr="00C739B7">
        <w:rPr>
          <w:rFonts w:ascii="Calibri" w:hAnsi="Calibri"/>
          <w:bCs/>
          <w:sz w:val="24"/>
          <w:szCs w:val="24"/>
          <w:lang w:val="en-US"/>
        </w:rPr>
        <w:t>The attraction of this approach is that this makes efficient use of BMD resources</w:t>
      </w:r>
      <w:r w:rsidR="00505758">
        <w:rPr>
          <w:rFonts w:ascii="Calibri" w:hAnsi="Calibri"/>
          <w:bCs/>
          <w:sz w:val="24"/>
          <w:szCs w:val="24"/>
          <w:lang w:val="en-US"/>
        </w:rPr>
        <w:t>, or indeed can be implemented in the absence of access to DXA facilities</w:t>
      </w:r>
      <w:r w:rsidR="00355CAA">
        <w:rPr>
          <w:rFonts w:ascii="Calibri" w:hAnsi="Calibri"/>
          <w:bCs/>
          <w:sz w:val="24"/>
          <w:szCs w:val="24"/>
          <w:lang w:val="en-US"/>
        </w:rPr>
        <w:t xml:space="preserve"> as is the case </w:t>
      </w:r>
      <w:r w:rsidR="00553242">
        <w:rPr>
          <w:rFonts w:ascii="Calibri" w:hAnsi="Calibri"/>
          <w:bCs/>
          <w:sz w:val="24"/>
          <w:szCs w:val="24"/>
          <w:lang w:val="en-US"/>
        </w:rPr>
        <w:t>i</w:t>
      </w:r>
      <w:r w:rsidR="00355CAA">
        <w:rPr>
          <w:rFonts w:ascii="Calibri" w:hAnsi="Calibri"/>
          <w:bCs/>
          <w:sz w:val="24"/>
          <w:szCs w:val="24"/>
          <w:lang w:val="en-US"/>
        </w:rPr>
        <w:t>n Pakistan</w:t>
      </w:r>
      <w:r w:rsidR="00505758">
        <w:rPr>
          <w:rFonts w:ascii="Calibri" w:hAnsi="Calibri"/>
          <w:bCs/>
          <w:sz w:val="24"/>
          <w:szCs w:val="24"/>
          <w:lang w:val="en-US"/>
        </w:rPr>
        <w:t xml:space="preserve">, thereby </w:t>
      </w:r>
      <w:r w:rsidR="00505758" w:rsidRPr="00C94B77">
        <w:rPr>
          <w:rFonts w:ascii="Calibri" w:hAnsi="Calibri"/>
          <w:bCs/>
          <w:sz w:val="24"/>
          <w:szCs w:val="24"/>
          <w:lang w:val="en-US"/>
        </w:rPr>
        <w:t>enfranchising treatment in those without such access</w:t>
      </w:r>
      <w:r w:rsidRPr="00C94B77">
        <w:rPr>
          <w:rFonts w:ascii="Calibri" w:hAnsi="Calibri"/>
          <w:bCs/>
          <w:sz w:val="24"/>
          <w:szCs w:val="24"/>
          <w:lang w:val="en-US"/>
        </w:rPr>
        <w:t xml:space="preserve">. The strategy implies, that patients at high risk, but identified without BMD, would respond to pharmacological intervention. </w:t>
      </w:r>
      <w:r w:rsidR="0031590E" w:rsidRPr="00C94B77">
        <w:rPr>
          <w:rFonts w:ascii="Calibri" w:hAnsi="Calibri"/>
          <w:bCs/>
          <w:sz w:val="24"/>
          <w:szCs w:val="24"/>
          <w:lang w:val="en-US"/>
        </w:rPr>
        <w:t>T</w:t>
      </w:r>
      <w:r w:rsidRPr="00C94B77">
        <w:rPr>
          <w:rFonts w:ascii="Calibri" w:hAnsi="Calibri"/>
          <w:bCs/>
          <w:sz w:val="24"/>
          <w:szCs w:val="24"/>
          <w:lang w:val="en-US"/>
        </w:rPr>
        <w:t xml:space="preserve">he </w:t>
      </w:r>
      <w:r w:rsidR="0031590E" w:rsidRPr="00C94B77">
        <w:rPr>
          <w:rFonts w:ascii="Calibri" w:hAnsi="Calibri"/>
          <w:bCs/>
          <w:sz w:val="24"/>
          <w:szCs w:val="24"/>
          <w:lang w:val="en-US"/>
        </w:rPr>
        <w:t xml:space="preserve">available </w:t>
      </w:r>
      <w:r w:rsidRPr="00C94B77">
        <w:rPr>
          <w:rFonts w:ascii="Calibri" w:hAnsi="Calibri"/>
          <w:bCs/>
          <w:sz w:val="24"/>
          <w:szCs w:val="24"/>
          <w:lang w:val="en-US"/>
        </w:rPr>
        <w:t xml:space="preserve">evidence </w:t>
      </w:r>
      <w:r w:rsidR="000222FA" w:rsidRPr="00C94B77">
        <w:rPr>
          <w:rFonts w:ascii="Calibri" w:hAnsi="Calibri"/>
          <w:bCs/>
          <w:sz w:val="24"/>
          <w:szCs w:val="24"/>
          <w:lang w:val="en-US"/>
        </w:rPr>
        <w:t xml:space="preserve">suggests </w:t>
      </w:r>
      <w:r w:rsidRPr="00C94B77">
        <w:rPr>
          <w:rFonts w:ascii="Calibri" w:hAnsi="Calibri"/>
          <w:bCs/>
          <w:sz w:val="24"/>
          <w:szCs w:val="24"/>
          <w:lang w:val="en-US"/>
        </w:rPr>
        <w:t>that such patients respond</w:t>
      </w:r>
      <w:r w:rsidR="005F032F" w:rsidRPr="00C94B77">
        <w:rPr>
          <w:rFonts w:ascii="Calibri" w:hAnsi="Calibri"/>
          <w:bCs/>
          <w:sz w:val="24"/>
          <w:szCs w:val="24"/>
          <w:lang w:val="en-US"/>
        </w:rPr>
        <w:t xml:space="preserve"> </w:t>
      </w:r>
      <w:r w:rsidRPr="00C94B77">
        <w:rPr>
          <w:rFonts w:ascii="Calibri" w:hAnsi="Calibri"/>
          <w:bCs/>
          <w:sz w:val="24"/>
          <w:szCs w:val="24"/>
          <w:lang w:val="en-US"/>
        </w:rPr>
        <w:t xml:space="preserve">to treatment </w:t>
      </w:r>
      <w:r w:rsidR="00AA0970" w:rsidRPr="00C94B77">
        <w:rPr>
          <w:rFonts w:ascii="Calibri" w:hAnsi="Calibri"/>
          <w:bCs/>
          <w:sz w:val="24"/>
          <w:szCs w:val="24"/>
          <w:lang w:val="en-US"/>
        </w:rPr>
        <w:t>[</w:t>
      </w:r>
      <w:r w:rsidR="001F5769" w:rsidRPr="00C94B77">
        <w:rPr>
          <w:rFonts w:ascii="Calibri" w:hAnsi="Calibri"/>
          <w:bCs/>
          <w:sz w:val="24"/>
          <w:szCs w:val="24"/>
          <w:lang w:val="en-US"/>
        </w:rPr>
        <w:t>19</w:t>
      </w:r>
      <w:r w:rsidR="00757918" w:rsidRPr="00C94B77">
        <w:rPr>
          <w:rFonts w:ascii="Calibri" w:hAnsi="Calibri"/>
          <w:bCs/>
          <w:sz w:val="24"/>
          <w:szCs w:val="24"/>
          <w:lang w:val="en-US"/>
        </w:rPr>
        <w:t xml:space="preserve">, </w:t>
      </w:r>
      <w:r w:rsidR="001F5769" w:rsidRPr="00C94B77">
        <w:rPr>
          <w:rFonts w:ascii="Calibri" w:hAnsi="Calibri"/>
          <w:bCs/>
          <w:sz w:val="24"/>
          <w:szCs w:val="24"/>
          <w:lang w:val="en-US"/>
        </w:rPr>
        <w:t>33</w:t>
      </w:r>
      <w:r w:rsidR="00D77223" w:rsidRPr="00C94B77">
        <w:rPr>
          <w:rFonts w:ascii="Calibri" w:hAnsi="Calibri"/>
          <w:bCs/>
          <w:sz w:val="24"/>
          <w:szCs w:val="24"/>
          <w:lang w:val="en-US"/>
        </w:rPr>
        <w:t xml:space="preserve">, </w:t>
      </w:r>
      <w:r w:rsidR="001F5769" w:rsidRPr="00C94B77">
        <w:rPr>
          <w:rFonts w:ascii="Calibri" w:hAnsi="Calibri"/>
          <w:bCs/>
          <w:sz w:val="24"/>
          <w:szCs w:val="24"/>
          <w:lang w:val="en-US"/>
        </w:rPr>
        <w:t>34</w:t>
      </w:r>
      <w:r w:rsidR="006B148A" w:rsidRPr="00C94B77">
        <w:rPr>
          <w:rFonts w:ascii="Calibri" w:hAnsi="Calibri"/>
          <w:bCs/>
          <w:sz w:val="24"/>
          <w:szCs w:val="24"/>
          <w:lang w:val="en-US"/>
        </w:rPr>
        <w:t xml:space="preserve">, </w:t>
      </w:r>
      <w:r w:rsidR="001F5769" w:rsidRPr="00C94B77">
        <w:rPr>
          <w:rFonts w:ascii="Calibri" w:hAnsi="Calibri"/>
          <w:bCs/>
          <w:sz w:val="24"/>
          <w:szCs w:val="24"/>
          <w:lang w:val="en-US"/>
        </w:rPr>
        <w:t>35</w:t>
      </w:r>
      <w:r w:rsidR="006B148A" w:rsidRPr="00C94B77">
        <w:rPr>
          <w:rFonts w:ascii="Calibri" w:hAnsi="Calibri"/>
          <w:bCs/>
          <w:sz w:val="24"/>
          <w:szCs w:val="24"/>
          <w:lang w:val="en-US"/>
        </w:rPr>
        <w:t xml:space="preserve">, </w:t>
      </w:r>
      <w:r w:rsidR="001F5769" w:rsidRPr="00C94B77">
        <w:rPr>
          <w:rFonts w:ascii="Calibri" w:hAnsi="Calibri"/>
          <w:bCs/>
          <w:sz w:val="24"/>
          <w:szCs w:val="24"/>
          <w:lang w:val="en-US"/>
        </w:rPr>
        <w:t>36</w:t>
      </w:r>
      <w:r w:rsidR="004B314A" w:rsidRPr="00C94B77">
        <w:rPr>
          <w:rFonts w:ascii="Calibri" w:hAnsi="Calibri"/>
          <w:bCs/>
          <w:sz w:val="24"/>
          <w:szCs w:val="24"/>
          <w:lang w:val="en-US"/>
        </w:rPr>
        <w:t xml:space="preserve">, </w:t>
      </w:r>
      <w:r w:rsidR="001F5769" w:rsidRPr="00C94B77">
        <w:rPr>
          <w:rFonts w:ascii="Calibri" w:hAnsi="Calibri"/>
          <w:bCs/>
          <w:sz w:val="24"/>
          <w:szCs w:val="24"/>
          <w:lang w:val="en-US"/>
        </w:rPr>
        <w:t xml:space="preserve">37 </w:t>
      </w:r>
      <w:r w:rsidR="006E6C05" w:rsidRPr="00C94B77">
        <w:rPr>
          <w:rFonts w:ascii="Calibri" w:hAnsi="Calibri"/>
          <w:bCs/>
          <w:sz w:val="24"/>
          <w:szCs w:val="24"/>
          <w:lang w:val="en-US"/>
        </w:rPr>
        <w:t>,</w:t>
      </w:r>
      <w:r w:rsidR="001F5769" w:rsidRPr="00C94B77">
        <w:rPr>
          <w:rFonts w:ascii="Calibri" w:hAnsi="Calibri"/>
          <w:bCs/>
          <w:sz w:val="24"/>
          <w:szCs w:val="24"/>
          <w:lang w:val="en-US"/>
        </w:rPr>
        <w:t>38</w:t>
      </w:r>
      <w:r w:rsidRPr="00C94B77">
        <w:rPr>
          <w:rFonts w:ascii="Calibri" w:hAnsi="Calibri"/>
          <w:bCs/>
          <w:sz w:val="24"/>
          <w:szCs w:val="24"/>
          <w:lang w:val="en-US"/>
        </w:rPr>
        <w:t xml:space="preserve">]. </w:t>
      </w:r>
      <w:r w:rsidR="00002E67" w:rsidRPr="00C94B77">
        <w:rPr>
          <w:rFonts w:ascii="Calibri" w:hAnsi="Calibri"/>
          <w:bCs/>
          <w:sz w:val="24"/>
          <w:szCs w:val="24"/>
          <w:lang w:val="en-US"/>
        </w:rPr>
        <w:t>A</w:t>
      </w:r>
      <w:r w:rsidRPr="00C94B77">
        <w:rPr>
          <w:rFonts w:ascii="Calibri" w:hAnsi="Calibri"/>
          <w:bCs/>
          <w:sz w:val="24"/>
          <w:szCs w:val="24"/>
          <w:lang w:val="en-US"/>
        </w:rPr>
        <w:t xml:space="preserve"> principal reason is that BMD values are low in patients identified with FRAX but without a BMD test</w:t>
      </w:r>
      <w:r w:rsidR="0057677B" w:rsidRPr="00C94B77">
        <w:rPr>
          <w:rFonts w:ascii="Calibri" w:hAnsi="Calibri"/>
          <w:bCs/>
          <w:sz w:val="24"/>
          <w:szCs w:val="24"/>
          <w:lang w:val="en-US"/>
        </w:rPr>
        <w:t xml:space="preserve"> </w:t>
      </w:r>
      <w:r w:rsidR="00620FD4" w:rsidRPr="00C94B77">
        <w:rPr>
          <w:rFonts w:ascii="Calibri" w:hAnsi="Calibri"/>
          <w:bCs/>
          <w:sz w:val="24"/>
          <w:szCs w:val="24"/>
          <w:lang w:val="en-US"/>
        </w:rPr>
        <w:t>[</w:t>
      </w:r>
      <w:r w:rsidR="00122C71" w:rsidRPr="00C94B77">
        <w:rPr>
          <w:rFonts w:ascii="Calibri" w:hAnsi="Calibri"/>
          <w:bCs/>
          <w:sz w:val="24"/>
          <w:szCs w:val="24"/>
          <w:lang w:val="en-US"/>
        </w:rPr>
        <w:t>32</w:t>
      </w:r>
      <w:r w:rsidR="008D370A" w:rsidRPr="00C94B77">
        <w:rPr>
          <w:rFonts w:ascii="Calibri" w:hAnsi="Calibri"/>
          <w:bCs/>
          <w:sz w:val="24"/>
          <w:szCs w:val="24"/>
          <w:lang w:val="en-US"/>
        </w:rPr>
        <w:t xml:space="preserve">, </w:t>
      </w:r>
      <w:r w:rsidR="00122C71" w:rsidRPr="00C94B77">
        <w:rPr>
          <w:rFonts w:ascii="Calibri" w:hAnsi="Calibri"/>
          <w:bCs/>
          <w:sz w:val="24"/>
          <w:szCs w:val="24"/>
          <w:lang w:val="en-US"/>
        </w:rPr>
        <w:t>33</w:t>
      </w:r>
      <w:r w:rsidR="00620FD4" w:rsidRPr="00C94B77">
        <w:rPr>
          <w:rFonts w:ascii="Calibri" w:hAnsi="Calibri"/>
          <w:bCs/>
          <w:sz w:val="24"/>
          <w:szCs w:val="24"/>
          <w:lang w:val="en-US"/>
        </w:rPr>
        <w:t>]</w:t>
      </w:r>
      <w:r w:rsidRPr="00C94B77">
        <w:rPr>
          <w:rFonts w:ascii="Calibri" w:hAnsi="Calibri"/>
          <w:bCs/>
          <w:sz w:val="24"/>
          <w:szCs w:val="24"/>
          <w:lang w:val="en-US"/>
        </w:rPr>
        <w:t>.</w:t>
      </w:r>
      <w:r w:rsidRPr="00C739B7">
        <w:rPr>
          <w:rFonts w:ascii="Calibri" w:hAnsi="Calibri"/>
          <w:bCs/>
          <w:sz w:val="24"/>
          <w:szCs w:val="24"/>
          <w:lang w:val="en-US"/>
        </w:rPr>
        <w:t xml:space="preserve"> </w:t>
      </w:r>
    </w:p>
    <w:p w14:paraId="20D99727" w14:textId="73F8C75D" w:rsidR="00B3530C" w:rsidRPr="00C739B7" w:rsidRDefault="00B3530C" w:rsidP="00B3530C">
      <w:pPr>
        <w:pStyle w:val="PlainText"/>
        <w:spacing w:after="240" w:line="276" w:lineRule="auto"/>
        <w:ind w:left="567"/>
        <w:rPr>
          <w:rFonts w:ascii="Calibri" w:hAnsi="Calibri"/>
          <w:bCs/>
          <w:sz w:val="24"/>
          <w:szCs w:val="24"/>
          <w:lang w:val="en-US"/>
        </w:rPr>
      </w:pPr>
      <w:r w:rsidRPr="00BC2D61">
        <w:rPr>
          <w:rFonts w:ascii="Calibri" w:hAnsi="Calibri"/>
          <w:bCs/>
          <w:sz w:val="24"/>
          <w:szCs w:val="24"/>
          <w:lang w:val="en-US"/>
        </w:rPr>
        <w:t xml:space="preserve">In the present study we have focused on intervention thresholds based on 10-year probabilities of a major osteoporotic fracture.  There is, in principle, no reason why a strategy should not be based on the probability of hip fracture.  Indeed, screening on this basis has recently been shown to decrease the incidence of hip fracture in the UK </w:t>
      </w:r>
      <w:r w:rsidRPr="006E6C05">
        <w:rPr>
          <w:rFonts w:ascii="Calibri" w:hAnsi="Calibri"/>
          <w:bCs/>
          <w:sz w:val="24"/>
          <w:szCs w:val="24"/>
          <w:lang w:val="en-US"/>
        </w:rPr>
        <w:t>[</w:t>
      </w:r>
      <w:r w:rsidR="007E4A33" w:rsidRPr="006E6C05">
        <w:rPr>
          <w:rFonts w:ascii="Calibri" w:hAnsi="Calibri"/>
          <w:bCs/>
          <w:sz w:val="24"/>
          <w:szCs w:val="24"/>
          <w:lang w:val="en-US"/>
        </w:rPr>
        <w:t>3</w:t>
      </w:r>
      <w:r w:rsidR="007E4A33">
        <w:rPr>
          <w:rFonts w:ascii="Calibri" w:hAnsi="Calibri"/>
          <w:bCs/>
          <w:sz w:val="24"/>
          <w:szCs w:val="24"/>
          <w:lang w:val="en-US"/>
        </w:rPr>
        <w:t>9</w:t>
      </w:r>
      <w:r w:rsidRPr="006E6C05">
        <w:rPr>
          <w:rFonts w:ascii="Calibri" w:hAnsi="Calibri"/>
          <w:bCs/>
          <w:sz w:val="24"/>
          <w:szCs w:val="24"/>
          <w:lang w:val="en-US"/>
        </w:rPr>
        <w:t>].</w:t>
      </w:r>
      <w:r w:rsidRPr="00BC2D61">
        <w:rPr>
          <w:rFonts w:ascii="Calibri" w:hAnsi="Calibri"/>
          <w:bCs/>
          <w:sz w:val="24"/>
          <w:szCs w:val="24"/>
          <w:lang w:val="en-US"/>
        </w:rPr>
        <w:t xml:space="preserve">  We have also assumed that measurements of BMD are included in the strategy.  Where facilities for BMD testing are wanting, FRAX without BMD provides similar predictive value as BMD without </w:t>
      </w:r>
      <w:r w:rsidRPr="000A181E">
        <w:rPr>
          <w:rFonts w:ascii="Calibri" w:hAnsi="Calibri"/>
          <w:bCs/>
          <w:sz w:val="24"/>
          <w:szCs w:val="24"/>
          <w:lang w:val="en-US"/>
        </w:rPr>
        <w:t>FRAX [</w:t>
      </w:r>
      <w:r w:rsidR="00122C71" w:rsidRPr="000A181E">
        <w:rPr>
          <w:rFonts w:ascii="Calibri" w:hAnsi="Calibri"/>
          <w:bCs/>
          <w:sz w:val="24"/>
          <w:szCs w:val="24"/>
          <w:lang w:val="en-US"/>
        </w:rPr>
        <w:t>1</w:t>
      </w:r>
      <w:r w:rsidR="00122C71">
        <w:rPr>
          <w:rFonts w:ascii="Calibri" w:hAnsi="Calibri"/>
          <w:bCs/>
          <w:sz w:val="24"/>
          <w:szCs w:val="24"/>
          <w:lang w:val="en-US"/>
        </w:rPr>
        <w:t>7</w:t>
      </w:r>
      <w:r w:rsidR="00E037D2" w:rsidRPr="000A181E">
        <w:rPr>
          <w:rFonts w:ascii="Calibri" w:hAnsi="Calibri"/>
          <w:bCs/>
          <w:sz w:val="24"/>
          <w:szCs w:val="24"/>
          <w:lang w:val="en-US"/>
        </w:rPr>
        <w:t>]</w:t>
      </w:r>
      <w:r w:rsidRPr="000A181E">
        <w:rPr>
          <w:rFonts w:ascii="Calibri" w:hAnsi="Calibri"/>
          <w:bCs/>
          <w:sz w:val="24"/>
          <w:szCs w:val="24"/>
          <w:lang w:val="en-US"/>
        </w:rPr>
        <w:t>. Nevertheless</w:t>
      </w:r>
      <w:r w:rsidRPr="00BC2D61">
        <w:rPr>
          <w:rFonts w:ascii="Calibri" w:hAnsi="Calibri"/>
          <w:bCs/>
          <w:sz w:val="24"/>
          <w:szCs w:val="24"/>
          <w:lang w:val="en-US"/>
        </w:rPr>
        <w:t>, the combination of FRAX with BMD where appropriate provides the optimal strategy.</w:t>
      </w:r>
      <w:r w:rsidR="00C52C47">
        <w:rPr>
          <w:rFonts w:ascii="Calibri" w:hAnsi="Calibri"/>
          <w:bCs/>
          <w:sz w:val="24"/>
          <w:szCs w:val="24"/>
          <w:lang w:val="en-US"/>
        </w:rPr>
        <w:t xml:space="preserve">  A caveat is that FRAX</w:t>
      </w:r>
      <w:r w:rsidR="00DF6EDA">
        <w:rPr>
          <w:rFonts w:ascii="Calibri" w:hAnsi="Calibri"/>
          <w:bCs/>
          <w:sz w:val="24"/>
          <w:szCs w:val="24"/>
          <w:lang w:val="en-US"/>
        </w:rPr>
        <w:t xml:space="preserve"> has its own limitations </w:t>
      </w:r>
      <w:r w:rsidR="00CA5BF9">
        <w:rPr>
          <w:rFonts w:ascii="Calibri" w:hAnsi="Calibri"/>
          <w:bCs/>
          <w:sz w:val="24"/>
          <w:szCs w:val="24"/>
          <w:lang w:val="en-US"/>
        </w:rPr>
        <w:t xml:space="preserve">[8] </w:t>
      </w:r>
      <w:r w:rsidR="00DF6EDA">
        <w:rPr>
          <w:rFonts w:ascii="Calibri" w:hAnsi="Calibri"/>
          <w:bCs/>
          <w:sz w:val="24"/>
          <w:szCs w:val="24"/>
          <w:lang w:val="en-US"/>
        </w:rPr>
        <w:t xml:space="preserve">and should </w:t>
      </w:r>
      <w:r w:rsidR="00061678">
        <w:rPr>
          <w:rFonts w:ascii="Calibri" w:hAnsi="Calibri"/>
          <w:bCs/>
          <w:sz w:val="24"/>
          <w:szCs w:val="24"/>
          <w:lang w:val="en-US"/>
        </w:rPr>
        <w:t xml:space="preserve">not </w:t>
      </w:r>
      <w:r w:rsidR="00DF6EDA">
        <w:rPr>
          <w:rFonts w:ascii="Calibri" w:hAnsi="Calibri"/>
          <w:bCs/>
          <w:sz w:val="24"/>
          <w:szCs w:val="24"/>
          <w:lang w:val="en-US"/>
        </w:rPr>
        <w:t>be used</w:t>
      </w:r>
      <w:r w:rsidR="000912D8">
        <w:rPr>
          <w:rFonts w:ascii="Calibri" w:hAnsi="Calibri"/>
          <w:bCs/>
          <w:sz w:val="24"/>
          <w:szCs w:val="24"/>
          <w:lang w:val="en-US"/>
        </w:rPr>
        <w:t xml:space="preserve"> to </w:t>
      </w:r>
      <w:r w:rsidR="00061678">
        <w:rPr>
          <w:rFonts w:ascii="Calibri" w:hAnsi="Calibri"/>
          <w:bCs/>
          <w:sz w:val="24"/>
          <w:szCs w:val="24"/>
          <w:lang w:val="en-US"/>
        </w:rPr>
        <w:t xml:space="preserve">replace </w:t>
      </w:r>
      <w:r w:rsidR="000912D8">
        <w:rPr>
          <w:rFonts w:ascii="Calibri" w:hAnsi="Calibri"/>
          <w:bCs/>
          <w:sz w:val="24"/>
          <w:szCs w:val="24"/>
          <w:lang w:val="en-US"/>
        </w:rPr>
        <w:t>clinical judg</w:t>
      </w:r>
      <w:r w:rsidR="004A332E">
        <w:rPr>
          <w:rFonts w:ascii="Calibri" w:hAnsi="Calibri"/>
          <w:bCs/>
          <w:sz w:val="24"/>
          <w:szCs w:val="24"/>
          <w:lang w:val="en-US"/>
        </w:rPr>
        <w:t>e</w:t>
      </w:r>
      <w:r w:rsidR="000912D8">
        <w:rPr>
          <w:rFonts w:ascii="Calibri" w:hAnsi="Calibri"/>
          <w:bCs/>
          <w:sz w:val="24"/>
          <w:szCs w:val="24"/>
          <w:lang w:val="en-US"/>
        </w:rPr>
        <w:t xml:space="preserve">ment. </w:t>
      </w:r>
    </w:p>
    <w:p w14:paraId="65AA2BC8" w14:textId="3E09C862" w:rsidR="0067280B" w:rsidRDefault="00935F9A" w:rsidP="00327F40">
      <w:pPr>
        <w:pStyle w:val="PlainText"/>
        <w:spacing w:after="240" w:line="276" w:lineRule="auto"/>
        <w:ind w:left="567"/>
        <w:rPr>
          <w:rFonts w:ascii="Calibri" w:hAnsi="Calibri"/>
          <w:bCs/>
          <w:sz w:val="24"/>
          <w:szCs w:val="24"/>
          <w:lang w:val="en-US"/>
        </w:rPr>
      </w:pPr>
      <w:r w:rsidRPr="00C739B7">
        <w:rPr>
          <w:rFonts w:ascii="Calibri" w:hAnsi="Calibri"/>
          <w:bCs/>
          <w:sz w:val="24"/>
          <w:szCs w:val="24"/>
          <w:lang w:val="en-US"/>
        </w:rPr>
        <w:t xml:space="preserve">The approach to intervention thresholds </w:t>
      </w:r>
      <w:r w:rsidR="00EC56C5" w:rsidRPr="00C739B7">
        <w:rPr>
          <w:rFonts w:ascii="Calibri" w:hAnsi="Calibri"/>
          <w:bCs/>
          <w:sz w:val="24"/>
          <w:szCs w:val="24"/>
          <w:lang w:val="en-US"/>
        </w:rPr>
        <w:t>is</w:t>
      </w:r>
      <w:r w:rsidRPr="00C739B7">
        <w:rPr>
          <w:rFonts w:ascii="Calibri" w:hAnsi="Calibri"/>
          <w:bCs/>
          <w:sz w:val="24"/>
          <w:szCs w:val="24"/>
          <w:lang w:val="en-US"/>
        </w:rPr>
        <w:t xml:space="preserve"> based on the principles of case finding and do not consider a health economic perspective. Although the approach has been shown to be cost-effective </w:t>
      </w:r>
      <w:r w:rsidRPr="00301ECD">
        <w:rPr>
          <w:rFonts w:ascii="Calibri" w:hAnsi="Calibri"/>
          <w:bCs/>
          <w:sz w:val="24"/>
          <w:szCs w:val="24"/>
          <w:lang w:val="en-US"/>
        </w:rPr>
        <w:t xml:space="preserve">in a UK </w:t>
      </w:r>
      <w:r w:rsidRPr="00C94B77">
        <w:rPr>
          <w:rFonts w:ascii="Calibri" w:hAnsi="Calibri"/>
          <w:bCs/>
          <w:sz w:val="24"/>
          <w:szCs w:val="24"/>
          <w:lang w:val="en-US"/>
        </w:rPr>
        <w:t>setting [</w:t>
      </w:r>
      <w:r w:rsidR="00122C71" w:rsidRPr="00C94B77">
        <w:rPr>
          <w:rFonts w:ascii="Calibri" w:hAnsi="Calibri"/>
          <w:bCs/>
          <w:sz w:val="24"/>
          <w:szCs w:val="24"/>
          <w:lang w:val="en-US"/>
        </w:rPr>
        <w:t>40, 41</w:t>
      </w:r>
      <w:r w:rsidR="00336190" w:rsidRPr="00C94B77">
        <w:rPr>
          <w:rFonts w:ascii="Calibri" w:hAnsi="Calibri"/>
          <w:bCs/>
          <w:sz w:val="24"/>
          <w:szCs w:val="24"/>
          <w:lang w:val="en-US"/>
        </w:rPr>
        <w:t>]</w:t>
      </w:r>
      <w:r w:rsidRPr="00C94B77">
        <w:rPr>
          <w:rFonts w:ascii="Calibri" w:hAnsi="Calibri"/>
          <w:bCs/>
          <w:sz w:val="24"/>
          <w:szCs w:val="24"/>
          <w:lang w:val="en-US"/>
        </w:rPr>
        <w:t>, cost-effectiveness</w:t>
      </w:r>
      <w:r w:rsidR="003671BF" w:rsidRPr="00C94B77">
        <w:rPr>
          <w:rFonts w:ascii="Calibri" w:hAnsi="Calibri"/>
          <w:bCs/>
          <w:sz w:val="24"/>
          <w:szCs w:val="24"/>
          <w:lang w:val="en-US"/>
        </w:rPr>
        <w:t xml:space="preserve"> will necessarily differ in </w:t>
      </w:r>
      <w:r w:rsidR="00EC56C5" w:rsidRPr="00C94B77">
        <w:rPr>
          <w:rFonts w:ascii="Calibri" w:hAnsi="Calibri"/>
          <w:bCs/>
          <w:sz w:val="24"/>
          <w:szCs w:val="24"/>
          <w:lang w:val="en-US"/>
        </w:rPr>
        <w:t xml:space="preserve">the </w:t>
      </w:r>
      <w:r w:rsidR="003C331C" w:rsidRPr="00C94B77">
        <w:rPr>
          <w:rFonts w:ascii="Calibri" w:hAnsi="Calibri"/>
          <w:bCs/>
          <w:sz w:val="24"/>
          <w:szCs w:val="24"/>
          <w:lang w:val="en-US"/>
        </w:rPr>
        <w:t>Pakistan</w:t>
      </w:r>
      <w:r w:rsidR="003671BF" w:rsidRPr="00C94B77">
        <w:rPr>
          <w:rFonts w:ascii="Calibri" w:hAnsi="Calibri"/>
          <w:bCs/>
          <w:sz w:val="24"/>
          <w:szCs w:val="24"/>
          <w:lang w:val="en-US"/>
        </w:rPr>
        <w:t xml:space="preserve"> </w:t>
      </w:r>
      <w:r w:rsidR="00506FB5" w:rsidRPr="00C94B77">
        <w:rPr>
          <w:rFonts w:ascii="Calibri" w:hAnsi="Calibri"/>
          <w:bCs/>
          <w:sz w:val="24"/>
          <w:szCs w:val="24"/>
          <w:lang w:val="en-US"/>
        </w:rPr>
        <w:t xml:space="preserve">setting </w:t>
      </w:r>
      <w:r w:rsidR="003671BF" w:rsidRPr="00C94B77">
        <w:rPr>
          <w:rFonts w:ascii="Calibri" w:hAnsi="Calibri"/>
          <w:bCs/>
          <w:sz w:val="24"/>
          <w:szCs w:val="24"/>
          <w:lang w:val="en-US"/>
        </w:rPr>
        <w:t>because of different fracture risks and cost. It will be important therefore to underpin these guidelines with an economic</w:t>
      </w:r>
      <w:r w:rsidR="003671BF" w:rsidRPr="00C739B7">
        <w:rPr>
          <w:rFonts w:ascii="Calibri" w:hAnsi="Calibri"/>
          <w:bCs/>
          <w:sz w:val="24"/>
          <w:szCs w:val="24"/>
          <w:lang w:val="en-US"/>
        </w:rPr>
        <w:t xml:space="preserve"> assessment. Overcoming these hurdles will, however, improve the delivery of health care to those most at need.</w:t>
      </w:r>
    </w:p>
    <w:p w14:paraId="32852832" w14:textId="77777777" w:rsidR="0062677D" w:rsidRPr="007C5E08" w:rsidRDefault="0062677D" w:rsidP="0062677D">
      <w:pPr>
        <w:autoSpaceDE w:val="0"/>
        <w:autoSpaceDN w:val="0"/>
        <w:adjustRightInd w:val="0"/>
        <w:spacing w:after="0" w:line="240" w:lineRule="auto"/>
        <w:ind w:left="1985"/>
        <w:rPr>
          <w:rFonts w:asciiTheme="minorHAnsi" w:hAnsiTheme="minorHAnsi" w:cstheme="minorHAnsi"/>
          <w:b/>
          <w:bCs/>
          <w:sz w:val="24"/>
          <w:szCs w:val="24"/>
          <w:lang w:val="en-US" w:eastAsia="en-GB"/>
        </w:rPr>
      </w:pPr>
    </w:p>
    <w:p w14:paraId="3963E15A" w14:textId="7265AAA8" w:rsidR="0062677D" w:rsidRPr="009E6DB1" w:rsidRDefault="009E6DB1" w:rsidP="009E6DB1">
      <w:pPr>
        <w:autoSpaceDE w:val="0"/>
        <w:autoSpaceDN w:val="0"/>
        <w:adjustRightInd w:val="0"/>
        <w:spacing w:after="0" w:line="240" w:lineRule="auto"/>
        <w:ind w:left="567"/>
        <w:rPr>
          <w:rFonts w:asciiTheme="minorHAnsi" w:hAnsiTheme="minorHAnsi" w:cstheme="minorHAnsi"/>
          <w:sz w:val="24"/>
          <w:szCs w:val="24"/>
          <w:lang w:val="en-GB" w:eastAsia="en-GB"/>
        </w:rPr>
      </w:pPr>
      <w:r w:rsidRPr="009E6DB1">
        <w:rPr>
          <w:rFonts w:asciiTheme="minorHAnsi" w:hAnsiTheme="minorHAnsi" w:cstheme="minorHAnsi"/>
          <w:b/>
          <w:bCs/>
          <w:sz w:val="24"/>
          <w:szCs w:val="24"/>
          <w:lang w:val="en-GB" w:eastAsia="en-GB"/>
        </w:rPr>
        <w:t xml:space="preserve">Conflicts of interest </w:t>
      </w:r>
      <w:r w:rsidRPr="009E6DB1">
        <w:rPr>
          <w:rFonts w:asciiTheme="minorHAnsi" w:hAnsiTheme="minorHAnsi" w:cstheme="minorHAnsi"/>
          <w:sz w:val="24"/>
          <w:szCs w:val="24"/>
          <w:lang w:val="en-GB" w:eastAsia="en-GB"/>
        </w:rPr>
        <w:t>G Naureen, H Johansson, E Liu, L Vandenput, M</w:t>
      </w:r>
      <w:r w:rsidR="00D8549F">
        <w:rPr>
          <w:rFonts w:asciiTheme="minorHAnsi" w:hAnsiTheme="minorHAnsi" w:cstheme="minorHAnsi"/>
          <w:sz w:val="24"/>
          <w:szCs w:val="24"/>
          <w:lang w:val="en-GB" w:eastAsia="en-GB"/>
        </w:rPr>
        <w:t xml:space="preserve"> </w:t>
      </w:r>
      <w:r w:rsidRPr="009E6DB1">
        <w:rPr>
          <w:rFonts w:asciiTheme="minorHAnsi" w:hAnsiTheme="minorHAnsi" w:cstheme="minorHAnsi"/>
          <w:sz w:val="24"/>
          <w:szCs w:val="24"/>
          <w:lang w:val="en-GB" w:eastAsia="en-GB"/>
        </w:rPr>
        <w:t>Lorentzon, NC Harvey, E. McCloskey and JA Kanis declare that they</w:t>
      </w:r>
      <w:r w:rsidR="00D8549F">
        <w:rPr>
          <w:rFonts w:asciiTheme="minorHAnsi" w:hAnsiTheme="minorHAnsi" w:cstheme="minorHAnsi"/>
          <w:sz w:val="24"/>
          <w:szCs w:val="24"/>
          <w:lang w:val="en-GB" w:eastAsia="en-GB"/>
        </w:rPr>
        <w:t xml:space="preserve"> </w:t>
      </w:r>
      <w:r w:rsidRPr="009E6DB1">
        <w:rPr>
          <w:rFonts w:asciiTheme="minorHAnsi" w:hAnsiTheme="minorHAnsi" w:cstheme="minorHAnsi"/>
          <w:sz w:val="24"/>
          <w:szCs w:val="24"/>
          <w:lang w:val="en-GB" w:eastAsia="en-GB"/>
        </w:rPr>
        <w:t>have no competing interests in relation to this paper. HJ, EM, NCH, and</w:t>
      </w:r>
      <w:r w:rsidR="00D8549F">
        <w:rPr>
          <w:rFonts w:asciiTheme="minorHAnsi" w:hAnsiTheme="minorHAnsi" w:cstheme="minorHAnsi"/>
          <w:sz w:val="24"/>
          <w:szCs w:val="24"/>
          <w:lang w:val="en-GB" w:eastAsia="en-GB"/>
        </w:rPr>
        <w:t xml:space="preserve"> </w:t>
      </w:r>
      <w:r w:rsidRPr="009E6DB1">
        <w:rPr>
          <w:rFonts w:asciiTheme="minorHAnsi" w:hAnsiTheme="minorHAnsi" w:cstheme="minorHAnsi"/>
          <w:sz w:val="24"/>
          <w:szCs w:val="24"/>
          <w:lang w:val="en-GB" w:eastAsia="en-GB"/>
        </w:rPr>
        <w:t>JAK are the architects of FRAX in which they have no financial interest.</w:t>
      </w:r>
      <w:r w:rsidR="00742CF3">
        <w:rPr>
          <w:rFonts w:asciiTheme="minorHAnsi" w:hAnsiTheme="minorHAnsi" w:cstheme="minorHAnsi"/>
          <w:sz w:val="24"/>
          <w:szCs w:val="24"/>
          <w:lang w:val="en-GB" w:eastAsia="en-GB"/>
        </w:rPr>
        <w:t xml:space="preserve"> JAK is editor in chie</w:t>
      </w:r>
      <w:r w:rsidR="00A85EA5">
        <w:rPr>
          <w:rFonts w:asciiTheme="minorHAnsi" w:hAnsiTheme="minorHAnsi" w:cstheme="minorHAnsi"/>
          <w:sz w:val="24"/>
          <w:szCs w:val="24"/>
          <w:lang w:val="en-GB" w:eastAsia="en-GB"/>
        </w:rPr>
        <w:t>f</w:t>
      </w:r>
      <w:r w:rsidR="00742CF3">
        <w:rPr>
          <w:rFonts w:asciiTheme="minorHAnsi" w:hAnsiTheme="minorHAnsi" w:cstheme="minorHAnsi"/>
          <w:sz w:val="24"/>
          <w:szCs w:val="24"/>
          <w:lang w:val="en-GB" w:eastAsia="en-GB"/>
        </w:rPr>
        <w:t xml:space="preserve"> of the European office </w:t>
      </w:r>
      <w:r w:rsidR="00765058">
        <w:rPr>
          <w:rFonts w:asciiTheme="minorHAnsi" w:hAnsiTheme="minorHAnsi" w:cstheme="minorHAnsi"/>
          <w:sz w:val="24"/>
          <w:szCs w:val="24"/>
          <w:lang w:val="en-GB" w:eastAsia="en-GB"/>
        </w:rPr>
        <w:t xml:space="preserve">of Osteoporosis International.  The manuscript was independently reviewed by </w:t>
      </w:r>
      <w:r w:rsidR="00A85EA5">
        <w:rPr>
          <w:rFonts w:asciiTheme="minorHAnsi" w:hAnsiTheme="minorHAnsi" w:cstheme="minorHAnsi"/>
          <w:sz w:val="24"/>
          <w:szCs w:val="24"/>
          <w:lang w:val="en-GB" w:eastAsia="en-GB"/>
        </w:rPr>
        <w:t>the US office.</w:t>
      </w:r>
    </w:p>
    <w:p w14:paraId="47C915B5" w14:textId="232465FA" w:rsidR="0062677D" w:rsidRPr="003C331C" w:rsidRDefault="0062677D" w:rsidP="0062677D">
      <w:pPr>
        <w:pStyle w:val="Default"/>
        <w:ind w:left="1134" w:right="2291"/>
        <w:rPr>
          <w:rFonts w:asciiTheme="minorHAnsi" w:hAnsiTheme="minorHAnsi" w:cstheme="minorHAnsi"/>
          <w:b/>
          <w:bCs/>
          <w:color w:val="FF0000"/>
          <w:sz w:val="20"/>
          <w:szCs w:val="20"/>
          <w:lang w:val="en-US"/>
        </w:rPr>
      </w:pPr>
    </w:p>
    <w:p w14:paraId="48F3320A" w14:textId="01CFB79D" w:rsidR="009C4D2C" w:rsidRPr="008C202E" w:rsidRDefault="009C4D2C" w:rsidP="009E6DB1">
      <w:pPr>
        <w:pStyle w:val="PlainText"/>
        <w:spacing w:after="240" w:line="276" w:lineRule="auto"/>
        <w:ind w:left="567"/>
        <w:rPr>
          <w:rFonts w:ascii="Calibri" w:hAnsi="Calibri"/>
          <w:b/>
          <w:sz w:val="24"/>
          <w:szCs w:val="24"/>
          <w:lang w:val="en-US"/>
        </w:rPr>
      </w:pPr>
      <w:r w:rsidRPr="008C202E">
        <w:rPr>
          <w:rFonts w:ascii="Calibri" w:hAnsi="Calibri"/>
          <w:b/>
          <w:sz w:val="24"/>
          <w:szCs w:val="24"/>
          <w:lang w:val="en-US"/>
        </w:rPr>
        <w:t>References</w:t>
      </w:r>
    </w:p>
    <w:tbl>
      <w:tblPr>
        <w:tblStyle w:val="TableGrid4"/>
        <w:tblpPr w:leftFromText="180" w:rightFromText="180" w:vertAnchor="text" w:horzAnchor="page" w:tblpX="1604" w:tblpY="1"/>
        <w:tblW w:w="8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365"/>
      </w:tblGrid>
      <w:tr w:rsidR="00912EB7" w:rsidRPr="008C202E" w14:paraId="2E4CEFAD" w14:textId="77777777" w:rsidTr="00292C75">
        <w:trPr>
          <w:trHeight w:val="20"/>
        </w:trPr>
        <w:tc>
          <w:tcPr>
            <w:tcW w:w="562" w:type="dxa"/>
          </w:tcPr>
          <w:p w14:paraId="1FA7F963" w14:textId="0BADB61B" w:rsidR="00912EB7" w:rsidRPr="00E64F09" w:rsidRDefault="00912EB7" w:rsidP="0036399F">
            <w:pPr>
              <w:jc w:val="right"/>
              <w:rPr>
                <w:rFonts w:cs="Calibri"/>
                <w:bCs/>
                <w:lang w:val="en-GB"/>
              </w:rPr>
            </w:pPr>
            <w:r w:rsidRPr="00E64F09">
              <w:rPr>
                <w:rFonts w:cs="Calibri"/>
                <w:bCs/>
                <w:lang w:val="en-GB"/>
              </w:rPr>
              <w:t>1.</w:t>
            </w:r>
          </w:p>
        </w:tc>
        <w:tc>
          <w:tcPr>
            <w:tcW w:w="8365" w:type="dxa"/>
          </w:tcPr>
          <w:p w14:paraId="2B2B118C" w14:textId="25AF1975" w:rsidR="00912EB7" w:rsidRPr="00634EFF" w:rsidRDefault="00912EB7" w:rsidP="0036399F">
            <w:pPr>
              <w:rPr>
                <w:rFonts w:cs="Calibri"/>
                <w:bCs/>
                <w:lang w:val="en-GB"/>
              </w:rPr>
            </w:pPr>
            <w:r w:rsidRPr="006F2A7F">
              <w:rPr>
                <w:rFonts w:cs="Calibri"/>
                <w:bCs/>
                <w:lang w:val="en-GB"/>
              </w:rPr>
              <w:t xml:space="preserve">Kanis JA, Norton N, Harvey NC, Jacobson T, Johansson H Lorentzon M, McCloskey EV, Willers C, Borgström </w:t>
            </w:r>
            <w:r w:rsidRPr="004A220F">
              <w:rPr>
                <w:rFonts w:cs="Calibri"/>
                <w:bCs/>
                <w:lang w:val="en-GB"/>
              </w:rPr>
              <w:t>F (2021) SCOPE</w:t>
            </w:r>
            <w:r w:rsidRPr="006F2A7F">
              <w:rPr>
                <w:rFonts w:cs="Calibri"/>
                <w:bCs/>
                <w:lang w:val="en-GB"/>
              </w:rPr>
              <w:t xml:space="preserve"> 202</w:t>
            </w:r>
            <w:r>
              <w:rPr>
                <w:rFonts w:cs="Calibri"/>
                <w:bCs/>
                <w:lang w:val="en-GB"/>
              </w:rPr>
              <w:t>1</w:t>
            </w:r>
            <w:r w:rsidRPr="006F2A7F">
              <w:rPr>
                <w:rFonts w:cs="Calibri"/>
                <w:bCs/>
                <w:lang w:val="en-GB"/>
              </w:rPr>
              <w:t>: a new scorecard for osteoporosis in Europe.  Arch Osteoporos</w:t>
            </w:r>
            <w:r w:rsidR="00F26848">
              <w:rPr>
                <w:rFonts w:cs="Calibri"/>
                <w:bCs/>
                <w:lang w:val="en-GB"/>
              </w:rPr>
              <w:t xml:space="preserve"> </w:t>
            </w:r>
            <w:r w:rsidR="0041743B" w:rsidRPr="0041743B">
              <w:rPr>
                <w:rFonts w:cs="Calibri"/>
                <w:bCs/>
                <w:lang w:val="en-GB"/>
              </w:rPr>
              <w:t>16(1):82</w:t>
            </w:r>
            <w:r>
              <w:rPr>
                <w:rFonts w:cs="Calibri"/>
                <w:bCs/>
                <w:lang w:val="en-GB"/>
              </w:rPr>
              <w:t>.</w:t>
            </w:r>
            <w:r w:rsidRPr="006F2A7F">
              <w:rPr>
                <w:rFonts w:cs="Calibri"/>
                <w:bCs/>
                <w:lang w:val="en-GB"/>
              </w:rPr>
              <w:t xml:space="preserve"> </w:t>
            </w:r>
            <w:r w:rsidRPr="00266FC9">
              <w:rPr>
                <w:rFonts w:cs="Calibri"/>
                <w:bCs/>
                <w:lang w:val="en-GB"/>
              </w:rPr>
              <w:t>doi.org/10.1007/s11657-020-00871-9</w:t>
            </w:r>
            <w:r w:rsidRPr="006F2A7F">
              <w:rPr>
                <w:rFonts w:cs="Calibri"/>
                <w:bCs/>
                <w:lang w:val="en-GB"/>
              </w:rPr>
              <w:t>.</w:t>
            </w:r>
          </w:p>
        </w:tc>
      </w:tr>
      <w:tr w:rsidR="00912EB7" w:rsidRPr="008C202E" w14:paraId="1221C469" w14:textId="77777777" w:rsidTr="00292C75">
        <w:trPr>
          <w:trHeight w:val="20"/>
        </w:trPr>
        <w:tc>
          <w:tcPr>
            <w:tcW w:w="562" w:type="dxa"/>
          </w:tcPr>
          <w:p w14:paraId="0F9183F5" w14:textId="222FD844" w:rsidR="00912EB7" w:rsidRPr="00E64F09" w:rsidRDefault="00912EB7" w:rsidP="0036399F">
            <w:pPr>
              <w:jc w:val="right"/>
              <w:rPr>
                <w:rFonts w:cs="Calibri"/>
              </w:rPr>
            </w:pPr>
            <w:r w:rsidRPr="00E64F09">
              <w:rPr>
                <w:rFonts w:cs="Calibri"/>
              </w:rPr>
              <w:t>2.</w:t>
            </w:r>
          </w:p>
        </w:tc>
        <w:tc>
          <w:tcPr>
            <w:tcW w:w="8365" w:type="dxa"/>
          </w:tcPr>
          <w:p w14:paraId="19E8C6DD" w14:textId="77777777" w:rsidR="00912EB7" w:rsidRPr="008C202E" w:rsidRDefault="00912EB7" w:rsidP="0036399F">
            <w:pPr>
              <w:rPr>
                <w:rFonts w:ascii="Calibri" w:hAnsi="Calibri" w:cs="Calibri"/>
                <w:bCs/>
                <w:lang w:val="en-GB"/>
              </w:rPr>
            </w:pPr>
            <w:r w:rsidRPr="008C202E">
              <w:rPr>
                <w:rFonts w:ascii="Calibri" w:hAnsi="Calibri" w:cs="Calibri"/>
                <w:lang w:val="en-GB"/>
              </w:rPr>
              <w:t xml:space="preserve">Johnell O and Kanis JA (2006) An estimate of the worldwide prevalence and disability associated with osteoporotic fractures. </w:t>
            </w:r>
            <w:r w:rsidRPr="008C202E">
              <w:rPr>
                <w:rFonts w:ascii="Calibri" w:hAnsi="Calibri" w:cs="Calibri"/>
              </w:rPr>
              <w:t>Osteoporos Int 17:1726-33.</w:t>
            </w:r>
          </w:p>
        </w:tc>
      </w:tr>
      <w:tr w:rsidR="00912EB7" w:rsidRPr="008C202E" w14:paraId="3EDD7AC6" w14:textId="77777777" w:rsidTr="00292C75">
        <w:trPr>
          <w:trHeight w:val="20"/>
        </w:trPr>
        <w:tc>
          <w:tcPr>
            <w:tcW w:w="562" w:type="dxa"/>
          </w:tcPr>
          <w:p w14:paraId="25F7AA74" w14:textId="208873DC" w:rsidR="00912EB7" w:rsidRPr="00E64F09" w:rsidRDefault="00912EB7" w:rsidP="0036399F">
            <w:pPr>
              <w:jc w:val="right"/>
              <w:rPr>
                <w:rFonts w:cs="Calibri"/>
                <w:bCs/>
                <w:lang w:val="en-GB"/>
              </w:rPr>
            </w:pPr>
            <w:r w:rsidRPr="00E64F09">
              <w:rPr>
                <w:rFonts w:cs="Calibri"/>
                <w:bCs/>
                <w:lang w:val="en-GB"/>
              </w:rPr>
              <w:t>3.</w:t>
            </w:r>
          </w:p>
        </w:tc>
        <w:tc>
          <w:tcPr>
            <w:tcW w:w="8365" w:type="dxa"/>
          </w:tcPr>
          <w:p w14:paraId="0CDABEFC" w14:textId="77777777" w:rsidR="00912EB7" w:rsidRPr="008C202E" w:rsidRDefault="00912EB7" w:rsidP="0036399F">
            <w:pPr>
              <w:rPr>
                <w:rFonts w:cs="Calibri"/>
                <w:bCs/>
                <w:lang w:val="en-GB"/>
              </w:rPr>
            </w:pPr>
            <w:r w:rsidRPr="008C202E">
              <w:rPr>
                <w:rFonts w:ascii="Calibri" w:hAnsi="Calibri" w:cs="Calibri"/>
                <w:lang w:val="en-GB"/>
              </w:rPr>
              <w:t>Kanis JA, Cooper C, Rizzoli R, Reginster J-Y; Scientific Advisory Board of the European Society for Clinical and Economic Aspects of Osteoporosis (ESCEO) and the Committees of Scientific Advisors and National Societies of the International Osteoporosis Foundation (IOF</w:t>
            </w:r>
            <w:r w:rsidRPr="004A220F">
              <w:rPr>
                <w:rFonts w:ascii="Calibri" w:hAnsi="Calibri" w:cs="Calibri"/>
                <w:lang w:val="en-GB"/>
              </w:rPr>
              <w:t>) (2019) European</w:t>
            </w:r>
            <w:r w:rsidRPr="008C202E">
              <w:rPr>
                <w:rFonts w:ascii="Calibri" w:hAnsi="Calibri" w:cs="Calibri"/>
                <w:lang w:val="en-GB"/>
              </w:rPr>
              <w:t xml:space="preserve"> guidance for the diagnosis and management of osteoporosis in postmenopausal women.  </w:t>
            </w:r>
            <w:r w:rsidRPr="008C202E">
              <w:rPr>
                <w:rFonts w:ascii="Calibri" w:hAnsi="Calibri" w:cs="Calibri"/>
              </w:rPr>
              <w:t xml:space="preserve">Osteoporos Int 30: 3-44.   </w:t>
            </w:r>
          </w:p>
        </w:tc>
      </w:tr>
      <w:tr w:rsidR="00912EB7" w:rsidRPr="008C202E" w14:paraId="6DEF729A" w14:textId="77777777" w:rsidTr="00292C75">
        <w:trPr>
          <w:trHeight w:val="20"/>
        </w:trPr>
        <w:tc>
          <w:tcPr>
            <w:tcW w:w="562" w:type="dxa"/>
          </w:tcPr>
          <w:p w14:paraId="7DB95193" w14:textId="2DD17984" w:rsidR="00912EB7" w:rsidRPr="00E64F09" w:rsidRDefault="00912EB7" w:rsidP="0036399F">
            <w:pPr>
              <w:jc w:val="right"/>
              <w:rPr>
                <w:rFonts w:cs="Calibri"/>
                <w:bCs/>
                <w:lang w:val="en-GB"/>
              </w:rPr>
            </w:pPr>
            <w:r w:rsidRPr="00E64F09">
              <w:rPr>
                <w:rFonts w:cs="Calibri"/>
                <w:bCs/>
                <w:lang w:val="en-GB"/>
              </w:rPr>
              <w:t>4.</w:t>
            </w:r>
          </w:p>
        </w:tc>
        <w:tc>
          <w:tcPr>
            <w:tcW w:w="8365" w:type="dxa"/>
          </w:tcPr>
          <w:p w14:paraId="35FAB49B" w14:textId="4C085C95" w:rsidR="00912EB7" w:rsidRPr="008C202E" w:rsidRDefault="00912EB7" w:rsidP="0036399F">
            <w:pPr>
              <w:rPr>
                <w:rFonts w:cs="Calibri"/>
                <w:lang w:val="en-GB"/>
              </w:rPr>
            </w:pPr>
            <w:r w:rsidRPr="00F3117B">
              <w:t>Cosman F, deBeur SJ, LeBoff MS etal (2014) Clinician’s guide to prevention and treatment of osteoporosis. Osteoporos Int 25: 2359–2381</w:t>
            </w:r>
          </w:p>
        </w:tc>
      </w:tr>
      <w:tr w:rsidR="00912EB7" w:rsidRPr="00585FB1" w14:paraId="7D5B8D86" w14:textId="77777777" w:rsidTr="00292C75">
        <w:trPr>
          <w:trHeight w:val="20"/>
        </w:trPr>
        <w:tc>
          <w:tcPr>
            <w:tcW w:w="562" w:type="dxa"/>
          </w:tcPr>
          <w:p w14:paraId="423FE0D5" w14:textId="582F9870" w:rsidR="00912EB7" w:rsidRPr="00E64F09" w:rsidRDefault="00912EB7" w:rsidP="0036399F">
            <w:pPr>
              <w:jc w:val="right"/>
              <w:rPr>
                <w:rFonts w:cs="Calibri"/>
              </w:rPr>
            </w:pPr>
            <w:r w:rsidRPr="00E64F09">
              <w:rPr>
                <w:rFonts w:cs="Calibri"/>
              </w:rPr>
              <w:t>5.</w:t>
            </w:r>
          </w:p>
        </w:tc>
        <w:tc>
          <w:tcPr>
            <w:tcW w:w="8365" w:type="dxa"/>
          </w:tcPr>
          <w:p w14:paraId="0B2DF6A3" w14:textId="20C1DEE8" w:rsidR="00912EB7" w:rsidRPr="008C202E" w:rsidRDefault="00912EB7" w:rsidP="0036399F">
            <w:pPr>
              <w:rPr>
                <w:rFonts w:ascii="Calibri" w:hAnsi="Calibri" w:cs="Calibri"/>
                <w:bCs/>
                <w:lang w:val="en-GB"/>
              </w:rPr>
            </w:pPr>
            <w:r w:rsidRPr="008C202E">
              <w:rPr>
                <w:rFonts w:ascii="Calibri" w:hAnsi="Calibri" w:cs="Calibri"/>
                <w:lang w:val="en-GB"/>
              </w:rPr>
              <w:t xml:space="preserve">Kanis JA on behalf of the World Health Organization </w:t>
            </w:r>
            <w:r w:rsidRPr="004A220F">
              <w:rPr>
                <w:rFonts w:ascii="Calibri" w:hAnsi="Calibri" w:cs="Calibri"/>
                <w:lang w:val="en-GB"/>
              </w:rPr>
              <w:t>Scientific Group (2008)</w:t>
            </w:r>
            <w:r w:rsidRPr="008C202E">
              <w:rPr>
                <w:rFonts w:ascii="Calibri" w:hAnsi="Calibri" w:cs="Calibri"/>
                <w:lang w:val="en-GB"/>
              </w:rPr>
              <w:t xml:space="preserve"> Assessment of osteoporosis at the primary healthcare level. Technical Report. WHO Collaborating Centre, University of Sheffield, UK. Available at </w:t>
            </w:r>
            <w:hyperlink r:id="rId14" w:history="1">
              <w:r w:rsidRPr="008A558E">
                <w:rPr>
                  <w:rStyle w:val="Hyperlink"/>
                  <w:rFonts w:cs="Calibri"/>
                  <w:lang w:val="en-GB"/>
                </w:rPr>
                <w:t>https://www.sheffield.ac.uk/FRAX/pdfs/WHO_Technical_Report.pdf</w:t>
              </w:r>
            </w:hyperlink>
            <w:r>
              <w:rPr>
                <w:rFonts w:ascii="Calibri" w:hAnsi="Calibri" w:cs="Calibri"/>
                <w:lang w:val="en-GB"/>
              </w:rPr>
              <w:t xml:space="preserve"> </w:t>
            </w:r>
          </w:p>
        </w:tc>
      </w:tr>
      <w:tr w:rsidR="00912EB7" w:rsidRPr="008C202E" w14:paraId="2F068744" w14:textId="77777777" w:rsidTr="00292C75">
        <w:trPr>
          <w:trHeight w:val="20"/>
        </w:trPr>
        <w:tc>
          <w:tcPr>
            <w:tcW w:w="562" w:type="dxa"/>
          </w:tcPr>
          <w:p w14:paraId="7ADA70F5" w14:textId="34F7F893" w:rsidR="00912EB7" w:rsidRPr="00E64F09" w:rsidRDefault="00912EB7" w:rsidP="0036399F">
            <w:pPr>
              <w:jc w:val="right"/>
              <w:rPr>
                <w:rFonts w:cs="Calibri"/>
              </w:rPr>
            </w:pPr>
            <w:r w:rsidRPr="00E64F09">
              <w:rPr>
                <w:rFonts w:cs="Calibri"/>
              </w:rPr>
              <w:t>6.</w:t>
            </w:r>
          </w:p>
        </w:tc>
        <w:tc>
          <w:tcPr>
            <w:tcW w:w="8365" w:type="dxa"/>
          </w:tcPr>
          <w:p w14:paraId="08DA0535" w14:textId="24B33A41" w:rsidR="00912EB7" w:rsidRPr="008C202E" w:rsidRDefault="00912EB7" w:rsidP="0036399F">
            <w:pPr>
              <w:rPr>
                <w:rFonts w:cs="Calibri"/>
                <w:lang w:val="en-GB"/>
              </w:rPr>
            </w:pPr>
            <w:r w:rsidRPr="008C202E">
              <w:rPr>
                <w:rFonts w:ascii="Calibri" w:hAnsi="Calibri" w:cs="Calibri"/>
                <w:lang w:val="en-GB"/>
              </w:rPr>
              <w:t xml:space="preserve">Kanis JA, Johnell O, Oden A, Johansson H, </w:t>
            </w:r>
            <w:r w:rsidRPr="00403E7B">
              <w:rPr>
                <w:rFonts w:ascii="Calibri" w:hAnsi="Calibri" w:cs="Calibri"/>
                <w:lang w:val="en-GB"/>
              </w:rPr>
              <w:t>McCloskey E (2008) FRAX</w:t>
            </w:r>
            <w:r w:rsidRPr="008C202E">
              <w:rPr>
                <w:rFonts w:ascii="Calibri" w:hAnsi="Calibri" w:cs="Calibri"/>
                <w:lang w:val="en-GB"/>
              </w:rPr>
              <w:t xml:space="preserve">™ and the assessment of fracture probability in men and women from the UK. </w:t>
            </w:r>
            <w:r w:rsidRPr="008C202E">
              <w:rPr>
                <w:rFonts w:ascii="Calibri" w:hAnsi="Calibri" w:cs="Calibri"/>
              </w:rPr>
              <w:t>Osteoporos Int 19: 385-397</w:t>
            </w:r>
          </w:p>
        </w:tc>
      </w:tr>
      <w:tr w:rsidR="00912EB7" w:rsidRPr="008C202E" w14:paraId="49DD85B6" w14:textId="77777777" w:rsidTr="00292C75">
        <w:trPr>
          <w:trHeight w:val="20"/>
        </w:trPr>
        <w:tc>
          <w:tcPr>
            <w:tcW w:w="562" w:type="dxa"/>
          </w:tcPr>
          <w:p w14:paraId="1F247271" w14:textId="2807EADB" w:rsidR="00912EB7" w:rsidRPr="00E64F09" w:rsidRDefault="00912EB7" w:rsidP="0036399F">
            <w:pPr>
              <w:jc w:val="right"/>
              <w:rPr>
                <w:rFonts w:cs="Calibri"/>
              </w:rPr>
            </w:pPr>
            <w:r w:rsidRPr="00E64F09">
              <w:rPr>
                <w:rFonts w:cs="Calibri"/>
              </w:rPr>
              <w:t>7.</w:t>
            </w:r>
          </w:p>
        </w:tc>
        <w:tc>
          <w:tcPr>
            <w:tcW w:w="8365" w:type="dxa"/>
          </w:tcPr>
          <w:p w14:paraId="1E29EFB4" w14:textId="77777777" w:rsidR="00912EB7" w:rsidRPr="008C202E" w:rsidRDefault="00912EB7" w:rsidP="0036399F">
            <w:pPr>
              <w:rPr>
                <w:rFonts w:ascii="Calibri" w:hAnsi="Calibri" w:cs="Calibri"/>
                <w:bCs/>
                <w:lang w:val="en-GB"/>
              </w:rPr>
            </w:pPr>
            <w:r w:rsidRPr="008C202E">
              <w:rPr>
                <w:rFonts w:ascii="Calibri" w:hAnsi="Calibri" w:cs="Calibri"/>
                <w:lang w:val="en-GB"/>
              </w:rPr>
              <w:t xml:space="preserve">Odén A, McCloskey EV, Kanis JA, Harvey NC, Johansson H (2015) Burden of high fracture probability worldwide: secular increases 2010-2040. </w:t>
            </w:r>
            <w:r w:rsidRPr="008C202E">
              <w:rPr>
                <w:rFonts w:ascii="Calibri" w:hAnsi="Calibri" w:cs="Calibri"/>
              </w:rPr>
              <w:t>Osteoporos Int 26:2243–2248</w:t>
            </w:r>
          </w:p>
        </w:tc>
      </w:tr>
      <w:tr w:rsidR="00912EB7" w:rsidRPr="008C202E" w14:paraId="4C5DA3B9" w14:textId="77777777" w:rsidTr="00292C75">
        <w:trPr>
          <w:trHeight w:val="20"/>
        </w:trPr>
        <w:tc>
          <w:tcPr>
            <w:tcW w:w="562" w:type="dxa"/>
          </w:tcPr>
          <w:p w14:paraId="1B2F00E0" w14:textId="52C9AA06" w:rsidR="00912EB7" w:rsidRPr="00E64F09" w:rsidRDefault="00912EB7" w:rsidP="0036399F">
            <w:pPr>
              <w:jc w:val="right"/>
              <w:rPr>
                <w:rFonts w:cs="Calibri"/>
                <w:bCs/>
                <w:lang w:val="en-GB"/>
              </w:rPr>
            </w:pPr>
            <w:r w:rsidRPr="00E64F09">
              <w:rPr>
                <w:rFonts w:cs="Calibri"/>
                <w:bCs/>
                <w:lang w:val="en-GB"/>
              </w:rPr>
              <w:t>8.</w:t>
            </w:r>
          </w:p>
        </w:tc>
        <w:tc>
          <w:tcPr>
            <w:tcW w:w="8365" w:type="dxa"/>
          </w:tcPr>
          <w:p w14:paraId="20A09AC1" w14:textId="77777777" w:rsidR="00912EB7" w:rsidRPr="008C202E" w:rsidRDefault="00912EB7" w:rsidP="0036399F">
            <w:pPr>
              <w:rPr>
                <w:rFonts w:cs="Calibri"/>
                <w:lang w:val="en-GB"/>
              </w:rPr>
            </w:pPr>
            <w:r w:rsidRPr="008C202E">
              <w:rPr>
                <w:rFonts w:ascii="Calibri" w:hAnsi="Calibri" w:cs="Calibri"/>
                <w:lang w:val="en-GB"/>
              </w:rPr>
              <w:t xml:space="preserve">Kanis JA, Harvey NC, Cyrus Cooper C, Johansson H, Odén A, McCloskey EV, the Advisory Board of the National Osteoporosis Guideline </w:t>
            </w:r>
            <w:r w:rsidRPr="00403E7B">
              <w:rPr>
                <w:rFonts w:ascii="Calibri" w:hAnsi="Calibri" w:cs="Calibri"/>
                <w:lang w:val="en-GB"/>
              </w:rPr>
              <w:t>Group (2016)</w:t>
            </w:r>
            <w:r w:rsidRPr="008C202E">
              <w:rPr>
                <w:rFonts w:ascii="Calibri" w:hAnsi="Calibri" w:cs="Calibri"/>
                <w:lang w:val="en-GB"/>
              </w:rPr>
              <w:t xml:space="preserve"> A systematic review of intervention thresholds based on FRAX. A report prepared for the National Osteoporosis Guideline Group and the International Osteoporosis Foundation. </w:t>
            </w:r>
            <w:r w:rsidRPr="008C202E">
              <w:rPr>
                <w:rFonts w:ascii="Calibri" w:hAnsi="Calibri" w:cs="Calibri"/>
              </w:rPr>
              <w:t>Arch Osteoporos 11:25.</w:t>
            </w:r>
          </w:p>
        </w:tc>
      </w:tr>
      <w:tr w:rsidR="00912EB7" w:rsidRPr="00444AF0" w14:paraId="08B78347" w14:textId="77777777" w:rsidTr="00292C75">
        <w:trPr>
          <w:trHeight w:val="20"/>
        </w:trPr>
        <w:tc>
          <w:tcPr>
            <w:tcW w:w="562" w:type="dxa"/>
          </w:tcPr>
          <w:p w14:paraId="033739CC" w14:textId="1D8C998C" w:rsidR="00912EB7" w:rsidRPr="00E64F09" w:rsidRDefault="00912EB7" w:rsidP="0036399F">
            <w:pPr>
              <w:jc w:val="right"/>
              <w:rPr>
                <w:rFonts w:cs="Calibri"/>
              </w:rPr>
            </w:pPr>
            <w:r w:rsidRPr="00E64F09">
              <w:rPr>
                <w:rFonts w:cs="Calibri"/>
              </w:rPr>
              <w:t>9.</w:t>
            </w:r>
          </w:p>
        </w:tc>
        <w:tc>
          <w:tcPr>
            <w:tcW w:w="8365" w:type="dxa"/>
          </w:tcPr>
          <w:p w14:paraId="1F57DC9F" w14:textId="6A6A75DF" w:rsidR="00912EB7" w:rsidRPr="003B305E" w:rsidRDefault="00912EB7" w:rsidP="0036399F">
            <w:pPr>
              <w:rPr>
                <w:rFonts w:cs="Calibri"/>
                <w:lang w:val="en-AU"/>
              </w:rPr>
            </w:pPr>
            <w:r w:rsidRPr="003B305E">
              <w:rPr>
                <w:rFonts w:cs="Calibri"/>
                <w:lang w:val="en-GB"/>
              </w:rPr>
              <w:t xml:space="preserve">Naureen G, Johansson H, Iqbal R, Jafri L, Khan AH, Umer M, Liu E, Vandenput L, Lorentzon M, Harvey NC, McCloskey EV, Kanis JA. </w:t>
            </w:r>
            <w:r w:rsidRPr="003B305E">
              <w:rPr>
                <w:rFonts w:cs="Calibri"/>
                <w:lang w:val="en-AU"/>
              </w:rPr>
              <w:t>(2021) A surrogate FRAX model for Pakistan. Arch Osteoporos 16(1):34.</w:t>
            </w:r>
            <w:r w:rsidRPr="003B305E">
              <w:rPr>
                <w:lang w:val="en-AU"/>
              </w:rPr>
              <w:t xml:space="preserve"> </w:t>
            </w:r>
            <w:r w:rsidRPr="003B305E">
              <w:rPr>
                <w:rFonts w:cs="Calibri"/>
                <w:lang w:val="en-AU"/>
              </w:rPr>
              <w:t>doi.org/10.1007/s11657-021-00894-w</w:t>
            </w:r>
          </w:p>
        </w:tc>
      </w:tr>
      <w:tr w:rsidR="00912EB7" w:rsidRPr="008C202E" w14:paraId="560B0E8A" w14:textId="77777777" w:rsidTr="00292C75">
        <w:trPr>
          <w:trHeight w:val="20"/>
        </w:trPr>
        <w:tc>
          <w:tcPr>
            <w:tcW w:w="562" w:type="dxa"/>
          </w:tcPr>
          <w:p w14:paraId="75491F00" w14:textId="35EB62E2" w:rsidR="00912EB7" w:rsidRPr="00E64F09" w:rsidRDefault="00912EB7" w:rsidP="0036399F">
            <w:pPr>
              <w:jc w:val="right"/>
              <w:rPr>
                <w:rFonts w:cs="Calibri"/>
              </w:rPr>
            </w:pPr>
            <w:r w:rsidRPr="00E64F09">
              <w:rPr>
                <w:rFonts w:cs="Calibri"/>
              </w:rPr>
              <w:t>10.</w:t>
            </w:r>
          </w:p>
        </w:tc>
        <w:tc>
          <w:tcPr>
            <w:tcW w:w="8365" w:type="dxa"/>
          </w:tcPr>
          <w:p w14:paraId="6CDC2F2F" w14:textId="77777777" w:rsidR="00912EB7" w:rsidRPr="00E64F09" w:rsidRDefault="00912EB7" w:rsidP="0036399F">
            <w:pPr>
              <w:rPr>
                <w:rFonts w:cs="Calibri"/>
                <w:lang w:val="en-GB"/>
              </w:rPr>
            </w:pPr>
            <w:r w:rsidRPr="00E64F09">
              <w:rPr>
                <w:rFonts w:cs="Calibri"/>
                <w:lang w:val="en-GB"/>
              </w:rPr>
              <w:t>Shakeel S, Naveed S, Iffat W, Nazeer F, Yousuf YN (2015) Pakistani women knowledge, beliefs and attitudes towards osteoporosis. J Bioequiv Availab 2015, 7:6 DOI: 10.4172/jbb.1000252</w:t>
            </w:r>
          </w:p>
        </w:tc>
      </w:tr>
      <w:tr w:rsidR="00912EB7" w:rsidRPr="008C202E" w14:paraId="42AA156D" w14:textId="77777777" w:rsidTr="00292C75">
        <w:trPr>
          <w:trHeight w:val="20"/>
        </w:trPr>
        <w:tc>
          <w:tcPr>
            <w:tcW w:w="562" w:type="dxa"/>
          </w:tcPr>
          <w:p w14:paraId="031B626D" w14:textId="535CC05E" w:rsidR="00912EB7" w:rsidRPr="00E64F09" w:rsidRDefault="00912EB7" w:rsidP="008A70B4">
            <w:pPr>
              <w:jc w:val="right"/>
              <w:rPr>
                <w:rFonts w:cs="Calibri"/>
              </w:rPr>
            </w:pPr>
            <w:r w:rsidRPr="00E64F09">
              <w:rPr>
                <w:rFonts w:cs="Calibri"/>
                <w:bCs/>
                <w:lang w:val="en-GB"/>
              </w:rPr>
              <w:t>11.</w:t>
            </w:r>
          </w:p>
        </w:tc>
        <w:tc>
          <w:tcPr>
            <w:tcW w:w="8365" w:type="dxa"/>
          </w:tcPr>
          <w:p w14:paraId="0778DC5A" w14:textId="7C137761" w:rsidR="00912EB7" w:rsidRPr="00E64F09" w:rsidRDefault="00912EB7" w:rsidP="008A70B4">
            <w:pPr>
              <w:rPr>
                <w:rFonts w:cs="Calibri"/>
                <w:lang w:val="en-GB"/>
              </w:rPr>
            </w:pPr>
            <w:r w:rsidRPr="00E64F09">
              <w:rPr>
                <w:rFonts w:cs="Calibri"/>
                <w:lang w:val="en-GB"/>
              </w:rPr>
              <w:t>Jafri L, Iqbal R, Khan AH (2016) Critical need of osteoporosis risk assessment tool for Pakistan. Journal of the College of Physicians and Surgeons Pakistan26 (1):80.</w:t>
            </w:r>
          </w:p>
        </w:tc>
      </w:tr>
      <w:tr w:rsidR="00912EB7" w:rsidRPr="008C202E" w14:paraId="005247E2" w14:textId="77777777" w:rsidTr="00292C75">
        <w:trPr>
          <w:trHeight w:val="20"/>
        </w:trPr>
        <w:tc>
          <w:tcPr>
            <w:tcW w:w="562" w:type="dxa"/>
          </w:tcPr>
          <w:p w14:paraId="78D43C53" w14:textId="284CAC18" w:rsidR="00912EB7" w:rsidRPr="00E64F09" w:rsidRDefault="00912EB7" w:rsidP="008A70B4">
            <w:pPr>
              <w:jc w:val="right"/>
              <w:rPr>
                <w:rFonts w:cs="Calibri"/>
                <w:bCs/>
                <w:lang w:val="en-GB"/>
              </w:rPr>
            </w:pPr>
            <w:r w:rsidRPr="00E64F09">
              <w:rPr>
                <w:rFonts w:cs="Calibri"/>
              </w:rPr>
              <w:t>12.</w:t>
            </w:r>
          </w:p>
        </w:tc>
        <w:tc>
          <w:tcPr>
            <w:tcW w:w="8365" w:type="dxa"/>
          </w:tcPr>
          <w:p w14:paraId="363DEA4C" w14:textId="17EDBE4F" w:rsidR="00912EB7" w:rsidRPr="00E64F09" w:rsidRDefault="00912EB7" w:rsidP="008A70B4">
            <w:pPr>
              <w:rPr>
                <w:rFonts w:ascii="Calibri" w:hAnsi="Calibri" w:cs="Calibri"/>
              </w:rPr>
            </w:pPr>
            <w:r w:rsidRPr="00E64F09">
              <w:rPr>
                <w:rFonts w:ascii="Calibri" w:hAnsi="Calibri" w:cs="Calibri"/>
                <w:lang w:val="en-GB"/>
              </w:rPr>
              <w:t xml:space="preserve">Compston J, Cooper A, Cooper C, Gittoes N, Gregson C, Harvey N, Hope S, Kanis JA, McCloskey EV, Poole KES, Reid DM, Selby P, Thompson F, Thurston A, Vine N: The National Osteoporosis Guideline Group (NOGG) (2017) UK clinical guideline for the prevention and treatment of osteoporosis.  </w:t>
            </w:r>
            <w:r w:rsidRPr="00E64F09">
              <w:rPr>
                <w:rFonts w:ascii="Calibri" w:hAnsi="Calibri" w:cs="Calibri"/>
              </w:rPr>
              <w:t>Arch Osteoporos 12: 43. DOI 10.1007/s11657-017-0324-5</w:t>
            </w:r>
          </w:p>
        </w:tc>
      </w:tr>
      <w:tr w:rsidR="00912EB7" w:rsidRPr="008C202E" w14:paraId="1514A48A" w14:textId="77777777" w:rsidTr="00292C75">
        <w:trPr>
          <w:trHeight w:val="20"/>
        </w:trPr>
        <w:tc>
          <w:tcPr>
            <w:tcW w:w="562" w:type="dxa"/>
          </w:tcPr>
          <w:p w14:paraId="6792DFCB" w14:textId="2072D54F" w:rsidR="00912EB7" w:rsidRPr="00E64F09" w:rsidRDefault="00912EB7" w:rsidP="008A70B4">
            <w:pPr>
              <w:jc w:val="right"/>
              <w:rPr>
                <w:rFonts w:cs="Calibri"/>
              </w:rPr>
            </w:pPr>
            <w:r w:rsidRPr="00E64F09">
              <w:rPr>
                <w:rFonts w:cs="Calibri"/>
              </w:rPr>
              <w:t>13.</w:t>
            </w:r>
          </w:p>
        </w:tc>
        <w:tc>
          <w:tcPr>
            <w:tcW w:w="8365" w:type="dxa"/>
          </w:tcPr>
          <w:p w14:paraId="4509692C" w14:textId="6274F844" w:rsidR="00912EB7" w:rsidRPr="00E64F09" w:rsidRDefault="00912EB7" w:rsidP="008A70B4">
            <w:pPr>
              <w:rPr>
                <w:rFonts w:ascii="Calibri" w:hAnsi="Calibri" w:cs="Calibri"/>
              </w:rPr>
            </w:pPr>
            <w:r w:rsidRPr="00E64F09">
              <w:rPr>
                <w:rFonts w:ascii="Calibri" w:hAnsi="Calibri" w:cs="Calibri"/>
                <w:lang w:val="en-GB"/>
              </w:rPr>
              <w:t xml:space="preserve">Compston J, Cooper A, Cooper C, Francis R, Kanis JA, Marsh D, McCloskey EV, Reid DM, Selby P, Wilkins M; on behalf of the National Osteoporosis Guideline Group (NOGG)  (2009) Guidelines for the diagnosis and management of osteoporosis in postmenopausal women and men from the age of 50 years in the UK. </w:t>
            </w:r>
            <w:r w:rsidRPr="00E64F09">
              <w:rPr>
                <w:rFonts w:ascii="Calibri" w:hAnsi="Calibri" w:cs="Calibri"/>
              </w:rPr>
              <w:t>Maturitas 62:105–108</w:t>
            </w:r>
          </w:p>
        </w:tc>
      </w:tr>
      <w:tr w:rsidR="00912EB7" w:rsidRPr="008C202E" w14:paraId="67AC4A7C" w14:textId="77777777" w:rsidTr="00292C75">
        <w:trPr>
          <w:trHeight w:val="20"/>
        </w:trPr>
        <w:tc>
          <w:tcPr>
            <w:tcW w:w="562" w:type="dxa"/>
          </w:tcPr>
          <w:p w14:paraId="20CB36F5" w14:textId="706E0134" w:rsidR="00912EB7" w:rsidRPr="00E64F09" w:rsidRDefault="00912EB7" w:rsidP="008A70B4">
            <w:pPr>
              <w:jc w:val="right"/>
              <w:rPr>
                <w:rFonts w:cs="Calibri"/>
              </w:rPr>
            </w:pPr>
            <w:r w:rsidRPr="00E64F09">
              <w:rPr>
                <w:rFonts w:cs="Calibri"/>
              </w:rPr>
              <w:t>14.</w:t>
            </w:r>
          </w:p>
        </w:tc>
        <w:tc>
          <w:tcPr>
            <w:tcW w:w="8365" w:type="dxa"/>
          </w:tcPr>
          <w:p w14:paraId="64DF5AD3" w14:textId="0C45F1F0" w:rsidR="00912EB7" w:rsidRPr="00E64F09" w:rsidRDefault="00912EB7" w:rsidP="008A70B4">
            <w:pPr>
              <w:rPr>
                <w:rFonts w:ascii="Calibri" w:hAnsi="Calibri" w:cs="Calibri"/>
              </w:rPr>
            </w:pPr>
            <w:bookmarkStart w:id="6" w:name="_Hlk27917730"/>
            <w:r w:rsidRPr="00E64F09">
              <w:rPr>
                <w:rFonts w:ascii="Calibri" w:hAnsi="Calibri" w:cs="Calibri"/>
                <w:lang w:val="en-GB"/>
              </w:rPr>
              <w:t>Lekamwasam</w:t>
            </w:r>
            <w:bookmarkEnd w:id="6"/>
            <w:r w:rsidRPr="00E64F09">
              <w:rPr>
                <w:rFonts w:ascii="Calibri" w:hAnsi="Calibri" w:cs="Calibri"/>
                <w:lang w:val="en-GB"/>
              </w:rPr>
              <w:t xml:space="preserve"> S, Adachi JD, Agnusdei D, Bilezikian J, Boonen S, Borgström F, Cooper C, Diez Perez A, Eastell R, Hofbauer L, Kanis JA, Langdahl BL, Lesnyak O, Lorenc R,  McCloskey E, Messina OD, Napoli N, Obermayer-Pietsch B, Ralston SH, Sambrook PN, Silverman S, Sosa M, Stepan J, Suppan G, Wahl DA, Compston JE for the Joint IOF-ECTS GIO Guidelines Working Group (2012) A framework for the development of guidelines for the management of glucocorticoid-induced osteoporosis. </w:t>
            </w:r>
            <w:r w:rsidRPr="00E64F09">
              <w:rPr>
                <w:rFonts w:ascii="Calibri" w:hAnsi="Calibri" w:cs="Calibri"/>
              </w:rPr>
              <w:t>Osteoporos Int 23: 2257-76.</w:t>
            </w:r>
          </w:p>
        </w:tc>
      </w:tr>
      <w:tr w:rsidR="00912EB7" w:rsidRPr="008C202E" w14:paraId="7602EC33" w14:textId="77777777" w:rsidTr="00292C75">
        <w:trPr>
          <w:trHeight w:val="20"/>
        </w:trPr>
        <w:tc>
          <w:tcPr>
            <w:tcW w:w="562" w:type="dxa"/>
          </w:tcPr>
          <w:p w14:paraId="19BE72B0" w14:textId="473108FF" w:rsidR="00912EB7" w:rsidRPr="00E64F09" w:rsidRDefault="00912EB7" w:rsidP="008A70B4">
            <w:pPr>
              <w:jc w:val="right"/>
              <w:rPr>
                <w:rFonts w:cs="Calibri"/>
              </w:rPr>
            </w:pPr>
            <w:r w:rsidRPr="00E64F09">
              <w:rPr>
                <w:rFonts w:cs="Calibri"/>
                <w:bCs/>
                <w:lang w:val="en-GB"/>
              </w:rPr>
              <w:t>15.</w:t>
            </w:r>
          </w:p>
        </w:tc>
        <w:tc>
          <w:tcPr>
            <w:tcW w:w="8365" w:type="dxa"/>
          </w:tcPr>
          <w:p w14:paraId="4BE046A4" w14:textId="77777777" w:rsidR="00912EB7" w:rsidRPr="00E64F09" w:rsidRDefault="00912EB7" w:rsidP="008A70B4">
            <w:pPr>
              <w:rPr>
                <w:rFonts w:ascii="Calibri" w:hAnsi="Calibri" w:cs="Calibri"/>
              </w:rPr>
            </w:pPr>
            <w:r w:rsidRPr="00E64F09">
              <w:rPr>
                <w:rFonts w:ascii="Calibri" w:hAnsi="Calibri" w:cs="Calibri"/>
                <w:lang w:val="en-GB"/>
              </w:rPr>
              <w:t xml:space="preserve">Papaioannou A, MorinS, CheungA M etal (2010) 2010 Clinical practice guidelines for the diagnosis and management of osteoporosis in Canada: summary. </w:t>
            </w:r>
            <w:r w:rsidRPr="00E64F09">
              <w:rPr>
                <w:rFonts w:ascii="Calibri" w:hAnsi="Calibri" w:cs="Calibri"/>
              </w:rPr>
              <w:t>CMAJ 182:1864–1873</w:t>
            </w:r>
          </w:p>
        </w:tc>
      </w:tr>
      <w:tr w:rsidR="00912EB7" w:rsidRPr="008C202E" w14:paraId="47164443" w14:textId="77777777" w:rsidTr="00292C75">
        <w:trPr>
          <w:trHeight w:val="20"/>
        </w:trPr>
        <w:tc>
          <w:tcPr>
            <w:tcW w:w="562" w:type="dxa"/>
          </w:tcPr>
          <w:p w14:paraId="08F5BAA8" w14:textId="3F330810" w:rsidR="00912EB7" w:rsidRPr="00E64F09" w:rsidRDefault="00912EB7" w:rsidP="008A70B4">
            <w:pPr>
              <w:jc w:val="right"/>
              <w:rPr>
                <w:rFonts w:cs="Calibri"/>
                <w:bCs/>
                <w:lang w:val="en-GB"/>
              </w:rPr>
            </w:pPr>
            <w:r w:rsidRPr="00E64F09">
              <w:rPr>
                <w:rFonts w:cs="Calibri"/>
              </w:rPr>
              <w:t>16.</w:t>
            </w:r>
          </w:p>
        </w:tc>
        <w:tc>
          <w:tcPr>
            <w:tcW w:w="8365" w:type="dxa"/>
          </w:tcPr>
          <w:p w14:paraId="139E9DBE" w14:textId="77777777" w:rsidR="00912EB7" w:rsidRPr="00E64F09" w:rsidRDefault="00912EB7" w:rsidP="008A70B4">
            <w:pPr>
              <w:rPr>
                <w:rFonts w:ascii="Calibri" w:hAnsi="Calibri" w:cs="Calibri"/>
                <w:bCs/>
                <w:lang w:val="en-GB"/>
              </w:rPr>
            </w:pPr>
            <w:r w:rsidRPr="00E64F09">
              <w:rPr>
                <w:rFonts w:cs="Calibri"/>
                <w:bCs/>
              </w:rPr>
              <w:t xml:space="preserve">Akhter P, Aslam M, Orfi SD. </w:t>
            </w:r>
            <w:r w:rsidRPr="00E64F09">
              <w:rPr>
                <w:rFonts w:ascii="Calibri" w:hAnsi="Calibri" w:cs="Calibri"/>
                <w:bCs/>
                <w:lang w:val="en-GB"/>
              </w:rPr>
              <w:t>Evaluation of body mass index for a reference Pakistani man and woman. Health Phys. 2001 Mar;80(3):274-7.</w:t>
            </w:r>
          </w:p>
        </w:tc>
      </w:tr>
      <w:tr w:rsidR="00912EB7" w:rsidRPr="008C202E" w14:paraId="142783F7" w14:textId="77777777" w:rsidTr="00292C75">
        <w:trPr>
          <w:trHeight w:val="20"/>
        </w:trPr>
        <w:tc>
          <w:tcPr>
            <w:tcW w:w="562" w:type="dxa"/>
          </w:tcPr>
          <w:p w14:paraId="4B8B647D" w14:textId="23C91718" w:rsidR="00912EB7" w:rsidRPr="00E64F09" w:rsidRDefault="00912EB7" w:rsidP="008A70B4">
            <w:pPr>
              <w:jc w:val="right"/>
              <w:rPr>
                <w:rFonts w:cs="Calibri"/>
              </w:rPr>
            </w:pPr>
            <w:r w:rsidRPr="00E64F09">
              <w:rPr>
                <w:rFonts w:cs="Calibri"/>
              </w:rPr>
              <w:t>17.</w:t>
            </w:r>
          </w:p>
        </w:tc>
        <w:tc>
          <w:tcPr>
            <w:tcW w:w="8365" w:type="dxa"/>
          </w:tcPr>
          <w:p w14:paraId="54DBED32" w14:textId="77777777" w:rsidR="00912EB7" w:rsidRPr="00E64F09" w:rsidRDefault="00912EB7" w:rsidP="008A70B4">
            <w:pPr>
              <w:rPr>
                <w:rFonts w:cs="Calibri"/>
                <w:bCs/>
                <w:lang w:val="en-GB"/>
              </w:rPr>
            </w:pPr>
            <w:r w:rsidRPr="00E64F09">
              <w:rPr>
                <w:lang w:val="en-AU"/>
              </w:rPr>
              <w:t xml:space="preserve">Kanis JA, Oden A, Johnell O, Johansson H, De Laet C, Brown J, Burckhardt P, Cooper C, Christiansen C, Cummings S, Eisman JA, Fujiwara S, Gluer C, Goltzman D, Hans D, Krieg MA, La Croix A, McCloskey E, Mellstrom D, Melton LJ 3rd, Pols H, Reeve J, Sanders K, Schott AM, Silman A, Torgerson D, van Staa T, Watts NB, Yoshimura N (2007) The use of clinical risk factors enhances the performance of BMD in the prediction of hip and osteoporotic fractures in men and women.  </w:t>
            </w:r>
            <w:r w:rsidRPr="00E64F09">
              <w:t>Osteoporos Int 18: 1033-46.</w:t>
            </w:r>
          </w:p>
        </w:tc>
      </w:tr>
      <w:tr w:rsidR="00912EB7" w:rsidRPr="008C202E" w14:paraId="3893CFDF" w14:textId="77777777" w:rsidTr="00292C75">
        <w:trPr>
          <w:trHeight w:val="20"/>
        </w:trPr>
        <w:tc>
          <w:tcPr>
            <w:tcW w:w="562" w:type="dxa"/>
          </w:tcPr>
          <w:p w14:paraId="31B38788" w14:textId="7487BFEB" w:rsidR="00912EB7" w:rsidRPr="00E64F09" w:rsidRDefault="00912EB7" w:rsidP="008A70B4">
            <w:pPr>
              <w:jc w:val="right"/>
              <w:rPr>
                <w:rFonts w:cs="Calibri"/>
              </w:rPr>
            </w:pPr>
            <w:r w:rsidRPr="00E64F09">
              <w:rPr>
                <w:rFonts w:cs="Calibri"/>
                <w:bCs/>
                <w:lang w:val="en-GB"/>
              </w:rPr>
              <w:t>18.</w:t>
            </w:r>
          </w:p>
        </w:tc>
        <w:tc>
          <w:tcPr>
            <w:tcW w:w="8365" w:type="dxa"/>
          </w:tcPr>
          <w:p w14:paraId="7D797BEB" w14:textId="4CD8DDA4" w:rsidR="00912EB7" w:rsidRPr="00E64F09" w:rsidRDefault="00912EB7" w:rsidP="008A70B4">
            <w:pPr>
              <w:rPr>
                <w:rFonts w:ascii="Calibri" w:hAnsi="Calibri" w:cs="Calibri"/>
              </w:rPr>
            </w:pPr>
            <w:r w:rsidRPr="00E64F09">
              <w:rPr>
                <w:rFonts w:ascii="Calibri" w:hAnsi="Calibri" w:cs="Calibri"/>
                <w:lang w:val="en-GB"/>
              </w:rPr>
              <w:t>Johansson H, Oden A, Johnell O, Jonsson B, De Laet C, Oglesby A, McCloskey EV, Kayan K, Jalava T, Kanis JA (2004) Optimization of BMD measurements to identify high risk groups for treatment – a test analysis. J Bone Miner Res 19: 906-913</w:t>
            </w:r>
          </w:p>
        </w:tc>
      </w:tr>
      <w:tr w:rsidR="00912EB7" w:rsidRPr="008C202E" w14:paraId="5E59C8E7" w14:textId="77777777" w:rsidTr="00292C75">
        <w:trPr>
          <w:trHeight w:val="20"/>
        </w:trPr>
        <w:tc>
          <w:tcPr>
            <w:tcW w:w="562" w:type="dxa"/>
          </w:tcPr>
          <w:p w14:paraId="6B3185CC" w14:textId="16DA9029" w:rsidR="00912EB7" w:rsidRPr="00E64F09" w:rsidRDefault="00912EB7" w:rsidP="008A70B4">
            <w:pPr>
              <w:jc w:val="right"/>
              <w:rPr>
                <w:rFonts w:cs="Calibri"/>
                <w:bCs/>
                <w:lang w:val="en-GB"/>
              </w:rPr>
            </w:pPr>
            <w:r w:rsidRPr="00E64F09">
              <w:rPr>
                <w:rFonts w:cs="Calibri"/>
              </w:rPr>
              <w:t>19.</w:t>
            </w:r>
          </w:p>
        </w:tc>
        <w:tc>
          <w:tcPr>
            <w:tcW w:w="8365" w:type="dxa"/>
          </w:tcPr>
          <w:p w14:paraId="0509A709" w14:textId="44681EC7" w:rsidR="00912EB7" w:rsidRPr="00E64F09" w:rsidRDefault="00912EB7" w:rsidP="008A70B4">
            <w:pPr>
              <w:rPr>
                <w:rFonts w:cs="Calibri"/>
                <w:bCs/>
                <w:lang w:val="en-GB"/>
              </w:rPr>
            </w:pPr>
            <w:r w:rsidRPr="00E64F09">
              <w:rPr>
                <w:rFonts w:cs="Calibri"/>
                <w:bCs/>
                <w:lang w:val="en-GB"/>
              </w:rPr>
              <w:t>Leslie WD, Majumdar SR, Lix L, Johansson H, McCloskey EV Kanis JA (2012) High fracture probability with FRAX® usually indicates densitometric osteoporosis: implications for clinical practice. Osteoporos Int 2012;23(1):391-7.</w:t>
            </w:r>
          </w:p>
        </w:tc>
      </w:tr>
      <w:tr w:rsidR="00912EB7" w:rsidRPr="008C202E" w14:paraId="6DC1D221" w14:textId="77777777" w:rsidTr="00292C75">
        <w:trPr>
          <w:trHeight w:val="20"/>
        </w:trPr>
        <w:tc>
          <w:tcPr>
            <w:tcW w:w="562" w:type="dxa"/>
          </w:tcPr>
          <w:p w14:paraId="6666C9D0" w14:textId="59D93D0D" w:rsidR="00912EB7" w:rsidRPr="00E64F09" w:rsidRDefault="00912EB7" w:rsidP="008A70B4">
            <w:pPr>
              <w:jc w:val="right"/>
              <w:rPr>
                <w:rFonts w:cs="Calibri"/>
              </w:rPr>
            </w:pPr>
            <w:r w:rsidRPr="00E64F09">
              <w:rPr>
                <w:rFonts w:cs="Calibri"/>
                <w:bCs/>
                <w:lang w:val="en-GB"/>
              </w:rPr>
              <w:t>20.</w:t>
            </w:r>
          </w:p>
        </w:tc>
        <w:tc>
          <w:tcPr>
            <w:tcW w:w="8365" w:type="dxa"/>
          </w:tcPr>
          <w:p w14:paraId="1F2BC8C4" w14:textId="6971955A" w:rsidR="00912EB7" w:rsidRPr="00E64F09" w:rsidRDefault="00912EB7" w:rsidP="008A70B4">
            <w:pPr>
              <w:rPr>
                <w:rFonts w:ascii="Calibri" w:hAnsi="Calibri" w:cs="Calibri"/>
                <w:bCs/>
                <w:lang w:val="en-GB"/>
              </w:rPr>
            </w:pPr>
            <w:r w:rsidRPr="00E64F09">
              <w:rPr>
                <w:rFonts w:ascii="Calibri" w:hAnsi="Calibri" w:cs="Calibri"/>
                <w:lang w:val="en-GB"/>
              </w:rPr>
              <w:t xml:space="preserve">Kanis JA, McCloskey EV, Johansson H, Strom O, Borgstrom F, Oden A, the National Osteoporosis Guideline Group (2008) Case finding for the management of osteoporosis with FRAX®—assessment and intervention thresholds for the UK. </w:t>
            </w:r>
            <w:r w:rsidRPr="00E64F09">
              <w:rPr>
                <w:rFonts w:ascii="Calibri" w:hAnsi="Calibri" w:cs="Calibri"/>
              </w:rPr>
              <w:t>Osteoporos Int 19:1395–1408, Erratum 2009 Osteoporos Int 20, 499-502.</w:t>
            </w:r>
          </w:p>
        </w:tc>
      </w:tr>
      <w:tr w:rsidR="00912EB7" w:rsidRPr="008C202E" w14:paraId="33477524" w14:textId="77777777" w:rsidTr="00292C75">
        <w:trPr>
          <w:trHeight w:val="20"/>
        </w:trPr>
        <w:tc>
          <w:tcPr>
            <w:tcW w:w="562" w:type="dxa"/>
          </w:tcPr>
          <w:p w14:paraId="2D61983D" w14:textId="7E07F27C" w:rsidR="00912EB7" w:rsidRPr="00E64F09" w:rsidRDefault="00912EB7" w:rsidP="008A70B4">
            <w:pPr>
              <w:jc w:val="right"/>
              <w:rPr>
                <w:rFonts w:cs="Calibri"/>
                <w:bCs/>
                <w:lang w:val="en-GB"/>
              </w:rPr>
            </w:pPr>
            <w:r w:rsidRPr="00E64F09">
              <w:rPr>
                <w:rFonts w:cs="Calibri"/>
                <w:bCs/>
                <w:lang w:val="en-GB"/>
              </w:rPr>
              <w:t>21.</w:t>
            </w:r>
          </w:p>
        </w:tc>
        <w:tc>
          <w:tcPr>
            <w:tcW w:w="8365" w:type="dxa"/>
          </w:tcPr>
          <w:p w14:paraId="6288C055" w14:textId="063CF1C4" w:rsidR="00912EB7" w:rsidRPr="00E64F09" w:rsidRDefault="00912EB7" w:rsidP="008A70B4">
            <w:pPr>
              <w:rPr>
                <w:rFonts w:cs="Calibri"/>
              </w:rPr>
            </w:pPr>
            <w:r w:rsidRPr="00E64F09">
              <w:rPr>
                <w:lang w:val="en-AU"/>
              </w:rPr>
              <w:t xml:space="preserve">Johansson H, Azizieh F, Harvey NC, McCloskey E, Kanis JA (2017) FRAX- vs. T-score-based intervention thresholds for osteoporosis. </w:t>
            </w:r>
            <w:r w:rsidRPr="00E64F09">
              <w:t>Osteoporos Int 28: 3099-3105.</w:t>
            </w:r>
          </w:p>
        </w:tc>
      </w:tr>
      <w:tr w:rsidR="00912EB7" w:rsidRPr="008C202E" w14:paraId="278BB2E1" w14:textId="77777777" w:rsidTr="00292C75">
        <w:trPr>
          <w:trHeight w:val="20"/>
        </w:trPr>
        <w:tc>
          <w:tcPr>
            <w:tcW w:w="562" w:type="dxa"/>
          </w:tcPr>
          <w:p w14:paraId="0831B2CF" w14:textId="11EE8C4A" w:rsidR="00912EB7" w:rsidRPr="00E64F09" w:rsidRDefault="00912EB7" w:rsidP="008A70B4">
            <w:pPr>
              <w:jc w:val="right"/>
              <w:rPr>
                <w:rFonts w:cs="Calibri"/>
                <w:bCs/>
                <w:lang w:val="en-GB"/>
              </w:rPr>
            </w:pPr>
            <w:r w:rsidRPr="00E64F09">
              <w:rPr>
                <w:rFonts w:cs="Calibri"/>
                <w:bCs/>
                <w:lang w:val="en-GB"/>
              </w:rPr>
              <w:t>22.</w:t>
            </w:r>
          </w:p>
        </w:tc>
        <w:tc>
          <w:tcPr>
            <w:tcW w:w="8365" w:type="dxa"/>
          </w:tcPr>
          <w:p w14:paraId="6700DF84" w14:textId="1A8F5E30" w:rsidR="00912EB7" w:rsidRPr="00E64F09" w:rsidRDefault="00912EB7" w:rsidP="008A70B4">
            <w:r w:rsidRPr="00E64F09">
              <w:rPr>
                <w:lang w:val="en-AU"/>
              </w:rPr>
              <w:t xml:space="preserve">Grigorie D, Sucaliuc A, Johansson H, Kanis JA, McCloskey E (2013) Incidence of hip fracture in Romania and the development of a Romanian FRAX model. </w:t>
            </w:r>
            <w:r w:rsidRPr="00E64F09">
              <w:t>Calcif Tissue Int  92: 429-36.</w:t>
            </w:r>
          </w:p>
        </w:tc>
      </w:tr>
      <w:tr w:rsidR="00912EB7" w:rsidRPr="008C202E" w14:paraId="7DA1AECC" w14:textId="77777777" w:rsidTr="00292C75">
        <w:trPr>
          <w:trHeight w:val="20"/>
        </w:trPr>
        <w:tc>
          <w:tcPr>
            <w:tcW w:w="562" w:type="dxa"/>
          </w:tcPr>
          <w:p w14:paraId="3C567864" w14:textId="0788B57F" w:rsidR="00912EB7" w:rsidRPr="00E64F09" w:rsidRDefault="00912EB7" w:rsidP="008A70B4">
            <w:pPr>
              <w:jc w:val="right"/>
              <w:rPr>
                <w:rFonts w:cs="Calibri"/>
                <w:bCs/>
                <w:lang w:val="en-GB"/>
              </w:rPr>
            </w:pPr>
            <w:r w:rsidRPr="00E64F09">
              <w:rPr>
                <w:rFonts w:cs="Calibri"/>
                <w:bCs/>
                <w:lang w:val="en-GB"/>
              </w:rPr>
              <w:t>23.</w:t>
            </w:r>
          </w:p>
        </w:tc>
        <w:tc>
          <w:tcPr>
            <w:tcW w:w="8365" w:type="dxa"/>
          </w:tcPr>
          <w:p w14:paraId="7801F1AF" w14:textId="3A84A3CC" w:rsidR="00912EB7" w:rsidRPr="00E64F09" w:rsidRDefault="00912EB7" w:rsidP="008A70B4">
            <w:r w:rsidRPr="00E64F09">
              <w:rPr>
                <w:lang w:val="en-AU"/>
              </w:rPr>
              <w:t xml:space="preserve">Kanis JA, McCloskey EV, Harvey NC, Johansson H, Leslie WD (2015) Intervention thresholds and the diagnosis of osteoporosis. </w:t>
            </w:r>
            <w:r w:rsidRPr="00E64F09">
              <w:t>Jl Bone Miner Res. 30: 1747-53</w:t>
            </w:r>
          </w:p>
        </w:tc>
      </w:tr>
      <w:tr w:rsidR="00912EB7" w:rsidRPr="008C202E" w14:paraId="55472C2D" w14:textId="77777777" w:rsidTr="00292C75">
        <w:trPr>
          <w:trHeight w:val="20"/>
        </w:trPr>
        <w:tc>
          <w:tcPr>
            <w:tcW w:w="562" w:type="dxa"/>
          </w:tcPr>
          <w:p w14:paraId="76E81FA2" w14:textId="22A78EF9" w:rsidR="00912EB7" w:rsidRPr="00E64F09" w:rsidRDefault="00912EB7" w:rsidP="008A70B4">
            <w:pPr>
              <w:jc w:val="right"/>
              <w:rPr>
                <w:rFonts w:cs="Calibri"/>
                <w:bCs/>
                <w:lang w:val="en-GB"/>
              </w:rPr>
            </w:pPr>
            <w:r w:rsidRPr="00E64F09">
              <w:rPr>
                <w:rFonts w:cs="Calibri"/>
                <w:bCs/>
                <w:lang w:val="en-GB"/>
              </w:rPr>
              <w:t>24.</w:t>
            </w:r>
          </w:p>
        </w:tc>
        <w:tc>
          <w:tcPr>
            <w:tcW w:w="8365" w:type="dxa"/>
          </w:tcPr>
          <w:p w14:paraId="268B9E5D" w14:textId="69BCDEAF" w:rsidR="00912EB7" w:rsidRPr="00E64F09" w:rsidRDefault="00912EB7" w:rsidP="008A70B4">
            <w:r w:rsidRPr="00E64F09">
              <w:rPr>
                <w:lang w:val="en-GB"/>
              </w:rPr>
              <w:t xml:space="preserve">Khashayar P, Keshtkar A, Ostovar A, Larijani B, Johansson H, Harvey NC, Lorentzon M, McCloskey E, Kanis JA. </w:t>
            </w:r>
            <w:r w:rsidRPr="00E64F09">
              <w:rPr>
                <w:lang w:val="en-AU"/>
              </w:rPr>
              <w:t xml:space="preserve">(2019) FRAX-based intervention and assessment thresholds for osteoporosis in Iran. </w:t>
            </w:r>
            <w:r w:rsidRPr="00E64F09">
              <w:t>Osteoporos Int 30: 2225-2230.</w:t>
            </w:r>
          </w:p>
        </w:tc>
      </w:tr>
      <w:tr w:rsidR="00912EB7" w:rsidRPr="008C202E" w14:paraId="76B4DD59" w14:textId="77777777" w:rsidTr="00292C75">
        <w:trPr>
          <w:trHeight w:val="20"/>
        </w:trPr>
        <w:tc>
          <w:tcPr>
            <w:tcW w:w="562" w:type="dxa"/>
          </w:tcPr>
          <w:p w14:paraId="28F60220" w14:textId="1124A506" w:rsidR="00912EB7" w:rsidRPr="00E64F09" w:rsidRDefault="00912EB7" w:rsidP="008A70B4">
            <w:pPr>
              <w:jc w:val="right"/>
              <w:rPr>
                <w:rFonts w:cs="Calibri"/>
                <w:bCs/>
                <w:lang w:val="en-GB"/>
              </w:rPr>
            </w:pPr>
            <w:r w:rsidRPr="00E64F09">
              <w:rPr>
                <w:rFonts w:cs="Calibri"/>
              </w:rPr>
              <w:t>25.</w:t>
            </w:r>
          </w:p>
        </w:tc>
        <w:tc>
          <w:tcPr>
            <w:tcW w:w="8365" w:type="dxa"/>
          </w:tcPr>
          <w:p w14:paraId="46EFC066" w14:textId="3EFAD421" w:rsidR="00912EB7" w:rsidRPr="00E64F09" w:rsidRDefault="00912EB7" w:rsidP="008A70B4">
            <w:pPr>
              <w:rPr>
                <w:rFonts w:cs="Calibri"/>
                <w:bCs/>
                <w:lang w:val="en-GB"/>
              </w:rPr>
            </w:pPr>
            <w:r w:rsidRPr="00E64F09">
              <w:rPr>
                <w:rFonts w:cs="Calibri"/>
                <w:bCs/>
                <w:lang w:val="en-GB"/>
              </w:rPr>
              <w:t>Povoroznyuk VV, Grygorieva NV, Kanis JA, McCloskey EV, Johansson H, Harvey NC, Korzh MO, Strafun SS, Vaida VM, Klymovytsky FV, Vlasenko RO, Forosenko VS (2017) Epidemiology of hip fracture and the development of FRAX in Ukraine. Arch Osteoporos 12:53. doi: 10.1007/s11657-017-0343-2.</w:t>
            </w:r>
          </w:p>
        </w:tc>
      </w:tr>
      <w:tr w:rsidR="00912EB7" w:rsidRPr="008C202E" w14:paraId="2DED6D80" w14:textId="77777777" w:rsidTr="00292C75">
        <w:trPr>
          <w:trHeight w:val="20"/>
        </w:trPr>
        <w:tc>
          <w:tcPr>
            <w:tcW w:w="562" w:type="dxa"/>
          </w:tcPr>
          <w:p w14:paraId="5C1A6E2D" w14:textId="45DBA45B" w:rsidR="00912EB7" w:rsidRPr="00E64F09" w:rsidRDefault="00912EB7" w:rsidP="008A70B4">
            <w:pPr>
              <w:jc w:val="right"/>
              <w:rPr>
                <w:rFonts w:cs="Calibri"/>
              </w:rPr>
            </w:pPr>
            <w:r w:rsidRPr="00E64F09">
              <w:rPr>
                <w:rFonts w:cs="Calibri"/>
                <w:bCs/>
                <w:lang w:val="en-GB"/>
              </w:rPr>
              <w:t xml:space="preserve">26. </w:t>
            </w:r>
          </w:p>
        </w:tc>
        <w:tc>
          <w:tcPr>
            <w:tcW w:w="8365" w:type="dxa"/>
          </w:tcPr>
          <w:p w14:paraId="43A86311" w14:textId="40A1EB27" w:rsidR="00912EB7" w:rsidRPr="00E64F09" w:rsidRDefault="00912EB7" w:rsidP="008A70B4">
            <w:pPr>
              <w:rPr>
                <w:rFonts w:cs="Calibri"/>
                <w:lang w:val="en-GB"/>
              </w:rPr>
            </w:pPr>
            <w:r w:rsidRPr="00E64F09">
              <w:rPr>
                <w:lang w:val="en-AU"/>
              </w:rPr>
              <w:t xml:space="preserve">Kanis JA, Johnell O, Oden A, Jonsson B, De Laet C, Dawson A (2000) Risk of hip fracture according to the World Health Organization criteria for osteopenia and osteoporosis. </w:t>
            </w:r>
            <w:r w:rsidRPr="00E64F09">
              <w:t>Bone 27: 585-90.</w:t>
            </w:r>
          </w:p>
        </w:tc>
      </w:tr>
      <w:tr w:rsidR="00912EB7" w:rsidRPr="00444AF0" w14:paraId="5442F024" w14:textId="77777777" w:rsidTr="00292C75">
        <w:trPr>
          <w:trHeight w:val="20"/>
        </w:trPr>
        <w:tc>
          <w:tcPr>
            <w:tcW w:w="562" w:type="dxa"/>
          </w:tcPr>
          <w:p w14:paraId="1B608CD3" w14:textId="163D1459" w:rsidR="00912EB7" w:rsidRPr="00E64F09" w:rsidRDefault="00912EB7" w:rsidP="008A70B4">
            <w:pPr>
              <w:jc w:val="right"/>
              <w:rPr>
                <w:rFonts w:cs="Calibri"/>
                <w:bCs/>
                <w:lang w:val="en-GB"/>
              </w:rPr>
            </w:pPr>
            <w:r w:rsidRPr="00E64F09">
              <w:rPr>
                <w:rFonts w:cs="Calibri"/>
              </w:rPr>
              <w:t>27.</w:t>
            </w:r>
          </w:p>
        </w:tc>
        <w:tc>
          <w:tcPr>
            <w:tcW w:w="8365" w:type="dxa"/>
          </w:tcPr>
          <w:p w14:paraId="5C5C1949" w14:textId="77777777" w:rsidR="00912EB7" w:rsidRPr="00E64F09" w:rsidRDefault="00912EB7" w:rsidP="008A70B4">
            <w:pPr>
              <w:rPr>
                <w:rFonts w:cs="Calibri"/>
                <w:lang w:val="en-AU"/>
              </w:rPr>
            </w:pPr>
            <w:r w:rsidRPr="00E64F09">
              <w:rPr>
                <w:rFonts w:cs="Calibri"/>
                <w:lang w:val="en-AU"/>
              </w:rPr>
              <w:t>World Health Organization. (1994). Assessment of fracture risk and its application to screening for postmenopausal osteoporosis. report of a WHO study group. WHO Technical Report Series, 843. Geneva: World Health Organization. http://whqlibdoc.who.int/trs/who_trs_843.pdf</w:t>
            </w:r>
          </w:p>
        </w:tc>
      </w:tr>
      <w:tr w:rsidR="00912EB7" w:rsidRPr="00444AF0" w14:paraId="2F99CC90" w14:textId="77777777" w:rsidTr="00292C75">
        <w:trPr>
          <w:trHeight w:val="20"/>
        </w:trPr>
        <w:tc>
          <w:tcPr>
            <w:tcW w:w="562" w:type="dxa"/>
          </w:tcPr>
          <w:p w14:paraId="2DED4D29" w14:textId="40425347" w:rsidR="00912EB7" w:rsidRPr="00E64F09" w:rsidRDefault="00912EB7" w:rsidP="008A70B4">
            <w:pPr>
              <w:jc w:val="right"/>
              <w:rPr>
                <w:rFonts w:cs="Calibri"/>
              </w:rPr>
            </w:pPr>
            <w:r w:rsidRPr="00E64F09">
              <w:rPr>
                <w:rFonts w:cs="Calibri"/>
                <w:bCs/>
                <w:lang w:val="en-GB"/>
              </w:rPr>
              <w:t>28.</w:t>
            </w:r>
          </w:p>
        </w:tc>
        <w:tc>
          <w:tcPr>
            <w:tcW w:w="8365" w:type="dxa"/>
          </w:tcPr>
          <w:p w14:paraId="4A04A77A" w14:textId="6C493A64" w:rsidR="00912EB7" w:rsidRPr="00E64F09" w:rsidRDefault="00912EB7" w:rsidP="008A70B4">
            <w:pPr>
              <w:rPr>
                <w:rFonts w:cs="Calibri"/>
                <w:lang w:val="en-AU"/>
              </w:rPr>
            </w:pPr>
            <w:r w:rsidRPr="00E64F09">
              <w:rPr>
                <w:rFonts w:cs="Calibri"/>
                <w:lang w:val="en-AU"/>
              </w:rPr>
              <w:t>International Osteoporosis Foundation (2013) The Asia-Pacific Regional Audit - Epidemiology, costs and burden of osteoporosis in 2013. IOF, Nyon, Switzerland</w:t>
            </w:r>
          </w:p>
        </w:tc>
      </w:tr>
      <w:tr w:rsidR="00912EB7" w:rsidRPr="008C202E" w14:paraId="59071F76" w14:textId="77777777" w:rsidTr="00E64F09">
        <w:trPr>
          <w:trHeight w:val="20"/>
        </w:trPr>
        <w:tc>
          <w:tcPr>
            <w:tcW w:w="562" w:type="dxa"/>
            <w:shd w:val="clear" w:color="auto" w:fill="auto"/>
          </w:tcPr>
          <w:p w14:paraId="37780DD0" w14:textId="4B81A66E" w:rsidR="00912EB7" w:rsidRPr="0036399F" w:rsidRDefault="00912EB7" w:rsidP="008A70B4">
            <w:pPr>
              <w:jc w:val="right"/>
              <w:rPr>
                <w:rFonts w:cs="Calibri"/>
                <w:bCs/>
                <w:highlight w:val="green"/>
                <w:lang w:val="en-GB"/>
              </w:rPr>
            </w:pPr>
            <w:r w:rsidRPr="00E64F09">
              <w:rPr>
                <w:rFonts w:cs="Calibri"/>
                <w:bCs/>
                <w:lang w:val="en-GB"/>
              </w:rPr>
              <w:t>29.</w:t>
            </w:r>
          </w:p>
        </w:tc>
        <w:tc>
          <w:tcPr>
            <w:tcW w:w="8365" w:type="dxa"/>
          </w:tcPr>
          <w:p w14:paraId="0595A5D2" w14:textId="116822F1" w:rsidR="00912EB7" w:rsidRPr="008C202E" w:rsidRDefault="00912EB7" w:rsidP="008A70B4">
            <w:pPr>
              <w:rPr>
                <w:rFonts w:ascii="Calibri" w:hAnsi="Calibri" w:cs="Calibri"/>
                <w:bCs/>
                <w:lang w:val="en-GB"/>
              </w:rPr>
            </w:pPr>
            <w:r w:rsidRPr="008711EB">
              <w:rPr>
                <w:rFonts w:cs="Calibri"/>
                <w:bCs/>
              </w:rPr>
              <w:t xml:space="preserve">Lesnyak O, Zakroyeva A, Babalyan V, Cazac V, Gabdulina G, Ismailov S, Lobanchenko O, Rudenka E,  Tsagareli M,  Johansson H, Harvey NC, McCloskey E, Kanis JA (2021) FRAX-based intervention thresholds in eight Eurasian countries: Armenia, Belarus, Georgia, Kazakhstan, the Kyrgyz Republic, Moldova, the Russian Federation, and Uzbekistan. </w:t>
            </w:r>
            <w:r>
              <w:rPr>
                <w:rFonts w:ascii="Calibri" w:hAnsi="Calibri" w:cs="Calibri"/>
                <w:bCs/>
                <w:lang w:val="en-GB"/>
              </w:rPr>
              <w:t>Arch Osteoporos</w:t>
            </w:r>
            <w:r w:rsidR="00907FDF">
              <w:rPr>
                <w:rFonts w:ascii="Calibri" w:hAnsi="Calibri" w:cs="Calibri"/>
                <w:bCs/>
                <w:lang w:val="en-GB"/>
              </w:rPr>
              <w:t xml:space="preserve"> </w:t>
            </w:r>
            <w:r w:rsidR="00907FDF" w:rsidRPr="00907FDF">
              <w:rPr>
                <w:rFonts w:ascii="Calibri" w:hAnsi="Calibri" w:cs="Calibri"/>
                <w:bCs/>
                <w:lang w:val="en-GB"/>
              </w:rPr>
              <w:t>16(1):87. doi: 10.1007/s11657-021-00962-1.</w:t>
            </w:r>
          </w:p>
        </w:tc>
      </w:tr>
      <w:tr w:rsidR="00912EB7" w:rsidRPr="008C202E" w14:paraId="7964ADE8" w14:textId="77777777" w:rsidTr="00292C75">
        <w:trPr>
          <w:trHeight w:val="20"/>
        </w:trPr>
        <w:tc>
          <w:tcPr>
            <w:tcW w:w="562" w:type="dxa"/>
          </w:tcPr>
          <w:p w14:paraId="388B5B64" w14:textId="47DAA96B" w:rsidR="00912EB7" w:rsidRPr="00E64F09" w:rsidRDefault="00912EB7" w:rsidP="008A70B4">
            <w:pPr>
              <w:jc w:val="right"/>
              <w:rPr>
                <w:rFonts w:cs="Calibri"/>
                <w:bCs/>
                <w:lang w:val="en-GB"/>
              </w:rPr>
            </w:pPr>
            <w:r w:rsidRPr="00E64F09">
              <w:rPr>
                <w:rFonts w:cs="Calibri"/>
              </w:rPr>
              <w:t>30.</w:t>
            </w:r>
          </w:p>
        </w:tc>
        <w:tc>
          <w:tcPr>
            <w:tcW w:w="8365" w:type="dxa"/>
          </w:tcPr>
          <w:p w14:paraId="2639259D" w14:textId="77777777" w:rsidR="00912EB7" w:rsidRPr="00E64F09" w:rsidRDefault="00912EB7" w:rsidP="008A70B4">
            <w:pPr>
              <w:rPr>
                <w:rFonts w:ascii="Calibri" w:hAnsi="Calibri" w:cs="Calibri"/>
              </w:rPr>
            </w:pPr>
            <w:r w:rsidRPr="00E64F09">
              <w:rPr>
                <w:rFonts w:ascii="Calibri" w:hAnsi="Calibri" w:cs="Calibri"/>
                <w:lang w:val="en-GB"/>
              </w:rPr>
              <w:t xml:space="preserve">Johansson H, Kanis JA, Oden A, Johnell O, McCloskey E (2009) BMD, clinical risk factors and their combination for hip fracture prevention. </w:t>
            </w:r>
            <w:r w:rsidRPr="00E64F09">
              <w:rPr>
                <w:rFonts w:ascii="Calibri" w:hAnsi="Calibri" w:cs="Calibri"/>
              </w:rPr>
              <w:t>Osteoporos Int 20:1675–1682</w:t>
            </w:r>
          </w:p>
        </w:tc>
      </w:tr>
      <w:tr w:rsidR="00912EB7" w:rsidRPr="008C202E" w14:paraId="670DC93C" w14:textId="77777777" w:rsidTr="00292C75">
        <w:trPr>
          <w:trHeight w:val="20"/>
        </w:trPr>
        <w:tc>
          <w:tcPr>
            <w:tcW w:w="562" w:type="dxa"/>
          </w:tcPr>
          <w:p w14:paraId="1A498B02" w14:textId="2AA25772" w:rsidR="00912EB7" w:rsidRPr="00E64F09" w:rsidRDefault="00912EB7" w:rsidP="008A70B4">
            <w:pPr>
              <w:jc w:val="right"/>
              <w:rPr>
                <w:rFonts w:cs="Calibri"/>
              </w:rPr>
            </w:pPr>
            <w:r w:rsidRPr="00E64F09">
              <w:rPr>
                <w:rFonts w:cs="Calibri"/>
                <w:bCs/>
                <w:lang w:val="en-GB"/>
              </w:rPr>
              <w:t>31.</w:t>
            </w:r>
          </w:p>
        </w:tc>
        <w:tc>
          <w:tcPr>
            <w:tcW w:w="8365" w:type="dxa"/>
          </w:tcPr>
          <w:p w14:paraId="45ABB363" w14:textId="77777777" w:rsidR="00912EB7" w:rsidRPr="00E64F09" w:rsidRDefault="00912EB7" w:rsidP="008A70B4">
            <w:pPr>
              <w:rPr>
                <w:rFonts w:ascii="Calibri" w:hAnsi="Calibri" w:cs="Calibri"/>
                <w:bCs/>
                <w:lang w:val="en-GB"/>
              </w:rPr>
            </w:pPr>
            <w:r w:rsidRPr="00E64F09">
              <w:rPr>
                <w:rFonts w:ascii="Calibri" w:hAnsi="Calibri" w:cs="Calibri"/>
                <w:lang w:val="en-GB"/>
              </w:rPr>
              <w:t xml:space="preserve">Johansson H, Kanis JA, Oden A, Compston J, McCloskey E (2012) A comparison of case-finding strategies in the UK for the management of hip fractures. </w:t>
            </w:r>
            <w:r w:rsidRPr="00E64F09">
              <w:rPr>
                <w:rFonts w:ascii="Calibri" w:hAnsi="Calibri" w:cs="Calibri"/>
              </w:rPr>
              <w:t xml:space="preserve">Osteoporosis International 23: 907-915.  </w:t>
            </w:r>
          </w:p>
        </w:tc>
      </w:tr>
      <w:tr w:rsidR="00912EB7" w:rsidRPr="008C202E" w14:paraId="45358028" w14:textId="77777777" w:rsidTr="00292C75">
        <w:trPr>
          <w:trHeight w:val="20"/>
        </w:trPr>
        <w:tc>
          <w:tcPr>
            <w:tcW w:w="562" w:type="dxa"/>
          </w:tcPr>
          <w:p w14:paraId="658023DB" w14:textId="310187A2" w:rsidR="00912EB7" w:rsidRPr="00E64F09" w:rsidRDefault="00912EB7" w:rsidP="008A70B4">
            <w:pPr>
              <w:jc w:val="right"/>
              <w:rPr>
                <w:rFonts w:cs="Calibri"/>
                <w:bCs/>
                <w:lang w:val="en-GB"/>
              </w:rPr>
            </w:pPr>
            <w:r w:rsidRPr="00E64F09">
              <w:rPr>
                <w:rFonts w:cs="Calibri"/>
              </w:rPr>
              <w:t>32.</w:t>
            </w:r>
          </w:p>
        </w:tc>
        <w:tc>
          <w:tcPr>
            <w:tcW w:w="8365" w:type="dxa"/>
          </w:tcPr>
          <w:p w14:paraId="7716EAAA" w14:textId="2BE122ED" w:rsidR="00912EB7" w:rsidRPr="00E64F09" w:rsidRDefault="00912EB7" w:rsidP="008A70B4">
            <w:pPr>
              <w:rPr>
                <w:rFonts w:cs="Calibri"/>
                <w:lang w:val="en-GB"/>
              </w:rPr>
            </w:pPr>
            <w:r w:rsidRPr="00E64F09">
              <w:rPr>
                <w:rFonts w:ascii="Calibri" w:hAnsi="Calibri" w:cs="Calibri"/>
                <w:lang w:val="en-GB"/>
              </w:rPr>
              <w:t xml:space="preserve">Kanis JA, McCloskey E, Johansson H, Oden A, Leslie WD (2012) FRAX® with and without BMD. </w:t>
            </w:r>
            <w:r w:rsidRPr="00E64F09">
              <w:rPr>
                <w:rFonts w:ascii="Calibri" w:hAnsi="Calibri" w:cs="Calibri"/>
              </w:rPr>
              <w:t>Calcif Tiss Int 90:1–13.</w:t>
            </w:r>
          </w:p>
        </w:tc>
      </w:tr>
      <w:tr w:rsidR="00912EB7" w:rsidRPr="008C202E" w14:paraId="366263A7" w14:textId="77777777" w:rsidTr="00292C75">
        <w:trPr>
          <w:trHeight w:val="20"/>
        </w:trPr>
        <w:tc>
          <w:tcPr>
            <w:tcW w:w="562" w:type="dxa"/>
          </w:tcPr>
          <w:p w14:paraId="2AA56380" w14:textId="22BD15D0" w:rsidR="00912EB7" w:rsidRPr="00E64F09" w:rsidRDefault="00912EB7" w:rsidP="008A70B4">
            <w:pPr>
              <w:jc w:val="right"/>
              <w:rPr>
                <w:rFonts w:cs="Calibri"/>
              </w:rPr>
            </w:pPr>
            <w:r w:rsidRPr="00E64F09">
              <w:rPr>
                <w:rFonts w:cs="Calibri"/>
              </w:rPr>
              <w:t>33.</w:t>
            </w:r>
          </w:p>
        </w:tc>
        <w:tc>
          <w:tcPr>
            <w:tcW w:w="8365" w:type="dxa"/>
          </w:tcPr>
          <w:p w14:paraId="0F61CF82" w14:textId="1F7B6230" w:rsidR="00912EB7" w:rsidRPr="00E64F09" w:rsidRDefault="00912EB7" w:rsidP="008A70B4">
            <w:pPr>
              <w:rPr>
                <w:rFonts w:ascii="Calibri" w:hAnsi="Calibri" w:cs="Calibri"/>
              </w:rPr>
            </w:pPr>
            <w:r w:rsidRPr="00E64F09">
              <w:rPr>
                <w:rFonts w:ascii="Calibri" w:hAnsi="Calibri" w:cs="Calibri"/>
                <w:lang w:val="en-GB"/>
              </w:rPr>
              <w:t>Kanis JA, Johnell O, Black DM, Downs R, Sarkar S, Fuerst T, Secrest RJ, Pavo I (2003) Effect of raloxifene on the risk of new vertebral fracture in postmenopausal women with osteopenia or osteoporosis: a reanalysis of the Multiple Outcomes of Raloxifene Evaluation trial. Bone 33: 293-300.</w:t>
            </w:r>
          </w:p>
        </w:tc>
      </w:tr>
      <w:tr w:rsidR="00912EB7" w:rsidRPr="008C202E" w14:paraId="29C3B047" w14:textId="77777777" w:rsidTr="00292C75">
        <w:trPr>
          <w:trHeight w:val="20"/>
        </w:trPr>
        <w:tc>
          <w:tcPr>
            <w:tcW w:w="562" w:type="dxa"/>
          </w:tcPr>
          <w:p w14:paraId="7C2AC6F8" w14:textId="4AFA9CBC" w:rsidR="00912EB7" w:rsidRPr="00E64F09" w:rsidRDefault="00912EB7" w:rsidP="008A70B4">
            <w:pPr>
              <w:jc w:val="right"/>
              <w:rPr>
                <w:rFonts w:cs="Calibri"/>
              </w:rPr>
            </w:pPr>
            <w:r w:rsidRPr="00E64F09">
              <w:rPr>
                <w:rFonts w:cs="Calibri"/>
              </w:rPr>
              <w:t>34.</w:t>
            </w:r>
          </w:p>
        </w:tc>
        <w:tc>
          <w:tcPr>
            <w:tcW w:w="8365" w:type="dxa"/>
          </w:tcPr>
          <w:p w14:paraId="0061248C" w14:textId="77777777" w:rsidR="00912EB7" w:rsidRPr="00E64F09" w:rsidRDefault="00912EB7" w:rsidP="008A70B4">
            <w:pPr>
              <w:rPr>
                <w:rFonts w:ascii="Calibri" w:hAnsi="Calibri" w:cs="Calibri"/>
              </w:rPr>
            </w:pPr>
            <w:r w:rsidRPr="00E64F09">
              <w:rPr>
                <w:rFonts w:ascii="Calibri" w:hAnsi="Calibri" w:cs="Calibri"/>
                <w:lang w:val="en-GB"/>
              </w:rPr>
              <w:t xml:space="preserve">Torgerson DJ, Bell-Syer SE (2001) Hormone replacement therapy and prevention of nonvertebral fractures: a meta-analysis of randomized trials. </w:t>
            </w:r>
            <w:r w:rsidRPr="00E64F09">
              <w:rPr>
                <w:rFonts w:ascii="Calibri" w:hAnsi="Calibri" w:cs="Calibri"/>
              </w:rPr>
              <w:t>JAMA 285:2891–2897.</w:t>
            </w:r>
          </w:p>
        </w:tc>
      </w:tr>
      <w:tr w:rsidR="00912EB7" w:rsidRPr="008C202E" w14:paraId="797B3BFD" w14:textId="77777777" w:rsidTr="00292C75">
        <w:trPr>
          <w:trHeight w:val="20"/>
        </w:trPr>
        <w:tc>
          <w:tcPr>
            <w:tcW w:w="562" w:type="dxa"/>
          </w:tcPr>
          <w:p w14:paraId="4AA44FF8" w14:textId="0B5BBFC7" w:rsidR="00912EB7" w:rsidRPr="00E64F09" w:rsidRDefault="00912EB7" w:rsidP="008A70B4">
            <w:pPr>
              <w:jc w:val="right"/>
              <w:rPr>
                <w:rFonts w:cs="Calibri"/>
              </w:rPr>
            </w:pPr>
            <w:r w:rsidRPr="00E64F09">
              <w:rPr>
                <w:rFonts w:cs="Calibri"/>
              </w:rPr>
              <w:t>35.</w:t>
            </w:r>
          </w:p>
        </w:tc>
        <w:tc>
          <w:tcPr>
            <w:tcW w:w="8365" w:type="dxa"/>
          </w:tcPr>
          <w:p w14:paraId="33059D95" w14:textId="77777777" w:rsidR="00912EB7" w:rsidRPr="00E64F09" w:rsidRDefault="00912EB7" w:rsidP="008A70B4">
            <w:pPr>
              <w:rPr>
                <w:rFonts w:ascii="Calibri" w:hAnsi="Calibri" w:cs="Calibri"/>
              </w:rPr>
            </w:pPr>
            <w:r w:rsidRPr="00E64F09">
              <w:rPr>
                <w:rFonts w:ascii="Calibri" w:hAnsi="Calibri" w:cs="Calibri"/>
                <w:lang w:val="en-GB"/>
              </w:rPr>
              <w:t xml:space="preserve">Cauley JA, Robbins J, Chen Z, Cummings SR, Jackson RD, LaCroix AZ, LeBoff M, Lewis CE, McGowan J, Neuner J, Pettinger M, Stefanick ML, Wactawski-Wende J, Watts NB (2003) Effects of estrogen plus progestin on risk of fracture and bone mineral density: the Women’s Health Initiative randomized trial. </w:t>
            </w:r>
            <w:r w:rsidRPr="00E64F09">
              <w:rPr>
                <w:rFonts w:ascii="Calibri" w:hAnsi="Calibri" w:cs="Calibri"/>
              </w:rPr>
              <w:t>JAMA 290:1729–1738.</w:t>
            </w:r>
          </w:p>
        </w:tc>
      </w:tr>
      <w:tr w:rsidR="00912EB7" w:rsidRPr="008C202E" w14:paraId="2CA68324" w14:textId="77777777" w:rsidTr="00292C75">
        <w:trPr>
          <w:trHeight w:val="20"/>
        </w:trPr>
        <w:tc>
          <w:tcPr>
            <w:tcW w:w="562" w:type="dxa"/>
          </w:tcPr>
          <w:p w14:paraId="31EAB3B0" w14:textId="59D8E2D9" w:rsidR="00912EB7" w:rsidRPr="00E64F09" w:rsidRDefault="00912EB7" w:rsidP="008A70B4">
            <w:pPr>
              <w:jc w:val="right"/>
              <w:rPr>
                <w:rFonts w:cs="Calibri"/>
              </w:rPr>
            </w:pPr>
            <w:r w:rsidRPr="00E64F09">
              <w:rPr>
                <w:rFonts w:cs="Calibri"/>
              </w:rPr>
              <w:t>36.</w:t>
            </w:r>
          </w:p>
        </w:tc>
        <w:tc>
          <w:tcPr>
            <w:tcW w:w="8365" w:type="dxa"/>
          </w:tcPr>
          <w:p w14:paraId="02590878" w14:textId="56C9163C" w:rsidR="00912EB7" w:rsidRPr="00E64F09" w:rsidRDefault="00912EB7" w:rsidP="008A70B4">
            <w:pPr>
              <w:rPr>
                <w:rFonts w:ascii="Calibri" w:hAnsi="Calibri" w:cs="Calibri"/>
              </w:rPr>
            </w:pPr>
            <w:r w:rsidRPr="00E64F09">
              <w:rPr>
                <w:rFonts w:ascii="Calibri" w:hAnsi="Calibri" w:cs="Calibri"/>
                <w:lang w:val="en-GB"/>
              </w:rPr>
              <w:t xml:space="preserve">McCloskey EV, Beneton M, Charlesworth D, Kayan K, deTakats D, Dey A, Orgee J,  Ashford R, Forster M, Cliffe J, Kersh L, Brazier J, Nichol J, Aropuu S, Jalava T, Kanis JA (2007) Clodronate reduces the incidence of fractures in community-dwelling elderly women unselected for osteoporosis: results of a double-blind, placebo-controlled randomized study. </w:t>
            </w:r>
            <w:r w:rsidRPr="00E64F09">
              <w:rPr>
                <w:rFonts w:ascii="Calibri" w:hAnsi="Calibri" w:cs="Calibri"/>
              </w:rPr>
              <w:t>J Bone Miner Res 22: 135-141.</w:t>
            </w:r>
          </w:p>
        </w:tc>
      </w:tr>
      <w:tr w:rsidR="00912EB7" w:rsidRPr="008C202E" w14:paraId="11AF16AD" w14:textId="77777777" w:rsidTr="00292C75">
        <w:trPr>
          <w:trHeight w:val="20"/>
        </w:trPr>
        <w:tc>
          <w:tcPr>
            <w:tcW w:w="562" w:type="dxa"/>
          </w:tcPr>
          <w:p w14:paraId="7B763EC8" w14:textId="70838974" w:rsidR="00912EB7" w:rsidRPr="00E64F09" w:rsidRDefault="00912EB7" w:rsidP="008A70B4">
            <w:pPr>
              <w:jc w:val="right"/>
              <w:rPr>
                <w:rFonts w:cs="Calibri"/>
              </w:rPr>
            </w:pPr>
            <w:r w:rsidRPr="00E64F09">
              <w:rPr>
                <w:rFonts w:cs="Calibri"/>
              </w:rPr>
              <w:t>37.</w:t>
            </w:r>
          </w:p>
        </w:tc>
        <w:tc>
          <w:tcPr>
            <w:tcW w:w="8365" w:type="dxa"/>
          </w:tcPr>
          <w:p w14:paraId="4D716150" w14:textId="5D7DA574" w:rsidR="00912EB7" w:rsidRPr="00E64F09" w:rsidRDefault="00912EB7" w:rsidP="008A70B4">
            <w:pPr>
              <w:rPr>
                <w:rFonts w:ascii="Calibri" w:hAnsi="Calibri" w:cs="Calibri"/>
              </w:rPr>
            </w:pPr>
            <w:r w:rsidRPr="00E64F09">
              <w:rPr>
                <w:rFonts w:cs="Calibri"/>
              </w:rPr>
              <w:t xml:space="preserve">Lyles KW, Colón-Emeric CS, Magaziner JS, </w:t>
            </w:r>
            <w:r w:rsidRPr="00E64F09">
              <w:t xml:space="preserve"> </w:t>
            </w:r>
            <w:r w:rsidRPr="00E64F09">
              <w:rPr>
                <w:rFonts w:cs="Calibri"/>
              </w:rPr>
              <w:t xml:space="preserve">Adachi JD, Pieper CF, Mautalen C, Hyldstrup L, Recknor C, Nordsletten L, Moore KA, Lavecchia C, Zhang J, Mesenbrink P, Hodgson PK, Abrams K, Orloff JJ, Horowitz Z, Eriksen EF, Boonen S; HORIZON Recurrent Fracture Trial.l (2007) Zoledronic acid and clinical fractures and mortality after hip fracture. </w:t>
            </w:r>
            <w:r w:rsidRPr="00E64F09">
              <w:rPr>
                <w:rFonts w:ascii="Calibri" w:hAnsi="Calibri" w:cs="Calibri"/>
              </w:rPr>
              <w:t xml:space="preserve">N Engl J Med. 357:1799–1809. </w:t>
            </w:r>
          </w:p>
        </w:tc>
      </w:tr>
      <w:tr w:rsidR="00912EB7" w:rsidRPr="008C202E" w14:paraId="0EE49FF2" w14:textId="77777777" w:rsidTr="00292C75">
        <w:trPr>
          <w:trHeight w:val="20"/>
        </w:trPr>
        <w:tc>
          <w:tcPr>
            <w:tcW w:w="562" w:type="dxa"/>
          </w:tcPr>
          <w:p w14:paraId="1499B8DC" w14:textId="013D1331" w:rsidR="00912EB7" w:rsidRPr="00E64F09" w:rsidRDefault="00912EB7" w:rsidP="008A70B4">
            <w:pPr>
              <w:jc w:val="right"/>
              <w:rPr>
                <w:rFonts w:cs="Calibri"/>
              </w:rPr>
            </w:pPr>
            <w:r w:rsidRPr="00E64F09">
              <w:rPr>
                <w:rFonts w:cs="Calibri"/>
              </w:rPr>
              <w:t>38.</w:t>
            </w:r>
          </w:p>
        </w:tc>
        <w:tc>
          <w:tcPr>
            <w:tcW w:w="8365" w:type="dxa"/>
          </w:tcPr>
          <w:p w14:paraId="2B91AE9E" w14:textId="554A40A7" w:rsidR="00912EB7" w:rsidRPr="00E64F09" w:rsidRDefault="00912EB7" w:rsidP="008A70B4">
            <w:pPr>
              <w:rPr>
                <w:rFonts w:cs="Calibri"/>
                <w:lang w:val="en-GB"/>
              </w:rPr>
            </w:pPr>
            <w:r w:rsidRPr="00E64F09">
              <w:rPr>
                <w:rFonts w:cs="Calibri"/>
                <w:lang w:val="en-GB"/>
              </w:rPr>
              <w:t>Reid IR, Horne AM, Mihov B, Stewart A, Garratt E, Wiessing KR, Bolland MJ, Bastin S, Gamble GD (2019) Anti-fracture efficacy of zoledronate in subgroups of osteopenic postmenopausal women: secondary analysis of a randomized controlled trial. J Intern Med 286: 221-229.</w:t>
            </w:r>
          </w:p>
        </w:tc>
      </w:tr>
      <w:tr w:rsidR="00912EB7" w:rsidRPr="008C202E" w14:paraId="2FB326F7" w14:textId="77777777" w:rsidTr="00292C75">
        <w:trPr>
          <w:trHeight w:val="20"/>
        </w:trPr>
        <w:tc>
          <w:tcPr>
            <w:tcW w:w="562" w:type="dxa"/>
          </w:tcPr>
          <w:p w14:paraId="292FFAF9" w14:textId="1F15EF95" w:rsidR="00912EB7" w:rsidRPr="00E64F09" w:rsidRDefault="00912EB7" w:rsidP="008A70B4">
            <w:pPr>
              <w:jc w:val="right"/>
              <w:rPr>
                <w:rFonts w:cs="Calibri"/>
              </w:rPr>
            </w:pPr>
            <w:r w:rsidRPr="00E64F09">
              <w:rPr>
                <w:rFonts w:cs="Calibri"/>
                <w:bCs/>
                <w:lang w:val="en-GB"/>
              </w:rPr>
              <w:t>39.</w:t>
            </w:r>
          </w:p>
        </w:tc>
        <w:tc>
          <w:tcPr>
            <w:tcW w:w="8365" w:type="dxa"/>
          </w:tcPr>
          <w:p w14:paraId="203516A9" w14:textId="77777777" w:rsidR="00912EB7" w:rsidRPr="00E64F09" w:rsidRDefault="00912EB7" w:rsidP="008A70B4">
            <w:pPr>
              <w:rPr>
                <w:rFonts w:ascii="Calibri" w:hAnsi="Calibri" w:cs="Calibri"/>
              </w:rPr>
            </w:pPr>
            <w:r w:rsidRPr="00E64F09">
              <w:rPr>
                <w:rFonts w:ascii="Calibri" w:hAnsi="Calibri" w:cs="Calibri"/>
                <w:lang w:val="en-GB"/>
              </w:rPr>
              <w:t xml:space="preserve">Shepstone L, Lenaghan E, Cooper C, Clarke S, Fong-Soe-Khioe R, Fordham R, Gittoes NJ, Harvey I, Harvey N, Heawood A, Holland R, Howe A, Kanis J, Marshall T, O'Neill T, Peters T, Redmond N, Torgerson D, Turner D, McCloskey E (2018) Screening in the community to reduce fractures in older women (SCOOP): a randomised controlled trial. </w:t>
            </w:r>
            <w:r w:rsidRPr="00E64F09">
              <w:rPr>
                <w:rFonts w:ascii="Calibri" w:hAnsi="Calibri" w:cs="Calibri"/>
              </w:rPr>
              <w:t>Lancet 391(10122): 741-747.</w:t>
            </w:r>
          </w:p>
        </w:tc>
      </w:tr>
      <w:tr w:rsidR="00912EB7" w:rsidRPr="00585FB1" w14:paraId="53AFCAB9" w14:textId="77777777" w:rsidTr="00292C75">
        <w:trPr>
          <w:trHeight w:val="20"/>
        </w:trPr>
        <w:tc>
          <w:tcPr>
            <w:tcW w:w="562" w:type="dxa"/>
          </w:tcPr>
          <w:p w14:paraId="7D030763" w14:textId="2794E420" w:rsidR="00912EB7" w:rsidRPr="00E64F09" w:rsidRDefault="00912EB7" w:rsidP="008A70B4">
            <w:pPr>
              <w:jc w:val="right"/>
              <w:rPr>
                <w:rFonts w:cs="Calibri"/>
                <w:bCs/>
                <w:lang w:val="en-GB"/>
              </w:rPr>
            </w:pPr>
            <w:r w:rsidRPr="00E64F09">
              <w:rPr>
                <w:rFonts w:cs="Calibri"/>
              </w:rPr>
              <w:t>40.</w:t>
            </w:r>
          </w:p>
        </w:tc>
        <w:tc>
          <w:tcPr>
            <w:tcW w:w="8365" w:type="dxa"/>
          </w:tcPr>
          <w:p w14:paraId="74EA1836" w14:textId="42F7CB9A" w:rsidR="00912EB7" w:rsidRPr="00E64F09" w:rsidRDefault="00912EB7" w:rsidP="008A70B4">
            <w:pPr>
              <w:rPr>
                <w:rFonts w:cs="Calibri"/>
                <w:lang w:val="en-AU"/>
              </w:rPr>
            </w:pPr>
            <w:r w:rsidRPr="00E64F09">
              <w:rPr>
                <w:rFonts w:cs="Calibri"/>
                <w:lang w:val="en-AU"/>
              </w:rPr>
              <w:t xml:space="preserve">National Institute for Health and Care Excellence (2019) Bisphosphonates for treating osteoporosis. Technology appraisal guidance [TA464]. </w:t>
            </w:r>
            <w:hyperlink r:id="rId15" w:history="1">
              <w:r w:rsidRPr="00E64F09">
                <w:rPr>
                  <w:rStyle w:val="Hyperlink"/>
                  <w:rFonts w:cs="Calibri"/>
                  <w:lang w:val="en-AU"/>
                </w:rPr>
                <w:t>https://www.nice.org.uk/guidance/ta464</w:t>
              </w:r>
            </w:hyperlink>
            <w:r w:rsidRPr="00E64F09">
              <w:rPr>
                <w:rFonts w:cs="Calibri"/>
                <w:lang w:val="en-AU"/>
              </w:rPr>
              <w:t xml:space="preserve">, accessed 22 Feb 2021  </w:t>
            </w:r>
          </w:p>
        </w:tc>
      </w:tr>
      <w:tr w:rsidR="00912EB7" w:rsidRPr="008C202E" w14:paraId="51F0A427" w14:textId="77777777" w:rsidTr="00292C75">
        <w:trPr>
          <w:trHeight w:val="20"/>
        </w:trPr>
        <w:tc>
          <w:tcPr>
            <w:tcW w:w="562" w:type="dxa"/>
          </w:tcPr>
          <w:p w14:paraId="1CA9C252" w14:textId="354AFE0D" w:rsidR="00912EB7" w:rsidRPr="00E64F09" w:rsidRDefault="00912EB7" w:rsidP="008A70B4">
            <w:pPr>
              <w:jc w:val="right"/>
              <w:rPr>
                <w:rFonts w:cs="Calibri"/>
              </w:rPr>
            </w:pPr>
            <w:r w:rsidRPr="00E64F09">
              <w:rPr>
                <w:rFonts w:cs="Calibri"/>
              </w:rPr>
              <w:t>41.</w:t>
            </w:r>
          </w:p>
        </w:tc>
        <w:tc>
          <w:tcPr>
            <w:tcW w:w="8365" w:type="dxa"/>
          </w:tcPr>
          <w:p w14:paraId="034D9242" w14:textId="123084F0" w:rsidR="00912EB7" w:rsidRPr="00E64F09" w:rsidRDefault="00912EB7" w:rsidP="008A70B4">
            <w:pPr>
              <w:rPr>
                <w:rFonts w:ascii="Calibri" w:hAnsi="Calibri" w:cs="Calibri"/>
                <w:bCs/>
                <w:lang w:val="en-GB"/>
              </w:rPr>
            </w:pPr>
            <w:r w:rsidRPr="00E64F09">
              <w:rPr>
                <w:rFonts w:cs="Calibri"/>
                <w:lang w:val="en-AU"/>
              </w:rPr>
              <w:t xml:space="preserve">Kanis JA, Adams J, Borgström F, Cooper C, Jönsson B, Preedy D, Selby P, Compston J  (2008) The cost-effectiveness of alendronate in the management of osteoporosis. </w:t>
            </w:r>
            <w:r w:rsidRPr="00E64F09">
              <w:rPr>
                <w:rFonts w:ascii="Calibri" w:hAnsi="Calibri" w:cs="Calibri"/>
              </w:rPr>
              <w:t>Bone 42:4–15</w:t>
            </w:r>
          </w:p>
        </w:tc>
      </w:tr>
    </w:tbl>
    <w:p w14:paraId="06855E5C" w14:textId="3F9662AB" w:rsidR="00EB617F" w:rsidRPr="003C331C" w:rsidRDefault="00EB617F" w:rsidP="00A04C7F">
      <w:pPr>
        <w:spacing w:after="120"/>
        <w:ind w:left="1134"/>
        <w:rPr>
          <w:b/>
          <w:bCs/>
          <w:color w:val="FF0000"/>
          <w:lang w:val="en-GB"/>
        </w:rPr>
      </w:pPr>
    </w:p>
    <w:sectPr w:rsidR="00EB617F" w:rsidRPr="003C331C" w:rsidSect="00B7189D">
      <w:footerReference w:type="default" r:id="rId16"/>
      <w:pgSz w:w="11906" w:h="16838"/>
      <w:pgMar w:top="1417" w:right="1335" w:bottom="1417"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4244B" w14:textId="77777777" w:rsidR="00BF0B9B" w:rsidRDefault="00BF0B9B" w:rsidP="00774BC6">
      <w:pPr>
        <w:spacing w:after="0" w:line="240" w:lineRule="auto"/>
      </w:pPr>
      <w:r>
        <w:separator/>
      </w:r>
    </w:p>
  </w:endnote>
  <w:endnote w:type="continuationSeparator" w:id="0">
    <w:p w14:paraId="1A3AD7BC" w14:textId="77777777" w:rsidR="00BF0B9B" w:rsidRDefault="00BF0B9B" w:rsidP="0077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LTStd-Light">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874729"/>
      <w:docPartObj>
        <w:docPartGallery w:val="Page Numbers (Bottom of Page)"/>
        <w:docPartUnique/>
      </w:docPartObj>
    </w:sdtPr>
    <w:sdtEndPr>
      <w:rPr>
        <w:noProof/>
      </w:rPr>
    </w:sdtEndPr>
    <w:sdtContent>
      <w:p w14:paraId="1AE6D669" w14:textId="66055966" w:rsidR="00842928" w:rsidRDefault="00842928">
        <w:pPr>
          <w:pStyle w:val="Footer"/>
          <w:jc w:val="right"/>
        </w:pPr>
        <w:r>
          <w:fldChar w:fldCharType="begin"/>
        </w:r>
        <w:r>
          <w:instrText xml:space="preserve"> PAGE   \* MERGEFORMAT </w:instrText>
        </w:r>
        <w:r>
          <w:fldChar w:fldCharType="separate"/>
        </w:r>
        <w:r w:rsidR="00DB0AC7">
          <w:rPr>
            <w:noProof/>
          </w:rPr>
          <w:t>1</w:t>
        </w:r>
        <w:r>
          <w:rPr>
            <w:noProof/>
          </w:rPr>
          <w:fldChar w:fldCharType="end"/>
        </w:r>
      </w:p>
    </w:sdtContent>
  </w:sdt>
  <w:p w14:paraId="752DCEB8" w14:textId="77777777" w:rsidR="00842928" w:rsidRDefault="008429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CBF15" w14:textId="77777777" w:rsidR="00BF0B9B" w:rsidRDefault="00BF0B9B" w:rsidP="00774BC6">
      <w:pPr>
        <w:spacing w:after="0" w:line="240" w:lineRule="auto"/>
      </w:pPr>
      <w:r>
        <w:separator/>
      </w:r>
    </w:p>
  </w:footnote>
  <w:footnote w:type="continuationSeparator" w:id="0">
    <w:p w14:paraId="42AF6355" w14:textId="77777777" w:rsidR="00BF0B9B" w:rsidRDefault="00BF0B9B" w:rsidP="00774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07ED0"/>
    <w:multiLevelType w:val="hybridMultilevel"/>
    <w:tmpl w:val="ABC4EE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E231AE"/>
    <w:multiLevelType w:val="hybridMultilevel"/>
    <w:tmpl w:val="1F44C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E6F05E6"/>
    <w:multiLevelType w:val="hybridMultilevel"/>
    <w:tmpl w:val="D884C0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90B7451"/>
    <w:multiLevelType w:val="hybridMultilevel"/>
    <w:tmpl w:val="C4B6F11A"/>
    <w:lvl w:ilvl="0" w:tplc="DD3A99C0">
      <w:start w:val="1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F5AB9"/>
    <w:multiLevelType w:val="hybridMultilevel"/>
    <w:tmpl w:val="67802DF4"/>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15:restartNumberingAfterBreak="0">
    <w:nsid w:val="64A37EA6"/>
    <w:multiLevelType w:val="hybridMultilevel"/>
    <w:tmpl w:val="C5806996"/>
    <w:lvl w:ilvl="0" w:tplc="D3727C3E">
      <w:start w:val="60"/>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3735A9"/>
    <w:multiLevelType w:val="hybridMultilevel"/>
    <w:tmpl w:val="63DE905C"/>
    <w:lvl w:ilvl="0" w:tplc="66EE1C1A">
      <w:numFmt w:val="bullet"/>
      <w:lvlText w:val="•"/>
      <w:lvlJc w:val="left"/>
      <w:pPr>
        <w:ind w:left="720" w:hanging="360"/>
      </w:pPr>
      <w:rPr>
        <w:rFonts w:ascii="Calibri" w:eastAsia="UniversLTStd-Light"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B0860E8"/>
    <w:multiLevelType w:val="hybridMultilevel"/>
    <w:tmpl w:val="D3DEA2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5B7D9C"/>
    <w:multiLevelType w:val="hybridMultilevel"/>
    <w:tmpl w:val="AC06DA10"/>
    <w:lvl w:ilvl="0" w:tplc="4A225440">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8"/>
  </w:num>
  <w:num w:numId="4">
    <w:abstractNumId w:val="4"/>
  </w:num>
  <w:num w:numId="5">
    <w:abstractNumId w:val="0"/>
  </w:num>
  <w:num w:numId="6">
    <w:abstractNumId w:val="1"/>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SpringerBasicNumber Copy&lt;/Style&gt;&lt;LeftDelim&gt;{&lt;/LeftDelim&gt;&lt;RightDelim&gt;}&lt;/RightDelim&gt;&lt;FontName&gt;Consolas&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x09d9szpxxvp1et0zkxdf2ixz5efdfww9xa&quot;&gt;Fracture&lt;record-ids&gt;&lt;item&gt;190&lt;/item&gt;&lt;/record-ids&gt;&lt;/item&gt;&lt;/Libraries&gt;"/>
  </w:docVars>
  <w:rsids>
    <w:rsidRoot w:val="00003573"/>
    <w:rsid w:val="0000092D"/>
    <w:rsid w:val="0000097F"/>
    <w:rsid w:val="00000A26"/>
    <w:rsid w:val="00000B2C"/>
    <w:rsid w:val="000029B7"/>
    <w:rsid w:val="00002DA0"/>
    <w:rsid w:val="00002E67"/>
    <w:rsid w:val="000032E0"/>
    <w:rsid w:val="00003573"/>
    <w:rsid w:val="000035CD"/>
    <w:rsid w:val="00004A82"/>
    <w:rsid w:val="00004D55"/>
    <w:rsid w:val="00005A9A"/>
    <w:rsid w:val="00006609"/>
    <w:rsid w:val="00007B6D"/>
    <w:rsid w:val="000102AD"/>
    <w:rsid w:val="000108B0"/>
    <w:rsid w:val="000123BC"/>
    <w:rsid w:val="00012567"/>
    <w:rsid w:val="00013916"/>
    <w:rsid w:val="00013D4D"/>
    <w:rsid w:val="00013EBC"/>
    <w:rsid w:val="00015463"/>
    <w:rsid w:val="000166E0"/>
    <w:rsid w:val="0001683A"/>
    <w:rsid w:val="00020D9A"/>
    <w:rsid w:val="00020F83"/>
    <w:rsid w:val="0002106A"/>
    <w:rsid w:val="00021D40"/>
    <w:rsid w:val="000222FA"/>
    <w:rsid w:val="00022CC5"/>
    <w:rsid w:val="00023951"/>
    <w:rsid w:val="00025B60"/>
    <w:rsid w:val="00026062"/>
    <w:rsid w:val="00030C1C"/>
    <w:rsid w:val="00032422"/>
    <w:rsid w:val="00032836"/>
    <w:rsid w:val="00032CF4"/>
    <w:rsid w:val="0003311B"/>
    <w:rsid w:val="000333F5"/>
    <w:rsid w:val="00033E08"/>
    <w:rsid w:val="00034366"/>
    <w:rsid w:val="000349AD"/>
    <w:rsid w:val="00034B89"/>
    <w:rsid w:val="000360EB"/>
    <w:rsid w:val="0003728F"/>
    <w:rsid w:val="000374CE"/>
    <w:rsid w:val="00037C86"/>
    <w:rsid w:val="00037ED8"/>
    <w:rsid w:val="00037FC2"/>
    <w:rsid w:val="00040C0C"/>
    <w:rsid w:val="00041466"/>
    <w:rsid w:val="00041EB8"/>
    <w:rsid w:val="00043DEE"/>
    <w:rsid w:val="000444AE"/>
    <w:rsid w:val="00044606"/>
    <w:rsid w:val="00045BF8"/>
    <w:rsid w:val="000464AB"/>
    <w:rsid w:val="000464D4"/>
    <w:rsid w:val="00046F7A"/>
    <w:rsid w:val="00047DC6"/>
    <w:rsid w:val="00050519"/>
    <w:rsid w:val="00050AA6"/>
    <w:rsid w:val="0005340C"/>
    <w:rsid w:val="00053655"/>
    <w:rsid w:val="00053E49"/>
    <w:rsid w:val="0005433C"/>
    <w:rsid w:val="0005464C"/>
    <w:rsid w:val="000551F2"/>
    <w:rsid w:val="00055691"/>
    <w:rsid w:val="00055858"/>
    <w:rsid w:val="000561CD"/>
    <w:rsid w:val="00057CF8"/>
    <w:rsid w:val="00060C00"/>
    <w:rsid w:val="00060C3C"/>
    <w:rsid w:val="00061678"/>
    <w:rsid w:val="00062096"/>
    <w:rsid w:val="00062DF2"/>
    <w:rsid w:val="0006363E"/>
    <w:rsid w:val="00063B9B"/>
    <w:rsid w:val="00064321"/>
    <w:rsid w:val="000645DA"/>
    <w:rsid w:val="000647F1"/>
    <w:rsid w:val="000650C0"/>
    <w:rsid w:val="0006558C"/>
    <w:rsid w:val="000658B5"/>
    <w:rsid w:val="00065DA3"/>
    <w:rsid w:val="00066294"/>
    <w:rsid w:val="000668DD"/>
    <w:rsid w:val="00066E85"/>
    <w:rsid w:val="00067207"/>
    <w:rsid w:val="0006761D"/>
    <w:rsid w:val="00070C9C"/>
    <w:rsid w:val="0007160D"/>
    <w:rsid w:val="0007169A"/>
    <w:rsid w:val="0007225E"/>
    <w:rsid w:val="00072F67"/>
    <w:rsid w:val="00073AB3"/>
    <w:rsid w:val="000741DC"/>
    <w:rsid w:val="00075E14"/>
    <w:rsid w:val="000771FC"/>
    <w:rsid w:val="00077D42"/>
    <w:rsid w:val="00080737"/>
    <w:rsid w:val="0008134A"/>
    <w:rsid w:val="00081FB9"/>
    <w:rsid w:val="00082088"/>
    <w:rsid w:val="00083706"/>
    <w:rsid w:val="00083A8C"/>
    <w:rsid w:val="00083B5F"/>
    <w:rsid w:val="000843BB"/>
    <w:rsid w:val="00085A9E"/>
    <w:rsid w:val="00085CA7"/>
    <w:rsid w:val="000860BD"/>
    <w:rsid w:val="000912D8"/>
    <w:rsid w:val="000913ED"/>
    <w:rsid w:val="00091A4D"/>
    <w:rsid w:val="00094E20"/>
    <w:rsid w:val="000955A8"/>
    <w:rsid w:val="00095689"/>
    <w:rsid w:val="00095B99"/>
    <w:rsid w:val="00096FB2"/>
    <w:rsid w:val="000971A4"/>
    <w:rsid w:val="00097711"/>
    <w:rsid w:val="000A0993"/>
    <w:rsid w:val="000A0C50"/>
    <w:rsid w:val="000A17D7"/>
    <w:rsid w:val="000A181E"/>
    <w:rsid w:val="000A1D52"/>
    <w:rsid w:val="000A1FAD"/>
    <w:rsid w:val="000A1FE7"/>
    <w:rsid w:val="000A4B22"/>
    <w:rsid w:val="000A6663"/>
    <w:rsid w:val="000B12E4"/>
    <w:rsid w:val="000B26CB"/>
    <w:rsid w:val="000B31FB"/>
    <w:rsid w:val="000B34EC"/>
    <w:rsid w:val="000B3877"/>
    <w:rsid w:val="000B4419"/>
    <w:rsid w:val="000B4C41"/>
    <w:rsid w:val="000B5396"/>
    <w:rsid w:val="000B716C"/>
    <w:rsid w:val="000C1EF6"/>
    <w:rsid w:val="000C2002"/>
    <w:rsid w:val="000C2104"/>
    <w:rsid w:val="000C228C"/>
    <w:rsid w:val="000C2913"/>
    <w:rsid w:val="000C2921"/>
    <w:rsid w:val="000C5574"/>
    <w:rsid w:val="000C5AAC"/>
    <w:rsid w:val="000C5F59"/>
    <w:rsid w:val="000C62D9"/>
    <w:rsid w:val="000C6370"/>
    <w:rsid w:val="000C6472"/>
    <w:rsid w:val="000D0EA0"/>
    <w:rsid w:val="000D0F47"/>
    <w:rsid w:val="000D1222"/>
    <w:rsid w:val="000D2313"/>
    <w:rsid w:val="000D24FB"/>
    <w:rsid w:val="000D426C"/>
    <w:rsid w:val="000D4903"/>
    <w:rsid w:val="000D4A90"/>
    <w:rsid w:val="000D509A"/>
    <w:rsid w:val="000D633E"/>
    <w:rsid w:val="000D646C"/>
    <w:rsid w:val="000D6713"/>
    <w:rsid w:val="000D675D"/>
    <w:rsid w:val="000E04A2"/>
    <w:rsid w:val="000E06CA"/>
    <w:rsid w:val="000E08AF"/>
    <w:rsid w:val="000E0CA1"/>
    <w:rsid w:val="000E1EEE"/>
    <w:rsid w:val="000E231A"/>
    <w:rsid w:val="000E2AC8"/>
    <w:rsid w:val="000E33B3"/>
    <w:rsid w:val="000E3FC5"/>
    <w:rsid w:val="000E4528"/>
    <w:rsid w:val="000E477B"/>
    <w:rsid w:val="000E47F7"/>
    <w:rsid w:val="000E5035"/>
    <w:rsid w:val="000E55B3"/>
    <w:rsid w:val="000E5C2A"/>
    <w:rsid w:val="000E67D8"/>
    <w:rsid w:val="000E6B92"/>
    <w:rsid w:val="000E7620"/>
    <w:rsid w:val="000F17B5"/>
    <w:rsid w:val="000F1ACC"/>
    <w:rsid w:val="000F2A37"/>
    <w:rsid w:val="000F2D75"/>
    <w:rsid w:val="000F5569"/>
    <w:rsid w:val="000F5D1C"/>
    <w:rsid w:val="000F681A"/>
    <w:rsid w:val="000F7977"/>
    <w:rsid w:val="00100530"/>
    <w:rsid w:val="00100A0E"/>
    <w:rsid w:val="00100C77"/>
    <w:rsid w:val="00101221"/>
    <w:rsid w:val="00102E4A"/>
    <w:rsid w:val="001038D8"/>
    <w:rsid w:val="00103A29"/>
    <w:rsid w:val="001046B9"/>
    <w:rsid w:val="00105621"/>
    <w:rsid w:val="001057B5"/>
    <w:rsid w:val="001058E2"/>
    <w:rsid w:val="0010600A"/>
    <w:rsid w:val="0010605C"/>
    <w:rsid w:val="001062F0"/>
    <w:rsid w:val="00107ACA"/>
    <w:rsid w:val="001100FD"/>
    <w:rsid w:val="0011041B"/>
    <w:rsid w:val="001126F3"/>
    <w:rsid w:val="00113236"/>
    <w:rsid w:val="001138AC"/>
    <w:rsid w:val="001149AA"/>
    <w:rsid w:val="00114B95"/>
    <w:rsid w:val="00114BE1"/>
    <w:rsid w:val="00115C97"/>
    <w:rsid w:val="0011686A"/>
    <w:rsid w:val="00117A2A"/>
    <w:rsid w:val="00117DE6"/>
    <w:rsid w:val="0012031A"/>
    <w:rsid w:val="001203A1"/>
    <w:rsid w:val="00120FCA"/>
    <w:rsid w:val="00121A97"/>
    <w:rsid w:val="00121F03"/>
    <w:rsid w:val="00122022"/>
    <w:rsid w:val="00122C71"/>
    <w:rsid w:val="00123295"/>
    <w:rsid w:val="001232CA"/>
    <w:rsid w:val="00125457"/>
    <w:rsid w:val="00126BD1"/>
    <w:rsid w:val="00127CBE"/>
    <w:rsid w:val="00127D6D"/>
    <w:rsid w:val="00130226"/>
    <w:rsid w:val="001306DA"/>
    <w:rsid w:val="00130A37"/>
    <w:rsid w:val="00130E42"/>
    <w:rsid w:val="00133D37"/>
    <w:rsid w:val="001349B7"/>
    <w:rsid w:val="00135631"/>
    <w:rsid w:val="00136336"/>
    <w:rsid w:val="00136854"/>
    <w:rsid w:val="00140A3E"/>
    <w:rsid w:val="00142DCC"/>
    <w:rsid w:val="00142E9B"/>
    <w:rsid w:val="001432A1"/>
    <w:rsid w:val="001443AD"/>
    <w:rsid w:val="001444C9"/>
    <w:rsid w:val="001464EF"/>
    <w:rsid w:val="00146D2E"/>
    <w:rsid w:val="00147ACF"/>
    <w:rsid w:val="0015096D"/>
    <w:rsid w:val="0015280B"/>
    <w:rsid w:val="00152F05"/>
    <w:rsid w:val="00153594"/>
    <w:rsid w:val="00153768"/>
    <w:rsid w:val="00153EDC"/>
    <w:rsid w:val="001553A8"/>
    <w:rsid w:val="001564F7"/>
    <w:rsid w:val="00156DD6"/>
    <w:rsid w:val="00156E34"/>
    <w:rsid w:val="00157512"/>
    <w:rsid w:val="001602DB"/>
    <w:rsid w:val="001604DE"/>
    <w:rsid w:val="001604E3"/>
    <w:rsid w:val="00160942"/>
    <w:rsid w:val="00161152"/>
    <w:rsid w:val="00161515"/>
    <w:rsid w:val="00161605"/>
    <w:rsid w:val="00161BE3"/>
    <w:rsid w:val="0016395B"/>
    <w:rsid w:val="00164A0F"/>
    <w:rsid w:val="001651E0"/>
    <w:rsid w:val="001654F7"/>
    <w:rsid w:val="001676EE"/>
    <w:rsid w:val="00170897"/>
    <w:rsid w:val="001721C9"/>
    <w:rsid w:val="00173DE9"/>
    <w:rsid w:val="001742E4"/>
    <w:rsid w:val="001745CB"/>
    <w:rsid w:val="00174A3B"/>
    <w:rsid w:val="001762BB"/>
    <w:rsid w:val="0017653E"/>
    <w:rsid w:val="0017675E"/>
    <w:rsid w:val="00177833"/>
    <w:rsid w:val="00180512"/>
    <w:rsid w:val="0018194C"/>
    <w:rsid w:val="001823E8"/>
    <w:rsid w:val="0018298A"/>
    <w:rsid w:val="00183D4D"/>
    <w:rsid w:val="00184050"/>
    <w:rsid w:val="00184EC9"/>
    <w:rsid w:val="00185860"/>
    <w:rsid w:val="00185BFB"/>
    <w:rsid w:val="00187487"/>
    <w:rsid w:val="0018766E"/>
    <w:rsid w:val="001877B0"/>
    <w:rsid w:val="00190B68"/>
    <w:rsid w:val="00190B8D"/>
    <w:rsid w:val="00191D80"/>
    <w:rsid w:val="0019231F"/>
    <w:rsid w:val="00192FFC"/>
    <w:rsid w:val="00195EBF"/>
    <w:rsid w:val="001972FE"/>
    <w:rsid w:val="001A1283"/>
    <w:rsid w:val="001A1328"/>
    <w:rsid w:val="001A293A"/>
    <w:rsid w:val="001A363B"/>
    <w:rsid w:val="001A3AAD"/>
    <w:rsid w:val="001A3BEE"/>
    <w:rsid w:val="001A63B4"/>
    <w:rsid w:val="001A6A41"/>
    <w:rsid w:val="001A6C7E"/>
    <w:rsid w:val="001A6E6B"/>
    <w:rsid w:val="001A771A"/>
    <w:rsid w:val="001B03CE"/>
    <w:rsid w:val="001B09E4"/>
    <w:rsid w:val="001B10C6"/>
    <w:rsid w:val="001B11E3"/>
    <w:rsid w:val="001B2AA9"/>
    <w:rsid w:val="001B2ABD"/>
    <w:rsid w:val="001B36B0"/>
    <w:rsid w:val="001B3FDE"/>
    <w:rsid w:val="001B7517"/>
    <w:rsid w:val="001B766B"/>
    <w:rsid w:val="001C0110"/>
    <w:rsid w:val="001C1185"/>
    <w:rsid w:val="001C1505"/>
    <w:rsid w:val="001C1A31"/>
    <w:rsid w:val="001C24B4"/>
    <w:rsid w:val="001C2952"/>
    <w:rsid w:val="001C3CD6"/>
    <w:rsid w:val="001C4580"/>
    <w:rsid w:val="001C5C1B"/>
    <w:rsid w:val="001C5DA3"/>
    <w:rsid w:val="001C6273"/>
    <w:rsid w:val="001D01F2"/>
    <w:rsid w:val="001D13B2"/>
    <w:rsid w:val="001D2DF2"/>
    <w:rsid w:val="001D3DDC"/>
    <w:rsid w:val="001D42B5"/>
    <w:rsid w:val="001D48A6"/>
    <w:rsid w:val="001E0134"/>
    <w:rsid w:val="001E0722"/>
    <w:rsid w:val="001E072E"/>
    <w:rsid w:val="001E0B26"/>
    <w:rsid w:val="001E1DAC"/>
    <w:rsid w:val="001E291E"/>
    <w:rsid w:val="001E3E6D"/>
    <w:rsid w:val="001E4B46"/>
    <w:rsid w:val="001E514D"/>
    <w:rsid w:val="001E5302"/>
    <w:rsid w:val="001E6928"/>
    <w:rsid w:val="001F0840"/>
    <w:rsid w:val="001F0F31"/>
    <w:rsid w:val="001F1B87"/>
    <w:rsid w:val="001F1FFB"/>
    <w:rsid w:val="001F256F"/>
    <w:rsid w:val="001F2BC3"/>
    <w:rsid w:val="001F4C10"/>
    <w:rsid w:val="001F5769"/>
    <w:rsid w:val="001F5F04"/>
    <w:rsid w:val="001F698B"/>
    <w:rsid w:val="001F72A9"/>
    <w:rsid w:val="001F732F"/>
    <w:rsid w:val="001F76EF"/>
    <w:rsid w:val="001F7930"/>
    <w:rsid w:val="001F7B84"/>
    <w:rsid w:val="0020014E"/>
    <w:rsid w:val="00200267"/>
    <w:rsid w:val="00200D27"/>
    <w:rsid w:val="00201683"/>
    <w:rsid w:val="002016C8"/>
    <w:rsid w:val="00201E9E"/>
    <w:rsid w:val="002022A5"/>
    <w:rsid w:val="0020243D"/>
    <w:rsid w:val="00202610"/>
    <w:rsid w:val="002033DC"/>
    <w:rsid w:val="00203979"/>
    <w:rsid w:val="00203A1C"/>
    <w:rsid w:val="00203DC8"/>
    <w:rsid w:val="0020414A"/>
    <w:rsid w:val="002059B4"/>
    <w:rsid w:val="00206AD8"/>
    <w:rsid w:val="002079E8"/>
    <w:rsid w:val="00211089"/>
    <w:rsid w:val="00211513"/>
    <w:rsid w:val="00211579"/>
    <w:rsid w:val="002115EB"/>
    <w:rsid w:val="002117F8"/>
    <w:rsid w:val="002120BC"/>
    <w:rsid w:val="00212E23"/>
    <w:rsid w:val="00213E8F"/>
    <w:rsid w:val="00214EB5"/>
    <w:rsid w:val="00217841"/>
    <w:rsid w:val="00217CC1"/>
    <w:rsid w:val="00221DAD"/>
    <w:rsid w:val="0022254F"/>
    <w:rsid w:val="00223365"/>
    <w:rsid w:val="00224431"/>
    <w:rsid w:val="00224459"/>
    <w:rsid w:val="00224969"/>
    <w:rsid w:val="00224FE9"/>
    <w:rsid w:val="00225BDF"/>
    <w:rsid w:val="00225D0E"/>
    <w:rsid w:val="00225DE5"/>
    <w:rsid w:val="00226071"/>
    <w:rsid w:val="002261CB"/>
    <w:rsid w:val="00226EDC"/>
    <w:rsid w:val="002277C4"/>
    <w:rsid w:val="00227A5D"/>
    <w:rsid w:val="0023028C"/>
    <w:rsid w:val="00232288"/>
    <w:rsid w:val="0023248F"/>
    <w:rsid w:val="00233E44"/>
    <w:rsid w:val="002342AB"/>
    <w:rsid w:val="00234619"/>
    <w:rsid w:val="002347EE"/>
    <w:rsid w:val="00234C8D"/>
    <w:rsid w:val="00235BA4"/>
    <w:rsid w:val="0023662E"/>
    <w:rsid w:val="00236FE8"/>
    <w:rsid w:val="00240535"/>
    <w:rsid w:val="002405C8"/>
    <w:rsid w:val="00241234"/>
    <w:rsid w:val="00241ED0"/>
    <w:rsid w:val="00241FF9"/>
    <w:rsid w:val="002421F5"/>
    <w:rsid w:val="00242D43"/>
    <w:rsid w:val="00243E81"/>
    <w:rsid w:val="0024587B"/>
    <w:rsid w:val="00247D12"/>
    <w:rsid w:val="00250136"/>
    <w:rsid w:val="002515F5"/>
    <w:rsid w:val="00251E98"/>
    <w:rsid w:val="00252F87"/>
    <w:rsid w:val="00252F8A"/>
    <w:rsid w:val="0025391C"/>
    <w:rsid w:val="002546C8"/>
    <w:rsid w:val="00255F5B"/>
    <w:rsid w:val="002573A9"/>
    <w:rsid w:val="00257B0E"/>
    <w:rsid w:val="00260221"/>
    <w:rsid w:val="0026045D"/>
    <w:rsid w:val="002610DF"/>
    <w:rsid w:val="002611A4"/>
    <w:rsid w:val="00261265"/>
    <w:rsid w:val="00261651"/>
    <w:rsid w:val="00261D88"/>
    <w:rsid w:val="00264F5D"/>
    <w:rsid w:val="00266902"/>
    <w:rsid w:val="00266F18"/>
    <w:rsid w:val="00266FC9"/>
    <w:rsid w:val="0026771F"/>
    <w:rsid w:val="00267CC3"/>
    <w:rsid w:val="00267F1B"/>
    <w:rsid w:val="0027007D"/>
    <w:rsid w:val="00270413"/>
    <w:rsid w:val="0027089D"/>
    <w:rsid w:val="00270ACD"/>
    <w:rsid w:val="00271591"/>
    <w:rsid w:val="0027215A"/>
    <w:rsid w:val="00273948"/>
    <w:rsid w:val="00280273"/>
    <w:rsid w:val="00280CB7"/>
    <w:rsid w:val="002816C0"/>
    <w:rsid w:val="00281A5A"/>
    <w:rsid w:val="00282493"/>
    <w:rsid w:val="002840C7"/>
    <w:rsid w:val="00284530"/>
    <w:rsid w:val="00284659"/>
    <w:rsid w:val="00284E2D"/>
    <w:rsid w:val="00285493"/>
    <w:rsid w:val="00285519"/>
    <w:rsid w:val="00285D64"/>
    <w:rsid w:val="00286D63"/>
    <w:rsid w:val="00290DC3"/>
    <w:rsid w:val="002913E1"/>
    <w:rsid w:val="002924CC"/>
    <w:rsid w:val="00292C75"/>
    <w:rsid w:val="00293C5E"/>
    <w:rsid w:val="00294308"/>
    <w:rsid w:val="00295800"/>
    <w:rsid w:val="00295F6B"/>
    <w:rsid w:val="00296474"/>
    <w:rsid w:val="0029725A"/>
    <w:rsid w:val="002976B3"/>
    <w:rsid w:val="00297E1D"/>
    <w:rsid w:val="002A0221"/>
    <w:rsid w:val="002A0246"/>
    <w:rsid w:val="002A1239"/>
    <w:rsid w:val="002A1338"/>
    <w:rsid w:val="002A20C7"/>
    <w:rsid w:val="002A25D2"/>
    <w:rsid w:val="002A336F"/>
    <w:rsid w:val="002A3C65"/>
    <w:rsid w:val="002A560B"/>
    <w:rsid w:val="002A5813"/>
    <w:rsid w:val="002A6C52"/>
    <w:rsid w:val="002A7227"/>
    <w:rsid w:val="002A7592"/>
    <w:rsid w:val="002A78D6"/>
    <w:rsid w:val="002B02D1"/>
    <w:rsid w:val="002B034F"/>
    <w:rsid w:val="002B0D73"/>
    <w:rsid w:val="002B19E4"/>
    <w:rsid w:val="002B20A7"/>
    <w:rsid w:val="002B2120"/>
    <w:rsid w:val="002B3492"/>
    <w:rsid w:val="002B36ED"/>
    <w:rsid w:val="002B37A7"/>
    <w:rsid w:val="002B414E"/>
    <w:rsid w:val="002B4F74"/>
    <w:rsid w:val="002B51B3"/>
    <w:rsid w:val="002B584D"/>
    <w:rsid w:val="002B635C"/>
    <w:rsid w:val="002B77DC"/>
    <w:rsid w:val="002B7BC4"/>
    <w:rsid w:val="002B7BF5"/>
    <w:rsid w:val="002B7DE3"/>
    <w:rsid w:val="002C02DC"/>
    <w:rsid w:val="002C21A1"/>
    <w:rsid w:val="002C4F20"/>
    <w:rsid w:val="002C55AB"/>
    <w:rsid w:val="002C5DD6"/>
    <w:rsid w:val="002C63D6"/>
    <w:rsid w:val="002D005E"/>
    <w:rsid w:val="002D0C37"/>
    <w:rsid w:val="002D184D"/>
    <w:rsid w:val="002D1C5D"/>
    <w:rsid w:val="002D23DB"/>
    <w:rsid w:val="002D2775"/>
    <w:rsid w:val="002D29CE"/>
    <w:rsid w:val="002D3C7D"/>
    <w:rsid w:val="002D4937"/>
    <w:rsid w:val="002D49D5"/>
    <w:rsid w:val="002D5E70"/>
    <w:rsid w:val="002D6549"/>
    <w:rsid w:val="002D6D1C"/>
    <w:rsid w:val="002E019C"/>
    <w:rsid w:val="002E059E"/>
    <w:rsid w:val="002E06FA"/>
    <w:rsid w:val="002E0986"/>
    <w:rsid w:val="002E0CC6"/>
    <w:rsid w:val="002E2385"/>
    <w:rsid w:val="002E2460"/>
    <w:rsid w:val="002E25B3"/>
    <w:rsid w:val="002E3492"/>
    <w:rsid w:val="002E395B"/>
    <w:rsid w:val="002E6592"/>
    <w:rsid w:val="002F0028"/>
    <w:rsid w:val="002F052D"/>
    <w:rsid w:val="002F0796"/>
    <w:rsid w:val="002F094A"/>
    <w:rsid w:val="002F14BB"/>
    <w:rsid w:val="002F18DF"/>
    <w:rsid w:val="002F26B8"/>
    <w:rsid w:val="002F2AB7"/>
    <w:rsid w:val="002F3502"/>
    <w:rsid w:val="002F3961"/>
    <w:rsid w:val="002F4388"/>
    <w:rsid w:val="002F47A3"/>
    <w:rsid w:val="002F4B77"/>
    <w:rsid w:val="002F679C"/>
    <w:rsid w:val="002F697E"/>
    <w:rsid w:val="002F6A39"/>
    <w:rsid w:val="002F7115"/>
    <w:rsid w:val="002F72E1"/>
    <w:rsid w:val="002F735B"/>
    <w:rsid w:val="002F784D"/>
    <w:rsid w:val="00300919"/>
    <w:rsid w:val="00300CD7"/>
    <w:rsid w:val="0030154D"/>
    <w:rsid w:val="00301595"/>
    <w:rsid w:val="00301B4E"/>
    <w:rsid w:val="00301C2B"/>
    <w:rsid w:val="00301ECD"/>
    <w:rsid w:val="00302089"/>
    <w:rsid w:val="00302C05"/>
    <w:rsid w:val="00303091"/>
    <w:rsid w:val="00303212"/>
    <w:rsid w:val="00304276"/>
    <w:rsid w:val="00304C2C"/>
    <w:rsid w:val="003051AA"/>
    <w:rsid w:val="00306042"/>
    <w:rsid w:val="00307652"/>
    <w:rsid w:val="003103FD"/>
    <w:rsid w:val="00311CEB"/>
    <w:rsid w:val="00311E3D"/>
    <w:rsid w:val="00312E97"/>
    <w:rsid w:val="0031407B"/>
    <w:rsid w:val="0031482A"/>
    <w:rsid w:val="0031590E"/>
    <w:rsid w:val="00315C1B"/>
    <w:rsid w:val="00316366"/>
    <w:rsid w:val="003173EB"/>
    <w:rsid w:val="00317524"/>
    <w:rsid w:val="003202A9"/>
    <w:rsid w:val="00320E74"/>
    <w:rsid w:val="003211E6"/>
    <w:rsid w:val="003219E2"/>
    <w:rsid w:val="003221FA"/>
    <w:rsid w:val="003224BB"/>
    <w:rsid w:val="00323236"/>
    <w:rsid w:val="00323681"/>
    <w:rsid w:val="003252E6"/>
    <w:rsid w:val="00326B73"/>
    <w:rsid w:val="00327ACA"/>
    <w:rsid w:val="00327F40"/>
    <w:rsid w:val="00330551"/>
    <w:rsid w:val="00330D40"/>
    <w:rsid w:val="00330EE0"/>
    <w:rsid w:val="003311A2"/>
    <w:rsid w:val="00331E2F"/>
    <w:rsid w:val="00332C96"/>
    <w:rsid w:val="00333413"/>
    <w:rsid w:val="0033348A"/>
    <w:rsid w:val="003343B9"/>
    <w:rsid w:val="00334D43"/>
    <w:rsid w:val="00335DB1"/>
    <w:rsid w:val="00335E9D"/>
    <w:rsid w:val="00336022"/>
    <w:rsid w:val="00336190"/>
    <w:rsid w:val="00336317"/>
    <w:rsid w:val="00336347"/>
    <w:rsid w:val="00337C86"/>
    <w:rsid w:val="0034055D"/>
    <w:rsid w:val="00340B6D"/>
    <w:rsid w:val="00340BA0"/>
    <w:rsid w:val="00341330"/>
    <w:rsid w:val="00342A36"/>
    <w:rsid w:val="00343543"/>
    <w:rsid w:val="00344D08"/>
    <w:rsid w:val="003450E4"/>
    <w:rsid w:val="0034543F"/>
    <w:rsid w:val="003457B5"/>
    <w:rsid w:val="003462D2"/>
    <w:rsid w:val="00347E97"/>
    <w:rsid w:val="00350DB7"/>
    <w:rsid w:val="00350F9F"/>
    <w:rsid w:val="003512A7"/>
    <w:rsid w:val="00351FCE"/>
    <w:rsid w:val="0035216B"/>
    <w:rsid w:val="003525BB"/>
    <w:rsid w:val="003526C7"/>
    <w:rsid w:val="00352A80"/>
    <w:rsid w:val="00352B5E"/>
    <w:rsid w:val="00353BBC"/>
    <w:rsid w:val="00354851"/>
    <w:rsid w:val="00354C47"/>
    <w:rsid w:val="00355CAA"/>
    <w:rsid w:val="00355CCA"/>
    <w:rsid w:val="003564A2"/>
    <w:rsid w:val="003564A8"/>
    <w:rsid w:val="00356BC5"/>
    <w:rsid w:val="00357487"/>
    <w:rsid w:val="00357B44"/>
    <w:rsid w:val="00357DA2"/>
    <w:rsid w:val="0036016E"/>
    <w:rsid w:val="00360BCF"/>
    <w:rsid w:val="00360CD4"/>
    <w:rsid w:val="00360E46"/>
    <w:rsid w:val="003612F5"/>
    <w:rsid w:val="00362CED"/>
    <w:rsid w:val="00362DDF"/>
    <w:rsid w:val="00362F66"/>
    <w:rsid w:val="0036399F"/>
    <w:rsid w:val="00363AFB"/>
    <w:rsid w:val="003640CB"/>
    <w:rsid w:val="003656D9"/>
    <w:rsid w:val="00365E22"/>
    <w:rsid w:val="003671BF"/>
    <w:rsid w:val="003677E9"/>
    <w:rsid w:val="0036785A"/>
    <w:rsid w:val="0037048F"/>
    <w:rsid w:val="003709F0"/>
    <w:rsid w:val="003714B1"/>
    <w:rsid w:val="00371B8A"/>
    <w:rsid w:val="0037209E"/>
    <w:rsid w:val="00373376"/>
    <w:rsid w:val="00374038"/>
    <w:rsid w:val="00374F93"/>
    <w:rsid w:val="00375ABB"/>
    <w:rsid w:val="003762C3"/>
    <w:rsid w:val="0037654A"/>
    <w:rsid w:val="00376AFD"/>
    <w:rsid w:val="00376E22"/>
    <w:rsid w:val="00376F83"/>
    <w:rsid w:val="00377C60"/>
    <w:rsid w:val="00380BC1"/>
    <w:rsid w:val="003817A4"/>
    <w:rsid w:val="00381E0E"/>
    <w:rsid w:val="003829F2"/>
    <w:rsid w:val="00382AFB"/>
    <w:rsid w:val="00382C66"/>
    <w:rsid w:val="003842AC"/>
    <w:rsid w:val="00384706"/>
    <w:rsid w:val="00385EE1"/>
    <w:rsid w:val="0038613A"/>
    <w:rsid w:val="00386277"/>
    <w:rsid w:val="003862A9"/>
    <w:rsid w:val="00386BEE"/>
    <w:rsid w:val="00386C06"/>
    <w:rsid w:val="00386C9F"/>
    <w:rsid w:val="00386CF3"/>
    <w:rsid w:val="0038735E"/>
    <w:rsid w:val="003878BF"/>
    <w:rsid w:val="00390331"/>
    <w:rsid w:val="00390767"/>
    <w:rsid w:val="003908D1"/>
    <w:rsid w:val="00391210"/>
    <w:rsid w:val="00391234"/>
    <w:rsid w:val="00391795"/>
    <w:rsid w:val="00391C16"/>
    <w:rsid w:val="00392DAC"/>
    <w:rsid w:val="00392FE5"/>
    <w:rsid w:val="0039319B"/>
    <w:rsid w:val="003939AB"/>
    <w:rsid w:val="00393D0E"/>
    <w:rsid w:val="00393FCA"/>
    <w:rsid w:val="00394C8B"/>
    <w:rsid w:val="00394D37"/>
    <w:rsid w:val="003950B1"/>
    <w:rsid w:val="00395F0B"/>
    <w:rsid w:val="003A0236"/>
    <w:rsid w:val="003A0762"/>
    <w:rsid w:val="003A0924"/>
    <w:rsid w:val="003A11C7"/>
    <w:rsid w:val="003A169F"/>
    <w:rsid w:val="003A3A50"/>
    <w:rsid w:val="003A533D"/>
    <w:rsid w:val="003A629F"/>
    <w:rsid w:val="003A75AD"/>
    <w:rsid w:val="003B0911"/>
    <w:rsid w:val="003B0D70"/>
    <w:rsid w:val="003B1AB8"/>
    <w:rsid w:val="003B29FD"/>
    <w:rsid w:val="003B305E"/>
    <w:rsid w:val="003B3673"/>
    <w:rsid w:val="003B3B2B"/>
    <w:rsid w:val="003B4443"/>
    <w:rsid w:val="003B454E"/>
    <w:rsid w:val="003B47E2"/>
    <w:rsid w:val="003B54EA"/>
    <w:rsid w:val="003B6026"/>
    <w:rsid w:val="003B68A9"/>
    <w:rsid w:val="003B6BF8"/>
    <w:rsid w:val="003B7287"/>
    <w:rsid w:val="003B7782"/>
    <w:rsid w:val="003B7FF5"/>
    <w:rsid w:val="003C08DF"/>
    <w:rsid w:val="003C0DCE"/>
    <w:rsid w:val="003C1FEC"/>
    <w:rsid w:val="003C25C5"/>
    <w:rsid w:val="003C2D2A"/>
    <w:rsid w:val="003C331C"/>
    <w:rsid w:val="003C458B"/>
    <w:rsid w:val="003C4E84"/>
    <w:rsid w:val="003C51C5"/>
    <w:rsid w:val="003C64ED"/>
    <w:rsid w:val="003C6EA5"/>
    <w:rsid w:val="003C7C3E"/>
    <w:rsid w:val="003D0853"/>
    <w:rsid w:val="003D0BE6"/>
    <w:rsid w:val="003D0E81"/>
    <w:rsid w:val="003D1E64"/>
    <w:rsid w:val="003D3197"/>
    <w:rsid w:val="003D345F"/>
    <w:rsid w:val="003D4579"/>
    <w:rsid w:val="003D4709"/>
    <w:rsid w:val="003D54E3"/>
    <w:rsid w:val="003D5FAA"/>
    <w:rsid w:val="003D6AB3"/>
    <w:rsid w:val="003D7C42"/>
    <w:rsid w:val="003D7E0B"/>
    <w:rsid w:val="003E0518"/>
    <w:rsid w:val="003E0A33"/>
    <w:rsid w:val="003E0DFE"/>
    <w:rsid w:val="003E0F4A"/>
    <w:rsid w:val="003E0FB8"/>
    <w:rsid w:val="003E21EB"/>
    <w:rsid w:val="003E3192"/>
    <w:rsid w:val="003E49CD"/>
    <w:rsid w:val="003E4A75"/>
    <w:rsid w:val="003E57F9"/>
    <w:rsid w:val="003E62AB"/>
    <w:rsid w:val="003E6546"/>
    <w:rsid w:val="003E7998"/>
    <w:rsid w:val="003E7AE9"/>
    <w:rsid w:val="003E7BDB"/>
    <w:rsid w:val="003F008B"/>
    <w:rsid w:val="003F0795"/>
    <w:rsid w:val="003F085B"/>
    <w:rsid w:val="003F09B0"/>
    <w:rsid w:val="003F0A7B"/>
    <w:rsid w:val="003F1984"/>
    <w:rsid w:val="003F1DC2"/>
    <w:rsid w:val="003F24DC"/>
    <w:rsid w:val="003F260C"/>
    <w:rsid w:val="003F3163"/>
    <w:rsid w:val="003F3B93"/>
    <w:rsid w:val="003F4349"/>
    <w:rsid w:val="003F44A7"/>
    <w:rsid w:val="003F4C80"/>
    <w:rsid w:val="003F578F"/>
    <w:rsid w:val="003F73B8"/>
    <w:rsid w:val="003F75A6"/>
    <w:rsid w:val="00400086"/>
    <w:rsid w:val="00401029"/>
    <w:rsid w:val="0040105B"/>
    <w:rsid w:val="00401781"/>
    <w:rsid w:val="00402ED1"/>
    <w:rsid w:val="00403B37"/>
    <w:rsid w:val="00403E7B"/>
    <w:rsid w:val="00406447"/>
    <w:rsid w:val="00406828"/>
    <w:rsid w:val="00406E55"/>
    <w:rsid w:val="004079A5"/>
    <w:rsid w:val="00407F49"/>
    <w:rsid w:val="004100BA"/>
    <w:rsid w:val="004137B9"/>
    <w:rsid w:val="00413B43"/>
    <w:rsid w:val="00413E05"/>
    <w:rsid w:val="0041743B"/>
    <w:rsid w:val="00420015"/>
    <w:rsid w:val="0042069E"/>
    <w:rsid w:val="00420AA1"/>
    <w:rsid w:val="00420BF8"/>
    <w:rsid w:val="00421317"/>
    <w:rsid w:val="00421D2F"/>
    <w:rsid w:val="00423E17"/>
    <w:rsid w:val="00425F7B"/>
    <w:rsid w:val="004260BC"/>
    <w:rsid w:val="00426236"/>
    <w:rsid w:val="0042682A"/>
    <w:rsid w:val="00426B66"/>
    <w:rsid w:val="00426B9E"/>
    <w:rsid w:val="004272D4"/>
    <w:rsid w:val="00427663"/>
    <w:rsid w:val="004277EA"/>
    <w:rsid w:val="004320A0"/>
    <w:rsid w:val="0043226A"/>
    <w:rsid w:val="004329E8"/>
    <w:rsid w:val="00433F74"/>
    <w:rsid w:val="00434796"/>
    <w:rsid w:val="00435A31"/>
    <w:rsid w:val="00435FFD"/>
    <w:rsid w:val="00436364"/>
    <w:rsid w:val="004364EA"/>
    <w:rsid w:val="004379D1"/>
    <w:rsid w:val="00440900"/>
    <w:rsid w:val="00441474"/>
    <w:rsid w:val="00441C7D"/>
    <w:rsid w:val="004432AF"/>
    <w:rsid w:val="004433C3"/>
    <w:rsid w:val="00443C21"/>
    <w:rsid w:val="00443E17"/>
    <w:rsid w:val="004447BC"/>
    <w:rsid w:val="00444AF0"/>
    <w:rsid w:val="00444E0E"/>
    <w:rsid w:val="00445961"/>
    <w:rsid w:val="00450245"/>
    <w:rsid w:val="00451071"/>
    <w:rsid w:val="00451309"/>
    <w:rsid w:val="0045143F"/>
    <w:rsid w:val="00452771"/>
    <w:rsid w:val="00453350"/>
    <w:rsid w:val="00453D72"/>
    <w:rsid w:val="004540B1"/>
    <w:rsid w:val="00455ED3"/>
    <w:rsid w:val="00456092"/>
    <w:rsid w:val="00456210"/>
    <w:rsid w:val="00456748"/>
    <w:rsid w:val="004574C7"/>
    <w:rsid w:val="00461232"/>
    <w:rsid w:val="0046127E"/>
    <w:rsid w:val="004630CC"/>
    <w:rsid w:val="0046372A"/>
    <w:rsid w:val="00463E46"/>
    <w:rsid w:val="00464D37"/>
    <w:rsid w:val="00465A5A"/>
    <w:rsid w:val="0046622F"/>
    <w:rsid w:val="0046659E"/>
    <w:rsid w:val="00466C28"/>
    <w:rsid w:val="00470116"/>
    <w:rsid w:val="0047177B"/>
    <w:rsid w:val="00475A59"/>
    <w:rsid w:val="00475DAF"/>
    <w:rsid w:val="00475E3D"/>
    <w:rsid w:val="00475F17"/>
    <w:rsid w:val="004761F4"/>
    <w:rsid w:val="00476599"/>
    <w:rsid w:val="00476CDE"/>
    <w:rsid w:val="00476D09"/>
    <w:rsid w:val="00476F43"/>
    <w:rsid w:val="004771E2"/>
    <w:rsid w:val="0047755A"/>
    <w:rsid w:val="00480BC6"/>
    <w:rsid w:val="00480FBC"/>
    <w:rsid w:val="00481502"/>
    <w:rsid w:val="00481CBD"/>
    <w:rsid w:val="00482B63"/>
    <w:rsid w:val="00483AE7"/>
    <w:rsid w:val="00483F0F"/>
    <w:rsid w:val="004843BC"/>
    <w:rsid w:val="0048523A"/>
    <w:rsid w:val="004876A0"/>
    <w:rsid w:val="0049022F"/>
    <w:rsid w:val="004904A4"/>
    <w:rsid w:val="0049578A"/>
    <w:rsid w:val="00496045"/>
    <w:rsid w:val="00496533"/>
    <w:rsid w:val="00496F5C"/>
    <w:rsid w:val="004970C9"/>
    <w:rsid w:val="00497B89"/>
    <w:rsid w:val="004A0086"/>
    <w:rsid w:val="004A0D2E"/>
    <w:rsid w:val="004A0D6E"/>
    <w:rsid w:val="004A220F"/>
    <w:rsid w:val="004A24F4"/>
    <w:rsid w:val="004A332E"/>
    <w:rsid w:val="004A36E8"/>
    <w:rsid w:val="004A3DF8"/>
    <w:rsid w:val="004A4629"/>
    <w:rsid w:val="004A4A5F"/>
    <w:rsid w:val="004A4F75"/>
    <w:rsid w:val="004A6773"/>
    <w:rsid w:val="004B04AB"/>
    <w:rsid w:val="004B167A"/>
    <w:rsid w:val="004B1926"/>
    <w:rsid w:val="004B2666"/>
    <w:rsid w:val="004B295E"/>
    <w:rsid w:val="004B2A57"/>
    <w:rsid w:val="004B314A"/>
    <w:rsid w:val="004B376B"/>
    <w:rsid w:val="004B487F"/>
    <w:rsid w:val="004B4C29"/>
    <w:rsid w:val="004B4D84"/>
    <w:rsid w:val="004B5594"/>
    <w:rsid w:val="004B5C7C"/>
    <w:rsid w:val="004B5D46"/>
    <w:rsid w:val="004B6D8C"/>
    <w:rsid w:val="004B6F21"/>
    <w:rsid w:val="004B7718"/>
    <w:rsid w:val="004B7DC2"/>
    <w:rsid w:val="004C2063"/>
    <w:rsid w:val="004C2DDD"/>
    <w:rsid w:val="004C2DF4"/>
    <w:rsid w:val="004C3181"/>
    <w:rsid w:val="004C432C"/>
    <w:rsid w:val="004C43A0"/>
    <w:rsid w:val="004C47C6"/>
    <w:rsid w:val="004C57A1"/>
    <w:rsid w:val="004C6482"/>
    <w:rsid w:val="004C7287"/>
    <w:rsid w:val="004C7FE7"/>
    <w:rsid w:val="004D0091"/>
    <w:rsid w:val="004D01D7"/>
    <w:rsid w:val="004D1002"/>
    <w:rsid w:val="004D1415"/>
    <w:rsid w:val="004D1483"/>
    <w:rsid w:val="004D184F"/>
    <w:rsid w:val="004D21CA"/>
    <w:rsid w:val="004D23A4"/>
    <w:rsid w:val="004D297A"/>
    <w:rsid w:val="004D30AE"/>
    <w:rsid w:val="004D3398"/>
    <w:rsid w:val="004D44DD"/>
    <w:rsid w:val="004D453D"/>
    <w:rsid w:val="004D4D38"/>
    <w:rsid w:val="004D7F5D"/>
    <w:rsid w:val="004E0945"/>
    <w:rsid w:val="004E1344"/>
    <w:rsid w:val="004E19B0"/>
    <w:rsid w:val="004E2A1F"/>
    <w:rsid w:val="004E2C69"/>
    <w:rsid w:val="004E4365"/>
    <w:rsid w:val="004E4968"/>
    <w:rsid w:val="004E4F2F"/>
    <w:rsid w:val="004E68B9"/>
    <w:rsid w:val="004E6B3F"/>
    <w:rsid w:val="004E6DB0"/>
    <w:rsid w:val="004E6E3E"/>
    <w:rsid w:val="004E6EFF"/>
    <w:rsid w:val="004E75DD"/>
    <w:rsid w:val="004F1060"/>
    <w:rsid w:val="004F2BAC"/>
    <w:rsid w:val="004F3269"/>
    <w:rsid w:val="004F3454"/>
    <w:rsid w:val="004F4177"/>
    <w:rsid w:val="004F4C34"/>
    <w:rsid w:val="004F6A3E"/>
    <w:rsid w:val="00500170"/>
    <w:rsid w:val="0050273D"/>
    <w:rsid w:val="00505758"/>
    <w:rsid w:val="005058F7"/>
    <w:rsid w:val="00505986"/>
    <w:rsid w:val="00506FB5"/>
    <w:rsid w:val="00507010"/>
    <w:rsid w:val="00507DBB"/>
    <w:rsid w:val="00507FC5"/>
    <w:rsid w:val="00511C4E"/>
    <w:rsid w:val="00511EC6"/>
    <w:rsid w:val="00512A62"/>
    <w:rsid w:val="00512E5C"/>
    <w:rsid w:val="005143C3"/>
    <w:rsid w:val="00514911"/>
    <w:rsid w:val="00515140"/>
    <w:rsid w:val="005165B7"/>
    <w:rsid w:val="00516742"/>
    <w:rsid w:val="00516CDA"/>
    <w:rsid w:val="0051772B"/>
    <w:rsid w:val="00517E25"/>
    <w:rsid w:val="005207E8"/>
    <w:rsid w:val="00520C32"/>
    <w:rsid w:val="005213A5"/>
    <w:rsid w:val="00521709"/>
    <w:rsid w:val="00521819"/>
    <w:rsid w:val="0052281B"/>
    <w:rsid w:val="00522C64"/>
    <w:rsid w:val="0052406F"/>
    <w:rsid w:val="00524BD5"/>
    <w:rsid w:val="00525AA6"/>
    <w:rsid w:val="00525F4F"/>
    <w:rsid w:val="00526BC4"/>
    <w:rsid w:val="005274E0"/>
    <w:rsid w:val="0052751E"/>
    <w:rsid w:val="005277AA"/>
    <w:rsid w:val="0053045A"/>
    <w:rsid w:val="00530B8C"/>
    <w:rsid w:val="0053177B"/>
    <w:rsid w:val="005318CE"/>
    <w:rsid w:val="005319DB"/>
    <w:rsid w:val="00532AEB"/>
    <w:rsid w:val="00532FC4"/>
    <w:rsid w:val="005332C0"/>
    <w:rsid w:val="00533325"/>
    <w:rsid w:val="00533E50"/>
    <w:rsid w:val="00534437"/>
    <w:rsid w:val="0053466B"/>
    <w:rsid w:val="00535398"/>
    <w:rsid w:val="0053574E"/>
    <w:rsid w:val="00535C0D"/>
    <w:rsid w:val="00535E4E"/>
    <w:rsid w:val="00536100"/>
    <w:rsid w:val="00536626"/>
    <w:rsid w:val="00537B90"/>
    <w:rsid w:val="00537E2E"/>
    <w:rsid w:val="0054016F"/>
    <w:rsid w:val="00541526"/>
    <w:rsid w:val="00541546"/>
    <w:rsid w:val="00542283"/>
    <w:rsid w:val="00542520"/>
    <w:rsid w:val="00543911"/>
    <w:rsid w:val="00543E2D"/>
    <w:rsid w:val="00544330"/>
    <w:rsid w:val="00544867"/>
    <w:rsid w:val="00545076"/>
    <w:rsid w:val="005456F0"/>
    <w:rsid w:val="005463BE"/>
    <w:rsid w:val="005470AC"/>
    <w:rsid w:val="00547B3E"/>
    <w:rsid w:val="00547BC5"/>
    <w:rsid w:val="00550BBC"/>
    <w:rsid w:val="00551600"/>
    <w:rsid w:val="00551C19"/>
    <w:rsid w:val="00551C54"/>
    <w:rsid w:val="00552A19"/>
    <w:rsid w:val="00552FAD"/>
    <w:rsid w:val="00553242"/>
    <w:rsid w:val="005541F6"/>
    <w:rsid w:val="00555B22"/>
    <w:rsid w:val="005564C9"/>
    <w:rsid w:val="005570A1"/>
    <w:rsid w:val="00560E61"/>
    <w:rsid w:val="0056102D"/>
    <w:rsid w:val="00561290"/>
    <w:rsid w:val="005615B0"/>
    <w:rsid w:val="00563C03"/>
    <w:rsid w:val="005642E1"/>
    <w:rsid w:val="005654BE"/>
    <w:rsid w:val="00566162"/>
    <w:rsid w:val="00566B2C"/>
    <w:rsid w:val="00566C19"/>
    <w:rsid w:val="00566D03"/>
    <w:rsid w:val="00567B6A"/>
    <w:rsid w:val="00570C92"/>
    <w:rsid w:val="00571504"/>
    <w:rsid w:val="005716DB"/>
    <w:rsid w:val="00571A11"/>
    <w:rsid w:val="0057223B"/>
    <w:rsid w:val="005724FB"/>
    <w:rsid w:val="00573147"/>
    <w:rsid w:val="00573BB6"/>
    <w:rsid w:val="00573E59"/>
    <w:rsid w:val="005749BE"/>
    <w:rsid w:val="005753C7"/>
    <w:rsid w:val="00575DA7"/>
    <w:rsid w:val="0057677B"/>
    <w:rsid w:val="0057728D"/>
    <w:rsid w:val="00577883"/>
    <w:rsid w:val="00577B74"/>
    <w:rsid w:val="00580792"/>
    <w:rsid w:val="005808C2"/>
    <w:rsid w:val="00580B9E"/>
    <w:rsid w:val="00580BF6"/>
    <w:rsid w:val="00580ED2"/>
    <w:rsid w:val="005824FB"/>
    <w:rsid w:val="0058273D"/>
    <w:rsid w:val="00583104"/>
    <w:rsid w:val="00583AB3"/>
    <w:rsid w:val="00583C95"/>
    <w:rsid w:val="00583DEA"/>
    <w:rsid w:val="005848E3"/>
    <w:rsid w:val="0058521F"/>
    <w:rsid w:val="0058548F"/>
    <w:rsid w:val="005858DE"/>
    <w:rsid w:val="00585FB1"/>
    <w:rsid w:val="00586225"/>
    <w:rsid w:val="0058669B"/>
    <w:rsid w:val="00591385"/>
    <w:rsid w:val="0059174F"/>
    <w:rsid w:val="0059245A"/>
    <w:rsid w:val="0059276B"/>
    <w:rsid w:val="00592B27"/>
    <w:rsid w:val="00592C74"/>
    <w:rsid w:val="00593093"/>
    <w:rsid w:val="00594413"/>
    <w:rsid w:val="0059604B"/>
    <w:rsid w:val="005965DC"/>
    <w:rsid w:val="0059660E"/>
    <w:rsid w:val="005A0D51"/>
    <w:rsid w:val="005A10EC"/>
    <w:rsid w:val="005A2B08"/>
    <w:rsid w:val="005A2CBE"/>
    <w:rsid w:val="005A356A"/>
    <w:rsid w:val="005A3E44"/>
    <w:rsid w:val="005A48D4"/>
    <w:rsid w:val="005A4DED"/>
    <w:rsid w:val="005A4E0C"/>
    <w:rsid w:val="005A5046"/>
    <w:rsid w:val="005A5D82"/>
    <w:rsid w:val="005A635D"/>
    <w:rsid w:val="005A70C1"/>
    <w:rsid w:val="005A79EF"/>
    <w:rsid w:val="005A7E17"/>
    <w:rsid w:val="005B12A5"/>
    <w:rsid w:val="005B1368"/>
    <w:rsid w:val="005B151D"/>
    <w:rsid w:val="005B1616"/>
    <w:rsid w:val="005B1677"/>
    <w:rsid w:val="005B2DD0"/>
    <w:rsid w:val="005B3B4E"/>
    <w:rsid w:val="005B3DC1"/>
    <w:rsid w:val="005B3F2D"/>
    <w:rsid w:val="005B45A5"/>
    <w:rsid w:val="005B5CD2"/>
    <w:rsid w:val="005B608E"/>
    <w:rsid w:val="005B65E9"/>
    <w:rsid w:val="005B72BF"/>
    <w:rsid w:val="005C0AD8"/>
    <w:rsid w:val="005C0BE5"/>
    <w:rsid w:val="005C18CB"/>
    <w:rsid w:val="005C1B0A"/>
    <w:rsid w:val="005C279A"/>
    <w:rsid w:val="005C2A2E"/>
    <w:rsid w:val="005C2C03"/>
    <w:rsid w:val="005C2D62"/>
    <w:rsid w:val="005C2D7F"/>
    <w:rsid w:val="005C331D"/>
    <w:rsid w:val="005C3EDB"/>
    <w:rsid w:val="005C4FB5"/>
    <w:rsid w:val="005C74F1"/>
    <w:rsid w:val="005C7621"/>
    <w:rsid w:val="005C78B3"/>
    <w:rsid w:val="005C7F95"/>
    <w:rsid w:val="005D0863"/>
    <w:rsid w:val="005D0CCC"/>
    <w:rsid w:val="005D0E6D"/>
    <w:rsid w:val="005D2781"/>
    <w:rsid w:val="005D34F6"/>
    <w:rsid w:val="005D363B"/>
    <w:rsid w:val="005D364C"/>
    <w:rsid w:val="005D3835"/>
    <w:rsid w:val="005D3A76"/>
    <w:rsid w:val="005D400E"/>
    <w:rsid w:val="005D5F11"/>
    <w:rsid w:val="005D66F7"/>
    <w:rsid w:val="005D6923"/>
    <w:rsid w:val="005D69DA"/>
    <w:rsid w:val="005D6B54"/>
    <w:rsid w:val="005D740B"/>
    <w:rsid w:val="005D76F3"/>
    <w:rsid w:val="005D7885"/>
    <w:rsid w:val="005D7CB2"/>
    <w:rsid w:val="005D7F51"/>
    <w:rsid w:val="005E1034"/>
    <w:rsid w:val="005E1F64"/>
    <w:rsid w:val="005E38B1"/>
    <w:rsid w:val="005E4821"/>
    <w:rsid w:val="005E4F68"/>
    <w:rsid w:val="005E5D49"/>
    <w:rsid w:val="005E629D"/>
    <w:rsid w:val="005E62A7"/>
    <w:rsid w:val="005E73A7"/>
    <w:rsid w:val="005E777A"/>
    <w:rsid w:val="005E78DD"/>
    <w:rsid w:val="005E7F7B"/>
    <w:rsid w:val="005F032F"/>
    <w:rsid w:val="005F06E2"/>
    <w:rsid w:val="005F0E61"/>
    <w:rsid w:val="005F11F0"/>
    <w:rsid w:val="005F196A"/>
    <w:rsid w:val="005F19E1"/>
    <w:rsid w:val="005F1C98"/>
    <w:rsid w:val="005F2AAC"/>
    <w:rsid w:val="005F2D24"/>
    <w:rsid w:val="005F305C"/>
    <w:rsid w:val="005F39DC"/>
    <w:rsid w:val="005F5380"/>
    <w:rsid w:val="005F67D3"/>
    <w:rsid w:val="005F6A4E"/>
    <w:rsid w:val="005F73A2"/>
    <w:rsid w:val="00600003"/>
    <w:rsid w:val="006004C1"/>
    <w:rsid w:val="00601F0D"/>
    <w:rsid w:val="00601F4D"/>
    <w:rsid w:val="006022A0"/>
    <w:rsid w:val="00602456"/>
    <w:rsid w:val="00602AAD"/>
    <w:rsid w:val="00602D6D"/>
    <w:rsid w:val="00603466"/>
    <w:rsid w:val="00603E67"/>
    <w:rsid w:val="006040F1"/>
    <w:rsid w:val="00604854"/>
    <w:rsid w:val="00605243"/>
    <w:rsid w:val="006077D7"/>
    <w:rsid w:val="00607933"/>
    <w:rsid w:val="00607BBD"/>
    <w:rsid w:val="00611429"/>
    <w:rsid w:val="00611541"/>
    <w:rsid w:val="00611AAD"/>
    <w:rsid w:val="00613522"/>
    <w:rsid w:val="00613EE6"/>
    <w:rsid w:val="00614278"/>
    <w:rsid w:val="00614A73"/>
    <w:rsid w:val="00615063"/>
    <w:rsid w:val="00615128"/>
    <w:rsid w:val="00615E6A"/>
    <w:rsid w:val="00615FE0"/>
    <w:rsid w:val="006160BE"/>
    <w:rsid w:val="00616411"/>
    <w:rsid w:val="00620D59"/>
    <w:rsid w:val="00620D9E"/>
    <w:rsid w:val="00620FD4"/>
    <w:rsid w:val="00622FD7"/>
    <w:rsid w:val="006233A7"/>
    <w:rsid w:val="00625185"/>
    <w:rsid w:val="0062563C"/>
    <w:rsid w:val="0062597E"/>
    <w:rsid w:val="006262EE"/>
    <w:rsid w:val="0062677D"/>
    <w:rsid w:val="006271E5"/>
    <w:rsid w:val="00630253"/>
    <w:rsid w:val="00632454"/>
    <w:rsid w:val="00632886"/>
    <w:rsid w:val="00633E99"/>
    <w:rsid w:val="00633FE2"/>
    <w:rsid w:val="00634DC9"/>
    <w:rsid w:val="00634EFF"/>
    <w:rsid w:val="0063692B"/>
    <w:rsid w:val="00640029"/>
    <w:rsid w:val="00641373"/>
    <w:rsid w:val="0064209A"/>
    <w:rsid w:val="006420F7"/>
    <w:rsid w:val="00642CE7"/>
    <w:rsid w:val="00642D2C"/>
    <w:rsid w:val="006431B5"/>
    <w:rsid w:val="0064387D"/>
    <w:rsid w:val="00643F0E"/>
    <w:rsid w:val="00645D2B"/>
    <w:rsid w:val="006461CC"/>
    <w:rsid w:val="00647E19"/>
    <w:rsid w:val="00647ECA"/>
    <w:rsid w:val="00650655"/>
    <w:rsid w:val="00650872"/>
    <w:rsid w:val="00650A75"/>
    <w:rsid w:val="00650F0E"/>
    <w:rsid w:val="0065104C"/>
    <w:rsid w:val="00651E6B"/>
    <w:rsid w:val="00653885"/>
    <w:rsid w:val="00654612"/>
    <w:rsid w:val="00655892"/>
    <w:rsid w:val="00656FB5"/>
    <w:rsid w:val="0065741F"/>
    <w:rsid w:val="00657C5E"/>
    <w:rsid w:val="00657F73"/>
    <w:rsid w:val="00660793"/>
    <w:rsid w:val="00660E80"/>
    <w:rsid w:val="00661282"/>
    <w:rsid w:val="006614A3"/>
    <w:rsid w:val="006616AE"/>
    <w:rsid w:val="00662775"/>
    <w:rsid w:val="006630B4"/>
    <w:rsid w:val="006632CC"/>
    <w:rsid w:val="00665197"/>
    <w:rsid w:val="006658AC"/>
    <w:rsid w:val="00666FEF"/>
    <w:rsid w:val="00667362"/>
    <w:rsid w:val="00667D3C"/>
    <w:rsid w:val="00667D67"/>
    <w:rsid w:val="006700E6"/>
    <w:rsid w:val="00670379"/>
    <w:rsid w:val="006703B5"/>
    <w:rsid w:val="00670743"/>
    <w:rsid w:val="006709E3"/>
    <w:rsid w:val="00670AEF"/>
    <w:rsid w:val="0067129C"/>
    <w:rsid w:val="00671510"/>
    <w:rsid w:val="006725CC"/>
    <w:rsid w:val="0067280B"/>
    <w:rsid w:val="0067396F"/>
    <w:rsid w:val="00673BBB"/>
    <w:rsid w:val="00674918"/>
    <w:rsid w:val="006752DB"/>
    <w:rsid w:val="00675959"/>
    <w:rsid w:val="00675B34"/>
    <w:rsid w:val="00675D58"/>
    <w:rsid w:val="006808D3"/>
    <w:rsid w:val="0068136D"/>
    <w:rsid w:val="0068268D"/>
    <w:rsid w:val="0068276C"/>
    <w:rsid w:val="00683183"/>
    <w:rsid w:val="0068357D"/>
    <w:rsid w:val="0068496D"/>
    <w:rsid w:val="00685701"/>
    <w:rsid w:val="00685F27"/>
    <w:rsid w:val="0069064F"/>
    <w:rsid w:val="0069129B"/>
    <w:rsid w:val="006925CC"/>
    <w:rsid w:val="00692C59"/>
    <w:rsid w:val="00692ECA"/>
    <w:rsid w:val="00695289"/>
    <w:rsid w:val="006967BC"/>
    <w:rsid w:val="006975AB"/>
    <w:rsid w:val="00697C5C"/>
    <w:rsid w:val="00697DDE"/>
    <w:rsid w:val="00697F83"/>
    <w:rsid w:val="006A0A17"/>
    <w:rsid w:val="006A0DB4"/>
    <w:rsid w:val="006A148B"/>
    <w:rsid w:val="006A1679"/>
    <w:rsid w:val="006A209B"/>
    <w:rsid w:val="006A3A75"/>
    <w:rsid w:val="006A47DA"/>
    <w:rsid w:val="006A48CB"/>
    <w:rsid w:val="006A5207"/>
    <w:rsid w:val="006A54AA"/>
    <w:rsid w:val="006A560A"/>
    <w:rsid w:val="006A5AE1"/>
    <w:rsid w:val="006A5C3C"/>
    <w:rsid w:val="006A5EC2"/>
    <w:rsid w:val="006B0FDE"/>
    <w:rsid w:val="006B148A"/>
    <w:rsid w:val="006B29A6"/>
    <w:rsid w:val="006B2D1C"/>
    <w:rsid w:val="006B2FAE"/>
    <w:rsid w:val="006B3688"/>
    <w:rsid w:val="006B3A32"/>
    <w:rsid w:val="006B3B6D"/>
    <w:rsid w:val="006B4A61"/>
    <w:rsid w:val="006B520D"/>
    <w:rsid w:val="006B5345"/>
    <w:rsid w:val="006B571B"/>
    <w:rsid w:val="006B584E"/>
    <w:rsid w:val="006B599A"/>
    <w:rsid w:val="006B625E"/>
    <w:rsid w:val="006B6A89"/>
    <w:rsid w:val="006B6ECC"/>
    <w:rsid w:val="006B6F85"/>
    <w:rsid w:val="006C0196"/>
    <w:rsid w:val="006C08E7"/>
    <w:rsid w:val="006C0932"/>
    <w:rsid w:val="006C0B50"/>
    <w:rsid w:val="006C148E"/>
    <w:rsid w:val="006C194D"/>
    <w:rsid w:val="006C1A47"/>
    <w:rsid w:val="006C24DC"/>
    <w:rsid w:val="006C28E5"/>
    <w:rsid w:val="006C451A"/>
    <w:rsid w:val="006C4B5F"/>
    <w:rsid w:val="006C4F27"/>
    <w:rsid w:val="006C729B"/>
    <w:rsid w:val="006C7436"/>
    <w:rsid w:val="006C7BD9"/>
    <w:rsid w:val="006C7C2C"/>
    <w:rsid w:val="006C7D6B"/>
    <w:rsid w:val="006D1F06"/>
    <w:rsid w:val="006D2771"/>
    <w:rsid w:val="006D2F5D"/>
    <w:rsid w:val="006D394F"/>
    <w:rsid w:val="006D40B0"/>
    <w:rsid w:val="006D435E"/>
    <w:rsid w:val="006D54BB"/>
    <w:rsid w:val="006D605A"/>
    <w:rsid w:val="006D7423"/>
    <w:rsid w:val="006E0277"/>
    <w:rsid w:val="006E2DA6"/>
    <w:rsid w:val="006E3279"/>
    <w:rsid w:val="006E3688"/>
    <w:rsid w:val="006E426A"/>
    <w:rsid w:val="006E54AC"/>
    <w:rsid w:val="006E587F"/>
    <w:rsid w:val="006E5AF0"/>
    <w:rsid w:val="006E6C05"/>
    <w:rsid w:val="006E6D14"/>
    <w:rsid w:val="006F09AC"/>
    <w:rsid w:val="006F20FE"/>
    <w:rsid w:val="006F2A7F"/>
    <w:rsid w:val="006F38F2"/>
    <w:rsid w:val="006F3904"/>
    <w:rsid w:val="006F3DAD"/>
    <w:rsid w:val="006F4092"/>
    <w:rsid w:val="006F571D"/>
    <w:rsid w:val="006F574D"/>
    <w:rsid w:val="006F66ED"/>
    <w:rsid w:val="006F6CBC"/>
    <w:rsid w:val="006F6FBC"/>
    <w:rsid w:val="006F74CA"/>
    <w:rsid w:val="00701509"/>
    <w:rsid w:val="007026D0"/>
    <w:rsid w:val="00703275"/>
    <w:rsid w:val="00704F3C"/>
    <w:rsid w:val="00705623"/>
    <w:rsid w:val="00705E9D"/>
    <w:rsid w:val="00705EB9"/>
    <w:rsid w:val="00706024"/>
    <w:rsid w:val="0070615B"/>
    <w:rsid w:val="00706492"/>
    <w:rsid w:val="00707345"/>
    <w:rsid w:val="007079AD"/>
    <w:rsid w:val="007109DE"/>
    <w:rsid w:val="00710D49"/>
    <w:rsid w:val="0071107D"/>
    <w:rsid w:val="00711F40"/>
    <w:rsid w:val="007123D1"/>
    <w:rsid w:val="0071284E"/>
    <w:rsid w:val="00713E9B"/>
    <w:rsid w:val="0071402A"/>
    <w:rsid w:val="00714AC2"/>
    <w:rsid w:val="00714F45"/>
    <w:rsid w:val="00715967"/>
    <w:rsid w:val="00715C9A"/>
    <w:rsid w:val="00716A06"/>
    <w:rsid w:val="00717B86"/>
    <w:rsid w:val="00717F04"/>
    <w:rsid w:val="007234B4"/>
    <w:rsid w:val="00723C16"/>
    <w:rsid w:val="00723FD2"/>
    <w:rsid w:val="0072455D"/>
    <w:rsid w:val="0072520A"/>
    <w:rsid w:val="0072530F"/>
    <w:rsid w:val="00725626"/>
    <w:rsid w:val="00725705"/>
    <w:rsid w:val="00725894"/>
    <w:rsid w:val="0072622B"/>
    <w:rsid w:val="00726644"/>
    <w:rsid w:val="007268F3"/>
    <w:rsid w:val="0072708D"/>
    <w:rsid w:val="00727093"/>
    <w:rsid w:val="00727F45"/>
    <w:rsid w:val="0073179B"/>
    <w:rsid w:val="00731F4B"/>
    <w:rsid w:val="00732418"/>
    <w:rsid w:val="00733477"/>
    <w:rsid w:val="00733648"/>
    <w:rsid w:val="00734658"/>
    <w:rsid w:val="00735230"/>
    <w:rsid w:val="00735C7D"/>
    <w:rsid w:val="00736AB8"/>
    <w:rsid w:val="0073738E"/>
    <w:rsid w:val="007374C7"/>
    <w:rsid w:val="00740334"/>
    <w:rsid w:val="007408B9"/>
    <w:rsid w:val="007428BC"/>
    <w:rsid w:val="00742CF3"/>
    <w:rsid w:val="007434EA"/>
    <w:rsid w:val="00743D01"/>
    <w:rsid w:val="00744231"/>
    <w:rsid w:val="00744290"/>
    <w:rsid w:val="00744A15"/>
    <w:rsid w:val="00744EFF"/>
    <w:rsid w:val="007451D3"/>
    <w:rsid w:val="00745519"/>
    <w:rsid w:val="00745B11"/>
    <w:rsid w:val="00746184"/>
    <w:rsid w:val="00746575"/>
    <w:rsid w:val="00746AA2"/>
    <w:rsid w:val="00747680"/>
    <w:rsid w:val="00750C3A"/>
    <w:rsid w:val="007518B7"/>
    <w:rsid w:val="00752429"/>
    <w:rsid w:val="00752FAD"/>
    <w:rsid w:val="007533BD"/>
    <w:rsid w:val="00753D9A"/>
    <w:rsid w:val="00753EEA"/>
    <w:rsid w:val="007545D3"/>
    <w:rsid w:val="007545EF"/>
    <w:rsid w:val="007545FA"/>
    <w:rsid w:val="0075537C"/>
    <w:rsid w:val="00757918"/>
    <w:rsid w:val="00757CBE"/>
    <w:rsid w:val="00757FFB"/>
    <w:rsid w:val="007606BB"/>
    <w:rsid w:val="00760F27"/>
    <w:rsid w:val="007623DA"/>
    <w:rsid w:val="0076303F"/>
    <w:rsid w:val="00763D28"/>
    <w:rsid w:val="007641F4"/>
    <w:rsid w:val="0076491C"/>
    <w:rsid w:val="00765058"/>
    <w:rsid w:val="0076543D"/>
    <w:rsid w:val="00765500"/>
    <w:rsid w:val="0076589A"/>
    <w:rsid w:val="007659B8"/>
    <w:rsid w:val="00766137"/>
    <w:rsid w:val="007661C4"/>
    <w:rsid w:val="00766D84"/>
    <w:rsid w:val="00767CDD"/>
    <w:rsid w:val="007700E6"/>
    <w:rsid w:val="007709A0"/>
    <w:rsid w:val="00772E46"/>
    <w:rsid w:val="0077381D"/>
    <w:rsid w:val="00774265"/>
    <w:rsid w:val="00774BC6"/>
    <w:rsid w:val="0077505E"/>
    <w:rsid w:val="00775D2B"/>
    <w:rsid w:val="00775D8C"/>
    <w:rsid w:val="00776453"/>
    <w:rsid w:val="00780303"/>
    <w:rsid w:val="007803FF"/>
    <w:rsid w:val="00780CDF"/>
    <w:rsid w:val="00782C15"/>
    <w:rsid w:val="00782DBA"/>
    <w:rsid w:val="0078467D"/>
    <w:rsid w:val="00784DD0"/>
    <w:rsid w:val="00785072"/>
    <w:rsid w:val="00785CFB"/>
    <w:rsid w:val="00785EC4"/>
    <w:rsid w:val="00786F1F"/>
    <w:rsid w:val="00787EB8"/>
    <w:rsid w:val="00790104"/>
    <w:rsid w:val="00790349"/>
    <w:rsid w:val="00790AA5"/>
    <w:rsid w:val="00790FA3"/>
    <w:rsid w:val="00791253"/>
    <w:rsid w:val="00792C9E"/>
    <w:rsid w:val="007955B9"/>
    <w:rsid w:val="007964C5"/>
    <w:rsid w:val="0079702E"/>
    <w:rsid w:val="0079713A"/>
    <w:rsid w:val="00797CC1"/>
    <w:rsid w:val="007A1031"/>
    <w:rsid w:val="007A2419"/>
    <w:rsid w:val="007A2E4F"/>
    <w:rsid w:val="007A31E5"/>
    <w:rsid w:val="007A4E5B"/>
    <w:rsid w:val="007A7B24"/>
    <w:rsid w:val="007A7F79"/>
    <w:rsid w:val="007B10E5"/>
    <w:rsid w:val="007B1152"/>
    <w:rsid w:val="007B17C3"/>
    <w:rsid w:val="007B17F6"/>
    <w:rsid w:val="007B2464"/>
    <w:rsid w:val="007B2720"/>
    <w:rsid w:val="007B3A3D"/>
    <w:rsid w:val="007B3BED"/>
    <w:rsid w:val="007B3C56"/>
    <w:rsid w:val="007B43F4"/>
    <w:rsid w:val="007B4B74"/>
    <w:rsid w:val="007B4BC9"/>
    <w:rsid w:val="007B537B"/>
    <w:rsid w:val="007B6E4E"/>
    <w:rsid w:val="007C0EDE"/>
    <w:rsid w:val="007C1316"/>
    <w:rsid w:val="007C1360"/>
    <w:rsid w:val="007C1568"/>
    <w:rsid w:val="007C1B47"/>
    <w:rsid w:val="007C2860"/>
    <w:rsid w:val="007C32CE"/>
    <w:rsid w:val="007C35CF"/>
    <w:rsid w:val="007C549E"/>
    <w:rsid w:val="007C5E08"/>
    <w:rsid w:val="007C644A"/>
    <w:rsid w:val="007D1BF8"/>
    <w:rsid w:val="007D34AA"/>
    <w:rsid w:val="007D3E11"/>
    <w:rsid w:val="007D49A0"/>
    <w:rsid w:val="007D4C19"/>
    <w:rsid w:val="007D6BE8"/>
    <w:rsid w:val="007D7671"/>
    <w:rsid w:val="007D7848"/>
    <w:rsid w:val="007E04EE"/>
    <w:rsid w:val="007E096A"/>
    <w:rsid w:val="007E1224"/>
    <w:rsid w:val="007E3958"/>
    <w:rsid w:val="007E3C45"/>
    <w:rsid w:val="007E3E1A"/>
    <w:rsid w:val="007E41AA"/>
    <w:rsid w:val="007E44DD"/>
    <w:rsid w:val="007E45C2"/>
    <w:rsid w:val="007E4762"/>
    <w:rsid w:val="007E4A33"/>
    <w:rsid w:val="007E60AF"/>
    <w:rsid w:val="007E7C3A"/>
    <w:rsid w:val="007F0248"/>
    <w:rsid w:val="007F1437"/>
    <w:rsid w:val="007F16C8"/>
    <w:rsid w:val="007F170E"/>
    <w:rsid w:val="007F26E3"/>
    <w:rsid w:val="007F2A67"/>
    <w:rsid w:val="007F2BF6"/>
    <w:rsid w:val="007F461A"/>
    <w:rsid w:val="007F481F"/>
    <w:rsid w:val="007F555A"/>
    <w:rsid w:val="007F6CA1"/>
    <w:rsid w:val="007F7623"/>
    <w:rsid w:val="007F78AA"/>
    <w:rsid w:val="007F79B1"/>
    <w:rsid w:val="008008BC"/>
    <w:rsid w:val="00800AAA"/>
    <w:rsid w:val="00800C89"/>
    <w:rsid w:val="00800D2F"/>
    <w:rsid w:val="00802067"/>
    <w:rsid w:val="00802EC4"/>
    <w:rsid w:val="008030FF"/>
    <w:rsid w:val="00803C25"/>
    <w:rsid w:val="00803CCA"/>
    <w:rsid w:val="0080480F"/>
    <w:rsid w:val="00804C1D"/>
    <w:rsid w:val="00804E09"/>
    <w:rsid w:val="008051BE"/>
    <w:rsid w:val="00806166"/>
    <w:rsid w:val="008061A9"/>
    <w:rsid w:val="0080726E"/>
    <w:rsid w:val="00810A7D"/>
    <w:rsid w:val="00810C49"/>
    <w:rsid w:val="00811F54"/>
    <w:rsid w:val="00811FD1"/>
    <w:rsid w:val="00812105"/>
    <w:rsid w:val="00813106"/>
    <w:rsid w:val="00813735"/>
    <w:rsid w:val="00813D65"/>
    <w:rsid w:val="00813EF7"/>
    <w:rsid w:val="008140F1"/>
    <w:rsid w:val="00814904"/>
    <w:rsid w:val="00814E5C"/>
    <w:rsid w:val="008156AE"/>
    <w:rsid w:val="00815CF5"/>
    <w:rsid w:val="00817818"/>
    <w:rsid w:val="00820C2C"/>
    <w:rsid w:val="00821340"/>
    <w:rsid w:val="00821B15"/>
    <w:rsid w:val="00821B93"/>
    <w:rsid w:val="00822601"/>
    <w:rsid w:val="008247C9"/>
    <w:rsid w:val="008249DD"/>
    <w:rsid w:val="00824B07"/>
    <w:rsid w:val="00825661"/>
    <w:rsid w:val="0082752B"/>
    <w:rsid w:val="00827830"/>
    <w:rsid w:val="00827864"/>
    <w:rsid w:val="00827EF0"/>
    <w:rsid w:val="00830722"/>
    <w:rsid w:val="008311DE"/>
    <w:rsid w:val="0083272B"/>
    <w:rsid w:val="00832FA1"/>
    <w:rsid w:val="008338E6"/>
    <w:rsid w:val="00834203"/>
    <w:rsid w:val="00834E3C"/>
    <w:rsid w:val="00834FC7"/>
    <w:rsid w:val="00836152"/>
    <w:rsid w:val="008362E2"/>
    <w:rsid w:val="008365DE"/>
    <w:rsid w:val="00836DF8"/>
    <w:rsid w:val="00840B32"/>
    <w:rsid w:val="00840FF4"/>
    <w:rsid w:val="0084124C"/>
    <w:rsid w:val="00842928"/>
    <w:rsid w:val="00845C47"/>
    <w:rsid w:val="00846076"/>
    <w:rsid w:val="00846D6D"/>
    <w:rsid w:val="0084715D"/>
    <w:rsid w:val="0085091D"/>
    <w:rsid w:val="00850CE6"/>
    <w:rsid w:val="00851305"/>
    <w:rsid w:val="00851CF6"/>
    <w:rsid w:val="0085203B"/>
    <w:rsid w:val="00852406"/>
    <w:rsid w:val="0085276A"/>
    <w:rsid w:val="00852D3F"/>
    <w:rsid w:val="00852FCA"/>
    <w:rsid w:val="00853D72"/>
    <w:rsid w:val="00856958"/>
    <w:rsid w:val="008569D9"/>
    <w:rsid w:val="00856F21"/>
    <w:rsid w:val="0085739F"/>
    <w:rsid w:val="00857FFA"/>
    <w:rsid w:val="0086192A"/>
    <w:rsid w:val="00861D59"/>
    <w:rsid w:val="00862333"/>
    <w:rsid w:val="0086278F"/>
    <w:rsid w:val="00862828"/>
    <w:rsid w:val="00863B83"/>
    <w:rsid w:val="00864A82"/>
    <w:rsid w:val="00864D34"/>
    <w:rsid w:val="00865612"/>
    <w:rsid w:val="00865AC4"/>
    <w:rsid w:val="00866F13"/>
    <w:rsid w:val="00867089"/>
    <w:rsid w:val="00867672"/>
    <w:rsid w:val="008677D8"/>
    <w:rsid w:val="00870A16"/>
    <w:rsid w:val="008711EB"/>
    <w:rsid w:val="00871411"/>
    <w:rsid w:val="00871822"/>
    <w:rsid w:val="00871E4A"/>
    <w:rsid w:val="008723FF"/>
    <w:rsid w:val="00872652"/>
    <w:rsid w:val="008733D1"/>
    <w:rsid w:val="008736DF"/>
    <w:rsid w:val="008736E3"/>
    <w:rsid w:val="00874ED5"/>
    <w:rsid w:val="00875B52"/>
    <w:rsid w:val="008764ED"/>
    <w:rsid w:val="0087705D"/>
    <w:rsid w:val="0087721F"/>
    <w:rsid w:val="008779F0"/>
    <w:rsid w:val="008801F5"/>
    <w:rsid w:val="00880477"/>
    <w:rsid w:val="00880AEF"/>
    <w:rsid w:val="0088249E"/>
    <w:rsid w:val="008843B9"/>
    <w:rsid w:val="008846E2"/>
    <w:rsid w:val="00885809"/>
    <w:rsid w:val="0088656F"/>
    <w:rsid w:val="00886F49"/>
    <w:rsid w:val="0088738F"/>
    <w:rsid w:val="008903AA"/>
    <w:rsid w:val="0089140F"/>
    <w:rsid w:val="00893539"/>
    <w:rsid w:val="0089412E"/>
    <w:rsid w:val="00895420"/>
    <w:rsid w:val="0089660F"/>
    <w:rsid w:val="00897132"/>
    <w:rsid w:val="0089796A"/>
    <w:rsid w:val="00897A8B"/>
    <w:rsid w:val="008A0647"/>
    <w:rsid w:val="008A16C5"/>
    <w:rsid w:val="008A24A7"/>
    <w:rsid w:val="008A2A7E"/>
    <w:rsid w:val="008A2D3C"/>
    <w:rsid w:val="008A353F"/>
    <w:rsid w:val="008A48E6"/>
    <w:rsid w:val="008A551D"/>
    <w:rsid w:val="008A7039"/>
    <w:rsid w:val="008A70B4"/>
    <w:rsid w:val="008A722E"/>
    <w:rsid w:val="008B0594"/>
    <w:rsid w:val="008B0753"/>
    <w:rsid w:val="008B1BF8"/>
    <w:rsid w:val="008B1DD0"/>
    <w:rsid w:val="008B244A"/>
    <w:rsid w:val="008B36CB"/>
    <w:rsid w:val="008B38FA"/>
    <w:rsid w:val="008B4654"/>
    <w:rsid w:val="008B56F6"/>
    <w:rsid w:val="008B62CB"/>
    <w:rsid w:val="008B732E"/>
    <w:rsid w:val="008B76D3"/>
    <w:rsid w:val="008B79DB"/>
    <w:rsid w:val="008B7CB3"/>
    <w:rsid w:val="008B7F3C"/>
    <w:rsid w:val="008C0231"/>
    <w:rsid w:val="008C0AE8"/>
    <w:rsid w:val="008C1F31"/>
    <w:rsid w:val="008C202E"/>
    <w:rsid w:val="008C399E"/>
    <w:rsid w:val="008C3DA0"/>
    <w:rsid w:val="008C3ECB"/>
    <w:rsid w:val="008C4449"/>
    <w:rsid w:val="008C51F0"/>
    <w:rsid w:val="008C5916"/>
    <w:rsid w:val="008C59DC"/>
    <w:rsid w:val="008C60D5"/>
    <w:rsid w:val="008C7ECE"/>
    <w:rsid w:val="008D0B69"/>
    <w:rsid w:val="008D1738"/>
    <w:rsid w:val="008D2E48"/>
    <w:rsid w:val="008D370A"/>
    <w:rsid w:val="008D38CC"/>
    <w:rsid w:val="008D41C1"/>
    <w:rsid w:val="008D4852"/>
    <w:rsid w:val="008D5857"/>
    <w:rsid w:val="008D6809"/>
    <w:rsid w:val="008D6A62"/>
    <w:rsid w:val="008D77BD"/>
    <w:rsid w:val="008E0769"/>
    <w:rsid w:val="008E08FE"/>
    <w:rsid w:val="008E1F7B"/>
    <w:rsid w:val="008E2763"/>
    <w:rsid w:val="008E2EE4"/>
    <w:rsid w:val="008E5C10"/>
    <w:rsid w:val="008E6351"/>
    <w:rsid w:val="008E6B2D"/>
    <w:rsid w:val="008F043C"/>
    <w:rsid w:val="008F2CFA"/>
    <w:rsid w:val="008F34A0"/>
    <w:rsid w:val="008F3733"/>
    <w:rsid w:val="008F3A23"/>
    <w:rsid w:val="008F419B"/>
    <w:rsid w:val="008F5AB5"/>
    <w:rsid w:val="008F62EF"/>
    <w:rsid w:val="00900595"/>
    <w:rsid w:val="00900B3A"/>
    <w:rsid w:val="00900F58"/>
    <w:rsid w:val="009015EF"/>
    <w:rsid w:val="00901BA4"/>
    <w:rsid w:val="00902280"/>
    <w:rsid w:val="00902330"/>
    <w:rsid w:val="00902A30"/>
    <w:rsid w:val="00902E93"/>
    <w:rsid w:val="00903CDF"/>
    <w:rsid w:val="00904754"/>
    <w:rsid w:val="009049BC"/>
    <w:rsid w:val="009054B0"/>
    <w:rsid w:val="00905A14"/>
    <w:rsid w:val="00906F17"/>
    <w:rsid w:val="0090735B"/>
    <w:rsid w:val="00907FDF"/>
    <w:rsid w:val="00912850"/>
    <w:rsid w:val="00912CD7"/>
    <w:rsid w:val="00912EB7"/>
    <w:rsid w:val="009133E1"/>
    <w:rsid w:val="00913695"/>
    <w:rsid w:val="009136C1"/>
    <w:rsid w:val="00913980"/>
    <w:rsid w:val="0091433A"/>
    <w:rsid w:val="00914FC7"/>
    <w:rsid w:val="0091549B"/>
    <w:rsid w:val="00915851"/>
    <w:rsid w:val="0091692B"/>
    <w:rsid w:val="00916FA6"/>
    <w:rsid w:val="00917D1A"/>
    <w:rsid w:val="00920BCB"/>
    <w:rsid w:val="00921542"/>
    <w:rsid w:val="009219D3"/>
    <w:rsid w:val="00922931"/>
    <w:rsid w:val="009231D6"/>
    <w:rsid w:val="0092356F"/>
    <w:rsid w:val="00923DBE"/>
    <w:rsid w:val="00923DEA"/>
    <w:rsid w:val="0092435D"/>
    <w:rsid w:val="009255D4"/>
    <w:rsid w:val="009263DE"/>
    <w:rsid w:val="0092654B"/>
    <w:rsid w:val="0092687B"/>
    <w:rsid w:val="00926C08"/>
    <w:rsid w:val="00927557"/>
    <w:rsid w:val="00927788"/>
    <w:rsid w:val="009303E9"/>
    <w:rsid w:val="00930990"/>
    <w:rsid w:val="00930A1B"/>
    <w:rsid w:val="00933FD7"/>
    <w:rsid w:val="009343B5"/>
    <w:rsid w:val="0093524B"/>
    <w:rsid w:val="00935CE4"/>
    <w:rsid w:val="00935D30"/>
    <w:rsid w:val="00935F9A"/>
    <w:rsid w:val="009375A4"/>
    <w:rsid w:val="009375BA"/>
    <w:rsid w:val="0093790A"/>
    <w:rsid w:val="00940763"/>
    <w:rsid w:val="00941978"/>
    <w:rsid w:val="0094205C"/>
    <w:rsid w:val="0094270C"/>
    <w:rsid w:val="009430F0"/>
    <w:rsid w:val="00943329"/>
    <w:rsid w:val="00943A36"/>
    <w:rsid w:val="00945C8F"/>
    <w:rsid w:val="0094765E"/>
    <w:rsid w:val="009502DB"/>
    <w:rsid w:val="00952E70"/>
    <w:rsid w:val="0095312E"/>
    <w:rsid w:val="009533B2"/>
    <w:rsid w:val="00953A70"/>
    <w:rsid w:val="00953BB8"/>
    <w:rsid w:val="0095432A"/>
    <w:rsid w:val="009543DF"/>
    <w:rsid w:val="009550FF"/>
    <w:rsid w:val="00955223"/>
    <w:rsid w:val="00957B37"/>
    <w:rsid w:val="00960E2B"/>
    <w:rsid w:val="0096143D"/>
    <w:rsid w:val="00961AB6"/>
    <w:rsid w:val="00961B6E"/>
    <w:rsid w:val="00961E2D"/>
    <w:rsid w:val="00963104"/>
    <w:rsid w:val="00963985"/>
    <w:rsid w:val="00964148"/>
    <w:rsid w:val="009654E5"/>
    <w:rsid w:val="00965C4C"/>
    <w:rsid w:val="0096708D"/>
    <w:rsid w:val="00967182"/>
    <w:rsid w:val="009708F9"/>
    <w:rsid w:val="00971AD3"/>
    <w:rsid w:val="00971B99"/>
    <w:rsid w:val="00971D36"/>
    <w:rsid w:val="00972C30"/>
    <w:rsid w:val="00972F1E"/>
    <w:rsid w:val="0097309C"/>
    <w:rsid w:val="009730FF"/>
    <w:rsid w:val="00974166"/>
    <w:rsid w:val="009746D3"/>
    <w:rsid w:val="00974774"/>
    <w:rsid w:val="00974D67"/>
    <w:rsid w:val="009759E8"/>
    <w:rsid w:val="00975FA0"/>
    <w:rsid w:val="009768A6"/>
    <w:rsid w:val="00977360"/>
    <w:rsid w:val="00980295"/>
    <w:rsid w:val="00981A72"/>
    <w:rsid w:val="00982178"/>
    <w:rsid w:val="009822DA"/>
    <w:rsid w:val="0098252A"/>
    <w:rsid w:val="00982BBB"/>
    <w:rsid w:val="009837E7"/>
    <w:rsid w:val="00983F2E"/>
    <w:rsid w:val="009851E4"/>
    <w:rsid w:val="009855DA"/>
    <w:rsid w:val="009874CA"/>
    <w:rsid w:val="0099059E"/>
    <w:rsid w:val="0099069C"/>
    <w:rsid w:val="00990DE3"/>
    <w:rsid w:val="009911DB"/>
    <w:rsid w:val="00991E87"/>
    <w:rsid w:val="00992323"/>
    <w:rsid w:val="009933CF"/>
    <w:rsid w:val="00993BC7"/>
    <w:rsid w:val="00994589"/>
    <w:rsid w:val="009946CF"/>
    <w:rsid w:val="0099590A"/>
    <w:rsid w:val="009A0A0F"/>
    <w:rsid w:val="009A0FDC"/>
    <w:rsid w:val="009A4AD1"/>
    <w:rsid w:val="009A5BE2"/>
    <w:rsid w:val="009A6119"/>
    <w:rsid w:val="009A650C"/>
    <w:rsid w:val="009A6901"/>
    <w:rsid w:val="009A735D"/>
    <w:rsid w:val="009B13AA"/>
    <w:rsid w:val="009B26A2"/>
    <w:rsid w:val="009B4E45"/>
    <w:rsid w:val="009B4F4D"/>
    <w:rsid w:val="009B5552"/>
    <w:rsid w:val="009B6EA9"/>
    <w:rsid w:val="009C0A84"/>
    <w:rsid w:val="009C1127"/>
    <w:rsid w:val="009C1BAD"/>
    <w:rsid w:val="009C375A"/>
    <w:rsid w:val="009C3775"/>
    <w:rsid w:val="009C475D"/>
    <w:rsid w:val="009C4D2C"/>
    <w:rsid w:val="009C7246"/>
    <w:rsid w:val="009D1190"/>
    <w:rsid w:val="009D2439"/>
    <w:rsid w:val="009D2A1D"/>
    <w:rsid w:val="009D2BDC"/>
    <w:rsid w:val="009D3DAA"/>
    <w:rsid w:val="009D58A9"/>
    <w:rsid w:val="009D59E0"/>
    <w:rsid w:val="009D6F13"/>
    <w:rsid w:val="009D70A4"/>
    <w:rsid w:val="009D7A34"/>
    <w:rsid w:val="009E05FE"/>
    <w:rsid w:val="009E0AC6"/>
    <w:rsid w:val="009E0E28"/>
    <w:rsid w:val="009E1661"/>
    <w:rsid w:val="009E25EB"/>
    <w:rsid w:val="009E4733"/>
    <w:rsid w:val="009E4B3F"/>
    <w:rsid w:val="009E4C21"/>
    <w:rsid w:val="009E56B6"/>
    <w:rsid w:val="009E6DB1"/>
    <w:rsid w:val="009E72F5"/>
    <w:rsid w:val="009F1B98"/>
    <w:rsid w:val="009F294E"/>
    <w:rsid w:val="009F296B"/>
    <w:rsid w:val="009F2F3E"/>
    <w:rsid w:val="009F4B34"/>
    <w:rsid w:val="009F6410"/>
    <w:rsid w:val="009F7142"/>
    <w:rsid w:val="00A00CA5"/>
    <w:rsid w:val="00A01DC5"/>
    <w:rsid w:val="00A02DD4"/>
    <w:rsid w:val="00A033D9"/>
    <w:rsid w:val="00A03758"/>
    <w:rsid w:val="00A03DBB"/>
    <w:rsid w:val="00A04C7F"/>
    <w:rsid w:val="00A04F3C"/>
    <w:rsid w:val="00A057AA"/>
    <w:rsid w:val="00A10AFA"/>
    <w:rsid w:val="00A1148F"/>
    <w:rsid w:val="00A11945"/>
    <w:rsid w:val="00A127FC"/>
    <w:rsid w:val="00A148FC"/>
    <w:rsid w:val="00A15876"/>
    <w:rsid w:val="00A15A8D"/>
    <w:rsid w:val="00A161CE"/>
    <w:rsid w:val="00A166C1"/>
    <w:rsid w:val="00A1676D"/>
    <w:rsid w:val="00A16C64"/>
    <w:rsid w:val="00A17343"/>
    <w:rsid w:val="00A17765"/>
    <w:rsid w:val="00A17C33"/>
    <w:rsid w:val="00A20344"/>
    <w:rsid w:val="00A203A2"/>
    <w:rsid w:val="00A21110"/>
    <w:rsid w:val="00A22FDB"/>
    <w:rsid w:val="00A2312C"/>
    <w:rsid w:val="00A238C2"/>
    <w:rsid w:val="00A23C3A"/>
    <w:rsid w:val="00A251F3"/>
    <w:rsid w:val="00A25301"/>
    <w:rsid w:val="00A25EAC"/>
    <w:rsid w:val="00A26502"/>
    <w:rsid w:val="00A26903"/>
    <w:rsid w:val="00A27B22"/>
    <w:rsid w:val="00A30122"/>
    <w:rsid w:val="00A30389"/>
    <w:rsid w:val="00A305FF"/>
    <w:rsid w:val="00A306A6"/>
    <w:rsid w:val="00A31188"/>
    <w:rsid w:val="00A32A92"/>
    <w:rsid w:val="00A330A0"/>
    <w:rsid w:val="00A330A8"/>
    <w:rsid w:val="00A3337C"/>
    <w:rsid w:val="00A3354D"/>
    <w:rsid w:val="00A33913"/>
    <w:rsid w:val="00A343A8"/>
    <w:rsid w:val="00A34C78"/>
    <w:rsid w:val="00A35F5E"/>
    <w:rsid w:val="00A362A4"/>
    <w:rsid w:val="00A36D9B"/>
    <w:rsid w:val="00A37394"/>
    <w:rsid w:val="00A3786A"/>
    <w:rsid w:val="00A37C3E"/>
    <w:rsid w:val="00A40468"/>
    <w:rsid w:val="00A40DCB"/>
    <w:rsid w:val="00A40EBB"/>
    <w:rsid w:val="00A41936"/>
    <w:rsid w:val="00A42D1E"/>
    <w:rsid w:val="00A43247"/>
    <w:rsid w:val="00A438DD"/>
    <w:rsid w:val="00A43F4F"/>
    <w:rsid w:val="00A449DC"/>
    <w:rsid w:val="00A44CBF"/>
    <w:rsid w:val="00A454F8"/>
    <w:rsid w:val="00A458CB"/>
    <w:rsid w:val="00A4739D"/>
    <w:rsid w:val="00A5001C"/>
    <w:rsid w:val="00A507DD"/>
    <w:rsid w:val="00A50C4A"/>
    <w:rsid w:val="00A533E6"/>
    <w:rsid w:val="00A54CCB"/>
    <w:rsid w:val="00A54F43"/>
    <w:rsid w:val="00A556AD"/>
    <w:rsid w:val="00A565CB"/>
    <w:rsid w:val="00A56B0A"/>
    <w:rsid w:val="00A57373"/>
    <w:rsid w:val="00A612CD"/>
    <w:rsid w:val="00A617FF"/>
    <w:rsid w:val="00A61839"/>
    <w:rsid w:val="00A62098"/>
    <w:rsid w:val="00A62EA5"/>
    <w:rsid w:val="00A638C1"/>
    <w:rsid w:val="00A674F9"/>
    <w:rsid w:val="00A707AB"/>
    <w:rsid w:val="00A717FA"/>
    <w:rsid w:val="00A724FD"/>
    <w:rsid w:val="00A73DCF"/>
    <w:rsid w:val="00A742CF"/>
    <w:rsid w:val="00A75D3D"/>
    <w:rsid w:val="00A75FBB"/>
    <w:rsid w:val="00A7653B"/>
    <w:rsid w:val="00A80FCA"/>
    <w:rsid w:val="00A815ED"/>
    <w:rsid w:val="00A81A0C"/>
    <w:rsid w:val="00A82F38"/>
    <w:rsid w:val="00A833F5"/>
    <w:rsid w:val="00A837A5"/>
    <w:rsid w:val="00A8455D"/>
    <w:rsid w:val="00A850CF"/>
    <w:rsid w:val="00A85326"/>
    <w:rsid w:val="00A85E9B"/>
    <w:rsid w:val="00A85EA5"/>
    <w:rsid w:val="00A86331"/>
    <w:rsid w:val="00A86458"/>
    <w:rsid w:val="00A878B7"/>
    <w:rsid w:val="00A87D9C"/>
    <w:rsid w:val="00A904C9"/>
    <w:rsid w:val="00A9061C"/>
    <w:rsid w:val="00A91834"/>
    <w:rsid w:val="00A9392E"/>
    <w:rsid w:val="00A948B9"/>
    <w:rsid w:val="00A95616"/>
    <w:rsid w:val="00A96444"/>
    <w:rsid w:val="00AA03F9"/>
    <w:rsid w:val="00AA0970"/>
    <w:rsid w:val="00AA0B44"/>
    <w:rsid w:val="00AA0C9E"/>
    <w:rsid w:val="00AA1BC0"/>
    <w:rsid w:val="00AA21EE"/>
    <w:rsid w:val="00AA254E"/>
    <w:rsid w:val="00AA268C"/>
    <w:rsid w:val="00AA2CB8"/>
    <w:rsid w:val="00AA2E5F"/>
    <w:rsid w:val="00AA2E78"/>
    <w:rsid w:val="00AA33D7"/>
    <w:rsid w:val="00AA4361"/>
    <w:rsid w:val="00AA483B"/>
    <w:rsid w:val="00AA4F42"/>
    <w:rsid w:val="00AA585B"/>
    <w:rsid w:val="00AA59C6"/>
    <w:rsid w:val="00AA5C5A"/>
    <w:rsid w:val="00AA6293"/>
    <w:rsid w:val="00AA6E21"/>
    <w:rsid w:val="00AA7044"/>
    <w:rsid w:val="00AA776D"/>
    <w:rsid w:val="00AA7989"/>
    <w:rsid w:val="00AB00D6"/>
    <w:rsid w:val="00AB07BE"/>
    <w:rsid w:val="00AB11BA"/>
    <w:rsid w:val="00AB1932"/>
    <w:rsid w:val="00AB2F00"/>
    <w:rsid w:val="00AB2F23"/>
    <w:rsid w:val="00AB3488"/>
    <w:rsid w:val="00AB4685"/>
    <w:rsid w:val="00AB48F1"/>
    <w:rsid w:val="00AB612F"/>
    <w:rsid w:val="00AB6200"/>
    <w:rsid w:val="00AB6285"/>
    <w:rsid w:val="00AB639A"/>
    <w:rsid w:val="00AB67FC"/>
    <w:rsid w:val="00AB6EF8"/>
    <w:rsid w:val="00AC038A"/>
    <w:rsid w:val="00AC1D0F"/>
    <w:rsid w:val="00AC3D97"/>
    <w:rsid w:val="00AC3DA9"/>
    <w:rsid w:val="00AC4CF3"/>
    <w:rsid w:val="00AC5673"/>
    <w:rsid w:val="00AC6B5E"/>
    <w:rsid w:val="00AC785D"/>
    <w:rsid w:val="00AC79B5"/>
    <w:rsid w:val="00AC7BFB"/>
    <w:rsid w:val="00AC7F38"/>
    <w:rsid w:val="00AD0334"/>
    <w:rsid w:val="00AD060E"/>
    <w:rsid w:val="00AD0CC6"/>
    <w:rsid w:val="00AD1A18"/>
    <w:rsid w:val="00AD1AD1"/>
    <w:rsid w:val="00AD29EF"/>
    <w:rsid w:val="00AD2F45"/>
    <w:rsid w:val="00AD3A0A"/>
    <w:rsid w:val="00AD3E36"/>
    <w:rsid w:val="00AD3F0E"/>
    <w:rsid w:val="00AD5396"/>
    <w:rsid w:val="00AD69D2"/>
    <w:rsid w:val="00AD7212"/>
    <w:rsid w:val="00AD7BDA"/>
    <w:rsid w:val="00AE0059"/>
    <w:rsid w:val="00AE07E7"/>
    <w:rsid w:val="00AE0B9C"/>
    <w:rsid w:val="00AE1D85"/>
    <w:rsid w:val="00AE3002"/>
    <w:rsid w:val="00AE39A8"/>
    <w:rsid w:val="00AE3FFE"/>
    <w:rsid w:val="00AE497B"/>
    <w:rsid w:val="00AE5565"/>
    <w:rsid w:val="00AE5D0D"/>
    <w:rsid w:val="00AE65A6"/>
    <w:rsid w:val="00AE65E6"/>
    <w:rsid w:val="00AE7265"/>
    <w:rsid w:val="00AE7E07"/>
    <w:rsid w:val="00AE7EB8"/>
    <w:rsid w:val="00AF0EF2"/>
    <w:rsid w:val="00AF1491"/>
    <w:rsid w:val="00AF1DF9"/>
    <w:rsid w:val="00AF31B5"/>
    <w:rsid w:val="00AF32F3"/>
    <w:rsid w:val="00AF35CE"/>
    <w:rsid w:val="00AF3FD3"/>
    <w:rsid w:val="00AF4433"/>
    <w:rsid w:val="00AF461D"/>
    <w:rsid w:val="00AF4AF9"/>
    <w:rsid w:val="00AF4E2F"/>
    <w:rsid w:val="00AF56C4"/>
    <w:rsid w:val="00AF70D0"/>
    <w:rsid w:val="00AF7974"/>
    <w:rsid w:val="00B00C22"/>
    <w:rsid w:val="00B01297"/>
    <w:rsid w:val="00B014A7"/>
    <w:rsid w:val="00B015C9"/>
    <w:rsid w:val="00B0194B"/>
    <w:rsid w:val="00B01A33"/>
    <w:rsid w:val="00B020A1"/>
    <w:rsid w:val="00B022DE"/>
    <w:rsid w:val="00B044B5"/>
    <w:rsid w:val="00B04620"/>
    <w:rsid w:val="00B05507"/>
    <w:rsid w:val="00B055FE"/>
    <w:rsid w:val="00B0573B"/>
    <w:rsid w:val="00B06460"/>
    <w:rsid w:val="00B07E6E"/>
    <w:rsid w:val="00B100DD"/>
    <w:rsid w:val="00B1118E"/>
    <w:rsid w:val="00B11D40"/>
    <w:rsid w:val="00B11F6B"/>
    <w:rsid w:val="00B139F5"/>
    <w:rsid w:val="00B14495"/>
    <w:rsid w:val="00B14C6D"/>
    <w:rsid w:val="00B158F3"/>
    <w:rsid w:val="00B1623B"/>
    <w:rsid w:val="00B16468"/>
    <w:rsid w:val="00B1720B"/>
    <w:rsid w:val="00B17A5C"/>
    <w:rsid w:val="00B20C19"/>
    <w:rsid w:val="00B20D77"/>
    <w:rsid w:val="00B21192"/>
    <w:rsid w:val="00B21855"/>
    <w:rsid w:val="00B22C6D"/>
    <w:rsid w:val="00B2475C"/>
    <w:rsid w:val="00B24C06"/>
    <w:rsid w:val="00B257D0"/>
    <w:rsid w:val="00B267F5"/>
    <w:rsid w:val="00B273DC"/>
    <w:rsid w:val="00B30726"/>
    <w:rsid w:val="00B307FF"/>
    <w:rsid w:val="00B317AB"/>
    <w:rsid w:val="00B319A4"/>
    <w:rsid w:val="00B338B8"/>
    <w:rsid w:val="00B3399C"/>
    <w:rsid w:val="00B3487A"/>
    <w:rsid w:val="00B34C70"/>
    <w:rsid w:val="00B34D6D"/>
    <w:rsid w:val="00B3530C"/>
    <w:rsid w:val="00B35CA1"/>
    <w:rsid w:val="00B36049"/>
    <w:rsid w:val="00B3614F"/>
    <w:rsid w:val="00B3691D"/>
    <w:rsid w:val="00B37133"/>
    <w:rsid w:val="00B37256"/>
    <w:rsid w:val="00B378AD"/>
    <w:rsid w:val="00B414B7"/>
    <w:rsid w:val="00B41B76"/>
    <w:rsid w:val="00B4238B"/>
    <w:rsid w:val="00B424E6"/>
    <w:rsid w:val="00B444FB"/>
    <w:rsid w:val="00B4582B"/>
    <w:rsid w:val="00B462C9"/>
    <w:rsid w:val="00B46429"/>
    <w:rsid w:val="00B46533"/>
    <w:rsid w:val="00B4662D"/>
    <w:rsid w:val="00B47599"/>
    <w:rsid w:val="00B4777F"/>
    <w:rsid w:val="00B504E0"/>
    <w:rsid w:val="00B506A2"/>
    <w:rsid w:val="00B5129B"/>
    <w:rsid w:val="00B52419"/>
    <w:rsid w:val="00B52C40"/>
    <w:rsid w:val="00B53570"/>
    <w:rsid w:val="00B5369F"/>
    <w:rsid w:val="00B53E0E"/>
    <w:rsid w:val="00B5463B"/>
    <w:rsid w:val="00B55604"/>
    <w:rsid w:val="00B5562E"/>
    <w:rsid w:val="00B55F28"/>
    <w:rsid w:val="00B56835"/>
    <w:rsid w:val="00B574C7"/>
    <w:rsid w:val="00B574CA"/>
    <w:rsid w:val="00B576E0"/>
    <w:rsid w:val="00B60300"/>
    <w:rsid w:val="00B623E0"/>
    <w:rsid w:val="00B625C1"/>
    <w:rsid w:val="00B62B78"/>
    <w:rsid w:val="00B633CE"/>
    <w:rsid w:val="00B63677"/>
    <w:rsid w:val="00B63CF5"/>
    <w:rsid w:val="00B63DEE"/>
    <w:rsid w:val="00B640B8"/>
    <w:rsid w:val="00B64FE2"/>
    <w:rsid w:val="00B657FD"/>
    <w:rsid w:val="00B6657B"/>
    <w:rsid w:val="00B704FF"/>
    <w:rsid w:val="00B70929"/>
    <w:rsid w:val="00B71415"/>
    <w:rsid w:val="00B7174B"/>
    <w:rsid w:val="00B7189D"/>
    <w:rsid w:val="00B718CB"/>
    <w:rsid w:val="00B71A1F"/>
    <w:rsid w:val="00B71C5E"/>
    <w:rsid w:val="00B71E9D"/>
    <w:rsid w:val="00B72867"/>
    <w:rsid w:val="00B7427A"/>
    <w:rsid w:val="00B7522D"/>
    <w:rsid w:val="00B75EC0"/>
    <w:rsid w:val="00B76008"/>
    <w:rsid w:val="00B77E12"/>
    <w:rsid w:val="00B77FCC"/>
    <w:rsid w:val="00B8032E"/>
    <w:rsid w:val="00B809F5"/>
    <w:rsid w:val="00B80D5D"/>
    <w:rsid w:val="00B80DBE"/>
    <w:rsid w:val="00B82A29"/>
    <w:rsid w:val="00B82FB6"/>
    <w:rsid w:val="00B83180"/>
    <w:rsid w:val="00B8368C"/>
    <w:rsid w:val="00B842E5"/>
    <w:rsid w:val="00B84393"/>
    <w:rsid w:val="00B844FC"/>
    <w:rsid w:val="00B84CF1"/>
    <w:rsid w:val="00B86CB3"/>
    <w:rsid w:val="00B90188"/>
    <w:rsid w:val="00B908E4"/>
    <w:rsid w:val="00B90BED"/>
    <w:rsid w:val="00B913B8"/>
    <w:rsid w:val="00B93BBC"/>
    <w:rsid w:val="00B946E2"/>
    <w:rsid w:val="00B94BA3"/>
    <w:rsid w:val="00B955E6"/>
    <w:rsid w:val="00B96A1C"/>
    <w:rsid w:val="00BA02A6"/>
    <w:rsid w:val="00BA06A7"/>
    <w:rsid w:val="00BA0B5E"/>
    <w:rsid w:val="00BA0D29"/>
    <w:rsid w:val="00BA10C2"/>
    <w:rsid w:val="00BA1623"/>
    <w:rsid w:val="00BA19DA"/>
    <w:rsid w:val="00BA242D"/>
    <w:rsid w:val="00BA2773"/>
    <w:rsid w:val="00BA2C21"/>
    <w:rsid w:val="00BA2E9D"/>
    <w:rsid w:val="00BA33E3"/>
    <w:rsid w:val="00BA39D8"/>
    <w:rsid w:val="00BA41B5"/>
    <w:rsid w:val="00BA5DFD"/>
    <w:rsid w:val="00BA634A"/>
    <w:rsid w:val="00BA697B"/>
    <w:rsid w:val="00BA6B57"/>
    <w:rsid w:val="00BA7A37"/>
    <w:rsid w:val="00BA7FFE"/>
    <w:rsid w:val="00BB134A"/>
    <w:rsid w:val="00BB1FAF"/>
    <w:rsid w:val="00BB2C3A"/>
    <w:rsid w:val="00BB318D"/>
    <w:rsid w:val="00BB3370"/>
    <w:rsid w:val="00BB3AFB"/>
    <w:rsid w:val="00BB4275"/>
    <w:rsid w:val="00BB43DB"/>
    <w:rsid w:val="00BB4B73"/>
    <w:rsid w:val="00BB4D85"/>
    <w:rsid w:val="00BB510D"/>
    <w:rsid w:val="00BB74B3"/>
    <w:rsid w:val="00BB7F73"/>
    <w:rsid w:val="00BC00AD"/>
    <w:rsid w:val="00BC0B8C"/>
    <w:rsid w:val="00BC17A5"/>
    <w:rsid w:val="00BC2543"/>
    <w:rsid w:val="00BC254E"/>
    <w:rsid w:val="00BC2574"/>
    <w:rsid w:val="00BC2781"/>
    <w:rsid w:val="00BC2D61"/>
    <w:rsid w:val="00BC3C05"/>
    <w:rsid w:val="00BC44F8"/>
    <w:rsid w:val="00BC46B7"/>
    <w:rsid w:val="00BC51AB"/>
    <w:rsid w:val="00BC5EA6"/>
    <w:rsid w:val="00BC6353"/>
    <w:rsid w:val="00BC68EA"/>
    <w:rsid w:val="00BC77C4"/>
    <w:rsid w:val="00BC7988"/>
    <w:rsid w:val="00BC7B71"/>
    <w:rsid w:val="00BC7EEB"/>
    <w:rsid w:val="00BD00D9"/>
    <w:rsid w:val="00BD03C5"/>
    <w:rsid w:val="00BD13D9"/>
    <w:rsid w:val="00BD1580"/>
    <w:rsid w:val="00BD2819"/>
    <w:rsid w:val="00BD4977"/>
    <w:rsid w:val="00BD51A6"/>
    <w:rsid w:val="00BD6701"/>
    <w:rsid w:val="00BD7021"/>
    <w:rsid w:val="00BE031D"/>
    <w:rsid w:val="00BE10F5"/>
    <w:rsid w:val="00BE16F0"/>
    <w:rsid w:val="00BE2B7E"/>
    <w:rsid w:val="00BE3B40"/>
    <w:rsid w:val="00BE41D9"/>
    <w:rsid w:val="00BE53A4"/>
    <w:rsid w:val="00BE60DA"/>
    <w:rsid w:val="00BE7D9C"/>
    <w:rsid w:val="00BF06EA"/>
    <w:rsid w:val="00BF08DF"/>
    <w:rsid w:val="00BF0B9B"/>
    <w:rsid w:val="00BF109E"/>
    <w:rsid w:val="00BF1BC8"/>
    <w:rsid w:val="00BF219B"/>
    <w:rsid w:val="00BF4457"/>
    <w:rsid w:val="00BF4643"/>
    <w:rsid w:val="00BF4685"/>
    <w:rsid w:val="00BF4763"/>
    <w:rsid w:val="00BF64F1"/>
    <w:rsid w:val="00BF6652"/>
    <w:rsid w:val="00C001AA"/>
    <w:rsid w:val="00C00537"/>
    <w:rsid w:val="00C00748"/>
    <w:rsid w:val="00C0125C"/>
    <w:rsid w:val="00C01D39"/>
    <w:rsid w:val="00C01DE1"/>
    <w:rsid w:val="00C03241"/>
    <w:rsid w:val="00C03592"/>
    <w:rsid w:val="00C04265"/>
    <w:rsid w:val="00C05214"/>
    <w:rsid w:val="00C059D1"/>
    <w:rsid w:val="00C06E01"/>
    <w:rsid w:val="00C07BCA"/>
    <w:rsid w:val="00C100DD"/>
    <w:rsid w:val="00C10969"/>
    <w:rsid w:val="00C11F30"/>
    <w:rsid w:val="00C135E3"/>
    <w:rsid w:val="00C13D41"/>
    <w:rsid w:val="00C14A20"/>
    <w:rsid w:val="00C14C6A"/>
    <w:rsid w:val="00C15B46"/>
    <w:rsid w:val="00C16C8E"/>
    <w:rsid w:val="00C171A1"/>
    <w:rsid w:val="00C200C8"/>
    <w:rsid w:val="00C204D6"/>
    <w:rsid w:val="00C20655"/>
    <w:rsid w:val="00C20B37"/>
    <w:rsid w:val="00C21285"/>
    <w:rsid w:val="00C279E0"/>
    <w:rsid w:val="00C27C3A"/>
    <w:rsid w:val="00C32652"/>
    <w:rsid w:val="00C32BB2"/>
    <w:rsid w:val="00C32D16"/>
    <w:rsid w:val="00C354F7"/>
    <w:rsid w:val="00C36191"/>
    <w:rsid w:val="00C361AE"/>
    <w:rsid w:val="00C36465"/>
    <w:rsid w:val="00C36E80"/>
    <w:rsid w:val="00C40334"/>
    <w:rsid w:val="00C40D92"/>
    <w:rsid w:val="00C40F9E"/>
    <w:rsid w:val="00C413D3"/>
    <w:rsid w:val="00C41CDE"/>
    <w:rsid w:val="00C420B4"/>
    <w:rsid w:val="00C424B1"/>
    <w:rsid w:val="00C42507"/>
    <w:rsid w:val="00C43566"/>
    <w:rsid w:val="00C4374E"/>
    <w:rsid w:val="00C44444"/>
    <w:rsid w:val="00C4513B"/>
    <w:rsid w:val="00C451E9"/>
    <w:rsid w:val="00C45CFD"/>
    <w:rsid w:val="00C46FF6"/>
    <w:rsid w:val="00C47DFC"/>
    <w:rsid w:val="00C47F2C"/>
    <w:rsid w:val="00C5001F"/>
    <w:rsid w:val="00C524C4"/>
    <w:rsid w:val="00C52824"/>
    <w:rsid w:val="00C52C47"/>
    <w:rsid w:val="00C532CE"/>
    <w:rsid w:val="00C53F72"/>
    <w:rsid w:val="00C5446F"/>
    <w:rsid w:val="00C54522"/>
    <w:rsid w:val="00C54D97"/>
    <w:rsid w:val="00C551EB"/>
    <w:rsid w:val="00C55200"/>
    <w:rsid w:val="00C554C6"/>
    <w:rsid w:val="00C55BB0"/>
    <w:rsid w:val="00C55E99"/>
    <w:rsid w:val="00C57A5E"/>
    <w:rsid w:val="00C57C79"/>
    <w:rsid w:val="00C60159"/>
    <w:rsid w:val="00C60183"/>
    <w:rsid w:val="00C608AF"/>
    <w:rsid w:val="00C60A72"/>
    <w:rsid w:val="00C61119"/>
    <w:rsid w:val="00C61F68"/>
    <w:rsid w:val="00C63588"/>
    <w:rsid w:val="00C64330"/>
    <w:rsid w:val="00C65804"/>
    <w:rsid w:val="00C65ED1"/>
    <w:rsid w:val="00C660F5"/>
    <w:rsid w:val="00C6645B"/>
    <w:rsid w:val="00C6671E"/>
    <w:rsid w:val="00C66781"/>
    <w:rsid w:val="00C673B6"/>
    <w:rsid w:val="00C67AE2"/>
    <w:rsid w:val="00C67C1A"/>
    <w:rsid w:val="00C70457"/>
    <w:rsid w:val="00C708D3"/>
    <w:rsid w:val="00C7155A"/>
    <w:rsid w:val="00C72062"/>
    <w:rsid w:val="00C72DAC"/>
    <w:rsid w:val="00C73047"/>
    <w:rsid w:val="00C739B7"/>
    <w:rsid w:val="00C753BF"/>
    <w:rsid w:val="00C75A67"/>
    <w:rsid w:val="00C76EA0"/>
    <w:rsid w:val="00C77076"/>
    <w:rsid w:val="00C817E6"/>
    <w:rsid w:val="00C81B57"/>
    <w:rsid w:val="00C81E4C"/>
    <w:rsid w:val="00C825ED"/>
    <w:rsid w:val="00C836C0"/>
    <w:rsid w:val="00C85E80"/>
    <w:rsid w:val="00C90925"/>
    <w:rsid w:val="00C90FA4"/>
    <w:rsid w:val="00C92DDB"/>
    <w:rsid w:val="00C9310D"/>
    <w:rsid w:val="00C93B70"/>
    <w:rsid w:val="00C94094"/>
    <w:rsid w:val="00C94344"/>
    <w:rsid w:val="00C94B77"/>
    <w:rsid w:val="00C95707"/>
    <w:rsid w:val="00C95D42"/>
    <w:rsid w:val="00C9652F"/>
    <w:rsid w:val="00C9653F"/>
    <w:rsid w:val="00C974D0"/>
    <w:rsid w:val="00C97769"/>
    <w:rsid w:val="00C97A14"/>
    <w:rsid w:val="00CA0103"/>
    <w:rsid w:val="00CA019C"/>
    <w:rsid w:val="00CA0630"/>
    <w:rsid w:val="00CA078B"/>
    <w:rsid w:val="00CA2552"/>
    <w:rsid w:val="00CA2C28"/>
    <w:rsid w:val="00CA3971"/>
    <w:rsid w:val="00CA39C5"/>
    <w:rsid w:val="00CA3DE3"/>
    <w:rsid w:val="00CA44EE"/>
    <w:rsid w:val="00CA4F3D"/>
    <w:rsid w:val="00CA58A1"/>
    <w:rsid w:val="00CA5BF9"/>
    <w:rsid w:val="00CA5DD3"/>
    <w:rsid w:val="00CA64BC"/>
    <w:rsid w:val="00CA676A"/>
    <w:rsid w:val="00CA6C21"/>
    <w:rsid w:val="00CA71ED"/>
    <w:rsid w:val="00CA7F6E"/>
    <w:rsid w:val="00CB30F2"/>
    <w:rsid w:val="00CB33A4"/>
    <w:rsid w:val="00CB3F6E"/>
    <w:rsid w:val="00CB45E3"/>
    <w:rsid w:val="00CB4C06"/>
    <w:rsid w:val="00CB5C97"/>
    <w:rsid w:val="00CB639E"/>
    <w:rsid w:val="00CB63A9"/>
    <w:rsid w:val="00CB6A3A"/>
    <w:rsid w:val="00CB7055"/>
    <w:rsid w:val="00CB7D87"/>
    <w:rsid w:val="00CC02C3"/>
    <w:rsid w:val="00CC0561"/>
    <w:rsid w:val="00CC2135"/>
    <w:rsid w:val="00CC29DC"/>
    <w:rsid w:val="00CC2B37"/>
    <w:rsid w:val="00CC2D5C"/>
    <w:rsid w:val="00CC39E8"/>
    <w:rsid w:val="00CC4C6D"/>
    <w:rsid w:val="00CC5E15"/>
    <w:rsid w:val="00CC712F"/>
    <w:rsid w:val="00CC7351"/>
    <w:rsid w:val="00CC7FEC"/>
    <w:rsid w:val="00CD03CF"/>
    <w:rsid w:val="00CD2279"/>
    <w:rsid w:val="00CD276F"/>
    <w:rsid w:val="00CD32C6"/>
    <w:rsid w:val="00CD33BC"/>
    <w:rsid w:val="00CD3600"/>
    <w:rsid w:val="00CD580B"/>
    <w:rsid w:val="00CD62CD"/>
    <w:rsid w:val="00CD6603"/>
    <w:rsid w:val="00CD70A4"/>
    <w:rsid w:val="00CD7325"/>
    <w:rsid w:val="00CE0ADC"/>
    <w:rsid w:val="00CE1111"/>
    <w:rsid w:val="00CE129D"/>
    <w:rsid w:val="00CE151B"/>
    <w:rsid w:val="00CE164A"/>
    <w:rsid w:val="00CE1775"/>
    <w:rsid w:val="00CE1B8F"/>
    <w:rsid w:val="00CE1EE3"/>
    <w:rsid w:val="00CE221E"/>
    <w:rsid w:val="00CE2533"/>
    <w:rsid w:val="00CE2AF2"/>
    <w:rsid w:val="00CE40AA"/>
    <w:rsid w:val="00CE4F32"/>
    <w:rsid w:val="00CE4F92"/>
    <w:rsid w:val="00CE57AF"/>
    <w:rsid w:val="00CE5962"/>
    <w:rsid w:val="00CE6299"/>
    <w:rsid w:val="00CE67AC"/>
    <w:rsid w:val="00CE6DC8"/>
    <w:rsid w:val="00CE6F5A"/>
    <w:rsid w:val="00CE72B7"/>
    <w:rsid w:val="00CE7F46"/>
    <w:rsid w:val="00CF0884"/>
    <w:rsid w:val="00CF0A73"/>
    <w:rsid w:val="00CF0DAA"/>
    <w:rsid w:val="00CF0E0E"/>
    <w:rsid w:val="00CF152F"/>
    <w:rsid w:val="00CF1853"/>
    <w:rsid w:val="00CF1CF2"/>
    <w:rsid w:val="00CF2104"/>
    <w:rsid w:val="00CF3FA1"/>
    <w:rsid w:val="00CF4022"/>
    <w:rsid w:val="00CF4B95"/>
    <w:rsid w:val="00CF539E"/>
    <w:rsid w:val="00CF57F0"/>
    <w:rsid w:val="00CF67A4"/>
    <w:rsid w:val="00CF69C8"/>
    <w:rsid w:val="00CF7AA4"/>
    <w:rsid w:val="00D0038A"/>
    <w:rsid w:val="00D01A35"/>
    <w:rsid w:val="00D01C1B"/>
    <w:rsid w:val="00D03141"/>
    <w:rsid w:val="00D03392"/>
    <w:rsid w:val="00D03AE8"/>
    <w:rsid w:val="00D03CAA"/>
    <w:rsid w:val="00D03DDF"/>
    <w:rsid w:val="00D043A7"/>
    <w:rsid w:val="00D0508E"/>
    <w:rsid w:val="00D05AB2"/>
    <w:rsid w:val="00D0633E"/>
    <w:rsid w:val="00D06678"/>
    <w:rsid w:val="00D06ABB"/>
    <w:rsid w:val="00D071C1"/>
    <w:rsid w:val="00D0775D"/>
    <w:rsid w:val="00D078B8"/>
    <w:rsid w:val="00D104FA"/>
    <w:rsid w:val="00D10D80"/>
    <w:rsid w:val="00D10FA2"/>
    <w:rsid w:val="00D1267F"/>
    <w:rsid w:val="00D139ED"/>
    <w:rsid w:val="00D13E66"/>
    <w:rsid w:val="00D14332"/>
    <w:rsid w:val="00D1491B"/>
    <w:rsid w:val="00D14934"/>
    <w:rsid w:val="00D15234"/>
    <w:rsid w:val="00D16F6C"/>
    <w:rsid w:val="00D2122B"/>
    <w:rsid w:val="00D22222"/>
    <w:rsid w:val="00D22FF7"/>
    <w:rsid w:val="00D23902"/>
    <w:rsid w:val="00D23913"/>
    <w:rsid w:val="00D24E93"/>
    <w:rsid w:val="00D24ED8"/>
    <w:rsid w:val="00D251F1"/>
    <w:rsid w:val="00D27334"/>
    <w:rsid w:val="00D2781F"/>
    <w:rsid w:val="00D30333"/>
    <w:rsid w:val="00D311E5"/>
    <w:rsid w:val="00D32C12"/>
    <w:rsid w:val="00D32F89"/>
    <w:rsid w:val="00D3727E"/>
    <w:rsid w:val="00D37CE5"/>
    <w:rsid w:val="00D400A8"/>
    <w:rsid w:val="00D419E7"/>
    <w:rsid w:val="00D42331"/>
    <w:rsid w:val="00D423B1"/>
    <w:rsid w:val="00D434DD"/>
    <w:rsid w:val="00D43AB0"/>
    <w:rsid w:val="00D43C90"/>
    <w:rsid w:val="00D44298"/>
    <w:rsid w:val="00D44B54"/>
    <w:rsid w:val="00D458CB"/>
    <w:rsid w:val="00D467C6"/>
    <w:rsid w:val="00D47266"/>
    <w:rsid w:val="00D47405"/>
    <w:rsid w:val="00D5015B"/>
    <w:rsid w:val="00D509AF"/>
    <w:rsid w:val="00D514F2"/>
    <w:rsid w:val="00D515FF"/>
    <w:rsid w:val="00D52C6E"/>
    <w:rsid w:val="00D535D7"/>
    <w:rsid w:val="00D54A3A"/>
    <w:rsid w:val="00D54CD3"/>
    <w:rsid w:val="00D5505B"/>
    <w:rsid w:val="00D5527B"/>
    <w:rsid w:val="00D55681"/>
    <w:rsid w:val="00D55B17"/>
    <w:rsid w:val="00D56F4C"/>
    <w:rsid w:val="00D577CB"/>
    <w:rsid w:val="00D57C66"/>
    <w:rsid w:val="00D6048B"/>
    <w:rsid w:val="00D614C7"/>
    <w:rsid w:val="00D62541"/>
    <w:rsid w:val="00D6367A"/>
    <w:rsid w:val="00D637C7"/>
    <w:rsid w:val="00D638A8"/>
    <w:rsid w:val="00D65336"/>
    <w:rsid w:val="00D6599F"/>
    <w:rsid w:val="00D65AA5"/>
    <w:rsid w:val="00D65CDB"/>
    <w:rsid w:val="00D660C6"/>
    <w:rsid w:val="00D672D4"/>
    <w:rsid w:val="00D67902"/>
    <w:rsid w:val="00D70B2C"/>
    <w:rsid w:val="00D70D26"/>
    <w:rsid w:val="00D70EE6"/>
    <w:rsid w:val="00D722A6"/>
    <w:rsid w:val="00D72716"/>
    <w:rsid w:val="00D7347E"/>
    <w:rsid w:val="00D73919"/>
    <w:rsid w:val="00D739D8"/>
    <w:rsid w:val="00D74549"/>
    <w:rsid w:val="00D749C9"/>
    <w:rsid w:val="00D7523F"/>
    <w:rsid w:val="00D77223"/>
    <w:rsid w:val="00D77EB3"/>
    <w:rsid w:val="00D80418"/>
    <w:rsid w:val="00D80872"/>
    <w:rsid w:val="00D80DE6"/>
    <w:rsid w:val="00D8140C"/>
    <w:rsid w:val="00D82548"/>
    <w:rsid w:val="00D82797"/>
    <w:rsid w:val="00D838AD"/>
    <w:rsid w:val="00D84877"/>
    <w:rsid w:val="00D84B33"/>
    <w:rsid w:val="00D85355"/>
    <w:rsid w:val="00D8549F"/>
    <w:rsid w:val="00D86853"/>
    <w:rsid w:val="00D87A7A"/>
    <w:rsid w:val="00D90722"/>
    <w:rsid w:val="00D913A8"/>
    <w:rsid w:val="00D922D7"/>
    <w:rsid w:val="00D923CC"/>
    <w:rsid w:val="00D92F43"/>
    <w:rsid w:val="00D930B4"/>
    <w:rsid w:val="00D93751"/>
    <w:rsid w:val="00D93794"/>
    <w:rsid w:val="00D946D2"/>
    <w:rsid w:val="00D94B06"/>
    <w:rsid w:val="00D9570C"/>
    <w:rsid w:val="00D964D0"/>
    <w:rsid w:val="00D9672C"/>
    <w:rsid w:val="00DA29E7"/>
    <w:rsid w:val="00DA2FA7"/>
    <w:rsid w:val="00DA3998"/>
    <w:rsid w:val="00DA4757"/>
    <w:rsid w:val="00DA5425"/>
    <w:rsid w:val="00DA6DCE"/>
    <w:rsid w:val="00DA76CC"/>
    <w:rsid w:val="00DA7E32"/>
    <w:rsid w:val="00DB02A8"/>
    <w:rsid w:val="00DB0AC7"/>
    <w:rsid w:val="00DB2B36"/>
    <w:rsid w:val="00DB44F4"/>
    <w:rsid w:val="00DB52A4"/>
    <w:rsid w:val="00DB5738"/>
    <w:rsid w:val="00DB591C"/>
    <w:rsid w:val="00DB59E8"/>
    <w:rsid w:val="00DB713A"/>
    <w:rsid w:val="00DB74D2"/>
    <w:rsid w:val="00DB77DB"/>
    <w:rsid w:val="00DC052C"/>
    <w:rsid w:val="00DC0BF9"/>
    <w:rsid w:val="00DC163D"/>
    <w:rsid w:val="00DC1C69"/>
    <w:rsid w:val="00DC2BA3"/>
    <w:rsid w:val="00DC4336"/>
    <w:rsid w:val="00DC549C"/>
    <w:rsid w:val="00DC5A84"/>
    <w:rsid w:val="00DC6143"/>
    <w:rsid w:val="00DC6644"/>
    <w:rsid w:val="00DC6994"/>
    <w:rsid w:val="00DC719E"/>
    <w:rsid w:val="00DC7B7D"/>
    <w:rsid w:val="00DD01D2"/>
    <w:rsid w:val="00DD36A9"/>
    <w:rsid w:val="00DD3953"/>
    <w:rsid w:val="00DD447C"/>
    <w:rsid w:val="00DD45A6"/>
    <w:rsid w:val="00DD5BEC"/>
    <w:rsid w:val="00DD5DE4"/>
    <w:rsid w:val="00DD69A5"/>
    <w:rsid w:val="00DD7543"/>
    <w:rsid w:val="00DE082A"/>
    <w:rsid w:val="00DE1459"/>
    <w:rsid w:val="00DE1C9D"/>
    <w:rsid w:val="00DE1FD3"/>
    <w:rsid w:val="00DE2674"/>
    <w:rsid w:val="00DE4CEA"/>
    <w:rsid w:val="00DE5480"/>
    <w:rsid w:val="00DE5A86"/>
    <w:rsid w:val="00DE5C11"/>
    <w:rsid w:val="00DE63DA"/>
    <w:rsid w:val="00DE6600"/>
    <w:rsid w:val="00DE6FA9"/>
    <w:rsid w:val="00DE7BDC"/>
    <w:rsid w:val="00DF0408"/>
    <w:rsid w:val="00DF041D"/>
    <w:rsid w:val="00DF0D46"/>
    <w:rsid w:val="00DF1B7B"/>
    <w:rsid w:val="00DF2D3C"/>
    <w:rsid w:val="00DF31AF"/>
    <w:rsid w:val="00DF452C"/>
    <w:rsid w:val="00DF49BF"/>
    <w:rsid w:val="00DF4C16"/>
    <w:rsid w:val="00DF5AB8"/>
    <w:rsid w:val="00DF6E2A"/>
    <w:rsid w:val="00DF6EDA"/>
    <w:rsid w:val="00DF6F2B"/>
    <w:rsid w:val="00DF6F3D"/>
    <w:rsid w:val="00DF7237"/>
    <w:rsid w:val="00DF7320"/>
    <w:rsid w:val="00DF784A"/>
    <w:rsid w:val="00DF785D"/>
    <w:rsid w:val="00E00146"/>
    <w:rsid w:val="00E00EC5"/>
    <w:rsid w:val="00E019E2"/>
    <w:rsid w:val="00E01B1F"/>
    <w:rsid w:val="00E0241B"/>
    <w:rsid w:val="00E02808"/>
    <w:rsid w:val="00E02865"/>
    <w:rsid w:val="00E02A59"/>
    <w:rsid w:val="00E02BD4"/>
    <w:rsid w:val="00E02CB6"/>
    <w:rsid w:val="00E02F8E"/>
    <w:rsid w:val="00E037D2"/>
    <w:rsid w:val="00E043EE"/>
    <w:rsid w:val="00E053B3"/>
    <w:rsid w:val="00E0561C"/>
    <w:rsid w:val="00E05796"/>
    <w:rsid w:val="00E058A1"/>
    <w:rsid w:val="00E05D27"/>
    <w:rsid w:val="00E05DC8"/>
    <w:rsid w:val="00E06696"/>
    <w:rsid w:val="00E068EC"/>
    <w:rsid w:val="00E0753F"/>
    <w:rsid w:val="00E07B14"/>
    <w:rsid w:val="00E07E0A"/>
    <w:rsid w:val="00E10465"/>
    <w:rsid w:val="00E10FE5"/>
    <w:rsid w:val="00E1131B"/>
    <w:rsid w:val="00E12AB3"/>
    <w:rsid w:val="00E13CC7"/>
    <w:rsid w:val="00E140B7"/>
    <w:rsid w:val="00E14D84"/>
    <w:rsid w:val="00E155E2"/>
    <w:rsid w:val="00E15B01"/>
    <w:rsid w:val="00E16405"/>
    <w:rsid w:val="00E1654A"/>
    <w:rsid w:val="00E169A5"/>
    <w:rsid w:val="00E16E17"/>
    <w:rsid w:val="00E16EEA"/>
    <w:rsid w:val="00E172DF"/>
    <w:rsid w:val="00E1790E"/>
    <w:rsid w:val="00E20504"/>
    <w:rsid w:val="00E20674"/>
    <w:rsid w:val="00E21937"/>
    <w:rsid w:val="00E22022"/>
    <w:rsid w:val="00E230A6"/>
    <w:rsid w:val="00E23693"/>
    <w:rsid w:val="00E23C12"/>
    <w:rsid w:val="00E240B9"/>
    <w:rsid w:val="00E24EC0"/>
    <w:rsid w:val="00E2531E"/>
    <w:rsid w:val="00E26207"/>
    <w:rsid w:val="00E26294"/>
    <w:rsid w:val="00E262F7"/>
    <w:rsid w:val="00E26FAA"/>
    <w:rsid w:val="00E27235"/>
    <w:rsid w:val="00E274B0"/>
    <w:rsid w:val="00E31689"/>
    <w:rsid w:val="00E31B6C"/>
    <w:rsid w:val="00E32929"/>
    <w:rsid w:val="00E33492"/>
    <w:rsid w:val="00E33D34"/>
    <w:rsid w:val="00E33F88"/>
    <w:rsid w:val="00E348FE"/>
    <w:rsid w:val="00E35023"/>
    <w:rsid w:val="00E358D1"/>
    <w:rsid w:val="00E3596A"/>
    <w:rsid w:val="00E3600C"/>
    <w:rsid w:val="00E36826"/>
    <w:rsid w:val="00E36C6C"/>
    <w:rsid w:val="00E37FD2"/>
    <w:rsid w:val="00E418DE"/>
    <w:rsid w:val="00E42305"/>
    <w:rsid w:val="00E42429"/>
    <w:rsid w:val="00E42489"/>
    <w:rsid w:val="00E428CF"/>
    <w:rsid w:val="00E42EC0"/>
    <w:rsid w:val="00E4575B"/>
    <w:rsid w:val="00E458B0"/>
    <w:rsid w:val="00E46C5D"/>
    <w:rsid w:val="00E4784B"/>
    <w:rsid w:val="00E47D7B"/>
    <w:rsid w:val="00E50162"/>
    <w:rsid w:val="00E524FF"/>
    <w:rsid w:val="00E52614"/>
    <w:rsid w:val="00E53F53"/>
    <w:rsid w:val="00E53F77"/>
    <w:rsid w:val="00E5445F"/>
    <w:rsid w:val="00E550A1"/>
    <w:rsid w:val="00E55256"/>
    <w:rsid w:val="00E5540A"/>
    <w:rsid w:val="00E558E0"/>
    <w:rsid w:val="00E5640C"/>
    <w:rsid w:val="00E569AF"/>
    <w:rsid w:val="00E5796F"/>
    <w:rsid w:val="00E57E8F"/>
    <w:rsid w:val="00E606B1"/>
    <w:rsid w:val="00E615FD"/>
    <w:rsid w:val="00E63022"/>
    <w:rsid w:val="00E634A7"/>
    <w:rsid w:val="00E641F5"/>
    <w:rsid w:val="00E64F09"/>
    <w:rsid w:val="00E66ACA"/>
    <w:rsid w:val="00E6724E"/>
    <w:rsid w:val="00E70CC7"/>
    <w:rsid w:val="00E70EA8"/>
    <w:rsid w:val="00E7363B"/>
    <w:rsid w:val="00E738BA"/>
    <w:rsid w:val="00E74426"/>
    <w:rsid w:val="00E74BF3"/>
    <w:rsid w:val="00E74CDE"/>
    <w:rsid w:val="00E75D5E"/>
    <w:rsid w:val="00E76B15"/>
    <w:rsid w:val="00E770CE"/>
    <w:rsid w:val="00E800F8"/>
    <w:rsid w:val="00E80220"/>
    <w:rsid w:val="00E804D5"/>
    <w:rsid w:val="00E8160B"/>
    <w:rsid w:val="00E81710"/>
    <w:rsid w:val="00E817AF"/>
    <w:rsid w:val="00E82156"/>
    <w:rsid w:val="00E82C46"/>
    <w:rsid w:val="00E83227"/>
    <w:rsid w:val="00E835B7"/>
    <w:rsid w:val="00E8496C"/>
    <w:rsid w:val="00E864C6"/>
    <w:rsid w:val="00E87046"/>
    <w:rsid w:val="00E9000D"/>
    <w:rsid w:val="00E902B1"/>
    <w:rsid w:val="00E92788"/>
    <w:rsid w:val="00E939FA"/>
    <w:rsid w:val="00E9409C"/>
    <w:rsid w:val="00E95593"/>
    <w:rsid w:val="00E95742"/>
    <w:rsid w:val="00E95924"/>
    <w:rsid w:val="00E959A5"/>
    <w:rsid w:val="00E968E1"/>
    <w:rsid w:val="00E9779F"/>
    <w:rsid w:val="00E977B8"/>
    <w:rsid w:val="00EA1C36"/>
    <w:rsid w:val="00EA1FF6"/>
    <w:rsid w:val="00EA3A86"/>
    <w:rsid w:val="00EA72D8"/>
    <w:rsid w:val="00EA761D"/>
    <w:rsid w:val="00EA7702"/>
    <w:rsid w:val="00EA7E1E"/>
    <w:rsid w:val="00EA7F0D"/>
    <w:rsid w:val="00EB05DA"/>
    <w:rsid w:val="00EB1255"/>
    <w:rsid w:val="00EB15BE"/>
    <w:rsid w:val="00EB229C"/>
    <w:rsid w:val="00EB2414"/>
    <w:rsid w:val="00EB33E6"/>
    <w:rsid w:val="00EB3A72"/>
    <w:rsid w:val="00EB3E43"/>
    <w:rsid w:val="00EB426B"/>
    <w:rsid w:val="00EB5083"/>
    <w:rsid w:val="00EB5346"/>
    <w:rsid w:val="00EB617F"/>
    <w:rsid w:val="00EB6EA7"/>
    <w:rsid w:val="00EB6EFA"/>
    <w:rsid w:val="00EB7816"/>
    <w:rsid w:val="00EC2A71"/>
    <w:rsid w:val="00EC3747"/>
    <w:rsid w:val="00EC3E61"/>
    <w:rsid w:val="00EC505A"/>
    <w:rsid w:val="00EC56C5"/>
    <w:rsid w:val="00EC58F2"/>
    <w:rsid w:val="00EC5DE1"/>
    <w:rsid w:val="00EC64BA"/>
    <w:rsid w:val="00EC729D"/>
    <w:rsid w:val="00EC7FF3"/>
    <w:rsid w:val="00ED1FCC"/>
    <w:rsid w:val="00ED2903"/>
    <w:rsid w:val="00ED317A"/>
    <w:rsid w:val="00ED344E"/>
    <w:rsid w:val="00ED357E"/>
    <w:rsid w:val="00ED35ED"/>
    <w:rsid w:val="00ED3C6A"/>
    <w:rsid w:val="00ED44F0"/>
    <w:rsid w:val="00ED4600"/>
    <w:rsid w:val="00ED47AD"/>
    <w:rsid w:val="00ED564E"/>
    <w:rsid w:val="00ED5C2A"/>
    <w:rsid w:val="00ED5F34"/>
    <w:rsid w:val="00ED70F3"/>
    <w:rsid w:val="00EE0061"/>
    <w:rsid w:val="00EE050F"/>
    <w:rsid w:val="00EE064B"/>
    <w:rsid w:val="00EE2491"/>
    <w:rsid w:val="00EE2956"/>
    <w:rsid w:val="00EE37C2"/>
    <w:rsid w:val="00EE5B29"/>
    <w:rsid w:val="00EE5CAD"/>
    <w:rsid w:val="00EE768B"/>
    <w:rsid w:val="00EE7CEE"/>
    <w:rsid w:val="00EE7D3E"/>
    <w:rsid w:val="00EF2825"/>
    <w:rsid w:val="00EF2E01"/>
    <w:rsid w:val="00EF30AC"/>
    <w:rsid w:val="00EF3313"/>
    <w:rsid w:val="00EF4F93"/>
    <w:rsid w:val="00EF68A8"/>
    <w:rsid w:val="00EF6DD7"/>
    <w:rsid w:val="00EF7094"/>
    <w:rsid w:val="00EF78C3"/>
    <w:rsid w:val="00EF7DA0"/>
    <w:rsid w:val="00F0069C"/>
    <w:rsid w:val="00F013F5"/>
    <w:rsid w:val="00F014A0"/>
    <w:rsid w:val="00F01957"/>
    <w:rsid w:val="00F029E8"/>
    <w:rsid w:val="00F02E3E"/>
    <w:rsid w:val="00F054D3"/>
    <w:rsid w:val="00F05933"/>
    <w:rsid w:val="00F059F2"/>
    <w:rsid w:val="00F05A4B"/>
    <w:rsid w:val="00F05FE1"/>
    <w:rsid w:val="00F0685B"/>
    <w:rsid w:val="00F06A2A"/>
    <w:rsid w:val="00F07EC7"/>
    <w:rsid w:val="00F114B7"/>
    <w:rsid w:val="00F11E87"/>
    <w:rsid w:val="00F1285B"/>
    <w:rsid w:val="00F12A87"/>
    <w:rsid w:val="00F130F6"/>
    <w:rsid w:val="00F13281"/>
    <w:rsid w:val="00F13470"/>
    <w:rsid w:val="00F1363C"/>
    <w:rsid w:val="00F13BBE"/>
    <w:rsid w:val="00F13CF8"/>
    <w:rsid w:val="00F13E1D"/>
    <w:rsid w:val="00F144B9"/>
    <w:rsid w:val="00F14EF2"/>
    <w:rsid w:val="00F15500"/>
    <w:rsid w:val="00F15801"/>
    <w:rsid w:val="00F15925"/>
    <w:rsid w:val="00F15B75"/>
    <w:rsid w:val="00F15C6A"/>
    <w:rsid w:val="00F16EC5"/>
    <w:rsid w:val="00F20B4C"/>
    <w:rsid w:val="00F20B61"/>
    <w:rsid w:val="00F21732"/>
    <w:rsid w:val="00F217E7"/>
    <w:rsid w:val="00F219B3"/>
    <w:rsid w:val="00F220D1"/>
    <w:rsid w:val="00F22ABF"/>
    <w:rsid w:val="00F2324D"/>
    <w:rsid w:val="00F233BB"/>
    <w:rsid w:val="00F23738"/>
    <w:rsid w:val="00F241A4"/>
    <w:rsid w:val="00F2448B"/>
    <w:rsid w:val="00F2452E"/>
    <w:rsid w:val="00F24AF9"/>
    <w:rsid w:val="00F26169"/>
    <w:rsid w:val="00F26848"/>
    <w:rsid w:val="00F27A70"/>
    <w:rsid w:val="00F3047A"/>
    <w:rsid w:val="00F3047E"/>
    <w:rsid w:val="00F30D4F"/>
    <w:rsid w:val="00F3149C"/>
    <w:rsid w:val="00F339DE"/>
    <w:rsid w:val="00F33B2C"/>
    <w:rsid w:val="00F34004"/>
    <w:rsid w:val="00F3491C"/>
    <w:rsid w:val="00F363E0"/>
    <w:rsid w:val="00F3645C"/>
    <w:rsid w:val="00F370DE"/>
    <w:rsid w:val="00F3738D"/>
    <w:rsid w:val="00F37776"/>
    <w:rsid w:val="00F37B16"/>
    <w:rsid w:val="00F40714"/>
    <w:rsid w:val="00F40AD2"/>
    <w:rsid w:val="00F40E49"/>
    <w:rsid w:val="00F41BC2"/>
    <w:rsid w:val="00F41D28"/>
    <w:rsid w:val="00F42320"/>
    <w:rsid w:val="00F429AC"/>
    <w:rsid w:val="00F42DD6"/>
    <w:rsid w:val="00F44AD6"/>
    <w:rsid w:val="00F44E42"/>
    <w:rsid w:val="00F46A68"/>
    <w:rsid w:val="00F47880"/>
    <w:rsid w:val="00F5011F"/>
    <w:rsid w:val="00F50201"/>
    <w:rsid w:val="00F5028E"/>
    <w:rsid w:val="00F506E9"/>
    <w:rsid w:val="00F50A0A"/>
    <w:rsid w:val="00F50B49"/>
    <w:rsid w:val="00F50B9B"/>
    <w:rsid w:val="00F511F1"/>
    <w:rsid w:val="00F51638"/>
    <w:rsid w:val="00F52167"/>
    <w:rsid w:val="00F52D22"/>
    <w:rsid w:val="00F53160"/>
    <w:rsid w:val="00F5360C"/>
    <w:rsid w:val="00F5425C"/>
    <w:rsid w:val="00F55F22"/>
    <w:rsid w:val="00F56020"/>
    <w:rsid w:val="00F56DFD"/>
    <w:rsid w:val="00F570FA"/>
    <w:rsid w:val="00F579DA"/>
    <w:rsid w:val="00F60063"/>
    <w:rsid w:val="00F60466"/>
    <w:rsid w:val="00F614B5"/>
    <w:rsid w:val="00F61527"/>
    <w:rsid w:val="00F61711"/>
    <w:rsid w:val="00F61E21"/>
    <w:rsid w:val="00F627E7"/>
    <w:rsid w:val="00F62C17"/>
    <w:rsid w:val="00F63763"/>
    <w:rsid w:val="00F654B7"/>
    <w:rsid w:val="00F65BEE"/>
    <w:rsid w:val="00F65E88"/>
    <w:rsid w:val="00F66435"/>
    <w:rsid w:val="00F67652"/>
    <w:rsid w:val="00F67EBD"/>
    <w:rsid w:val="00F67FB0"/>
    <w:rsid w:val="00F70178"/>
    <w:rsid w:val="00F704D4"/>
    <w:rsid w:val="00F70562"/>
    <w:rsid w:val="00F72002"/>
    <w:rsid w:val="00F75D48"/>
    <w:rsid w:val="00F75F26"/>
    <w:rsid w:val="00F76DD3"/>
    <w:rsid w:val="00F77968"/>
    <w:rsid w:val="00F77E11"/>
    <w:rsid w:val="00F805AC"/>
    <w:rsid w:val="00F808D2"/>
    <w:rsid w:val="00F81647"/>
    <w:rsid w:val="00F817CA"/>
    <w:rsid w:val="00F81B38"/>
    <w:rsid w:val="00F81B7F"/>
    <w:rsid w:val="00F82916"/>
    <w:rsid w:val="00F82F24"/>
    <w:rsid w:val="00F83A37"/>
    <w:rsid w:val="00F84705"/>
    <w:rsid w:val="00F84A33"/>
    <w:rsid w:val="00F858A0"/>
    <w:rsid w:val="00F85964"/>
    <w:rsid w:val="00F85CAE"/>
    <w:rsid w:val="00F86AE0"/>
    <w:rsid w:val="00F8750E"/>
    <w:rsid w:val="00F876F2"/>
    <w:rsid w:val="00F87D33"/>
    <w:rsid w:val="00F9003B"/>
    <w:rsid w:val="00F905D7"/>
    <w:rsid w:val="00F914EA"/>
    <w:rsid w:val="00F91DC0"/>
    <w:rsid w:val="00F93706"/>
    <w:rsid w:val="00F9386A"/>
    <w:rsid w:val="00F94630"/>
    <w:rsid w:val="00F95792"/>
    <w:rsid w:val="00F96826"/>
    <w:rsid w:val="00F96CD0"/>
    <w:rsid w:val="00F96F83"/>
    <w:rsid w:val="00F97D77"/>
    <w:rsid w:val="00F97FAA"/>
    <w:rsid w:val="00FA0C67"/>
    <w:rsid w:val="00FA167D"/>
    <w:rsid w:val="00FA1725"/>
    <w:rsid w:val="00FA211F"/>
    <w:rsid w:val="00FA2743"/>
    <w:rsid w:val="00FA2913"/>
    <w:rsid w:val="00FA307D"/>
    <w:rsid w:val="00FA326E"/>
    <w:rsid w:val="00FA3A1B"/>
    <w:rsid w:val="00FA4944"/>
    <w:rsid w:val="00FA5A3B"/>
    <w:rsid w:val="00FA6DC0"/>
    <w:rsid w:val="00FA72F2"/>
    <w:rsid w:val="00FB03AA"/>
    <w:rsid w:val="00FB0925"/>
    <w:rsid w:val="00FB1112"/>
    <w:rsid w:val="00FB15B7"/>
    <w:rsid w:val="00FB3110"/>
    <w:rsid w:val="00FB372F"/>
    <w:rsid w:val="00FB3C6A"/>
    <w:rsid w:val="00FB3CF9"/>
    <w:rsid w:val="00FB4354"/>
    <w:rsid w:val="00FB68DF"/>
    <w:rsid w:val="00FB723C"/>
    <w:rsid w:val="00FB73C8"/>
    <w:rsid w:val="00FC0BE7"/>
    <w:rsid w:val="00FC1A95"/>
    <w:rsid w:val="00FC1BEC"/>
    <w:rsid w:val="00FC2DBC"/>
    <w:rsid w:val="00FC35DD"/>
    <w:rsid w:val="00FC3867"/>
    <w:rsid w:val="00FC4169"/>
    <w:rsid w:val="00FC47F9"/>
    <w:rsid w:val="00FC6254"/>
    <w:rsid w:val="00FC67E5"/>
    <w:rsid w:val="00FD06EC"/>
    <w:rsid w:val="00FD0EDF"/>
    <w:rsid w:val="00FD25DC"/>
    <w:rsid w:val="00FD2747"/>
    <w:rsid w:val="00FD3AF9"/>
    <w:rsid w:val="00FD4890"/>
    <w:rsid w:val="00FD520B"/>
    <w:rsid w:val="00FD69C0"/>
    <w:rsid w:val="00FD6E6B"/>
    <w:rsid w:val="00FD6F5A"/>
    <w:rsid w:val="00FD6F93"/>
    <w:rsid w:val="00FE03C2"/>
    <w:rsid w:val="00FE095C"/>
    <w:rsid w:val="00FE0FA7"/>
    <w:rsid w:val="00FE1214"/>
    <w:rsid w:val="00FE1A87"/>
    <w:rsid w:val="00FE287B"/>
    <w:rsid w:val="00FE2F81"/>
    <w:rsid w:val="00FE55B8"/>
    <w:rsid w:val="00FE5B54"/>
    <w:rsid w:val="00FE66C8"/>
    <w:rsid w:val="00FE723A"/>
    <w:rsid w:val="00FF119D"/>
    <w:rsid w:val="00FF12B7"/>
    <w:rsid w:val="00FF1C61"/>
    <w:rsid w:val="00FF3B2D"/>
    <w:rsid w:val="00FF4882"/>
    <w:rsid w:val="00FF54B8"/>
    <w:rsid w:val="00FF59EC"/>
    <w:rsid w:val="00FF5BDB"/>
    <w:rsid w:val="00FF6B55"/>
    <w:rsid w:val="00FF7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70FA8"/>
  <w15:docId w15:val="{4DAA459C-5B99-41B4-92A8-2CDBC310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5C"/>
    <w:pPr>
      <w:spacing w:after="200" w:line="276" w:lineRule="auto"/>
    </w:pPr>
    <w:rPr>
      <w:lang w:val="sv-SE" w:eastAsia="en-US"/>
    </w:rPr>
  </w:style>
  <w:style w:type="paragraph" w:styleId="Heading1">
    <w:name w:val="heading 1"/>
    <w:basedOn w:val="Normal"/>
    <w:next w:val="Normal"/>
    <w:link w:val="Heading1Char"/>
    <w:uiPriority w:val="99"/>
    <w:qFormat/>
    <w:locked/>
    <w:rsid w:val="00F82916"/>
    <w:pPr>
      <w:keepNext/>
      <w:spacing w:after="0" w:line="240" w:lineRule="auto"/>
      <w:outlineLvl w:val="0"/>
    </w:pPr>
    <w:rPr>
      <w:rFonts w:ascii="Times New Roman" w:hAnsi="Times New Roman"/>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1F6B"/>
    <w:rPr>
      <w:rFonts w:ascii="Cambria" w:hAnsi="Cambria" w:cs="Times New Roman"/>
      <w:b/>
      <w:bCs/>
      <w:kern w:val="32"/>
      <w:sz w:val="32"/>
      <w:szCs w:val="32"/>
      <w:lang w:val="sv-SE" w:eastAsia="en-US"/>
    </w:rPr>
  </w:style>
  <w:style w:type="paragraph" w:styleId="PlainText">
    <w:name w:val="Plain Text"/>
    <w:basedOn w:val="Normal"/>
    <w:link w:val="PlainTextChar"/>
    <w:uiPriority w:val="99"/>
    <w:rsid w:val="00B718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B7189D"/>
    <w:rPr>
      <w:rFonts w:ascii="Consolas" w:hAnsi="Consolas" w:cs="Times New Roman"/>
      <w:sz w:val="21"/>
      <w:szCs w:val="21"/>
    </w:rPr>
  </w:style>
  <w:style w:type="table" w:styleId="TableGrid">
    <w:name w:val="Table Grid"/>
    <w:basedOn w:val="TableNormal"/>
    <w:uiPriority w:val="39"/>
    <w:rsid w:val="00E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C78B3"/>
    <w:pPr>
      <w:spacing w:after="120" w:line="240" w:lineRule="auto"/>
    </w:pPr>
    <w:rPr>
      <w:rFonts w:ascii="Times New Roman" w:eastAsia="MS Mincho" w:hAnsi="Times New Roman"/>
      <w:sz w:val="24"/>
      <w:szCs w:val="24"/>
      <w:lang w:val="en-GB" w:eastAsia="ja-JP"/>
    </w:rPr>
  </w:style>
  <w:style w:type="character" w:customStyle="1" w:styleId="BodyTextChar">
    <w:name w:val="Body Text Char"/>
    <w:basedOn w:val="DefaultParagraphFont"/>
    <w:link w:val="BodyText"/>
    <w:uiPriority w:val="99"/>
    <w:locked/>
    <w:rsid w:val="005C78B3"/>
    <w:rPr>
      <w:rFonts w:ascii="Times New Roman" w:eastAsia="MS Mincho" w:hAnsi="Times New Roman" w:cs="Times New Roman"/>
      <w:sz w:val="24"/>
      <w:szCs w:val="24"/>
      <w:lang w:val="en-GB" w:eastAsia="ja-JP"/>
    </w:rPr>
  </w:style>
  <w:style w:type="paragraph" w:styleId="BalloonText">
    <w:name w:val="Balloon Text"/>
    <w:basedOn w:val="Normal"/>
    <w:link w:val="BalloonTextChar"/>
    <w:uiPriority w:val="99"/>
    <w:semiHidden/>
    <w:rsid w:val="005C7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78B3"/>
    <w:rPr>
      <w:rFonts w:ascii="Tahoma" w:hAnsi="Tahoma" w:cs="Tahoma"/>
      <w:sz w:val="16"/>
      <w:szCs w:val="16"/>
    </w:rPr>
  </w:style>
  <w:style w:type="paragraph" w:styleId="Header">
    <w:name w:val="header"/>
    <w:basedOn w:val="Normal"/>
    <w:link w:val="HeaderChar"/>
    <w:uiPriority w:val="99"/>
    <w:rsid w:val="005C78B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C78B3"/>
    <w:rPr>
      <w:rFonts w:cs="Times New Roman"/>
    </w:rPr>
  </w:style>
  <w:style w:type="paragraph" w:styleId="Footer">
    <w:name w:val="footer"/>
    <w:basedOn w:val="Normal"/>
    <w:link w:val="FooterChar"/>
    <w:uiPriority w:val="99"/>
    <w:rsid w:val="005C78B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C78B3"/>
    <w:rPr>
      <w:rFonts w:cs="Times New Roman"/>
    </w:rPr>
  </w:style>
  <w:style w:type="paragraph" w:styleId="ListParagraph">
    <w:name w:val="List Paragraph"/>
    <w:basedOn w:val="Normal"/>
    <w:uiPriority w:val="99"/>
    <w:qFormat/>
    <w:rsid w:val="0092435D"/>
    <w:pPr>
      <w:ind w:left="720"/>
      <w:contextualSpacing/>
    </w:pPr>
  </w:style>
  <w:style w:type="character" w:styleId="CommentReference">
    <w:name w:val="annotation reference"/>
    <w:basedOn w:val="DefaultParagraphFont"/>
    <w:uiPriority w:val="99"/>
    <w:semiHidden/>
    <w:rsid w:val="005B3DC1"/>
    <w:rPr>
      <w:rFonts w:cs="Times New Roman"/>
      <w:sz w:val="16"/>
      <w:szCs w:val="16"/>
    </w:rPr>
  </w:style>
  <w:style w:type="paragraph" w:styleId="CommentText">
    <w:name w:val="annotation text"/>
    <w:basedOn w:val="Normal"/>
    <w:link w:val="CommentTextChar"/>
    <w:uiPriority w:val="99"/>
    <w:semiHidden/>
    <w:rsid w:val="005B3DC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B3DC1"/>
    <w:rPr>
      <w:rFonts w:cs="Times New Roman"/>
      <w:sz w:val="20"/>
      <w:szCs w:val="20"/>
    </w:rPr>
  </w:style>
  <w:style w:type="paragraph" w:styleId="CommentSubject">
    <w:name w:val="annotation subject"/>
    <w:basedOn w:val="CommentText"/>
    <w:next w:val="CommentText"/>
    <w:link w:val="CommentSubjectChar"/>
    <w:uiPriority w:val="99"/>
    <w:semiHidden/>
    <w:rsid w:val="005B3DC1"/>
    <w:rPr>
      <w:b/>
      <w:bCs/>
    </w:rPr>
  </w:style>
  <w:style w:type="character" w:customStyle="1" w:styleId="CommentSubjectChar">
    <w:name w:val="Comment Subject Char"/>
    <w:basedOn w:val="CommentTextChar"/>
    <w:link w:val="CommentSubject"/>
    <w:uiPriority w:val="99"/>
    <w:semiHidden/>
    <w:locked/>
    <w:rsid w:val="005B3DC1"/>
    <w:rPr>
      <w:rFonts w:cs="Times New Roman"/>
      <w:b/>
      <w:bCs/>
      <w:sz w:val="20"/>
      <w:szCs w:val="20"/>
    </w:rPr>
  </w:style>
  <w:style w:type="character" w:styleId="Hyperlink">
    <w:name w:val="Hyperlink"/>
    <w:basedOn w:val="DefaultParagraphFont"/>
    <w:uiPriority w:val="99"/>
    <w:rsid w:val="00CA0103"/>
    <w:rPr>
      <w:rFonts w:cs="Times New Roman"/>
      <w:color w:val="0000FF"/>
      <w:u w:val="single"/>
    </w:rPr>
  </w:style>
  <w:style w:type="character" w:styleId="FollowedHyperlink">
    <w:name w:val="FollowedHyperlink"/>
    <w:basedOn w:val="DefaultParagraphFont"/>
    <w:uiPriority w:val="99"/>
    <w:rsid w:val="007533BD"/>
    <w:rPr>
      <w:rFonts w:cs="Times New Roman"/>
      <w:color w:val="800080"/>
      <w:u w:val="single"/>
    </w:rPr>
  </w:style>
  <w:style w:type="paragraph" w:styleId="Revision">
    <w:name w:val="Revision"/>
    <w:hidden/>
    <w:uiPriority w:val="99"/>
    <w:semiHidden/>
    <w:rsid w:val="005808C2"/>
    <w:rPr>
      <w:lang w:val="sv-SE" w:eastAsia="en-US"/>
    </w:rPr>
  </w:style>
  <w:style w:type="paragraph" w:customStyle="1" w:styleId="Default">
    <w:name w:val="Default"/>
    <w:rsid w:val="00F3738D"/>
    <w:pPr>
      <w:autoSpaceDE w:val="0"/>
      <w:autoSpaceDN w:val="0"/>
      <w:adjustRightInd w:val="0"/>
    </w:pPr>
    <w:rPr>
      <w:rFonts w:ascii="Times New Roman" w:hAnsi="Times New Roman"/>
      <w:color w:val="000000"/>
      <w:sz w:val="24"/>
      <w:szCs w:val="24"/>
      <w:lang w:val="sv-SE"/>
    </w:rPr>
  </w:style>
  <w:style w:type="table" w:customStyle="1" w:styleId="TableGrid4">
    <w:name w:val="Table Grid4"/>
    <w:basedOn w:val="TableNormal"/>
    <w:next w:val="TableGrid"/>
    <w:uiPriority w:val="39"/>
    <w:rsid w:val="00E9559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85EC4"/>
    <w:rPr>
      <w:color w:val="605E5C"/>
      <w:shd w:val="clear" w:color="auto" w:fill="E1DFDD"/>
    </w:rPr>
  </w:style>
  <w:style w:type="character" w:styleId="Emphasis">
    <w:name w:val="Emphasis"/>
    <w:basedOn w:val="DefaultParagraphFont"/>
    <w:qFormat/>
    <w:locked/>
    <w:rsid w:val="003C331C"/>
    <w:rPr>
      <w:i/>
      <w:iCs/>
    </w:rPr>
  </w:style>
  <w:style w:type="paragraph" w:styleId="Subtitle">
    <w:name w:val="Subtitle"/>
    <w:basedOn w:val="Normal"/>
    <w:next w:val="Normal"/>
    <w:link w:val="SubtitleChar"/>
    <w:qFormat/>
    <w:locked/>
    <w:rsid w:val="003C331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3C331C"/>
    <w:rPr>
      <w:rFonts w:asciiTheme="minorHAnsi" w:eastAsiaTheme="minorEastAsia" w:hAnsiTheme="minorHAnsi" w:cstheme="minorBidi"/>
      <w:color w:val="5A5A5A" w:themeColor="text1" w:themeTint="A5"/>
      <w:spacing w:val="15"/>
      <w:lang w:val="sv-SE" w:eastAsia="en-US"/>
    </w:rPr>
  </w:style>
  <w:style w:type="paragraph" w:styleId="Title">
    <w:name w:val="Title"/>
    <w:basedOn w:val="Normal"/>
    <w:next w:val="Normal"/>
    <w:link w:val="TitleChar"/>
    <w:qFormat/>
    <w:locked/>
    <w:rsid w:val="00C965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9653F"/>
    <w:rPr>
      <w:rFonts w:asciiTheme="majorHAnsi" w:eastAsiaTheme="majorEastAsia" w:hAnsiTheme="majorHAnsi" w:cstheme="majorBidi"/>
      <w:spacing w:val="-10"/>
      <w:kern w:val="28"/>
      <w:sz w:val="56"/>
      <w:szCs w:val="56"/>
      <w:lang w:val="sv-SE" w:eastAsia="en-US"/>
    </w:rPr>
  </w:style>
  <w:style w:type="table" w:customStyle="1" w:styleId="TableGrid1">
    <w:name w:val="Table Grid1"/>
    <w:basedOn w:val="TableNormal"/>
    <w:next w:val="TableGrid"/>
    <w:uiPriority w:val="59"/>
    <w:rsid w:val="008C59DC"/>
    <w:rPr>
      <w:rFonts w:ascii="Times New Roman" w:hAnsi="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662">
      <w:bodyDiv w:val="1"/>
      <w:marLeft w:val="0"/>
      <w:marRight w:val="0"/>
      <w:marTop w:val="0"/>
      <w:marBottom w:val="0"/>
      <w:divBdr>
        <w:top w:val="none" w:sz="0" w:space="0" w:color="auto"/>
        <w:left w:val="none" w:sz="0" w:space="0" w:color="auto"/>
        <w:bottom w:val="none" w:sz="0" w:space="0" w:color="auto"/>
        <w:right w:val="none" w:sz="0" w:space="0" w:color="auto"/>
      </w:divBdr>
    </w:div>
    <w:div w:id="87049164">
      <w:marLeft w:val="0"/>
      <w:marRight w:val="0"/>
      <w:marTop w:val="0"/>
      <w:marBottom w:val="0"/>
      <w:divBdr>
        <w:top w:val="none" w:sz="0" w:space="0" w:color="auto"/>
        <w:left w:val="none" w:sz="0" w:space="0" w:color="auto"/>
        <w:bottom w:val="none" w:sz="0" w:space="0" w:color="auto"/>
        <w:right w:val="none" w:sz="0" w:space="0" w:color="auto"/>
      </w:divBdr>
      <w:divsChild>
        <w:div w:id="87049166">
          <w:marLeft w:val="0"/>
          <w:marRight w:val="0"/>
          <w:marTop w:val="0"/>
          <w:marBottom w:val="0"/>
          <w:divBdr>
            <w:top w:val="none" w:sz="0" w:space="0" w:color="auto"/>
            <w:left w:val="none" w:sz="0" w:space="0" w:color="auto"/>
            <w:bottom w:val="none" w:sz="0" w:space="0" w:color="auto"/>
            <w:right w:val="none" w:sz="0" w:space="0" w:color="auto"/>
          </w:divBdr>
          <w:divsChild>
            <w:div w:id="87049167">
              <w:marLeft w:val="0"/>
              <w:marRight w:val="0"/>
              <w:marTop w:val="0"/>
              <w:marBottom w:val="0"/>
              <w:divBdr>
                <w:top w:val="none" w:sz="0" w:space="0" w:color="auto"/>
                <w:left w:val="none" w:sz="0" w:space="0" w:color="auto"/>
                <w:bottom w:val="none" w:sz="0" w:space="0" w:color="auto"/>
                <w:right w:val="none" w:sz="0" w:space="0" w:color="auto"/>
              </w:divBdr>
              <w:divsChild>
                <w:div w:id="87049163">
                  <w:marLeft w:val="0"/>
                  <w:marRight w:val="0"/>
                  <w:marTop w:val="0"/>
                  <w:marBottom w:val="0"/>
                  <w:divBdr>
                    <w:top w:val="none" w:sz="0" w:space="0" w:color="auto"/>
                    <w:left w:val="none" w:sz="0" w:space="0" w:color="auto"/>
                    <w:bottom w:val="none" w:sz="0" w:space="0" w:color="auto"/>
                    <w:right w:val="none" w:sz="0" w:space="0" w:color="auto"/>
                  </w:divBdr>
                </w:div>
                <w:div w:id="870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29056">
      <w:bodyDiv w:val="1"/>
      <w:marLeft w:val="0"/>
      <w:marRight w:val="0"/>
      <w:marTop w:val="0"/>
      <w:marBottom w:val="0"/>
      <w:divBdr>
        <w:top w:val="none" w:sz="0" w:space="0" w:color="auto"/>
        <w:left w:val="none" w:sz="0" w:space="0" w:color="auto"/>
        <w:bottom w:val="none" w:sz="0" w:space="0" w:color="auto"/>
        <w:right w:val="none" w:sz="0" w:space="0" w:color="auto"/>
      </w:divBdr>
    </w:div>
    <w:div w:id="1087190148">
      <w:bodyDiv w:val="1"/>
      <w:marLeft w:val="0"/>
      <w:marRight w:val="0"/>
      <w:marTop w:val="0"/>
      <w:marBottom w:val="0"/>
      <w:divBdr>
        <w:top w:val="none" w:sz="0" w:space="0" w:color="auto"/>
        <w:left w:val="none" w:sz="0" w:space="0" w:color="auto"/>
        <w:bottom w:val="none" w:sz="0" w:space="0" w:color="auto"/>
        <w:right w:val="none" w:sz="0" w:space="0" w:color="auto"/>
      </w:divBdr>
      <w:divsChild>
        <w:div w:id="1153833727">
          <w:marLeft w:val="0"/>
          <w:marRight w:val="0"/>
          <w:marTop w:val="0"/>
          <w:marBottom w:val="0"/>
          <w:divBdr>
            <w:top w:val="none" w:sz="0" w:space="0" w:color="auto"/>
            <w:left w:val="none" w:sz="0" w:space="0" w:color="auto"/>
            <w:bottom w:val="none" w:sz="0" w:space="0" w:color="auto"/>
            <w:right w:val="none" w:sz="0" w:space="0" w:color="auto"/>
          </w:divBdr>
        </w:div>
      </w:divsChild>
    </w:div>
    <w:div w:id="1409839961">
      <w:bodyDiv w:val="1"/>
      <w:marLeft w:val="0"/>
      <w:marRight w:val="0"/>
      <w:marTop w:val="0"/>
      <w:marBottom w:val="0"/>
      <w:divBdr>
        <w:top w:val="none" w:sz="0" w:space="0" w:color="auto"/>
        <w:left w:val="none" w:sz="0" w:space="0" w:color="auto"/>
        <w:bottom w:val="none" w:sz="0" w:space="0" w:color="auto"/>
        <w:right w:val="none" w:sz="0" w:space="0" w:color="auto"/>
      </w:divBdr>
      <w:divsChild>
        <w:div w:id="1938757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https://www.nice.org.uk/guidance/ta464"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sheffield.ac.uk/FRAX/pdfs/WHO_Technica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3B67E-DA5D-4763-BD1E-2664EEA7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5137</Words>
  <Characters>29281</Characters>
  <Application>Microsoft Office Word</Application>
  <DocSecurity>4</DocSecurity>
  <Lines>244</Lines>
  <Paragraphs>68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FRAX based probabilities in a study of male osteoporosis</vt:lpstr>
      <vt:lpstr>FRAX based probabilities in a study of male osteoporosis</vt:lpstr>
    </vt:vector>
  </TitlesOfParts>
  <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FRAX based probabilities in a study of male osteoporosis</dc:title>
  <dc:subject/>
  <dc:creator>helena</dc:creator>
  <cp:keywords/>
  <dc:description/>
  <cp:lastModifiedBy>Karen Drake</cp:lastModifiedBy>
  <cp:revision>2</cp:revision>
  <cp:lastPrinted>2021-02-20T17:12:00Z</cp:lastPrinted>
  <dcterms:created xsi:type="dcterms:W3CDTF">2021-08-27T10:37:00Z</dcterms:created>
  <dcterms:modified xsi:type="dcterms:W3CDTF">2021-08-27T10:37:00Z</dcterms:modified>
</cp:coreProperties>
</file>