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1559"/>
        <w:gridCol w:w="1276"/>
        <w:gridCol w:w="1417"/>
      </w:tblGrid>
      <w:tr w:rsidR="00342147" w:rsidRPr="00342147" w14:paraId="6735D58E" w14:textId="77777777" w:rsidTr="00E16901">
        <w:trPr>
          <w:trHeight w:val="804"/>
          <w:jc w:val="center"/>
        </w:trPr>
        <w:tc>
          <w:tcPr>
            <w:tcW w:w="1271" w:type="dxa"/>
            <w:vAlign w:val="center"/>
          </w:tcPr>
          <w:p w14:paraId="067CAF5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5245" w:type="dxa"/>
            <w:vAlign w:val="center"/>
          </w:tcPr>
          <w:p w14:paraId="78607C64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Sequences 5’-3’</w:t>
            </w:r>
          </w:p>
        </w:tc>
        <w:tc>
          <w:tcPr>
            <w:tcW w:w="1559" w:type="dxa"/>
            <w:vAlign w:val="center"/>
          </w:tcPr>
          <w:p w14:paraId="289100F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Annealing temperature (</w:t>
            </w:r>
            <w:r w:rsidRPr="00342147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342147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276" w:type="dxa"/>
            <w:vAlign w:val="center"/>
          </w:tcPr>
          <w:p w14:paraId="5DDEC84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Amplicon length (bp)</w:t>
            </w:r>
          </w:p>
        </w:tc>
        <w:tc>
          <w:tcPr>
            <w:tcW w:w="1417" w:type="dxa"/>
            <w:vAlign w:val="center"/>
          </w:tcPr>
          <w:p w14:paraId="46B6A07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342147" w:rsidRPr="00342147" w14:paraId="63005959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3F3E041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RPL13A</w:t>
            </w:r>
          </w:p>
        </w:tc>
        <w:tc>
          <w:tcPr>
            <w:tcW w:w="5245" w:type="dxa"/>
            <w:vAlign w:val="center"/>
          </w:tcPr>
          <w:p w14:paraId="493013B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 xml:space="preserve">F - </w:t>
            </w:r>
            <w:r w:rsidRPr="00342147">
              <w:rPr>
                <w:rFonts w:ascii="Arial" w:hAnsi="Arial" w:cs="Arial"/>
                <w:color w:val="000000"/>
                <w:sz w:val="24"/>
                <w:szCs w:val="24"/>
              </w:rPr>
              <w:t>ACAAGACCAAGCGAGGCCAGG</w:t>
            </w:r>
          </w:p>
          <w:p w14:paraId="54721FA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 xml:space="preserve">R - </w:t>
            </w:r>
            <w:r w:rsidRPr="00342147">
              <w:rPr>
                <w:rFonts w:ascii="Arial" w:hAnsi="Arial" w:cs="Arial"/>
                <w:color w:val="000000"/>
                <w:sz w:val="24"/>
                <w:szCs w:val="24"/>
              </w:rPr>
              <w:t>GCCTGGTATTTCCAGCCAACCTCA</w:t>
            </w:r>
          </w:p>
          <w:p w14:paraId="3934923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DA5EA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46E5DF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417" w:type="dxa"/>
            <w:vAlign w:val="center"/>
          </w:tcPr>
          <w:p w14:paraId="591703F9" w14:textId="4FE555B5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Siddle et al. PNAS (2013)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[1]</w:t>
            </w:r>
          </w:p>
        </w:tc>
      </w:tr>
      <w:tr w:rsidR="00342147" w:rsidRPr="00342147" w14:paraId="5C341A53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3B3BB47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MAG</w:t>
            </w:r>
          </w:p>
        </w:tc>
        <w:tc>
          <w:tcPr>
            <w:tcW w:w="5245" w:type="dxa"/>
            <w:vAlign w:val="center"/>
          </w:tcPr>
          <w:p w14:paraId="7C86732B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CGATTCGATTTTCCCGATGAGC</w:t>
            </w:r>
          </w:p>
          <w:p w14:paraId="4CFD3F31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GTATTTGATGTCCAAGCTGGCG</w:t>
            </w:r>
          </w:p>
        </w:tc>
        <w:tc>
          <w:tcPr>
            <w:tcW w:w="1559" w:type="dxa"/>
            <w:vAlign w:val="center"/>
          </w:tcPr>
          <w:p w14:paraId="2A6E1D5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14:paraId="5D681A3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417" w:type="dxa"/>
            <w:vAlign w:val="center"/>
          </w:tcPr>
          <w:p w14:paraId="7DC3D0F4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3BFCBB6E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763BD1F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MBP</w:t>
            </w:r>
          </w:p>
        </w:tc>
        <w:tc>
          <w:tcPr>
            <w:tcW w:w="5245" w:type="dxa"/>
            <w:vAlign w:val="center"/>
          </w:tcPr>
          <w:p w14:paraId="6FF35E2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GGATCAAAGTACCTGGCAACTGCA</w:t>
            </w:r>
          </w:p>
          <w:p w14:paraId="6670D60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CCTTGCCTGAGGCCCTCCTGGGCA</w:t>
            </w:r>
          </w:p>
        </w:tc>
        <w:tc>
          <w:tcPr>
            <w:tcW w:w="1559" w:type="dxa"/>
            <w:vAlign w:val="center"/>
          </w:tcPr>
          <w:p w14:paraId="11CF201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520DB9A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14:paraId="73987CE8" w14:textId="7B487E35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Murchison et al. Science (2010)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[2]</w:t>
            </w:r>
          </w:p>
        </w:tc>
      </w:tr>
      <w:tr w:rsidR="00342147" w:rsidRPr="00342147" w14:paraId="2046A119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027F4EB4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MPZ</w:t>
            </w:r>
          </w:p>
        </w:tc>
        <w:tc>
          <w:tcPr>
            <w:tcW w:w="5245" w:type="dxa"/>
            <w:vAlign w:val="center"/>
          </w:tcPr>
          <w:p w14:paraId="68FAF8D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GTGGTTTACACGGACAGGGAG</w:t>
            </w:r>
          </w:p>
          <w:p w14:paraId="7F28A1A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CTTTCCACCGAGGATCCCCAA</w:t>
            </w:r>
          </w:p>
        </w:tc>
        <w:tc>
          <w:tcPr>
            <w:tcW w:w="1559" w:type="dxa"/>
            <w:vAlign w:val="center"/>
          </w:tcPr>
          <w:p w14:paraId="54CE5CD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0BCC373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14:paraId="346EF8A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14A9220A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7F1952E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PLP1</w:t>
            </w:r>
          </w:p>
        </w:tc>
        <w:tc>
          <w:tcPr>
            <w:tcW w:w="5245" w:type="dxa"/>
            <w:vAlign w:val="center"/>
          </w:tcPr>
          <w:p w14:paraId="098F8E5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TTCCCCAGCAAGACCTCAGC</w:t>
            </w:r>
          </w:p>
          <w:p w14:paraId="6355633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GCCCATGAGTTTCAGGACAGC</w:t>
            </w:r>
          </w:p>
        </w:tc>
        <w:tc>
          <w:tcPr>
            <w:tcW w:w="1559" w:type="dxa"/>
            <w:vAlign w:val="center"/>
          </w:tcPr>
          <w:p w14:paraId="5DCC489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14:paraId="01099C41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14:paraId="68BC237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707074A6" w14:textId="77777777" w:rsidTr="00E16901">
        <w:trPr>
          <w:trHeight w:val="252"/>
          <w:jc w:val="center"/>
        </w:trPr>
        <w:tc>
          <w:tcPr>
            <w:tcW w:w="1271" w:type="dxa"/>
            <w:vAlign w:val="center"/>
          </w:tcPr>
          <w:p w14:paraId="0097328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PMP22</w:t>
            </w:r>
          </w:p>
        </w:tc>
        <w:tc>
          <w:tcPr>
            <w:tcW w:w="5245" w:type="dxa"/>
            <w:vAlign w:val="center"/>
          </w:tcPr>
          <w:p w14:paraId="43791B1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CAATGTCCAGCACTGTTTCTCATCCTCTA</w:t>
            </w:r>
          </w:p>
          <w:p w14:paraId="1811ED5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GAACAGGAACAAGGAAAGGACGCTGAA</w:t>
            </w:r>
          </w:p>
        </w:tc>
        <w:tc>
          <w:tcPr>
            <w:tcW w:w="1559" w:type="dxa"/>
            <w:vAlign w:val="center"/>
          </w:tcPr>
          <w:p w14:paraId="02CC1F8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6BE2DCA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7937E59B" w14:textId="48BE9859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Murchison et al. Science (2010)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[2]</w:t>
            </w:r>
          </w:p>
        </w:tc>
      </w:tr>
      <w:tr w:rsidR="00342147" w:rsidRPr="00342147" w14:paraId="1F69DA3A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70C7045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PRX</w:t>
            </w:r>
          </w:p>
        </w:tc>
        <w:tc>
          <w:tcPr>
            <w:tcW w:w="5245" w:type="dxa"/>
            <w:vAlign w:val="center"/>
          </w:tcPr>
          <w:p w14:paraId="1DFE2FA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AACTGCCCACCATCAAGATGCC</w:t>
            </w:r>
          </w:p>
          <w:p w14:paraId="3B7726C2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TTCTGGGATGGACACTTCAGGC</w:t>
            </w:r>
          </w:p>
        </w:tc>
        <w:tc>
          <w:tcPr>
            <w:tcW w:w="1559" w:type="dxa"/>
            <w:vAlign w:val="center"/>
          </w:tcPr>
          <w:p w14:paraId="6516BB7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3421A52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14:paraId="09C9D7D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234037D2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1645D99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FABP7</w:t>
            </w:r>
          </w:p>
        </w:tc>
        <w:tc>
          <w:tcPr>
            <w:tcW w:w="5245" w:type="dxa"/>
            <w:vAlign w:val="center"/>
          </w:tcPr>
          <w:p w14:paraId="10B94C7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ATTCTAAACCTCAGGGCCAG</w:t>
            </w:r>
          </w:p>
          <w:p w14:paraId="2FB796E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TCCTGATCACCACTTTGTCC</w:t>
            </w:r>
          </w:p>
        </w:tc>
        <w:tc>
          <w:tcPr>
            <w:tcW w:w="1559" w:type="dxa"/>
            <w:vAlign w:val="center"/>
          </w:tcPr>
          <w:p w14:paraId="3124C05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69F3615B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14:paraId="38EAD02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58E42615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28199951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L1CAM</w:t>
            </w:r>
          </w:p>
        </w:tc>
        <w:tc>
          <w:tcPr>
            <w:tcW w:w="5245" w:type="dxa"/>
            <w:vAlign w:val="center"/>
          </w:tcPr>
          <w:p w14:paraId="791B7A22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TTGTGCAACCCCGAATCTACTG</w:t>
            </w:r>
          </w:p>
          <w:p w14:paraId="2E29760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AAACCTTCAGGCAGGAGCAAGC</w:t>
            </w:r>
          </w:p>
        </w:tc>
        <w:tc>
          <w:tcPr>
            <w:tcW w:w="1559" w:type="dxa"/>
            <w:vAlign w:val="center"/>
          </w:tcPr>
          <w:p w14:paraId="07A1677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14:paraId="560B55A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417" w:type="dxa"/>
            <w:vAlign w:val="center"/>
          </w:tcPr>
          <w:p w14:paraId="0BE12F6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46157A1A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679EA7B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NGFR</w:t>
            </w:r>
          </w:p>
        </w:tc>
        <w:tc>
          <w:tcPr>
            <w:tcW w:w="5245" w:type="dxa"/>
            <w:vAlign w:val="center"/>
          </w:tcPr>
          <w:p w14:paraId="4C96164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CCTACGGATACTACCAAGACG</w:t>
            </w:r>
          </w:p>
          <w:p w14:paraId="34E1EEC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GCCCAATAAAGGTGTGGTCCG</w:t>
            </w:r>
          </w:p>
        </w:tc>
        <w:tc>
          <w:tcPr>
            <w:tcW w:w="1559" w:type="dxa"/>
            <w:vAlign w:val="center"/>
          </w:tcPr>
          <w:p w14:paraId="5A92E0C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14:paraId="4FC4FB0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417" w:type="dxa"/>
            <w:vAlign w:val="center"/>
          </w:tcPr>
          <w:p w14:paraId="52DEBD6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6E783F65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550B687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PDGFRA</w:t>
            </w:r>
          </w:p>
        </w:tc>
        <w:tc>
          <w:tcPr>
            <w:tcW w:w="5245" w:type="dxa"/>
            <w:vAlign w:val="center"/>
          </w:tcPr>
          <w:p w14:paraId="31B38682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CTCCAGAGCTTGAAGTTGAG</w:t>
            </w:r>
          </w:p>
          <w:p w14:paraId="4F3BE492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GTTTCCTTGGTAGCATGACG</w:t>
            </w:r>
          </w:p>
        </w:tc>
        <w:tc>
          <w:tcPr>
            <w:tcW w:w="1559" w:type="dxa"/>
            <w:vAlign w:val="center"/>
          </w:tcPr>
          <w:p w14:paraId="47BC897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14:paraId="26F328B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vAlign w:val="center"/>
          </w:tcPr>
          <w:p w14:paraId="596E106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6E9DFE2E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2104A61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TGFB1</w:t>
            </w:r>
          </w:p>
        </w:tc>
        <w:tc>
          <w:tcPr>
            <w:tcW w:w="5245" w:type="dxa"/>
            <w:vAlign w:val="center"/>
          </w:tcPr>
          <w:p w14:paraId="4A65A0F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AAATTTGGCAACGGCTCCTGGCG</w:t>
            </w:r>
          </w:p>
          <w:p w14:paraId="37DD1C4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CGAAAATCGATGTAGAGCTGCCG</w:t>
            </w:r>
          </w:p>
        </w:tc>
        <w:tc>
          <w:tcPr>
            <w:tcW w:w="1559" w:type="dxa"/>
            <w:vAlign w:val="center"/>
          </w:tcPr>
          <w:p w14:paraId="389326B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14:paraId="004005A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417" w:type="dxa"/>
            <w:vAlign w:val="center"/>
          </w:tcPr>
          <w:p w14:paraId="3326B29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1F945586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64AC120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TGFB2</w:t>
            </w:r>
          </w:p>
        </w:tc>
        <w:tc>
          <w:tcPr>
            <w:tcW w:w="5245" w:type="dxa"/>
            <w:vAlign w:val="center"/>
          </w:tcPr>
          <w:p w14:paraId="383B65D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CGACATGGATCAGTTCATGC</w:t>
            </w:r>
          </w:p>
          <w:p w14:paraId="59BF9D4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CCTTCACCAAGTTGGAAGC</w:t>
            </w:r>
          </w:p>
        </w:tc>
        <w:tc>
          <w:tcPr>
            <w:tcW w:w="1559" w:type="dxa"/>
            <w:vAlign w:val="center"/>
          </w:tcPr>
          <w:p w14:paraId="2701D6BB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0C979C4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417" w:type="dxa"/>
            <w:vAlign w:val="center"/>
          </w:tcPr>
          <w:p w14:paraId="2F53093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1922FEED" w14:textId="77777777" w:rsidTr="00E16901">
        <w:trPr>
          <w:trHeight w:val="252"/>
          <w:jc w:val="center"/>
        </w:trPr>
        <w:tc>
          <w:tcPr>
            <w:tcW w:w="1271" w:type="dxa"/>
            <w:vAlign w:val="center"/>
          </w:tcPr>
          <w:p w14:paraId="0FC5F3F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PD-L1</w:t>
            </w:r>
          </w:p>
        </w:tc>
        <w:tc>
          <w:tcPr>
            <w:tcW w:w="5245" w:type="dxa"/>
            <w:vAlign w:val="center"/>
          </w:tcPr>
          <w:p w14:paraId="382D332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GTATTATTGGTTACGGGGGAGC</w:t>
            </w:r>
          </w:p>
          <w:p w14:paraId="39114D7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TGTGGCATTGACCCTGAGAGTGC</w:t>
            </w:r>
          </w:p>
        </w:tc>
        <w:tc>
          <w:tcPr>
            <w:tcW w:w="1559" w:type="dxa"/>
            <w:vAlign w:val="center"/>
          </w:tcPr>
          <w:p w14:paraId="67D6B62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14:paraId="331819F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417" w:type="dxa"/>
            <w:vAlign w:val="center"/>
          </w:tcPr>
          <w:p w14:paraId="3EA9F4D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0F5DF3B0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3BDDF363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STAT3</w:t>
            </w:r>
          </w:p>
        </w:tc>
        <w:tc>
          <w:tcPr>
            <w:tcW w:w="5245" w:type="dxa"/>
            <w:vAlign w:val="center"/>
          </w:tcPr>
          <w:p w14:paraId="4CCEFEE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CAACTACAAGACCCTGAAAAGTCAAGGAGA</w:t>
            </w:r>
          </w:p>
          <w:p w14:paraId="3C15808B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AGCATCTGTTCCTAGCTGCTGCATCTT</w:t>
            </w:r>
          </w:p>
        </w:tc>
        <w:tc>
          <w:tcPr>
            <w:tcW w:w="1559" w:type="dxa"/>
            <w:vAlign w:val="center"/>
          </w:tcPr>
          <w:p w14:paraId="1FF116C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7F04D38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77338ABA" w14:textId="3AAAFCD0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Murchison et al. Science (2010)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[2]</w:t>
            </w:r>
          </w:p>
        </w:tc>
      </w:tr>
      <w:tr w:rsidR="00342147" w:rsidRPr="00342147" w14:paraId="5CDCEAFF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02FA3BC4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IL1R1</w:t>
            </w:r>
          </w:p>
        </w:tc>
        <w:tc>
          <w:tcPr>
            <w:tcW w:w="5245" w:type="dxa"/>
            <w:vAlign w:val="center"/>
          </w:tcPr>
          <w:p w14:paraId="54D3783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TTGCTGTTCGTCACAGTAGC</w:t>
            </w:r>
          </w:p>
          <w:p w14:paraId="4FB8922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ATTGCCAAGGAGAGGTTTGC</w:t>
            </w:r>
          </w:p>
        </w:tc>
        <w:tc>
          <w:tcPr>
            <w:tcW w:w="1559" w:type="dxa"/>
            <w:vAlign w:val="center"/>
          </w:tcPr>
          <w:p w14:paraId="76CCCD44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29EBB2C0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417" w:type="dxa"/>
            <w:vAlign w:val="center"/>
          </w:tcPr>
          <w:p w14:paraId="52352BC4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</w:tr>
      <w:tr w:rsidR="00342147" w:rsidRPr="00342147" w14:paraId="5A2C6E53" w14:textId="77777777" w:rsidTr="00E16901">
        <w:trPr>
          <w:trHeight w:val="1318"/>
          <w:jc w:val="center"/>
        </w:trPr>
        <w:tc>
          <w:tcPr>
            <w:tcW w:w="1271" w:type="dxa"/>
            <w:vAlign w:val="center"/>
          </w:tcPr>
          <w:p w14:paraId="2D85F2D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Classical MHC class I heavy chains (Saha-UA/UB/UC, UABC)</w:t>
            </w:r>
          </w:p>
        </w:tc>
        <w:tc>
          <w:tcPr>
            <w:tcW w:w="5245" w:type="dxa"/>
            <w:vAlign w:val="center"/>
          </w:tcPr>
          <w:p w14:paraId="06C24F1E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CCGTGGGCTACGTGGACGA</w:t>
            </w:r>
          </w:p>
          <w:p w14:paraId="6761F50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GTCGTAGGCGAACTGAAG</w:t>
            </w:r>
          </w:p>
          <w:p w14:paraId="34022A8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25F866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15B730DB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2FDA0632" w14:textId="0B40B8B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Caldwell et al. (2018)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[3]</w:t>
            </w:r>
          </w:p>
        </w:tc>
      </w:tr>
      <w:tr w:rsidR="00342147" w:rsidRPr="00342147" w14:paraId="20353D97" w14:textId="77777777" w:rsidTr="00E16901">
        <w:trPr>
          <w:trHeight w:val="1355"/>
          <w:jc w:val="center"/>
        </w:trPr>
        <w:tc>
          <w:tcPr>
            <w:tcW w:w="1271" w:type="dxa"/>
            <w:vAlign w:val="center"/>
          </w:tcPr>
          <w:p w14:paraId="628CCB35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 xml:space="preserve">Non-Classical MHC class I heavy </w:t>
            </w:r>
            <w:r w:rsidRPr="00342147">
              <w:rPr>
                <w:rFonts w:ascii="Arial" w:hAnsi="Arial" w:cs="Arial"/>
                <w:sz w:val="24"/>
                <w:szCs w:val="24"/>
              </w:rPr>
              <w:lastRenderedPageBreak/>
              <w:t>chain Saha-UK (UK)</w:t>
            </w:r>
          </w:p>
        </w:tc>
        <w:tc>
          <w:tcPr>
            <w:tcW w:w="5245" w:type="dxa"/>
            <w:vAlign w:val="center"/>
          </w:tcPr>
          <w:p w14:paraId="4E5CA19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lastRenderedPageBreak/>
              <w:t>F - TGGTTGGACAAGAGTAA</w:t>
            </w:r>
          </w:p>
          <w:p w14:paraId="52B123C8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CCTCAGGAAGATCCAGTCGTAAGTC</w:t>
            </w:r>
          </w:p>
        </w:tc>
        <w:tc>
          <w:tcPr>
            <w:tcW w:w="1559" w:type="dxa"/>
            <w:vAlign w:val="center"/>
          </w:tcPr>
          <w:p w14:paraId="70B69362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27410DB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vAlign w:val="center"/>
          </w:tcPr>
          <w:p w14:paraId="05B8DE4F" w14:textId="57F95BD8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Caldwell et al. (2018)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[3]</w:t>
            </w:r>
          </w:p>
        </w:tc>
      </w:tr>
      <w:tr w:rsidR="00342147" w:rsidRPr="00342147" w14:paraId="4BBDB69C" w14:textId="77777777" w:rsidTr="00E16901">
        <w:trPr>
          <w:trHeight w:val="1340"/>
          <w:jc w:val="center"/>
        </w:trPr>
        <w:tc>
          <w:tcPr>
            <w:tcW w:w="1271" w:type="dxa"/>
            <w:vAlign w:val="center"/>
          </w:tcPr>
          <w:p w14:paraId="51F7A3A2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Non-Classical MHC class I heavy chain Saha-UD (UD)</w:t>
            </w:r>
          </w:p>
        </w:tc>
        <w:tc>
          <w:tcPr>
            <w:tcW w:w="5245" w:type="dxa"/>
            <w:vAlign w:val="center"/>
          </w:tcPr>
          <w:p w14:paraId="244D68C7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ATGGAGAATGTGGACCGGGAC</w:t>
            </w:r>
          </w:p>
          <w:p w14:paraId="48B9557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TGAGTTCACTGCCTCATTCACT</w:t>
            </w:r>
          </w:p>
        </w:tc>
        <w:tc>
          <w:tcPr>
            <w:tcW w:w="1559" w:type="dxa"/>
            <w:vAlign w:val="center"/>
          </w:tcPr>
          <w:p w14:paraId="091162E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14:paraId="7B0CA84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417" w:type="dxa"/>
            <w:vAlign w:val="center"/>
          </w:tcPr>
          <w:p w14:paraId="2FA0ED56" w14:textId="6E5DC4ED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Caldwell et al. (2018)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[3]</w:t>
            </w:r>
          </w:p>
        </w:tc>
      </w:tr>
      <w:tr w:rsidR="00342147" w:rsidRPr="00342147" w14:paraId="6A3E4725" w14:textId="77777777" w:rsidTr="00E16901">
        <w:trPr>
          <w:trHeight w:val="267"/>
          <w:jc w:val="center"/>
        </w:trPr>
        <w:tc>
          <w:tcPr>
            <w:tcW w:w="1271" w:type="dxa"/>
            <w:vAlign w:val="center"/>
          </w:tcPr>
          <w:p w14:paraId="2C146A49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B</w:t>
            </w:r>
            <w:r w:rsidRPr="00342147">
              <w:rPr>
                <w:rFonts w:ascii="Arial" w:hAnsi="Arial" w:cs="Arial"/>
                <w:sz w:val="24"/>
                <w:szCs w:val="24"/>
                <w:vertAlign w:val="subscript"/>
              </w:rPr>
              <w:t>2-</w:t>
            </w:r>
            <w:r w:rsidRPr="0034214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245" w:type="dxa"/>
            <w:vAlign w:val="center"/>
          </w:tcPr>
          <w:p w14:paraId="263E3CDA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F - TGTGCATCCTTCCCTACCTGGAGG</w:t>
            </w:r>
          </w:p>
          <w:p w14:paraId="3CB131D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R - CATTGTTGAAAGACAGATCGGACCGC</w:t>
            </w:r>
          </w:p>
          <w:p w14:paraId="74D2CDBD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2BBF6C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675B847F" w14:textId="77777777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14:paraId="3CF6FC6A" w14:textId="12BA9B06" w:rsidR="00342147" w:rsidRPr="00342147" w:rsidRDefault="00342147" w:rsidP="00342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47">
              <w:rPr>
                <w:rFonts w:ascii="Arial" w:hAnsi="Arial" w:cs="Arial"/>
                <w:sz w:val="24"/>
                <w:szCs w:val="24"/>
              </w:rPr>
              <w:t>Siddle et al. (2013)</w:t>
            </w:r>
            <w:r w:rsidR="00B50C75">
              <w:rPr>
                <w:rFonts w:ascii="Arial" w:hAnsi="Arial" w:cs="Arial"/>
                <w:sz w:val="24"/>
                <w:szCs w:val="24"/>
              </w:rPr>
              <w:t xml:space="preserve"> [1]</w:t>
            </w:r>
          </w:p>
        </w:tc>
      </w:tr>
    </w:tbl>
    <w:p w14:paraId="660CFA10" w14:textId="57C62F99" w:rsidR="00114489" w:rsidRDefault="00114489"/>
    <w:p w14:paraId="691CE6B5" w14:textId="14CB9DB3" w:rsidR="00B50C75" w:rsidRDefault="00B50C75"/>
    <w:p w14:paraId="626D9DBD" w14:textId="07B4A8DB" w:rsidR="00B50C75" w:rsidRDefault="00B50C75">
      <w:pPr>
        <w:rPr>
          <w:rFonts w:ascii="Arial" w:hAnsi="Arial" w:cs="Arial"/>
          <w:u w:val="single"/>
        </w:rPr>
      </w:pPr>
      <w:r w:rsidRPr="00B50C75">
        <w:rPr>
          <w:rFonts w:ascii="Arial" w:hAnsi="Arial" w:cs="Arial"/>
          <w:u w:val="single"/>
        </w:rPr>
        <w:t>References</w:t>
      </w:r>
    </w:p>
    <w:p w14:paraId="38BE7B80" w14:textId="77777777" w:rsidR="00B50C75" w:rsidRDefault="00B50C75">
      <w:pPr>
        <w:rPr>
          <w:rFonts w:ascii="Arial" w:hAnsi="Arial" w:cs="Arial"/>
          <w:u w:val="single"/>
        </w:rPr>
      </w:pPr>
    </w:p>
    <w:p w14:paraId="5677A46D" w14:textId="536309AD" w:rsidR="00B50C75" w:rsidRDefault="00B50C75" w:rsidP="00B50C75">
      <w:pPr>
        <w:pStyle w:val="ListParagraph"/>
        <w:numPr>
          <w:ilvl w:val="0"/>
          <w:numId w:val="1"/>
        </w:numPr>
        <w:rPr>
          <w:rFonts w:ascii="Arial" w:hAnsi="Arial" w:cs="Arial"/>
          <w:noProof/>
          <w:szCs w:val="24"/>
        </w:rPr>
      </w:pPr>
      <w:r w:rsidRPr="00B50C75">
        <w:rPr>
          <w:rFonts w:ascii="Arial" w:hAnsi="Arial" w:cs="Arial"/>
          <w:noProof/>
          <w:szCs w:val="24"/>
        </w:rPr>
        <w:t>Siddle H V, Kreiss A, Tovar C, Yuen CK, Cheng Y, Belov K, et al. Reversible epigenetic down-regulation of MHC molecules by devil facial tumour disease illustrates immune escape by a contagious cancer. Proc Natl Acad Sci. 2013;110: 5103–5108. doi:10.1073/pnas.1219920110</w:t>
      </w:r>
    </w:p>
    <w:p w14:paraId="1977102F" w14:textId="77777777" w:rsidR="00B50C75" w:rsidRDefault="00B50C75" w:rsidP="00B50C75">
      <w:pPr>
        <w:pStyle w:val="ListParagraph"/>
        <w:ind w:left="780"/>
        <w:rPr>
          <w:rFonts w:ascii="Arial" w:hAnsi="Arial" w:cs="Arial"/>
          <w:noProof/>
          <w:szCs w:val="24"/>
        </w:rPr>
      </w:pPr>
    </w:p>
    <w:p w14:paraId="2BEB2387" w14:textId="4C9851E2" w:rsidR="00B50C75" w:rsidRDefault="00B50C75" w:rsidP="00B50C75">
      <w:pPr>
        <w:pStyle w:val="ListParagraph"/>
        <w:numPr>
          <w:ilvl w:val="0"/>
          <w:numId w:val="1"/>
        </w:numPr>
        <w:rPr>
          <w:rFonts w:ascii="Arial" w:hAnsi="Arial" w:cs="Arial"/>
          <w:noProof/>
          <w:szCs w:val="24"/>
        </w:rPr>
      </w:pPr>
      <w:r w:rsidRPr="0047760A">
        <w:rPr>
          <w:rFonts w:ascii="Arial" w:hAnsi="Arial" w:cs="Arial"/>
          <w:noProof/>
          <w:szCs w:val="24"/>
        </w:rPr>
        <w:t>Murchison EP, Tovar C, Hsu A, Bender HS, Kheradpour P, Rebbeck CA, et al. The Tasmanian devil transcriptome reveals Schwann cell origins of a clonally transmissible cancer. Science (80- ). 2010/01/02. 2010;327: 84–87. doi:10.1126/science.1180616</w:t>
      </w:r>
    </w:p>
    <w:p w14:paraId="0A8A264B" w14:textId="77777777" w:rsidR="00B50C75" w:rsidRDefault="00B50C75" w:rsidP="00B50C75">
      <w:pPr>
        <w:pStyle w:val="ListParagraph"/>
        <w:ind w:left="780"/>
        <w:rPr>
          <w:rFonts w:ascii="Arial" w:hAnsi="Arial" w:cs="Arial"/>
          <w:noProof/>
          <w:szCs w:val="24"/>
        </w:rPr>
      </w:pPr>
    </w:p>
    <w:p w14:paraId="7E302ABB" w14:textId="0297B9D0" w:rsidR="00B50C75" w:rsidRPr="00B50C75" w:rsidRDefault="00B50C75" w:rsidP="00B50C75">
      <w:pPr>
        <w:pStyle w:val="ListParagraph"/>
        <w:numPr>
          <w:ilvl w:val="0"/>
          <w:numId w:val="1"/>
        </w:numPr>
        <w:rPr>
          <w:rFonts w:ascii="Arial" w:hAnsi="Arial" w:cs="Arial"/>
          <w:noProof/>
          <w:szCs w:val="24"/>
        </w:rPr>
      </w:pPr>
      <w:r w:rsidRPr="0047760A">
        <w:rPr>
          <w:rFonts w:ascii="Arial" w:hAnsi="Arial" w:cs="Arial"/>
          <w:noProof/>
          <w:szCs w:val="24"/>
        </w:rPr>
        <w:t>Caldwell A, Coleby R, Tovar C, Stammnitz MR, Kwon YM, Owen RS, et al. The newly-arisen Devil facial tumour disease 2 (DFT2) reveals a mechanism for the emergence of a contagious cancer. Elife. 2018;7: e35314. doi:10.7554/eLife.35314</w:t>
      </w:r>
    </w:p>
    <w:sectPr w:rsidR="00B50C75" w:rsidRPr="00B50C75" w:rsidSect="00342147">
      <w:pgSz w:w="11906" w:h="16838"/>
      <w:pgMar w:top="720" w:right="720" w:bottom="720" w:left="72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4FB"/>
    <w:multiLevelType w:val="hybridMultilevel"/>
    <w:tmpl w:val="6D9ED8C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81"/>
    <w:rsid w:val="000A7081"/>
    <w:rsid w:val="00114489"/>
    <w:rsid w:val="001A08E5"/>
    <w:rsid w:val="001E42FA"/>
    <w:rsid w:val="0023371D"/>
    <w:rsid w:val="002C1AB2"/>
    <w:rsid w:val="00342147"/>
    <w:rsid w:val="00474DE9"/>
    <w:rsid w:val="00636D7B"/>
    <w:rsid w:val="007A3849"/>
    <w:rsid w:val="008D0D76"/>
    <w:rsid w:val="00B50C75"/>
    <w:rsid w:val="00BC6ED2"/>
    <w:rsid w:val="00E16901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47C7"/>
  <w15:chartTrackingRefBased/>
  <w15:docId w15:val="{BB970706-CB9C-4CCE-B1D5-1B33C93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47"/>
    <w:pPr>
      <w:spacing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1E42FA"/>
    <w:pPr>
      <w:keepNext/>
      <w:keepLines/>
      <w:spacing w:before="240" w:after="0"/>
      <w:outlineLvl w:val="0"/>
    </w:pPr>
    <w:rPr>
      <w:rFonts w:eastAsiaTheme="majorEastAsi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2FA"/>
    <w:rPr>
      <w:rFonts w:eastAsiaTheme="majorEastAsia"/>
      <w:b/>
      <w:sz w:val="36"/>
    </w:rPr>
  </w:style>
  <w:style w:type="table" w:styleId="TableGrid">
    <w:name w:val="Table Grid"/>
    <w:basedOn w:val="TableNormal"/>
    <w:uiPriority w:val="39"/>
    <w:rsid w:val="000A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Owen</dc:creator>
  <cp:keywords/>
  <dc:description/>
  <cp:lastModifiedBy>Rachel Owen</cp:lastModifiedBy>
  <cp:revision>2</cp:revision>
  <dcterms:created xsi:type="dcterms:W3CDTF">2021-10-19T15:46:00Z</dcterms:created>
  <dcterms:modified xsi:type="dcterms:W3CDTF">2021-10-19T15:46:00Z</dcterms:modified>
</cp:coreProperties>
</file>