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C0F7F" w14:textId="77777777" w:rsidR="007A34DE" w:rsidRDefault="007A34DE" w:rsidP="00561B9A">
      <w:pPr>
        <w:jc w:val="center"/>
      </w:pPr>
      <w:bookmarkStart w:id="0" w:name="_GoBack"/>
      <w:bookmarkEnd w:id="0"/>
    </w:p>
    <w:p w14:paraId="16DB5C3F" w14:textId="77777777" w:rsidR="00996312" w:rsidRPr="008F2940" w:rsidRDefault="00996312" w:rsidP="00996312">
      <w:pPr>
        <w:rPr>
          <w:szCs w:val="24"/>
        </w:rPr>
      </w:pPr>
    </w:p>
    <w:p w14:paraId="786E9FF2" w14:textId="77777777" w:rsidR="004B5583" w:rsidRDefault="004B5583">
      <w:pPr>
        <w:rPr>
          <w:b/>
          <w:szCs w:val="24"/>
          <w:u w:val="single"/>
        </w:rPr>
      </w:pPr>
    </w:p>
    <w:p w14:paraId="46FAF68F" w14:textId="77777777" w:rsidR="00F95A78" w:rsidRDefault="00F95A78">
      <w:pPr>
        <w:rPr>
          <w:b/>
          <w:szCs w:val="24"/>
          <w:u w:val="single"/>
        </w:rPr>
      </w:pPr>
    </w:p>
    <w:p w14:paraId="24D1984E" w14:textId="77777777" w:rsidR="00F95A78" w:rsidRPr="00315014" w:rsidRDefault="00F95A78" w:rsidP="00F95A78">
      <w:pPr>
        <w:jc w:val="center"/>
        <w:rPr>
          <w:b/>
          <w:szCs w:val="24"/>
        </w:rPr>
      </w:pPr>
      <w:r>
        <w:rPr>
          <w:b/>
          <w:szCs w:val="24"/>
        </w:rPr>
        <w:tab/>
      </w:r>
      <w:r>
        <w:rPr>
          <w:b/>
          <w:szCs w:val="24"/>
        </w:rPr>
        <w:tab/>
      </w:r>
      <w:r>
        <w:rPr>
          <w:b/>
          <w:szCs w:val="24"/>
        </w:rPr>
        <w:tab/>
      </w:r>
      <w:r>
        <w:rPr>
          <w:b/>
          <w:szCs w:val="24"/>
        </w:rPr>
        <w:tab/>
      </w:r>
      <w:r>
        <w:rPr>
          <w:b/>
          <w:szCs w:val="24"/>
        </w:rPr>
        <w:tab/>
        <w:t xml:space="preserve"> </w:t>
      </w:r>
    </w:p>
    <w:p w14:paraId="17CC9F56" w14:textId="77777777" w:rsidR="00F95A78" w:rsidRPr="00315014" w:rsidRDefault="00F95A78" w:rsidP="00F95A78">
      <w:pPr>
        <w:jc w:val="center"/>
        <w:rPr>
          <w:b/>
          <w:szCs w:val="24"/>
        </w:rPr>
      </w:pPr>
    </w:p>
    <w:p w14:paraId="20096629" w14:textId="77777777" w:rsidR="00F95A78" w:rsidRPr="00315014" w:rsidRDefault="00F95A78" w:rsidP="00F95A78">
      <w:pPr>
        <w:jc w:val="center"/>
        <w:rPr>
          <w:b/>
          <w:szCs w:val="24"/>
        </w:rPr>
      </w:pPr>
    </w:p>
    <w:p w14:paraId="23A0E40D" w14:textId="77777777" w:rsidR="00F95A78" w:rsidRPr="00315014" w:rsidRDefault="00F95A78" w:rsidP="00F95A78">
      <w:pPr>
        <w:jc w:val="center"/>
        <w:rPr>
          <w:b/>
          <w:szCs w:val="24"/>
        </w:rPr>
      </w:pPr>
    </w:p>
    <w:p w14:paraId="6E598031" w14:textId="77777777" w:rsidR="00F95A78" w:rsidRPr="00315014" w:rsidRDefault="00F95A78" w:rsidP="00F95A78">
      <w:pPr>
        <w:jc w:val="center"/>
        <w:rPr>
          <w:b/>
          <w:szCs w:val="24"/>
        </w:rPr>
      </w:pPr>
    </w:p>
    <w:p w14:paraId="7A97BDDA" w14:textId="77777777" w:rsidR="00F95A78" w:rsidRPr="00F95A78" w:rsidRDefault="00F95A78" w:rsidP="00F95A78">
      <w:pPr>
        <w:jc w:val="center"/>
        <w:rPr>
          <w:b/>
          <w:szCs w:val="24"/>
        </w:rPr>
      </w:pPr>
      <w:r w:rsidRPr="00F95A78">
        <w:rPr>
          <w:b/>
          <w:szCs w:val="24"/>
        </w:rPr>
        <w:t>A Double-Blind, Placebo-Controlled Study of Brexpiprazole in the Treatment of Borderline Personality Disorder</w:t>
      </w:r>
    </w:p>
    <w:p w14:paraId="2A5B3D52" w14:textId="77777777" w:rsidR="00F95A78" w:rsidRPr="00315014" w:rsidRDefault="00F95A78" w:rsidP="00F95A78">
      <w:pPr>
        <w:jc w:val="center"/>
        <w:rPr>
          <w:szCs w:val="24"/>
        </w:rPr>
      </w:pPr>
    </w:p>
    <w:p w14:paraId="094C46A3" w14:textId="77777777" w:rsidR="00F95A78" w:rsidRPr="0041367C" w:rsidRDefault="00F95A78" w:rsidP="00F95A78">
      <w:pPr>
        <w:spacing w:line="480" w:lineRule="auto"/>
        <w:jc w:val="center"/>
        <w:rPr>
          <w:szCs w:val="24"/>
          <w:vertAlign w:val="superscript"/>
        </w:rPr>
      </w:pPr>
      <w:r w:rsidRPr="0041367C">
        <w:rPr>
          <w:szCs w:val="24"/>
        </w:rPr>
        <w:t>Jon E. Grant</w:t>
      </w:r>
      <w:r w:rsidR="00265592">
        <w:rPr>
          <w:szCs w:val="24"/>
        </w:rPr>
        <w:t xml:space="preserve"> (1)</w:t>
      </w:r>
    </w:p>
    <w:p w14:paraId="4E3E9881" w14:textId="77777777" w:rsidR="00F95A78" w:rsidRDefault="00F95A78" w:rsidP="00F95A78">
      <w:pPr>
        <w:spacing w:line="480" w:lineRule="auto"/>
        <w:jc w:val="center"/>
        <w:rPr>
          <w:szCs w:val="24"/>
          <w:vertAlign w:val="superscript"/>
        </w:rPr>
      </w:pPr>
      <w:r>
        <w:rPr>
          <w:szCs w:val="24"/>
        </w:rPr>
        <w:t>Stephanie Valle</w:t>
      </w:r>
      <w:r w:rsidR="00265592">
        <w:rPr>
          <w:szCs w:val="24"/>
        </w:rPr>
        <w:t xml:space="preserve"> (1)</w:t>
      </w:r>
    </w:p>
    <w:p w14:paraId="526D7D08" w14:textId="77777777" w:rsidR="00F95A78" w:rsidRDefault="00F95A78" w:rsidP="00F95A78">
      <w:pPr>
        <w:spacing w:line="480" w:lineRule="auto"/>
        <w:jc w:val="center"/>
        <w:rPr>
          <w:szCs w:val="24"/>
        </w:rPr>
      </w:pPr>
      <w:r w:rsidRPr="00161A7B">
        <w:rPr>
          <w:szCs w:val="24"/>
        </w:rPr>
        <w:t>Eve Chesivoir</w:t>
      </w:r>
      <w:r w:rsidR="00265592">
        <w:rPr>
          <w:szCs w:val="24"/>
        </w:rPr>
        <w:t xml:space="preserve"> (1)</w:t>
      </w:r>
    </w:p>
    <w:p w14:paraId="4D627286" w14:textId="77777777" w:rsidR="00BD5589" w:rsidRDefault="00BD5589" w:rsidP="00F95A78">
      <w:pPr>
        <w:spacing w:line="480" w:lineRule="auto"/>
        <w:jc w:val="center"/>
        <w:rPr>
          <w:szCs w:val="24"/>
        </w:rPr>
      </w:pPr>
      <w:r>
        <w:rPr>
          <w:szCs w:val="24"/>
        </w:rPr>
        <w:t>Dustin Ehsan</w:t>
      </w:r>
      <w:r w:rsidR="00265592">
        <w:rPr>
          <w:szCs w:val="24"/>
        </w:rPr>
        <w:t xml:space="preserve"> (1)</w:t>
      </w:r>
    </w:p>
    <w:p w14:paraId="54D0579E" w14:textId="77777777" w:rsidR="00F371D3" w:rsidRDefault="00F371D3" w:rsidP="00F95A78">
      <w:pPr>
        <w:spacing w:line="480" w:lineRule="auto"/>
        <w:jc w:val="center"/>
        <w:rPr>
          <w:szCs w:val="24"/>
        </w:rPr>
      </w:pPr>
      <w:r>
        <w:rPr>
          <w:szCs w:val="24"/>
        </w:rPr>
        <w:t>Samuel R. Chamberlain</w:t>
      </w:r>
      <w:r w:rsidR="00265592">
        <w:rPr>
          <w:szCs w:val="24"/>
        </w:rPr>
        <w:t xml:space="preserve"> (2)</w:t>
      </w:r>
    </w:p>
    <w:p w14:paraId="57BE398A" w14:textId="77777777" w:rsidR="00265592" w:rsidRDefault="00265592" w:rsidP="00F95A78">
      <w:pPr>
        <w:spacing w:line="480" w:lineRule="auto"/>
        <w:jc w:val="center"/>
        <w:rPr>
          <w:szCs w:val="24"/>
        </w:rPr>
      </w:pPr>
    </w:p>
    <w:p w14:paraId="37B2479D" w14:textId="77777777" w:rsidR="00265592" w:rsidRPr="00BD5589" w:rsidRDefault="00265592" w:rsidP="00F95A78">
      <w:pPr>
        <w:spacing w:line="480" w:lineRule="auto"/>
        <w:jc w:val="center"/>
        <w:rPr>
          <w:szCs w:val="24"/>
          <w:vertAlign w:val="superscript"/>
        </w:rPr>
      </w:pPr>
    </w:p>
    <w:p w14:paraId="4D721BC4" w14:textId="77777777" w:rsidR="00F95A78" w:rsidRDefault="00265592" w:rsidP="00F95A78">
      <w:pPr>
        <w:spacing w:line="480" w:lineRule="auto"/>
        <w:jc w:val="center"/>
        <w:rPr>
          <w:szCs w:val="24"/>
        </w:rPr>
      </w:pPr>
      <w:r>
        <w:rPr>
          <w:szCs w:val="24"/>
        </w:rPr>
        <w:t xml:space="preserve">(1) </w:t>
      </w:r>
      <w:r w:rsidR="00F95A78" w:rsidRPr="0041367C">
        <w:rPr>
          <w:szCs w:val="24"/>
        </w:rPr>
        <w:t>University of Chicago</w:t>
      </w:r>
      <w:r w:rsidR="00F95A78">
        <w:rPr>
          <w:szCs w:val="24"/>
        </w:rPr>
        <w:t>, Department of Psychiatry and Behavioral Neuroscience, Chicago, IL USA</w:t>
      </w:r>
    </w:p>
    <w:p w14:paraId="2D9FFDDA" w14:textId="77777777" w:rsidR="00F371D3" w:rsidRPr="00F371D3" w:rsidRDefault="00265592" w:rsidP="00F371D3">
      <w:pPr>
        <w:spacing w:line="480" w:lineRule="auto"/>
        <w:jc w:val="center"/>
        <w:rPr>
          <w:szCs w:val="24"/>
        </w:rPr>
      </w:pPr>
      <w:r>
        <w:rPr>
          <w:szCs w:val="24"/>
        </w:rPr>
        <w:t xml:space="preserve">(2) Department of Psychiatry, Faculty of Medicine, </w:t>
      </w:r>
      <w:r w:rsidR="00F371D3" w:rsidRPr="00F371D3">
        <w:rPr>
          <w:szCs w:val="24"/>
        </w:rPr>
        <w:t>University of Southampton</w:t>
      </w:r>
      <w:r>
        <w:rPr>
          <w:szCs w:val="24"/>
        </w:rPr>
        <w:t>, USA; and Southern Health NHS Foundation Trust, Southampton, USA</w:t>
      </w:r>
    </w:p>
    <w:p w14:paraId="6DDA7141" w14:textId="77777777" w:rsidR="00F95A78" w:rsidRPr="0041367C" w:rsidRDefault="00F95A78" w:rsidP="00F95A78">
      <w:pPr>
        <w:spacing w:line="480" w:lineRule="auto"/>
        <w:jc w:val="center"/>
        <w:rPr>
          <w:szCs w:val="24"/>
        </w:rPr>
      </w:pPr>
    </w:p>
    <w:p w14:paraId="7037BB61" w14:textId="77777777" w:rsidR="00F95A78" w:rsidRDefault="00F95A78" w:rsidP="00F95A78">
      <w:pPr>
        <w:rPr>
          <w:szCs w:val="24"/>
        </w:rPr>
      </w:pPr>
      <w:r w:rsidRPr="0041367C">
        <w:rPr>
          <w:b/>
          <w:bCs/>
          <w:szCs w:val="24"/>
        </w:rPr>
        <w:t>Correspondence</w:t>
      </w:r>
      <w:r w:rsidRPr="0041367C">
        <w:rPr>
          <w:szCs w:val="24"/>
        </w:rPr>
        <w:t>: Jon E. Grant, JD, MD, MPH, Department of Psychiatry and Behavioral Neuroscience, University of Chicago, Pritzker School of Medicine, 5841 S. Maryland Avenue, MC-3077, Chicago, IL 60637 USA</w:t>
      </w:r>
      <w:r>
        <w:rPr>
          <w:szCs w:val="24"/>
        </w:rPr>
        <w:t>.</w:t>
      </w:r>
      <w:r w:rsidRPr="0041367C">
        <w:rPr>
          <w:b/>
          <w:bCs/>
          <w:szCs w:val="24"/>
        </w:rPr>
        <w:t xml:space="preserve"> E-MAIL</w:t>
      </w:r>
      <w:r w:rsidRPr="0041367C">
        <w:rPr>
          <w:szCs w:val="24"/>
        </w:rPr>
        <w:t xml:space="preserve">: </w:t>
      </w:r>
      <w:hyperlink r:id="rId8" w:history="1">
        <w:r w:rsidR="002D7034" w:rsidRPr="007F7BD4">
          <w:rPr>
            <w:rStyle w:val="Hyperlink"/>
            <w:szCs w:val="24"/>
          </w:rPr>
          <w:t>jongrant@uchicago.edu</w:t>
        </w:r>
      </w:hyperlink>
    </w:p>
    <w:p w14:paraId="251C6051" w14:textId="77777777" w:rsidR="002D7034" w:rsidRDefault="002D7034" w:rsidP="00F95A78">
      <w:pPr>
        <w:rPr>
          <w:szCs w:val="24"/>
        </w:rPr>
      </w:pPr>
    </w:p>
    <w:p w14:paraId="4CA7C271" w14:textId="77777777" w:rsidR="003C024B" w:rsidRDefault="003C024B" w:rsidP="003C024B">
      <w:pPr>
        <w:spacing w:line="480" w:lineRule="auto"/>
        <w:rPr>
          <w:b/>
          <w:szCs w:val="24"/>
        </w:rPr>
      </w:pPr>
    </w:p>
    <w:p w14:paraId="5ADB39AC" w14:textId="77777777" w:rsidR="003C024B" w:rsidRDefault="003C024B" w:rsidP="003C024B">
      <w:pPr>
        <w:spacing w:line="480" w:lineRule="auto"/>
        <w:rPr>
          <w:b/>
          <w:szCs w:val="24"/>
        </w:rPr>
      </w:pPr>
    </w:p>
    <w:p w14:paraId="6CA58556" w14:textId="77777777" w:rsidR="003C024B" w:rsidRDefault="003C024B" w:rsidP="003C024B">
      <w:pPr>
        <w:rPr>
          <w:szCs w:val="24"/>
        </w:rPr>
      </w:pPr>
    </w:p>
    <w:p w14:paraId="3A9E3779" w14:textId="77777777" w:rsidR="006C0766" w:rsidRDefault="006C0766" w:rsidP="003C024B">
      <w:pPr>
        <w:rPr>
          <w:szCs w:val="24"/>
        </w:rPr>
      </w:pPr>
    </w:p>
    <w:p w14:paraId="11510C77" w14:textId="3ED1F5B2" w:rsidR="00A72DDA" w:rsidRPr="00A72DDA" w:rsidRDefault="00A72DDA" w:rsidP="00A72DDA">
      <w:pPr>
        <w:pStyle w:val="Heading2"/>
        <w:spacing w:line="480" w:lineRule="auto"/>
        <w:rPr>
          <w:bCs/>
          <w:sz w:val="24"/>
          <w:szCs w:val="24"/>
          <w:u w:val="none"/>
        </w:rPr>
      </w:pPr>
      <w:r w:rsidRPr="00A72DDA">
        <w:rPr>
          <w:bCs/>
          <w:sz w:val="24"/>
          <w:szCs w:val="24"/>
          <w:u w:val="none"/>
        </w:rPr>
        <w:lastRenderedPageBreak/>
        <w:t xml:space="preserve">Abstract </w:t>
      </w:r>
    </w:p>
    <w:p w14:paraId="6D57E767" w14:textId="32B32244" w:rsidR="00A72DDA" w:rsidRPr="00A72DDA" w:rsidRDefault="00A72DDA" w:rsidP="00A72DDA">
      <w:pPr>
        <w:spacing w:line="480" w:lineRule="auto"/>
        <w:rPr>
          <w:szCs w:val="24"/>
        </w:rPr>
      </w:pPr>
      <w:r w:rsidRPr="00A72DDA">
        <w:rPr>
          <w:b/>
          <w:bCs/>
          <w:szCs w:val="24"/>
        </w:rPr>
        <w:t xml:space="preserve">Background: </w:t>
      </w:r>
      <w:r w:rsidRPr="00A72DDA">
        <w:rPr>
          <w:szCs w:val="24"/>
        </w:rPr>
        <w:t>B</w:t>
      </w:r>
      <w:r>
        <w:rPr>
          <w:szCs w:val="24"/>
        </w:rPr>
        <w:t>orderline personality disorder</w:t>
      </w:r>
      <w:r w:rsidRPr="00A72DDA">
        <w:rPr>
          <w:szCs w:val="24"/>
        </w:rPr>
        <w:t xml:space="preserve"> (B</w:t>
      </w:r>
      <w:r>
        <w:rPr>
          <w:szCs w:val="24"/>
        </w:rPr>
        <w:t>PD</w:t>
      </w:r>
      <w:r w:rsidRPr="00A72DDA">
        <w:rPr>
          <w:szCs w:val="24"/>
        </w:rPr>
        <w:t xml:space="preserve">) is associated with impaired quality of life and has a number of untoward public health associations. There </w:t>
      </w:r>
      <w:r>
        <w:rPr>
          <w:szCs w:val="24"/>
        </w:rPr>
        <w:t xml:space="preserve">is no </w:t>
      </w:r>
      <w:r w:rsidRPr="00A72DDA">
        <w:rPr>
          <w:szCs w:val="24"/>
        </w:rPr>
        <w:t xml:space="preserve">established </w:t>
      </w:r>
      <w:r>
        <w:rPr>
          <w:szCs w:val="24"/>
        </w:rPr>
        <w:t xml:space="preserve">first-line </w:t>
      </w:r>
      <w:r w:rsidRPr="00A72DDA">
        <w:rPr>
          <w:szCs w:val="24"/>
        </w:rPr>
        <w:t>pharmacological treatment for B</w:t>
      </w:r>
      <w:r>
        <w:rPr>
          <w:szCs w:val="24"/>
        </w:rPr>
        <w:t>PD</w:t>
      </w:r>
      <w:r w:rsidRPr="00A72DDA">
        <w:rPr>
          <w:szCs w:val="24"/>
        </w:rPr>
        <w:t xml:space="preserve">, and available options are not suitable for all individuals. </w:t>
      </w:r>
      <w:r w:rsidR="008C19FA" w:rsidRPr="008C19FA">
        <w:rPr>
          <w:b/>
          <w:szCs w:val="24"/>
        </w:rPr>
        <w:t>Aims:</w:t>
      </w:r>
      <w:r w:rsidR="008C19FA">
        <w:rPr>
          <w:szCs w:val="24"/>
        </w:rPr>
        <w:t xml:space="preserve"> To evaluate </w:t>
      </w:r>
      <w:r>
        <w:rPr>
          <w:szCs w:val="24"/>
        </w:rPr>
        <w:t>Brexpiprazole</w:t>
      </w:r>
      <w:r w:rsidR="008C19FA">
        <w:rPr>
          <w:szCs w:val="24"/>
        </w:rPr>
        <w:t>, which has</w:t>
      </w:r>
      <w:r w:rsidRPr="00A72DDA">
        <w:rPr>
          <w:szCs w:val="24"/>
        </w:rPr>
        <w:t xml:space="preserve"> effects on the </w:t>
      </w:r>
      <w:r>
        <w:rPr>
          <w:szCs w:val="24"/>
        </w:rPr>
        <w:t xml:space="preserve">dopaminergic and </w:t>
      </w:r>
      <w:r w:rsidRPr="00A72DDA">
        <w:rPr>
          <w:szCs w:val="24"/>
        </w:rPr>
        <w:t xml:space="preserve">serotonergic </w:t>
      </w:r>
      <w:r>
        <w:rPr>
          <w:szCs w:val="24"/>
        </w:rPr>
        <w:t>syst</w:t>
      </w:r>
      <w:r w:rsidRPr="00A72DDA">
        <w:rPr>
          <w:szCs w:val="24"/>
        </w:rPr>
        <w:t xml:space="preserve">ems, </w:t>
      </w:r>
      <w:r w:rsidR="008C19FA">
        <w:rPr>
          <w:szCs w:val="24"/>
        </w:rPr>
        <w:t>for the reduction of BPD symptoms</w:t>
      </w:r>
      <w:r w:rsidRPr="00A72DDA">
        <w:rPr>
          <w:szCs w:val="24"/>
        </w:rPr>
        <w:t xml:space="preserve">. </w:t>
      </w:r>
    </w:p>
    <w:p w14:paraId="605540C5" w14:textId="6AC33AB2" w:rsidR="00A72DDA" w:rsidRPr="00A72DDA" w:rsidRDefault="00A72DDA" w:rsidP="00A72DDA">
      <w:pPr>
        <w:spacing w:line="480" w:lineRule="auto"/>
        <w:rPr>
          <w:szCs w:val="24"/>
        </w:rPr>
      </w:pPr>
      <w:r w:rsidRPr="00A72DDA">
        <w:rPr>
          <w:b/>
          <w:bCs/>
          <w:szCs w:val="24"/>
        </w:rPr>
        <w:t xml:space="preserve">Method: </w:t>
      </w:r>
      <w:r w:rsidRPr="00A72DDA">
        <w:rPr>
          <w:szCs w:val="24"/>
        </w:rPr>
        <w:t>Eighty adults with B</w:t>
      </w:r>
      <w:r>
        <w:rPr>
          <w:szCs w:val="24"/>
        </w:rPr>
        <w:t>PD</w:t>
      </w:r>
      <w:r w:rsidRPr="00A72DDA">
        <w:rPr>
          <w:szCs w:val="24"/>
        </w:rPr>
        <w:t xml:space="preserve"> were recruited for a</w:t>
      </w:r>
      <w:r w:rsidR="004F45F0">
        <w:rPr>
          <w:szCs w:val="24"/>
        </w:rPr>
        <w:t xml:space="preserve"> randomized,</w:t>
      </w:r>
      <w:r w:rsidRPr="00A72DDA">
        <w:rPr>
          <w:szCs w:val="24"/>
        </w:rPr>
        <w:t xml:space="preserve"> double-blind, placebo-controlled study. Participants received 12-week treatment with </w:t>
      </w:r>
      <w:r w:rsidR="001A556C">
        <w:rPr>
          <w:szCs w:val="24"/>
        </w:rPr>
        <w:t>brexpiprazole</w:t>
      </w:r>
      <w:r w:rsidRPr="00A72DDA">
        <w:rPr>
          <w:szCs w:val="24"/>
        </w:rPr>
        <w:t xml:space="preserve"> (1 mg/day f</w:t>
      </w:r>
      <w:r>
        <w:rPr>
          <w:szCs w:val="24"/>
        </w:rPr>
        <w:t>or 1 week, then increasing to 2</w:t>
      </w:r>
      <w:r w:rsidRPr="00A72DDA">
        <w:rPr>
          <w:szCs w:val="24"/>
        </w:rPr>
        <w:t xml:space="preserve"> mg/day) or placebo in a parallel design. The primary efficacy outcome measure</w:t>
      </w:r>
      <w:r w:rsidR="00A53B29">
        <w:rPr>
          <w:szCs w:val="24"/>
        </w:rPr>
        <w:t xml:space="preserve"> was</w:t>
      </w:r>
      <w:r w:rsidRPr="00A72DDA">
        <w:rPr>
          <w:szCs w:val="24"/>
        </w:rPr>
        <w:t xml:space="preserve"> </w:t>
      </w:r>
      <w:r w:rsidR="00A53B29">
        <w:rPr>
          <w:szCs w:val="24"/>
        </w:rPr>
        <w:t xml:space="preserve">the </w:t>
      </w:r>
      <w:r w:rsidR="00F720EB">
        <w:rPr>
          <w:szCs w:val="24"/>
        </w:rPr>
        <w:t xml:space="preserve">clinician-rated </w:t>
      </w:r>
      <w:r w:rsidR="00A53B29" w:rsidRPr="003E1890">
        <w:t>Zanarini Rating Scale for Borderline Personality Disorder (“Z</w:t>
      </w:r>
      <w:r w:rsidR="00600652">
        <w:t>AN-BPD</w:t>
      </w:r>
      <w:r w:rsidR="00A53B29" w:rsidRPr="003E1890">
        <w:t>”)</w:t>
      </w:r>
      <w:r w:rsidR="00A53B29">
        <w:t>.</w:t>
      </w:r>
      <w:r w:rsidRPr="00A72DDA">
        <w:rPr>
          <w:szCs w:val="24"/>
        </w:rPr>
        <w:t xml:space="preserve"> Safety data were collected. Effects of active versus placebo treatment were characterized using linear repeated measures models. </w:t>
      </w:r>
    </w:p>
    <w:p w14:paraId="41A2A433" w14:textId="6578644D" w:rsidR="00A72DDA" w:rsidRPr="0023771D" w:rsidRDefault="00A72DDA" w:rsidP="00A72DDA">
      <w:pPr>
        <w:spacing w:line="480" w:lineRule="auto"/>
        <w:rPr>
          <w:bCs/>
          <w:szCs w:val="24"/>
        </w:rPr>
      </w:pPr>
      <w:r w:rsidRPr="00A72DDA">
        <w:rPr>
          <w:b/>
          <w:bCs/>
          <w:szCs w:val="24"/>
        </w:rPr>
        <w:t xml:space="preserve">Results: </w:t>
      </w:r>
      <w:r w:rsidR="008300C5">
        <w:rPr>
          <w:bCs/>
          <w:szCs w:val="24"/>
        </w:rPr>
        <w:t>There was a significant interaction between treatment and time on the Z</w:t>
      </w:r>
      <w:r w:rsidR="00654FF2">
        <w:rPr>
          <w:bCs/>
          <w:szCs w:val="24"/>
        </w:rPr>
        <w:t>AN-BPD</w:t>
      </w:r>
      <w:r w:rsidR="008300C5">
        <w:rPr>
          <w:bCs/>
          <w:szCs w:val="24"/>
        </w:rPr>
        <w:t xml:space="preserve"> scale (p=</w:t>
      </w:r>
      <w:r w:rsidR="008300C5" w:rsidRPr="008300C5">
        <w:rPr>
          <w:bCs/>
          <w:szCs w:val="24"/>
        </w:rPr>
        <w:t>0.0031</w:t>
      </w:r>
      <w:r w:rsidR="008300C5">
        <w:rPr>
          <w:bCs/>
          <w:szCs w:val="24"/>
        </w:rPr>
        <w:t xml:space="preserve">), </w:t>
      </w:r>
      <w:r w:rsidR="003E16D2">
        <w:rPr>
          <w:bCs/>
          <w:szCs w:val="24"/>
        </w:rPr>
        <w:t>solely</w:t>
      </w:r>
      <w:r w:rsidR="008300C5">
        <w:rPr>
          <w:bCs/>
          <w:szCs w:val="24"/>
        </w:rPr>
        <w:t xml:space="preserve"> due to differentiation specifically at week 12. Brexpiprazole was generally </w:t>
      </w:r>
      <w:r w:rsidR="0023771D">
        <w:rPr>
          <w:bCs/>
          <w:szCs w:val="24"/>
        </w:rPr>
        <w:t>well tolerated. Secondary measures</w:t>
      </w:r>
      <w:r w:rsidR="00114289">
        <w:rPr>
          <w:bCs/>
          <w:szCs w:val="24"/>
        </w:rPr>
        <w:t xml:space="preserve"> </w:t>
      </w:r>
      <w:r w:rsidR="0023771D">
        <w:rPr>
          <w:bCs/>
          <w:szCs w:val="24"/>
        </w:rPr>
        <w:t>did not result in statistically significant differences from placebo</w:t>
      </w:r>
      <w:r w:rsidR="004F45F0">
        <w:rPr>
          <w:bCs/>
          <w:szCs w:val="24"/>
        </w:rPr>
        <w:t>.</w:t>
      </w:r>
    </w:p>
    <w:p w14:paraId="1782222E" w14:textId="0734714C" w:rsidR="00A72DDA" w:rsidRDefault="00A72DDA" w:rsidP="00A72DDA">
      <w:pPr>
        <w:spacing w:line="480" w:lineRule="auto"/>
        <w:rPr>
          <w:b/>
          <w:bCs/>
          <w:szCs w:val="24"/>
        </w:rPr>
      </w:pPr>
      <w:r w:rsidRPr="00A72DDA">
        <w:rPr>
          <w:b/>
          <w:bCs/>
          <w:szCs w:val="24"/>
        </w:rPr>
        <w:t xml:space="preserve">Discussion: </w:t>
      </w:r>
      <w:r w:rsidR="0023771D" w:rsidRPr="0023771D">
        <w:rPr>
          <w:bCs/>
          <w:szCs w:val="24"/>
        </w:rPr>
        <w:t xml:space="preserve">Brexpiprazole </w:t>
      </w:r>
      <w:r w:rsidR="0023771D">
        <w:rPr>
          <w:bCs/>
          <w:szCs w:val="24"/>
        </w:rPr>
        <w:t>appear</w:t>
      </w:r>
      <w:r w:rsidR="003A528C">
        <w:rPr>
          <w:bCs/>
          <w:szCs w:val="24"/>
        </w:rPr>
        <w:t>s</w:t>
      </w:r>
      <w:r w:rsidR="0023771D">
        <w:rPr>
          <w:bCs/>
          <w:szCs w:val="24"/>
        </w:rPr>
        <w:t xml:space="preserve"> to </w:t>
      </w:r>
      <w:r w:rsidR="003A528C">
        <w:rPr>
          <w:bCs/>
          <w:szCs w:val="24"/>
        </w:rPr>
        <w:t>have some possible effect on</w:t>
      </w:r>
      <w:r w:rsidR="0023771D">
        <w:rPr>
          <w:bCs/>
          <w:szCs w:val="24"/>
        </w:rPr>
        <w:t xml:space="preserve"> BPD symptoms</w:t>
      </w:r>
      <w:r w:rsidR="003A528C">
        <w:rPr>
          <w:bCs/>
          <w:szCs w:val="24"/>
        </w:rPr>
        <w:t xml:space="preserve"> but further studies are needed</w:t>
      </w:r>
      <w:r w:rsidR="005478A9">
        <w:rPr>
          <w:bCs/>
          <w:szCs w:val="24"/>
        </w:rPr>
        <w:t xml:space="preserve"> due to significant effects being evident specifically at the final time point</w:t>
      </w:r>
      <w:r w:rsidR="0023771D">
        <w:rPr>
          <w:bCs/>
          <w:szCs w:val="24"/>
        </w:rPr>
        <w:t xml:space="preserve">. These findings </w:t>
      </w:r>
      <w:r w:rsidR="008300C5">
        <w:rPr>
          <w:bCs/>
          <w:szCs w:val="24"/>
        </w:rPr>
        <w:t xml:space="preserve">also </w:t>
      </w:r>
      <w:r w:rsidR="0023771D">
        <w:rPr>
          <w:bCs/>
          <w:szCs w:val="24"/>
        </w:rPr>
        <w:t>need to be viewed cautiously given the small sample size, large drop-out rate, and robust placebo response.</w:t>
      </w:r>
      <w:r w:rsidR="0023771D">
        <w:rPr>
          <w:b/>
          <w:bCs/>
          <w:szCs w:val="24"/>
        </w:rPr>
        <w:t xml:space="preserve"> </w:t>
      </w:r>
    </w:p>
    <w:p w14:paraId="7665F688" w14:textId="77777777" w:rsidR="00A72DDA" w:rsidRDefault="00A72DDA" w:rsidP="00A72DDA">
      <w:pPr>
        <w:spacing w:line="480" w:lineRule="auto"/>
        <w:rPr>
          <w:b/>
          <w:bCs/>
          <w:szCs w:val="24"/>
        </w:rPr>
      </w:pPr>
    </w:p>
    <w:p w14:paraId="40AFA59C" w14:textId="77777777" w:rsidR="00A72DDA" w:rsidRPr="00A72DDA" w:rsidRDefault="00A72DDA" w:rsidP="00BC537E">
      <w:pPr>
        <w:spacing w:line="480" w:lineRule="auto"/>
        <w:rPr>
          <w:szCs w:val="24"/>
        </w:rPr>
      </w:pPr>
      <w:r w:rsidRPr="00A72DDA">
        <w:rPr>
          <w:b/>
          <w:bCs/>
          <w:szCs w:val="24"/>
        </w:rPr>
        <w:t xml:space="preserve">Keywords: </w:t>
      </w:r>
      <w:r w:rsidR="00A53B29" w:rsidRPr="00A53B29">
        <w:rPr>
          <w:bCs/>
          <w:szCs w:val="24"/>
        </w:rPr>
        <w:t>borderline personality; brexpiprazole; pharmacology;</w:t>
      </w:r>
      <w:r w:rsidR="00A53B29">
        <w:rPr>
          <w:bCs/>
          <w:szCs w:val="24"/>
        </w:rPr>
        <w:t xml:space="preserve"> treatment</w:t>
      </w:r>
    </w:p>
    <w:p w14:paraId="2D712239" w14:textId="77777777" w:rsidR="00A72DDA" w:rsidRDefault="00A72DDA">
      <w:pPr>
        <w:rPr>
          <w:b/>
          <w:szCs w:val="24"/>
          <w:u w:val="single"/>
        </w:rPr>
      </w:pPr>
    </w:p>
    <w:p w14:paraId="683AA24C" w14:textId="77777777" w:rsidR="00C7489D" w:rsidRDefault="00C7489D">
      <w:pPr>
        <w:rPr>
          <w:b/>
          <w:szCs w:val="24"/>
          <w:u w:val="single"/>
        </w:rPr>
      </w:pPr>
    </w:p>
    <w:p w14:paraId="2C71234A" w14:textId="5A250629" w:rsidR="0031497B" w:rsidRPr="004B3FD0" w:rsidRDefault="004B3FD0">
      <w:pPr>
        <w:rPr>
          <w:b/>
          <w:szCs w:val="24"/>
        </w:rPr>
      </w:pPr>
      <w:r w:rsidRPr="004B3FD0">
        <w:rPr>
          <w:b/>
          <w:szCs w:val="24"/>
        </w:rPr>
        <w:t xml:space="preserve">Clinical Trials ID: </w:t>
      </w:r>
      <w:hyperlink r:id="rId9" w:tooltip="Current version of study NCT03418675 on ClinicalTrials.gov" w:history="1">
        <w:r w:rsidRPr="004B3FD0">
          <w:t>NCT03418675</w:t>
        </w:r>
      </w:hyperlink>
      <w:r w:rsidRPr="004B3FD0">
        <w:t xml:space="preserve">  </w:t>
      </w:r>
      <w:r w:rsidR="0031497B" w:rsidRPr="004B3FD0">
        <w:rPr>
          <w:b/>
          <w:szCs w:val="24"/>
        </w:rPr>
        <w:br w:type="page"/>
      </w:r>
    </w:p>
    <w:p w14:paraId="063237E5" w14:textId="77777777" w:rsidR="000552A7" w:rsidRPr="00587178" w:rsidRDefault="00BB79D9" w:rsidP="00D15CF2">
      <w:pPr>
        <w:autoSpaceDE w:val="0"/>
        <w:autoSpaceDN w:val="0"/>
        <w:adjustRightInd w:val="0"/>
        <w:spacing w:line="480" w:lineRule="auto"/>
        <w:rPr>
          <w:b/>
          <w:szCs w:val="24"/>
        </w:rPr>
      </w:pPr>
      <w:r w:rsidRPr="00587178">
        <w:rPr>
          <w:b/>
          <w:szCs w:val="24"/>
        </w:rPr>
        <w:lastRenderedPageBreak/>
        <w:t>Introduction</w:t>
      </w:r>
    </w:p>
    <w:p w14:paraId="4F9708E2" w14:textId="411B5F7D" w:rsidR="00BB79D9" w:rsidRPr="00B02C1C" w:rsidRDefault="007B5A6C" w:rsidP="00E76FC0">
      <w:pPr>
        <w:autoSpaceDE w:val="0"/>
        <w:autoSpaceDN w:val="0"/>
        <w:adjustRightInd w:val="0"/>
        <w:spacing w:line="480" w:lineRule="auto"/>
        <w:ind w:firstLine="720"/>
        <w:rPr>
          <w:rFonts w:eastAsia="MS Mincho"/>
          <w:szCs w:val="24"/>
          <w:lang w:eastAsia="ja-JP"/>
        </w:rPr>
      </w:pPr>
      <w:r w:rsidRPr="007B5A6C">
        <w:rPr>
          <w:rFonts w:eastAsia="MS Mincho"/>
          <w:szCs w:val="24"/>
          <w:lang w:eastAsia="ja-JP"/>
        </w:rPr>
        <w:t xml:space="preserve">Borderline personality disorder </w:t>
      </w:r>
      <w:r w:rsidR="00BB79D9">
        <w:rPr>
          <w:rFonts w:eastAsia="MS Mincho"/>
          <w:szCs w:val="24"/>
          <w:lang w:eastAsia="ja-JP"/>
        </w:rPr>
        <w:t xml:space="preserve">(BPD) </w:t>
      </w:r>
      <w:r w:rsidRPr="007B5A6C">
        <w:rPr>
          <w:rFonts w:eastAsia="MS Mincho"/>
          <w:szCs w:val="24"/>
          <w:lang w:eastAsia="ja-JP"/>
        </w:rPr>
        <w:t xml:space="preserve">is </w:t>
      </w:r>
      <w:r w:rsidR="00844CEF">
        <w:rPr>
          <w:rFonts w:eastAsia="MS Mincho"/>
          <w:szCs w:val="24"/>
          <w:lang w:eastAsia="ja-JP"/>
        </w:rPr>
        <w:t xml:space="preserve">a </w:t>
      </w:r>
      <w:r w:rsidR="00E85F0E">
        <w:rPr>
          <w:rFonts w:eastAsia="MS Mincho"/>
          <w:szCs w:val="24"/>
          <w:lang w:eastAsia="ja-JP"/>
        </w:rPr>
        <w:t xml:space="preserve">serious, difficult to treat, </w:t>
      </w:r>
      <w:r w:rsidR="00BD5589">
        <w:rPr>
          <w:rFonts w:eastAsia="MS Mincho"/>
          <w:szCs w:val="24"/>
          <w:lang w:eastAsia="ja-JP"/>
        </w:rPr>
        <w:t>psychiatric disorder</w:t>
      </w:r>
      <w:r w:rsidR="00E85F0E">
        <w:rPr>
          <w:rFonts w:eastAsia="MS Mincho"/>
          <w:szCs w:val="24"/>
          <w:lang w:eastAsia="ja-JP"/>
        </w:rPr>
        <w:t xml:space="preserve"> that causes significant emotional distress, as well as </w:t>
      </w:r>
      <w:r w:rsidR="0088234C">
        <w:rPr>
          <w:rFonts w:eastAsia="MS Mincho"/>
          <w:szCs w:val="24"/>
          <w:lang w:eastAsia="ja-JP"/>
        </w:rPr>
        <w:t>resulting in</w:t>
      </w:r>
      <w:r w:rsidR="00E85F0E">
        <w:rPr>
          <w:rFonts w:eastAsia="MS Mincho"/>
          <w:szCs w:val="24"/>
          <w:lang w:eastAsia="ja-JP"/>
        </w:rPr>
        <w:t xml:space="preserve"> significant economic burden to health care systems </w:t>
      </w:r>
      <w:r w:rsidRPr="007B5A6C">
        <w:rPr>
          <w:rFonts w:eastAsia="MS Mincho"/>
          <w:szCs w:val="24"/>
          <w:lang w:eastAsia="ja-JP"/>
        </w:rPr>
        <w:t>(1–3). A variety of psychotherapies</w:t>
      </w:r>
      <w:r w:rsidR="00BB79D9">
        <w:rPr>
          <w:rFonts w:eastAsia="MS Mincho"/>
          <w:szCs w:val="24"/>
          <w:lang w:eastAsia="ja-JP"/>
        </w:rPr>
        <w:t xml:space="preserve">, </w:t>
      </w:r>
      <w:r w:rsidR="00F720EB">
        <w:rPr>
          <w:rFonts w:eastAsia="MS Mincho"/>
          <w:szCs w:val="24"/>
          <w:lang w:eastAsia="ja-JP"/>
        </w:rPr>
        <w:t>such as</w:t>
      </w:r>
      <w:r w:rsidR="00BB79D9">
        <w:rPr>
          <w:rFonts w:eastAsia="MS Mincho"/>
          <w:szCs w:val="24"/>
          <w:lang w:eastAsia="ja-JP"/>
        </w:rPr>
        <w:t xml:space="preserve"> </w:t>
      </w:r>
      <w:r w:rsidR="00C107C4">
        <w:rPr>
          <w:rFonts w:eastAsia="MS Mincho"/>
          <w:szCs w:val="24"/>
          <w:lang w:eastAsia="ja-JP"/>
        </w:rPr>
        <w:t>dialectical behavior therapy</w:t>
      </w:r>
      <w:r w:rsidR="00C107C4" w:rsidRPr="00C107C4">
        <w:t xml:space="preserve"> </w:t>
      </w:r>
      <w:r w:rsidR="00C107C4">
        <w:t>(DBT)</w:t>
      </w:r>
      <w:r w:rsidR="00F720EB">
        <w:t>,</w:t>
      </w:r>
      <w:r w:rsidR="00F720EB" w:rsidRPr="00F720EB">
        <w:t xml:space="preserve"> </w:t>
      </w:r>
      <w:r w:rsidR="00F720EB">
        <w:t>mentali</w:t>
      </w:r>
      <w:r w:rsidR="00D965A9">
        <w:t>z</w:t>
      </w:r>
      <w:r w:rsidR="00F720EB">
        <w:t>ation-based treatment (MBT),</w:t>
      </w:r>
      <w:r w:rsidR="00D965A9">
        <w:t xml:space="preserve"> </w:t>
      </w:r>
      <w:r w:rsidR="00F720EB">
        <w:t>and</w:t>
      </w:r>
      <w:r w:rsidR="00C107C4">
        <w:t xml:space="preserve"> systems training for emotional predictability and problem solving (STEPPS)</w:t>
      </w:r>
      <w:r w:rsidR="00910C90">
        <w:t>,</w:t>
      </w:r>
      <w:r w:rsidR="00F720EB">
        <w:t xml:space="preserve"> to name just a few</w:t>
      </w:r>
      <w:r w:rsidR="00C107C4">
        <w:rPr>
          <w:rFonts w:eastAsia="MS Mincho"/>
          <w:szCs w:val="24"/>
          <w:lang w:eastAsia="ja-JP"/>
        </w:rPr>
        <w:t>,</w:t>
      </w:r>
      <w:r>
        <w:rPr>
          <w:rFonts w:eastAsia="MS Mincho"/>
          <w:szCs w:val="24"/>
          <w:lang w:eastAsia="ja-JP"/>
        </w:rPr>
        <w:t xml:space="preserve"> </w:t>
      </w:r>
      <w:r w:rsidRPr="007B5A6C">
        <w:rPr>
          <w:rFonts w:eastAsia="MS Mincho"/>
          <w:szCs w:val="24"/>
          <w:lang w:eastAsia="ja-JP"/>
        </w:rPr>
        <w:t xml:space="preserve">have </w:t>
      </w:r>
      <w:r w:rsidR="00C107C4">
        <w:rPr>
          <w:rFonts w:eastAsia="MS Mincho"/>
          <w:szCs w:val="24"/>
          <w:lang w:eastAsia="ja-JP"/>
        </w:rPr>
        <w:t>shown benefit in reducing many of the core symptoms of BPD</w:t>
      </w:r>
      <w:r w:rsidRPr="007B5A6C">
        <w:rPr>
          <w:rFonts w:eastAsia="MS Mincho"/>
          <w:szCs w:val="24"/>
          <w:lang w:eastAsia="ja-JP"/>
        </w:rPr>
        <w:t xml:space="preserve"> (4–6)</w:t>
      </w:r>
      <w:r w:rsidR="00C107C4">
        <w:rPr>
          <w:rFonts w:eastAsia="MS Mincho"/>
          <w:szCs w:val="24"/>
          <w:lang w:eastAsia="ja-JP"/>
        </w:rPr>
        <w:t xml:space="preserve">. </w:t>
      </w:r>
      <w:r w:rsidR="00BD5589">
        <w:rPr>
          <w:rFonts w:eastAsia="MS Mincho"/>
          <w:szCs w:val="24"/>
          <w:lang w:eastAsia="ja-JP"/>
        </w:rPr>
        <w:t xml:space="preserve"> Healthcare systems, however, often lack the funding </w:t>
      </w:r>
      <w:r w:rsidR="005362EE">
        <w:rPr>
          <w:rFonts w:eastAsia="MS Mincho"/>
          <w:szCs w:val="24"/>
          <w:lang w:eastAsia="ja-JP"/>
        </w:rPr>
        <w:t xml:space="preserve">and appropriate expertise </w:t>
      </w:r>
      <w:r w:rsidR="00BD5589">
        <w:rPr>
          <w:rFonts w:eastAsia="MS Mincho"/>
          <w:szCs w:val="24"/>
          <w:lang w:eastAsia="ja-JP"/>
        </w:rPr>
        <w:t xml:space="preserve">to implement these treatments, and </w:t>
      </w:r>
      <w:r w:rsidR="0088234C">
        <w:rPr>
          <w:rFonts w:eastAsia="MS Mincho"/>
          <w:szCs w:val="24"/>
          <w:lang w:eastAsia="ja-JP"/>
        </w:rPr>
        <w:t>f</w:t>
      </w:r>
      <w:r w:rsidR="00C107C4">
        <w:rPr>
          <w:rFonts w:eastAsia="MS Mincho"/>
          <w:szCs w:val="24"/>
          <w:lang w:eastAsia="ja-JP"/>
        </w:rPr>
        <w:t>inding trained therapists</w:t>
      </w:r>
      <w:r w:rsidR="0088234C">
        <w:rPr>
          <w:rFonts w:eastAsia="MS Mincho"/>
          <w:szCs w:val="24"/>
          <w:lang w:eastAsia="ja-JP"/>
        </w:rPr>
        <w:t xml:space="preserve"> </w:t>
      </w:r>
      <w:r w:rsidR="00BD5589">
        <w:rPr>
          <w:rFonts w:eastAsia="MS Mincho"/>
          <w:szCs w:val="24"/>
          <w:lang w:eastAsia="ja-JP"/>
        </w:rPr>
        <w:t>has been difficult</w:t>
      </w:r>
      <w:r w:rsidR="0088234C">
        <w:rPr>
          <w:rFonts w:eastAsia="MS Mincho"/>
          <w:szCs w:val="24"/>
          <w:lang w:eastAsia="ja-JP"/>
        </w:rPr>
        <w:t xml:space="preserve"> for many </w:t>
      </w:r>
      <w:r w:rsidR="00BD5589">
        <w:rPr>
          <w:rFonts w:eastAsia="MS Mincho"/>
          <w:szCs w:val="24"/>
          <w:lang w:eastAsia="ja-JP"/>
        </w:rPr>
        <w:t>people with BPD</w:t>
      </w:r>
      <w:r w:rsidR="00C107C4">
        <w:rPr>
          <w:rFonts w:eastAsia="MS Mincho"/>
          <w:szCs w:val="24"/>
          <w:lang w:eastAsia="ja-JP"/>
        </w:rPr>
        <w:t xml:space="preserve"> (7-8). W</w:t>
      </w:r>
      <w:r w:rsidRPr="007B5A6C">
        <w:rPr>
          <w:rFonts w:eastAsia="MS Mincho"/>
          <w:szCs w:val="24"/>
          <w:lang w:eastAsia="ja-JP"/>
        </w:rPr>
        <w:t>hile research on the use</w:t>
      </w:r>
      <w:r>
        <w:rPr>
          <w:rFonts w:eastAsia="MS Mincho"/>
          <w:szCs w:val="24"/>
          <w:lang w:eastAsia="ja-JP"/>
        </w:rPr>
        <w:t xml:space="preserve"> </w:t>
      </w:r>
      <w:r w:rsidRPr="007B5A6C">
        <w:rPr>
          <w:rFonts w:eastAsia="MS Mincho"/>
          <w:szCs w:val="24"/>
          <w:lang w:eastAsia="ja-JP"/>
        </w:rPr>
        <w:t xml:space="preserve">of medication is ongoing, no drug has </w:t>
      </w:r>
      <w:r w:rsidR="00BD5589">
        <w:rPr>
          <w:rFonts w:eastAsia="MS Mincho"/>
          <w:szCs w:val="24"/>
          <w:lang w:eastAsia="ja-JP"/>
        </w:rPr>
        <w:t xml:space="preserve">yet </w:t>
      </w:r>
      <w:r w:rsidRPr="007B5A6C">
        <w:rPr>
          <w:rFonts w:eastAsia="MS Mincho"/>
          <w:szCs w:val="24"/>
          <w:lang w:eastAsia="ja-JP"/>
        </w:rPr>
        <w:t>been approved in</w:t>
      </w:r>
      <w:r>
        <w:rPr>
          <w:rFonts w:eastAsia="MS Mincho"/>
          <w:szCs w:val="24"/>
          <w:lang w:eastAsia="ja-JP"/>
        </w:rPr>
        <w:t xml:space="preserve"> </w:t>
      </w:r>
      <w:r w:rsidRPr="007B5A6C">
        <w:rPr>
          <w:rFonts w:eastAsia="MS Mincho"/>
          <w:szCs w:val="24"/>
          <w:lang w:eastAsia="ja-JP"/>
        </w:rPr>
        <w:t xml:space="preserve">the United States or elsewhere for </w:t>
      </w:r>
      <w:r w:rsidR="00BB79D9">
        <w:rPr>
          <w:rFonts w:eastAsia="MS Mincho"/>
          <w:szCs w:val="24"/>
          <w:lang w:eastAsia="ja-JP"/>
        </w:rPr>
        <w:t>the</w:t>
      </w:r>
      <w:r w:rsidRPr="007B5A6C">
        <w:rPr>
          <w:rFonts w:eastAsia="MS Mincho"/>
          <w:szCs w:val="24"/>
          <w:lang w:eastAsia="ja-JP"/>
        </w:rPr>
        <w:t xml:space="preserve"> treatment</w:t>
      </w:r>
      <w:r w:rsidR="00BB79D9">
        <w:rPr>
          <w:rFonts w:eastAsia="MS Mincho"/>
          <w:szCs w:val="24"/>
          <w:lang w:eastAsia="ja-JP"/>
        </w:rPr>
        <w:t xml:space="preserve"> of BPD</w:t>
      </w:r>
      <w:r w:rsidR="00D15CF2">
        <w:rPr>
          <w:rFonts w:eastAsia="MS Mincho"/>
          <w:szCs w:val="24"/>
          <w:lang w:eastAsia="ja-JP"/>
        </w:rPr>
        <w:t>.</w:t>
      </w:r>
      <w:r w:rsidRPr="007B5A6C">
        <w:rPr>
          <w:rFonts w:eastAsia="MS Mincho"/>
          <w:szCs w:val="24"/>
          <w:lang w:eastAsia="ja-JP"/>
        </w:rPr>
        <w:t xml:space="preserve"> </w:t>
      </w:r>
      <w:r w:rsidR="00D15CF2">
        <w:rPr>
          <w:rFonts w:eastAsia="MS Mincho"/>
          <w:szCs w:val="24"/>
          <w:lang w:eastAsia="ja-JP"/>
        </w:rPr>
        <w:t>Antidepressants, anti-convuls</w:t>
      </w:r>
      <w:r w:rsidR="00844CEF">
        <w:rPr>
          <w:rFonts w:eastAsia="MS Mincho"/>
          <w:szCs w:val="24"/>
          <w:lang w:eastAsia="ja-JP"/>
        </w:rPr>
        <w:t>ants</w:t>
      </w:r>
      <w:r w:rsidR="00D15CF2">
        <w:rPr>
          <w:rFonts w:eastAsia="MS Mincho"/>
          <w:szCs w:val="24"/>
          <w:lang w:eastAsia="ja-JP"/>
        </w:rPr>
        <w:t xml:space="preserve">, and </w:t>
      </w:r>
      <w:r w:rsidRPr="007B5A6C">
        <w:rPr>
          <w:rFonts w:eastAsia="MS Mincho"/>
          <w:szCs w:val="24"/>
          <w:lang w:eastAsia="ja-JP"/>
        </w:rPr>
        <w:t xml:space="preserve">antipsychotics have </w:t>
      </w:r>
      <w:r w:rsidR="004B3FD0">
        <w:rPr>
          <w:rFonts w:eastAsia="MS Mincho"/>
          <w:szCs w:val="24"/>
          <w:lang w:eastAsia="ja-JP"/>
        </w:rPr>
        <w:t>all been examined</w:t>
      </w:r>
      <w:r>
        <w:rPr>
          <w:rFonts w:eastAsia="MS Mincho"/>
          <w:szCs w:val="24"/>
          <w:lang w:eastAsia="ja-JP"/>
        </w:rPr>
        <w:t xml:space="preserve"> </w:t>
      </w:r>
      <w:r w:rsidRPr="007B5A6C">
        <w:rPr>
          <w:rFonts w:eastAsia="MS Mincho"/>
          <w:szCs w:val="24"/>
          <w:lang w:eastAsia="ja-JP"/>
        </w:rPr>
        <w:t>(</w:t>
      </w:r>
      <w:r w:rsidR="00D15CF2">
        <w:rPr>
          <w:rFonts w:eastAsia="MS Mincho"/>
          <w:szCs w:val="24"/>
          <w:lang w:eastAsia="ja-JP"/>
        </w:rPr>
        <w:t>9-1</w:t>
      </w:r>
      <w:r w:rsidR="00BD5589">
        <w:rPr>
          <w:rFonts w:eastAsia="MS Mincho"/>
          <w:szCs w:val="24"/>
          <w:lang w:eastAsia="ja-JP"/>
        </w:rPr>
        <w:t>7</w:t>
      </w:r>
      <w:r w:rsidRPr="007B5A6C">
        <w:rPr>
          <w:rFonts w:eastAsia="MS Mincho"/>
          <w:szCs w:val="24"/>
          <w:lang w:eastAsia="ja-JP"/>
        </w:rPr>
        <w:t>)</w:t>
      </w:r>
      <w:r w:rsidR="00BB79D9">
        <w:rPr>
          <w:rFonts w:eastAsia="MS Mincho"/>
          <w:szCs w:val="24"/>
          <w:lang w:eastAsia="ja-JP"/>
        </w:rPr>
        <w:t>, but c</w:t>
      </w:r>
      <w:r w:rsidR="00D607E3">
        <w:rPr>
          <w:rFonts w:eastAsia="MS Mincho"/>
          <w:szCs w:val="24"/>
          <w:lang w:eastAsia="ja-JP"/>
        </w:rPr>
        <w:t xml:space="preserve">urrent </w:t>
      </w:r>
      <w:r w:rsidR="00844CEF">
        <w:rPr>
          <w:rFonts w:eastAsia="MS Mincho"/>
          <w:szCs w:val="24"/>
          <w:lang w:eastAsia="ja-JP"/>
        </w:rPr>
        <w:t>medication options</w:t>
      </w:r>
      <w:r w:rsidR="00D607E3">
        <w:rPr>
          <w:rFonts w:eastAsia="MS Mincho"/>
          <w:szCs w:val="24"/>
          <w:lang w:eastAsia="ja-JP"/>
        </w:rPr>
        <w:t xml:space="preserve"> for </w:t>
      </w:r>
      <w:r>
        <w:rPr>
          <w:rFonts w:eastAsia="MS Mincho"/>
          <w:szCs w:val="24"/>
          <w:lang w:eastAsia="ja-JP"/>
        </w:rPr>
        <w:t>BPD</w:t>
      </w:r>
      <w:r w:rsidR="00D57222">
        <w:rPr>
          <w:rFonts w:eastAsia="MS Mincho"/>
          <w:szCs w:val="24"/>
          <w:lang w:eastAsia="ja-JP"/>
        </w:rPr>
        <w:t xml:space="preserve"> </w:t>
      </w:r>
      <w:r w:rsidR="00D607E3">
        <w:rPr>
          <w:rFonts w:eastAsia="MS Mincho"/>
          <w:szCs w:val="24"/>
          <w:lang w:eastAsia="ja-JP"/>
        </w:rPr>
        <w:t>often</w:t>
      </w:r>
      <w:r w:rsidR="00844CEF">
        <w:rPr>
          <w:rFonts w:eastAsia="MS Mincho"/>
          <w:szCs w:val="24"/>
          <w:lang w:eastAsia="ja-JP"/>
        </w:rPr>
        <w:t xml:space="preserve"> provide only</w:t>
      </w:r>
      <w:r w:rsidR="00D607E3">
        <w:rPr>
          <w:rFonts w:eastAsia="MS Mincho"/>
          <w:szCs w:val="24"/>
          <w:lang w:eastAsia="ja-JP"/>
        </w:rPr>
        <w:t xml:space="preserve"> </w:t>
      </w:r>
      <w:r w:rsidR="00BD5589">
        <w:rPr>
          <w:rFonts w:eastAsia="MS Mincho"/>
          <w:szCs w:val="24"/>
          <w:lang w:eastAsia="ja-JP"/>
        </w:rPr>
        <w:t xml:space="preserve">partial </w:t>
      </w:r>
      <w:r w:rsidR="00844CEF">
        <w:rPr>
          <w:rFonts w:eastAsia="MS Mincho"/>
          <w:szCs w:val="24"/>
          <w:lang w:eastAsia="ja-JP"/>
        </w:rPr>
        <w:t xml:space="preserve">relief </w:t>
      </w:r>
      <w:r w:rsidR="00BB79D9">
        <w:rPr>
          <w:rFonts w:eastAsia="MS Mincho"/>
          <w:szCs w:val="24"/>
          <w:lang w:eastAsia="ja-JP"/>
        </w:rPr>
        <w:t>and may have pronounced side effects</w:t>
      </w:r>
      <w:r w:rsidR="00D607E3">
        <w:rPr>
          <w:rFonts w:eastAsia="MS Mincho"/>
          <w:szCs w:val="24"/>
          <w:lang w:eastAsia="ja-JP"/>
        </w:rPr>
        <w:t xml:space="preserve">. </w:t>
      </w:r>
      <w:r w:rsidR="00454FBB">
        <w:rPr>
          <w:rFonts w:eastAsia="MS Mincho"/>
          <w:szCs w:val="24"/>
          <w:lang w:eastAsia="ja-JP"/>
        </w:rPr>
        <w:t xml:space="preserve">Though medications are not currently approved for BPD, many patients are receiving them in clinical practice. </w:t>
      </w:r>
    </w:p>
    <w:p w14:paraId="703CA4E2" w14:textId="49E502C4" w:rsidR="008061BC" w:rsidRDefault="00D15CF2" w:rsidP="00E76FC0">
      <w:pPr>
        <w:pStyle w:val="NormalWeb"/>
        <w:spacing w:before="0" w:beforeAutospacing="0" w:after="0" w:afterAutospacing="0" w:line="480" w:lineRule="auto"/>
        <w:ind w:firstLine="720"/>
        <w:rPr>
          <w:rFonts w:eastAsia="MS Mincho"/>
          <w:lang w:eastAsia="ja-JP"/>
        </w:rPr>
      </w:pPr>
      <w:r>
        <w:rPr>
          <w:rFonts w:eastAsia="MS Mincho"/>
          <w:lang w:eastAsia="ja-JP"/>
        </w:rPr>
        <w:t>BPD</w:t>
      </w:r>
      <w:r w:rsidR="000E30AF" w:rsidRPr="000E30AF">
        <w:rPr>
          <w:rFonts w:eastAsia="MS Mincho"/>
          <w:lang w:eastAsia="ja-JP"/>
        </w:rPr>
        <w:t xml:space="preserve"> is characterized by a pervasive pattern</w:t>
      </w:r>
      <w:r w:rsidR="000E30AF">
        <w:rPr>
          <w:rFonts w:eastAsia="MS Mincho"/>
          <w:lang w:eastAsia="ja-JP"/>
        </w:rPr>
        <w:t xml:space="preserve"> </w:t>
      </w:r>
      <w:r w:rsidR="000E30AF" w:rsidRPr="000E30AF">
        <w:rPr>
          <w:rFonts w:eastAsia="MS Mincho"/>
          <w:lang w:eastAsia="ja-JP"/>
        </w:rPr>
        <w:t>of affect</w:t>
      </w:r>
      <w:r w:rsidR="00844CEF">
        <w:rPr>
          <w:rFonts w:eastAsia="MS Mincho"/>
          <w:lang w:eastAsia="ja-JP"/>
        </w:rPr>
        <w:t xml:space="preserve">ive </w:t>
      </w:r>
      <w:r w:rsidR="007C230B">
        <w:rPr>
          <w:rFonts w:eastAsia="MS Mincho"/>
          <w:lang w:eastAsia="ja-JP"/>
        </w:rPr>
        <w:t>instability</w:t>
      </w:r>
      <w:r w:rsidR="000E30AF" w:rsidRPr="000E30AF">
        <w:rPr>
          <w:rFonts w:eastAsia="MS Mincho"/>
          <w:lang w:eastAsia="ja-JP"/>
        </w:rPr>
        <w:t xml:space="preserve">, </w:t>
      </w:r>
      <w:r w:rsidR="00587178">
        <w:rPr>
          <w:rFonts w:eastAsia="MS Mincho"/>
          <w:lang w:eastAsia="ja-JP"/>
        </w:rPr>
        <w:t xml:space="preserve">difficulty with </w:t>
      </w:r>
      <w:r w:rsidR="000E30AF" w:rsidRPr="000E30AF">
        <w:rPr>
          <w:rFonts w:eastAsia="MS Mincho"/>
          <w:lang w:eastAsia="ja-JP"/>
        </w:rPr>
        <w:t>impulse control, and aggressi</w:t>
      </w:r>
      <w:r w:rsidR="00587178">
        <w:rPr>
          <w:rFonts w:eastAsia="MS Mincho"/>
          <w:lang w:eastAsia="ja-JP"/>
        </w:rPr>
        <w:t>ve outbu</w:t>
      </w:r>
      <w:r w:rsidR="00240B4A">
        <w:rPr>
          <w:rFonts w:eastAsia="MS Mincho"/>
          <w:lang w:eastAsia="ja-JP"/>
        </w:rPr>
        <w:t>r</w:t>
      </w:r>
      <w:r w:rsidR="00587178">
        <w:rPr>
          <w:rFonts w:eastAsia="MS Mincho"/>
          <w:lang w:eastAsia="ja-JP"/>
        </w:rPr>
        <w:t>sts</w:t>
      </w:r>
      <w:r w:rsidR="000E30AF" w:rsidRPr="000E30AF">
        <w:rPr>
          <w:rFonts w:eastAsia="MS Mincho"/>
          <w:lang w:eastAsia="ja-JP"/>
        </w:rPr>
        <w:t>.</w:t>
      </w:r>
      <w:r w:rsidR="00114289">
        <w:rPr>
          <w:rFonts w:eastAsia="MS Mincho"/>
          <w:lang w:eastAsia="ja-JP"/>
        </w:rPr>
        <w:t xml:space="preserve"> While poorly understood, d</w:t>
      </w:r>
      <w:r w:rsidR="000E30AF" w:rsidRPr="000E30AF">
        <w:rPr>
          <w:rFonts w:eastAsia="MS Mincho"/>
          <w:lang w:eastAsia="ja-JP"/>
        </w:rPr>
        <w:t>ysfunctions in the serotoninergic and</w:t>
      </w:r>
      <w:r w:rsidR="000E30AF">
        <w:rPr>
          <w:rFonts w:eastAsia="MS Mincho"/>
          <w:lang w:eastAsia="ja-JP"/>
        </w:rPr>
        <w:t xml:space="preserve"> </w:t>
      </w:r>
      <w:r w:rsidR="000E30AF" w:rsidRPr="000E30AF">
        <w:rPr>
          <w:rFonts w:eastAsia="MS Mincho"/>
          <w:lang w:eastAsia="ja-JP"/>
        </w:rPr>
        <w:t xml:space="preserve">dopaminergic systems have been </w:t>
      </w:r>
      <w:r w:rsidR="00587178">
        <w:rPr>
          <w:rFonts w:eastAsia="MS Mincho"/>
          <w:lang w:eastAsia="ja-JP"/>
        </w:rPr>
        <w:t>implicated</w:t>
      </w:r>
      <w:r w:rsidR="000E30AF" w:rsidRPr="000E30AF">
        <w:rPr>
          <w:rFonts w:eastAsia="MS Mincho"/>
          <w:lang w:eastAsia="ja-JP"/>
        </w:rPr>
        <w:t xml:space="preserve"> in</w:t>
      </w:r>
      <w:r>
        <w:rPr>
          <w:rFonts w:eastAsia="MS Mincho"/>
          <w:lang w:eastAsia="ja-JP"/>
        </w:rPr>
        <w:t xml:space="preserve">, </w:t>
      </w:r>
      <w:r w:rsidR="000E30AF" w:rsidRPr="000E30AF">
        <w:rPr>
          <w:rFonts w:eastAsia="MS Mincho"/>
          <w:lang w:eastAsia="ja-JP"/>
        </w:rPr>
        <w:t>and</w:t>
      </w:r>
      <w:r w:rsidR="000E30AF">
        <w:rPr>
          <w:rFonts w:eastAsia="MS Mincho"/>
          <w:lang w:eastAsia="ja-JP"/>
        </w:rPr>
        <w:t xml:space="preserve"> </w:t>
      </w:r>
      <w:r w:rsidR="000E30AF" w:rsidRPr="000E30AF">
        <w:rPr>
          <w:rFonts w:eastAsia="MS Mincho"/>
          <w:lang w:eastAsia="ja-JP"/>
        </w:rPr>
        <w:t xml:space="preserve">considered as possible </w:t>
      </w:r>
      <w:r w:rsidR="00F720EB">
        <w:rPr>
          <w:rFonts w:eastAsia="MS Mincho"/>
          <w:lang w:eastAsia="ja-JP"/>
        </w:rPr>
        <w:t>contributing factors</w:t>
      </w:r>
      <w:r w:rsidR="000E30AF" w:rsidRPr="000E30AF">
        <w:rPr>
          <w:rFonts w:eastAsia="MS Mincho"/>
          <w:lang w:eastAsia="ja-JP"/>
        </w:rPr>
        <w:t xml:space="preserve"> for</w:t>
      </w:r>
      <w:r>
        <w:rPr>
          <w:rFonts w:eastAsia="MS Mincho"/>
          <w:lang w:eastAsia="ja-JP"/>
        </w:rPr>
        <w:t xml:space="preserve">, these core </w:t>
      </w:r>
      <w:r w:rsidR="000E30AF" w:rsidRPr="000E30AF">
        <w:rPr>
          <w:rFonts w:eastAsia="MS Mincho"/>
          <w:lang w:eastAsia="ja-JP"/>
        </w:rPr>
        <w:t xml:space="preserve">symptoms </w:t>
      </w:r>
      <w:r w:rsidR="00240B4A">
        <w:rPr>
          <w:rFonts w:eastAsia="MS Mincho"/>
          <w:lang w:eastAsia="ja-JP"/>
        </w:rPr>
        <w:t>of BPD</w:t>
      </w:r>
      <w:r w:rsidR="000E30AF" w:rsidRPr="000E30AF">
        <w:rPr>
          <w:rFonts w:eastAsia="MS Mincho"/>
          <w:lang w:eastAsia="ja-JP"/>
        </w:rPr>
        <w:t xml:space="preserve"> (</w:t>
      </w:r>
      <w:r w:rsidR="00240B4A">
        <w:rPr>
          <w:rFonts w:eastAsia="MS Mincho"/>
          <w:lang w:eastAsia="ja-JP"/>
        </w:rPr>
        <w:t>18-21</w:t>
      </w:r>
      <w:r w:rsidR="000E30AF" w:rsidRPr="000E30AF">
        <w:rPr>
          <w:rFonts w:eastAsia="MS Mincho"/>
          <w:lang w:eastAsia="ja-JP"/>
        </w:rPr>
        <w:t xml:space="preserve">). </w:t>
      </w:r>
      <w:r w:rsidR="00E76FC0">
        <w:rPr>
          <w:color w:val="323130"/>
        </w:rPr>
        <w:t xml:space="preserve">Brexpiprazole is a novel serotonin-dopamine activity modulator with partial agonist activity at 5-HT1A and D2/D3 receptors, combined with potent antagonist effects on 5-HT2A, a1B-, and a2C-adrenergic receptors (22-24). </w:t>
      </w:r>
      <w:r w:rsidR="000E30AF">
        <w:t xml:space="preserve"> </w:t>
      </w:r>
      <w:r w:rsidR="00ED4EA1">
        <w:rPr>
          <w:rFonts w:eastAsia="MS Mincho"/>
          <w:lang w:eastAsia="ja-JP"/>
        </w:rPr>
        <w:t>In addition, because of low rates of side effects</w:t>
      </w:r>
      <w:r w:rsidR="00EA3539">
        <w:rPr>
          <w:rFonts w:eastAsia="MS Mincho"/>
          <w:lang w:eastAsia="ja-JP"/>
        </w:rPr>
        <w:t xml:space="preserve"> reported in clinical trials for other disorders to date</w:t>
      </w:r>
      <w:r w:rsidR="00ED4EA1">
        <w:rPr>
          <w:rFonts w:eastAsia="MS Mincho"/>
          <w:lang w:eastAsia="ja-JP"/>
        </w:rPr>
        <w:t xml:space="preserve">, </w:t>
      </w:r>
      <w:r w:rsidR="004B3FD0">
        <w:rPr>
          <w:rFonts w:eastAsia="MS Mincho"/>
          <w:lang w:eastAsia="ja-JP"/>
        </w:rPr>
        <w:t xml:space="preserve">one would expect </w:t>
      </w:r>
      <w:r w:rsidR="00844CEF">
        <w:rPr>
          <w:rFonts w:eastAsia="MS Mincho"/>
          <w:lang w:eastAsia="ja-JP"/>
        </w:rPr>
        <w:t>b</w:t>
      </w:r>
      <w:r w:rsidR="0010235E" w:rsidRPr="0010235E">
        <w:rPr>
          <w:rFonts w:eastAsia="MS Mincho"/>
          <w:lang w:eastAsia="ja-JP"/>
        </w:rPr>
        <w:t xml:space="preserve">rexpiprazole </w:t>
      </w:r>
      <w:r w:rsidR="00EA3539">
        <w:rPr>
          <w:rFonts w:eastAsia="MS Mincho"/>
          <w:lang w:eastAsia="ja-JP"/>
        </w:rPr>
        <w:t xml:space="preserve">to be </w:t>
      </w:r>
      <w:r w:rsidR="004B3FD0">
        <w:rPr>
          <w:rFonts w:eastAsia="MS Mincho"/>
          <w:lang w:eastAsia="ja-JP"/>
        </w:rPr>
        <w:t xml:space="preserve">fairly </w:t>
      </w:r>
      <w:r w:rsidR="00EA3539">
        <w:rPr>
          <w:rFonts w:eastAsia="MS Mincho"/>
          <w:lang w:eastAsia="ja-JP"/>
        </w:rPr>
        <w:t xml:space="preserve">well-tolerated in people with </w:t>
      </w:r>
      <w:r w:rsidR="000E30AF">
        <w:rPr>
          <w:rFonts w:eastAsia="MS Mincho"/>
          <w:lang w:eastAsia="ja-JP"/>
        </w:rPr>
        <w:t>BP</w:t>
      </w:r>
      <w:r w:rsidR="0010235E">
        <w:rPr>
          <w:rFonts w:eastAsia="MS Mincho"/>
          <w:lang w:eastAsia="ja-JP"/>
        </w:rPr>
        <w:t>D</w:t>
      </w:r>
      <w:r w:rsidR="009D0BC1">
        <w:rPr>
          <w:rFonts w:eastAsia="MS Mincho"/>
          <w:lang w:eastAsia="ja-JP"/>
        </w:rPr>
        <w:t>.</w:t>
      </w:r>
      <w:r w:rsidR="004E58FD" w:rsidRPr="004E58FD">
        <w:rPr>
          <w:rFonts w:eastAsia="MS Mincho"/>
          <w:lang w:eastAsia="ja-JP"/>
        </w:rPr>
        <w:t xml:space="preserve"> </w:t>
      </w:r>
      <w:r w:rsidR="004E58FD">
        <w:rPr>
          <w:rFonts w:eastAsia="MS Mincho"/>
          <w:lang w:eastAsia="ja-JP"/>
        </w:rPr>
        <w:t>Thus, b</w:t>
      </w:r>
      <w:r w:rsidR="004E58FD" w:rsidRPr="00BD7047">
        <w:rPr>
          <w:rFonts w:eastAsia="MS Mincho"/>
          <w:lang w:eastAsia="ja-JP"/>
        </w:rPr>
        <w:t>rexpiprazole</w:t>
      </w:r>
      <w:r w:rsidR="004E58FD">
        <w:rPr>
          <w:rFonts w:eastAsia="MS Mincho"/>
          <w:lang w:eastAsia="ja-JP"/>
        </w:rPr>
        <w:t xml:space="preserve"> may have</w:t>
      </w:r>
      <w:r w:rsidR="004E58FD" w:rsidRPr="00ED4EA1">
        <w:rPr>
          <w:rFonts w:eastAsia="MS Mincho"/>
          <w:lang w:eastAsia="ja-JP"/>
        </w:rPr>
        <w:t xml:space="preserve"> distinctive properties that make it a promising option</w:t>
      </w:r>
      <w:r w:rsidR="00114289">
        <w:rPr>
          <w:rFonts w:eastAsia="MS Mincho"/>
          <w:lang w:eastAsia="ja-JP"/>
        </w:rPr>
        <w:t xml:space="preserve"> to explore in a rigorous clinical trial</w:t>
      </w:r>
      <w:r w:rsidR="004E58FD" w:rsidRPr="00ED4EA1">
        <w:rPr>
          <w:rFonts w:eastAsia="MS Mincho"/>
          <w:lang w:eastAsia="ja-JP"/>
        </w:rPr>
        <w:t xml:space="preserve"> for p</w:t>
      </w:r>
      <w:r w:rsidR="004E58FD">
        <w:rPr>
          <w:rFonts w:eastAsia="MS Mincho"/>
          <w:lang w:eastAsia="ja-JP"/>
        </w:rPr>
        <w:t>eople</w:t>
      </w:r>
      <w:r w:rsidR="004E58FD" w:rsidRPr="00ED4EA1">
        <w:rPr>
          <w:rFonts w:eastAsia="MS Mincho"/>
          <w:lang w:eastAsia="ja-JP"/>
        </w:rPr>
        <w:t xml:space="preserve"> </w:t>
      </w:r>
      <w:r w:rsidR="004E58FD">
        <w:rPr>
          <w:rFonts w:eastAsia="MS Mincho"/>
          <w:lang w:eastAsia="ja-JP"/>
        </w:rPr>
        <w:t>with BPD.</w:t>
      </w:r>
    </w:p>
    <w:p w14:paraId="618E69AF" w14:textId="77777777" w:rsidR="00ED4EA1" w:rsidRDefault="00D607E3" w:rsidP="00825E51">
      <w:pPr>
        <w:autoSpaceDE w:val="0"/>
        <w:autoSpaceDN w:val="0"/>
        <w:adjustRightInd w:val="0"/>
        <w:spacing w:line="480" w:lineRule="auto"/>
        <w:ind w:firstLine="720"/>
        <w:rPr>
          <w:rFonts w:eastAsia="MS Mincho"/>
          <w:szCs w:val="24"/>
          <w:lang w:eastAsia="ja-JP"/>
        </w:rPr>
      </w:pPr>
      <w:r w:rsidRPr="00D607E3">
        <w:rPr>
          <w:rFonts w:eastAsia="MS Mincho"/>
          <w:szCs w:val="24"/>
          <w:lang w:eastAsia="ja-JP"/>
        </w:rPr>
        <w:lastRenderedPageBreak/>
        <w:t xml:space="preserve">The aim of the present study </w:t>
      </w:r>
      <w:r w:rsidR="009D0BC1">
        <w:rPr>
          <w:rFonts w:eastAsia="MS Mincho"/>
          <w:szCs w:val="24"/>
          <w:lang w:eastAsia="ja-JP"/>
        </w:rPr>
        <w:t>was</w:t>
      </w:r>
      <w:r w:rsidR="00AE718F" w:rsidRPr="00D607E3">
        <w:rPr>
          <w:rFonts w:eastAsia="MS Mincho"/>
          <w:szCs w:val="24"/>
          <w:lang w:eastAsia="ja-JP"/>
        </w:rPr>
        <w:t xml:space="preserve"> </w:t>
      </w:r>
      <w:r w:rsidRPr="00D607E3">
        <w:rPr>
          <w:rFonts w:eastAsia="MS Mincho"/>
          <w:szCs w:val="24"/>
          <w:lang w:eastAsia="ja-JP"/>
        </w:rPr>
        <w:t xml:space="preserve">to examine the efficacy and safety of </w:t>
      </w:r>
      <w:r w:rsidR="009F71E9">
        <w:rPr>
          <w:rFonts w:eastAsia="MS Mincho"/>
          <w:szCs w:val="24"/>
          <w:lang w:eastAsia="ja-JP"/>
        </w:rPr>
        <w:t>b</w:t>
      </w:r>
      <w:r w:rsidR="0010235E" w:rsidRPr="0010235E">
        <w:rPr>
          <w:rFonts w:eastAsia="MS Mincho"/>
          <w:szCs w:val="24"/>
          <w:lang w:eastAsia="ja-JP"/>
        </w:rPr>
        <w:t>rexpiprazole</w:t>
      </w:r>
      <w:r w:rsidR="00844CEF">
        <w:rPr>
          <w:rFonts w:eastAsia="MS Mincho"/>
          <w:szCs w:val="24"/>
          <w:lang w:eastAsia="ja-JP"/>
        </w:rPr>
        <w:t xml:space="preserve"> compared to</w:t>
      </w:r>
      <w:r w:rsidRPr="00D607E3">
        <w:rPr>
          <w:rFonts w:eastAsia="MS Mincho"/>
          <w:szCs w:val="24"/>
          <w:lang w:eastAsia="ja-JP"/>
        </w:rPr>
        <w:t xml:space="preserve"> placebo in adults with </w:t>
      </w:r>
      <w:r w:rsidR="000E30AF">
        <w:rPr>
          <w:rFonts w:eastAsia="MS Mincho"/>
          <w:szCs w:val="24"/>
          <w:lang w:eastAsia="ja-JP"/>
        </w:rPr>
        <w:t>BPD</w:t>
      </w:r>
      <w:r w:rsidR="00825E51">
        <w:rPr>
          <w:rFonts w:eastAsia="MS Mincho"/>
          <w:szCs w:val="24"/>
          <w:lang w:eastAsia="ja-JP"/>
        </w:rPr>
        <w:t xml:space="preserve">. We hypothesized that brexpiprazole would reduce the </w:t>
      </w:r>
      <w:r w:rsidR="00240B4A">
        <w:rPr>
          <w:rFonts w:eastAsia="MS Mincho"/>
          <w:szCs w:val="24"/>
          <w:lang w:eastAsia="ja-JP"/>
        </w:rPr>
        <w:t xml:space="preserve">core </w:t>
      </w:r>
      <w:r w:rsidR="00825E51">
        <w:rPr>
          <w:rFonts w:eastAsia="MS Mincho"/>
          <w:szCs w:val="24"/>
          <w:lang w:eastAsia="ja-JP"/>
        </w:rPr>
        <w:t>symptoms of BPD to a greater extent tha</w:t>
      </w:r>
      <w:r w:rsidR="00844CEF">
        <w:rPr>
          <w:rFonts w:eastAsia="MS Mincho"/>
          <w:szCs w:val="24"/>
          <w:lang w:eastAsia="ja-JP"/>
        </w:rPr>
        <w:t>n</w:t>
      </w:r>
      <w:r w:rsidR="00825E51">
        <w:rPr>
          <w:rFonts w:eastAsia="MS Mincho"/>
          <w:szCs w:val="24"/>
          <w:lang w:eastAsia="ja-JP"/>
        </w:rPr>
        <w:t xml:space="preserve"> placebo and </w:t>
      </w:r>
      <w:r w:rsidR="00844CEF">
        <w:rPr>
          <w:rFonts w:eastAsia="MS Mincho"/>
          <w:szCs w:val="24"/>
          <w:lang w:eastAsia="ja-JP"/>
        </w:rPr>
        <w:t xml:space="preserve">would </w:t>
      </w:r>
      <w:r w:rsidR="00825E51">
        <w:rPr>
          <w:rFonts w:eastAsia="MS Mincho"/>
          <w:szCs w:val="24"/>
          <w:lang w:eastAsia="ja-JP"/>
        </w:rPr>
        <w:t>be well tolerated.</w:t>
      </w:r>
    </w:p>
    <w:p w14:paraId="536C062E" w14:textId="77777777" w:rsidR="004B3FD0" w:rsidRDefault="004B3FD0" w:rsidP="00825E51">
      <w:pPr>
        <w:autoSpaceDE w:val="0"/>
        <w:autoSpaceDN w:val="0"/>
        <w:adjustRightInd w:val="0"/>
        <w:spacing w:line="480" w:lineRule="auto"/>
        <w:ind w:firstLine="720"/>
        <w:rPr>
          <w:rFonts w:eastAsia="MS Mincho"/>
          <w:szCs w:val="24"/>
          <w:lang w:eastAsia="ja-JP"/>
        </w:rPr>
      </w:pPr>
    </w:p>
    <w:p w14:paraId="2F795AE2" w14:textId="77777777" w:rsidR="00BB4EB8" w:rsidRDefault="00BB4EB8" w:rsidP="0075509E">
      <w:pPr>
        <w:autoSpaceDE w:val="0"/>
        <w:autoSpaceDN w:val="0"/>
        <w:adjustRightInd w:val="0"/>
        <w:rPr>
          <w:rFonts w:eastAsia="MS Mincho"/>
          <w:szCs w:val="24"/>
          <w:lang w:eastAsia="ja-JP"/>
        </w:rPr>
      </w:pPr>
    </w:p>
    <w:p w14:paraId="5DA050B0" w14:textId="77777777" w:rsidR="00A63661" w:rsidRPr="00587178" w:rsidRDefault="00606396" w:rsidP="00825E51">
      <w:pPr>
        <w:spacing w:line="480" w:lineRule="auto"/>
        <w:rPr>
          <w:szCs w:val="24"/>
        </w:rPr>
      </w:pPr>
      <w:r w:rsidRPr="00587178">
        <w:rPr>
          <w:b/>
          <w:szCs w:val="24"/>
        </w:rPr>
        <w:t>Method</w:t>
      </w:r>
      <w:r w:rsidR="005523D6" w:rsidRPr="00587178">
        <w:rPr>
          <w:b/>
          <w:szCs w:val="24"/>
        </w:rPr>
        <w:t>s</w:t>
      </w:r>
      <w:r w:rsidRPr="00587178">
        <w:rPr>
          <w:szCs w:val="24"/>
        </w:rPr>
        <w:t xml:space="preserve"> </w:t>
      </w:r>
    </w:p>
    <w:p w14:paraId="6A445FCE" w14:textId="442665E1" w:rsidR="00EE3DB2" w:rsidRPr="00340DED" w:rsidRDefault="00BE3F01" w:rsidP="00340DED">
      <w:pPr>
        <w:spacing w:line="480" w:lineRule="auto"/>
        <w:ind w:firstLine="720"/>
        <w:rPr>
          <w:rFonts w:eastAsia="MS Mincho"/>
          <w:szCs w:val="24"/>
          <w:lang w:eastAsia="ja-JP"/>
        </w:rPr>
      </w:pPr>
      <w:r w:rsidRPr="007E6238">
        <w:rPr>
          <w:rFonts w:eastAsia="MS Mincho"/>
          <w:szCs w:val="24"/>
          <w:lang w:eastAsia="ja-JP"/>
        </w:rPr>
        <w:t>Eighty</w:t>
      </w:r>
      <w:r w:rsidR="00EE3DB2" w:rsidRPr="007E6238">
        <w:rPr>
          <w:rFonts w:eastAsia="MS Mincho"/>
          <w:szCs w:val="24"/>
          <w:lang w:eastAsia="ja-JP"/>
        </w:rPr>
        <w:t xml:space="preserve"> individuals </w:t>
      </w:r>
      <w:r w:rsidR="00825E51" w:rsidRPr="007E6238">
        <w:rPr>
          <w:rFonts w:eastAsia="MS Mincho"/>
          <w:szCs w:val="24"/>
          <w:lang w:eastAsia="ja-JP"/>
        </w:rPr>
        <w:t>aged 18-65 years (mean age=</w:t>
      </w:r>
      <w:r w:rsidR="007E6238" w:rsidRPr="007E6238">
        <w:rPr>
          <w:rFonts w:eastAsia="Calibri" w:cs="Calibri"/>
          <w:szCs w:val="24"/>
        </w:rPr>
        <w:t>3</w:t>
      </w:r>
      <w:r w:rsidR="007E6238">
        <w:rPr>
          <w:rFonts w:eastAsia="Calibri" w:cs="Calibri"/>
          <w:szCs w:val="24"/>
        </w:rPr>
        <w:t>9.7</w:t>
      </w:r>
      <w:r w:rsidR="007E6238" w:rsidRPr="007E6238">
        <w:rPr>
          <w:rFonts w:eastAsia="Calibri" w:cs="Calibri"/>
          <w:szCs w:val="24"/>
        </w:rPr>
        <w:t xml:space="preserve"> ± 1</w:t>
      </w:r>
      <w:r w:rsidR="007E6238">
        <w:rPr>
          <w:rFonts w:eastAsia="Calibri" w:cs="Calibri"/>
          <w:szCs w:val="24"/>
        </w:rPr>
        <w:t>1</w:t>
      </w:r>
      <w:r w:rsidR="007E6238" w:rsidRPr="007E6238">
        <w:rPr>
          <w:rFonts w:eastAsia="Calibri" w:cs="Calibri"/>
          <w:szCs w:val="24"/>
        </w:rPr>
        <w:t>.6</w:t>
      </w:r>
      <w:r w:rsidR="00825E51" w:rsidRPr="007E6238">
        <w:rPr>
          <w:rFonts w:eastAsia="MS Mincho"/>
          <w:szCs w:val="24"/>
          <w:lang w:eastAsia="ja-JP"/>
        </w:rPr>
        <w:t>; females=</w:t>
      </w:r>
      <w:r w:rsidR="007E6238" w:rsidRPr="007E6238">
        <w:rPr>
          <w:rFonts w:eastAsia="MS Mincho"/>
          <w:szCs w:val="24"/>
          <w:lang w:eastAsia="ja-JP"/>
        </w:rPr>
        <w:t>45 [56.3%]</w:t>
      </w:r>
      <w:r w:rsidR="00825E51" w:rsidRPr="007E6238">
        <w:rPr>
          <w:rFonts w:eastAsia="MS Mincho"/>
          <w:szCs w:val="24"/>
          <w:lang w:eastAsia="ja-JP"/>
        </w:rPr>
        <w:t xml:space="preserve">) </w:t>
      </w:r>
      <w:r w:rsidR="00EE3DB2" w:rsidRPr="007E6238">
        <w:rPr>
          <w:rFonts w:eastAsia="MS Mincho"/>
          <w:szCs w:val="24"/>
          <w:lang w:eastAsia="ja-JP"/>
        </w:rPr>
        <w:t xml:space="preserve">with </w:t>
      </w:r>
      <w:r w:rsidR="007D7005" w:rsidRPr="007E6238">
        <w:rPr>
          <w:rFonts w:eastAsia="MS Mincho"/>
          <w:szCs w:val="24"/>
          <w:lang w:eastAsia="ja-JP"/>
        </w:rPr>
        <w:t xml:space="preserve">a </w:t>
      </w:r>
      <w:r w:rsidR="00825E51" w:rsidRPr="007E6238">
        <w:rPr>
          <w:rFonts w:eastAsia="MS Mincho"/>
          <w:szCs w:val="24"/>
          <w:lang w:eastAsia="ja-JP"/>
        </w:rPr>
        <w:t>current</w:t>
      </w:r>
      <w:r w:rsidR="007D7005" w:rsidRPr="007E6238">
        <w:rPr>
          <w:rFonts w:eastAsia="MS Mincho"/>
          <w:szCs w:val="24"/>
          <w:lang w:eastAsia="ja-JP"/>
        </w:rPr>
        <w:t xml:space="preserve"> </w:t>
      </w:r>
      <w:r w:rsidR="00825E51" w:rsidRPr="007E6238">
        <w:rPr>
          <w:rFonts w:eastAsia="MS Mincho"/>
          <w:szCs w:val="24"/>
          <w:lang w:eastAsia="ja-JP"/>
        </w:rPr>
        <w:t xml:space="preserve">established </w:t>
      </w:r>
      <w:r w:rsidR="007D7005" w:rsidRPr="007E6238">
        <w:rPr>
          <w:rFonts w:eastAsia="MS Mincho"/>
          <w:szCs w:val="24"/>
          <w:lang w:eastAsia="ja-JP"/>
        </w:rPr>
        <w:t xml:space="preserve">diagnosis of </w:t>
      </w:r>
      <w:r w:rsidR="0017368A" w:rsidRPr="007E6238">
        <w:rPr>
          <w:rFonts w:eastAsia="MS Mincho"/>
          <w:szCs w:val="24"/>
          <w:lang w:eastAsia="ja-JP"/>
        </w:rPr>
        <w:t>BPD</w:t>
      </w:r>
      <w:r w:rsidR="00EE3DB2" w:rsidRPr="007E6238">
        <w:rPr>
          <w:rFonts w:eastAsia="MS Mincho"/>
          <w:szCs w:val="24"/>
          <w:lang w:eastAsia="ja-JP"/>
        </w:rPr>
        <w:t xml:space="preserve"> </w:t>
      </w:r>
      <w:r w:rsidR="00443C7D">
        <w:rPr>
          <w:rFonts w:eastAsia="MS Mincho"/>
          <w:szCs w:val="24"/>
          <w:lang w:eastAsia="ja-JP"/>
        </w:rPr>
        <w:t xml:space="preserve">(see below for assessment procedures) </w:t>
      </w:r>
      <w:r w:rsidR="00EE3DB2" w:rsidRPr="007E6238">
        <w:rPr>
          <w:rFonts w:eastAsia="MS Mincho"/>
          <w:szCs w:val="24"/>
          <w:lang w:eastAsia="ja-JP"/>
        </w:rPr>
        <w:t>w</w:t>
      </w:r>
      <w:r w:rsidR="00825E51" w:rsidRPr="007E6238">
        <w:rPr>
          <w:rFonts w:eastAsia="MS Mincho"/>
          <w:szCs w:val="24"/>
          <w:lang w:eastAsia="ja-JP"/>
        </w:rPr>
        <w:t>ere</w:t>
      </w:r>
      <w:r w:rsidR="00EE3DB2" w:rsidRPr="007E6238">
        <w:rPr>
          <w:rFonts w:eastAsia="MS Mincho"/>
          <w:szCs w:val="24"/>
          <w:lang w:eastAsia="ja-JP"/>
        </w:rPr>
        <w:t xml:space="preserve"> recruited </w:t>
      </w:r>
      <w:r w:rsidR="004B3FD0">
        <w:rPr>
          <w:rFonts w:eastAsia="MS Mincho"/>
          <w:szCs w:val="24"/>
          <w:lang w:eastAsia="ja-JP"/>
        </w:rPr>
        <w:t xml:space="preserve">from clinic and local </w:t>
      </w:r>
      <w:r w:rsidR="005478A9">
        <w:rPr>
          <w:rFonts w:eastAsia="MS Mincho"/>
          <w:szCs w:val="24"/>
          <w:lang w:eastAsia="ja-JP"/>
        </w:rPr>
        <w:t>advertisements</w:t>
      </w:r>
      <w:r w:rsidR="004B3FD0">
        <w:rPr>
          <w:rFonts w:eastAsia="MS Mincho"/>
          <w:szCs w:val="24"/>
          <w:lang w:eastAsia="ja-JP"/>
        </w:rPr>
        <w:t xml:space="preserve"> </w:t>
      </w:r>
      <w:r w:rsidR="00EE3DB2" w:rsidRPr="007E6238">
        <w:rPr>
          <w:rFonts w:eastAsia="MS Mincho"/>
          <w:szCs w:val="24"/>
          <w:lang w:eastAsia="ja-JP"/>
        </w:rPr>
        <w:t xml:space="preserve">for a </w:t>
      </w:r>
      <w:r w:rsidR="00240B4A" w:rsidRPr="007E6238">
        <w:rPr>
          <w:rFonts w:eastAsia="MS Mincho"/>
          <w:szCs w:val="24"/>
          <w:lang w:eastAsia="ja-JP"/>
        </w:rPr>
        <w:t xml:space="preserve">13-week </w:t>
      </w:r>
      <w:r w:rsidR="00844CEF" w:rsidRPr="007E6238">
        <w:rPr>
          <w:rFonts w:eastAsia="MS Mincho"/>
          <w:szCs w:val="24"/>
          <w:lang w:eastAsia="ja-JP"/>
        </w:rPr>
        <w:t xml:space="preserve">randomized, </w:t>
      </w:r>
      <w:r w:rsidR="00EE3DB2" w:rsidRPr="007E6238">
        <w:rPr>
          <w:rFonts w:eastAsia="MS Mincho"/>
          <w:szCs w:val="24"/>
          <w:lang w:eastAsia="ja-JP"/>
        </w:rPr>
        <w:t xml:space="preserve">double-blind, placebo-controlled study in which </w:t>
      </w:r>
      <w:r w:rsidR="00844CEF" w:rsidRPr="007E6238">
        <w:rPr>
          <w:rFonts w:eastAsia="MS Mincho"/>
          <w:szCs w:val="24"/>
          <w:lang w:eastAsia="ja-JP"/>
        </w:rPr>
        <w:t>b</w:t>
      </w:r>
      <w:r w:rsidRPr="007E6238">
        <w:rPr>
          <w:rFonts w:eastAsia="MS Mincho"/>
          <w:szCs w:val="24"/>
          <w:lang w:eastAsia="ja-JP"/>
        </w:rPr>
        <w:t>rexpiprazole</w:t>
      </w:r>
      <w:r w:rsidR="00EE3DB2" w:rsidRPr="007E6238">
        <w:rPr>
          <w:rFonts w:eastAsia="MS Mincho"/>
          <w:szCs w:val="24"/>
          <w:lang w:eastAsia="ja-JP"/>
        </w:rPr>
        <w:t xml:space="preserve"> or placebo </w:t>
      </w:r>
      <w:r w:rsidR="00825E51" w:rsidRPr="007E6238">
        <w:rPr>
          <w:rFonts w:eastAsia="MS Mincho"/>
          <w:szCs w:val="24"/>
          <w:lang w:eastAsia="ja-JP"/>
        </w:rPr>
        <w:t>wa</w:t>
      </w:r>
      <w:r w:rsidR="00EE3DB2" w:rsidRPr="007E6238">
        <w:rPr>
          <w:rFonts w:eastAsia="MS Mincho"/>
          <w:szCs w:val="24"/>
          <w:lang w:eastAsia="ja-JP"/>
        </w:rPr>
        <w:t xml:space="preserve">s administered in a 1:1 fashion. All </w:t>
      </w:r>
      <w:r w:rsidRPr="007E6238">
        <w:rPr>
          <w:rFonts w:eastAsia="MS Mincho"/>
          <w:szCs w:val="24"/>
          <w:lang w:eastAsia="ja-JP"/>
        </w:rPr>
        <w:t>8</w:t>
      </w:r>
      <w:r w:rsidR="00EE3DB2" w:rsidRPr="007E6238">
        <w:rPr>
          <w:rFonts w:eastAsia="MS Mincho"/>
          <w:szCs w:val="24"/>
          <w:lang w:eastAsia="ja-JP"/>
        </w:rPr>
        <w:t xml:space="preserve">0 </w:t>
      </w:r>
      <w:r w:rsidR="009A28F2" w:rsidRPr="007E6238">
        <w:rPr>
          <w:rFonts w:eastAsia="MS Mincho"/>
          <w:szCs w:val="24"/>
          <w:lang w:eastAsia="ja-JP"/>
        </w:rPr>
        <w:t>participants</w:t>
      </w:r>
      <w:r w:rsidR="00EE3DB2" w:rsidRPr="007E6238">
        <w:rPr>
          <w:rFonts w:eastAsia="MS Mincho"/>
          <w:szCs w:val="24"/>
          <w:lang w:eastAsia="ja-JP"/>
        </w:rPr>
        <w:t xml:space="preserve"> </w:t>
      </w:r>
      <w:r w:rsidR="00825E51" w:rsidRPr="007E6238">
        <w:rPr>
          <w:rFonts w:eastAsia="MS Mincho"/>
          <w:szCs w:val="24"/>
          <w:lang w:eastAsia="ja-JP"/>
        </w:rPr>
        <w:t>had</w:t>
      </w:r>
      <w:r w:rsidR="00EE3DB2" w:rsidRPr="007E6238">
        <w:rPr>
          <w:rFonts w:eastAsia="MS Mincho"/>
          <w:szCs w:val="24"/>
          <w:lang w:eastAsia="ja-JP"/>
        </w:rPr>
        <w:t xml:space="preserve"> </w:t>
      </w:r>
      <w:r w:rsidRPr="007E6238">
        <w:rPr>
          <w:rFonts w:eastAsia="MS Mincho"/>
          <w:szCs w:val="24"/>
          <w:lang w:eastAsia="ja-JP"/>
        </w:rPr>
        <w:t xml:space="preserve">current </w:t>
      </w:r>
      <w:r w:rsidR="0017368A" w:rsidRPr="007E6238">
        <w:rPr>
          <w:rFonts w:eastAsia="MS Mincho"/>
          <w:szCs w:val="24"/>
          <w:lang w:eastAsia="ja-JP"/>
        </w:rPr>
        <w:t>BPD</w:t>
      </w:r>
      <w:r w:rsidR="00E621AE" w:rsidRPr="007E6238">
        <w:rPr>
          <w:rFonts w:eastAsia="MS Mincho"/>
          <w:szCs w:val="24"/>
          <w:lang w:eastAsia="ja-JP"/>
        </w:rPr>
        <w:t xml:space="preserve"> per D</w:t>
      </w:r>
      <w:r w:rsidR="00A2020F" w:rsidRPr="007E6238">
        <w:rPr>
          <w:rFonts w:eastAsia="MS Mincho"/>
          <w:szCs w:val="24"/>
          <w:lang w:eastAsia="ja-JP"/>
        </w:rPr>
        <w:t xml:space="preserve">iagnostic and </w:t>
      </w:r>
      <w:r w:rsidR="00E621AE" w:rsidRPr="007E6238">
        <w:rPr>
          <w:rFonts w:eastAsia="MS Mincho"/>
          <w:szCs w:val="24"/>
          <w:lang w:eastAsia="ja-JP"/>
        </w:rPr>
        <w:t>S</w:t>
      </w:r>
      <w:r w:rsidR="00A2020F" w:rsidRPr="007E6238">
        <w:rPr>
          <w:rFonts w:eastAsia="MS Mincho"/>
          <w:szCs w:val="24"/>
          <w:lang w:eastAsia="ja-JP"/>
        </w:rPr>
        <w:t>tatistical Manual Version 5 (DSM</w:t>
      </w:r>
      <w:r w:rsidR="00E621AE" w:rsidRPr="007E6238">
        <w:rPr>
          <w:rFonts w:eastAsia="MS Mincho"/>
          <w:szCs w:val="24"/>
          <w:lang w:eastAsia="ja-JP"/>
        </w:rPr>
        <w:t>-5</w:t>
      </w:r>
      <w:r w:rsidR="00A2020F" w:rsidRPr="007E6238">
        <w:rPr>
          <w:rFonts w:eastAsia="MS Mincho"/>
          <w:szCs w:val="24"/>
          <w:lang w:eastAsia="ja-JP"/>
        </w:rPr>
        <w:t>)</w:t>
      </w:r>
      <w:r w:rsidR="00E621AE" w:rsidRPr="007E6238">
        <w:rPr>
          <w:rFonts w:eastAsia="MS Mincho"/>
          <w:szCs w:val="24"/>
          <w:lang w:eastAsia="ja-JP"/>
        </w:rPr>
        <w:t xml:space="preserve"> </w:t>
      </w:r>
      <w:r w:rsidR="00E621AE" w:rsidRPr="00340DED">
        <w:rPr>
          <w:rFonts w:eastAsia="MS Mincho"/>
          <w:szCs w:val="24"/>
          <w:lang w:eastAsia="ja-JP"/>
        </w:rPr>
        <w:t>criteria</w:t>
      </w:r>
      <w:r w:rsidR="006125F6" w:rsidRPr="00340DED">
        <w:rPr>
          <w:rFonts w:eastAsia="MS Mincho"/>
          <w:szCs w:val="24"/>
          <w:lang w:eastAsia="ja-JP"/>
        </w:rPr>
        <w:t>.</w:t>
      </w:r>
      <w:r w:rsidR="00EE3DB2" w:rsidRPr="00340DED">
        <w:rPr>
          <w:rFonts w:eastAsia="MS Mincho"/>
          <w:szCs w:val="24"/>
          <w:lang w:eastAsia="ja-JP"/>
        </w:rPr>
        <w:t xml:space="preserve"> </w:t>
      </w:r>
    </w:p>
    <w:p w14:paraId="5C1C42F1" w14:textId="36967E25" w:rsidR="003E5F58" w:rsidRPr="00425E3D" w:rsidRDefault="00825E51" w:rsidP="00425E3D">
      <w:pPr>
        <w:pStyle w:val="Default"/>
        <w:spacing w:line="480" w:lineRule="auto"/>
        <w:ind w:firstLine="720"/>
        <w:rPr>
          <w:rFonts w:ascii="Times New Roman" w:hAnsi="Times New Roman" w:cs="Times New Roman"/>
        </w:rPr>
      </w:pPr>
      <w:r w:rsidRPr="00425E3D">
        <w:rPr>
          <w:rFonts w:ascii="Times New Roman" w:hAnsi="Times New Roman" w:cs="Times New Roman"/>
        </w:rPr>
        <w:t xml:space="preserve">Inclusion criteria for the study were the following: </w:t>
      </w:r>
      <w:r w:rsidR="008D09AD" w:rsidRPr="00425E3D">
        <w:rPr>
          <w:rFonts w:ascii="Times New Roman" w:hAnsi="Times New Roman" w:cs="Times New Roman"/>
        </w:rPr>
        <w:t>age</w:t>
      </w:r>
      <w:r w:rsidRPr="00425E3D">
        <w:rPr>
          <w:rFonts w:ascii="Times New Roman" w:hAnsi="Times New Roman" w:cs="Times New Roman"/>
        </w:rPr>
        <w:t>d</w:t>
      </w:r>
      <w:r w:rsidR="008D09AD" w:rsidRPr="00425E3D">
        <w:rPr>
          <w:rFonts w:ascii="Times New Roman" w:hAnsi="Times New Roman" w:cs="Times New Roman"/>
        </w:rPr>
        <w:t xml:space="preserve"> </w:t>
      </w:r>
      <w:r w:rsidR="003E5F58" w:rsidRPr="00425E3D">
        <w:rPr>
          <w:rFonts w:ascii="Times New Roman" w:hAnsi="Times New Roman" w:cs="Times New Roman"/>
        </w:rPr>
        <w:t>18</w:t>
      </w:r>
      <w:r w:rsidR="008D09AD" w:rsidRPr="00425E3D">
        <w:rPr>
          <w:rFonts w:ascii="Times New Roman" w:hAnsi="Times New Roman" w:cs="Times New Roman"/>
        </w:rPr>
        <w:t>-</w:t>
      </w:r>
      <w:r w:rsidR="007A34DE" w:rsidRPr="00425E3D">
        <w:rPr>
          <w:rFonts w:ascii="Times New Roman" w:hAnsi="Times New Roman" w:cs="Times New Roman"/>
        </w:rPr>
        <w:t>6</w:t>
      </w:r>
      <w:r w:rsidR="008D09AD" w:rsidRPr="00425E3D">
        <w:rPr>
          <w:rFonts w:ascii="Times New Roman" w:hAnsi="Times New Roman" w:cs="Times New Roman"/>
        </w:rPr>
        <w:t>5</w:t>
      </w:r>
      <w:r w:rsidR="00443C7D" w:rsidRPr="00425E3D">
        <w:rPr>
          <w:rFonts w:ascii="Times New Roman" w:hAnsi="Times New Roman" w:cs="Times New Roman"/>
        </w:rPr>
        <w:t xml:space="preserve"> years</w:t>
      </w:r>
      <w:r w:rsidR="008D09AD" w:rsidRPr="00425E3D">
        <w:rPr>
          <w:rFonts w:ascii="Times New Roman" w:hAnsi="Times New Roman" w:cs="Times New Roman"/>
        </w:rPr>
        <w:t>;</w:t>
      </w:r>
      <w:r w:rsidRPr="00425E3D">
        <w:rPr>
          <w:rFonts w:ascii="Times New Roman" w:hAnsi="Times New Roman" w:cs="Times New Roman"/>
        </w:rPr>
        <w:t xml:space="preserve"> p</w:t>
      </w:r>
      <w:r w:rsidR="003E5F58" w:rsidRPr="00425E3D">
        <w:rPr>
          <w:rFonts w:ascii="Times New Roman" w:hAnsi="Times New Roman" w:cs="Times New Roman"/>
        </w:rPr>
        <w:t xml:space="preserve">rimary diagnosis of </w:t>
      </w:r>
      <w:r w:rsidR="0017368A" w:rsidRPr="00425E3D">
        <w:rPr>
          <w:rFonts w:ascii="Times New Roman" w:hAnsi="Times New Roman" w:cs="Times New Roman"/>
        </w:rPr>
        <w:t>BPD</w:t>
      </w:r>
      <w:r w:rsidRPr="00425E3D">
        <w:rPr>
          <w:rFonts w:ascii="Times New Roman" w:hAnsi="Times New Roman" w:cs="Times New Roman"/>
        </w:rPr>
        <w:t xml:space="preserve">; a </w:t>
      </w:r>
      <w:r w:rsidR="0017368A" w:rsidRPr="00425E3D">
        <w:rPr>
          <w:rFonts w:ascii="Times New Roman" w:hAnsi="Times New Roman" w:cs="Times New Roman"/>
        </w:rPr>
        <w:t>Z</w:t>
      </w:r>
      <w:r w:rsidR="00340DED" w:rsidRPr="00425E3D">
        <w:rPr>
          <w:rFonts w:ascii="Times New Roman" w:hAnsi="Times New Roman" w:cs="Times New Roman"/>
        </w:rPr>
        <w:t>AN</w:t>
      </w:r>
      <w:r w:rsidR="00844CEF" w:rsidRPr="00425E3D">
        <w:rPr>
          <w:rFonts w:ascii="Times New Roman" w:hAnsi="Times New Roman" w:cs="Times New Roman"/>
        </w:rPr>
        <w:t>-BPD</w:t>
      </w:r>
      <w:r w:rsidR="00A2020F" w:rsidRPr="00425E3D">
        <w:rPr>
          <w:rFonts w:ascii="Times New Roman" w:hAnsi="Times New Roman" w:cs="Times New Roman"/>
        </w:rPr>
        <w:t xml:space="preserve"> </w:t>
      </w:r>
      <w:r w:rsidR="0017368A" w:rsidRPr="00425E3D">
        <w:rPr>
          <w:rFonts w:ascii="Times New Roman" w:hAnsi="Times New Roman" w:cs="Times New Roman"/>
        </w:rPr>
        <w:t>scale</w:t>
      </w:r>
      <w:r w:rsidR="00BE3F01" w:rsidRPr="00425E3D">
        <w:rPr>
          <w:rFonts w:ascii="Times New Roman" w:hAnsi="Times New Roman" w:cs="Times New Roman"/>
        </w:rPr>
        <w:t xml:space="preserve"> </w:t>
      </w:r>
      <w:r w:rsidR="00340DED" w:rsidRPr="00425E3D">
        <w:rPr>
          <w:rFonts w:ascii="Times New Roman" w:hAnsi="Times New Roman" w:cs="Times New Roman"/>
        </w:rPr>
        <w:t xml:space="preserve">total </w:t>
      </w:r>
      <w:r w:rsidR="00BE3F01" w:rsidRPr="00425E3D">
        <w:rPr>
          <w:rFonts w:ascii="Times New Roman" w:hAnsi="Times New Roman" w:cs="Times New Roman"/>
        </w:rPr>
        <w:t xml:space="preserve">score of at least </w:t>
      </w:r>
      <w:r w:rsidR="0017368A" w:rsidRPr="00425E3D">
        <w:rPr>
          <w:rFonts w:ascii="Times New Roman" w:hAnsi="Times New Roman" w:cs="Times New Roman"/>
        </w:rPr>
        <w:t>9</w:t>
      </w:r>
      <w:r w:rsidRPr="00425E3D">
        <w:rPr>
          <w:rFonts w:ascii="Times New Roman" w:hAnsi="Times New Roman" w:cs="Times New Roman"/>
        </w:rPr>
        <w:t xml:space="preserve"> at study entry; and the ab</w:t>
      </w:r>
      <w:r w:rsidR="003E5F58" w:rsidRPr="00425E3D">
        <w:rPr>
          <w:rFonts w:ascii="Times New Roman" w:hAnsi="Times New Roman" w:cs="Times New Roman"/>
        </w:rPr>
        <w:t>ility to understand and sign the consent form.</w:t>
      </w:r>
      <w:r w:rsidR="005523D6" w:rsidRPr="00425E3D">
        <w:rPr>
          <w:rFonts w:ascii="Times New Roman" w:hAnsi="Times New Roman" w:cs="Times New Roman"/>
        </w:rPr>
        <w:t xml:space="preserve"> The following were exclusionary: </w:t>
      </w:r>
      <w:r w:rsidR="00A2020F" w:rsidRPr="00425E3D">
        <w:rPr>
          <w:rFonts w:ascii="Times New Roman" w:hAnsi="Times New Roman" w:cs="Times New Roman"/>
        </w:rPr>
        <w:t>u</w:t>
      </w:r>
      <w:r w:rsidR="008D09AD" w:rsidRPr="00425E3D">
        <w:rPr>
          <w:rFonts w:ascii="Times New Roman" w:hAnsi="Times New Roman" w:cs="Times New Roman"/>
        </w:rPr>
        <w:t>nstable medical illness</w:t>
      </w:r>
      <w:r w:rsidR="005523D6" w:rsidRPr="00425E3D">
        <w:rPr>
          <w:rFonts w:ascii="Times New Roman" w:hAnsi="Times New Roman" w:cs="Times New Roman"/>
        </w:rPr>
        <w:t>; sc</w:t>
      </w:r>
      <w:r w:rsidR="00CE6498" w:rsidRPr="00425E3D">
        <w:rPr>
          <w:rFonts w:ascii="Times New Roman" w:hAnsi="Times New Roman" w:cs="Times New Roman"/>
        </w:rPr>
        <w:t>hizophrenia or bipolar I disorder</w:t>
      </w:r>
      <w:r w:rsidR="005523D6" w:rsidRPr="00425E3D">
        <w:rPr>
          <w:rFonts w:ascii="Times New Roman" w:hAnsi="Times New Roman" w:cs="Times New Roman"/>
        </w:rPr>
        <w:t xml:space="preserve">; </w:t>
      </w:r>
      <w:r w:rsidR="00CE6498" w:rsidRPr="00425E3D">
        <w:rPr>
          <w:rFonts w:ascii="Times New Roman" w:hAnsi="Times New Roman" w:cs="Times New Roman"/>
        </w:rPr>
        <w:t>an active substance use disorder</w:t>
      </w:r>
      <w:r w:rsidR="005523D6" w:rsidRPr="00425E3D">
        <w:rPr>
          <w:rFonts w:ascii="Times New Roman" w:hAnsi="Times New Roman" w:cs="Times New Roman"/>
        </w:rPr>
        <w:t>; c</w:t>
      </w:r>
      <w:r w:rsidR="008D09AD" w:rsidRPr="00425E3D">
        <w:rPr>
          <w:rFonts w:ascii="Times New Roman" w:hAnsi="Times New Roman" w:cs="Times New Roman"/>
        </w:rPr>
        <w:t>urrent pregnancy or lactation, or inadequate contraception in w</w:t>
      </w:r>
      <w:r w:rsidR="00656535" w:rsidRPr="00425E3D">
        <w:rPr>
          <w:rFonts w:ascii="Times New Roman" w:hAnsi="Times New Roman" w:cs="Times New Roman"/>
        </w:rPr>
        <w:t>omen of childbearing potential</w:t>
      </w:r>
      <w:r w:rsidR="005523D6" w:rsidRPr="00425E3D">
        <w:rPr>
          <w:rFonts w:ascii="Times New Roman" w:hAnsi="Times New Roman" w:cs="Times New Roman"/>
        </w:rPr>
        <w:t xml:space="preserve">; </w:t>
      </w:r>
      <w:r w:rsidR="00340DED">
        <w:rPr>
          <w:rFonts w:ascii="Times New Roman" w:hAnsi="Times New Roman" w:cs="Times New Roman"/>
        </w:rPr>
        <w:t xml:space="preserve"> subjects with a s</w:t>
      </w:r>
      <w:r w:rsidR="00340DED" w:rsidRPr="00425E3D">
        <w:rPr>
          <w:rFonts w:ascii="Times New Roman" w:hAnsi="Times New Roman" w:cs="Times New Roman"/>
        </w:rPr>
        <w:t>uicide attempt within the 6-month prior to the</w:t>
      </w:r>
      <w:r w:rsidR="00340DED">
        <w:rPr>
          <w:rFonts w:ascii="Times New Roman" w:hAnsi="Times New Roman" w:cs="Times New Roman"/>
        </w:rPr>
        <w:t xml:space="preserve"> baseline visit</w:t>
      </w:r>
      <w:r w:rsidR="00340DED" w:rsidRPr="00425E3D">
        <w:rPr>
          <w:rFonts w:ascii="Times New Roman" w:hAnsi="Times New Roman" w:cs="Times New Roman"/>
        </w:rPr>
        <w:t xml:space="preserve"> or significant risk of suicide (in the opinion of the investigator, defined as a “yes” to suicidal ideation questions 4 or 5, or answering “yes” to suicidal behavior on the Columbia-Suicide Severity Rating Scale within the past 6-months)</w:t>
      </w:r>
      <w:r w:rsidR="00340DED">
        <w:rPr>
          <w:rFonts w:ascii="Times New Roman" w:hAnsi="Times New Roman" w:cs="Times New Roman"/>
        </w:rPr>
        <w:t xml:space="preserve">; </w:t>
      </w:r>
      <w:r w:rsidR="004E58FD" w:rsidRPr="00340DED">
        <w:rPr>
          <w:rFonts w:ascii="Times New Roman" w:hAnsi="Times New Roman" w:cs="Times New Roman"/>
        </w:rPr>
        <w:t>illicit substa</w:t>
      </w:r>
      <w:r w:rsidR="008D09AD" w:rsidRPr="00340DED">
        <w:rPr>
          <w:rFonts w:ascii="Times New Roman" w:hAnsi="Times New Roman" w:cs="Times New Roman"/>
        </w:rPr>
        <w:t xml:space="preserve">nce </w:t>
      </w:r>
      <w:r w:rsidR="00656535" w:rsidRPr="00340DED">
        <w:rPr>
          <w:rFonts w:ascii="Times New Roman" w:hAnsi="Times New Roman" w:cs="Times New Roman"/>
        </w:rPr>
        <w:t xml:space="preserve">use based </w:t>
      </w:r>
      <w:r w:rsidR="00A77391" w:rsidRPr="00340DED">
        <w:rPr>
          <w:rFonts w:ascii="Times New Roman" w:hAnsi="Times New Roman" w:cs="Times New Roman"/>
        </w:rPr>
        <w:t xml:space="preserve">on urine toxicology </w:t>
      </w:r>
      <w:r w:rsidR="00A77391" w:rsidRPr="00425E3D">
        <w:rPr>
          <w:rFonts w:ascii="Times New Roman" w:hAnsi="Times New Roman" w:cs="Times New Roman"/>
        </w:rPr>
        <w:t>screening</w:t>
      </w:r>
      <w:r w:rsidR="008D09AD" w:rsidRPr="00425E3D">
        <w:rPr>
          <w:rFonts w:ascii="Times New Roman" w:hAnsi="Times New Roman" w:cs="Times New Roman"/>
        </w:rPr>
        <w:t xml:space="preserve"> </w:t>
      </w:r>
      <w:r w:rsidR="00FA1D20" w:rsidRPr="00425E3D">
        <w:rPr>
          <w:rFonts w:ascii="Times New Roman" w:hAnsi="Times New Roman" w:cs="Times New Roman"/>
        </w:rPr>
        <w:t>(excluding marijuana)</w:t>
      </w:r>
      <w:r w:rsidR="005523D6" w:rsidRPr="00425E3D">
        <w:rPr>
          <w:rFonts w:ascii="Times New Roman" w:hAnsi="Times New Roman" w:cs="Times New Roman"/>
        </w:rPr>
        <w:t>; i</w:t>
      </w:r>
      <w:r w:rsidR="008D09AD" w:rsidRPr="00425E3D">
        <w:rPr>
          <w:rFonts w:ascii="Times New Roman" w:hAnsi="Times New Roman" w:cs="Times New Roman"/>
        </w:rPr>
        <w:t xml:space="preserve">nitiation of </w:t>
      </w:r>
      <w:r w:rsidR="00E621AE" w:rsidRPr="00425E3D">
        <w:rPr>
          <w:rFonts w:ascii="Times New Roman" w:hAnsi="Times New Roman" w:cs="Times New Roman"/>
        </w:rPr>
        <w:t>psychological interventions within 3 months of screening</w:t>
      </w:r>
      <w:r w:rsidR="005523D6" w:rsidRPr="00425E3D">
        <w:rPr>
          <w:rFonts w:ascii="Times New Roman" w:hAnsi="Times New Roman" w:cs="Times New Roman"/>
        </w:rPr>
        <w:t>; u</w:t>
      </w:r>
      <w:r w:rsidR="00E621AE" w:rsidRPr="00425E3D">
        <w:rPr>
          <w:rFonts w:ascii="Times New Roman" w:hAnsi="Times New Roman" w:cs="Times New Roman"/>
        </w:rPr>
        <w:t xml:space="preserve">se of </w:t>
      </w:r>
      <w:r w:rsidR="008D09AD" w:rsidRPr="00425E3D">
        <w:rPr>
          <w:rFonts w:ascii="Times New Roman" w:hAnsi="Times New Roman" w:cs="Times New Roman"/>
        </w:rPr>
        <w:t>a</w:t>
      </w:r>
      <w:r w:rsidR="00A77391" w:rsidRPr="00425E3D">
        <w:rPr>
          <w:rFonts w:ascii="Times New Roman" w:hAnsi="Times New Roman" w:cs="Times New Roman"/>
        </w:rPr>
        <w:t>ny</w:t>
      </w:r>
      <w:r w:rsidR="008D09AD" w:rsidRPr="00425E3D">
        <w:rPr>
          <w:rFonts w:ascii="Times New Roman" w:hAnsi="Times New Roman" w:cs="Times New Roman"/>
        </w:rPr>
        <w:t xml:space="preserve"> </w:t>
      </w:r>
      <w:r w:rsidR="00C05876" w:rsidRPr="00425E3D">
        <w:rPr>
          <w:rFonts w:ascii="Times New Roman" w:hAnsi="Times New Roman" w:cs="Times New Roman"/>
        </w:rPr>
        <w:t xml:space="preserve">new </w:t>
      </w:r>
      <w:r w:rsidR="008D09AD" w:rsidRPr="00425E3D">
        <w:rPr>
          <w:rFonts w:ascii="Times New Roman" w:hAnsi="Times New Roman" w:cs="Times New Roman"/>
        </w:rPr>
        <w:t>psychotropic medication</w:t>
      </w:r>
      <w:r w:rsidR="00C05876" w:rsidRPr="00425E3D">
        <w:rPr>
          <w:rFonts w:ascii="Times New Roman" w:hAnsi="Times New Roman" w:cs="Times New Roman"/>
        </w:rPr>
        <w:t xml:space="preserve"> started within the last 3 months prior to study initiation</w:t>
      </w:r>
      <w:r w:rsidR="005523D6" w:rsidRPr="00425E3D">
        <w:rPr>
          <w:rFonts w:ascii="Times New Roman" w:hAnsi="Times New Roman" w:cs="Times New Roman"/>
        </w:rPr>
        <w:t>; p</w:t>
      </w:r>
      <w:r w:rsidR="008D09AD" w:rsidRPr="00425E3D">
        <w:rPr>
          <w:rFonts w:ascii="Times New Roman" w:hAnsi="Times New Roman" w:cs="Times New Roman"/>
        </w:rPr>
        <w:t xml:space="preserve">revious treatment with </w:t>
      </w:r>
      <w:r w:rsidR="005523D6" w:rsidRPr="00425E3D">
        <w:rPr>
          <w:rFonts w:ascii="Times New Roman" w:hAnsi="Times New Roman" w:cs="Times New Roman"/>
        </w:rPr>
        <w:t>b</w:t>
      </w:r>
      <w:r w:rsidR="00BE3F01" w:rsidRPr="00425E3D">
        <w:rPr>
          <w:rFonts w:ascii="Times New Roman" w:hAnsi="Times New Roman" w:cs="Times New Roman"/>
        </w:rPr>
        <w:t>rexpiprazole</w:t>
      </w:r>
      <w:r w:rsidR="005523D6" w:rsidRPr="00425E3D">
        <w:rPr>
          <w:rFonts w:ascii="Times New Roman" w:hAnsi="Times New Roman" w:cs="Times New Roman"/>
        </w:rPr>
        <w:t>; and c</w:t>
      </w:r>
      <w:r w:rsidR="003E5F58" w:rsidRPr="00425E3D">
        <w:rPr>
          <w:rFonts w:ascii="Times New Roman" w:hAnsi="Times New Roman" w:cs="Times New Roman"/>
        </w:rPr>
        <w:t xml:space="preserve">ognitive impairment that </w:t>
      </w:r>
      <w:r w:rsidR="005523D6" w:rsidRPr="00425E3D">
        <w:rPr>
          <w:rFonts w:ascii="Times New Roman" w:hAnsi="Times New Roman" w:cs="Times New Roman"/>
        </w:rPr>
        <w:t xml:space="preserve">might </w:t>
      </w:r>
      <w:r w:rsidR="003E5F58" w:rsidRPr="00425E3D">
        <w:rPr>
          <w:rFonts w:ascii="Times New Roman" w:hAnsi="Times New Roman" w:cs="Times New Roman"/>
        </w:rPr>
        <w:t>interfere with the capacity to understand and self-administer medication or provide written informed consent</w:t>
      </w:r>
      <w:r w:rsidR="00CA1002" w:rsidRPr="00425E3D">
        <w:rPr>
          <w:rFonts w:ascii="Times New Roman" w:hAnsi="Times New Roman" w:cs="Times New Roman"/>
        </w:rPr>
        <w:t>.</w:t>
      </w:r>
    </w:p>
    <w:p w14:paraId="434100FA" w14:textId="77777777" w:rsidR="00E85F0E" w:rsidRPr="002B0B46" w:rsidRDefault="00E85F0E" w:rsidP="00E85F0E">
      <w:pPr>
        <w:spacing w:line="480" w:lineRule="auto"/>
        <w:ind w:firstLine="720"/>
        <w:rPr>
          <w:color w:val="000000"/>
          <w:szCs w:val="24"/>
        </w:rPr>
      </w:pPr>
      <w:r w:rsidRPr="00E85F0E">
        <w:rPr>
          <w:szCs w:val="24"/>
        </w:rPr>
        <w:t>Participants were recruited in the study from the 1st of June 2018 until the 16</w:t>
      </w:r>
      <w:r w:rsidRPr="00E85F0E">
        <w:rPr>
          <w:szCs w:val="24"/>
          <w:vertAlign w:val="superscript"/>
        </w:rPr>
        <w:t>th</w:t>
      </w:r>
      <w:r w:rsidRPr="00E85F0E">
        <w:rPr>
          <w:szCs w:val="24"/>
        </w:rPr>
        <w:t xml:space="preserve"> of December 2020.  </w:t>
      </w:r>
      <w:r w:rsidRPr="00E85F0E">
        <w:rPr>
          <w:rStyle w:val="Emphasis"/>
          <w:i w:val="0"/>
          <w:szCs w:val="24"/>
        </w:rPr>
        <w:t>The authors assert that all procedures contributing to this work compl</w:t>
      </w:r>
      <w:r w:rsidR="00CA1002">
        <w:rPr>
          <w:rStyle w:val="Emphasis"/>
          <w:i w:val="0"/>
          <w:szCs w:val="24"/>
        </w:rPr>
        <w:t>ied</w:t>
      </w:r>
      <w:r w:rsidRPr="00E85F0E">
        <w:rPr>
          <w:rStyle w:val="Emphasis"/>
          <w:i w:val="0"/>
          <w:szCs w:val="24"/>
        </w:rPr>
        <w:t xml:space="preserve"> with the ethical standards of the relevant national and institutional committees on human experimentation and with the Helsinki Declaration of 1975, as revised in 2008. All procedures involving human subjects/patients were approved by the</w:t>
      </w:r>
      <w:r w:rsidRPr="00E85F0E">
        <w:rPr>
          <w:szCs w:val="24"/>
        </w:rPr>
        <w:t xml:space="preserve"> University of Chicago Institutional Review Board.</w:t>
      </w:r>
      <w:r w:rsidRPr="0041367C">
        <w:rPr>
          <w:szCs w:val="24"/>
        </w:rPr>
        <w:t xml:space="preserve"> After a comprehensive explanation of study procedures and an opportunity to ask any questions, </w:t>
      </w:r>
      <w:r>
        <w:rPr>
          <w:szCs w:val="24"/>
        </w:rPr>
        <w:t>all participants</w:t>
      </w:r>
      <w:r w:rsidRPr="0041367C">
        <w:rPr>
          <w:szCs w:val="24"/>
        </w:rPr>
        <w:t xml:space="preserve"> provided written informed consent. </w:t>
      </w:r>
      <w:r w:rsidR="00587178">
        <w:rPr>
          <w:szCs w:val="24"/>
        </w:rPr>
        <w:t>Participants</w:t>
      </w:r>
      <w:r w:rsidR="00CA1002" w:rsidRPr="002B0B46">
        <w:rPr>
          <w:color w:val="000000"/>
          <w:szCs w:val="24"/>
        </w:rPr>
        <w:t xml:space="preserve"> </w:t>
      </w:r>
      <w:r w:rsidRPr="002B0B46">
        <w:rPr>
          <w:color w:val="000000"/>
          <w:szCs w:val="24"/>
        </w:rPr>
        <w:t xml:space="preserve">were compensated </w:t>
      </w:r>
      <w:r w:rsidR="009A28F2">
        <w:rPr>
          <w:color w:val="000000"/>
          <w:szCs w:val="24"/>
        </w:rPr>
        <w:t>2</w:t>
      </w:r>
      <w:r>
        <w:rPr>
          <w:color w:val="000000"/>
          <w:szCs w:val="24"/>
        </w:rPr>
        <w:t>00</w:t>
      </w:r>
      <w:r w:rsidRPr="002B0B46">
        <w:rPr>
          <w:color w:val="000000"/>
          <w:szCs w:val="24"/>
        </w:rPr>
        <w:t xml:space="preserve"> USD for time and travel</w:t>
      </w:r>
      <w:r>
        <w:rPr>
          <w:color w:val="000000"/>
          <w:szCs w:val="24"/>
        </w:rPr>
        <w:t xml:space="preserve"> associated with the </w:t>
      </w:r>
      <w:r w:rsidR="009A28F2">
        <w:rPr>
          <w:color w:val="000000"/>
          <w:szCs w:val="24"/>
        </w:rPr>
        <w:t>ten</w:t>
      </w:r>
      <w:r>
        <w:rPr>
          <w:color w:val="000000"/>
          <w:szCs w:val="24"/>
        </w:rPr>
        <w:t xml:space="preserve"> </w:t>
      </w:r>
      <w:r w:rsidR="00CA1002">
        <w:rPr>
          <w:color w:val="000000"/>
          <w:szCs w:val="24"/>
        </w:rPr>
        <w:t xml:space="preserve">study </w:t>
      </w:r>
      <w:r w:rsidR="00587178">
        <w:rPr>
          <w:color w:val="000000"/>
          <w:szCs w:val="24"/>
        </w:rPr>
        <w:t>visits</w:t>
      </w:r>
      <w:r w:rsidRPr="002B0B46">
        <w:rPr>
          <w:color w:val="000000"/>
          <w:szCs w:val="24"/>
        </w:rPr>
        <w:t>.</w:t>
      </w:r>
    </w:p>
    <w:p w14:paraId="2FCF401A" w14:textId="77777777" w:rsidR="009A28F2" w:rsidRDefault="009A28F2" w:rsidP="009A28F2">
      <w:pPr>
        <w:spacing w:line="480" w:lineRule="auto"/>
        <w:rPr>
          <w:rFonts w:ascii="Arial" w:hAnsi="Arial" w:cs="Arial"/>
          <w:sz w:val="22"/>
          <w:szCs w:val="22"/>
        </w:rPr>
      </w:pPr>
    </w:p>
    <w:p w14:paraId="3CDAF1A6" w14:textId="77777777" w:rsidR="009A28F2" w:rsidRPr="00587178" w:rsidRDefault="009A28F2" w:rsidP="003E1890">
      <w:pPr>
        <w:spacing w:line="480" w:lineRule="auto"/>
        <w:rPr>
          <w:b/>
          <w:i/>
          <w:szCs w:val="24"/>
        </w:rPr>
      </w:pPr>
      <w:r w:rsidRPr="00587178">
        <w:rPr>
          <w:b/>
          <w:i/>
          <w:szCs w:val="24"/>
        </w:rPr>
        <w:t>Study Design</w:t>
      </w:r>
    </w:p>
    <w:p w14:paraId="36753CBB" w14:textId="1D6404FF" w:rsidR="003E1890" w:rsidRPr="005D6713" w:rsidRDefault="009A28F2" w:rsidP="003E1890">
      <w:pPr>
        <w:spacing w:line="480" w:lineRule="auto"/>
        <w:ind w:firstLine="720"/>
        <w:rPr>
          <w:szCs w:val="24"/>
        </w:rPr>
      </w:pPr>
      <w:r w:rsidRPr="009A28F2">
        <w:rPr>
          <w:szCs w:val="24"/>
        </w:rPr>
        <w:t>Eligible participants were assigned to 1</w:t>
      </w:r>
      <w:r w:rsidR="00240B4A">
        <w:rPr>
          <w:szCs w:val="24"/>
        </w:rPr>
        <w:t>3</w:t>
      </w:r>
      <w:r w:rsidRPr="009A28F2">
        <w:rPr>
          <w:szCs w:val="24"/>
        </w:rPr>
        <w:t xml:space="preserve"> weeks of double-blind</w:t>
      </w:r>
      <w:r>
        <w:rPr>
          <w:szCs w:val="24"/>
        </w:rPr>
        <w:t xml:space="preserve"> brexpiprazole</w:t>
      </w:r>
      <w:r w:rsidRPr="009A28F2">
        <w:rPr>
          <w:szCs w:val="24"/>
        </w:rPr>
        <w:t xml:space="preserve"> or placebo treatment</w:t>
      </w:r>
      <w:r>
        <w:rPr>
          <w:szCs w:val="24"/>
        </w:rPr>
        <w:t xml:space="preserve"> (</w:t>
      </w:r>
      <w:r w:rsidR="00240B4A">
        <w:rPr>
          <w:szCs w:val="24"/>
        </w:rPr>
        <w:t xml:space="preserve">12 weeks of treatment </w:t>
      </w:r>
      <w:r>
        <w:rPr>
          <w:szCs w:val="24"/>
        </w:rPr>
        <w:t>with a 13</w:t>
      </w:r>
      <w:r w:rsidRPr="009A28F2">
        <w:rPr>
          <w:szCs w:val="24"/>
          <w:vertAlign w:val="superscript"/>
        </w:rPr>
        <w:t>th</w:t>
      </w:r>
      <w:r>
        <w:rPr>
          <w:szCs w:val="24"/>
        </w:rPr>
        <w:t xml:space="preserve"> week tapering</w:t>
      </w:r>
      <w:r w:rsidR="004B3FD0">
        <w:rPr>
          <w:szCs w:val="24"/>
        </w:rPr>
        <w:t>/safety</w:t>
      </w:r>
      <w:r>
        <w:rPr>
          <w:szCs w:val="24"/>
        </w:rPr>
        <w:t xml:space="preserve"> phase)</w:t>
      </w:r>
      <w:r w:rsidRPr="009A28F2">
        <w:rPr>
          <w:szCs w:val="24"/>
        </w:rPr>
        <w:t xml:space="preserve">. </w:t>
      </w:r>
      <w:r>
        <w:rPr>
          <w:szCs w:val="24"/>
        </w:rPr>
        <w:t>The U</w:t>
      </w:r>
      <w:r w:rsidRPr="009A28F2">
        <w:rPr>
          <w:szCs w:val="24"/>
        </w:rPr>
        <w:t>niversity</w:t>
      </w:r>
      <w:r>
        <w:rPr>
          <w:szCs w:val="24"/>
        </w:rPr>
        <w:t xml:space="preserve"> of Chicago</w:t>
      </w:r>
      <w:r w:rsidRPr="009A28F2">
        <w:rPr>
          <w:szCs w:val="24"/>
        </w:rPr>
        <w:t xml:space="preserve">’s investigational pharmacy </w:t>
      </w:r>
      <w:r w:rsidR="008C497C">
        <w:rPr>
          <w:szCs w:val="24"/>
        </w:rPr>
        <w:t xml:space="preserve">– which was independent of the research team – </w:t>
      </w:r>
      <w:r w:rsidRPr="009A28F2">
        <w:rPr>
          <w:szCs w:val="24"/>
        </w:rPr>
        <w:t>randomized all participants</w:t>
      </w:r>
      <w:r>
        <w:rPr>
          <w:szCs w:val="24"/>
        </w:rPr>
        <w:t xml:space="preserve"> </w:t>
      </w:r>
      <w:r w:rsidRPr="009A28F2">
        <w:rPr>
          <w:szCs w:val="24"/>
        </w:rPr>
        <w:t>(block sizes of 8, using computer-generated randomization</w:t>
      </w:r>
      <w:r>
        <w:rPr>
          <w:szCs w:val="24"/>
        </w:rPr>
        <w:t xml:space="preserve"> </w:t>
      </w:r>
      <w:r w:rsidRPr="009A28F2">
        <w:rPr>
          <w:szCs w:val="24"/>
        </w:rPr>
        <w:t>with no clinical information) to either the</w:t>
      </w:r>
      <w:r>
        <w:rPr>
          <w:szCs w:val="24"/>
        </w:rPr>
        <w:t xml:space="preserve"> brexpiprazole</w:t>
      </w:r>
      <w:r w:rsidRPr="009A28F2">
        <w:rPr>
          <w:szCs w:val="24"/>
        </w:rPr>
        <w:t xml:space="preserve"> or</w:t>
      </w:r>
      <w:r>
        <w:rPr>
          <w:szCs w:val="24"/>
        </w:rPr>
        <w:t xml:space="preserve"> </w:t>
      </w:r>
      <w:r w:rsidRPr="009A28F2">
        <w:rPr>
          <w:szCs w:val="24"/>
        </w:rPr>
        <w:t xml:space="preserve">matching placebo </w:t>
      </w:r>
      <w:r w:rsidR="00240B4A">
        <w:rPr>
          <w:szCs w:val="24"/>
        </w:rPr>
        <w:t>i</w:t>
      </w:r>
      <w:r w:rsidRPr="009A28F2">
        <w:rPr>
          <w:szCs w:val="24"/>
        </w:rPr>
        <w:t xml:space="preserve">n a 1:1 fashion. </w:t>
      </w:r>
      <w:r w:rsidR="003E1890" w:rsidRPr="005D6713">
        <w:rPr>
          <w:szCs w:val="24"/>
        </w:rPr>
        <w:t>The study blind w</w:t>
      </w:r>
      <w:r w:rsidR="003E1890">
        <w:rPr>
          <w:szCs w:val="24"/>
        </w:rPr>
        <w:t>as</w:t>
      </w:r>
      <w:r w:rsidR="003E1890" w:rsidRPr="005D6713">
        <w:rPr>
          <w:szCs w:val="24"/>
        </w:rPr>
        <w:t xml:space="preserve"> maintained by </w:t>
      </w:r>
      <w:r w:rsidR="003E1890">
        <w:rPr>
          <w:szCs w:val="24"/>
        </w:rPr>
        <w:t>having</w:t>
      </w:r>
      <w:r w:rsidR="003E1890" w:rsidRPr="005D6713">
        <w:rPr>
          <w:szCs w:val="24"/>
        </w:rPr>
        <w:t xml:space="preserve"> placebo and active treatments </w:t>
      </w:r>
      <w:r w:rsidR="008C497C">
        <w:rPr>
          <w:szCs w:val="24"/>
        </w:rPr>
        <w:t>of</w:t>
      </w:r>
      <w:r w:rsidR="008C497C" w:rsidRPr="005D6713">
        <w:rPr>
          <w:szCs w:val="24"/>
        </w:rPr>
        <w:t xml:space="preserve"> </w:t>
      </w:r>
      <w:r w:rsidR="003E1890" w:rsidRPr="005D6713">
        <w:rPr>
          <w:szCs w:val="24"/>
        </w:rPr>
        <w:t>identical size, weight, shape, and color</w:t>
      </w:r>
      <w:r w:rsidR="008C497C">
        <w:rPr>
          <w:szCs w:val="24"/>
        </w:rPr>
        <w:t xml:space="preserve">, as confirmed by the independent pharmacy. </w:t>
      </w:r>
    </w:p>
    <w:p w14:paraId="4AA79A17" w14:textId="738FEEB5" w:rsidR="009A28F2" w:rsidRPr="009A28F2" w:rsidRDefault="009A28F2" w:rsidP="003E1890">
      <w:pPr>
        <w:spacing w:line="480" w:lineRule="auto"/>
        <w:ind w:firstLine="720"/>
        <w:rPr>
          <w:szCs w:val="24"/>
        </w:rPr>
      </w:pPr>
      <w:r w:rsidRPr="009A28F2">
        <w:rPr>
          <w:szCs w:val="24"/>
        </w:rPr>
        <w:t>All participants were</w:t>
      </w:r>
      <w:r>
        <w:rPr>
          <w:szCs w:val="24"/>
        </w:rPr>
        <w:t xml:space="preserve"> </w:t>
      </w:r>
      <w:r w:rsidR="0059668D">
        <w:rPr>
          <w:szCs w:val="24"/>
        </w:rPr>
        <w:t>assessed</w:t>
      </w:r>
      <w:r w:rsidRPr="009A28F2">
        <w:rPr>
          <w:szCs w:val="24"/>
        </w:rPr>
        <w:t xml:space="preserve"> </w:t>
      </w:r>
      <w:r w:rsidRPr="00EE3DB2">
        <w:rPr>
          <w:rFonts w:eastAsia="MS Mincho"/>
          <w:szCs w:val="24"/>
          <w:lang w:eastAsia="ja-JP"/>
        </w:rPr>
        <w:t>e</w:t>
      </w:r>
      <w:r w:rsidR="00240B4A">
        <w:rPr>
          <w:rFonts w:eastAsia="MS Mincho"/>
          <w:szCs w:val="24"/>
          <w:lang w:eastAsia="ja-JP"/>
        </w:rPr>
        <w:t>ach</w:t>
      </w:r>
      <w:r w:rsidRPr="00EE3DB2">
        <w:rPr>
          <w:rFonts w:eastAsia="MS Mincho"/>
          <w:szCs w:val="24"/>
          <w:lang w:eastAsia="ja-JP"/>
        </w:rPr>
        <w:t xml:space="preserve"> </w:t>
      </w:r>
      <w:r>
        <w:rPr>
          <w:rFonts w:eastAsia="MS Mincho"/>
          <w:szCs w:val="24"/>
          <w:lang w:eastAsia="ja-JP"/>
        </w:rPr>
        <w:t xml:space="preserve">week for the first 2 weeks and then every </w:t>
      </w:r>
      <w:r w:rsidRPr="00EE3DB2">
        <w:rPr>
          <w:rFonts w:eastAsia="MS Mincho"/>
          <w:szCs w:val="24"/>
          <w:lang w:eastAsia="ja-JP"/>
        </w:rPr>
        <w:t xml:space="preserve">2 weeks </w:t>
      </w:r>
      <w:r>
        <w:rPr>
          <w:rFonts w:eastAsia="MS Mincho"/>
          <w:szCs w:val="24"/>
          <w:lang w:eastAsia="ja-JP"/>
        </w:rPr>
        <w:t>after that</w:t>
      </w:r>
      <w:r w:rsidRPr="00EE3DB2">
        <w:rPr>
          <w:rFonts w:eastAsia="MS Mincho"/>
          <w:szCs w:val="24"/>
          <w:lang w:eastAsia="ja-JP"/>
        </w:rPr>
        <w:t xml:space="preserve">. </w:t>
      </w:r>
      <w:r>
        <w:rPr>
          <w:rFonts w:eastAsia="MS Mincho"/>
          <w:szCs w:val="24"/>
          <w:lang w:eastAsia="ja-JP"/>
        </w:rPr>
        <w:t>At week 12, participants were started on a 1-week taper off the medication</w:t>
      </w:r>
      <w:r w:rsidR="0059668D">
        <w:rPr>
          <w:rFonts w:eastAsia="MS Mincho"/>
          <w:szCs w:val="24"/>
          <w:lang w:eastAsia="ja-JP"/>
        </w:rPr>
        <w:t>/placebo</w:t>
      </w:r>
      <w:r>
        <w:rPr>
          <w:rFonts w:eastAsia="MS Mincho"/>
          <w:szCs w:val="24"/>
          <w:lang w:eastAsia="ja-JP"/>
        </w:rPr>
        <w:t xml:space="preserve">. </w:t>
      </w:r>
      <w:r w:rsidRPr="009A28F2">
        <w:rPr>
          <w:szCs w:val="24"/>
        </w:rPr>
        <w:t>The initial dose</w:t>
      </w:r>
      <w:r>
        <w:rPr>
          <w:szCs w:val="24"/>
        </w:rPr>
        <w:t xml:space="preserve"> </w:t>
      </w:r>
      <w:r w:rsidRPr="009A28F2">
        <w:rPr>
          <w:szCs w:val="24"/>
        </w:rPr>
        <w:t>of</w:t>
      </w:r>
      <w:r>
        <w:rPr>
          <w:szCs w:val="24"/>
        </w:rPr>
        <w:t xml:space="preserve"> brexpiprazole</w:t>
      </w:r>
      <w:r w:rsidRPr="009A28F2">
        <w:rPr>
          <w:szCs w:val="24"/>
        </w:rPr>
        <w:t xml:space="preserve"> was 1 mg/d and was increased to 2mg/d by week </w:t>
      </w:r>
      <w:r>
        <w:rPr>
          <w:szCs w:val="24"/>
        </w:rPr>
        <w:t xml:space="preserve">2 and then remained at 2mg/d for </w:t>
      </w:r>
      <w:r w:rsidRPr="009A28F2">
        <w:rPr>
          <w:szCs w:val="24"/>
        </w:rPr>
        <w:t xml:space="preserve">the remaining </w:t>
      </w:r>
      <w:r>
        <w:rPr>
          <w:szCs w:val="24"/>
        </w:rPr>
        <w:t>10</w:t>
      </w:r>
      <w:r w:rsidRPr="009A28F2">
        <w:rPr>
          <w:szCs w:val="24"/>
        </w:rPr>
        <w:t xml:space="preserve"> weeks of the study. </w:t>
      </w:r>
      <w:r w:rsidR="003E1890" w:rsidRPr="00E621AE">
        <w:rPr>
          <w:szCs w:val="24"/>
        </w:rPr>
        <w:t>Dosage changes and reductions w</w:t>
      </w:r>
      <w:r w:rsidR="003E1890">
        <w:rPr>
          <w:szCs w:val="24"/>
        </w:rPr>
        <w:t>ere</w:t>
      </w:r>
      <w:r w:rsidR="003E1890" w:rsidRPr="00E621AE">
        <w:rPr>
          <w:szCs w:val="24"/>
        </w:rPr>
        <w:t xml:space="preserve"> not permitted</w:t>
      </w:r>
      <w:r w:rsidR="003E1890">
        <w:rPr>
          <w:szCs w:val="24"/>
        </w:rPr>
        <w:t>,</w:t>
      </w:r>
      <w:r w:rsidR="003E1890" w:rsidRPr="003E1890">
        <w:rPr>
          <w:szCs w:val="24"/>
        </w:rPr>
        <w:t xml:space="preserve"> </w:t>
      </w:r>
      <w:r w:rsidR="003E1890" w:rsidRPr="005D6713">
        <w:rPr>
          <w:szCs w:val="24"/>
        </w:rPr>
        <w:t>and participants w</w:t>
      </w:r>
      <w:r w:rsidR="003E1890">
        <w:rPr>
          <w:szCs w:val="24"/>
        </w:rPr>
        <w:t>ere</w:t>
      </w:r>
      <w:r w:rsidR="003E1890" w:rsidRPr="005D6713">
        <w:rPr>
          <w:szCs w:val="24"/>
        </w:rPr>
        <w:t xml:space="preserve"> discontinued if they experienced intolera</w:t>
      </w:r>
      <w:r w:rsidR="00587178">
        <w:rPr>
          <w:szCs w:val="24"/>
        </w:rPr>
        <w:t>ble side effects</w:t>
      </w:r>
      <w:r w:rsidR="003E1890" w:rsidRPr="005D6713">
        <w:rPr>
          <w:szCs w:val="24"/>
        </w:rPr>
        <w:t>.</w:t>
      </w:r>
      <w:r w:rsidR="00587178">
        <w:rPr>
          <w:szCs w:val="24"/>
        </w:rPr>
        <w:t xml:space="preserve">  </w:t>
      </w:r>
      <w:r w:rsidRPr="009A28F2">
        <w:rPr>
          <w:szCs w:val="24"/>
        </w:rPr>
        <w:t>The dose range was based on safety and efficacy data from</w:t>
      </w:r>
      <w:r>
        <w:rPr>
          <w:szCs w:val="24"/>
        </w:rPr>
        <w:t xml:space="preserve"> </w:t>
      </w:r>
      <w:r w:rsidR="00526098">
        <w:rPr>
          <w:szCs w:val="24"/>
        </w:rPr>
        <w:t xml:space="preserve">previous </w:t>
      </w:r>
      <w:r w:rsidRPr="009A28F2">
        <w:rPr>
          <w:szCs w:val="24"/>
        </w:rPr>
        <w:t>studies using</w:t>
      </w:r>
      <w:r>
        <w:rPr>
          <w:szCs w:val="24"/>
        </w:rPr>
        <w:t xml:space="preserve"> brexpiprazole. </w:t>
      </w:r>
      <w:r w:rsidRPr="009A28F2">
        <w:rPr>
          <w:szCs w:val="24"/>
        </w:rPr>
        <w:t>We se</w:t>
      </w:r>
      <w:r>
        <w:rPr>
          <w:szCs w:val="24"/>
        </w:rPr>
        <w:t xml:space="preserve">lected the maximum dose of 2mg/d, which is lower than the FDA approved </w:t>
      </w:r>
      <w:r w:rsidRPr="009A28F2">
        <w:rPr>
          <w:szCs w:val="24"/>
        </w:rPr>
        <w:t>maxim</w:t>
      </w:r>
      <w:r>
        <w:rPr>
          <w:szCs w:val="24"/>
        </w:rPr>
        <w:t>um</w:t>
      </w:r>
      <w:r w:rsidRPr="009A28F2">
        <w:rPr>
          <w:szCs w:val="24"/>
        </w:rPr>
        <w:t xml:space="preserve"> dose</w:t>
      </w:r>
      <w:r>
        <w:rPr>
          <w:szCs w:val="24"/>
        </w:rPr>
        <w:t xml:space="preserve"> of 3mg/d</w:t>
      </w:r>
      <w:r w:rsidR="00D37DDA">
        <w:rPr>
          <w:szCs w:val="24"/>
        </w:rPr>
        <w:t xml:space="preserve"> for major depressive disorder</w:t>
      </w:r>
      <w:r w:rsidR="00587178">
        <w:rPr>
          <w:szCs w:val="24"/>
        </w:rPr>
        <w:t>,</w:t>
      </w:r>
      <w:r w:rsidRPr="009A28F2">
        <w:rPr>
          <w:szCs w:val="24"/>
        </w:rPr>
        <w:t xml:space="preserve"> because </w:t>
      </w:r>
      <w:r>
        <w:rPr>
          <w:szCs w:val="24"/>
        </w:rPr>
        <w:t xml:space="preserve">of </w:t>
      </w:r>
      <w:r w:rsidR="003E1890">
        <w:rPr>
          <w:szCs w:val="24"/>
        </w:rPr>
        <w:t>in</w:t>
      </w:r>
      <w:r>
        <w:rPr>
          <w:szCs w:val="24"/>
        </w:rPr>
        <w:t>creas</w:t>
      </w:r>
      <w:r w:rsidR="003E1890">
        <w:rPr>
          <w:szCs w:val="24"/>
        </w:rPr>
        <w:t xml:space="preserve">ed potential for </w:t>
      </w:r>
      <w:r>
        <w:rPr>
          <w:szCs w:val="24"/>
        </w:rPr>
        <w:t>side effect</w:t>
      </w:r>
      <w:r w:rsidR="003E1890">
        <w:rPr>
          <w:szCs w:val="24"/>
        </w:rPr>
        <w:t>s</w:t>
      </w:r>
      <w:r>
        <w:rPr>
          <w:szCs w:val="24"/>
        </w:rPr>
        <w:t xml:space="preserve"> at the 3mg/d dose</w:t>
      </w:r>
      <w:r w:rsidRPr="009A28F2">
        <w:rPr>
          <w:szCs w:val="24"/>
        </w:rPr>
        <w:t>.</w:t>
      </w:r>
      <w:r w:rsidR="00E85F0E" w:rsidRPr="009A28F2">
        <w:rPr>
          <w:szCs w:val="24"/>
        </w:rPr>
        <w:tab/>
      </w:r>
    </w:p>
    <w:p w14:paraId="1ACF3B20" w14:textId="6574B557" w:rsidR="00E85F0E" w:rsidRPr="00883BD4" w:rsidRDefault="00E85F0E" w:rsidP="003E1890">
      <w:pPr>
        <w:spacing w:line="480" w:lineRule="auto"/>
        <w:ind w:firstLine="720"/>
        <w:rPr>
          <w:szCs w:val="24"/>
        </w:rPr>
      </w:pPr>
      <w:r w:rsidRPr="00315014">
        <w:rPr>
          <w:szCs w:val="24"/>
        </w:rPr>
        <w:t>All efficacy and safety assessments w</w:t>
      </w:r>
      <w:r>
        <w:rPr>
          <w:szCs w:val="24"/>
        </w:rPr>
        <w:t>ere</w:t>
      </w:r>
      <w:r w:rsidRPr="00315014">
        <w:rPr>
          <w:szCs w:val="24"/>
        </w:rPr>
        <w:t xml:space="preserve"> performed at each visit.  </w:t>
      </w:r>
      <w:r w:rsidR="009A28F2">
        <w:rPr>
          <w:szCs w:val="24"/>
        </w:rPr>
        <w:t>Participants</w:t>
      </w:r>
      <w:r w:rsidRPr="00315014">
        <w:rPr>
          <w:szCs w:val="24"/>
        </w:rPr>
        <w:t xml:space="preserve"> who </w:t>
      </w:r>
      <w:r>
        <w:rPr>
          <w:szCs w:val="24"/>
        </w:rPr>
        <w:t>we</w:t>
      </w:r>
      <w:r w:rsidRPr="00315014">
        <w:rPr>
          <w:szCs w:val="24"/>
        </w:rPr>
        <w:t>re not compliant with their use of study medication (</w:t>
      </w:r>
      <w:r w:rsidR="00703251">
        <w:rPr>
          <w:szCs w:val="24"/>
        </w:rPr>
        <w:t xml:space="preserve">defined </w:t>
      </w:r>
      <w:r w:rsidR="00703251" w:rsidRPr="004B3FD0">
        <w:rPr>
          <w:i/>
          <w:szCs w:val="24"/>
        </w:rPr>
        <w:t>a priori</w:t>
      </w:r>
      <w:r w:rsidR="00703251">
        <w:rPr>
          <w:szCs w:val="24"/>
        </w:rPr>
        <w:t xml:space="preserve"> as</w:t>
      </w:r>
      <w:r w:rsidRPr="00315014">
        <w:rPr>
          <w:szCs w:val="24"/>
        </w:rPr>
        <w:t xml:space="preserve"> failing to take </w:t>
      </w:r>
      <w:r w:rsidR="00526098">
        <w:rPr>
          <w:szCs w:val="24"/>
        </w:rPr>
        <w:t xml:space="preserve">placebo or active </w:t>
      </w:r>
      <w:r w:rsidRPr="00315014">
        <w:rPr>
          <w:szCs w:val="24"/>
        </w:rPr>
        <w:t>medication for three or more consecutive days) w</w:t>
      </w:r>
      <w:r>
        <w:rPr>
          <w:szCs w:val="24"/>
        </w:rPr>
        <w:t>ere</w:t>
      </w:r>
      <w:r w:rsidRPr="00315014">
        <w:rPr>
          <w:szCs w:val="24"/>
        </w:rPr>
        <w:t xml:space="preserve"> discontinued from the study. </w:t>
      </w:r>
      <w:r>
        <w:rPr>
          <w:szCs w:val="24"/>
        </w:rPr>
        <w:t xml:space="preserve"> </w:t>
      </w:r>
      <w:r w:rsidRPr="000C1A51">
        <w:rPr>
          <w:szCs w:val="24"/>
        </w:rPr>
        <w:t xml:space="preserve">Due to the </w:t>
      </w:r>
      <w:r w:rsidR="00240B4A">
        <w:rPr>
          <w:szCs w:val="24"/>
        </w:rPr>
        <w:t xml:space="preserve">COVID19 </w:t>
      </w:r>
      <w:r w:rsidRPr="000C1A51">
        <w:rPr>
          <w:szCs w:val="24"/>
        </w:rPr>
        <w:t xml:space="preserve">pandemic, study participants </w:t>
      </w:r>
      <w:r w:rsidR="004E58FD">
        <w:rPr>
          <w:szCs w:val="24"/>
        </w:rPr>
        <w:t xml:space="preserve">(subjects 62 through 80) </w:t>
      </w:r>
      <w:r w:rsidRPr="000C1A51">
        <w:rPr>
          <w:szCs w:val="24"/>
        </w:rPr>
        <w:t xml:space="preserve">were allowed to perform their baseline and follow-up visits online using encrypted </w:t>
      </w:r>
      <w:r>
        <w:rPr>
          <w:szCs w:val="24"/>
        </w:rPr>
        <w:t>videoconferencing</w:t>
      </w:r>
      <w:r w:rsidRPr="000C1A51">
        <w:rPr>
          <w:szCs w:val="24"/>
        </w:rPr>
        <w:t xml:space="preserve"> </w:t>
      </w:r>
      <w:r>
        <w:rPr>
          <w:szCs w:val="24"/>
        </w:rPr>
        <w:t xml:space="preserve">with the clinician, </w:t>
      </w:r>
      <w:r w:rsidRPr="000C1A51">
        <w:rPr>
          <w:szCs w:val="24"/>
        </w:rPr>
        <w:t>instead of in person visits. Blood samples, however, were at the discretion of the study investigator, and where considered medically necessary, the participant had them drawn locally and submitted to the study team.</w:t>
      </w:r>
    </w:p>
    <w:p w14:paraId="1B1BFB24" w14:textId="77777777" w:rsidR="00A77391" w:rsidRDefault="00A77391">
      <w:pPr>
        <w:rPr>
          <w:szCs w:val="24"/>
        </w:rPr>
      </w:pPr>
    </w:p>
    <w:p w14:paraId="1B7E569E" w14:textId="77777777" w:rsidR="00A14812" w:rsidRPr="00A14812" w:rsidRDefault="00A14812">
      <w:pPr>
        <w:rPr>
          <w:szCs w:val="24"/>
        </w:rPr>
      </w:pPr>
    </w:p>
    <w:p w14:paraId="58CDAA43" w14:textId="77777777" w:rsidR="00314298" w:rsidRPr="00587178" w:rsidRDefault="001279FF" w:rsidP="003E1890">
      <w:pPr>
        <w:spacing w:line="480" w:lineRule="auto"/>
        <w:rPr>
          <w:i/>
          <w:szCs w:val="24"/>
        </w:rPr>
      </w:pPr>
      <w:r w:rsidRPr="00587178">
        <w:rPr>
          <w:b/>
          <w:i/>
          <w:szCs w:val="24"/>
        </w:rPr>
        <w:t>Assessments</w:t>
      </w:r>
      <w:r w:rsidRPr="00587178">
        <w:rPr>
          <w:i/>
          <w:szCs w:val="24"/>
        </w:rPr>
        <w:t xml:space="preserve"> </w:t>
      </w:r>
    </w:p>
    <w:p w14:paraId="6509B563" w14:textId="6F2ADE59" w:rsidR="004C152A" w:rsidRDefault="001A692E" w:rsidP="003E1890">
      <w:pPr>
        <w:spacing w:line="480" w:lineRule="auto"/>
        <w:ind w:firstLine="720"/>
        <w:rPr>
          <w:szCs w:val="24"/>
        </w:rPr>
      </w:pPr>
      <w:r>
        <w:rPr>
          <w:szCs w:val="24"/>
        </w:rPr>
        <w:t xml:space="preserve">Those </w:t>
      </w:r>
      <w:r w:rsidR="003E1890">
        <w:rPr>
          <w:szCs w:val="24"/>
        </w:rPr>
        <w:t>individuals</w:t>
      </w:r>
      <w:r>
        <w:rPr>
          <w:szCs w:val="24"/>
        </w:rPr>
        <w:t xml:space="preserve"> who appear</w:t>
      </w:r>
      <w:r w:rsidR="003E1890">
        <w:rPr>
          <w:szCs w:val="24"/>
        </w:rPr>
        <w:t>ed</w:t>
      </w:r>
      <w:r>
        <w:rPr>
          <w:szCs w:val="24"/>
        </w:rPr>
        <w:t xml:space="preserve"> appropriate for the study</w:t>
      </w:r>
      <w:r w:rsidR="0006778F">
        <w:rPr>
          <w:szCs w:val="24"/>
        </w:rPr>
        <w:t>,</w:t>
      </w:r>
      <w:r>
        <w:rPr>
          <w:szCs w:val="24"/>
        </w:rPr>
        <w:t xml:space="preserve"> based on telephone screening</w:t>
      </w:r>
      <w:r w:rsidR="0006778F">
        <w:rPr>
          <w:szCs w:val="24"/>
        </w:rPr>
        <w:t xml:space="preserve">, </w:t>
      </w:r>
      <w:r>
        <w:rPr>
          <w:szCs w:val="24"/>
        </w:rPr>
        <w:t>w</w:t>
      </w:r>
      <w:r w:rsidR="003E1890">
        <w:rPr>
          <w:szCs w:val="24"/>
        </w:rPr>
        <w:t>ere</w:t>
      </w:r>
      <w:r>
        <w:rPr>
          <w:szCs w:val="24"/>
        </w:rPr>
        <w:t xml:space="preserve"> invited for a baseline assessment. The duration of the baseline assessment w</w:t>
      </w:r>
      <w:r w:rsidR="003E1890">
        <w:rPr>
          <w:szCs w:val="24"/>
        </w:rPr>
        <w:t>as</w:t>
      </w:r>
      <w:r>
        <w:rPr>
          <w:szCs w:val="24"/>
        </w:rPr>
        <w:t xml:space="preserve"> approximately 90 minutes and include</w:t>
      </w:r>
      <w:r w:rsidR="003E1890">
        <w:rPr>
          <w:szCs w:val="24"/>
        </w:rPr>
        <w:t>d</w:t>
      </w:r>
      <w:r>
        <w:rPr>
          <w:szCs w:val="24"/>
        </w:rPr>
        <w:t xml:space="preserve"> the following:</w:t>
      </w:r>
      <w:r w:rsidR="001279FF">
        <w:rPr>
          <w:szCs w:val="24"/>
        </w:rPr>
        <w:t xml:space="preserve"> </w:t>
      </w:r>
      <w:r w:rsidR="008F371A">
        <w:rPr>
          <w:szCs w:val="24"/>
        </w:rPr>
        <w:t>i</w:t>
      </w:r>
      <w:r>
        <w:rPr>
          <w:szCs w:val="24"/>
        </w:rPr>
        <w:t>nformed consent</w:t>
      </w:r>
      <w:r w:rsidR="001279FF">
        <w:rPr>
          <w:szCs w:val="24"/>
        </w:rPr>
        <w:t xml:space="preserve">, </w:t>
      </w:r>
      <w:r w:rsidR="003E1890">
        <w:rPr>
          <w:szCs w:val="24"/>
        </w:rPr>
        <w:t>d</w:t>
      </w:r>
      <w:r>
        <w:rPr>
          <w:szCs w:val="24"/>
        </w:rPr>
        <w:t>emographic data</w:t>
      </w:r>
      <w:r w:rsidR="001279FF">
        <w:rPr>
          <w:szCs w:val="24"/>
        </w:rPr>
        <w:t xml:space="preserve">, </w:t>
      </w:r>
      <w:r w:rsidR="003E1890">
        <w:rPr>
          <w:szCs w:val="24"/>
        </w:rPr>
        <w:t>c</w:t>
      </w:r>
      <w:r>
        <w:rPr>
          <w:szCs w:val="24"/>
        </w:rPr>
        <w:t>oncomitant medications</w:t>
      </w:r>
      <w:r w:rsidR="001279FF">
        <w:rPr>
          <w:szCs w:val="24"/>
        </w:rPr>
        <w:t xml:space="preserve">, </w:t>
      </w:r>
      <w:r w:rsidR="003E1890">
        <w:rPr>
          <w:szCs w:val="24"/>
        </w:rPr>
        <w:t>f</w:t>
      </w:r>
      <w:r>
        <w:rPr>
          <w:szCs w:val="24"/>
        </w:rPr>
        <w:t>amily history data</w:t>
      </w:r>
      <w:r w:rsidR="001279FF">
        <w:rPr>
          <w:szCs w:val="24"/>
        </w:rPr>
        <w:t xml:space="preserve">, </w:t>
      </w:r>
      <w:r w:rsidR="003E1890">
        <w:rPr>
          <w:szCs w:val="24"/>
        </w:rPr>
        <w:t>m</w:t>
      </w:r>
      <w:r>
        <w:rPr>
          <w:szCs w:val="24"/>
        </w:rPr>
        <w:t>edical evaluation</w:t>
      </w:r>
      <w:r w:rsidR="001279FF">
        <w:rPr>
          <w:szCs w:val="24"/>
        </w:rPr>
        <w:t xml:space="preserve">, </w:t>
      </w:r>
      <w:r w:rsidR="003E1890">
        <w:rPr>
          <w:szCs w:val="24"/>
        </w:rPr>
        <w:t>u</w:t>
      </w:r>
      <w:r>
        <w:rPr>
          <w:szCs w:val="24"/>
        </w:rPr>
        <w:t>rine pregnancy test</w:t>
      </w:r>
      <w:r w:rsidR="00587178">
        <w:rPr>
          <w:szCs w:val="24"/>
        </w:rPr>
        <w:t>,</w:t>
      </w:r>
      <w:r>
        <w:rPr>
          <w:szCs w:val="24"/>
        </w:rPr>
        <w:t xml:space="preserve"> urine drug screen</w:t>
      </w:r>
      <w:r w:rsidR="001279FF">
        <w:rPr>
          <w:szCs w:val="24"/>
        </w:rPr>
        <w:t>, and a p</w:t>
      </w:r>
      <w:r>
        <w:rPr>
          <w:szCs w:val="24"/>
        </w:rPr>
        <w:t>sychiatric evaluation</w:t>
      </w:r>
      <w:r w:rsidR="001279FF">
        <w:rPr>
          <w:szCs w:val="24"/>
        </w:rPr>
        <w:t xml:space="preserve"> (</w:t>
      </w:r>
      <w:r w:rsidR="002825DF" w:rsidRPr="002825DF">
        <w:t>M</w:t>
      </w:r>
      <w:r w:rsidR="00291BCF">
        <w:t>ini</w:t>
      </w:r>
      <w:r w:rsidR="002825DF" w:rsidRPr="002825DF">
        <w:t xml:space="preserve"> International Neuropsychiatric Interview</w:t>
      </w:r>
      <w:r w:rsidR="00291BCF">
        <w:t>; MINI</w:t>
      </w:r>
      <w:r w:rsidR="008F371A">
        <w:t>)</w:t>
      </w:r>
      <w:r w:rsidRPr="002825DF">
        <w:t xml:space="preserve"> (</w:t>
      </w:r>
      <w:r w:rsidR="00240B4A">
        <w:t>25</w:t>
      </w:r>
      <w:r w:rsidRPr="002825DF">
        <w:t>)</w:t>
      </w:r>
      <w:r w:rsidR="003E1890">
        <w:t>.</w:t>
      </w:r>
      <w:r w:rsidR="001279FF">
        <w:t xml:space="preserve"> </w:t>
      </w:r>
    </w:p>
    <w:p w14:paraId="40808A21" w14:textId="77777777" w:rsidR="00314298" w:rsidRDefault="00314298">
      <w:pPr>
        <w:rPr>
          <w:szCs w:val="24"/>
        </w:rPr>
      </w:pPr>
    </w:p>
    <w:p w14:paraId="1E3FF4CC" w14:textId="77777777" w:rsidR="00166FF6" w:rsidRPr="00587178" w:rsidRDefault="00166FF6" w:rsidP="003E1890">
      <w:pPr>
        <w:autoSpaceDE w:val="0"/>
        <w:autoSpaceDN w:val="0"/>
        <w:adjustRightInd w:val="0"/>
        <w:spacing w:line="480" w:lineRule="auto"/>
        <w:rPr>
          <w:i/>
        </w:rPr>
      </w:pPr>
      <w:r w:rsidRPr="00587178">
        <w:rPr>
          <w:b/>
          <w:i/>
        </w:rPr>
        <w:t>Efficacy evaluation</w:t>
      </w:r>
    </w:p>
    <w:p w14:paraId="169F03AA" w14:textId="3D06F669" w:rsidR="00BE3F01" w:rsidRDefault="00BE3F01" w:rsidP="003E1890">
      <w:pPr>
        <w:spacing w:line="480" w:lineRule="auto"/>
        <w:ind w:firstLine="720"/>
      </w:pPr>
      <w:r>
        <w:t>The</w:t>
      </w:r>
      <w:r w:rsidR="00FB2057">
        <w:t xml:space="preserve"> </w:t>
      </w:r>
      <w:r w:rsidR="00FB2057">
        <w:rPr>
          <w:i/>
        </w:rPr>
        <w:t>a priori</w:t>
      </w:r>
      <w:r>
        <w:t xml:space="preserve"> </w:t>
      </w:r>
      <w:r w:rsidR="00FB2057">
        <w:t xml:space="preserve">(i.e. determined in the Protocol Document prior to study commencement) </w:t>
      </w:r>
      <w:r>
        <w:t>primary outcome measure w</w:t>
      </w:r>
      <w:r w:rsidR="003E1890">
        <w:t>as</w:t>
      </w:r>
      <w:r>
        <w:t xml:space="preserve"> the change from baseline </w:t>
      </w:r>
      <w:r w:rsidR="00BA4183">
        <w:t xml:space="preserve">to week 12 </w:t>
      </w:r>
      <w:r>
        <w:t xml:space="preserve">using the </w:t>
      </w:r>
      <w:r w:rsidR="004E58FD">
        <w:t xml:space="preserve">total score on the </w:t>
      </w:r>
      <w:r w:rsidR="0017368A" w:rsidRPr="003E1890">
        <w:t>Zanarini Rating Scale for Borderline Personality Disorder (“Z</w:t>
      </w:r>
      <w:r w:rsidR="007C3393">
        <w:t>AN-BPD</w:t>
      </w:r>
      <w:r w:rsidR="0017368A" w:rsidRPr="003E1890">
        <w:t>”) (</w:t>
      </w:r>
      <w:r w:rsidR="00E87A84">
        <w:t>2</w:t>
      </w:r>
      <w:r w:rsidR="00BA4183">
        <w:t>6</w:t>
      </w:r>
      <w:r w:rsidR="0017368A" w:rsidRPr="003E1890">
        <w:t>)</w:t>
      </w:r>
      <w:r w:rsidR="00BA4183">
        <w:t xml:space="preserve"> (the data from week 13 taper phase was not considered for the efficacy analysis but was used for safety assessments)</w:t>
      </w:r>
      <w:r w:rsidR="0017368A" w:rsidRPr="003E1890">
        <w:t>.</w:t>
      </w:r>
      <w:r>
        <w:t xml:space="preserve"> </w:t>
      </w:r>
      <w:r w:rsidR="0017368A">
        <w:t>This semi</w:t>
      </w:r>
      <w:r w:rsidR="003E1890">
        <w:t>-</w:t>
      </w:r>
      <w:r w:rsidR="0017368A">
        <w:t xml:space="preserve">structured interview has anchored ratings (0=no symptoms, 4=severe symptoms) on nine items that correspond to the DSM-5 BPD criteria. </w:t>
      </w:r>
      <w:r w:rsidR="006109E1">
        <w:t xml:space="preserve"> </w:t>
      </w:r>
    </w:p>
    <w:p w14:paraId="6D5C4428" w14:textId="35A307A8" w:rsidR="003E1890" w:rsidRDefault="00232975" w:rsidP="003E1890">
      <w:pPr>
        <w:spacing w:line="480" w:lineRule="auto"/>
        <w:ind w:firstLine="720"/>
        <w:rPr>
          <w:szCs w:val="24"/>
        </w:rPr>
      </w:pPr>
      <w:r>
        <w:t>S</w:t>
      </w:r>
      <w:r w:rsidR="001279FF">
        <w:t xml:space="preserve">econdary efficacy measures </w:t>
      </w:r>
      <w:r>
        <w:rPr>
          <w:szCs w:val="24"/>
        </w:rPr>
        <w:t xml:space="preserve">included </w:t>
      </w:r>
      <w:r w:rsidR="0017368A">
        <w:t>the self-report version of the Z</w:t>
      </w:r>
      <w:r w:rsidR="007C3393">
        <w:t>AN-BPD</w:t>
      </w:r>
      <w:r w:rsidR="0017368A">
        <w:t xml:space="preserve"> scale (</w:t>
      </w:r>
      <w:r w:rsidR="00BA4183">
        <w:t>27</w:t>
      </w:r>
      <w:r w:rsidR="0017368A">
        <w:t xml:space="preserve">), </w:t>
      </w:r>
      <w:r w:rsidRPr="00121E8F">
        <w:t xml:space="preserve">the </w:t>
      </w:r>
      <w:r>
        <w:t>patient</w:t>
      </w:r>
      <w:r w:rsidRPr="00121E8F">
        <w:t>-rated version of the Sheehan Disability Scale</w:t>
      </w:r>
      <w:r>
        <w:t xml:space="preserve"> (SDS) (</w:t>
      </w:r>
      <w:r w:rsidR="00BA4183">
        <w:t>28</w:t>
      </w:r>
      <w:r>
        <w:t>);</w:t>
      </w:r>
      <w:r w:rsidR="007E6238">
        <w:t xml:space="preserve"> </w:t>
      </w:r>
      <w:r>
        <w:rPr>
          <w:szCs w:val="24"/>
        </w:rPr>
        <w:t xml:space="preserve">24-item </w:t>
      </w:r>
      <w:r w:rsidRPr="00121E8F">
        <w:t>Hamilton Depression Rating Scale (HAM-D)</w:t>
      </w:r>
      <w:r w:rsidR="007E6238">
        <w:t xml:space="preserve"> (29</w:t>
      </w:r>
      <w:r>
        <w:t xml:space="preserve">); </w:t>
      </w:r>
      <w:r w:rsidR="00FF2EEC">
        <w:t xml:space="preserve">and the </w:t>
      </w:r>
      <w:r>
        <w:t>Hamilton Anxiety Rating Scale (HAM-A) (3</w:t>
      </w:r>
      <w:r w:rsidR="007E6238">
        <w:t>0</w:t>
      </w:r>
      <w:r w:rsidR="00FF2EEC">
        <w:t>).</w:t>
      </w:r>
    </w:p>
    <w:p w14:paraId="07AFA39A" w14:textId="77777777" w:rsidR="00E87A84" w:rsidRDefault="00E87A84" w:rsidP="00E87A84">
      <w:pPr>
        <w:spacing w:line="480" w:lineRule="auto"/>
        <w:rPr>
          <w:b/>
          <w:u w:val="single"/>
        </w:rPr>
      </w:pPr>
    </w:p>
    <w:p w14:paraId="7824022A" w14:textId="77777777" w:rsidR="00B32CC4" w:rsidRPr="00587178" w:rsidRDefault="00E87A84" w:rsidP="00E87A84">
      <w:pPr>
        <w:spacing w:line="480" w:lineRule="auto"/>
        <w:rPr>
          <w:b/>
          <w:i/>
        </w:rPr>
      </w:pPr>
      <w:r w:rsidRPr="00587178">
        <w:rPr>
          <w:b/>
          <w:i/>
        </w:rPr>
        <w:t xml:space="preserve">Study </w:t>
      </w:r>
      <w:r w:rsidR="00B32CC4" w:rsidRPr="00587178">
        <w:rPr>
          <w:b/>
          <w:i/>
        </w:rPr>
        <w:t>Withdrawal</w:t>
      </w:r>
      <w:r w:rsidRPr="00587178">
        <w:rPr>
          <w:b/>
          <w:i/>
        </w:rPr>
        <w:t xml:space="preserve"> and Safety</w:t>
      </w:r>
    </w:p>
    <w:p w14:paraId="18740071" w14:textId="35E31A85" w:rsidR="00B32CC4" w:rsidRDefault="00B32CC4" w:rsidP="00E87A84">
      <w:pPr>
        <w:spacing w:line="480" w:lineRule="auto"/>
        <w:ind w:firstLine="720"/>
        <w:rPr>
          <w:szCs w:val="24"/>
        </w:rPr>
      </w:pPr>
      <w:r>
        <w:t xml:space="preserve">If a </w:t>
      </w:r>
      <w:r w:rsidR="00E87A84">
        <w:t>participant</w:t>
      </w:r>
      <w:r>
        <w:t xml:space="preserve"> withdr</w:t>
      </w:r>
      <w:r w:rsidR="00E87A84">
        <w:t>e</w:t>
      </w:r>
      <w:r>
        <w:t xml:space="preserve">w from the study, all instruments administered at the </w:t>
      </w:r>
      <w:r w:rsidR="004E58FD">
        <w:t>baseline</w:t>
      </w:r>
      <w:r>
        <w:t xml:space="preserve"> visit w</w:t>
      </w:r>
      <w:r w:rsidR="00E87A84">
        <w:t>ere</w:t>
      </w:r>
      <w:r>
        <w:t xml:space="preserve"> completed at the final visit.  </w:t>
      </w:r>
      <w:r w:rsidR="00E87A84">
        <w:t>S</w:t>
      </w:r>
      <w:r w:rsidR="005D7A6B" w:rsidRPr="008F2940">
        <w:rPr>
          <w:szCs w:val="24"/>
        </w:rPr>
        <w:t>afety and tolerability w</w:t>
      </w:r>
      <w:r w:rsidR="00E87A84">
        <w:rPr>
          <w:szCs w:val="24"/>
        </w:rPr>
        <w:t>ere</w:t>
      </w:r>
      <w:r w:rsidR="005D7A6B" w:rsidRPr="008F2940">
        <w:rPr>
          <w:szCs w:val="24"/>
        </w:rPr>
        <w:t xml:space="preserve"> assessed using spontaneously reported adverse events data, </w:t>
      </w:r>
      <w:r w:rsidR="00FF2EEC">
        <w:t xml:space="preserve">the </w:t>
      </w:r>
      <w:r w:rsidR="00FF2EEC">
        <w:rPr>
          <w:szCs w:val="24"/>
        </w:rPr>
        <w:t xml:space="preserve">Columbia Suicide Severity Rating Scale (C-SSRS), </w:t>
      </w:r>
      <w:r w:rsidR="005D7A6B" w:rsidRPr="008F2940">
        <w:rPr>
          <w:szCs w:val="24"/>
        </w:rPr>
        <w:t>and by evaluating premature termination.</w:t>
      </w:r>
      <w:r w:rsidR="005D7A6B">
        <w:rPr>
          <w:szCs w:val="24"/>
        </w:rPr>
        <w:t xml:space="preserve"> </w:t>
      </w:r>
      <w:r w:rsidR="005D7A6B">
        <w:t xml:space="preserve"> </w:t>
      </w:r>
      <w:r>
        <w:t xml:space="preserve">Safety assessments (sitting blood pressure, heart rate, adverse effects, </w:t>
      </w:r>
      <w:r w:rsidR="00FF2EEC">
        <w:t xml:space="preserve">suicidality, </w:t>
      </w:r>
      <w:r>
        <w:t>and concomitant medications) w</w:t>
      </w:r>
      <w:r w:rsidR="00E87A84">
        <w:t>ere</w:t>
      </w:r>
      <w:r>
        <w:t xml:space="preserve"> documented at each visit</w:t>
      </w:r>
      <w:r w:rsidR="00695DA9">
        <w:t xml:space="preserve"> for those who enrolled prior to COVID19 restrictions</w:t>
      </w:r>
      <w:r>
        <w:t xml:space="preserve">. </w:t>
      </w:r>
      <w:r w:rsidR="00E87A84">
        <w:t>Participants</w:t>
      </w:r>
      <w:r>
        <w:t xml:space="preserve"> who </w:t>
      </w:r>
      <w:r w:rsidR="00E87A84">
        <w:t>we</w:t>
      </w:r>
      <w:r w:rsidR="00FF244F">
        <w:t xml:space="preserve">re </w:t>
      </w:r>
      <w:r w:rsidR="00E87A84">
        <w:t xml:space="preserve">ever </w:t>
      </w:r>
      <w:r w:rsidR="00FF244F">
        <w:t xml:space="preserve">an </w:t>
      </w:r>
      <w:r w:rsidR="004E58FD">
        <w:t>imminent</w:t>
      </w:r>
      <w:r w:rsidR="00FF244F">
        <w:t xml:space="preserve"> suicide risk</w:t>
      </w:r>
      <w:r>
        <w:t xml:space="preserve"> w</w:t>
      </w:r>
      <w:r w:rsidR="00E87A84">
        <w:t>ere</w:t>
      </w:r>
      <w:r>
        <w:t xml:space="preserve"> removed from the study and appropriate clinical intervention (e.g. hospitalization) w</w:t>
      </w:r>
      <w:r w:rsidR="00E87A84">
        <w:t>as</w:t>
      </w:r>
      <w:r>
        <w:t xml:space="preserve"> arranged. </w:t>
      </w:r>
      <w:r>
        <w:rPr>
          <w:szCs w:val="24"/>
        </w:rPr>
        <w:t xml:space="preserve">Assessment of side effects </w:t>
      </w:r>
      <w:r w:rsidR="004D7229">
        <w:rPr>
          <w:szCs w:val="24"/>
        </w:rPr>
        <w:t>was</w:t>
      </w:r>
      <w:r>
        <w:rPr>
          <w:szCs w:val="24"/>
        </w:rPr>
        <w:t xml:space="preserve"> done at each visit. </w:t>
      </w:r>
    </w:p>
    <w:p w14:paraId="3541BA34" w14:textId="77777777" w:rsidR="00144167" w:rsidRPr="00144167" w:rsidRDefault="00144167" w:rsidP="003B78C5">
      <w:pPr>
        <w:rPr>
          <w:szCs w:val="24"/>
        </w:rPr>
      </w:pPr>
    </w:p>
    <w:p w14:paraId="35913DD9" w14:textId="77777777" w:rsidR="00606396" w:rsidRPr="00587178" w:rsidRDefault="00606396" w:rsidP="00E87A84">
      <w:pPr>
        <w:spacing w:line="480" w:lineRule="auto"/>
        <w:ind w:left="630" w:hanging="630"/>
        <w:jc w:val="both"/>
        <w:rPr>
          <w:b/>
          <w:i/>
          <w:szCs w:val="24"/>
        </w:rPr>
      </w:pPr>
      <w:r w:rsidRPr="00587178">
        <w:rPr>
          <w:b/>
          <w:i/>
          <w:szCs w:val="24"/>
        </w:rPr>
        <w:t>Data Analysis</w:t>
      </w:r>
    </w:p>
    <w:p w14:paraId="1FFE8952" w14:textId="27D110B7" w:rsidR="00C76C7C" w:rsidRDefault="00ED7BB7" w:rsidP="00CE3891">
      <w:pPr>
        <w:autoSpaceDE w:val="0"/>
        <w:autoSpaceDN w:val="0"/>
        <w:adjustRightInd w:val="0"/>
        <w:spacing w:line="480" w:lineRule="auto"/>
        <w:ind w:firstLine="630"/>
      </w:pPr>
      <w:r>
        <w:t xml:space="preserve">Efficacy </w:t>
      </w:r>
      <w:r w:rsidR="007138FC">
        <w:t>analysis involve</w:t>
      </w:r>
      <w:r w:rsidR="00E87A84">
        <w:t>d</w:t>
      </w:r>
      <w:r w:rsidR="007138FC">
        <w:t xml:space="preserve"> all visit</w:t>
      </w:r>
      <w:r w:rsidR="00C76C7C">
        <w:t>s</w:t>
      </w:r>
      <w:r w:rsidR="007138FC">
        <w:t xml:space="preserve"> during</w:t>
      </w:r>
      <w:r w:rsidR="00C76C7C">
        <w:t xml:space="preserve"> </w:t>
      </w:r>
      <w:r w:rsidR="007138FC">
        <w:t xml:space="preserve">the </w:t>
      </w:r>
      <w:r w:rsidR="00C76C7C">
        <w:t>12-week</w:t>
      </w:r>
      <w:r w:rsidR="007138FC">
        <w:t xml:space="preserve"> double-blind treatment phase (up until week 12). </w:t>
      </w:r>
      <w:r w:rsidR="005F4B11" w:rsidRPr="008F2940">
        <w:t xml:space="preserve">All </w:t>
      </w:r>
      <w:r w:rsidR="007835E0">
        <w:t>enrolled</w:t>
      </w:r>
      <w:r w:rsidR="005F4B11" w:rsidRPr="008F2940">
        <w:t xml:space="preserve"> </w:t>
      </w:r>
      <w:r w:rsidR="00E87A84">
        <w:t>participants</w:t>
      </w:r>
      <w:r w:rsidR="005F4B11" w:rsidRPr="008F2940">
        <w:t xml:space="preserve"> w</w:t>
      </w:r>
      <w:r w:rsidR="00E87A84">
        <w:t>ere</w:t>
      </w:r>
      <w:r w:rsidR="005F4B11" w:rsidRPr="008F2940">
        <w:t xml:space="preserve"> included in the analyses of baseline demographics and safety according to an intent-to-treat (</w:t>
      </w:r>
      <w:smartTag w:uri="urn:schemas-microsoft-com:office:smarttags" w:element="stockticker">
        <w:r w:rsidR="005F4B11" w:rsidRPr="008F2940">
          <w:t>ITT</w:t>
        </w:r>
      </w:smartTag>
      <w:r w:rsidR="005F4B11" w:rsidRPr="008F2940">
        <w:t>) principle</w:t>
      </w:r>
      <w:r w:rsidR="00C76C7C">
        <w:t>.</w:t>
      </w:r>
      <w:r w:rsidR="00C76C7C" w:rsidRPr="00C76C7C">
        <w:t xml:space="preserve"> For statistical analysis, the full-analysis set w</w:t>
      </w:r>
      <w:r w:rsidR="00E87A84">
        <w:t>as</w:t>
      </w:r>
      <w:r w:rsidR="00C76C7C" w:rsidRPr="00C76C7C">
        <w:t xml:space="preserve"> defined as all participants who took at least 1 dose of the study drug and had at least 1 post</w:t>
      </w:r>
      <w:r w:rsidR="00C76C7C">
        <w:t>-</w:t>
      </w:r>
      <w:r w:rsidR="00C76C7C" w:rsidRPr="00C76C7C">
        <w:t>baseline primary efficacy assessment. The safety-analysis set w</w:t>
      </w:r>
      <w:r w:rsidR="003F370E">
        <w:t>as</w:t>
      </w:r>
      <w:r w:rsidR="00C76C7C" w:rsidRPr="00C76C7C">
        <w:t xml:space="preserve"> defined as all randomized participants who took at least 1 dose of the study drug and completed at least 1 follow-up safety assessment. </w:t>
      </w:r>
    </w:p>
    <w:p w14:paraId="02E6E051" w14:textId="6031E2DC" w:rsidR="00C9528C" w:rsidRDefault="00C9528C" w:rsidP="00CE3891">
      <w:pPr>
        <w:spacing w:line="480" w:lineRule="auto"/>
        <w:ind w:firstLine="630"/>
      </w:pPr>
      <w:r>
        <w:t xml:space="preserve">To assess efficacy, </w:t>
      </w:r>
      <w:r w:rsidR="00CE3891">
        <w:t xml:space="preserve">we used </w:t>
      </w:r>
      <w:r>
        <w:t>a linear mixed-effects regression model with the Z</w:t>
      </w:r>
      <w:r w:rsidR="007C3393">
        <w:t>AN-BPD</w:t>
      </w:r>
      <w:r>
        <w:t xml:space="preserve"> total score as the dependent variable. Independent variables include</w:t>
      </w:r>
      <w:r w:rsidR="00CE3891">
        <w:t>d</w:t>
      </w:r>
      <w:r>
        <w:t xml:space="preserve"> terms for treatment group, study visit, and treatment-by-visit interaction. Imputation w</w:t>
      </w:r>
      <w:r w:rsidR="00CE3891">
        <w:t>as</w:t>
      </w:r>
      <w:r>
        <w:t xml:space="preserve"> not undertaken for missing data. Correlation between visits for the same participant w</w:t>
      </w:r>
      <w:r w:rsidR="00CE3891">
        <w:t>as</w:t>
      </w:r>
      <w:r>
        <w:t xml:space="preserve"> modeled using an unstructured correlation or auto-regressive correlation depending on best fit. Residuals and model fit w</w:t>
      </w:r>
      <w:r w:rsidR="00CE3891">
        <w:t>ere</w:t>
      </w:r>
      <w:r>
        <w:t xml:space="preserve"> examined. The </w:t>
      </w:r>
      <w:r w:rsidR="00ED7BB7">
        <w:t xml:space="preserve">pre-specified </w:t>
      </w:r>
      <w:r>
        <w:t>effect of interest w</w:t>
      </w:r>
      <w:r w:rsidR="00CE3891">
        <w:t>as</w:t>
      </w:r>
      <w:r>
        <w:t xml:space="preserve"> the treatment-by-visit interaction, specifically the baseline to visit 8 change </w:t>
      </w:r>
      <w:r w:rsidR="00CE3891">
        <w:t xml:space="preserve">(i.e. week 12) </w:t>
      </w:r>
      <w:r>
        <w:t xml:space="preserve">between groups. </w:t>
      </w:r>
      <w:r w:rsidRPr="007102A4">
        <w:t xml:space="preserve">SAS v.9.4 (SAS Institute Inc., Cary NC) </w:t>
      </w:r>
      <w:r>
        <w:t>w</w:t>
      </w:r>
      <w:r w:rsidR="00CE3891">
        <w:t>as</w:t>
      </w:r>
      <w:r w:rsidRPr="007102A4">
        <w:t xml:space="preserve"> used for analysis. </w:t>
      </w:r>
      <w:r>
        <w:t>All testing w</w:t>
      </w:r>
      <w:r w:rsidR="00CE3891">
        <w:t>as</w:t>
      </w:r>
      <w:r>
        <w:t xml:space="preserve"> two-sided and p</w:t>
      </w:r>
      <w:r w:rsidRPr="007102A4">
        <w:t xml:space="preserve">-values &lt;0.05 </w:t>
      </w:r>
      <w:r>
        <w:t>w</w:t>
      </w:r>
      <w:r w:rsidR="00CE3891">
        <w:t>ere</w:t>
      </w:r>
      <w:r w:rsidRPr="007102A4">
        <w:t xml:space="preserve"> considered statistically significant</w:t>
      </w:r>
      <w:r>
        <w:t xml:space="preserve">. </w:t>
      </w:r>
    </w:p>
    <w:p w14:paraId="6E382883" w14:textId="238BEAFF" w:rsidR="00D533B4" w:rsidRDefault="006E5F77" w:rsidP="00CE3891">
      <w:pPr>
        <w:pStyle w:val="NormalWeb"/>
        <w:spacing w:before="0" w:beforeAutospacing="0" w:after="0" w:afterAutospacing="0" w:line="480" w:lineRule="auto"/>
        <w:ind w:firstLine="630"/>
      </w:pPr>
      <w:r w:rsidRPr="006E5F77">
        <w:t xml:space="preserve">The </w:t>
      </w:r>
      <w:r w:rsidR="0018275E">
        <w:t xml:space="preserve">planned study </w:t>
      </w:r>
      <w:r w:rsidRPr="006E5F77">
        <w:t xml:space="preserve">sample size was calculated for the primary endpoint </w:t>
      </w:r>
      <w:r>
        <w:t xml:space="preserve">of </w:t>
      </w:r>
      <w:r w:rsidRPr="006E5F77">
        <w:t>change from baseline</w:t>
      </w:r>
      <w:r>
        <w:t>.</w:t>
      </w:r>
      <w:r w:rsidR="005C6C2A">
        <w:t xml:space="preserve"> In power calculation, a</w:t>
      </w:r>
      <w:r w:rsidRPr="006E5F77">
        <w:t xml:space="preserve">ssuming a similar magnitude of effect </w:t>
      </w:r>
      <w:r>
        <w:t xml:space="preserve">seen in other studies of medications for </w:t>
      </w:r>
      <w:r w:rsidR="0020639F">
        <w:t>BPD</w:t>
      </w:r>
      <w:r>
        <w:t>, i</w:t>
      </w:r>
      <w:r w:rsidRPr="006E5F77">
        <w:t xml:space="preserve">t was determined </w:t>
      </w:r>
      <w:r>
        <w:t>that</w:t>
      </w:r>
      <w:r w:rsidRPr="006E5F77">
        <w:t xml:space="preserve"> </w:t>
      </w:r>
      <w:r w:rsidR="00BA4183">
        <w:t>35</w:t>
      </w:r>
      <w:r w:rsidRPr="006E5F77">
        <w:t xml:space="preserve"> participants </w:t>
      </w:r>
      <w:r>
        <w:t>w</w:t>
      </w:r>
      <w:r w:rsidR="003F370E">
        <w:t>ere</w:t>
      </w:r>
      <w:r w:rsidRPr="006E5F77">
        <w:t xml:space="preserve"> needed in each treatment group </w:t>
      </w:r>
      <w:r>
        <w:t>t</w:t>
      </w:r>
      <w:r w:rsidRPr="006E5F77">
        <w:t xml:space="preserve">o detect </w:t>
      </w:r>
      <w:r>
        <w:t>a</w:t>
      </w:r>
      <w:r w:rsidRPr="006E5F77">
        <w:t xml:space="preserve"> difference with an overall 5% type-I error risk. </w:t>
      </w:r>
      <w:r>
        <w:t>G</w:t>
      </w:r>
      <w:r w:rsidR="00A34317">
        <w:t xml:space="preserve">iven the </w:t>
      </w:r>
      <w:r w:rsidR="00C14F04">
        <w:t xml:space="preserve">particularly </w:t>
      </w:r>
      <w:r w:rsidR="00A34317">
        <w:t xml:space="preserve">low rates of adverse events reported with </w:t>
      </w:r>
      <w:r w:rsidR="00844CEF">
        <w:t>b</w:t>
      </w:r>
      <w:r w:rsidR="00EC7488" w:rsidRPr="00EC7488">
        <w:t>rexpiprazole</w:t>
      </w:r>
      <w:r>
        <w:t>,</w:t>
      </w:r>
      <w:r w:rsidR="00C14F04">
        <w:t xml:space="preserve"> as well as its more positive side effect profile in terms of sexual side effects,</w:t>
      </w:r>
      <w:r>
        <w:t xml:space="preserve"> we expect</w:t>
      </w:r>
      <w:r w:rsidR="003F370E">
        <w:t>ed</w:t>
      </w:r>
      <w:r>
        <w:t xml:space="preserve"> few drop-outs from the study</w:t>
      </w:r>
      <w:r w:rsidR="00C14F04">
        <w:t xml:space="preserve"> and therefore a smaller sample </w:t>
      </w:r>
      <w:r w:rsidR="003F370E">
        <w:t>wa</w:t>
      </w:r>
      <w:r w:rsidR="00C14F04">
        <w:t>s needed</w:t>
      </w:r>
      <w:r w:rsidR="00232975">
        <w:t xml:space="preserve"> (</w:t>
      </w:r>
      <w:r w:rsidR="00BA4183">
        <w:t>3</w:t>
      </w:r>
      <w:r w:rsidR="007E6238">
        <w:t>1</w:t>
      </w:r>
      <w:r w:rsidR="00232975">
        <w:t>)</w:t>
      </w:r>
      <w:r w:rsidR="00A34317">
        <w:t xml:space="preserve">. </w:t>
      </w:r>
    </w:p>
    <w:p w14:paraId="061879C3" w14:textId="35555F68" w:rsidR="007C3393" w:rsidRPr="007C3393" w:rsidRDefault="007C3393" w:rsidP="007C3393">
      <w:pPr>
        <w:spacing w:line="480" w:lineRule="auto"/>
        <w:ind w:firstLine="630"/>
        <w:rPr>
          <w:szCs w:val="24"/>
        </w:rPr>
      </w:pPr>
    </w:p>
    <w:p w14:paraId="7B77266B" w14:textId="77777777" w:rsidR="005D7A6B" w:rsidRDefault="005D7A6B" w:rsidP="00E87A84">
      <w:pPr>
        <w:spacing w:line="480" w:lineRule="auto"/>
        <w:rPr>
          <w:b/>
          <w:color w:val="000000"/>
        </w:rPr>
      </w:pPr>
    </w:p>
    <w:p w14:paraId="2509DF51" w14:textId="77777777" w:rsidR="00006CF0" w:rsidRDefault="00006CF0" w:rsidP="00E87A84">
      <w:pPr>
        <w:spacing w:line="480" w:lineRule="auto"/>
        <w:rPr>
          <w:b/>
          <w:color w:val="000000"/>
        </w:rPr>
      </w:pPr>
      <w:r>
        <w:rPr>
          <w:b/>
          <w:color w:val="000000"/>
        </w:rPr>
        <w:t>Results</w:t>
      </w:r>
    </w:p>
    <w:p w14:paraId="06C8F76D" w14:textId="37A33603" w:rsidR="00E60B38" w:rsidRPr="00CD72AB" w:rsidRDefault="00E60B38" w:rsidP="00CD72AB">
      <w:pPr>
        <w:spacing w:line="480" w:lineRule="auto"/>
        <w:ind w:firstLine="720"/>
        <w:rPr>
          <w:color w:val="000000"/>
          <w:szCs w:val="24"/>
        </w:rPr>
      </w:pPr>
      <w:r>
        <w:rPr>
          <w:szCs w:val="24"/>
        </w:rPr>
        <w:t xml:space="preserve">A total of 80 participants signed informed consents, were enrolled, and randomized to brexpiprazole or placebo. </w:t>
      </w:r>
      <w:r w:rsidR="00D34CC0">
        <w:rPr>
          <w:szCs w:val="24"/>
        </w:rPr>
        <w:t xml:space="preserve">Participant flow through the study is presented in Figure 1 </w:t>
      </w:r>
      <w:r w:rsidR="00FF2EEC" w:rsidRPr="00FF2EEC">
        <w:rPr>
          <w:szCs w:val="24"/>
        </w:rPr>
        <w:t>(</w:t>
      </w:r>
      <w:r w:rsidRPr="00FF2EEC">
        <w:rPr>
          <w:szCs w:val="24"/>
        </w:rPr>
        <w:t xml:space="preserve">CONSORT </w:t>
      </w:r>
      <w:r w:rsidRPr="00CD72AB">
        <w:rPr>
          <w:szCs w:val="24"/>
        </w:rPr>
        <w:t>Diagram</w:t>
      </w:r>
      <w:r w:rsidR="00FF2EEC" w:rsidRPr="00CD72AB">
        <w:rPr>
          <w:szCs w:val="24"/>
        </w:rPr>
        <w:t>)</w:t>
      </w:r>
      <w:r w:rsidRPr="00CD72AB">
        <w:rPr>
          <w:szCs w:val="24"/>
        </w:rPr>
        <w:t xml:space="preserve">. </w:t>
      </w:r>
      <w:r w:rsidR="00F344CA">
        <w:rPr>
          <w:szCs w:val="24"/>
        </w:rPr>
        <w:t xml:space="preserve"> Of the 80 participants, 40 were assigned to placebo</w:t>
      </w:r>
      <w:r w:rsidR="00343C2A">
        <w:rPr>
          <w:szCs w:val="24"/>
        </w:rPr>
        <w:t xml:space="preserve"> </w:t>
      </w:r>
      <w:r w:rsidR="00332153">
        <w:rPr>
          <w:szCs w:val="24"/>
        </w:rPr>
        <w:t>but only</w:t>
      </w:r>
      <w:r w:rsidR="00F344CA">
        <w:rPr>
          <w:szCs w:val="24"/>
        </w:rPr>
        <w:t xml:space="preserve"> 37 completed </w:t>
      </w:r>
      <w:r w:rsidR="00332153">
        <w:rPr>
          <w:szCs w:val="24"/>
        </w:rPr>
        <w:t xml:space="preserve">all </w:t>
      </w:r>
      <w:r w:rsidR="00F344CA">
        <w:rPr>
          <w:szCs w:val="24"/>
        </w:rPr>
        <w:t xml:space="preserve">baseline measures. Of the 40 assigned to brexpiprazole, </w:t>
      </w:r>
      <w:r w:rsidR="00332153">
        <w:rPr>
          <w:szCs w:val="24"/>
        </w:rPr>
        <w:t xml:space="preserve">all </w:t>
      </w:r>
      <w:r w:rsidR="00F344CA">
        <w:rPr>
          <w:szCs w:val="24"/>
        </w:rPr>
        <w:t>40 completed the Z</w:t>
      </w:r>
      <w:r w:rsidR="007C3393">
        <w:rPr>
          <w:szCs w:val="24"/>
        </w:rPr>
        <w:t>AN-BPD</w:t>
      </w:r>
      <w:r w:rsidR="00F344CA">
        <w:rPr>
          <w:szCs w:val="24"/>
        </w:rPr>
        <w:t xml:space="preserve"> scale</w:t>
      </w:r>
      <w:r w:rsidR="00332153">
        <w:rPr>
          <w:szCs w:val="24"/>
        </w:rPr>
        <w:t xml:space="preserve"> but only</w:t>
      </w:r>
      <w:r w:rsidR="00F344CA">
        <w:rPr>
          <w:szCs w:val="24"/>
        </w:rPr>
        <w:t xml:space="preserve"> 37 completed the rest of the baseline measures.</w:t>
      </w:r>
    </w:p>
    <w:p w14:paraId="1CAFDE0E" w14:textId="77777777" w:rsidR="003A528C" w:rsidRDefault="00D34CC0" w:rsidP="00CD72AB">
      <w:pPr>
        <w:spacing w:line="480" w:lineRule="auto"/>
        <w:ind w:firstLine="720"/>
        <w:rPr>
          <w:szCs w:val="24"/>
        </w:rPr>
      </w:pPr>
      <w:r w:rsidRPr="00CD72AB">
        <w:rPr>
          <w:szCs w:val="24"/>
        </w:rPr>
        <w:t>Demographic</w:t>
      </w:r>
      <w:r w:rsidR="00692253">
        <w:rPr>
          <w:szCs w:val="24"/>
        </w:rPr>
        <w:t xml:space="preserve"> characteristic</w:t>
      </w:r>
      <w:r w:rsidRPr="00CD72AB">
        <w:rPr>
          <w:szCs w:val="24"/>
        </w:rPr>
        <w:t>s of subjects at baseline are presented (</w:t>
      </w:r>
      <w:bookmarkStart w:id="1" w:name="btbl1"/>
      <w:r w:rsidRPr="00CD72AB">
        <w:rPr>
          <w:szCs w:val="24"/>
        </w:rPr>
        <w:t>Table 1</w:t>
      </w:r>
      <w:bookmarkEnd w:id="1"/>
      <w:r w:rsidRPr="00CD72AB">
        <w:rPr>
          <w:szCs w:val="24"/>
        </w:rPr>
        <w:t>). There were no statistically significant</w:t>
      </w:r>
      <w:r w:rsidR="007C3393">
        <w:rPr>
          <w:szCs w:val="24"/>
        </w:rPr>
        <w:t xml:space="preserve"> differences</w:t>
      </w:r>
      <w:r w:rsidRPr="00CD72AB">
        <w:rPr>
          <w:szCs w:val="24"/>
        </w:rPr>
        <w:t xml:space="preserve"> </w:t>
      </w:r>
      <w:r w:rsidR="00C3689B" w:rsidRPr="00CD72AB">
        <w:rPr>
          <w:szCs w:val="24"/>
        </w:rPr>
        <w:t xml:space="preserve">on demographic variables or clinical </w:t>
      </w:r>
      <w:r w:rsidR="00692253">
        <w:rPr>
          <w:szCs w:val="24"/>
        </w:rPr>
        <w:t>measures</w:t>
      </w:r>
      <w:r w:rsidR="00692253" w:rsidRPr="00CD72AB">
        <w:rPr>
          <w:szCs w:val="24"/>
        </w:rPr>
        <w:t xml:space="preserve"> </w:t>
      </w:r>
      <w:r w:rsidRPr="00CD72AB">
        <w:rPr>
          <w:szCs w:val="24"/>
        </w:rPr>
        <w:t>between groups</w:t>
      </w:r>
      <w:r w:rsidR="00C3689B" w:rsidRPr="00CD72AB">
        <w:rPr>
          <w:szCs w:val="24"/>
        </w:rPr>
        <w:t xml:space="preserve"> at study entry</w:t>
      </w:r>
      <w:r w:rsidRPr="00CD72AB">
        <w:rPr>
          <w:szCs w:val="24"/>
        </w:rPr>
        <w:t>. Baseline BPD scores were reflective of moderate severity</w:t>
      </w:r>
      <w:r w:rsidR="00CD72AB">
        <w:rPr>
          <w:szCs w:val="24"/>
        </w:rPr>
        <w:t xml:space="preserve"> (</w:t>
      </w:r>
      <w:r w:rsidR="00CD72AB" w:rsidRPr="00CD72AB">
        <w:rPr>
          <w:rFonts w:eastAsia="Calibri" w:cs="Calibri"/>
          <w:szCs w:val="24"/>
        </w:rPr>
        <w:t>15.0 ± 4.5</w:t>
      </w:r>
      <w:r w:rsidR="00CD72AB" w:rsidRPr="00CD72AB">
        <w:rPr>
          <w:szCs w:val="24"/>
        </w:rPr>
        <w:t xml:space="preserve"> for placebo group and</w:t>
      </w:r>
      <w:r w:rsidRPr="00CD72AB">
        <w:rPr>
          <w:szCs w:val="24"/>
        </w:rPr>
        <w:t xml:space="preserve"> </w:t>
      </w:r>
      <w:r w:rsidR="00CD72AB" w:rsidRPr="00CD72AB">
        <w:rPr>
          <w:szCs w:val="24"/>
        </w:rPr>
        <w:t>1</w:t>
      </w:r>
      <w:r w:rsidR="00CD72AB" w:rsidRPr="00CD72AB">
        <w:rPr>
          <w:rFonts w:eastAsia="Calibri" w:cs="Calibri"/>
          <w:szCs w:val="24"/>
        </w:rPr>
        <w:t>4.9 ± 4.4 for the brepiprazole group</w:t>
      </w:r>
      <w:r w:rsidR="00CD72AB">
        <w:rPr>
          <w:rFonts w:eastAsia="Calibri" w:cs="Calibri"/>
          <w:szCs w:val="24"/>
        </w:rPr>
        <w:t xml:space="preserve">; </w:t>
      </w:r>
      <w:r w:rsidR="00CD72AB" w:rsidRPr="00CD72AB">
        <w:rPr>
          <w:szCs w:val="24"/>
        </w:rPr>
        <w:t>Mann-Whitney-Wilcoxon test</w:t>
      </w:r>
      <w:r w:rsidR="00CD72AB">
        <w:rPr>
          <w:szCs w:val="24"/>
        </w:rPr>
        <w:t xml:space="preserve"> was</w:t>
      </w:r>
      <w:r w:rsidR="00CD72AB" w:rsidRPr="00CD72AB">
        <w:rPr>
          <w:szCs w:val="24"/>
        </w:rPr>
        <w:t xml:space="preserve"> used to assess for differences between groups at baseline</w:t>
      </w:r>
      <w:r w:rsidR="00CD72AB">
        <w:rPr>
          <w:szCs w:val="24"/>
        </w:rPr>
        <w:t>; p=</w:t>
      </w:r>
      <w:r w:rsidR="00CD72AB" w:rsidRPr="00CD72AB">
        <w:rPr>
          <w:rFonts w:eastAsia="Calibri" w:cs="Calibri"/>
          <w:szCs w:val="24"/>
        </w:rPr>
        <w:t>0.9878</w:t>
      </w:r>
      <w:r w:rsidR="00CD72AB">
        <w:rPr>
          <w:rFonts w:eastAsia="Calibri" w:cs="Calibri"/>
          <w:szCs w:val="24"/>
        </w:rPr>
        <w:t>)</w:t>
      </w:r>
      <w:r w:rsidR="00CD72AB" w:rsidRPr="00CD72AB">
        <w:rPr>
          <w:szCs w:val="24"/>
        </w:rPr>
        <w:t>.</w:t>
      </w:r>
      <w:r w:rsidR="00E34058">
        <w:rPr>
          <w:szCs w:val="24"/>
        </w:rPr>
        <w:t xml:space="preserve"> </w:t>
      </w:r>
      <w:r w:rsidRPr="00CD72AB">
        <w:rPr>
          <w:szCs w:val="24"/>
        </w:rPr>
        <w:t>Of the</w:t>
      </w:r>
      <w:r w:rsidRPr="000470D0">
        <w:rPr>
          <w:szCs w:val="24"/>
        </w:rPr>
        <w:t xml:space="preserve"> 80 randomized participants </w:t>
      </w:r>
      <w:r w:rsidR="00E34058">
        <w:rPr>
          <w:szCs w:val="24"/>
        </w:rPr>
        <w:t>69</w:t>
      </w:r>
      <w:r w:rsidRPr="000470D0">
        <w:rPr>
          <w:szCs w:val="24"/>
        </w:rPr>
        <w:t xml:space="preserve"> (</w:t>
      </w:r>
      <w:r w:rsidR="00E34058">
        <w:rPr>
          <w:szCs w:val="24"/>
        </w:rPr>
        <w:t>86.3</w:t>
      </w:r>
      <w:r w:rsidRPr="000470D0">
        <w:rPr>
          <w:szCs w:val="24"/>
        </w:rPr>
        <w:t xml:space="preserve">%) </w:t>
      </w:r>
      <w:r w:rsidR="00E34058">
        <w:rPr>
          <w:szCs w:val="24"/>
        </w:rPr>
        <w:t>returned for at least one post-baseline visit</w:t>
      </w:r>
      <w:r w:rsidRPr="000470D0">
        <w:rPr>
          <w:szCs w:val="24"/>
        </w:rPr>
        <w:t>.</w:t>
      </w:r>
    </w:p>
    <w:p w14:paraId="66C8D1A2" w14:textId="745FD7F7" w:rsidR="00D34CC0" w:rsidRDefault="003A528C" w:rsidP="00CD72AB">
      <w:pPr>
        <w:spacing w:line="480" w:lineRule="auto"/>
        <w:ind w:firstLine="720"/>
        <w:rPr>
          <w:szCs w:val="24"/>
        </w:rPr>
      </w:pPr>
      <w:r>
        <w:rPr>
          <w:szCs w:val="24"/>
        </w:rPr>
        <w:t>Of those assigned to brexpiprazole, 12 (of 40) (30%) were on at least one concomitant psychiatric medication</w:t>
      </w:r>
      <w:r w:rsidR="00D34CC0" w:rsidRPr="000470D0">
        <w:rPr>
          <w:szCs w:val="24"/>
        </w:rPr>
        <w:t xml:space="preserve"> </w:t>
      </w:r>
      <w:r>
        <w:rPr>
          <w:szCs w:val="24"/>
        </w:rPr>
        <w:t xml:space="preserve">(8 taking an antidepressant, 5 on an anti-epileptic, and 3 on a stimulant) whereas of those assigned to placebo (14 of </w:t>
      </w:r>
      <w:r w:rsidR="00DE13E1">
        <w:rPr>
          <w:szCs w:val="24"/>
        </w:rPr>
        <w:t>40</w:t>
      </w:r>
      <w:r>
        <w:rPr>
          <w:szCs w:val="24"/>
        </w:rPr>
        <w:t>; 3</w:t>
      </w:r>
      <w:r w:rsidR="00DE13E1">
        <w:rPr>
          <w:szCs w:val="24"/>
        </w:rPr>
        <w:t>5</w:t>
      </w:r>
      <w:r>
        <w:rPr>
          <w:szCs w:val="24"/>
        </w:rPr>
        <w:t>%) were on at least one concomitant psychotropic medication (10 taking an antidepressant, 7 on an anti-epileptic, and 3 on a stimulant).</w:t>
      </w:r>
    </w:p>
    <w:p w14:paraId="5FBA2E2D" w14:textId="47298045" w:rsidR="009A7637" w:rsidRPr="000470D0" w:rsidRDefault="009A7637" w:rsidP="00CD72AB">
      <w:pPr>
        <w:spacing w:line="480" w:lineRule="auto"/>
        <w:ind w:firstLine="720"/>
        <w:rPr>
          <w:szCs w:val="24"/>
        </w:rPr>
      </w:pPr>
      <w:r>
        <w:rPr>
          <w:szCs w:val="24"/>
        </w:rPr>
        <w:t>Of the adults assigned to brexpiprazole, 25 (62.5%) had at least one current comorbid psychiatric disorder (19 with an anxiety disorder, 15 with a mood disorder, 4 with ADHD, and 4 with an eating disorder). Among the people assigned to placebo, 26 (</w:t>
      </w:r>
      <w:r w:rsidR="00DE13E1">
        <w:rPr>
          <w:szCs w:val="24"/>
        </w:rPr>
        <w:t>65.0</w:t>
      </w:r>
      <w:r>
        <w:rPr>
          <w:szCs w:val="24"/>
        </w:rPr>
        <w:t>%) had at least one current comorbid psychiatric disorder (19 with an anxiety disorder, 13 with a mood disorder, 1 with ADHD, and 3 with an eating disorder).</w:t>
      </w:r>
    </w:p>
    <w:p w14:paraId="411F272B" w14:textId="4760A5F2" w:rsidR="00D34CC0" w:rsidRPr="000470D0" w:rsidRDefault="00D34CC0" w:rsidP="00973D1C">
      <w:pPr>
        <w:spacing w:line="480" w:lineRule="auto"/>
        <w:ind w:firstLine="720"/>
        <w:rPr>
          <w:b/>
          <w:color w:val="000000"/>
          <w:szCs w:val="24"/>
        </w:rPr>
      </w:pPr>
      <w:r w:rsidRPr="000470D0">
        <w:rPr>
          <w:szCs w:val="24"/>
        </w:rPr>
        <w:t xml:space="preserve">A total of </w:t>
      </w:r>
      <w:r w:rsidR="00CE3891">
        <w:rPr>
          <w:szCs w:val="24"/>
        </w:rPr>
        <w:t>30</w:t>
      </w:r>
      <w:r w:rsidRPr="000470D0">
        <w:rPr>
          <w:szCs w:val="24"/>
        </w:rPr>
        <w:t xml:space="preserve"> of 40 participants (</w:t>
      </w:r>
      <w:r w:rsidR="00CE3891">
        <w:rPr>
          <w:szCs w:val="24"/>
        </w:rPr>
        <w:t>75</w:t>
      </w:r>
      <w:r w:rsidRPr="000470D0">
        <w:rPr>
          <w:szCs w:val="24"/>
        </w:rPr>
        <w:t xml:space="preserve">%) assigned to treatment with brexpiprazole and </w:t>
      </w:r>
      <w:r w:rsidR="00CE3891">
        <w:rPr>
          <w:szCs w:val="24"/>
        </w:rPr>
        <w:t>25</w:t>
      </w:r>
      <w:r w:rsidRPr="000470D0">
        <w:rPr>
          <w:szCs w:val="24"/>
        </w:rPr>
        <w:t xml:space="preserve"> of </w:t>
      </w:r>
      <w:r w:rsidR="00CE3891">
        <w:rPr>
          <w:szCs w:val="24"/>
        </w:rPr>
        <w:t>40</w:t>
      </w:r>
      <w:r w:rsidRPr="000470D0">
        <w:rPr>
          <w:szCs w:val="24"/>
        </w:rPr>
        <w:t xml:space="preserve"> individuals (</w:t>
      </w:r>
      <w:r w:rsidR="00CE3891">
        <w:rPr>
          <w:szCs w:val="24"/>
        </w:rPr>
        <w:t>62.5</w:t>
      </w:r>
      <w:r w:rsidRPr="000470D0">
        <w:rPr>
          <w:szCs w:val="24"/>
        </w:rPr>
        <w:t xml:space="preserve">%) assigned to treatment with placebo completed the 12-week trial (Figure 1). </w:t>
      </w:r>
      <w:r w:rsidR="00CE3891">
        <w:rPr>
          <w:szCs w:val="24"/>
        </w:rPr>
        <w:t xml:space="preserve"> </w:t>
      </w:r>
      <w:r w:rsidRPr="000470D0">
        <w:rPr>
          <w:szCs w:val="24"/>
        </w:rPr>
        <w:t xml:space="preserve">Of the </w:t>
      </w:r>
      <w:r w:rsidR="00CE3891">
        <w:rPr>
          <w:szCs w:val="24"/>
        </w:rPr>
        <w:t>25</w:t>
      </w:r>
      <w:r w:rsidRPr="000470D0">
        <w:rPr>
          <w:szCs w:val="24"/>
        </w:rPr>
        <w:t xml:space="preserve"> participants who failed to complete the study, </w:t>
      </w:r>
      <w:r w:rsidR="00CE3891">
        <w:rPr>
          <w:szCs w:val="24"/>
        </w:rPr>
        <w:t>participants generally withdrew due to</w:t>
      </w:r>
      <w:r w:rsidR="005C451D">
        <w:rPr>
          <w:szCs w:val="24"/>
        </w:rPr>
        <w:t xml:space="preserve"> perceived</w:t>
      </w:r>
      <w:r w:rsidR="00CE3891">
        <w:rPr>
          <w:szCs w:val="24"/>
        </w:rPr>
        <w:t xml:space="preserve"> lack of efficacy or</w:t>
      </w:r>
      <w:r w:rsidRPr="000470D0">
        <w:rPr>
          <w:szCs w:val="24"/>
        </w:rPr>
        <w:t xml:space="preserve"> inability to adhere to the study schedule.</w:t>
      </w:r>
    </w:p>
    <w:p w14:paraId="632E6500" w14:textId="1E2AAFC9" w:rsidR="00023F3A" w:rsidRDefault="00E34058" w:rsidP="00023F3A">
      <w:pPr>
        <w:spacing w:line="480" w:lineRule="auto"/>
        <w:ind w:firstLine="720"/>
      </w:pPr>
      <w:r>
        <w:t>The primary outcome variable was Z</w:t>
      </w:r>
      <w:r w:rsidR="007C3393">
        <w:t>AN-BPD</w:t>
      </w:r>
      <w:r>
        <w:t xml:space="preserve"> Total Scores. Figure 2 shows </w:t>
      </w:r>
      <w:r w:rsidR="00DE13E1">
        <w:t>means</w:t>
      </w:r>
      <w:r>
        <w:t xml:space="preserve"> at each visit by group.  </w:t>
      </w:r>
      <w:r w:rsidR="00023F3A">
        <w:t xml:space="preserve">The treatment group went from a mean score of 14.9 (4.4) at study entry to 3.1 (3.9) at end of 12 weeks, compared to a change from 14.9 (4.5) for placebo to </w:t>
      </w:r>
      <w:r w:rsidR="005D365C">
        <w:t>8.4</w:t>
      </w:r>
      <w:r w:rsidR="00023F3A">
        <w:t xml:space="preserve"> (5.</w:t>
      </w:r>
      <w:r w:rsidR="005D365C">
        <w:t>5</w:t>
      </w:r>
      <w:r w:rsidR="00DE13E1">
        <w:t>)</w:t>
      </w:r>
      <w:r w:rsidR="00023F3A">
        <w:t xml:space="preserve"> at the end of the 12 weeks.</w:t>
      </w:r>
    </w:p>
    <w:p w14:paraId="3D6EBCA9" w14:textId="77777777" w:rsidR="00023F3A" w:rsidRDefault="00023F3A" w:rsidP="00023F3A">
      <w:pPr>
        <w:spacing w:line="480" w:lineRule="auto"/>
        <w:rPr>
          <w:b/>
        </w:rPr>
      </w:pPr>
    </w:p>
    <w:p w14:paraId="5C487A0E" w14:textId="77777777" w:rsidR="00023F3A" w:rsidRPr="00023F3A" w:rsidRDefault="00023F3A" w:rsidP="00023F3A">
      <w:pPr>
        <w:spacing w:line="480" w:lineRule="auto"/>
        <w:rPr>
          <w:b/>
        </w:rPr>
      </w:pPr>
      <w:r w:rsidRPr="00023F3A">
        <w:rPr>
          <w:b/>
        </w:rPr>
        <w:t>Table 1. Characteristics of the BPD Participants at Study Entry</w:t>
      </w:r>
    </w:p>
    <w:tbl>
      <w:tblPr>
        <w:tblStyle w:val="TableGrid"/>
        <w:tblW w:w="9535" w:type="dxa"/>
        <w:tblLook w:val="04A0" w:firstRow="1" w:lastRow="0" w:firstColumn="1" w:lastColumn="0" w:noHBand="0" w:noVBand="1"/>
      </w:tblPr>
      <w:tblGrid>
        <w:gridCol w:w="3955"/>
        <w:gridCol w:w="1980"/>
        <w:gridCol w:w="2340"/>
        <w:gridCol w:w="1260"/>
      </w:tblGrid>
      <w:tr w:rsidR="00A10B70" w:rsidRPr="002F783B" w14:paraId="3CF8117B" w14:textId="77777777" w:rsidTr="00FB2D72">
        <w:trPr>
          <w:trHeight w:val="20"/>
          <w:tblHeader/>
        </w:trPr>
        <w:tc>
          <w:tcPr>
            <w:tcW w:w="3955" w:type="dxa"/>
          </w:tcPr>
          <w:p w14:paraId="637F630B" w14:textId="77777777" w:rsidR="00A10B70" w:rsidRPr="00023F3A" w:rsidRDefault="00A10B70" w:rsidP="00FB2D72">
            <w:pPr>
              <w:rPr>
                <w:rFonts w:eastAsia="Calibri"/>
                <w:szCs w:val="24"/>
              </w:rPr>
            </w:pPr>
          </w:p>
        </w:tc>
        <w:tc>
          <w:tcPr>
            <w:tcW w:w="1980" w:type="dxa"/>
          </w:tcPr>
          <w:p w14:paraId="290795C8" w14:textId="77777777" w:rsidR="00A10B70" w:rsidRPr="00023F3A" w:rsidRDefault="00A10B70" w:rsidP="00FB2D72">
            <w:pPr>
              <w:jc w:val="right"/>
              <w:rPr>
                <w:rFonts w:eastAsia="Calibri"/>
                <w:b/>
                <w:bCs/>
                <w:szCs w:val="24"/>
              </w:rPr>
            </w:pPr>
            <w:r w:rsidRPr="00023F3A">
              <w:rPr>
                <w:rFonts w:eastAsia="Calibri"/>
                <w:b/>
                <w:bCs/>
                <w:szCs w:val="24"/>
              </w:rPr>
              <w:t>Placebo Group</w:t>
            </w:r>
          </w:p>
          <w:p w14:paraId="2309EC01" w14:textId="77777777" w:rsidR="00A10B70" w:rsidRPr="00023F3A" w:rsidRDefault="00A10B70" w:rsidP="00FB2D72">
            <w:pPr>
              <w:jc w:val="right"/>
              <w:rPr>
                <w:rFonts w:eastAsia="Calibri"/>
                <w:b/>
                <w:bCs/>
                <w:szCs w:val="24"/>
              </w:rPr>
            </w:pPr>
            <w:r w:rsidRPr="00023F3A">
              <w:rPr>
                <w:rFonts w:eastAsia="Calibri"/>
                <w:b/>
                <w:bCs/>
                <w:szCs w:val="24"/>
              </w:rPr>
              <w:t xml:space="preserve"> (n=37)</w:t>
            </w:r>
          </w:p>
        </w:tc>
        <w:tc>
          <w:tcPr>
            <w:tcW w:w="2340" w:type="dxa"/>
          </w:tcPr>
          <w:p w14:paraId="4EAFADBE" w14:textId="77777777" w:rsidR="00A10B70" w:rsidRPr="00023F3A" w:rsidRDefault="00A10B70" w:rsidP="00FB2D72">
            <w:pPr>
              <w:jc w:val="right"/>
              <w:rPr>
                <w:rFonts w:eastAsia="Calibri"/>
                <w:b/>
                <w:bCs/>
                <w:szCs w:val="24"/>
              </w:rPr>
            </w:pPr>
            <w:r w:rsidRPr="00023F3A">
              <w:rPr>
                <w:rFonts w:eastAsia="Calibri"/>
                <w:b/>
                <w:bCs/>
                <w:szCs w:val="24"/>
              </w:rPr>
              <w:t>Treatment Group</w:t>
            </w:r>
          </w:p>
          <w:p w14:paraId="44A92186" w14:textId="77777777" w:rsidR="00A10B70" w:rsidRPr="00023F3A" w:rsidRDefault="00A10B70" w:rsidP="00FB2D72">
            <w:pPr>
              <w:jc w:val="right"/>
              <w:rPr>
                <w:rFonts w:eastAsia="Calibri"/>
                <w:b/>
                <w:bCs/>
                <w:szCs w:val="24"/>
              </w:rPr>
            </w:pPr>
            <w:r w:rsidRPr="00023F3A">
              <w:rPr>
                <w:rFonts w:eastAsia="Calibri"/>
                <w:b/>
                <w:bCs/>
                <w:szCs w:val="24"/>
              </w:rPr>
              <w:t xml:space="preserve"> (n=40)</w:t>
            </w:r>
          </w:p>
        </w:tc>
        <w:tc>
          <w:tcPr>
            <w:tcW w:w="1260" w:type="dxa"/>
          </w:tcPr>
          <w:p w14:paraId="2777E0CE" w14:textId="77777777" w:rsidR="00A10B70" w:rsidRPr="00023F3A" w:rsidRDefault="00A10B70" w:rsidP="00FB2D72">
            <w:pPr>
              <w:jc w:val="right"/>
              <w:rPr>
                <w:rFonts w:eastAsia="Calibri"/>
                <w:b/>
                <w:bCs/>
                <w:szCs w:val="24"/>
              </w:rPr>
            </w:pPr>
            <w:r w:rsidRPr="00023F3A">
              <w:rPr>
                <w:rFonts w:eastAsia="Calibri"/>
                <w:b/>
                <w:bCs/>
                <w:szCs w:val="24"/>
              </w:rPr>
              <w:t>P-value*</w:t>
            </w:r>
          </w:p>
        </w:tc>
      </w:tr>
      <w:tr w:rsidR="00A10B70" w:rsidRPr="002F783B" w14:paraId="4F86BDFB" w14:textId="77777777" w:rsidTr="00FB2D72">
        <w:trPr>
          <w:trHeight w:val="20"/>
        </w:trPr>
        <w:tc>
          <w:tcPr>
            <w:tcW w:w="3955" w:type="dxa"/>
          </w:tcPr>
          <w:p w14:paraId="13C382F0" w14:textId="77777777" w:rsidR="00A10B70" w:rsidRPr="00023F3A" w:rsidRDefault="00A10B70" w:rsidP="00FB2D72">
            <w:pPr>
              <w:rPr>
                <w:rFonts w:eastAsia="Calibri"/>
                <w:szCs w:val="24"/>
              </w:rPr>
            </w:pPr>
            <w:r w:rsidRPr="00023F3A">
              <w:rPr>
                <w:rFonts w:eastAsia="Calibri"/>
                <w:szCs w:val="24"/>
              </w:rPr>
              <w:t xml:space="preserve">Age, </w:t>
            </w:r>
            <w:r w:rsidRPr="00023F3A">
              <w:rPr>
                <w:rFonts w:eastAsia="Calibri"/>
                <w:i/>
                <w:szCs w:val="24"/>
              </w:rPr>
              <w:t>mean ± SD (median; range)</w:t>
            </w:r>
          </w:p>
        </w:tc>
        <w:tc>
          <w:tcPr>
            <w:tcW w:w="1980" w:type="dxa"/>
          </w:tcPr>
          <w:p w14:paraId="4E82F034" w14:textId="77777777" w:rsidR="00A10B70" w:rsidRPr="00023F3A" w:rsidRDefault="00A10B70" w:rsidP="00FB2D72">
            <w:pPr>
              <w:jc w:val="right"/>
              <w:rPr>
                <w:rFonts w:eastAsia="Calibri"/>
                <w:szCs w:val="24"/>
              </w:rPr>
            </w:pPr>
            <w:r w:rsidRPr="00023F3A">
              <w:rPr>
                <w:rFonts w:eastAsia="Calibri"/>
                <w:szCs w:val="24"/>
              </w:rPr>
              <w:t xml:space="preserve">28.9 ± 9.6 </w:t>
            </w:r>
          </w:p>
          <w:p w14:paraId="1045CB84" w14:textId="77777777" w:rsidR="00A10B70" w:rsidRPr="00023F3A" w:rsidRDefault="00A10B70" w:rsidP="00FB2D72">
            <w:pPr>
              <w:jc w:val="right"/>
              <w:rPr>
                <w:rFonts w:eastAsia="Calibri"/>
                <w:szCs w:val="24"/>
              </w:rPr>
            </w:pPr>
            <w:r w:rsidRPr="00023F3A">
              <w:rPr>
                <w:rFonts w:eastAsia="Calibri"/>
                <w:szCs w:val="24"/>
              </w:rPr>
              <w:t>(25; 19-54)</w:t>
            </w:r>
          </w:p>
        </w:tc>
        <w:tc>
          <w:tcPr>
            <w:tcW w:w="2340" w:type="dxa"/>
          </w:tcPr>
          <w:p w14:paraId="609D4B83" w14:textId="77777777" w:rsidR="00A10B70" w:rsidRPr="00023F3A" w:rsidRDefault="00A10B70" w:rsidP="00FB2D72">
            <w:pPr>
              <w:jc w:val="right"/>
              <w:rPr>
                <w:rFonts w:eastAsia="Calibri"/>
                <w:szCs w:val="24"/>
              </w:rPr>
            </w:pPr>
            <w:r w:rsidRPr="00023F3A">
              <w:rPr>
                <w:rFonts w:eastAsia="Calibri"/>
                <w:szCs w:val="24"/>
              </w:rPr>
              <w:t xml:space="preserve">30.9 ± 12.6 </w:t>
            </w:r>
          </w:p>
          <w:p w14:paraId="0D66C226" w14:textId="77777777" w:rsidR="00A10B70" w:rsidRPr="00023F3A" w:rsidRDefault="00A10B70" w:rsidP="00FB2D72">
            <w:pPr>
              <w:jc w:val="right"/>
              <w:rPr>
                <w:rFonts w:eastAsia="Calibri"/>
                <w:szCs w:val="24"/>
              </w:rPr>
            </w:pPr>
            <w:r w:rsidRPr="00023F3A">
              <w:rPr>
                <w:rFonts w:eastAsia="Calibri"/>
                <w:szCs w:val="24"/>
              </w:rPr>
              <w:t>(27; 19-61)</w:t>
            </w:r>
          </w:p>
        </w:tc>
        <w:tc>
          <w:tcPr>
            <w:tcW w:w="1260" w:type="dxa"/>
          </w:tcPr>
          <w:p w14:paraId="3A32F250" w14:textId="77777777" w:rsidR="00A10B70" w:rsidRPr="00023F3A" w:rsidRDefault="00A10B70" w:rsidP="00FB2D72">
            <w:pPr>
              <w:jc w:val="right"/>
              <w:rPr>
                <w:rFonts w:eastAsia="Calibri"/>
                <w:szCs w:val="24"/>
              </w:rPr>
            </w:pPr>
            <w:r w:rsidRPr="00023F3A">
              <w:rPr>
                <w:rFonts w:eastAsia="Calibri"/>
                <w:szCs w:val="24"/>
              </w:rPr>
              <w:t>0.6700 (M)</w:t>
            </w:r>
          </w:p>
        </w:tc>
      </w:tr>
      <w:tr w:rsidR="00A10B70" w:rsidRPr="002F783B" w14:paraId="0BC0D172" w14:textId="77777777" w:rsidTr="00FB2D72">
        <w:trPr>
          <w:trHeight w:val="20"/>
        </w:trPr>
        <w:tc>
          <w:tcPr>
            <w:tcW w:w="3955" w:type="dxa"/>
          </w:tcPr>
          <w:p w14:paraId="7F3314A1" w14:textId="31FF5053" w:rsidR="00A10B70" w:rsidRPr="00023F3A" w:rsidRDefault="00A10B70" w:rsidP="007C3393">
            <w:pPr>
              <w:rPr>
                <w:rFonts w:eastAsia="Calibri"/>
                <w:szCs w:val="24"/>
              </w:rPr>
            </w:pPr>
            <w:r w:rsidRPr="00023F3A">
              <w:rPr>
                <w:rFonts w:eastAsia="Calibri"/>
                <w:szCs w:val="24"/>
              </w:rPr>
              <w:t>Sex,</w:t>
            </w:r>
            <w:r w:rsidR="007C3393">
              <w:rPr>
                <w:rFonts w:eastAsia="Calibri"/>
                <w:szCs w:val="24"/>
              </w:rPr>
              <w:t xml:space="preserve"> </w:t>
            </w:r>
            <w:r w:rsidRPr="00023F3A">
              <w:rPr>
                <w:rFonts w:eastAsia="Calibri"/>
                <w:i/>
                <w:szCs w:val="24"/>
              </w:rPr>
              <w:t>n(%)</w:t>
            </w:r>
            <w:r w:rsidR="007C3393">
              <w:rPr>
                <w:rFonts w:eastAsia="Calibri"/>
                <w:i/>
                <w:szCs w:val="24"/>
              </w:rPr>
              <w:t xml:space="preserve"> (</w:t>
            </w:r>
            <w:r w:rsidR="007C3393" w:rsidRPr="00023F3A">
              <w:rPr>
                <w:rFonts w:eastAsia="Calibri"/>
                <w:szCs w:val="24"/>
              </w:rPr>
              <w:t>N=35 for treatment group</w:t>
            </w:r>
            <w:r w:rsidR="007C3393">
              <w:rPr>
                <w:rFonts w:eastAsia="Calibri"/>
                <w:szCs w:val="24"/>
              </w:rPr>
              <w:t>)</w:t>
            </w:r>
          </w:p>
        </w:tc>
        <w:tc>
          <w:tcPr>
            <w:tcW w:w="1980" w:type="dxa"/>
          </w:tcPr>
          <w:p w14:paraId="65AB6B82" w14:textId="77777777" w:rsidR="00A10B70" w:rsidRPr="00023F3A" w:rsidRDefault="00A10B70" w:rsidP="00FB2D72">
            <w:pPr>
              <w:jc w:val="right"/>
              <w:rPr>
                <w:rFonts w:eastAsia="Calibri"/>
                <w:szCs w:val="24"/>
              </w:rPr>
            </w:pPr>
          </w:p>
        </w:tc>
        <w:tc>
          <w:tcPr>
            <w:tcW w:w="2340" w:type="dxa"/>
          </w:tcPr>
          <w:p w14:paraId="7C48405A" w14:textId="77777777" w:rsidR="00A10B70" w:rsidRPr="00023F3A" w:rsidRDefault="00A10B70" w:rsidP="00FB2D72">
            <w:pPr>
              <w:jc w:val="right"/>
              <w:rPr>
                <w:rFonts w:eastAsia="Calibri"/>
                <w:szCs w:val="24"/>
              </w:rPr>
            </w:pPr>
          </w:p>
        </w:tc>
        <w:tc>
          <w:tcPr>
            <w:tcW w:w="1260" w:type="dxa"/>
          </w:tcPr>
          <w:p w14:paraId="7AD9ACA3" w14:textId="77777777" w:rsidR="00A10B70" w:rsidRPr="00023F3A" w:rsidRDefault="00A10B70" w:rsidP="00FB2D72">
            <w:pPr>
              <w:jc w:val="right"/>
              <w:rPr>
                <w:rFonts w:eastAsia="Calibri"/>
                <w:szCs w:val="24"/>
              </w:rPr>
            </w:pPr>
            <w:r w:rsidRPr="00023F3A">
              <w:rPr>
                <w:rFonts w:eastAsia="Calibri"/>
                <w:szCs w:val="24"/>
              </w:rPr>
              <w:t>0.5426 (F)</w:t>
            </w:r>
          </w:p>
        </w:tc>
      </w:tr>
      <w:tr w:rsidR="00A10B70" w:rsidRPr="002F783B" w14:paraId="1F72AA4E" w14:textId="77777777" w:rsidTr="00FB2D72">
        <w:trPr>
          <w:trHeight w:val="20"/>
        </w:trPr>
        <w:tc>
          <w:tcPr>
            <w:tcW w:w="3955" w:type="dxa"/>
          </w:tcPr>
          <w:p w14:paraId="7F2FA900" w14:textId="77777777" w:rsidR="00A10B70" w:rsidRPr="00023F3A" w:rsidRDefault="00A10B70" w:rsidP="00FB2D72">
            <w:pPr>
              <w:jc w:val="both"/>
              <w:rPr>
                <w:rFonts w:eastAsia="Calibri"/>
                <w:szCs w:val="24"/>
              </w:rPr>
            </w:pPr>
            <w:r w:rsidRPr="00023F3A">
              <w:rPr>
                <w:rFonts w:eastAsia="Calibri"/>
                <w:szCs w:val="24"/>
              </w:rPr>
              <w:t xml:space="preserve">     Female</w:t>
            </w:r>
          </w:p>
        </w:tc>
        <w:tc>
          <w:tcPr>
            <w:tcW w:w="1980" w:type="dxa"/>
          </w:tcPr>
          <w:p w14:paraId="627353BE" w14:textId="77777777" w:rsidR="00A10B70" w:rsidRPr="00023F3A" w:rsidRDefault="00A10B70" w:rsidP="00FB2D72">
            <w:pPr>
              <w:jc w:val="right"/>
              <w:rPr>
                <w:rFonts w:eastAsia="Calibri"/>
                <w:szCs w:val="24"/>
              </w:rPr>
            </w:pPr>
            <w:r w:rsidRPr="00023F3A">
              <w:rPr>
                <w:rFonts w:eastAsia="Calibri"/>
                <w:szCs w:val="24"/>
              </w:rPr>
              <w:t>21 (56.8%)</w:t>
            </w:r>
          </w:p>
        </w:tc>
        <w:tc>
          <w:tcPr>
            <w:tcW w:w="2340" w:type="dxa"/>
          </w:tcPr>
          <w:p w14:paraId="7D608BD8" w14:textId="77777777" w:rsidR="00A10B70" w:rsidRPr="00023F3A" w:rsidRDefault="00A10B70" w:rsidP="00FB2D72">
            <w:pPr>
              <w:jc w:val="right"/>
              <w:rPr>
                <w:rFonts w:eastAsia="Calibri"/>
                <w:szCs w:val="24"/>
              </w:rPr>
            </w:pPr>
            <w:r w:rsidRPr="00023F3A">
              <w:rPr>
                <w:rFonts w:eastAsia="Calibri"/>
                <w:szCs w:val="24"/>
              </w:rPr>
              <w:t>24 (68.6%)</w:t>
            </w:r>
          </w:p>
        </w:tc>
        <w:tc>
          <w:tcPr>
            <w:tcW w:w="1260" w:type="dxa"/>
          </w:tcPr>
          <w:p w14:paraId="7BE1C5EA" w14:textId="45CD107B" w:rsidR="00A10B70" w:rsidRPr="00023F3A" w:rsidRDefault="00A10B70" w:rsidP="00FB2D72">
            <w:pPr>
              <w:jc w:val="right"/>
              <w:rPr>
                <w:rFonts w:eastAsia="Calibri"/>
                <w:szCs w:val="24"/>
              </w:rPr>
            </w:pPr>
          </w:p>
        </w:tc>
      </w:tr>
      <w:tr w:rsidR="00A10B70" w:rsidRPr="002F783B" w14:paraId="3214DA43" w14:textId="77777777" w:rsidTr="00FB2D72">
        <w:trPr>
          <w:trHeight w:val="20"/>
        </w:trPr>
        <w:tc>
          <w:tcPr>
            <w:tcW w:w="3955" w:type="dxa"/>
          </w:tcPr>
          <w:p w14:paraId="0CFC3566" w14:textId="77777777" w:rsidR="00A10B70" w:rsidRPr="00023F3A" w:rsidRDefault="00A10B70" w:rsidP="00FB2D72">
            <w:pPr>
              <w:jc w:val="both"/>
              <w:rPr>
                <w:rFonts w:eastAsia="Calibri"/>
                <w:szCs w:val="24"/>
              </w:rPr>
            </w:pPr>
            <w:r w:rsidRPr="00023F3A">
              <w:rPr>
                <w:rFonts w:eastAsia="Calibri"/>
                <w:szCs w:val="24"/>
              </w:rPr>
              <w:t xml:space="preserve">     Male</w:t>
            </w:r>
          </w:p>
        </w:tc>
        <w:tc>
          <w:tcPr>
            <w:tcW w:w="1980" w:type="dxa"/>
          </w:tcPr>
          <w:p w14:paraId="42995356" w14:textId="77777777" w:rsidR="00A10B70" w:rsidRPr="00023F3A" w:rsidRDefault="00A10B70" w:rsidP="00FB2D72">
            <w:pPr>
              <w:jc w:val="right"/>
              <w:rPr>
                <w:rFonts w:eastAsia="Calibri"/>
                <w:szCs w:val="24"/>
              </w:rPr>
            </w:pPr>
            <w:r w:rsidRPr="00023F3A">
              <w:rPr>
                <w:rFonts w:eastAsia="Calibri"/>
                <w:szCs w:val="24"/>
              </w:rPr>
              <w:t>12 (32.4%)</w:t>
            </w:r>
          </w:p>
        </w:tc>
        <w:tc>
          <w:tcPr>
            <w:tcW w:w="2340" w:type="dxa"/>
          </w:tcPr>
          <w:p w14:paraId="0F1ED673" w14:textId="77777777" w:rsidR="00A10B70" w:rsidRPr="00023F3A" w:rsidRDefault="00A10B70" w:rsidP="00FB2D72">
            <w:pPr>
              <w:jc w:val="right"/>
              <w:rPr>
                <w:rFonts w:eastAsia="Calibri"/>
                <w:szCs w:val="24"/>
              </w:rPr>
            </w:pPr>
            <w:r w:rsidRPr="00023F3A">
              <w:rPr>
                <w:rFonts w:eastAsia="Calibri"/>
                <w:szCs w:val="24"/>
              </w:rPr>
              <w:t>9 (25.7%)</w:t>
            </w:r>
          </w:p>
        </w:tc>
        <w:tc>
          <w:tcPr>
            <w:tcW w:w="1260" w:type="dxa"/>
          </w:tcPr>
          <w:p w14:paraId="2D15A2D7" w14:textId="77777777" w:rsidR="00A10B70" w:rsidRPr="00023F3A" w:rsidRDefault="00A10B70" w:rsidP="00FB2D72">
            <w:pPr>
              <w:jc w:val="right"/>
              <w:rPr>
                <w:rFonts w:eastAsia="Calibri"/>
                <w:szCs w:val="24"/>
              </w:rPr>
            </w:pPr>
          </w:p>
        </w:tc>
      </w:tr>
      <w:tr w:rsidR="00A10B70" w:rsidRPr="002F783B" w14:paraId="2A366E33" w14:textId="77777777" w:rsidTr="00FB2D72">
        <w:trPr>
          <w:trHeight w:val="20"/>
        </w:trPr>
        <w:tc>
          <w:tcPr>
            <w:tcW w:w="3955" w:type="dxa"/>
          </w:tcPr>
          <w:p w14:paraId="6506131B" w14:textId="77777777" w:rsidR="00A10B70" w:rsidRPr="00023F3A" w:rsidRDefault="00A10B70" w:rsidP="00FB2D72">
            <w:pPr>
              <w:jc w:val="both"/>
              <w:rPr>
                <w:rFonts w:eastAsia="Calibri"/>
                <w:szCs w:val="24"/>
              </w:rPr>
            </w:pPr>
            <w:r w:rsidRPr="00023F3A">
              <w:rPr>
                <w:rFonts w:eastAsia="Calibri"/>
                <w:szCs w:val="24"/>
              </w:rPr>
              <w:t xml:space="preserve">     Other</w:t>
            </w:r>
          </w:p>
        </w:tc>
        <w:tc>
          <w:tcPr>
            <w:tcW w:w="1980" w:type="dxa"/>
          </w:tcPr>
          <w:p w14:paraId="3517D9B0" w14:textId="77777777" w:rsidR="00A10B70" w:rsidRPr="00023F3A" w:rsidRDefault="00A10B70" w:rsidP="00FB2D72">
            <w:pPr>
              <w:jc w:val="right"/>
              <w:rPr>
                <w:rFonts w:eastAsia="Calibri"/>
                <w:szCs w:val="24"/>
              </w:rPr>
            </w:pPr>
            <w:r w:rsidRPr="00023F3A">
              <w:rPr>
                <w:rFonts w:eastAsia="Calibri"/>
                <w:szCs w:val="24"/>
              </w:rPr>
              <w:t>4 (10.8%)</w:t>
            </w:r>
          </w:p>
        </w:tc>
        <w:tc>
          <w:tcPr>
            <w:tcW w:w="2340" w:type="dxa"/>
          </w:tcPr>
          <w:p w14:paraId="6F06F779" w14:textId="77777777" w:rsidR="00A10B70" w:rsidRPr="00023F3A" w:rsidRDefault="00A10B70" w:rsidP="00FB2D72">
            <w:pPr>
              <w:jc w:val="right"/>
              <w:rPr>
                <w:rFonts w:eastAsia="Calibri"/>
                <w:szCs w:val="24"/>
              </w:rPr>
            </w:pPr>
            <w:r w:rsidRPr="00023F3A">
              <w:rPr>
                <w:rFonts w:eastAsia="Calibri"/>
                <w:szCs w:val="24"/>
              </w:rPr>
              <w:t>2 (5.7%)</w:t>
            </w:r>
          </w:p>
        </w:tc>
        <w:tc>
          <w:tcPr>
            <w:tcW w:w="1260" w:type="dxa"/>
          </w:tcPr>
          <w:p w14:paraId="7950C22F" w14:textId="77777777" w:rsidR="00A10B70" w:rsidRPr="00023F3A" w:rsidRDefault="00A10B70" w:rsidP="00FB2D72">
            <w:pPr>
              <w:jc w:val="right"/>
              <w:rPr>
                <w:rFonts w:eastAsia="Calibri"/>
                <w:szCs w:val="24"/>
              </w:rPr>
            </w:pPr>
          </w:p>
        </w:tc>
      </w:tr>
      <w:tr w:rsidR="00A10B70" w:rsidRPr="002F783B" w14:paraId="048FD3ED" w14:textId="77777777" w:rsidTr="00FB2D72">
        <w:trPr>
          <w:trHeight w:val="20"/>
        </w:trPr>
        <w:tc>
          <w:tcPr>
            <w:tcW w:w="3955" w:type="dxa"/>
          </w:tcPr>
          <w:p w14:paraId="052E6E60" w14:textId="77777777" w:rsidR="00A10B70" w:rsidRPr="00023F3A" w:rsidRDefault="00A10B70" w:rsidP="00FB2D72">
            <w:pPr>
              <w:jc w:val="both"/>
              <w:rPr>
                <w:rFonts w:eastAsia="Calibri"/>
                <w:szCs w:val="24"/>
              </w:rPr>
            </w:pPr>
            <w:r w:rsidRPr="00023F3A">
              <w:rPr>
                <w:rFonts w:eastAsia="Calibri"/>
                <w:szCs w:val="24"/>
              </w:rPr>
              <w:t xml:space="preserve">Race, </w:t>
            </w:r>
            <w:r w:rsidRPr="00023F3A">
              <w:rPr>
                <w:rFonts w:eastAsia="Calibri"/>
                <w:i/>
                <w:szCs w:val="24"/>
              </w:rPr>
              <w:t>n (%)</w:t>
            </w:r>
          </w:p>
        </w:tc>
        <w:tc>
          <w:tcPr>
            <w:tcW w:w="1980" w:type="dxa"/>
          </w:tcPr>
          <w:p w14:paraId="614D162A" w14:textId="77777777" w:rsidR="00A10B70" w:rsidRPr="00023F3A" w:rsidRDefault="00A10B70" w:rsidP="00FB2D72">
            <w:pPr>
              <w:jc w:val="right"/>
              <w:rPr>
                <w:rFonts w:eastAsia="Calibri"/>
                <w:szCs w:val="24"/>
              </w:rPr>
            </w:pPr>
          </w:p>
        </w:tc>
        <w:tc>
          <w:tcPr>
            <w:tcW w:w="2340" w:type="dxa"/>
          </w:tcPr>
          <w:p w14:paraId="6558396C" w14:textId="77777777" w:rsidR="00A10B70" w:rsidRPr="00023F3A" w:rsidRDefault="00A10B70" w:rsidP="00FB2D72">
            <w:pPr>
              <w:jc w:val="right"/>
              <w:rPr>
                <w:rFonts w:eastAsia="Calibri"/>
                <w:szCs w:val="24"/>
              </w:rPr>
            </w:pPr>
          </w:p>
        </w:tc>
        <w:tc>
          <w:tcPr>
            <w:tcW w:w="1260" w:type="dxa"/>
          </w:tcPr>
          <w:p w14:paraId="049FE138" w14:textId="77777777" w:rsidR="00A10B70" w:rsidRPr="00023F3A" w:rsidRDefault="00A10B70" w:rsidP="00FB2D72">
            <w:pPr>
              <w:jc w:val="right"/>
              <w:rPr>
                <w:rFonts w:eastAsia="Calibri"/>
                <w:szCs w:val="24"/>
              </w:rPr>
            </w:pPr>
            <w:r w:rsidRPr="00023F3A">
              <w:rPr>
                <w:rFonts w:eastAsia="Calibri"/>
                <w:szCs w:val="24"/>
              </w:rPr>
              <w:t>0.9736 (F)</w:t>
            </w:r>
          </w:p>
        </w:tc>
      </w:tr>
      <w:tr w:rsidR="00A10B70" w:rsidRPr="002F783B" w14:paraId="4ABF108B" w14:textId="77777777" w:rsidTr="00FB2D72">
        <w:trPr>
          <w:trHeight w:val="20"/>
        </w:trPr>
        <w:tc>
          <w:tcPr>
            <w:tcW w:w="3955" w:type="dxa"/>
          </w:tcPr>
          <w:p w14:paraId="1CC1CF84" w14:textId="77777777" w:rsidR="00A10B70" w:rsidRPr="00023F3A" w:rsidRDefault="00A10B70" w:rsidP="00FB2D72">
            <w:pPr>
              <w:rPr>
                <w:rFonts w:eastAsia="Calibri"/>
                <w:szCs w:val="24"/>
              </w:rPr>
            </w:pPr>
            <w:r w:rsidRPr="00023F3A">
              <w:rPr>
                <w:rFonts w:eastAsia="Calibri"/>
                <w:szCs w:val="24"/>
              </w:rPr>
              <w:t xml:space="preserve">     American Indian or Alaska Native</w:t>
            </w:r>
          </w:p>
        </w:tc>
        <w:tc>
          <w:tcPr>
            <w:tcW w:w="1980" w:type="dxa"/>
          </w:tcPr>
          <w:p w14:paraId="5242B911" w14:textId="77777777" w:rsidR="00A10B70" w:rsidRPr="00023F3A" w:rsidRDefault="00A10B70" w:rsidP="00FB2D72">
            <w:pPr>
              <w:jc w:val="right"/>
              <w:rPr>
                <w:rFonts w:eastAsia="Calibri"/>
                <w:szCs w:val="24"/>
              </w:rPr>
            </w:pPr>
            <w:r w:rsidRPr="00023F3A">
              <w:rPr>
                <w:rFonts w:eastAsia="Calibri"/>
                <w:szCs w:val="24"/>
              </w:rPr>
              <w:t>0 (0%)</w:t>
            </w:r>
          </w:p>
        </w:tc>
        <w:tc>
          <w:tcPr>
            <w:tcW w:w="2340" w:type="dxa"/>
          </w:tcPr>
          <w:p w14:paraId="64C2B144" w14:textId="77777777" w:rsidR="00A10B70" w:rsidRPr="00023F3A" w:rsidRDefault="00A10B70" w:rsidP="00FB2D72">
            <w:pPr>
              <w:jc w:val="right"/>
              <w:rPr>
                <w:rFonts w:eastAsia="Calibri"/>
                <w:szCs w:val="24"/>
              </w:rPr>
            </w:pPr>
            <w:r w:rsidRPr="00023F3A">
              <w:rPr>
                <w:rFonts w:eastAsia="Calibri"/>
                <w:szCs w:val="24"/>
              </w:rPr>
              <w:t>0 (0%)</w:t>
            </w:r>
          </w:p>
        </w:tc>
        <w:tc>
          <w:tcPr>
            <w:tcW w:w="1260" w:type="dxa"/>
          </w:tcPr>
          <w:p w14:paraId="1C1773B8" w14:textId="77777777" w:rsidR="00A10B70" w:rsidRPr="00023F3A" w:rsidRDefault="00A10B70" w:rsidP="00FB2D72">
            <w:pPr>
              <w:jc w:val="right"/>
              <w:rPr>
                <w:rFonts w:eastAsia="Calibri"/>
                <w:szCs w:val="24"/>
              </w:rPr>
            </w:pPr>
          </w:p>
        </w:tc>
      </w:tr>
      <w:tr w:rsidR="00A10B70" w:rsidRPr="002F783B" w14:paraId="66ECBF0B" w14:textId="77777777" w:rsidTr="00FB2D72">
        <w:trPr>
          <w:trHeight w:val="20"/>
        </w:trPr>
        <w:tc>
          <w:tcPr>
            <w:tcW w:w="3955" w:type="dxa"/>
          </w:tcPr>
          <w:p w14:paraId="1EEA6EE7" w14:textId="77777777" w:rsidR="00A10B70" w:rsidRPr="00023F3A" w:rsidRDefault="00A10B70" w:rsidP="00FB2D72">
            <w:pPr>
              <w:jc w:val="both"/>
              <w:rPr>
                <w:rFonts w:eastAsia="Calibri"/>
                <w:szCs w:val="24"/>
              </w:rPr>
            </w:pPr>
            <w:r w:rsidRPr="00023F3A">
              <w:rPr>
                <w:rFonts w:eastAsia="Calibri"/>
                <w:szCs w:val="24"/>
              </w:rPr>
              <w:t xml:space="preserve">     Asian</w:t>
            </w:r>
          </w:p>
        </w:tc>
        <w:tc>
          <w:tcPr>
            <w:tcW w:w="1980" w:type="dxa"/>
          </w:tcPr>
          <w:p w14:paraId="22AD558F" w14:textId="77777777" w:rsidR="00A10B70" w:rsidRPr="00023F3A" w:rsidRDefault="00A10B70" w:rsidP="00FB2D72">
            <w:pPr>
              <w:jc w:val="right"/>
              <w:rPr>
                <w:rFonts w:eastAsia="Calibri"/>
                <w:szCs w:val="24"/>
              </w:rPr>
            </w:pPr>
            <w:r w:rsidRPr="00023F3A">
              <w:rPr>
                <w:rFonts w:eastAsia="Calibri"/>
                <w:szCs w:val="24"/>
              </w:rPr>
              <w:t>2 (5.4%)</w:t>
            </w:r>
          </w:p>
        </w:tc>
        <w:tc>
          <w:tcPr>
            <w:tcW w:w="2340" w:type="dxa"/>
          </w:tcPr>
          <w:p w14:paraId="6EB806EB" w14:textId="77777777" w:rsidR="00A10B70" w:rsidRPr="00023F3A" w:rsidRDefault="00A10B70" w:rsidP="00FB2D72">
            <w:pPr>
              <w:jc w:val="right"/>
              <w:rPr>
                <w:rFonts w:eastAsia="Calibri"/>
                <w:szCs w:val="24"/>
              </w:rPr>
            </w:pPr>
            <w:r w:rsidRPr="00023F3A">
              <w:rPr>
                <w:rFonts w:eastAsia="Calibri"/>
                <w:szCs w:val="24"/>
              </w:rPr>
              <w:t>1 (2.7%)</w:t>
            </w:r>
          </w:p>
        </w:tc>
        <w:tc>
          <w:tcPr>
            <w:tcW w:w="1260" w:type="dxa"/>
          </w:tcPr>
          <w:p w14:paraId="24EE5983" w14:textId="77777777" w:rsidR="00A10B70" w:rsidRPr="00023F3A" w:rsidRDefault="00A10B70" w:rsidP="00FB2D72">
            <w:pPr>
              <w:jc w:val="right"/>
              <w:rPr>
                <w:rFonts w:eastAsia="Calibri"/>
                <w:szCs w:val="24"/>
              </w:rPr>
            </w:pPr>
          </w:p>
        </w:tc>
      </w:tr>
      <w:tr w:rsidR="00A10B70" w:rsidRPr="002F783B" w14:paraId="0BC1108D" w14:textId="77777777" w:rsidTr="00FB2D72">
        <w:trPr>
          <w:trHeight w:val="20"/>
        </w:trPr>
        <w:tc>
          <w:tcPr>
            <w:tcW w:w="3955" w:type="dxa"/>
          </w:tcPr>
          <w:p w14:paraId="2369FBA3" w14:textId="77777777" w:rsidR="00A10B70" w:rsidRPr="00023F3A" w:rsidRDefault="00A10B70" w:rsidP="00FB2D72">
            <w:pPr>
              <w:rPr>
                <w:rFonts w:eastAsia="Calibri"/>
                <w:szCs w:val="24"/>
              </w:rPr>
            </w:pPr>
            <w:r w:rsidRPr="00023F3A">
              <w:rPr>
                <w:rFonts w:eastAsia="Calibri"/>
                <w:szCs w:val="24"/>
              </w:rPr>
              <w:t xml:space="preserve">     Native Hawaiian or Pacific Islander</w:t>
            </w:r>
          </w:p>
        </w:tc>
        <w:tc>
          <w:tcPr>
            <w:tcW w:w="1980" w:type="dxa"/>
          </w:tcPr>
          <w:p w14:paraId="33E7729C" w14:textId="77777777" w:rsidR="00A10B70" w:rsidRPr="00023F3A" w:rsidRDefault="00A10B70" w:rsidP="00FB2D72">
            <w:pPr>
              <w:jc w:val="right"/>
              <w:rPr>
                <w:rFonts w:eastAsia="Calibri"/>
                <w:szCs w:val="24"/>
              </w:rPr>
            </w:pPr>
            <w:r w:rsidRPr="00023F3A">
              <w:rPr>
                <w:rFonts w:eastAsia="Calibri"/>
                <w:szCs w:val="24"/>
              </w:rPr>
              <w:t>0 (0%)</w:t>
            </w:r>
          </w:p>
        </w:tc>
        <w:tc>
          <w:tcPr>
            <w:tcW w:w="2340" w:type="dxa"/>
          </w:tcPr>
          <w:p w14:paraId="51248EB5" w14:textId="77777777" w:rsidR="00A10B70" w:rsidRPr="00023F3A" w:rsidRDefault="00A10B70" w:rsidP="00FB2D72">
            <w:pPr>
              <w:jc w:val="right"/>
              <w:rPr>
                <w:rFonts w:eastAsia="Calibri"/>
                <w:szCs w:val="24"/>
              </w:rPr>
            </w:pPr>
            <w:r w:rsidRPr="00023F3A">
              <w:rPr>
                <w:rFonts w:eastAsia="Calibri"/>
                <w:szCs w:val="24"/>
              </w:rPr>
              <w:t>1 (2.7%)</w:t>
            </w:r>
          </w:p>
        </w:tc>
        <w:tc>
          <w:tcPr>
            <w:tcW w:w="1260" w:type="dxa"/>
          </w:tcPr>
          <w:p w14:paraId="02838CE6" w14:textId="77777777" w:rsidR="00A10B70" w:rsidRPr="00023F3A" w:rsidRDefault="00A10B70" w:rsidP="00FB2D72">
            <w:pPr>
              <w:jc w:val="right"/>
              <w:rPr>
                <w:rFonts w:eastAsia="Calibri"/>
                <w:szCs w:val="24"/>
              </w:rPr>
            </w:pPr>
          </w:p>
        </w:tc>
      </w:tr>
      <w:tr w:rsidR="00A10B70" w:rsidRPr="002F783B" w14:paraId="5E7F88BC" w14:textId="77777777" w:rsidTr="00FB2D72">
        <w:trPr>
          <w:trHeight w:val="20"/>
        </w:trPr>
        <w:tc>
          <w:tcPr>
            <w:tcW w:w="3955" w:type="dxa"/>
          </w:tcPr>
          <w:p w14:paraId="08A49F29" w14:textId="77777777" w:rsidR="00A10B70" w:rsidRPr="00023F3A" w:rsidRDefault="00A10B70" w:rsidP="00FB2D72">
            <w:pPr>
              <w:jc w:val="both"/>
              <w:rPr>
                <w:rFonts w:eastAsia="Calibri"/>
                <w:szCs w:val="24"/>
              </w:rPr>
            </w:pPr>
            <w:r w:rsidRPr="00023F3A">
              <w:rPr>
                <w:rFonts w:eastAsia="Calibri"/>
                <w:szCs w:val="24"/>
              </w:rPr>
              <w:t xml:space="preserve">     Black</w:t>
            </w:r>
          </w:p>
        </w:tc>
        <w:tc>
          <w:tcPr>
            <w:tcW w:w="1980" w:type="dxa"/>
          </w:tcPr>
          <w:p w14:paraId="2E7A9944" w14:textId="77777777" w:rsidR="00A10B70" w:rsidRPr="00023F3A" w:rsidRDefault="00A10B70" w:rsidP="00FB2D72">
            <w:pPr>
              <w:jc w:val="right"/>
              <w:rPr>
                <w:rFonts w:eastAsia="Calibri"/>
                <w:szCs w:val="24"/>
              </w:rPr>
            </w:pPr>
            <w:r w:rsidRPr="00023F3A">
              <w:rPr>
                <w:rFonts w:eastAsia="Calibri"/>
                <w:szCs w:val="24"/>
              </w:rPr>
              <w:t>6 (16.2%)</w:t>
            </w:r>
          </w:p>
        </w:tc>
        <w:tc>
          <w:tcPr>
            <w:tcW w:w="2340" w:type="dxa"/>
          </w:tcPr>
          <w:p w14:paraId="305684D2" w14:textId="77777777" w:rsidR="00A10B70" w:rsidRPr="00023F3A" w:rsidRDefault="00A10B70" w:rsidP="00FB2D72">
            <w:pPr>
              <w:jc w:val="right"/>
              <w:rPr>
                <w:rFonts w:eastAsia="Calibri"/>
                <w:szCs w:val="24"/>
              </w:rPr>
            </w:pPr>
            <w:r w:rsidRPr="00023F3A">
              <w:rPr>
                <w:rFonts w:eastAsia="Calibri"/>
                <w:szCs w:val="24"/>
              </w:rPr>
              <w:t>7 (2.7%)</w:t>
            </w:r>
          </w:p>
        </w:tc>
        <w:tc>
          <w:tcPr>
            <w:tcW w:w="1260" w:type="dxa"/>
          </w:tcPr>
          <w:p w14:paraId="02324B4D" w14:textId="77777777" w:rsidR="00A10B70" w:rsidRPr="00023F3A" w:rsidRDefault="00A10B70" w:rsidP="00FB2D72">
            <w:pPr>
              <w:jc w:val="right"/>
              <w:rPr>
                <w:rFonts w:eastAsia="Calibri"/>
                <w:szCs w:val="24"/>
              </w:rPr>
            </w:pPr>
          </w:p>
        </w:tc>
      </w:tr>
      <w:tr w:rsidR="00A10B70" w:rsidRPr="002F783B" w14:paraId="17F7AA61" w14:textId="77777777" w:rsidTr="00FB2D72">
        <w:trPr>
          <w:trHeight w:val="20"/>
        </w:trPr>
        <w:tc>
          <w:tcPr>
            <w:tcW w:w="3955" w:type="dxa"/>
          </w:tcPr>
          <w:p w14:paraId="5DAD843E" w14:textId="77777777" w:rsidR="00A10B70" w:rsidRPr="00023F3A" w:rsidRDefault="00A10B70" w:rsidP="00FB2D72">
            <w:pPr>
              <w:jc w:val="both"/>
              <w:rPr>
                <w:rFonts w:eastAsia="Calibri"/>
                <w:szCs w:val="24"/>
              </w:rPr>
            </w:pPr>
            <w:r w:rsidRPr="00023F3A">
              <w:rPr>
                <w:rFonts w:eastAsia="Calibri"/>
                <w:szCs w:val="24"/>
              </w:rPr>
              <w:t xml:space="preserve">     White</w:t>
            </w:r>
          </w:p>
        </w:tc>
        <w:tc>
          <w:tcPr>
            <w:tcW w:w="1980" w:type="dxa"/>
          </w:tcPr>
          <w:p w14:paraId="64B7173D" w14:textId="77777777" w:rsidR="00A10B70" w:rsidRPr="00023F3A" w:rsidRDefault="00A10B70" w:rsidP="00FB2D72">
            <w:pPr>
              <w:jc w:val="right"/>
              <w:rPr>
                <w:rFonts w:eastAsia="Calibri"/>
                <w:szCs w:val="24"/>
              </w:rPr>
            </w:pPr>
            <w:r w:rsidRPr="00023F3A">
              <w:rPr>
                <w:rFonts w:eastAsia="Calibri"/>
                <w:szCs w:val="24"/>
              </w:rPr>
              <w:t>22 (59.5%)</w:t>
            </w:r>
          </w:p>
        </w:tc>
        <w:tc>
          <w:tcPr>
            <w:tcW w:w="2340" w:type="dxa"/>
          </w:tcPr>
          <w:p w14:paraId="5F035B65" w14:textId="77777777" w:rsidR="00A10B70" w:rsidRPr="00023F3A" w:rsidRDefault="00A10B70" w:rsidP="00FB2D72">
            <w:pPr>
              <w:jc w:val="right"/>
              <w:rPr>
                <w:rFonts w:eastAsia="Calibri"/>
                <w:szCs w:val="24"/>
              </w:rPr>
            </w:pPr>
            <w:r w:rsidRPr="00023F3A">
              <w:rPr>
                <w:rFonts w:eastAsia="Calibri"/>
                <w:szCs w:val="24"/>
              </w:rPr>
              <w:t>20 (54.1%)</w:t>
            </w:r>
          </w:p>
        </w:tc>
        <w:tc>
          <w:tcPr>
            <w:tcW w:w="1260" w:type="dxa"/>
          </w:tcPr>
          <w:p w14:paraId="1ED62289" w14:textId="77777777" w:rsidR="00A10B70" w:rsidRPr="00023F3A" w:rsidRDefault="00A10B70" w:rsidP="00FB2D72">
            <w:pPr>
              <w:jc w:val="right"/>
              <w:rPr>
                <w:rFonts w:eastAsia="Calibri"/>
                <w:szCs w:val="24"/>
              </w:rPr>
            </w:pPr>
          </w:p>
        </w:tc>
      </w:tr>
      <w:tr w:rsidR="00A10B70" w:rsidRPr="002F783B" w14:paraId="0FA8D7B1" w14:textId="77777777" w:rsidTr="00FB2D72">
        <w:trPr>
          <w:trHeight w:val="20"/>
        </w:trPr>
        <w:tc>
          <w:tcPr>
            <w:tcW w:w="3955" w:type="dxa"/>
          </w:tcPr>
          <w:p w14:paraId="134FFF17" w14:textId="77777777" w:rsidR="00A10B70" w:rsidRPr="00023F3A" w:rsidRDefault="00A10B70" w:rsidP="00FB2D72">
            <w:pPr>
              <w:jc w:val="both"/>
              <w:rPr>
                <w:rFonts w:eastAsia="Calibri"/>
                <w:szCs w:val="24"/>
              </w:rPr>
            </w:pPr>
            <w:r w:rsidRPr="00023F3A">
              <w:rPr>
                <w:rFonts w:eastAsia="Calibri"/>
                <w:szCs w:val="24"/>
              </w:rPr>
              <w:t xml:space="preserve">     Multiple races</w:t>
            </w:r>
          </w:p>
        </w:tc>
        <w:tc>
          <w:tcPr>
            <w:tcW w:w="1980" w:type="dxa"/>
          </w:tcPr>
          <w:p w14:paraId="7EF9E381" w14:textId="77777777" w:rsidR="00A10B70" w:rsidRPr="00023F3A" w:rsidRDefault="00A10B70" w:rsidP="00FB2D72">
            <w:pPr>
              <w:jc w:val="right"/>
              <w:rPr>
                <w:rFonts w:eastAsia="Calibri"/>
                <w:szCs w:val="24"/>
              </w:rPr>
            </w:pPr>
            <w:r w:rsidRPr="00023F3A">
              <w:rPr>
                <w:rFonts w:eastAsia="Calibri"/>
                <w:szCs w:val="24"/>
              </w:rPr>
              <w:t>1 (2.7%)</w:t>
            </w:r>
          </w:p>
        </w:tc>
        <w:tc>
          <w:tcPr>
            <w:tcW w:w="2340" w:type="dxa"/>
          </w:tcPr>
          <w:p w14:paraId="5399B703" w14:textId="77777777" w:rsidR="00A10B70" w:rsidRPr="00023F3A" w:rsidRDefault="00A10B70" w:rsidP="00FB2D72">
            <w:pPr>
              <w:jc w:val="right"/>
              <w:rPr>
                <w:rFonts w:eastAsia="Calibri"/>
                <w:szCs w:val="24"/>
              </w:rPr>
            </w:pPr>
            <w:r w:rsidRPr="00023F3A">
              <w:rPr>
                <w:rFonts w:eastAsia="Calibri"/>
                <w:szCs w:val="24"/>
              </w:rPr>
              <w:t>2 (5.4%)</w:t>
            </w:r>
          </w:p>
        </w:tc>
        <w:tc>
          <w:tcPr>
            <w:tcW w:w="1260" w:type="dxa"/>
          </w:tcPr>
          <w:p w14:paraId="4B0EBE56" w14:textId="77777777" w:rsidR="00A10B70" w:rsidRPr="00023F3A" w:rsidRDefault="00A10B70" w:rsidP="00FB2D72">
            <w:pPr>
              <w:jc w:val="right"/>
              <w:rPr>
                <w:rFonts w:eastAsia="Calibri"/>
                <w:szCs w:val="24"/>
              </w:rPr>
            </w:pPr>
          </w:p>
        </w:tc>
      </w:tr>
      <w:tr w:rsidR="00A10B70" w:rsidRPr="002F783B" w14:paraId="7EFBDAB7" w14:textId="77777777" w:rsidTr="00FB2D72">
        <w:trPr>
          <w:trHeight w:val="20"/>
        </w:trPr>
        <w:tc>
          <w:tcPr>
            <w:tcW w:w="3955" w:type="dxa"/>
          </w:tcPr>
          <w:p w14:paraId="5B674ABC" w14:textId="77777777" w:rsidR="00A10B70" w:rsidRPr="00023F3A" w:rsidRDefault="00A10B70" w:rsidP="00FB2D72">
            <w:pPr>
              <w:jc w:val="both"/>
              <w:rPr>
                <w:rFonts w:eastAsia="Calibri"/>
                <w:szCs w:val="24"/>
              </w:rPr>
            </w:pPr>
            <w:r w:rsidRPr="00023F3A">
              <w:rPr>
                <w:rFonts w:eastAsia="Calibri"/>
                <w:szCs w:val="24"/>
              </w:rPr>
              <w:t xml:space="preserve">     Unknown</w:t>
            </w:r>
          </w:p>
        </w:tc>
        <w:tc>
          <w:tcPr>
            <w:tcW w:w="1980" w:type="dxa"/>
          </w:tcPr>
          <w:p w14:paraId="24AAF94C" w14:textId="77777777" w:rsidR="00A10B70" w:rsidRPr="00023F3A" w:rsidRDefault="00A10B70" w:rsidP="00FB2D72">
            <w:pPr>
              <w:jc w:val="right"/>
              <w:rPr>
                <w:rFonts w:eastAsia="Calibri"/>
                <w:szCs w:val="24"/>
              </w:rPr>
            </w:pPr>
            <w:r w:rsidRPr="00023F3A">
              <w:rPr>
                <w:rFonts w:eastAsia="Calibri"/>
                <w:szCs w:val="24"/>
              </w:rPr>
              <w:t>6 (16.2%)</w:t>
            </w:r>
          </w:p>
        </w:tc>
        <w:tc>
          <w:tcPr>
            <w:tcW w:w="2340" w:type="dxa"/>
          </w:tcPr>
          <w:p w14:paraId="4E2A9AC5" w14:textId="77777777" w:rsidR="00A10B70" w:rsidRPr="00023F3A" w:rsidRDefault="00A10B70" w:rsidP="00FB2D72">
            <w:pPr>
              <w:jc w:val="right"/>
              <w:rPr>
                <w:rFonts w:eastAsia="Calibri"/>
                <w:szCs w:val="24"/>
              </w:rPr>
            </w:pPr>
            <w:r w:rsidRPr="00023F3A">
              <w:rPr>
                <w:rFonts w:eastAsia="Calibri"/>
                <w:szCs w:val="24"/>
              </w:rPr>
              <w:t>6 (16.2%)</w:t>
            </w:r>
          </w:p>
        </w:tc>
        <w:tc>
          <w:tcPr>
            <w:tcW w:w="1260" w:type="dxa"/>
          </w:tcPr>
          <w:p w14:paraId="53806051" w14:textId="77777777" w:rsidR="00A10B70" w:rsidRPr="00023F3A" w:rsidRDefault="00A10B70" w:rsidP="00FB2D72">
            <w:pPr>
              <w:jc w:val="right"/>
              <w:rPr>
                <w:rFonts w:eastAsia="Calibri"/>
                <w:szCs w:val="24"/>
              </w:rPr>
            </w:pPr>
          </w:p>
        </w:tc>
      </w:tr>
      <w:tr w:rsidR="00A10B70" w:rsidRPr="002F783B" w14:paraId="6DA8DA23" w14:textId="77777777" w:rsidTr="00FB2D72">
        <w:trPr>
          <w:trHeight w:val="20"/>
        </w:trPr>
        <w:tc>
          <w:tcPr>
            <w:tcW w:w="3955" w:type="dxa"/>
          </w:tcPr>
          <w:p w14:paraId="1F028FC6" w14:textId="77777777" w:rsidR="00A10B70" w:rsidRPr="00023F3A" w:rsidRDefault="00A10B70" w:rsidP="00FB2D72">
            <w:pPr>
              <w:jc w:val="both"/>
              <w:rPr>
                <w:rFonts w:eastAsia="Calibri"/>
                <w:szCs w:val="24"/>
              </w:rPr>
            </w:pPr>
            <w:r w:rsidRPr="00023F3A">
              <w:rPr>
                <w:rFonts w:eastAsia="Calibri"/>
                <w:szCs w:val="24"/>
              </w:rPr>
              <w:t xml:space="preserve">Ethnicity, </w:t>
            </w:r>
            <w:r w:rsidRPr="00023F3A">
              <w:rPr>
                <w:rFonts w:eastAsia="Calibri"/>
                <w:i/>
                <w:szCs w:val="24"/>
              </w:rPr>
              <w:t>n (%)</w:t>
            </w:r>
          </w:p>
        </w:tc>
        <w:tc>
          <w:tcPr>
            <w:tcW w:w="1980" w:type="dxa"/>
          </w:tcPr>
          <w:p w14:paraId="40526AFB" w14:textId="77777777" w:rsidR="00A10B70" w:rsidRPr="00023F3A" w:rsidRDefault="00A10B70" w:rsidP="00FB2D72">
            <w:pPr>
              <w:jc w:val="right"/>
              <w:rPr>
                <w:rFonts w:eastAsia="Calibri"/>
                <w:szCs w:val="24"/>
              </w:rPr>
            </w:pPr>
          </w:p>
        </w:tc>
        <w:tc>
          <w:tcPr>
            <w:tcW w:w="2340" w:type="dxa"/>
          </w:tcPr>
          <w:p w14:paraId="34DF0709" w14:textId="77777777" w:rsidR="00A10B70" w:rsidRPr="00023F3A" w:rsidRDefault="00A10B70" w:rsidP="00FB2D72">
            <w:pPr>
              <w:jc w:val="right"/>
              <w:rPr>
                <w:rFonts w:eastAsia="Calibri"/>
                <w:szCs w:val="24"/>
              </w:rPr>
            </w:pPr>
          </w:p>
        </w:tc>
        <w:tc>
          <w:tcPr>
            <w:tcW w:w="1260" w:type="dxa"/>
          </w:tcPr>
          <w:p w14:paraId="6B1DB4AA" w14:textId="68473682" w:rsidR="00A10B70" w:rsidRPr="00023F3A" w:rsidRDefault="00A10B70" w:rsidP="00FB2D72">
            <w:pPr>
              <w:jc w:val="right"/>
              <w:rPr>
                <w:rFonts w:eastAsia="Calibri"/>
                <w:szCs w:val="24"/>
              </w:rPr>
            </w:pPr>
            <w:r w:rsidRPr="00023F3A">
              <w:rPr>
                <w:rFonts w:eastAsia="Calibri"/>
                <w:szCs w:val="24"/>
              </w:rPr>
              <w:t xml:space="preserve">0.3469 </w:t>
            </w:r>
            <w:r w:rsidR="007C3393">
              <w:rPr>
                <w:rFonts w:eastAsia="Calibri"/>
                <w:szCs w:val="24"/>
              </w:rPr>
              <w:t>©</w:t>
            </w:r>
          </w:p>
        </w:tc>
      </w:tr>
      <w:tr w:rsidR="00A10B70" w:rsidRPr="002F783B" w14:paraId="53453201" w14:textId="77777777" w:rsidTr="00FB2D72">
        <w:trPr>
          <w:trHeight w:val="20"/>
        </w:trPr>
        <w:tc>
          <w:tcPr>
            <w:tcW w:w="3955" w:type="dxa"/>
          </w:tcPr>
          <w:p w14:paraId="01C55EA4" w14:textId="77777777" w:rsidR="00A10B70" w:rsidRPr="00023F3A" w:rsidRDefault="00A10B70" w:rsidP="00FB2D72">
            <w:pPr>
              <w:jc w:val="both"/>
              <w:rPr>
                <w:rFonts w:eastAsia="Calibri"/>
                <w:szCs w:val="24"/>
              </w:rPr>
            </w:pPr>
            <w:r w:rsidRPr="00023F3A">
              <w:rPr>
                <w:rFonts w:eastAsia="Calibri"/>
                <w:szCs w:val="24"/>
              </w:rPr>
              <w:t xml:space="preserve">     Hispanic or Latinx</w:t>
            </w:r>
          </w:p>
        </w:tc>
        <w:tc>
          <w:tcPr>
            <w:tcW w:w="1980" w:type="dxa"/>
          </w:tcPr>
          <w:p w14:paraId="0BCC58AD" w14:textId="77777777" w:rsidR="00A10B70" w:rsidRPr="00023F3A" w:rsidRDefault="00A10B70" w:rsidP="00FB2D72">
            <w:pPr>
              <w:jc w:val="right"/>
              <w:rPr>
                <w:rFonts w:eastAsia="Calibri"/>
                <w:szCs w:val="24"/>
              </w:rPr>
            </w:pPr>
            <w:r w:rsidRPr="00023F3A">
              <w:rPr>
                <w:rFonts w:eastAsia="Calibri"/>
                <w:szCs w:val="24"/>
              </w:rPr>
              <w:t>8 (21.6%)</w:t>
            </w:r>
          </w:p>
        </w:tc>
        <w:tc>
          <w:tcPr>
            <w:tcW w:w="2340" w:type="dxa"/>
          </w:tcPr>
          <w:p w14:paraId="3972A6F0" w14:textId="77777777" w:rsidR="00A10B70" w:rsidRPr="00023F3A" w:rsidRDefault="00A10B70" w:rsidP="00FB2D72">
            <w:pPr>
              <w:jc w:val="right"/>
              <w:rPr>
                <w:rFonts w:eastAsia="Calibri"/>
                <w:szCs w:val="24"/>
              </w:rPr>
            </w:pPr>
            <w:r w:rsidRPr="00023F3A">
              <w:rPr>
                <w:rFonts w:eastAsia="Calibri"/>
                <w:szCs w:val="24"/>
              </w:rPr>
              <w:t>7 (18.9%)</w:t>
            </w:r>
          </w:p>
        </w:tc>
        <w:tc>
          <w:tcPr>
            <w:tcW w:w="1260" w:type="dxa"/>
          </w:tcPr>
          <w:p w14:paraId="7E7B1799" w14:textId="77777777" w:rsidR="00A10B70" w:rsidRPr="00023F3A" w:rsidRDefault="00A10B70" w:rsidP="00FB2D72">
            <w:pPr>
              <w:jc w:val="right"/>
              <w:rPr>
                <w:rFonts w:eastAsia="Calibri"/>
                <w:szCs w:val="24"/>
              </w:rPr>
            </w:pPr>
          </w:p>
        </w:tc>
      </w:tr>
      <w:tr w:rsidR="00A10B70" w:rsidRPr="002F783B" w14:paraId="64C356E5" w14:textId="77777777" w:rsidTr="00FB2D72">
        <w:trPr>
          <w:trHeight w:val="20"/>
        </w:trPr>
        <w:tc>
          <w:tcPr>
            <w:tcW w:w="3955" w:type="dxa"/>
          </w:tcPr>
          <w:p w14:paraId="209C4015" w14:textId="66A667E4" w:rsidR="00A10B70" w:rsidRPr="00023F3A" w:rsidRDefault="00A10B70" w:rsidP="00DE13E1">
            <w:pPr>
              <w:jc w:val="both"/>
              <w:rPr>
                <w:rFonts w:eastAsia="Calibri"/>
                <w:szCs w:val="24"/>
              </w:rPr>
            </w:pPr>
            <w:r w:rsidRPr="00023F3A">
              <w:rPr>
                <w:rFonts w:eastAsia="Calibri"/>
                <w:szCs w:val="24"/>
              </w:rPr>
              <w:t xml:space="preserve">     Not </w:t>
            </w:r>
            <w:r w:rsidR="00DE13E1">
              <w:rPr>
                <w:rFonts w:eastAsia="Calibri"/>
                <w:szCs w:val="24"/>
              </w:rPr>
              <w:t>H</w:t>
            </w:r>
            <w:r w:rsidR="007C3393">
              <w:rPr>
                <w:rFonts w:eastAsia="Calibri"/>
                <w:szCs w:val="24"/>
              </w:rPr>
              <w:t>ispanic</w:t>
            </w:r>
            <w:r w:rsidRPr="00023F3A">
              <w:rPr>
                <w:rFonts w:eastAsia="Calibri"/>
                <w:szCs w:val="24"/>
              </w:rPr>
              <w:t xml:space="preserve"> or latinx</w:t>
            </w:r>
          </w:p>
        </w:tc>
        <w:tc>
          <w:tcPr>
            <w:tcW w:w="1980" w:type="dxa"/>
          </w:tcPr>
          <w:p w14:paraId="255338CD" w14:textId="77777777" w:rsidR="00A10B70" w:rsidRPr="00023F3A" w:rsidRDefault="00A10B70" w:rsidP="00FB2D72">
            <w:pPr>
              <w:jc w:val="right"/>
              <w:rPr>
                <w:rFonts w:eastAsia="Calibri"/>
                <w:szCs w:val="24"/>
              </w:rPr>
            </w:pPr>
            <w:r w:rsidRPr="00023F3A">
              <w:rPr>
                <w:rFonts w:eastAsia="Calibri"/>
                <w:szCs w:val="24"/>
              </w:rPr>
              <w:t>13 (35.1%)</w:t>
            </w:r>
          </w:p>
        </w:tc>
        <w:tc>
          <w:tcPr>
            <w:tcW w:w="2340" w:type="dxa"/>
          </w:tcPr>
          <w:p w14:paraId="04B6DBC8" w14:textId="77777777" w:rsidR="00A10B70" w:rsidRPr="00023F3A" w:rsidRDefault="00A10B70" w:rsidP="00FB2D72">
            <w:pPr>
              <w:jc w:val="right"/>
              <w:rPr>
                <w:rFonts w:eastAsia="Calibri"/>
                <w:szCs w:val="24"/>
              </w:rPr>
            </w:pPr>
            <w:r w:rsidRPr="00023F3A">
              <w:rPr>
                <w:rFonts w:eastAsia="Calibri"/>
                <w:szCs w:val="24"/>
              </w:rPr>
              <w:t>19 (51.4%)</w:t>
            </w:r>
          </w:p>
        </w:tc>
        <w:tc>
          <w:tcPr>
            <w:tcW w:w="1260" w:type="dxa"/>
          </w:tcPr>
          <w:p w14:paraId="761A29D2" w14:textId="77777777" w:rsidR="00A10B70" w:rsidRPr="00023F3A" w:rsidRDefault="00A10B70" w:rsidP="00FB2D72">
            <w:pPr>
              <w:jc w:val="right"/>
              <w:rPr>
                <w:rFonts w:eastAsia="Calibri"/>
                <w:szCs w:val="24"/>
              </w:rPr>
            </w:pPr>
          </w:p>
        </w:tc>
      </w:tr>
      <w:tr w:rsidR="00A10B70" w:rsidRPr="002F783B" w14:paraId="4C02C220" w14:textId="77777777" w:rsidTr="00FB2D72">
        <w:trPr>
          <w:trHeight w:val="20"/>
        </w:trPr>
        <w:tc>
          <w:tcPr>
            <w:tcW w:w="3955" w:type="dxa"/>
          </w:tcPr>
          <w:p w14:paraId="34E987E7" w14:textId="77777777" w:rsidR="00A10B70" w:rsidRPr="00023F3A" w:rsidRDefault="00A10B70" w:rsidP="00FB2D72">
            <w:pPr>
              <w:jc w:val="both"/>
              <w:rPr>
                <w:rFonts w:eastAsia="Calibri"/>
                <w:szCs w:val="24"/>
              </w:rPr>
            </w:pPr>
            <w:r w:rsidRPr="00023F3A">
              <w:rPr>
                <w:rFonts w:eastAsia="Calibri"/>
                <w:szCs w:val="24"/>
              </w:rPr>
              <w:t xml:space="preserve">     Unknown</w:t>
            </w:r>
          </w:p>
        </w:tc>
        <w:tc>
          <w:tcPr>
            <w:tcW w:w="1980" w:type="dxa"/>
          </w:tcPr>
          <w:p w14:paraId="7E0F744B" w14:textId="77777777" w:rsidR="00A10B70" w:rsidRPr="00023F3A" w:rsidRDefault="00A10B70" w:rsidP="00FB2D72">
            <w:pPr>
              <w:jc w:val="right"/>
              <w:rPr>
                <w:rFonts w:eastAsia="Calibri"/>
                <w:szCs w:val="24"/>
              </w:rPr>
            </w:pPr>
            <w:r w:rsidRPr="00023F3A">
              <w:rPr>
                <w:rFonts w:eastAsia="Calibri"/>
                <w:szCs w:val="24"/>
              </w:rPr>
              <w:t xml:space="preserve">16 (43.2%) </w:t>
            </w:r>
          </w:p>
        </w:tc>
        <w:tc>
          <w:tcPr>
            <w:tcW w:w="2340" w:type="dxa"/>
          </w:tcPr>
          <w:p w14:paraId="31ED571C" w14:textId="77777777" w:rsidR="00A10B70" w:rsidRPr="00023F3A" w:rsidRDefault="00A10B70" w:rsidP="00FB2D72">
            <w:pPr>
              <w:jc w:val="right"/>
              <w:rPr>
                <w:rFonts w:eastAsia="Calibri"/>
                <w:szCs w:val="24"/>
              </w:rPr>
            </w:pPr>
            <w:r w:rsidRPr="00023F3A">
              <w:rPr>
                <w:rFonts w:eastAsia="Calibri"/>
                <w:szCs w:val="24"/>
              </w:rPr>
              <w:t>11 (29.7%)</w:t>
            </w:r>
          </w:p>
        </w:tc>
        <w:tc>
          <w:tcPr>
            <w:tcW w:w="1260" w:type="dxa"/>
          </w:tcPr>
          <w:p w14:paraId="79339C5E" w14:textId="77777777" w:rsidR="00A10B70" w:rsidRPr="00023F3A" w:rsidRDefault="00A10B70" w:rsidP="00FB2D72">
            <w:pPr>
              <w:jc w:val="right"/>
              <w:rPr>
                <w:rFonts w:eastAsia="Calibri"/>
                <w:szCs w:val="24"/>
              </w:rPr>
            </w:pPr>
          </w:p>
        </w:tc>
      </w:tr>
      <w:tr w:rsidR="00A10B70" w:rsidRPr="002F783B" w14:paraId="5C9D319B" w14:textId="77777777" w:rsidTr="00FB2D72">
        <w:trPr>
          <w:trHeight w:val="20"/>
        </w:trPr>
        <w:tc>
          <w:tcPr>
            <w:tcW w:w="3955" w:type="dxa"/>
          </w:tcPr>
          <w:p w14:paraId="20DE28C2" w14:textId="2E30792B" w:rsidR="00A10B70" w:rsidRPr="00023F3A" w:rsidRDefault="00A10B70" w:rsidP="007C3393">
            <w:pPr>
              <w:rPr>
                <w:rFonts w:eastAsia="Calibri"/>
                <w:szCs w:val="24"/>
              </w:rPr>
            </w:pPr>
            <w:r w:rsidRPr="00023F3A">
              <w:rPr>
                <w:rFonts w:eastAsia="Calibri"/>
                <w:szCs w:val="24"/>
              </w:rPr>
              <w:t xml:space="preserve">Education, </w:t>
            </w:r>
            <w:r w:rsidRPr="00023F3A">
              <w:rPr>
                <w:rFonts w:eastAsia="Calibri"/>
                <w:i/>
                <w:szCs w:val="24"/>
              </w:rPr>
              <w:t>n (%)</w:t>
            </w:r>
            <w:r w:rsidR="007C3393">
              <w:rPr>
                <w:rFonts w:eastAsia="Calibri"/>
                <w:i/>
                <w:szCs w:val="24"/>
              </w:rPr>
              <w:t xml:space="preserve"> (</w:t>
            </w:r>
            <w:r w:rsidR="007C3393" w:rsidRPr="00023F3A">
              <w:rPr>
                <w:rFonts w:eastAsia="Calibri"/>
                <w:szCs w:val="24"/>
              </w:rPr>
              <w:t>N=36 for placebo group</w:t>
            </w:r>
            <w:r w:rsidR="007C3393">
              <w:rPr>
                <w:rFonts w:eastAsia="Calibri"/>
                <w:szCs w:val="24"/>
              </w:rPr>
              <w:t>)</w:t>
            </w:r>
          </w:p>
        </w:tc>
        <w:tc>
          <w:tcPr>
            <w:tcW w:w="1980" w:type="dxa"/>
          </w:tcPr>
          <w:p w14:paraId="05CE59DF" w14:textId="77777777" w:rsidR="00A10B70" w:rsidRPr="00023F3A" w:rsidRDefault="00A10B70" w:rsidP="00FB2D72">
            <w:pPr>
              <w:jc w:val="right"/>
              <w:rPr>
                <w:rFonts w:eastAsia="Calibri"/>
                <w:szCs w:val="24"/>
              </w:rPr>
            </w:pPr>
          </w:p>
        </w:tc>
        <w:tc>
          <w:tcPr>
            <w:tcW w:w="2340" w:type="dxa"/>
          </w:tcPr>
          <w:p w14:paraId="585A66C0" w14:textId="77777777" w:rsidR="00A10B70" w:rsidRPr="00023F3A" w:rsidRDefault="00A10B70" w:rsidP="00FB2D72">
            <w:pPr>
              <w:jc w:val="right"/>
              <w:rPr>
                <w:rFonts w:eastAsia="Calibri"/>
                <w:szCs w:val="24"/>
              </w:rPr>
            </w:pPr>
          </w:p>
        </w:tc>
        <w:tc>
          <w:tcPr>
            <w:tcW w:w="1260" w:type="dxa"/>
          </w:tcPr>
          <w:p w14:paraId="1F24AA12" w14:textId="77777777" w:rsidR="00A10B70" w:rsidRPr="00023F3A" w:rsidRDefault="00A10B70" w:rsidP="00FB2D72">
            <w:pPr>
              <w:jc w:val="right"/>
              <w:rPr>
                <w:rFonts w:eastAsia="Calibri"/>
                <w:szCs w:val="24"/>
              </w:rPr>
            </w:pPr>
            <w:r w:rsidRPr="00023F3A">
              <w:rPr>
                <w:rFonts w:eastAsia="Calibri"/>
                <w:szCs w:val="24"/>
              </w:rPr>
              <w:t>0.3857 (F)</w:t>
            </w:r>
          </w:p>
        </w:tc>
      </w:tr>
      <w:tr w:rsidR="00A10B70" w:rsidRPr="002F783B" w14:paraId="6E1664BB" w14:textId="77777777" w:rsidTr="00FB2D72">
        <w:trPr>
          <w:trHeight w:val="20"/>
        </w:trPr>
        <w:tc>
          <w:tcPr>
            <w:tcW w:w="3955" w:type="dxa"/>
          </w:tcPr>
          <w:p w14:paraId="1584E293" w14:textId="77777777" w:rsidR="00A10B70" w:rsidRPr="00023F3A" w:rsidRDefault="00A10B70" w:rsidP="00FB2D72">
            <w:pPr>
              <w:jc w:val="both"/>
              <w:rPr>
                <w:rFonts w:eastAsia="Calibri"/>
                <w:szCs w:val="24"/>
              </w:rPr>
            </w:pPr>
            <w:r w:rsidRPr="00023F3A">
              <w:rPr>
                <w:rFonts w:eastAsia="Calibri"/>
                <w:szCs w:val="24"/>
              </w:rPr>
              <w:t xml:space="preserve">     Less than HS diploma/GED</w:t>
            </w:r>
          </w:p>
        </w:tc>
        <w:tc>
          <w:tcPr>
            <w:tcW w:w="1980" w:type="dxa"/>
          </w:tcPr>
          <w:p w14:paraId="25F4DE05" w14:textId="77777777" w:rsidR="00A10B70" w:rsidRPr="00023F3A" w:rsidRDefault="00A10B70" w:rsidP="00FB2D72">
            <w:pPr>
              <w:jc w:val="right"/>
              <w:rPr>
                <w:rFonts w:eastAsia="Calibri"/>
                <w:szCs w:val="24"/>
              </w:rPr>
            </w:pPr>
            <w:r w:rsidRPr="00023F3A">
              <w:rPr>
                <w:rFonts w:eastAsia="Calibri"/>
                <w:szCs w:val="24"/>
              </w:rPr>
              <w:t>0 (0%)</w:t>
            </w:r>
          </w:p>
        </w:tc>
        <w:tc>
          <w:tcPr>
            <w:tcW w:w="2340" w:type="dxa"/>
          </w:tcPr>
          <w:p w14:paraId="3DF63DA2" w14:textId="77777777" w:rsidR="00A10B70" w:rsidRPr="00023F3A" w:rsidRDefault="00A10B70" w:rsidP="00FB2D72">
            <w:pPr>
              <w:jc w:val="right"/>
              <w:rPr>
                <w:rFonts w:eastAsia="Calibri"/>
                <w:szCs w:val="24"/>
              </w:rPr>
            </w:pPr>
            <w:r w:rsidRPr="00023F3A">
              <w:rPr>
                <w:rFonts w:eastAsia="Calibri"/>
                <w:szCs w:val="24"/>
              </w:rPr>
              <w:t>0 (0%)</w:t>
            </w:r>
          </w:p>
        </w:tc>
        <w:tc>
          <w:tcPr>
            <w:tcW w:w="1260" w:type="dxa"/>
          </w:tcPr>
          <w:p w14:paraId="2AA74532" w14:textId="224D186D" w:rsidR="00A10B70" w:rsidRPr="00023F3A" w:rsidRDefault="00A10B70" w:rsidP="00FB2D72">
            <w:pPr>
              <w:jc w:val="right"/>
              <w:rPr>
                <w:rFonts w:eastAsia="Calibri"/>
                <w:szCs w:val="24"/>
              </w:rPr>
            </w:pPr>
          </w:p>
        </w:tc>
      </w:tr>
      <w:tr w:rsidR="00A10B70" w:rsidRPr="002F783B" w14:paraId="2FB3BB5C" w14:textId="77777777" w:rsidTr="00FB2D72">
        <w:trPr>
          <w:trHeight w:val="20"/>
        </w:trPr>
        <w:tc>
          <w:tcPr>
            <w:tcW w:w="3955" w:type="dxa"/>
          </w:tcPr>
          <w:p w14:paraId="6C234468" w14:textId="77777777" w:rsidR="00A10B70" w:rsidRPr="00023F3A" w:rsidRDefault="00A10B70" w:rsidP="00FB2D72">
            <w:pPr>
              <w:jc w:val="both"/>
              <w:rPr>
                <w:rFonts w:eastAsia="Calibri"/>
                <w:szCs w:val="24"/>
              </w:rPr>
            </w:pPr>
            <w:r w:rsidRPr="00023F3A">
              <w:rPr>
                <w:rFonts w:eastAsia="Calibri"/>
                <w:szCs w:val="24"/>
              </w:rPr>
              <w:t xml:space="preserve">     HS diploma/GED</w:t>
            </w:r>
          </w:p>
        </w:tc>
        <w:tc>
          <w:tcPr>
            <w:tcW w:w="1980" w:type="dxa"/>
          </w:tcPr>
          <w:p w14:paraId="200427F8" w14:textId="77777777" w:rsidR="00A10B70" w:rsidRPr="00023F3A" w:rsidRDefault="00A10B70" w:rsidP="00FB2D72">
            <w:pPr>
              <w:jc w:val="right"/>
              <w:rPr>
                <w:rFonts w:eastAsia="Calibri"/>
                <w:szCs w:val="24"/>
              </w:rPr>
            </w:pPr>
            <w:r w:rsidRPr="00023F3A">
              <w:rPr>
                <w:rFonts w:eastAsia="Calibri"/>
                <w:szCs w:val="24"/>
              </w:rPr>
              <w:t>5 (13.9%)</w:t>
            </w:r>
          </w:p>
        </w:tc>
        <w:tc>
          <w:tcPr>
            <w:tcW w:w="2340" w:type="dxa"/>
          </w:tcPr>
          <w:p w14:paraId="5A7E1502" w14:textId="77777777" w:rsidR="00A10B70" w:rsidRPr="00023F3A" w:rsidRDefault="00A10B70" w:rsidP="00FB2D72">
            <w:pPr>
              <w:jc w:val="right"/>
              <w:rPr>
                <w:rFonts w:eastAsia="Calibri"/>
                <w:szCs w:val="24"/>
              </w:rPr>
            </w:pPr>
            <w:r w:rsidRPr="00023F3A">
              <w:rPr>
                <w:rFonts w:eastAsia="Calibri"/>
                <w:szCs w:val="24"/>
              </w:rPr>
              <w:t>7 (18.9%)</w:t>
            </w:r>
          </w:p>
        </w:tc>
        <w:tc>
          <w:tcPr>
            <w:tcW w:w="1260" w:type="dxa"/>
          </w:tcPr>
          <w:p w14:paraId="31F8C53E" w14:textId="77777777" w:rsidR="00A10B70" w:rsidRPr="00023F3A" w:rsidRDefault="00A10B70" w:rsidP="00FB2D72">
            <w:pPr>
              <w:jc w:val="right"/>
              <w:rPr>
                <w:rFonts w:eastAsia="Calibri"/>
                <w:szCs w:val="24"/>
              </w:rPr>
            </w:pPr>
          </w:p>
        </w:tc>
      </w:tr>
      <w:tr w:rsidR="00A10B70" w:rsidRPr="002F783B" w14:paraId="0216109F" w14:textId="77777777" w:rsidTr="00FB2D72">
        <w:trPr>
          <w:trHeight w:val="20"/>
        </w:trPr>
        <w:tc>
          <w:tcPr>
            <w:tcW w:w="3955" w:type="dxa"/>
          </w:tcPr>
          <w:p w14:paraId="1D27781D" w14:textId="77777777" w:rsidR="00A10B70" w:rsidRPr="00023F3A" w:rsidRDefault="00A10B70" w:rsidP="00FB2D72">
            <w:pPr>
              <w:jc w:val="both"/>
              <w:rPr>
                <w:rFonts w:eastAsia="Calibri"/>
                <w:szCs w:val="24"/>
              </w:rPr>
            </w:pPr>
            <w:r w:rsidRPr="00023F3A">
              <w:rPr>
                <w:rFonts w:eastAsia="Calibri"/>
                <w:szCs w:val="24"/>
              </w:rPr>
              <w:t xml:space="preserve">     Some college/Associates</w:t>
            </w:r>
          </w:p>
        </w:tc>
        <w:tc>
          <w:tcPr>
            <w:tcW w:w="1980" w:type="dxa"/>
          </w:tcPr>
          <w:p w14:paraId="0E37B326" w14:textId="77777777" w:rsidR="00A10B70" w:rsidRPr="00023F3A" w:rsidRDefault="00A10B70" w:rsidP="00FB2D72">
            <w:pPr>
              <w:jc w:val="right"/>
              <w:rPr>
                <w:rFonts w:eastAsia="Calibri"/>
                <w:szCs w:val="24"/>
              </w:rPr>
            </w:pPr>
            <w:r w:rsidRPr="00023F3A">
              <w:rPr>
                <w:rFonts w:eastAsia="Calibri"/>
                <w:szCs w:val="24"/>
              </w:rPr>
              <w:t>20 (55.6%)</w:t>
            </w:r>
          </w:p>
        </w:tc>
        <w:tc>
          <w:tcPr>
            <w:tcW w:w="2340" w:type="dxa"/>
          </w:tcPr>
          <w:p w14:paraId="09E07EA4" w14:textId="77777777" w:rsidR="00A10B70" w:rsidRPr="00023F3A" w:rsidRDefault="00A10B70" w:rsidP="00FB2D72">
            <w:pPr>
              <w:jc w:val="right"/>
              <w:rPr>
                <w:rFonts w:eastAsia="Calibri"/>
                <w:szCs w:val="24"/>
              </w:rPr>
            </w:pPr>
            <w:r w:rsidRPr="00023F3A">
              <w:rPr>
                <w:rFonts w:eastAsia="Calibri"/>
                <w:szCs w:val="24"/>
              </w:rPr>
              <w:t>18 (48.7%)</w:t>
            </w:r>
          </w:p>
        </w:tc>
        <w:tc>
          <w:tcPr>
            <w:tcW w:w="1260" w:type="dxa"/>
          </w:tcPr>
          <w:p w14:paraId="04671826" w14:textId="77777777" w:rsidR="00A10B70" w:rsidRPr="00023F3A" w:rsidRDefault="00A10B70" w:rsidP="00FB2D72">
            <w:pPr>
              <w:jc w:val="right"/>
              <w:rPr>
                <w:rFonts w:eastAsia="Calibri"/>
                <w:szCs w:val="24"/>
              </w:rPr>
            </w:pPr>
          </w:p>
        </w:tc>
      </w:tr>
      <w:tr w:rsidR="00A10B70" w:rsidRPr="002F783B" w14:paraId="2B34C1FC" w14:textId="77777777" w:rsidTr="00FB2D72">
        <w:trPr>
          <w:trHeight w:val="20"/>
        </w:trPr>
        <w:tc>
          <w:tcPr>
            <w:tcW w:w="3955" w:type="dxa"/>
          </w:tcPr>
          <w:p w14:paraId="23885AB0" w14:textId="77777777" w:rsidR="00A10B70" w:rsidRPr="00023F3A" w:rsidRDefault="00A10B70" w:rsidP="00FB2D72">
            <w:pPr>
              <w:jc w:val="both"/>
              <w:rPr>
                <w:rFonts w:eastAsia="Calibri"/>
                <w:szCs w:val="24"/>
              </w:rPr>
            </w:pPr>
            <w:r w:rsidRPr="00023F3A">
              <w:rPr>
                <w:rFonts w:eastAsia="Calibri"/>
                <w:szCs w:val="24"/>
              </w:rPr>
              <w:t xml:space="preserve">     Bachelors</w:t>
            </w:r>
          </w:p>
        </w:tc>
        <w:tc>
          <w:tcPr>
            <w:tcW w:w="1980" w:type="dxa"/>
          </w:tcPr>
          <w:p w14:paraId="410BCAE3" w14:textId="77777777" w:rsidR="00A10B70" w:rsidRPr="00023F3A" w:rsidRDefault="00A10B70" w:rsidP="00FB2D72">
            <w:pPr>
              <w:jc w:val="right"/>
              <w:rPr>
                <w:rFonts w:eastAsia="Calibri"/>
                <w:szCs w:val="24"/>
              </w:rPr>
            </w:pPr>
            <w:r w:rsidRPr="00023F3A">
              <w:rPr>
                <w:rFonts w:eastAsia="Calibri"/>
                <w:szCs w:val="24"/>
              </w:rPr>
              <w:t>11 (30.6%)</w:t>
            </w:r>
          </w:p>
        </w:tc>
        <w:tc>
          <w:tcPr>
            <w:tcW w:w="2340" w:type="dxa"/>
          </w:tcPr>
          <w:p w14:paraId="7C7332BD" w14:textId="77777777" w:rsidR="00A10B70" w:rsidRPr="00023F3A" w:rsidRDefault="00A10B70" w:rsidP="00FB2D72">
            <w:pPr>
              <w:jc w:val="right"/>
              <w:rPr>
                <w:rFonts w:eastAsia="Calibri"/>
                <w:szCs w:val="24"/>
              </w:rPr>
            </w:pPr>
            <w:r w:rsidRPr="00023F3A">
              <w:rPr>
                <w:rFonts w:eastAsia="Calibri"/>
                <w:szCs w:val="24"/>
              </w:rPr>
              <w:t>9 (24.3%)</w:t>
            </w:r>
          </w:p>
        </w:tc>
        <w:tc>
          <w:tcPr>
            <w:tcW w:w="1260" w:type="dxa"/>
          </w:tcPr>
          <w:p w14:paraId="6A6E796A" w14:textId="77777777" w:rsidR="00A10B70" w:rsidRPr="00023F3A" w:rsidRDefault="00A10B70" w:rsidP="00FB2D72">
            <w:pPr>
              <w:jc w:val="right"/>
              <w:rPr>
                <w:rFonts w:eastAsia="Calibri"/>
                <w:szCs w:val="24"/>
              </w:rPr>
            </w:pPr>
          </w:p>
        </w:tc>
      </w:tr>
      <w:tr w:rsidR="00A10B70" w:rsidRPr="002F783B" w14:paraId="7B8D85A0" w14:textId="77777777" w:rsidTr="00FB2D72">
        <w:trPr>
          <w:trHeight w:val="20"/>
        </w:trPr>
        <w:tc>
          <w:tcPr>
            <w:tcW w:w="3955" w:type="dxa"/>
          </w:tcPr>
          <w:p w14:paraId="2202984C" w14:textId="77777777" w:rsidR="00A10B70" w:rsidRPr="00023F3A" w:rsidRDefault="00A10B70" w:rsidP="00FB2D72">
            <w:pPr>
              <w:jc w:val="both"/>
              <w:rPr>
                <w:rFonts w:eastAsia="Calibri"/>
                <w:szCs w:val="24"/>
              </w:rPr>
            </w:pPr>
            <w:r w:rsidRPr="00023F3A">
              <w:rPr>
                <w:rFonts w:eastAsia="Calibri"/>
                <w:szCs w:val="24"/>
              </w:rPr>
              <w:t xml:space="preserve">     Masters+</w:t>
            </w:r>
          </w:p>
        </w:tc>
        <w:tc>
          <w:tcPr>
            <w:tcW w:w="1980" w:type="dxa"/>
          </w:tcPr>
          <w:p w14:paraId="5899547B" w14:textId="77777777" w:rsidR="00A10B70" w:rsidRPr="00023F3A" w:rsidRDefault="00A10B70" w:rsidP="00FB2D72">
            <w:pPr>
              <w:jc w:val="right"/>
              <w:rPr>
                <w:rFonts w:eastAsia="Calibri"/>
                <w:szCs w:val="24"/>
              </w:rPr>
            </w:pPr>
            <w:r w:rsidRPr="00023F3A">
              <w:rPr>
                <w:rFonts w:eastAsia="Calibri"/>
                <w:szCs w:val="24"/>
              </w:rPr>
              <w:t>0 (0%)</w:t>
            </w:r>
          </w:p>
        </w:tc>
        <w:tc>
          <w:tcPr>
            <w:tcW w:w="2340" w:type="dxa"/>
          </w:tcPr>
          <w:p w14:paraId="0D4AC75B" w14:textId="77777777" w:rsidR="00A10B70" w:rsidRPr="00023F3A" w:rsidRDefault="00A10B70" w:rsidP="00FB2D72">
            <w:pPr>
              <w:jc w:val="right"/>
              <w:rPr>
                <w:rFonts w:eastAsia="Calibri"/>
                <w:szCs w:val="24"/>
              </w:rPr>
            </w:pPr>
            <w:r w:rsidRPr="00023F3A">
              <w:rPr>
                <w:rFonts w:eastAsia="Calibri"/>
                <w:szCs w:val="24"/>
              </w:rPr>
              <w:t>3 (8.1%)</w:t>
            </w:r>
          </w:p>
        </w:tc>
        <w:tc>
          <w:tcPr>
            <w:tcW w:w="1260" w:type="dxa"/>
          </w:tcPr>
          <w:p w14:paraId="08CEAB47" w14:textId="77777777" w:rsidR="00A10B70" w:rsidRPr="00023F3A" w:rsidRDefault="00A10B70" w:rsidP="00FB2D72">
            <w:pPr>
              <w:jc w:val="right"/>
              <w:rPr>
                <w:rFonts w:eastAsia="Calibri"/>
                <w:szCs w:val="24"/>
              </w:rPr>
            </w:pPr>
          </w:p>
        </w:tc>
      </w:tr>
      <w:tr w:rsidR="00A10B70" w:rsidRPr="002F783B" w14:paraId="75896CCB" w14:textId="77777777" w:rsidTr="00FB2D72">
        <w:trPr>
          <w:trHeight w:val="20"/>
        </w:trPr>
        <w:tc>
          <w:tcPr>
            <w:tcW w:w="3955" w:type="dxa"/>
          </w:tcPr>
          <w:p w14:paraId="7F4C4C39" w14:textId="3DF225C1" w:rsidR="00A10B70" w:rsidRPr="00023F3A" w:rsidRDefault="00A10B70" w:rsidP="007C3393">
            <w:pPr>
              <w:rPr>
                <w:rFonts w:eastAsia="Calibri"/>
                <w:szCs w:val="24"/>
              </w:rPr>
            </w:pPr>
            <w:r w:rsidRPr="00023F3A">
              <w:rPr>
                <w:rFonts w:eastAsia="Calibri"/>
                <w:szCs w:val="24"/>
              </w:rPr>
              <w:t xml:space="preserve">Employment Status, </w:t>
            </w:r>
            <w:r w:rsidRPr="00023F3A">
              <w:rPr>
                <w:rFonts w:eastAsia="Calibri"/>
                <w:i/>
                <w:szCs w:val="24"/>
              </w:rPr>
              <w:t>n (%)</w:t>
            </w:r>
            <w:r w:rsidR="007C3393">
              <w:rPr>
                <w:rFonts w:eastAsia="Calibri"/>
                <w:i/>
                <w:szCs w:val="24"/>
              </w:rPr>
              <w:t>(</w:t>
            </w:r>
            <w:r w:rsidR="007C3393" w:rsidRPr="00023F3A">
              <w:rPr>
                <w:rFonts w:eastAsia="Calibri"/>
                <w:szCs w:val="24"/>
              </w:rPr>
              <w:t>N=35 for the treatment group</w:t>
            </w:r>
            <w:r w:rsidR="007C3393">
              <w:rPr>
                <w:rFonts w:eastAsia="Calibri"/>
                <w:szCs w:val="24"/>
              </w:rPr>
              <w:t>)</w:t>
            </w:r>
          </w:p>
        </w:tc>
        <w:tc>
          <w:tcPr>
            <w:tcW w:w="1980" w:type="dxa"/>
          </w:tcPr>
          <w:p w14:paraId="2D1525B6" w14:textId="77777777" w:rsidR="00A10B70" w:rsidRPr="00023F3A" w:rsidRDefault="00A10B70" w:rsidP="00FB2D72">
            <w:pPr>
              <w:jc w:val="right"/>
              <w:rPr>
                <w:rFonts w:eastAsia="Calibri"/>
                <w:szCs w:val="24"/>
              </w:rPr>
            </w:pPr>
          </w:p>
        </w:tc>
        <w:tc>
          <w:tcPr>
            <w:tcW w:w="2340" w:type="dxa"/>
          </w:tcPr>
          <w:p w14:paraId="1F548C76" w14:textId="77777777" w:rsidR="00A10B70" w:rsidRPr="00023F3A" w:rsidRDefault="00A10B70" w:rsidP="00FB2D72">
            <w:pPr>
              <w:jc w:val="right"/>
              <w:rPr>
                <w:rFonts w:eastAsia="Calibri"/>
                <w:szCs w:val="24"/>
              </w:rPr>
            </w:pPr>
          </w:p>
        </w:tc>
        <w:tc>
          <w:tcPr>
            <w:tcW w:w="1260" w:type="dxa"/>
          </w:tcPr>
          <w:p w14:paraId="099D6070" w14:textId="77777777" w:rsidR="00A10B70" w:rsidRPr="00023F3A" w:rsidRDefault="00A10B70" w:rsidP="00FB2D72">
            <w:pPr>
              <w:jc w:val="right"/>
              <w:rPr>
                <w:rFonts w:eastAsia="Calibri"/>
                <w:szCs w:val="24"/>
              </w:rPr>
            </w:pPr>
            <w:r w:rsidRPr="00023F3A">
              <w:rPr>
                <w:rFonts w:eastAsia="Calibri"/>
                <w:szCs w:val="24"/>
              </w:rPr>
              <w:t>0.9202 (F)</w:t>
            </w:r>
          </w:p>
        </w:tc>
      </w:tr>
      <w:tr w:rsidR="00A10B70" w:rsidRPr="002F783B" w14:paraId="246F251F" w14:textId="77777777" w:rsidTr="00FB2D72">
        <w:trPr>
          <w:trHeight w:val="20"/>
        </w:trPr>
        <w:tc>
          <w:tcPr>
            <w:tcW w:w="3955" w:type="dxa"/>
          </w:tcPr>
          <w:p w14:paraId="341FAC38" w14:textId="77777777" w:rsidR="00A10B70" w:rsidRPr="00023F3A" w:rsidRDefault="00A10B70" w:rsidP="00FB2D72">
            <w:pPr>
              <w:jc w:val="both"/>
              <w:rPr>
                <w:rFonts w:eastAsia="Calibri"/>
                <w:szCs w:val="24"/>
              </w:rPr>
            </w:pPr>
            <w:r w:rsidRPr="00023F3A">
              <w:rPr>
                <w:rFonts w:eastAsia="Calibri"/>
                <w:szCs w:val="24"/>
              </w:rPr>
              <w:t xml:space="preserve">     Full-time</w:t>
            </w:r>
          </w:p>
        </w:tc>
        <w:tc>
          <w:tcPr>
            <w:tcW w:w="1980" w:type="dxa"/>
          </w:tcPr>
          <w:p w14:paraId="3E1EBF94" w14:textId="77777777" w:rsidR="00A10B70" w:rsidRPr="00023F3A" w:rsidRDefault="00A10B70" w:rsidP="00FB2D72">
            <w:pPr>
              <w:jc w:val="right"/>
              <w:rPr>
                <w:rFonts w:eastAsia="Calibri"/>
                <w:szCs w:val="24"/>
              </w:rPr>
            </w:pPr>
            <w:r w:rsidRPr="00023F3A">
              <w:rPr>
                <w:rFonts w:eastAsia="Calibri"/>
                <w:szCs w:val="24"/>
              </w:rPr>
              <w:t>11 (29.7%)</w:t>
            </w:r>
          </w:p>
        </w:tc>
        <w:tc>
          <w:tcPr>
            <w:tcW w:w="2340" w:type="dxa"/>
          </w:tcPr>
          <w:p w14:paraId="3CA8656F" w14:textId="77777777" w:rsidR="00A10B70" w:rsidRPr="00023F3A" w:rsidRDefault="00A10B70" w:rsidP="00FB2D72">
            <w:pPr>
              <w:jc w:val="right"/>
              <w:rPr>
                <w:rFonts w:eastAsia="Calibri"/>
                <w:szCs w:val="24"/>
              </w:rPr>
            </w:pPr>
            <w:r w:rsidRPr="00023F3A">
              <w:rPr>
                <w:rFonts w:eastAsia="Calibri"/>
                <w:szCs w:val="24"/>
              </w:rPr>
              <w:t>12 (34.3%)</w:t>
            </w:r>
          </w:p>
        </w:tc>
        <w:tc>
          <w:tcPr>
            <w:tcW w:w="1260" w:type="dxa"/>
          </w:tcPr>
          <w:p w14:paraId="234836E8" w14:textId="142F794D" w:rsidR="00A10B70" w:rsidRPr="00023F3A" w:rsidRDefault="00A10B70" w:rsidP="00FB2D72">
            <w:pPr>
              <w:jc w:val="right"/>
              <w:rPr>
                <w:rFonts w:eastAsia="Calibri"/>
                <w:szCs w:val="24"/>
              </w:rPr>
            </w:pPr>
          </w:p>
        </w:tc>
      </w:tr>
      <w:tr w:rsidR="00A10B70" w:rsidRPr="002F783B" w14:paraId="31ED256E" w14:textId="77777777" w:rsidTr="00FB2D72">
        <w:trPr>
          <w:trHeight w:val="20"/>
        </w:trPr>
        <w:tc>
          <w:tcPr>
            <w:tcW w:w="3955" w:type="dxa"/>
          </w:tcPr>
          <w:p w14:paraId="56EFCAA3" w14:textId="77777777" w:rsidR="00A10B70" w:rsidRPr="00023F3A" w:rsidRDefault="00A10B70" w:rsidP="00FB2D72">
            <w:pPr>
              <w:jc w:val="both"/>
              <w:rPr>
                <w:rFonts w:eastAsia="Calibri"/>
                <w:szCs w:val="24"/>
              </w:rPr>
            </w:pPr>
            <w:r w:rsidRPr="00023F3A">
              <w:rPr>
                <w:rFonts w:eastAsia="Calibri"/>
                <w:szCs w:val="24"/>
              </w:rPr>
              <w:t xml:space="preserve">     Part-time</w:t>
            </w:r>
          </w:p>
        </w:tc>
        <w:tc>
          <w:tcPr>
            <w:tcW w:w="1980" w:type="dxa"/>
          </w:tcPr>
          <w:p w14:paraId="483DA7C8" w14:textId="77777777" w:rsidR="00A10B70" w:rsidRPr="00023F3A" w:rsidRDefault="00A10B70" w:rsidP="00FB2D72">
            <w:pPr>
              <w:jc w:val="right"/>
              <w:rPr>
                <w:rFonts w:eastAsia="Calibri"/>
                <w:szCs w:val="24"/>
              </w:rPr>
            </w:pPr>
            <w:r w:rsidRPr="00023F3A">
              <w:rPr>
                <w:rFonts w:eastAsia="Calibri"/>
                <w:szCs w:val="24"/>
              </w:rPr>
              <w:t>2 (5.4%)</w:t>
            </w:r>
          </w:p>
        </w:tc>
        <w:tc>
          <w:tcPr>
            <w:tcW w:w="2340" w:type="dxa"/>
          </w:tcPr>
          <w:p w14:paraId="005A71F6" w14:textId="77777777" w:rsidR="00A10B70" w:rsidRPr="00023F3A" w:rsidRDefault="00A10B70" w:rsidP="00FB2D72">
            <w:pPr>
              <w:jc w:val="right"/>
              <w:rPr>
                <w:rFonts w:eastAsia="Calibri"/>
                <w:szCs w:val="24"/>
              </w:rPr>
            </w:pPr>
            <w:r w:rsidRPr="00023F3A">
              <w:rPr>
                <w:rFonts w:eastAsia="Calibri"/>
                <w:szCs w:val="24"/>
              </w:rPr>
              <w:t>3 (8.6%)</w:t>
            </w:r>
          </w:p>
        </w:tc>
        <w:tc>
          <w:tcPr>
            <w:tcW w:w="1260" w:type="dxa"/>
          </w:tcPr>
          <w:p w14:paraId="28D296BA" w14:textId="77777777" w:rsidR="00A10B70" w:rsidRPr="00023F3A" w:rsidRDefault="00A10B70" w:rsidP="00FB2D72">
            <w:pPr>
              <w:jc w:val="right"/>
              <w:rPr>
                <w:rFonts w:eastAsia="Calibri"/>
                <w:szCs w:val="24"/>
              </w:rPr>
            </w:pPr>
          </w:p>
        </w:tc>
      </w:tr>
      <w:tr w:rsidR="00A10B70" w:rsidRPr="002F783B" w14:paraId="24109468" w14:textId="77777777" w:rsidTr="00FB2D72">
        <w:trPr>
          <w:trHeight w:val="20"/>
        </w:trPr>
        <w:tc>
          <w:tcPr>
            <w:tcW w:w="3955" w:type="dxa"/>
          </w:tcPr>
          <w:p w14:paraId="71C1B63D" w14:textId="77777777" w:rsidR="00A10B70" w:rsidRPr="00023F3A" w:rsidRDefault="00A10B70" w:rsidP="00FB2D72">
            <w:pPr>
              <w:jc w:val="both"/>
              <w:rPr>
                <w:rFonts w:eastAsia="Calibri"/>
                <w:szCs w:val="24"/>
              </w:rPr>
            </w:pPr>
            <w:r w:rsidRPr="00023F3A">
              <w:rPr>
                <w:rFonts w:eastAsia="Calibri"/>
                <w:szCs w:val="24"/>
              </w:rPr>
              <w:t xml:space="preserve">     Student</w:t>
            </w:r>
          </w:p>
        </w:tc>
        <w:tc>
          <w:tcPr>
            <w:tcW w:w="1980" w:type="dxa"/>
          </w:tcPr>
          <w:p w14:paraId="2F7934BA" w14:textId="77777777" w:rsidR="00A10B70" w:rsidRPr="00023F3A" w:rsidRDefault="00A10B70" w:rsidP="00FB2D72">
            <w:pPr>
              <w:jc w:val="right"/>
              <w:rPr>
                <w:rFonts w:eastAsia="Calibri"/>
                <w:szCs w:val="24"/>
              </w:rPr>
            </w:pPr>
            <w:r w:rsidRPr="00023F3A">
              <w:rPr>
                <w:rFonts w:eastAsia="Calibri"/>
                <w:szCs w:val="24"/>
              </w:rPr>
              <w:t>8 (21.6%)</w:t>
            </w:r>
          </w:p>
        </w:tc>
        <w:tc>
          <w:tcPr>
            <w:tcW w:w="2340" w:type="dxa"/>
          </w:tcPr>
          <w:p w14:paraId="57E89311" w14:textId="77777777" w:rsidR="00A10B70" w:rsidRPr="00023F3A" w:rsidRDefault="00A10B70" w:rsidP="00FB2D72">
            <w:pPr>
              <w:jc w:val="right"/>
              <w:rPr>
                <w:rFonts w:eastAsia="Calibri"/>
                <w:szCs w:val="24"/>
              </w:rPr>
            </w:pPr>
            <w:r w:rsidRPr="00023F3A">
              <w:rPr>
                <w:rFonts w:eastAsia="Calibri"/>
                <w:szCs w:val="24"/>
              </w:rPr>
              <w:t>8 (22.9%)</w:t>
            </w:r>
          </w:p>
        </w:tc>
        <w:tc>
          <w:tcPr>
            <w:tcW w:w="1260" w:type="dxa"/>
          </w:tcPr>
          <w:p w14:paraId="105EE8AB" w14:textId="77777777" w:rsidR="00A10B70" w:rsidRPr="00023F3A" w:rsidRDefault="00A10B70" w:rsidP="00FB2D72">
            <w:pPr>
              <w:jc w:val="right"/>
              <w:rPr>
                <w:rFonts w:eastAsia="Calibri"/>
                <w:szCs w:val="24"/>
              </w:rPr>
            </w:pPr>
          </w:p>
        </w:tc>
      </w:tr>
      <w:tr w:rsidR="00A10B70" w:rsidRPr="002F783B" w14:paraId="67A546A1" w14:textId="77777777" w:rsidTr="00FB2D72">
        <w:trPr>
          <w:trHeight w:val="20"/>
        </w:trPr>
        <w:tc>
          <w:tcPr>
            <w:tcW w:w="3955" w:type="dxa"/>
          </w:tcPr>
          <w:p w14:paraId="2B1A1AAC" w14:textId="77777777" w:rsidR="00A10B70" w:rsidRPr="00023F3A" w:rsidRDefault="00A10B70" w:rsidP="00FB2D72">
            <w:pPr>
              <w:jc w:val="both"/>
              <w:rPr>
                <w:rFonts w:eastAsia="Calibri"/>
                <w:szCs w:val="24"/>
              </w:rPr>
            </w:pPr>
            <w:r w:rsidRPr="00023F3A">
              <w:rPr>
                <w:rFonts w:eastAsia="Calibri"/>
                <w:szCs w:val="24"/>
              </w:rPr>
              <w:t xml:space="preserve">     Unemployed</w:t>
            </w:r>
          </w:p>
        </w:tc>
        <w:tc>
          <w:tcPr>
            <w:tcW w:w="1980" w:type="dxa"/>
          </w:tcPr>
          <w:p w14:paraId="237DF780" w14:textId="77777777" w:rsidR="00A10B70" w:rsidRPr="00023F3A" w:rsidRDefault="00A10B70" w:rsidP="00FB2D72">
            <w:pPr>
              <w:jc w:val="right"/>
              <w:rPr>
                <w:rFonts w:eastAsia="Calibri"/>
                <w:szCs w:val="24"/>
              </w:rPr>
            </w:pPr>
            <w:r w:rsidRPr="00023F3A">
              <w:rPr>
                <w:rFonts w:eastAsia="Calibri"/>
                <w:szCs w:val="24"/>
              </w:rPr>
              <w:t>15 (40.5%)</w:t>
            </w:r>
          </w:p>
        </w:tc>
        <w:tc>
          <w:tcPr>
            <w:tcW w:w="2340" w:type="dxa"/>
          </w:tcPr>
          <w:p w14:paraId="328CBA20" w14:textId="77777777" w:rsidR="00A10B70" w:rsidRPr="00023F3A" w:rsidRDefault="00A10B70" w:rsidP="00FB2D72">
            <w:pPr>
              <w:jc w:val="right"/>
              <w:rPr>
                <w:rFonts w:eastAsia="Calibri"/>
                <w:szCs w:val="24"/>
              </w:rPr>
            </w:pPr>
            <w:r w:rsidRPr="00023F3A">
              <w:rPr>
                <w:rFonts w:eastAsia="Calibri"/>
                <w:szCs w:val="24"/>
              </w:rPr>
              <w:t>11 (31.4%)</w:t>
            </w:r>
          </w:p>
        </w:tc>
        <w:tc>
          <w:tcPr>
            <w:tcW w:w="1260" w:type="dxa"/>
          </w:tcPr>
          <w:p w14:paraId="5BCD222F" w14:textId="77777777" w:rsidR="00A10B70" w:rsidRPr="00023F3A" w:rsidRDefault="00A10B70" w:rsidP="00FB2D72">
            <w:pPr>
              <w:jc w:val="right"/>
              <w:rPr>
                <w:rFonts w:eastAsia="Calibri"/>
                <w:szCs w:val="24"/>
              </w:rPr>
            </w:pPr>
          </w:p>
        </w:tc>
      </w:tr>
      <w:tr w:rsidR="00A10B70" w:rsidRPr="002F783B" w14:paraId="79BBF6FF" w14:textId="77777777" w:rsidTr="00FB2D72">
        <w:trPr>
          <w:trHeight w:val="20"/>
        </w:trPr>
        <w:tc>
          <w:tcPr>
            <w:tcW w:w="3955" w:type="dxa"/>
          </w:tcPr>
          <w:p w14:paraId="4A937B5C" w14:textId="77777777" w:rsidR="00A10B70" w:rsidRPr="00023F3A" w:rsidRDefault="00A10B70" w:rsidP="00FB2D72">
            <w:pPr>
              <w:jc w:val="both"/>
              <w:rPr>
                <w:rFonts w:eastAsia="Calibri"/>
                <w:szCs w:val="24"/>
              </w:rPr>
            </w:pPr>
            <w:r w:rsidRPr="00023F3A">
              <w:rPr>
                <w:rFonts w:eastAsia="Calibri"/>
                <w:szCs w:val="24"/>
              </w:rPr>
              <w:t xml:space="preserve">     Retired</w:t>
            </w:r>
          </w:p>
        </w:tc>
        <w:tc>
          <w:tcPr>
            <w:tcW w:w="1980" w:type="dxa"/>
          </w:tcPr>
          <w:p w14:paraId="16F04F57" w14:textId="77777777" w:rsidR="00A10B70" w:rsidRPr="00023F3A" w:rsidRDefault="00A10B70" w:rsidP="00FB2D72">
            <w:pPr>
              <w:jc w:val="right"/>
              <w:rPr>
                <w:rFonts w:eastAsia="Calibri"/>
                <w:szCs w:val="24"/>
              </w:rPr>
            </w:pPr>
            <w:r w:rsidRPr="00023F3A">
              <w:rPr>
                <w:rFonts w:eastAsia="Calibri"/>
                <w:szCs w:val="24"/>
              </w:rPr>
              <w:t>0 (0%)</w:t>
            </w:r>
          </w:p>
        </w:tc>
        <w:tc>
          <w:tcPr>
            <w:tcW w:w="2340" w:type="dxa"/>
          </w:tcPr>
          <w:p w14:paraId="1C208B0F" w14:textId="77777777" w:rsidR="00A10B70" w:rsidRPr="00023F3A" w:rsidRDefault="00A10B70" w:rsidP="00FB2D72">
            <w:pPr>
              <w:jc w:val="right"/>
              <w:rPr>
                <w:rFonts w:eastAsia="Calibri"/>
                <w:szCs w:val="24"/>
              </w:rPr>
            </w:pPr>
            <w:r w:rsidRPr="00023F3A">
              <w:rPr>
                <w:rFonts w:eastAsia="Calibri"/>
                <w:szCs w:val="24"/>
              </w:rPr>
              <w:t>0 (0%)</w:t>
            </w:r>
          </w:p>
        </w:tc>
        <w:tc>
          <w:tcPr>
            <w:tcW w:w="1260" w:type="dxa"/>
          </w:tcPr>
          <w:p w14:paraId="278378BF" w14:textId="77777777" w:rsidR="00A10B70" w:rsidRPr="00023F3A" w:rsidRDefault="00A10B70" w:rsidP="00FB2D72">
            <w:pPr>
              <w:jc w:val="right"/>
              <w:rPr>
                <w:rFonts w:eastAsia="Calibri"/>
                <w:szCs w:val="24"/>
              </w:rPr>
            </w:pPr>
          </w:p>
        </w:tc>
      </w:tr>
      <w:tr w:rsidR="00A10B70" w:rsidRPr="002F783B" w14:paraId="20C0C630" w14:textId="77777777" w:rsidTr="00FB2D72">
        <w:trPr>
          <w:trHeight w:val="20"/>
        </w:trPr>
        <w:tc>
          <w:tcPr>
            <w:tcW w:w="3955" w:type="dxa"/>
          </w:tcPr>
          <w:p w14:paraId="3AFF9D02" w14:textId="77777777" w:rsidR="00A10B70" w:rsidRPr="00023F3A" w:rsidRDefault="00A10B70" w:rsidP="00FB2D72">
            <w:pPr>
              <w:jc w:val="both"/>
              <w:rPr>
                <w:rFonts w:eastAsia="Calibri"/>
                <w:szCs w:val="24"/>
              </w:rPr>
            </w:pPr>
            <w:r w:rsidRPr="00023F3A">
              <w:rPr>
                <w:rFonts w:eastAsia="Calibri"/>
                <w:szCs w:val="24"/>
              </w:rPr>
              <w:t xml:space="preserve">     Other</w:t>
            </w:r>
          </w:p>
        </w:tc>
        <w:tc>
          <w:tcPr>
            <w:tcW w:w="1980" w:type="dxa"/>
          </w:tcPr>
          <w:p w14:paraId="7B371FAD" w14:textId="77777777" w:rsidR="00A10B70" w:rsidRPr="00023F3A" w:rsidRDefault="00A10B70" w:rsidP="00FB2D72">
            <w:pPr>
              <w:jc w:val="right"/>
              <w:rPr>
                <w:rFonts w:eastAsia="Calibri"/>
                <w:szCs w:val="24"/>
              </w:rPr>
            </w:pPr>
            <w:r w:rsidRPr="00023F3A">
              <w:rPr>
                <w:rFonts w:eastAsia="Calibri"/>
                <w:szCs w:val="24"/>
              </w:rPr>
              <w:t>1 (2.7%)</w:t>
            </w:r>
          </w:p>
        </w:tc>
        <w:tc>
          <w:tcPr>
            <w:tcW w:w="2340" w:type="dxa"/>
          </w:tcPr>
          <w:p w14:paraId="0CC73AC5" w14:textId="77777777" w:rsidR="00A10B70" w:rsidRPr="00023F3A" w:rsidRDefault="00A10B70" w:rsidP="00FB2D72">
            <w:pPr>
              <w:jc w:val="right"/>
              <w:rPr>
                <w:rFonts w:eastAsia="Calibri"/>
                <w:szCs w:val="24"/>
              </w:rPr>
            </w:pPr>
            <w:r w:rsidRPr="00023F3A">
              <w:rPr>
                <w:rFonts w:eastAsia="Calibri"/>
                <w:szCs w:val="24"/>
              </w:rPr>
              <w:t>1 (2.9%)</w:t>
            </w:r>
          </w:p>
        </w:tc>
        <w:tc>
          <w:tcPr>
            <w:tcW w:w="1260" w:type="dxa"/>
          </w:tcPr>
          <w:p w14:paraId="5226420D" w14:textId="77777777" w:rsidR="00A10B70" w:rsidRPr="00023F3A" w:rsidRDefault="00A10B70" w:rsidP="00FB2D72">
            <w:pPr>
              <w:jc w:val="right"/>
              <w:rPr>
                <w:rFonts w:eastAsia="Calibri"/>
                <w:szCs w:val="24"/>
              </w:rPr>
            </w:pPr>
          </w:p>
        </w:tc>
      </w:tr>
      <w:tr w:rsidR="00A10B70" w:rsidRPr="002F783B" w14:paraId="5D8639EF" w14:textId="77777777" w:rsidTr="00FB2D72">
        <w:trPr>
          <w:trHeight w:val="20"/>
        </w:trPr>
        <w:tc>
          <w:tcPr>
            <w:tcW w:w="3955" w:type="dxa"/>
          </w:tcPr>
          <w:p w14:paraId="1E7FF4A2" w14:textId="77777777" w:rsidR="00A10B70" w:rsidRPr="00023F3A" w:rsidRDefault="00A10B70" w:rsidP="00FB2D72">
            <w:pPr>
              <w:jc w:val="both"/>
              <w:rPr>
                <w:rFonts w:eastAsia="Calibri"/>
                <w:szCs w:val="24"/>
              </w:rPr>
            </w:pPr>
            <w:r w:rsidRPr="00023F3A">
              <w:rPr>
                <w:rFonts w:eastAsia="Calibri"/>
                <w:szCs w:val="24"/>
              </w:rPr>
              <w:t xml:space="preserve">Marital Status, </w:t>
            </w:r>
            <w:r w:rsidRPr="00023F3A">
              <w:rPr>
                <w:rFonts w:eastAsia="Calibri"/>
                <w:i/>
                <w:szCs w:val="24"/>
              </w:rPr>
              <w:t>n (%)</w:t>
            </w:r>
          </w:p>
        </w:tc>
        <w:tc>
          <w:tcPr>
            <w:tcW w:w="1980" w:type="dxa"/>
          </w:tcPr>
          <w:p w14:paraId="2DD8B27C" w14:textId="77777777" w:rsidR="00A10B70" w:rsidRPr="00023F3A" w:rsidRDefault="00A10B70" w:rsidP="00FB2D72">
            <w:pPr>
              <w:jc w:val="right"/>
              <w:rPr>
                <w:rFonts w:eastAsia="Calibri"/>
                <w:szCs w:val="24"/>
              </w:rPr>
            </w:pPr>
          </w:p>
        </w:tc>
        <w:tc>
          <w:tcPr>
            <w:tcW w:w="2340" w:type="dxa"/>
          </w:tcPr>
          <w:p w14:paraId="6D440B65" w14:textId="77777777" w:rsidR="00A10B70" w:rsidRPr="00023F3A" w:rsidRDefault="00A10B70" w:rsidP="00FB2D72">
            <w:pPr>
              <w:jc w:val="right"/>
              <w:rPr>
                <w:rFonts w:eastAsia="Calibri"/>
                <w:szCs w:val="24"/>
              </w:rPr>
            </w:pPr>
          </w:p>
        </w:tc>
        <w:tc>
          <w:tcPr>
            <w:tcW w:w="1260" w:type="dxa"/>
          </w:tcPr>
          <w:p w14:paraId="6676256A" w14:textId="77777777" w:rsidR="00A10B70" w:rsidRPr="00023F3A" w:rsidRDefault="00A10B70" w:rsidP="00FB2D72">
            <w:pPr>
              <w:jc w:val="right"/>
              <w:rPr>
                <w:rFonts w:eastAsia="Calibri"/>
                <w:szCs w:val="24"/>
              </w:rPr>
            </w:pPr>
            <w:r w:rsidRPr="00023F3A">
              <w:rPr>
                <w:rFonts w:eastAsia="Calibri"/>
                <w:szCs w:val="24"/>
              </w:rPr>
              <w:t>0.7734 (F)</w:t>
            </w:r>
          </w:p>
        </w:tc>
      </w:tr>
      <w:tr w:rsidR="00A10B70" w:rsidRPr="002F783B" w14:paraId="6C3300E4" w14:textId="77777777" w:rsidTr="00FB2D72">
        <w:trPr>
          <w:trHeight w:val="20"/>
        </w:trPr>
        <w:tc>
          <w:tcPr>
            <w:tcW w:w="3955" w:type="dxa"/>
          </w:tcPr>
          <w:p w14:paraId="01696B48" w14:textId="77777777" w:rsidR="00A10B70" w:rsidRPr="00023F3A" w:rsidRDefault="00A10B70" w:rsidP="00FB2D72">
            <w:pPr>
              <w:jc w:val="both"/>
              <w:rPr>
                <w:rFonts w:eastAsia="Calibri"/>
                <w:szCs w:val="24"/>
              </w:rPr>
            </w:pPr>
            <w:r w:rsidRPr="00023F3A">
              <w:rPr>
                <w:rFonts w:eastAsia="Calibri"/>
                <w:szCs w:val="24"/>
              </w:rPr>
              <w:t xml:space="preserve">     Single</w:t>
            </w:r>
          </w:p>
        </w:tc>
        <w:tc>
          <w:tcPr>
            <w:tcW w:w="1980" w:type="dxa"/>
          </w:tcPr>
          <w:p w14:paraId="44455A62" w14:textId="77777777" w:rsidR="00A10B70" w:rsidRPr="00023F3A" w:rsidRDefault="00A10B70" w:rsidP="00FB2D72">
            <w:pPr>
              <w:jc w:val="right"/>
              <w:rPr>
                <w:rFonts w:eastAsia="Calibri"/>
                <w:szCs w:val="24"/>
              </w:rPr>
            </w:pPr>
            <w:r w:rsidRPr="00023F3A">
              <w:rPr>
                <w:rFonts w:eastAsia="Calibri"/>
                <w:szCs w:val="24"/>
              </w:rPr>
              <w:t>31 (83.8%)</w:t>
            </w:r>
          </w:p>
        </w:tc>
        <w:tc>
          <w:tcPr>
            <w:tcW w:w="2340" w:type="dxa"/>
          </w:tcPr>
          <w:p w14:paraId="33A94868" w14:textId="77777777" w:rsidR="00A10B70" w:rsidRPr="00023F3A" w:rsidRDefault="00A10B70" w:rsidP="00FB2D72">
            <w:pPr>
              <w:jc w:val="right"/>
              <w:rPr>
                <w:rFonts w:eastAsia="Calibri"/>
                <w:szCs w:val="24"/>
              </w:rPr>
            </w:pPr>
            <w:r w:rsidRPr="00023F3A">
              <w:rPr>
                <w:rFonts w:eastAsia="Calibri"/>
                <w:szCs w:val="24"/>
              </w:rPr>
              <w:t>27 (73.0%)</w:t>
            </w:r>
          </w:p>
        </w:tc>
        <w:tc>
          <w:tcPr>
            <w:tcW w:w="1260" w:type="dxa"/>
          </w:tcPr>
          <w:p w14:paraId="004B84D1" w14:textId="77777777" w:rsidR="00A10B70" w:rsidRPr="00023F3A" w:rsidRDefault="00A10B70" w:rsidP="00FB2D72">
            <w:pPr>
              <w:jc w:val="right"/>
              <w:rPr>
                <w:rFonts w:eastAsia="Calibri"/>
                <w:szCs w:val="24"/>
              </w:rPr>
            </w:pPr>
          </w:p>
        </w:tc>
      </w:tr>
      <w:tr w:rsidR="00A10B70" w:rsidRPr="002F783B" w14:paraId="522B30D3" w14:textId="77777777" w:rsidTr="00FB2D72">
        <w:trPr>
          <w:trHeight w:val="20"/>
        </w:trPr>
        <w:tc>
          <w:tcPr>
            <w:tcW w:w="3955" w:type="dxa"/>
          </w:tcPr>
          <w:p w14:paraId="7BB62928" w14:textId="77777777" w:rsidR="00A10B70" w:rsidRPr="00023F3A" w:rsidRDefault="00A10B70" w:rsidP="00FB2D72">
            <w:pPr>
              <w:jc w:val="both"/>
              <w:rPr>
                <w:rFonts w:eastAsia="Calibri"/>
                <w:szCs w:val="24"/>
              </w:rPr>
            </w:pPr>
            <w:r w:rsidRPr="00023F3A">
              <w:rPr>
                <w:rFonts w:eastAsia="Calibri"/>
                <w:szCs w:val="24"/>
              </w:rPr>
              <w:t xml:space="preserve">     Married</w:t>
            </w:r>
          </w:p>
        </w:tc>
        <w:tc>
          <w:tcPr>
            <w:tcW w:w="1980" w:type="dxa"/>
          </w:tcPr>
          <w:p w14:paraId="1655D533" w14:textId="77777777" w:rsidR="00A10B70" w:rsidRPr="00023F3A" w:rsidRDefault="00A10B70" w:rsidP="00FB2D72">
            <w:pPr>
              <w:jc w:val="right"/>
              <w:rPr>
                <w:rFonts w:eastAsia="Calibri"/>
                <w:szCs w:val="24"/>
              </w:rPr>
            </w:pPr>
            <w:r w:rsidRPr="00023F3A">
              <w:rPr>
                <w:rFonts w:eastAsia="Calibri"/>
                <w:szCs w:val="24"/>
              </w:rPr>
              <w:t>2 (5.4%)</w:t>
            </w:r>
          </w:p>
        </w:tc>
        <w:tc>
          <w:tcPr>
            <w:tcW w:w="2340" w:type="dxa"/>
          </w:tcPr>
          <w:p w14:paraId="75E0CE21" w14:textId="77777777" w:rsidR="00A10B70" w:rsidRPr="00023F3A" w:rsidRDefault="00A10B70" w:rsidP="00FB2D72">
            <w:pPr>
              <w:jc w:val="right"/>
              <w:rPr>
                <w:rFonts w:eastAsia="Calibri"/>
                <w:szCs w:val="24"/>
              </w:rPr>
            </w:pPr>
            <w:r w:rsidRPr="00023F3A">
              <w:rPr>
                <w:rFonts w:eastAsia="Calibri"/>
                <w:szCs w:val="24"/>
              </w:rPr>
              <w:t>3 (8.1%)</w:t>
            </w:r>
          </w:p>
        </w:tc>
        <w:tc>
          <w:tcPr>
            <w:tcW w:w="1260" w:type="dxa"/>
          </w:tcPr>
          <w:p w14:paraId="4C50C891" w14:textId="77777777" w:rsidR="00A10B70" w:rsidRPr="00023F3A" w:rsidRDefault="00A10B70" w:rsidP="00FB2D72">
            <w:pPr>
              <w:jc w:val="right"/>
              <w:rPr>
                <w:rFonts w:eastAsia="Calibri"/>
                <w:szCs w:val="24"/>
              </w:rPr>
            </w:pPr>
          </w:p>
        </w:tc>
      </w:tr>
      <w:tr w:rsidR="00A10B70" w:rsidRPr="002F783B" w14:paraId="373B25CE" w14:textId="77777777" w:rsidTr="00FB2D72">
        <w:trPr>
          <w:trHeight w:val="20"/>
        </w:trPr>
        <w:tc>
          <w:tcPr>
            <w:tcW w:w="3955" w:type="dxa"/>
          </w:tcPr>
          <w:p w14:paraId="5DFCF9CC" w14:textId="77777777" w:rsidR="00A10B70" w:rsidRPr="00023F3A" w:rsidRDefault="00A10B70" w:rsidP="00FB2D72">
            <w:pPr>
              <w:jc w:val="both"/>
              <w:rPr>
                <w:rFonts w:eastAsia="Calibri"/>
                <w:szCs w:val="24"/>
              </w:rPr>
            </w:pPr>
            <w:r w:rsidRPr="00023F3A">
              <w:rPr>
                <w:rFonts w:eastAsia="Calibri"/>
                <w:szCs w:val="24"/>
              </w:rPr>
              <w:t xml:space="preserve">     Divorced/separated</w:t>
            </w:r>
          </w:p>
        </w:tc>
        <w:tc>
          <w:tcPr>
            <w:tcW w:w="1980" w:type="dxa"/>
          </w:tcPr>
          <w:p w14:paraId="4D07FD92" w14:textId="77777777" w:rsidR="00A10B70" w:rsidRPr="00023F3A" w:rsidRDefault="00A10B70" w:rsidP="00FB2D72">
            <w:pPr>
              <w:jc w:val="right"/>
              <w:rPr>
                <w:rFonts w:eastAsia="Calibri"/>
                <w:szCs w:val="24"/>
              </w:rPr>
            </w:pPr>
            <w:r w:rsidRPr="00023F3A">
              <w:rPr>
                <w:rFonts w:eastAsia="Calibri"/>
                <w:szCs w:val="24"/>
              </w:rPr>
              <w:t>3 (8.1%)</w:t>
            </w:r>
          </w:p>
        </w:tc>
        <w:tc>
          <w:tcPr>
            <w:tcW w:w="2340" w:type="dxa"/>
          </w:tcPr>
          <w:p w14:paraId="4697AA8C" w14:textId="77777777" w:rsidR="00A10B70" w:rsidRPr="00023F3A" w:rsidRDefault="00A10B70" w:rsidP="00FB2D72">
            <w:pPr>
              <w:jc w:val="right"/>
              <w:rPr>
                <w:rFonts w:eastAsia="Calibri"/>
                <w:szCs w:val="24"/>
              </w:rPr>
            </w:pPr>
            <w:r w:rsidRPr="00023F3A">
              <w:rPr>
                <w:rFonts w:eastAsia="Calibri"/>
                <w:szCs w:val="24"/>
              </w:rPr>
              <w:t>6 (16.2%)</w:t>
            </w:r>
          </w:p>
        </w:tc>
        <w:tc>
          <w:tcPr>
            <w:tcW w:w="1260" w:type="dxa"/>
          </w:tcPr>
          <w:p w14:paraId="437694E6" w14:textId="77777777" w:rsidR="00A10B70" w:rsidRPr="00023F3A" w:rsidRDefault="00A10B70" w:rsidP="00FB2D72">
            <w:pPr>
              <w:jc w:val="right"/>
              <w:rPr>
                <w:rFonts w:eastAsia="Calibri"/>
                <w:szCs w:val="24"/>
              </w:rPr>
            </w:pPr>
          </w:p>
        </w:tc>
      </w:tr>
      <w:tr w:rsidR="00A10B70" w:rsidRPr="002F783B" w14:paraId="01E62C06" w14:textId="77777777" w:rsidTr="00FB2D72">
        <w:trPr>
          <w:trHeight w:val="20"/>
        </w:trPr>
        <w:tc>
          <w:tcPr>
            <w:tcW w:w="3955" w:type="dxa"/>
          </w:tcPr>
          <w:p w14:paraId="7326190A" w14:textId="77777777" w:rsidR="00A10B70" w:rsidRPr="00023F3A" w:rsidRDefault="00A10B70" w:rsidP="00FB2D72">
            <w:pPr>
              <w:jc w:val="both"/>
              <w:rPr>
                <w:rFonts w:eastAsia="Calibri"/>
                <w:szCs w:val="24"/>
              </w:rPr>
            </w:pPr>
            <w:r w:rsidRPr="00023F3A">
              <w:rPr>
                <w:rFonts w:eastAsia="Calibri"/>
                <w:szCs w:val="24"/>
              </w:rPr>
              <w:t xml:space="preserve">     Living together/engaged</w:t>
            </w:r>
          </w:p>
        </w:tc>
        <w:tc>
          <w:tcPr>
            <w:tcW w:w="1980" w:type="dxa"/>
          </w:tcPr>
          <w:p w14:paraId="179B803C" w14:textId="77777777" w:rsidR="00A10B70" w:rsidRPr="00023F3A" w:rsidRDefault="00A10B70" w:rsidP="00FB2D72">
            <w:pPr>
              <w:jc w:val="right"/>
              <w:rPr>
                <w:rFonts w:eastAsia="Calibri"/>
                <w:szCs w:val="24"/>
              </w:rPr>
            </w:pPr>
            <w:r w:rsidRPr="00023F3A">
              <w:rPr>
                <w:rFonts w:eastAsia="Calibri"/>
                <w:szCs w:val="24"/>
              </w:rPr>
              <w:t>1 (2.7%)</w:t>
            </w:r>
          </w:p>
        </w:tc>
        <w:tc>
          <w:tcPr>
            <w:tcW w:w="2340" w:type="dxa"/>
          </w:tcPr>
          <w:p w14:paraId="43932AFB" w14:textId="77777777" w:rsidR="00A10B70" w:rsidRPr="00023F3A" w:rsidRDefault="00A10B70" w:rsidP="00FB2D72">
            <w:pPr>
              <w:jc w:val="right"/>
              <w:rPr>
                <w:rFonts w:eastAsia="Calibri"/>
                <w:szCs w:val="24"/>
              </w:rPr>
            </w:pPr>
            <w:r w:rsidRPr="00023F3A">
              <w:rPr>
                <w:rFonts w:eastAsia="Calibri"/>
                <w:szCs w:val="24"/>
              </w:rPr>
              <w:t>1 (2.7%)</w:t>
            </w:r>
          </w:p>
        </w:tc>
        <w:tc>
          <w:tcPr>
            <w:tcW w:w="1260" w:type="dxa"/>
          </w:tcPr>
          <w:p w14:paraId="7FE4A6F6" w14:textId="77777777" w:rsidR="00A10B70" w:rsidRPr="00023F3A" w:rsidRDefault="00A10B70" w:rsidP="00FB2D72">
            <w:pPr>
              <w:jc w:val="right"/>
              <w:rPr>
                <w:rFonts w:eastAsia="Calibri"/>
                <w:szCs w:val="24"/>
              </w:rPr>
            </w:pPr>
          </w:p>
        </w:tc>
      </w:tr>
      <w:tr w:rsidR="00A10B70" w:rsidRPr="002F783B" w14:paraId="3C6B5273" w14:textId="77777777" w:rsidTr="00FB2D72">
        <w:trPr>
          <w:trHeight w:val="20"/>
        </w:trPr>
        <w:tc>
          <w:tcPr>
            <w:tcW w:w="3955" w:type="dxa"/>
          </w:tcPr>
          <w:p w14:paraId="76339102" w14:textId="77777777" w:rsidR="00A10B70" w:rsidRPr="00023F3A" w:rsidRDefault="00A10B70" w:rsidP="00FB2D72">
            <w:pPr>
              <w:jc w:val="both"/>
              <w:rPr>
                <w:rFonts w:eastAsia="Calibri"/>
                <w:szCs w:val="24"/>
              </w:rPr>
            </w:pPr>
            <w:r w:rsidRPr="00023F3A">
              <w:rPr>
                <w:rFonts w:eastAsia="Calibri"/>
                <w:szCs w:val="24"/>
              </w:rPr>
              <w:t xml:space="preserve">     Widowed</w:t>
            </w:r>
          </w:p>
        </w:tc>
        <w:tc>
          <w:tcPr>
            <w:tcW w:w="1980" w:type="dxa"/>
          </w:tcPr>
          <w:p w14:paraId="334EE7BA" w14:textId="77777777" w:rsidR="00A10B70" w:rsidRPr="00023F3A" w:rsidRDefault="00A10B70" w:rsidP="00FB2D72">
            <w:pPr>
              <w:jc w:val="right"/>
              <w:rPr>
                <w:rFonts w:eastAsia="Calibri"/>
                <w:szCs w:val="24"/>
              </w:rPr>
            </w:pPr>
            <w:r w:rsidRPr="00023F3A">
              <w:rPr>
                <w:rFonts w:eastAsia="Calibri"/>
                <w:szCs w:val="24"/>
              </w:rPr>
              <w:t>0 (0%)</w:t>
            </w:r>
          </w:p>
        </w:tc>
        <w:tc>
          <w:tcPr>
            <w:tcW w:w="2340" w:type="dxa"/>
          </w:tcPr>
          <w:p w14:paraId="751C87A2" w14:textId="77777777" w:rsidR="00A10B70" w:rsidRPr="00023F3A" w:rsidRDefault="00A10B70" w:rsidP="00FB2D72">
            <w:pPr>
              <w:jc w:val="right"/>
              <w:rPr>
                <w:rFonts w:eastAsia="Calibri"/>
                <w:szCs w:val="24"/>
              </w:rPr>
            </w:pPr>
            <w:r w:rsidRPr="00023F3A">
              <w:rPr>
                <w:rFonts w:eastAsia="Calibri"/>
                <w:szCs w:val="24"/>
              </w:rPr>
              <w:t>0 (0%)</w:t>
            </w:r>
          </w:p>
        </w:tc>
        <w:tc>
          <w:tcPr>
            <w:tcW w:w="1260" w:type="dxa"/>
          </w:tcPr>
          <w:p w14:paraId="628C537A" w14:textId="77777777" w:rsidR="00A10B70" w:rsidRPr="00023F3A" w:rsidRDefault="00A10B70" w:rsidP="00FB2D72">
            <w:pPr>
              <w:jc w:val="right"/>
              <w:rPr>
                <w:rFonts w:eastAsia="Calibri"/>
                <w:szCs w:val="24"/>
              </w:rPr>
            </w:pPr>
          </w:p>
        </w:tc>
      </w:tr>
      <w:tr w:rsidR="00A10B70" w:rsidRPr="002F783B" w14:paraId="72096E9A" w14:textId="77777777" w:rsidTr="00FB2D72">
        <w:trPr>
          <w:trHeight w:val="20"/>
        </w:trPr>
        <w:tc>
          <w:tcPr>
            <w:tcW w:w="3955" w:type="dxa"/>
          </w:tcPr>
          <w:p w14:paraId="7C46EB87" w14:textId="77777777" w:rsidR="00A10B70" w:rsidRPr="00023F3A" w:rsidRDefault="00A10B70" w:rsidP="00FB2D72">
            <w:pPr>
              <w:jc w:val="both"/>
              <w:rPr>
                <w:rFonts w:eastAsia="Calibri"/>
                <w:szCs w:val="24"/>
              </w:rPr>
            </w:pPr>
            <w:r w:rsidRPr="00023F3A">
              <w:rPr>
                <w:rFonts w:eastAsia="Calibri"/>
                <w:szCs w:val="24"/>
              </w:rPr>
              <w:t xml:space="preserve">Zanarini Total Score, </w:t>
            </w:r>
            <w:r w:rsidRPr="00023F3A">
              <w:rPr>
                <w:rFonts w:eastAsia="Calibri"/>
                <w:i/>
                <w:szCs w:val="24"/>
              </w:rPr>
              <w:t>mean ± SD (median; range)</w:t>
            </w:r>
          </w:p>
        </w:tc>
        <w:tc>
          <w:tcPr>
            <w:tcW w:w="1980" w:type="dxa"/>
          </w:tcPr>
          <w:p w14:paraId="47C68D82" w14:textId="77777777" w:rsidR="00A10B70" w:rsidRPr="00023F3A" w:rsidRDefault="00A10B70" w:rsidP="00FB2D72">
            <w:pPr>
              <w:jc w:val="right"/>
              <w:rPr>
                <w:rFonts w:eastAsia="Calibri"/>
                <w:szCs w:val="24"/>
              </w:rPr>
            </w:pPr>
            <w:r w:rsidRPr="00023F3A">
              <w:rPr>
                <w:rFonts w:eastAsia="Calibri"/>
                <w:szCs w:val="24"/>
              </w:rPr>
              <w:t xml:space="preserve">15.0 ± 4.5 </w:t>
            </w:r>
          </w:p>
          <w:p w14:paraId="272F8A9F" w14:textId="77777777" w:rsidR="00A10B70" w:rsidRPr="00023F3A" w:rsidRDefault="00A10B70" w:rsidP="00FB2D72">
            <w:pPr>
              <w:jc w:val="right"/>
              <w:rPr>
                <w:rFonts w:eastAsia="Calibri"/>
                <w:szCs w:val="24"/>
              </w:rPr>
            </w:pPr>
            <w:r w:rsidRPr="00023F3A">
              <w:rPr>
                <w:rFonts w:eastAsia="Calibri"/>
                <w:szCs w:val="24"/>
              </w:rPr>
              <w:t>(14; 9-26)</w:t>
            </w:r>
          </w:p>
        </w:tc>
        <w:tc>
          <w:tcPr>
            <w:tcW w:w="2340" w:type="dxa"/>
          </w:tcPr>
          <w:p w14:paraId="65E5B9CB" w14:textId="77777777" w:rsidR="00A10B70" w:rsidRPr="00023F3A" w:rsidRDefault="00A10B70" w:rsidP="00FB2D72">
            <w:pPr>
              <w:jc w:val="right"/>
              <w:rPr>
                <w:rFonts w:eastAsia="Calibri"/>
                <w:szCs w:val="24"/>
              </w:rPr>
            </w:pPr>
            <w:r w:rsidRPr="00023F3A">
              <w:rPr>
                <w:rFonts w:eastAsia="Calibri"/>
                <w:szCs w:val="24"/>
              </w:rPr>
              <w:t xml:space="preserve">14.9 ± 4.4 </w:t>
            </w:r>
          </w:p>
          <w:p w14:paraId="39159E40" w14:textId="77777777" w:rsidR="00A10B70" w:rsidRPr="00023F3A" w:rsidRDefault="00A10B70" w:rsidP="00FB2D72">
            <w:pPr>
              <w:jc w:val="right"/>
              <w:rPr>
                <w:rFonts w:eastAsia="Calibri"/>
                <w:szCs w:val="24"/>
              </w:rPr>
            </w:pPr>
            <w:r w:rsidRPr="00023F3A">
              <w:rPr>
                <w:rFonts w:eastAsia="Calibri"/>
                <w:szCs w:val="24"/>
              </w:rPr>
              <w:t>(15; 9-26)</w:t>
            </w:r>
          </w:p>
        </w:tc>
        <w:tc>
          <w:tcPr>
            <w:tcW w:w="1260" w:type="dxa"/>
          </w:tcPr>
          <w:p w14:paraId="0D64E09C" w14:textId="77777777" w:rsidR="00A10B70" w:rsidRPr="00023F3A" w:rsidRDefault="00A10B70" w:rsidP="00FB2D72">
            <w:pPr>
              <w:jc w:val="right"/>
              <w:rPr>
                <w:rFonts w:eastAsia="Calibri"/>
                <w:szCs w:val="24"/>
              </w:rPr>
            </w:pPr>
            <w:r w:rsidRPr="00023F3A">
              <w:rPr>
                <w:rFonts w:eastAsia="Calibri"/>
                <w:szCs w:val="24"/>
              </w:rPr>
              <w:t>0.9878 (M)</w:t>
            </w:r>
          </w:p>
        </w:tc>
      </w:tr>
    </w:tbl>
    <w:p w14:paraId="6EE4F10B" w14:textId="77777777" w:rsidR="00A10B70" w:rsidRPr="00023F3A" w:rsidRDefault="00A10B70" w:rsidP="00A10B70">
      <w:pPr>
        <w:spacing w:before="240"/>
        <w:rPr>
          <w:szCs w:val="24"/>
        </w:rPr>
      </w:pPr>
      <w:r w:rsidRPr="00023F3A">
        <w:rPr>
          <w:szCs w:val="24"/>
        </w:rPr>
        <w:t>* (M) indicates p-value was generated from Mann-Whitney-Wilcoxon test; (C) indicates p-value was generated from chi-square test; (F) indicates p-value was generated from Fisher’s Exact test.</w:t>
      </w:r>
    </w:p>
    <w:p w14:paraId="600030CD" w14:textId="77777777" w:rsidR="00E34058" w:rsidRPr="00023F3A" w:rsidRDefault="00E34058" w:rsidP="00973D1C">
      <w:pPr>
        <w:spacing w:line="480" w:lineRule="auto"/>
        <w:rPr>
          <w:szCs w:val="24"/>
        </w:rPr>
      </w:pPr>
    </w:p>
    <w:p w14:paraId="025D016B" w14:textId="77777777" w:rsidR="00C9528C" w:rsidRDefault="00E34058" w:rsidP="00C9528C">
      <w:pPr>
        <w:pStyle w:val="Heading4"/>
      </w:pPr>
      <w:r>
        <w:t xml:space="preserve">Figure 2. </w:t>
      </w:r>
      <w:r w:rsidR="00C9528C">
        <w:t>Zanarini Total Score by Visit by Group</w:t>
      </w:r>
    </w:p>
    <w:p w14:paraId="450C0A49" w14:textId="77777777" w:rsidR="00C9528C" w:rsidRDefault="005D365C" w:rsidP="00C9528C">
      <w:pPr>
        <w:spacing w:before="240"/>
      </w:pPr>
      <w:r>
        <w:rPr>
          <w:noProof/>
          <w:lang w:val="en-GB" w:eastAsia="en-GB"/>
        </w:rPr>
        <w:drawing>
          <wp:inline distT="0" distB="0" distL="0" distR="0" wp14:anchorId="687DAE34" wp14:editId="3890FA20">
            <wp:extent cx="5149850" cy="2736850"/>
            <wp:effectExtent l="0" t="0" r="1270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F376FF" w14:textId="3FD9F0F9" w:rsidR="00C9528C" w:rsidRDefault="00C9528C" w:rsidP="00C9528C">
      <w:pPr>
        <w:spacing w:before="240"/>
      </w:pPr>
    </w:p>
    <w:p w14:paraId="064EE7EE" w14:textId="77777777" w:rsidR="00C9528C" w:rsidRPr="00E34058" w:rsidRDefault="00C9528C" w:rsidP="00E34058">
      <w:pPr>
        <w:pStyle w:val="Heading4"/>
        <w:spacing w:before="0" w:after="0" w:line="480" w:lineRule="auto"/>
        <w:rPr>
          <w:rFonts w:ascii="Times New Roman" w:hAnsi="Times New Roman"/>
          <w:sz w:val="24"/>
          <w:szCs w:val="24"/>
        </w:rPr>
      </w:pPr>
      <w:r w:rsidRPr="00E34058">
        <w:rPr>
          <w:rFonts w:ascii="Times New Roman" w:hAnsi="Times New Roman"/>
          <w:sz w:val="24"/>
          <w:szCs w:val="24"/>
        </w:rPr>
        <w:t xml:space="preserve">Regression Model for Zanarini Total Score </w:t>
      </w:r>
    </w:p>
    <w:p w14:paraId="455F92C4" w14:textId="600B8C95" w:rsidR="00465CD8" w:rsidRDefault="00C9528C" w:rsidP="00F344CA">
      <w:pPr>
        <w:spacing w:line="480" w:lineRule="auto"/>
        <w:ind w:firstLine="720"/>
        <w:rPr>
          <w:szCs w:val="24"/>
        </w:rPr>
      </w:pPr>
      <w:r w:rsidRPr="00E34058">
        <w:rPr>
          <w:szCs w:val="24"/>
        </w:rPr>
        <w:t>There were 69 participants included in this analysis (that had baseline and at least 1 follow-up visit with Z</w:t>
      </w:r>
      <w:r w:rsidR="00DE13E1">
        <w:rPr>
          <w:szCs w:val="24"/>
        </w:rPr>
        <w:t>AN-BPD</w:t>
      </w:r>
      <w:r w:rsidRPr="00E34058">
        <w:rPr>
          <w:szCs w:val="24"/>
        </w:rPr>
        <w:t xml:space="preserve"> </w:t>
      </w:r>
      <w:r w:rsidR="00DE13E1">
        <w:rPr>
          <w:szCs w:val="24"/>
        </w:rPr>
        <w:t>t</w:t>
      </w:r>
      <w:r w:rsidRPr="00E34058">
        <w:rPr>
          <w:szCs w:val="24"/>
        </w:rPr>
        <w:t>otal scores). The model with visits 1-8 included 494 total data points</w:t>
      </w:r>
      <w:r w:rsidR="00E34058" w:rsidRPr="00E34058">
        <w:rPr>
          <w:szCs w:val="24"/>
        </w:rPr>
        <w:t xml:space="preserve">. </w:t>
      </w:r>
      <w:r w:rsidR="00465CD8">
        <w:rPr>
          <w:szCs w:val="24"/>
        </w:rPr>
        <w:t xml:space="preserve">The statistical model indicated </w:t>
      </w:r>
      <w:r w:rsidR="00A31E74">
        <w:rPr>
          <w:szCs w:val="24"/>
        </w:rPr>
        <w:t xml:space="preserve">a </w:t>
      </w:r>
      <w:r w:rsidR="00465CD8">
        <w:rPr>
          <w:szCs w:val="24"/>
        </w:rPr>
        <w:t xml:space="preserve">significant interaction between group and visit number, as well as significant main effects of visit number and of treatment group (Table </w:t>
      </w:r>
      <w:r w:rsidR="00DE13E1">
        <w:rPr>
          <w:szCs w:val="24"/>
        </w:rPr>
        <w:t>2</w:t>
      </w:r>
      <w:r w:rsidR="00465CD8">
        <w:rPr>
          <w:szCs w:val="24"/>
        </w:rPr>
        <w:t xml:space="preserve">). </w:t>
      </w:r>
    </w:p>
    <w:p w14:paraId="52288AA8" w14:textId="4DF1CC51" w:rsidR="00465CD8" w:rsidRDefault="00465CD8" w:rsidP="00F344CA">
      <w:pPr>
        <w:spacing w:line="480" w:lineRule="auto"/>
        <w:ind w:firstLine="720"/>
        <w:rPr>
          <w:szCs w:val="24"/>
        </w:rPr>
      </w:pPr>
    </w:p>
    <w:p w14:paraId="36257A42" w14:textId="77777777" w:rsidR="00D965A9" w:rsidRDefault="00D965A9" w:rsidP="00332153">
      <w:pPr>
        <w:spacing w:line="480" w:lineRule="auto"/>
        <w:rPr>
          <w:b/>
          <w:szCs w:val="24"/>
        </w:rPr>
      </w:pPr>
    </w:p>
    <w:p w14:paraId="56D014E9" w14:textId="77777777" w:rsidR="00D965A9" w:rsidRDefault="00D965A9" w:rsidP="00332153">
      <w:pPr>
        <w:spacing w:line="480" w:lineRule="auto"/>
        <w:rPr>
          <w:b/>
          <w:szCs w:val="24"/>
        </w:rPr>
      </w:pPr>
    </w:p>
    <w:p w14:paraId="07BF0DCF" w14:textId="77777777" w:rsidR="00D965A9" w:rsidRDefault="00D965A9" w:rsidP="00332153">
      <w:pPr>
        <w:spacing w:line="480" w:lineRule="auto"/>
        <w:rPr>
          <w:b/>
          <w:szCs w:val="24"/>
        </w:rPr>
      </w:pPr>
    </w:p>
    <w:p w14:paraId="47816589" w14:textId="77777777" w:rsidR="00D965A9" w:rsidRDefault="00D965A9" w:rsidP="00332153">
      <w:pPr>
        <w:spacing w:line="480" w:lineRule="auto"/>
        <w:rPr>
          <w:b/>
          <w:szCs w:val="24"/>
        </w:rPr>
      </w:pPr>
    </w:p>
    <w:p w14:paraId="4A212078" w14:textId="77777777" w:rsidR="00D965A9" w:rsidRDefault="00D965A9" w:rsidP="00332153">
      <w:pPr>
        <w:spacing w:line="480" w:lineRule="auto"/>
        <w:rPr>
          <w:b/>
          <w:szCs w:val="24"/>
        </w:rPr>
      </w:pPr>
    </w:p>
    <w:p w14:paraId="50382F38" w14:textId="58ADA48B" w:rsidR="00465CD8" w:rsidRPr="00332153" w:rsidRDefault="00777A66" w:rsidP="00332153">
      <w:pPr>
        <w:spacing w:line="480" w:lineRule="auto"/>
        <w:rPr>
          <w:b/>
          <w:szCs w:val="24"/>
        </w:rPr>
      </w:pPr>
      <w:r>
        <w:rPr>
          <w:b/>
          <w:szCs w:val="24"/>
        </w:rPr>
        <w:t>Table 2</w:t>
      </w:r>
      <w:r w:rsidR="00465CD8" w:rsidRPr="00332153">
        <w:rPr>
          <w:b/>
          <w:szCs w:val="24"/>
        </w:rPr>
        <w:t xml:space="preserve">. Regression model examining primary efficacy measure. </w:t>
      </w:r>
    </w:p>
    <w:p w14:paraId="345A3007" w14:textId="77777777" w:rsidR="00E34058" w:rsidRPr="00C9528C" w:rsidRDefault="00E34058" w:rsidP="00E34058">
      <w:pPr>
        <w:rPr>
          <w:rFonts w:cs="Calibri"/>
          <w:sz w:val="18"/>
          <w:szCs w:val="18"/>
        </w:rPr>
      </w:pPr>
    </w:p>
    <w:tbl>
      <w:tblPr>
        <w:tblW w:w="0" w:type="auto"/>
        <w:jc w:val="center"/>
        <w:tblBorders>
          <w:top w:val="single" w:sz="6" w:space="0" w:color="C1C1C1"/>
          <w:left w:val="single" w:sz="6" w:space="0" w:color="C1C1C1"/>
          <w:bottom w:val="single" w:sz="2" w:space="0" w:color="C1C1C1"/>
          <w:right w:val="single" w:sz="2" w:space="0" w:color="C1C1C1"/>
        </w:tblBorders>
        <w:tblCellMar>
          <w:top w:w="50" w:type="dxa"/>
          <w:left w:w="50" w:type="dxa"/>
          <w:bottom w:w="50" w:type="dxa"/>
          <w:right w:w="50" w:type="dxa"/>
        </w:tblCellMar>
        <w:tblLook w:val="04A0" w:firstRow="1" w:lastRow="0" w:firstColumn="1" w:lastColumn="0" w:noHBand="0" w:noVBand="1"/>
      </w:tblPr>
      <w:tblGrid>
        <w:gridCol w:w="5109"/>
        <w:gridCol w:w="623"/>
        <w:gridCol w:w="777"/>
        <w:gridCol w:w="954"/>
        <w:gridCol w:w="1133"/>
      </w:tblGrid>
      <w:tr w:rsidR="00CB6EEF" w14:paraId="0BE1AAB7" w14:textId="77777777" w:rsidTr="00332153">
        <w:trPr>
          <w:trHeight w:val="382"/>
          <w:jc w:val="center"/>
        </w:trPr>
        <w:tc>
          <w:tcPr>
            <w:tcW w:w="5109" w:type="dxa"/>
            <w:tcBorders>
              <w:top w:val="nil"/>
              <w:left w:val="nil"/>
              <w:bottom w:val="nil"/>
              <w:right w:val="nil"/>
            </w:tcBorders>
          </w:tcPr>
          <w:p w14:paraId="02F151AA" w14:textId="77777777" w:rsidR="00CB6EEF" w:rsidRPr="00332153" w:rsidRDefault="00CB6EEF" w:rsidP="004B3FD0">
            <w:pPr>
              <w:rPr>
                <w:rFonts w:cstheme="minorHAnsi"/>
                <w:b/>
                <w:bCs/>
                <w:szCs w:val="24"/>
              </w:rPr>
            </w:pPr>
            <w:r w:rsidRPr="00332153">
              <w:rPr>
                <w:rFonts w:cstheme="minorHAnsi"/>
                <w:b/>
                <w:bCs/>
                <w:szCs w:val="24"/>
              </w:rPr>
              <w:t>Number of participants / visits included</w:t>
            </w:r>
          </w:p>
        </w:tc>
        <w:tc>
          <w:tcPr>
            <w:tcW w:w="3487" w:type="dxa"/>
            <w:gridSpan w:val="4"/>
            <w:tcBorders>
              <w:top w:val="nil"/>
              <w:left w:val="nil"/>
              <w:bottom w:val="nil"/>
              <w:right w:val="nil"/>
            </w:tcBorders>
          </w:tcPr>
          <w:p w14:paraId="7ED6A76B" w14:textId="77777777" w:rsidR="00CB6EEF" w:rsidRPr="00332153" w:rsidRDefault="00CB6EEF" w:rsidP="004B3FD0">
            <w:pPr>
              <w:jc w:val="right"/>
              <w:rPr>
                <w:rFonts w:cstheme="minorHAnsi"/>
                <w:szCs w:val="24"/>
              </w:rPr>
            </w:pPr>
            <w:r w:rsidRPr="00332153">
              <w:rPr>
                <w:rFonts w:cstheme="minorHAnsi"/>
                <w:szCs w:val="24"/>
              </w:rPr>
              <w:t>69 / 494</w:t>
            </w:r>
          </w:p>
        </w:tc>
      </w:tr>
      <w:tr w:rsidR="00CB6EEF" w:rsidRPr="00F4265F" w14:paraId="4661D4F3" w14:textId="77777777" w:rsidTr="00332153">
        <w:trPr>
          <w:jc w:val="center"/>
        </w:trPr>
        <w:tc>
          <w:tcPr>
            <w:tcW w:w="5109" w:type="dxa"/>
            <w:tcBorders>
              <w:top w:val="nil"/>
              <w:left w:val="nil"/>
              <w:bottom w:val="nil"/>
              <w:right w:val="nil"/>
            </w:tcBorders>
          </w:tcPr>
          <w:p w14:paraId="6B5ED5D1" w14:textId="77777777" w:rsidR="00CB6EEF" w:rsidRPr="00332153" w:rsidRDefault="00CB6EEF" w:rsidP="004B3FD0">
            <w:pPr>
              <w:rPr>
                <w:rFonts w:cstheme="minorHAnsi"/>
                <w:b/>
                <w:bCs/>
                <w:szCs w:val="24"/>
              </w:rPr>
            </w:pPr>
            <w:r w:rsidRPr="00332153">
              <w:rPr>
                <w:rFonts w:cstheme="minorHAnsi"/>
                <w:b/>
                <w:bCs/>
                <w:szCs w:val="24"/>
              </w:rPr>
              <w:t>Model status</w:t>
            </w:r>
          </w:p>
        </w:tc>
        <w:tc>
          <w:tcPr>
            <w:tcW w:w="3487" w:type="dxa"/>
            <w:gridSpan w:val="4"/>
            <w:tcBorders>
              <w:top w:val="nil"/>
              <w:left w:val="nil"/>
              <w:bottom w:val="nil"/>
              <w:right w:val="nil"/>
            </w:tcBorders>
          </w:tcPr>
          <w:p w14:paraId="303D9AA1" w14:textId="77777777" w:rsidR="00CB6EEF" w:rsidRPr="00332153" w:rsidRDefault="00CB6EEF" w:rsidP="004B3FD0">
            <w:pPr>
              <w:jc w:val="right"/>
              <w:rPr>
                <w:rFonts w:cstheme="minorHAnsi"/>
                <w:szCs w:val="24"/>
              </w:rPr>
            </w:pPr>
            <w:r w:rsidRPr="00332153">
              <w:rPr>
                <w:rFonts w:cstheme="minorHAnsi"/>
                <w:szCs w:val="24"/>
              </w:rPr>
              <w:t>Converged</w:t>
            </w:r>
          </w:p>
        </w:tc>
      </w:tr>
      <w:tr w:rsidR="00CB6EEF" w:rsidRPr="00F4265F" w14:paraId="6AF2B9FA" w14:textId="77777777" w:rsidTr="00332153">
        <w:trPr>
          <w:jc w:val="center"/>
        </w:trPr>
        <w:tc>
          <w:tcPr>
            <w:tcW w:w="5109" w:type="dxa"/>
            <w:tcBorders>
              <w:top w:val="nil"/>
              <w:left w:val="nil"/>
              <w:bottom w:val="nil"/>
              <w:right w:val="nil"/>
            </w:tcBorders>
          </w:tcPr>
          <w:p w14:paraId="32334C8A" w14:textId="77777777" w:rsidR="00CB6EEF" w:rsidRPr="00332153" w:rsidRDefault="00CB6EEF" w:rsidP="004B3FD0">
            <w:pPr>
              <w:rPr>
                <w:rFonts w:cstheme="minorHAnsi"/>
                <w:b/>
                <w:bCs/>
                <w:szCs w:val="24"/>
              </w:rPr>
            </w:pPr>
            <w:r w:rsidRPr="00332153">
              <w:rPr>
                <w:rFonts w:cstheme="minorHAnsi"/>
                <w:b/>
                <w:bCs/>
                <w:szCs w:val="24"/>
              </w:rPr>
              <w:t>Model fit: AIC; BIC</w:t>
            </w:r>
          </w:p>
        </w:tc>
        <w:tc>
          <w:tcPr>
            <w:tcW w:w="3487" w:type="dxa"/>
            <w:gridSpan w:val="4"/>
            <w:tcBorders>
              <w:top w:val="nil"/>
              <w:left w:val="nil"/>
              <w:bottom w:val="nil"/>
              <w:right w:val="nil"/>
            </w:tcBorders>
          </w:tcPr>
          <w:p w14:paraId="750C10F0" w14:textId="77777777" w:rsidR="00CB6EEF" w:rsidRPr="00332153" w:rsidRDefault="00CB6EEF" w:rsidP="004B3FD0">
            <w:pPr>
              <w:jc w:val="right"/>
              <w:rPr>
                <w:rFonts w:cstheme="minorHAnsi"/>
                <w:szCs w:val="24"/>
              </w:rPr>
            </w:pPr>
            <w:r w:rsidRPr="00332153">
              <w:rPr>
                <w:rFonts w:cstheme="minorHAnsi"/>
                <w:szCs w:val="24"/>
              </w:rPr>
              <w:t>2780.13; 2784.59</w:t>
            </w:r>
          </w:p>
        </w:tc>
      </w:tr>
      <w:tr w:rsidR="00CB6EEF" w:rsidRPr="00F4265F" w14:paraId="20E88CF0" w14:textId="77777777" w:rsidTr="00332153">
        <w:trPr>
          <w:jc w:val="center"/>
        </w:trPr>
        <w:tc>
          <w:tcPr>
            <w:tcW w:w="5109" w:type="dxa"/>
            <w:tcBorders>
              <w:top w:val="nil"/>
              <w:left w:val="nil"/>
              <w:bottom w:val="nil"/>
              <w:right w:val="nil"/>
            </w:tcBorders>
          </w:tcPr>
          <w:p w14:paraId="7CD59025" w14:textId="77777777" w:rsidR="00CB6EEF" w:rsidRPr="00332153" w:rsidRDefault="00CB6EEF" w:rsidP="004B3FD0">
            <w:pPr>
              <w:rPr>
                <w:rFonts w:cstheme="minorHAnsi"/>
                <w:b/>
                <w:bCs/>
                <w:szCs w:val="24"/>
              </w:rPr>
            </w:pPr>
            <w:r w:rsidRPr="00332153">
              <w:rPr>
                <w:rFonts w:cstheme="minorHAnsi"/>
                <w:b/>
                <w:bCs/>
                <w:szCs w:val="24"/>
              </w:rPr>
              <w:t>Effect</w:t>
            </w:r>
          </w:p>
        </w:tc>
        <w:tc>
          <w:tcPr>
            <w:tcW w:w="623" w:type="dxa"/>
            <w:tcBorders>
              <w:top w:val="nil"/>
              <w:left w:val="nil"/>
              <w:bottom w:val="nil"/>
              <w:right w:val="nil"/>
            </w:tcBorders>
          </w:tcPr>
          <w:p w14:paraId="2807E40A" w14:textId="77777777" w:rsidR="00CB6EEF" w:rsidRPr="00332153" w:rsidRDefault="00CB6EEF" w:rsidP="004B3FD0">
            <w:pPr>
              <w:jc w:val="right"/>
              <w:rPr>
                <w:rFonts w:cstheme="minorHAnsi"/>
                <w:szCs w:val="24"/>
              </w:rPr>
            </w:pPr>
            <w:r w:rsidRPr="00332153">
              <w:rPr>
                <w:rFonts w:cstheme="minorHAnsi"/>
                <w:b/>
                <w:bCs/>
                <w:szCs w:val="24"/>
              </w:rPr>
              <w:t>Num DF</w:t>
            </w:r>
          </w:p>
        </w:tc>
        <w:tc>
          <w:tcPr>
            <w:tcW w:w="777" w:type="dxa"/>
            <w:tcBorders>
              <w:top w:val="nil"/>
              <w:left w:val="nil"/>
              <w:bottom w:val="nil"/>
              <w:right w:val="nil"/>
            </w:tcBorders>
          </w:tcPr>
          <w:p w14:paraId="51C40C34" w14:textId="77777777" w:rsidR="00CB6EEF" w:rsidRPr="00332153" w:rsidRDefault="00CB6EEF" w:rsidP="004B3FD0">
            <w:pPr>
              <w:jc w:val="right"/>
              <w:rPr>
                <w:rFonts w:cstheme="minorHAnsi"/>
                <w:szCs w:val="24"/>
              </w:rPr>
            </w:pPr>
            <w:r w:rsidRPr="00332153">
              <w:rPr>
                <w:rFonts w:cstheme="minorHAnsi"/>
                <w:b/>
                <w:bCs/>
                <w:szCs w:val="24"/>
              </w:rPr>
              <w:t>Den DF</w:t>
            </w:r>
          </w:p>
        </w:tc>
        <w:tc>
          <w:tcPr>
            <w:tcW w:w="954" w:type="dxa"/>
            <w:tcBorders>
              <w:top w:val="nil"/>
              <w:left w:val="nil"/>
              <w:bottom w:val="nil"/>
              <w:right w:val="nil"/>
            </w:tcBorders>
          </w:tcPr>
          <w:p w14:paraId="6915060C" w14:textId="77777777" w:rsidR="00CB6EEF" w:rsidRPr="00332153" w:rsidRDefault="00CB6EEF" w:rsidP="004B3FD0">
            <w:pPr>
              <w:jc w:val="right"/>
              <w:rPr>
                <w:rFonts w:cstheme="minorHAnsi"/>
                <w:szCs w:val="24"/>
              </w:rPr>
            </w:pPr>
            <w:r w:rsidRPr="00332153">
              <w:rPr>
                <w:rFonts w:cstheme="minorHAnsi"/>
                <w:b/>
                <w:bCs/>
                <w:szCs w:val="24"/>
              </w:rPr>
              <w:t>F Value</w:t>
            </w:r>
          </w:p>
        </w:tc>
        <w:tc>
          <w:tcPr>
            <w:tcW w:w="1133" w:type="dxa"/>
            <w:tcBorders>
              <w:top w:val="nil"/>
              <w:left w:val="nil"/>
              <w:bottom w:val="nil"/>
              <w:right w:val="nil"/>
            </w:tcBorders>
          </w:tcPr>
          <w:p w14:paraId="6695EE6C" w14:textId="77777777" w:rsidR="00CB6EEF" w:rsidRPr="00332153" w:rsidRDefault="00CB6EEF" w:rsidP="004B3FD0">
            <w:pPr>
              <w:jc w:val="right"/>
              <w:rPr>
                <w:rFonts w:cstheme="minorHAnsi"/>
                <w:szCs w:val="24"/>
              </w:rPr>
            </w:pPr>
            <w:r w:rsidRPr="00332153">
              <w:rPr>
                <w:rFonts w:cstheme="minorHAnsi"/>
                <w:b/>
                <w:bCs/>
                <w:szCs w:val="24"/>
              </w:rPr>
              <w:t>Pr &gt; F</w:t>
            </w:r>
          </w:p>
        </w:tc>
      </w:tr>
      <w:tr w:rsidR="00CB6EEF" w:rsidRPr="00F4265F" w14:paraId="64A4BDAC" w14:textId="77777777" w:rsidTr="00332153">
        <w:trPr>
          <w:jc w:val="center"/>
        </w:trPr>
        <w:tc>
          <w:tcPr>
            <w:tcW w:w="5109" w:type="dxa"/>
            <w:tcBorders>
              <w:top w:val="nil"/>
              <w:left w:val="nil"/>
              <w:bottom w:val="nil"/>
              <w:right w:val="nil"/>
            </w:tcBorders>
          </w:tcPr>
          <w:p w14:paraId="147395A7" w14:textId="77777777" w:rsidR="00CB6EEF" w:rsidRPr="00332153" w:rsidRDefault="00CB6EEF" w:rsidP="004B3FD0">
            <w:pPr>
              <w:rPr>
                <w:rFonts w:cstheme="minorHAnsi"/>
                <w:b/>
                <w:bCs/>
                <w:szCs w:val="24"/>
              </w:rPr>
            </w:pPr>
            <w:r w:rsidRPr="00332153">
              <w:rPr>
                <w:rFonts w:cstheme="minorHAnsi"/>
                <w:b/>
                <w:bCs/>
                <w:szCs w:val="24"/>
              </w:rPr>
              <w:t>Visit Number</w:t>
            </w:r>
          </w:p>
        </w:tc>
        <w:tc>
          <w:tcPr>
            <w:tcW w:w="623" w:type="dxa"/>
            <w:tcBorders>
              <w:top w:val="nil"/>
              <w:left w:val="nil"/>
              <w:bottom w:val="nil"/>
              <w:right w:val="nil"/>
            </w:tcBorders>
          </w:tcPr>
          <w:p w14:paraId="3140DF91" w14:textId="77777777" w:rsidR="00CB6EEF" w:rsidRPr="00332153" w:rsidRDefault="00CB6EEF" w:rsidP="004B3FD0">
            <w:pPr>
              <w:jc w:val="right"/>
              <w:rPr>
                <w:rFonts w:cstheme="minorHAnsi"/>
                <w:b/>
                <w:bCs/>
                <w:szCs w:val="24"/>
              </w:rPr>
            </w:pPr>
            <w:r w:rsidRPr="00332153">
              <w:rPr>
                <w:rFonts w:cstheme="minorHAnsi"/>
                <w:szCs w:val="24"/>
              </w:rPr>
              <w:t>7</w:t>
            </w:r>
          </w:p>
        </w:tc>
        <w:tc>
          <w:tcPr>
            <w:tcW w:w="777" w:type="dxa"/>
            <w:tcBorders>
              <w:top w:val="nil"/>
              <w:left w:val="nil"/>
              <w:bottom w:val="nil"/>
              <w:right w:val="nil"/>
            </w:tcBorders>
          </w:tcPr>
          <w:p w14:paraId="20CD847C" w14:textId="77777777" w:rsidR="00CB6EEF" w:rsidRPr="00332153" w:rsidRDefault="00CB6EEF" w:rsidP="004B3FD0">
            <w:pPr>
              <w:jc w:val="right"/>
              <w:rPr>
                <w:rFonts w:cstheme="minorHAnsi"/>
                <w:b/>
                <w:bCs/>
                <w:szCs w:val="24"/>
              </w:rPr>
            </w:pPr>
            <w:r w:rsidRPr="00332153">
              <w:rPr>
                <w:rFonts w:cstheme="minorHAnsi"/>
                <w:szCs w:val="24"/>
              </w:rPr>
              <w:t>411</w:t>
            </w:r>
          </w:p>
        </w:tc>
        <w:tc>
          <w:tcPr>
            <w:tcW w:w="954" w:type="dxa"/>
            <w:tcBorders>
              <w:top w:val="nil"/>
              <w:left w:val="nil"/>
              <w:bottom w:val="nil"/>
              <w:right w:val="nil"/>
            </w:tcBorders>
          </w:tcPr>
          <w:p w14:paraId="0760557A" w14:textId="77777777" w:rsidR="00CB6EEF" w:rsidRPr="00332153" w:rsidRDefault="00CB6EEF" w:rsidP="004B3FD0">
            <w:pPr>
              <w:jc w:val="right"/>
              <w:rPr>
                <w:rFonts w:cstheme="minorHAnsi"/>
                <w:b/>
                <w:bCs/>
                <w:szCs w:val="24"/>
              </w:rPr>
            </w:pPr>
            <w:r w:rsidRPr="00332153">
              <w:rPr>
                <w:rFonts w:cstheme="minorHAnsi"/>
                <w:szCs w:val="24"/>
              </w:rPr>
              <w:t>39.74</w:t>
            </w:r>
          </w:p>
        </w:tc>
        <w:tc>
          <w:tcPr>
            <w:tcW w:w="1133" w:type="dxa"/>
            <w:tcBorders>
              <w:top w:val="nil"/>
              <w:left w:val="nil"/>
              <w:bottom w:val="nil"/>
              <w:right w:val="nil"/>
            </w:tcBorders>
          </w:tcPr>
          <w:p w14:paraId="15BBE74A" w14:textId="77777777" w:rsidR="00CB6EEF" w:rsidRPr="00332153" w:rsidRDefault="00CB6EEF" w:rsidP="004B3FD0">
            <w:pPr>
              <w:jc w:val="right"/>
              <w:rPr>
                <w:rFonts w:cstheme="minorHAnsi"/>
                <w:b/>
                <w:bCs/>
                <w:szCs w:val="24"/>
              </w:rPr>
            </w:pPr>
            <w:r w:rsidRPr="00332153">
              <w:rPr>
                <w:rFonts w:cstheme="minorHAnsi"/>
                <w:szCs w:val="24"/>
              </w:rPr>
              <w:t>&lt;.0001</w:t>
            </w:r>
          </w:p>
        </w:tc>
      </w:tr>
      <w:tr w:rsidR="00CB6EEF" w:rsidRPr="00F4265F" w14:paraId="3A0ECF60" w14:textId="77777777" w:rsidTr="00332153">
        <w:trPr>
          <w:jc w:val="center"/>
        </w:trPr>
        <w:tc>
          <w:tcPr>
            <w:tcW w:w="5109" w:type="dxa"/>
            <w:tcBorders>
              <w:top w:val="nil"/>
              <w:left w:val="nil"/>
              <w:bottom w:val="nil"/>
              <w:right w:val="nil"/>
            </w:tcBorders>
          </w:tcPr>
          <w:p w14:paraId="1F0D6DBE" w14:textId="77777777" w:rsidR="00CB6EEF" w:rsidRPr="00332153" w:rsidRDefault="00CB6EEF" w:rsidP="004B3FD0">
            <w:pPr>
              <w:rPr>
                <w:rFonts w:cstheme="minorHAnsi"/>
                <w:b/>
                <w:bCs/>
                <w:szCs w:val="24"/>
              </w:rPr>
            </w:pPr>
            <w:r w:rsidRPr="00332153">
              <w:rPr>
                <w:rFonts w:cstheme="minorHAnsi"/>
                <w:b/>
                <w:bCs/>
                <w:szCs w:val="24"/>
              </w:rPr>
              <w:t>Treatment Group</w:t>
            </w:r>
          </w:p>
        </w:tc>
        <w:tc>
          <w:tcPr>
            <w:tcW w:w="623" w:type="dxa"/>
            <w:tcBorders>
              <w:top w:val="nil"/>
              <w:left w:val="nil"/>
              <w:bottom w:val="nil"/>
              <w:right w:val="nil"/>
            </w:tcBorders>
          </w:tcPr>
          <w:p w14:paraId="6137C7F8" w14:textId="77777777" w:rsidR="00CB6EEF" w:rsidRPr="00332153" w:rsidRDefault="00CB6EEF" w:rsidP="004B3FD0">
            <w:pPr>
              <w:jc w:val="right"/>
              <w:rPr>
                <w:rFonts w:cstheme="minorHAnsi"/>
                <w:szCs w:val="24"/>
              </w:rPr>
            </w:pPr>
            <w:r w:rsidRPr="00332153">
              <w:rPr>
                <w:rFonts w:cstheme="minorHAnsi"/>
                <w:szCs w:val="24"/>
              </w:rPr>
              <w:t>1</w:t>
            </w:r>
          </w:p>
        </w:tc>
        <w:tc>
          <w:tcPr>
            <w:tcW w:w="777" w:type="dxa"/>
            <w:tcBorders>
              <w:top w:val="nil"/>
              <w:left w:val="nil"/>
              <w:bottom w:val="nil"/>
              <w:right w:val="nil"/>
            </w:tcBorders>
          </w:tcPr>
          <w:p w14:paraId="33FF6CE8" w14:textId="77777777" w:rsidR="00CB6EEF" w:rsidRPr="00332153" w:rsidRDefault="00CB6EEF" w:rsidP="004B3FD0">
            <w:pPr>
              <w:jc w:val="right"/>
              <w:rPr>
                <w:rFonts w:cstheme="minorHAnsi"/>
                <w:szCs w:val="24"/>
              </w:rPr>
            </w:pPr>
            <w:r w:rsidRPr="00332153">
              <w:rPr>
                <w:rFonts w:cstheme="minorHAnsi"/>
                <w:szCs w:val="24"/>
              </w:rPr>
              <w:t>67</w:t>
            </w:r>
          </w:p>
        </w:tc>
        <w:tc>
          <w:tcPr>
            <w:tcW w:w="954" w:type="dxa"/>
            <w:tcBorders>
              <w:top w:val="nil"/>
              <w:left w:val="nil"/>
              <w:bottom w:val="nil"/>
              <w:right w:val="nil"/>
            </w:tcBorders>
          </w:tcPr>
          <w:p w14:paraId="6901C4C3" w14:textId="77777777" w:rsidR="00CB6EEF" w:rsidRPr="00332153" w:rsidRDefault="00CB6EEF" w:rsidP="004B3FD0">
            <w:pPr>
              <w:jc w:val="right"/>
              <w:rPr>
                <w:rFonts w:cstheme="minorHAnsi"/>
                <w:szCs w:val="24"/>
              </w:rPr>
            </w:pPr>
            <w:r w:rsidRPr="00332153">
              <w:rPr>
                <w:rFonts w:cstheme="minorHAnsi"/>
                <w:szCs w:val="24"/>
              </w:rPr>
              <w:t>4.00</w:t>
            </w:r>
          </w:p>
        </w:tc>
        <w:tc>
          <w:tcPr>
            <w:tcW w:w="1133" w:type="dxa"/>
            <w:tcBorders>
              <w:top w:val="nil"/>
              <w:left w:val="nil"/>
              <w:bottom w:val="nil"/>
              <w:right w:val="nil"/>
            </w:tcBorders>
          </w:tcPr>
          <w:p w14:paraId="03E66DCC" w14:textId="77777777" w:rsidR="00CB6EEF" w:rsidRPr="00332153" w:rsidRDefault="00CB6EEF" w:rsidP="004B3FD0">
            <w:pPr>
              <w:jc w:val="right"/>
              <w:rPr>
                <w:rFonts w:cstheme="minorHAnsi"/>
                <w:szCs w:val="24"/>
              </w:rPr>
            </w:pPr>
            <w:r w:rsidRPr="00332153">
              <w:rPr>
                <w:rFonts w:cstheme="minorHAnsi"/>
                <w:szCs w:val="24"/>
              </w:rPr>
              <w:t>0.0497</w:t>
            </w:r>
          </w:p>
        </w:tc>
      </w:tr>
      <w:tr w:rsidR="00CB6EEF" w:rsidRPr="00F4265F" w14:paraId="6CE38F60" w14:textId="77777777" w:rsidTr="00332153">
        <w:trPr>
          <w:jc w:val="center"/>
        </w:trPr>
        <w:tc>
          <w:tcPr>
            <w:tcW w:w="5109" w:type="dxa"/>
            <w:tcBorders>
              <w:top w:val="nil"/>
              <w:left w:val="nil"/>
              <w:bottom w:val="nil"/>
              <w:right w:val="nil"/>
            </w:tcBorders>
          </w:tcPr>
          <w:p w14:paraId="65366C6A" w14:textId="77777777" w:rsidR="00CB6EEF" w:rsidRPr="00332153" w:rsidRDefault="00CB6EEF" w:rsidP="004B3FD0">
            <w:pPr>
              <w:rPr>
                <w:rFonts w:cstheme="minorHAnsi"/>
                <w:b/>
                <w:bCs/>
                <w:szCs w:val="24"/>
              </w:rPr>
            </w:pPr>
            <w:r w:rsidRPr="00332153">
              <w:rPr>
                <w:rFonts w:cstheme="minorHAnsi"/>
                <w:b/>
                <w:bCs/>
                <w:szCs w:val="24"/>
              </w:rPr>
              <w:t>Visit Number* Treatment Group Interaction</w:t>
            </w:r>
          </w:p>
        </w:tc>
        <w:tc>
          <w:tcPr>
            <w:tcW w:w="623" w:type="dxa"/>
            <w:tcBorders>
              <w:top w:val="nil"/>
              <w:left w:val="nil"/>
              <w:bottom w:val="nil"/>
              <w:right w:val="nil"/>
            </w:tcBorders>
          </w:tcPr>
          <w:p w14:paraId="73EA16D7" w14:textId="77777777" w:rsidR="00CB6EEF" w:rsidRPr="00332153" w:rsidRDefault="00CB6EEF" w:rsidP="004B3FD0">
            <w:pPr>
              <w:jc w:val="right"/>
              <w:rPr>
                <w:rFonts w:cstheme="minorHAnsi"/>
                <w:szCs w:val="24"/>
              </w:rPr>
            </w:pPr>
            <w:r w:rsidRPr="00332153">
              <w:rPr>
                <w:rFonts w:cstheme="minorHAnsi"/>
                <w:szCs w:val="24"/>
              </w:rPr>
              <w:t>7</w:t>
            </w:r>
          </w:p>
        </w:tc>
        <w:tc>
          <w:tcPr>
            <w:tcW w:w="777" w:type="dxa"/>
            <w:tcBorders>
              <w:top w:val="nil"/>
              <w:left w:val="nil"/>
              <w:bottom w:val="nil"/>
              <w:right w:val="nil"/>
            </w:tcBorders>
          </w:tcPr>
          <w:p w14:paraId="767B2B5E" w14:textId="77777777" w:rsidR="00CB6EEF" w:rsidRPr="00332153" w:rsidRDefault="00CB6EEF" w:rsidP="004B3FD0">
            <w:pPr>
              <w:jc w:val="right"/>
              <w:rPr>
                <w:rFonts w:cstheme="minorHAnsi"/>
                <w:szCs w:val="24"/>
              </w:rPr>
            </w:pPr>
            <w:r w:rsidRPr="00332153">
              <w:rPr>
                <w:rFonts w:cstheme="minorHAnsi"/>
                <w:szCs w:val="24"/>
              </w:rPr>
              <w:t>411</w:t>
            </w:r>
          </w:p>
        </w:tc>
        <w:tc>
          <w:tcPr>
            <w:tcW w:w="954" w:type="dxa"/>
            <w:tcBorders>
              <w:top w:val="nil"/>
              <w:left w:val="nil"/>
              <w:bottom w:val="nil"/>
              <w:right w:val="nil"/>
            </w:tcBorders>
          </w:tcPr>
          <w:p w14:paraId="6E3B9953" w14:textId="77777777" w:rsidR="00CB6EEF" w:rsidRPr="00332153" w:rsidRDefault="00CB6EEF" w:rsidP="004B3FD0">
            <w:pPr>
              <w:jc w:val="right"/>
              <w:rPr>
                <w:rFonts w:cstheme="minorHAnsi"/>
                <w:szCs w:val="24"/>
              </w:rPr>
            </w:pPr>
            <w:r w:rsidRPr="00332153">
              <w:rPr>
                <w:rFonts w:cstheme="minorHAnsi"/>
                <w:szCs w:val="24"/>
              </w:rPr>
              <w:t>3.13</w:t>
            </w:r>
          </w:p>
        </w:tc>
        <w:tc>
          <w:tcPr>
            <w:tcW w:w="1133" w:type="dxa"/>
            <w:tcBorders>
              <w:top w:val="nil"/>
              <w:left w:val="nil"/>
              <w:bottom w:val="nil"/>
              <w:right w:val="nil"/>
            </w:tcBorders>
          </w:tcPr>
          <w:p w14:paraId="7F75FFCE" w14:textId="77777777" w:rsidR="00CB6EEF" w:rsidRPr="00332153" w:rsidRDefault="00CB6EEF" w:rsidP="004B3FD0">
            <w:pPr>
              <w:jc w:val="right"/>
              <w:rPr>
                <w:rFonts w:cstheme="minorHAnsi"/>
                <w:szCs w:val="24"/>
              </w:rPr>
            </w:pPr>
            <w:r w:rsidRPr="00332153">
              <w:rPr>
                <w:rFonts w:cstheme="minorHAnsi"/>
                <w:szCs w:val="24"/>
              </w:rPr>
              <w:t>0.0031</w:t>
            </w:r>
          </w:p>
        </w:tc>
      </w:tr>
    </w:tbl>
    <w:p w14:paraId="7100345B" w14:textId="77777777" w:rsidR="00E34058" w:rsidRDefault="00E34058" w:rsidP="00C9528C">
      <w:pPr>
        <w:spacing w:after="160" w:line="259" w:lineRule="auto"/>
        <w:rPr>
          <w:rStyle w:val="IntenseEmphasis"/>
        </w:rPr>
      </w:pPr>
    </w:p>
    <w:p w14:paraId="0B3AB505" w14:textId="45B900FC" w:rsidR="009334BC" w:rsidRDefault="009334BC" w:rsidP="00F344CA">
      <w:pPr>
        <w:spacing w:line="480" w:lineRule="auto"/>
        <w:ind w:firstLine="720"/>
        <w:rPr>
          <w:rStyle w:val="IntenseEmphasis"/>
          <w:i w:val="0"/>
          <w:color w:val="auto"/>
        </w:rPr>
      </w:pPr>
      <w:r>
        <w:t xml:space="preserve">In the model, the treatment group by time interaction term is statistically significant and is driven by the jump in scores at visit </w:t>
      </w:r>
      <w:r w:rsidR="00332153">
        <w:t>8 in the placebo group. Figure 3</w:t>
      </w:r>
      <w:r>
        <w:t xml:space="preserve"> shows that at the various visits, the treatment group and placebo group have similar scores with similar 95% confidence intervals, except for visit 8 in the placebo group. This non-overlapping confidence interval with the visit 8 treatment group CI is driving the significance of this term in the model.</w:t>
      </w:r>
    </w:p>
    <w:p w14:paraId="7AF047B4" w14:textId="77777777" w:rsidR="009334BC" w:rsidRDefault="009334BC" w:rsidP="00332153">
      <w:pPr>
        <w:spacing w:line="480" w:lineRule="auto"/>
        <w:rPr>
          <w:rStyle w:val="IntenseEmphasis"/>
          <w:i w:val="0"/>
          <w:color w:val="auto"/>
        </w:rPr>
      </w:pPr>
    </w:p>
    <w:p w14:paraId="65679511" w14:textId="6A2EFA5E" w:rsidR="00332153" w:rsidRPr="00425E3D" w:rsidRDefault="00332153" w:rsidP="00332153">
      <w:pPr>
        <w:spacing w:line="480" w:lineRule="auto"/>
        <w:rPr>
          <w:rStyle w:val="IntenseEmphasis"/>
          <w:i w:val="0"/>
          <w:color w:val="auto"/>
        </w:rPr>
      </w:pPr>
      <w:r w:rsidRPr="00332153">
        <w:rPr>
          <w:rStyle w:val="IntenseEmphasis"/>
          <w:b/>
          <w:i w:val="0"/>
          <w:color w:val="auto"/>
        </w:rPr>
        <w:t>Figure 3. LS-Means for Visit by treatment group</w:t>
      </w:r>
      <w:r w:rsidR="005478A9">
        <w:rPr>
          <w:rStyle w:val="IntenseEmphasis"/>
          <w:i w:val="0"/>
          <w:color w:val="auto"/>
        </w:rPr>
        <w:t>. Graph shows, for each time point, LS-Means for the primary outcome measure in the brexpiprazole group (“1”) and placebo group (“0”) respectively. It can be seen that the 95% confidence intervals overlapped at each time point for the groups, except for the final treatment visit (V8) where it can be seen that the placebo-treated subjects had higher Zanari total scores than the actively treated group.</w:t>
      </w:r>
    </w:p>
    <w:p w14:paraId="663F43CD" w14:textId="12197D83" w:rsidR="009334BC" w:rsidRDefault="0098643E" w:rsidP="00F344CA">
      <w:pPr>
        <w:spacing w:line="480" w:lineRule="auto"/>
        <w:ind w:firstLine="720"/>
        <w:rPr>
          <w:rStyle w:val="IntenseEmphasis"/>
          <w:i w:val="0"/>
          <w:color w:val="auto"/>
        </w:rPr>
      </w:pPr>
      <w:r>
        <w:rPr>
          <w:noProof/>
          <w:lang w:val="en-GB" w:eastAsia="en-GB"/>
        </w:rPr>
        <w:drawing>
          <wp:inline distT="0" distB="0" distL="0" distR="0" wp14:anchorId="2896EEC3" wp14:editId="23DD1A98">
            <wp:extent cx="5276850" cy="198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2494" cy="1983319"/>
                    </a:xfrm>
                    <a:prstGeom prst="rect">
                      <a:avLst/>
                    </a:prstGeom>
                    <a:noFill/>
                  </pic:spPr>
                </pic:pic>
              </a:graphicData>
            </a:graphic>
          </wp:inline>
        </w:drawing>
      </w:r>
    </w:p>
    <w:p w14:paraId="7EC9B309" w14:textId="77777777" w:rsidR="009334BC" w:rsidRDefault="009334BC" w:rsidP="00F344CA">
      <w:pPr>
        <w:spacing w:line="480" w:lineRule="auto"/>
        <w:ind w:firstLine="720"/>
        <w:rPr>
          <w:rStyle w:val="IntenseEmphasis"/>
          <w:i w:val="0"/>
          <w:color w:val="auto"/>
        </w:rPr>
      </w:pPr>
    </w:p>
    <w:p w14:paraId="7B94C711" w14:textId="685BE6F5" w:rsidR="0023771D" w:rsidRDefault="00E34058" w:rsidP="007C3393">
      <w:pPr>
        <w:spacing w:line="480" w:lineRule="auto"/>
        <w:ind w:firstLine="720"/>
        <w:rPr>
          <w:rStyle w:val="IntenseEmphasis"/>
        </w:rPr>
      </w:pPr>
      <w:r w:rsidRPr="00E34058">
        <w:rPr>
          <w:rStyle w:val="IntenseEmphasis"/>
          <w:i w:val="0"/>
          <w:color w:val="auto"/>
        </w:rPr>
        <w:t>In terms of the second</w:t>
      </w:r>
      <w:r w:rsidR="00B01583">
        <w:rPr>
          <w:rStyle w:val="IntenseEmphasis"/>
          <w:i w:val="0"/>
          <w:color w:val="auto"/>
        </w:rPr>
        <w:t>ary</w:t>
      </w:r>
      <w:r w:rsidRPr="00E34058">
        <w:rPr>
          <w:rStyle w:val="IntenseEmphasis"/>
          <w:i w:val="0"/>
          <w:color w:val="auto"/>
        </w:rPr>
        <w:t xml:space="preserve"> measures, there were no significant differences during treatment</w:t>
      </w:r>
      <w:r w:rsidR="00F344CA">
        <w:rPr>
          <w:rStyle w:val="IntenseEmphasis"/>
          <w:i w:val="0"/>
          <w:color w:val="auto"/>
        </w:rPr>
        <w:t xml:space="preserve"> i</w:t>
      </w:r>
      <w:r>
        <w:rPr>
          <w:rStyle w:val="IntenseEmphasis"/>
          <w:i w:val="0"/>
          <w:color w:val="auto"/>
        </w:rPr>
        <w:t>n terms of anxiety</w:t>
      </w:r>
      <w:r w:rsidR="00A44CB0">
        <w:rPr>
          <w:rStyle w:val="IntenseEmphasis"/>
          <w:i w:val="0"/>
          <w:color w:val="auto"/>
        </w:rPr>
        <w:t xml:space="preserve"> or</w:t>
      </w:r>
      <w:r>
        <w:rPr>
          <w:rStyle w:val="IntenseEmphasis"/>
          <w:i w:val="0"/>
          <w:color w:val="auto"/>
        </w:rPr>
        <w:t xml:space="preserve"> depression scores.</w:t>
      </w:r>
      <w:r w:rsidR="00A44CB0">
        <w:rPr>
          <w:rStyle w:val="IntenseEmphasis"/>
          <w:i w:val="0"/>
          <w:color w:val="auto"/>
        </w:rPr>
        <w:t xml:space="preserve">  </w:t>
      </w:r>
    </w:p>
    <w:p w14:paraId="15A5E132" w14:textId="2D912E16" w:rsidR="0023771D" w:rsidRDefault="00E45073" w:rsidP="00E45073">
      <w:pPr>
        <w:spacing w:line="480" w:lineRule="auto"/>
        <w:ind w:firstLine="720"/>
        <w:rPr>
          <w:rStyle w:val="IntenseEmphasis"/>
          <w:i w:val="0"/>
          <w:color w:val="auto"/>
        </w:rPr>
      </w:pPr>
      <w:r>
        <w:rPr>
          <w:rStyle w:val="IntenseEmphasis"/>
          <w:i w:val="0"/>
          <w:color w:val="auto"/>
        </w:rPr>
        <w:t>Adverse event</w:t>
      </w:r>
      <w:r w:rsidR="0023771D">
        <w:rPr>
          <w:rStyle w:val="IntenseEmphasis"/>
          <w:i w:val="0"/>
          <w:color w:val="auto"/>
        </w:rPr>
        <w:t xml:space="preserve"> data from the trial showed that brexpiprazole was generally well tolerated with minimal side effects that were of mild intensity.</w:t>
      </w:r>
      <w:r w:rsidR="002C0249">
        <w:rPr>
          <w:rStyle w:val="IntenseEmphasis"/>
          <w:i w:val="0"/>
          <w:color w:val="auto"/>
        </w:rPr>
        <w:t xml:space="preserve"> Of the 37 participants assigned to placebo, 19 (51.4%) reported at least one side effect with the most common being nausea (6</w:t>
      </w:r>
      <w:r>
        <w:rPr>
          <w:rStyle w:val="IntenseEmphasis"/>
          <w:i w:val="0"/>
          <w:color w:val="auto"/>
        </w:rPr>
        <w:t xml:space="preserve"> participants</w:t>
      </w:r>
      <w:r w:rsidR="002C0249">
        <w:rPr>
          <w:rStyle w:val="IntenseEmphasis"/>
          <w:i w:val="0"/>
          <w:color w:val="auto"/>
        </w:rPr>
        <w:t xml:space="preserve">), fatigue </w:t>
      </w:r>
      <w:r>
        <w:rPr>
          <w:rStyle w:val="IntenseEmphasis"/>
          <w:i w:val="0"/>
          <w:color w:val="auto"/>
        </w:rPr>
        <w:t>(</w:t>
      </w:r>
      <w:r w:rsidR="002C0249">
        <w:rPr>
          <w:rStyle w:val="IntenseEmphasis"/>
          <w:i w:val="0"/>
          <w:color w:val="auto"/>
        </w:rPr>
        <w:t>4</w:t>
      </w:r>
      <w:r>
        <w:rPr>
          <w:rStyle w:val="IntenseEmphasis"/>
          <w:i w:val="0"/>
          <w:color w:val="auto"/>
        </w:rPr>
        <w:t xml:space="preserve"> participants)</w:t>
      </w:r>
      <w:r w:rsidR="002C0249">
        <w:rPr>
          <w:rStyle w:val="IntenseEmphasis"/>
          <w:i w:val="0"/>
          <w:color w:val="auto"/>
        </w:rPr>
        <w:t xml:space="preserve">, restlessness </w:t>
      </w:r>
      <w:r>
        <w:rPr>
          <w:rStyle w:val="IntenseEmphasis"/>
          <w:i w:val="0"/>
          <w:color w:val="auto"/>
        </w:rPr>
        <w:t>(</w:t>
      </w:r>
      <w:r w:rsidR="002C0249">
        <w:rPr>
          <w:rStyle w:val="IntenseEmphasis"/>
          <w:i w:val="0"/>
          <w:color w:val="auto"/>
        </w:rPr>
        <w:t>3</w:t>
      </w:r>
      <w:r>
        <w:rPr>
          <w:rStyle w:val="IntenseEmphasis"/>
          <w:i w:val="0"/>
          <w:color w:val="auto"/>
        </w:rPr>
        <w:t xml:space="preserve"> participants)</w:t>
      </w:r>
      <w:r w:rsidR="002C0249">
        <w:rPr>
          <w:rStyle w:val="IntenseEmphasis"/>
          <w:i w:val="0"/>
          <w:color w:val="auto"/>
        </w:rPr>
        <w:t>, headaches, hallucinations</w:t>
      </w:r>
      <w:r>
        <w:rPr>
          <w:rStyle w:val="IntenseEmphasis"/>
          <w:i w:val="0"/>
          <w:color w:val="auto"/>
        </w:rPr>
        <w:t>, and</w:t>
      </w:r>
      <w:r w:rsidR="002C0249">
        <w:rPr>
          <w:rStyle w:val="IntenseEmphasis"/>
          <w:i w:val="0"/>
          <w:color w:val="auto"/>
        </w:rPr>
        <w:t xml:space="preserve"> sleep problems </w:t>
      </w:r>
      <w:r>
        <w:rPr>
          <w:rStyle w:val="IntenseEmphasis"/>
          <w:i w:val="0"/>
          <w:color w:val="auto"/>
        </w:rPr>
        <w:t>(</w:t>
      </w:r>
      <w:r w:rsidR="002C0249">
        <w:rPr>
          <w:rStyle w:val="IntenseEmphasis"/>
          <w:i w:val="0"/>
          <w:color w:val="auto"/>
        </w:rPr>
        <w:t>2</w:t>
      </w:r>
      <w:r>
        <w:rPr>
          <w:rStyle w:val="IntenseEmphasis"/>
          <w:i w:val="0"/>
          <w:color w:val="auto"/>
        </w:rPr>
        <w:t xml:space="preserve"> participants each)</w:t>
      </w:r>
      <w:r w:rsidR="002C0249">
        <w:rPr>
          <w:rStyle w:val="IntenseEmphasis"/>
          <w:i w:val="0"/>
          <w:color w:val="auto"/>
        </w:rPr>
        <w:t>,</w:t>
      </w:r>
      <w:r>
        <w:rPr>
          <w:rStyle w:val="IntenseEmphasis"/>
          <w:i w:val="0"/>
          <w:color w:val="auto"/>
        </w:rPr>
        <w:t xml:space="preserve"> and tremor, sweating</w:t>
      </w:r>
      <w:r w:rsidR="002C0249">
        <w:rPr>
          <w:rStyle w:val="IntenseEmphasis"/>
          <w:i w:val="0"/>
          <w:color w:val="auto"/>
        </w:rPr>
        <w:t xml:space="preserve"> and increased appetite </w:t>
      </w:r>
      <w:r>
        <w:rPr>
          <w:rStyle w:val="IntenseEmphasis"/>
          <w:i w:val="0"/>
          <w:color w:val="auto"/>
        </w:rPr>
        <w:t>(</w:t>
      </w:r>
      <w:r w:rsidR="002C0249">
        <w:rPr>
          <w:rStyle w:val="IntenseEmphasis"/>
          <w:i w:val="0"/>
          <w:color w:val="auto"/>
        </w:rPr>
        <w:t>1</w:t>
      </w:r>
      <w:r>
        <w:rPr>
          <w:rStyle w:val="IntenseEmphasis"/>
          <w:i w:val="0"/>
          <w:color w:val="auto"/>
        </w:rPr>
        <w:t xml:space="preserve"> participant each)</w:t>
      </w:r>
      <w:r w:rsidR="002C0249">
        <w:rPr>
          <w:rStyle w:val="IntenseEmphasis"/>
          <w:i w:val="0"/>
          <w:color w:val="auto"/>
        </w:rPr>
        <w:t xml:space="preserve">.  Of those </w:t>
      </w:r>
      <w:r>
        <w:rPr>
          <w:rStyle w:val="IntenseEmphasis"/>
          <w:i w:val="0"/>
          <w:color w:val="auto"/>
        </w:rPr>
        <w:t>assigned to</w:t>
      </w:r>
      <w:r w:rsidR="002C0249">
        <w:rPr>
          <w:rStyle w:val="IntenseEmphasis"/>
          <w:i w:val="0"/>
          <w:color w:val="auto"/>
        </w:rPr>
        <w:t xml:space="preserve"> brexpiprazole, 11 of the 40 (27.5%) reported at least one side effect with the most common being restlessness </w:t>
      </w:r>
      <w:r>
        <w:rPr>
          <w:rStyle w:val="IntenseEmphasis"/>
          <w:i w:val="0"/>
          <w:color w:val="auto"/>
        </w:rPr>
        <w:t>and</w:t>
      </w:r>
      <w:r w:rsidR="002C0249">
        <w:rPr>
          <w:rStyle w:val="IntenseEmphasis"/>
          <w:i w:val="0"/>
          <w:color w:val="auto"/>
        </w:rPr>
        <w:t xml:space="preserve"> dry mouth </w:t>
      </w:r>
      <w:r>
        <w:rPr>
          <w:rStyle w:val="IntenseEmphasis"/>
          <w:i w:val="0"/>
          <w:color w:val="auto"/>
        </w:rPr>
        <w:t>(</w:t>
      </w:r>
      <w:r w:rsidR="002C0249">
        <w:rPr>
          <w:rStyle w:val="IntenseEmphasis"/>
          <w:i w:val="0"/>
          <w:color w:val="auto"/>
        </w:rPr>
        <w:t>3</w:t>
      </w:r>
      <w:r>
        <w:rPr>
          <w:rStyle w:val="IntenseEmphasis"/>
          <w:i w:val="0"/>
          <w:color w:val="auto"/>
        </w:rPr>
        <w:t xml:space="preserve"> participants each)</w:t>
      </w:r>
      <w:r w:rsidR="002C0249">
        <w:rPr>
          <w:rStyle w:val="IntenseEmphasis"/>
          <w:i w:val="0"/>
          <w:color w:val="auto"/>
        </w:rPr>
        <w:t xml:space="preserve">, nausea </w:t>
      </w:r>
      <w:r>
        <w:rPr>
          <w:rStyle w:val="IntenseEmphasis"/>
          <w:i w:val="0"/>
          <w:color w:val="auto"/>
        </w:rPr>
        <w:t>and</w:t>
      </w:r>
      <w:r w:rsidR="002C0249">
        <w:rPr>
          <w:rStyle w:val="IntenseEmphasis"/>
          <w:i w:val="0"/>
          <w:color w:val="auto"/>
        </w:rPr>
        <w:t xml:space="preserve"> fatigue </w:t>
      </w:r>
      <w:r>
        <w:rPr>
          <w:rStyle w:val="IntenseEmphasis"/>
          <w:i w:val="0"/>
          <w:color w:val="auto"/>
        </w:rPr>
        <w:t>(</w:t>
      </w:r>
      <w:r w:rsidR="002C0249">
        <w:rPr>
          <w:rStyle w:val="IntenseEmphasis"/>
          <w:i w:val="0"/>
          <w:color w:val="auto"/>
        </w:rPr>
        <w:t>2</w:t>
      </w:r>
      <w:r>
        <w:rPr>
          <w:rStyle w:val="IntenseEmphasis"/>
          <w:i w:val="0"/>
          <w:color w:val="auto"/>
        </w:rPr>
        <w:t xml:space="preserve"> participants each)</w:t>
      </w:r>
      <w:r w:rsidR="002C0249">
        <w:rPr>
          <w:rStyle w:val="IntenseEmphasis"/>
          <w:i w:val="0"/>
          <w:color w:val="auto"/>
        </w:rPr>
        <w:t xml:space="preserve">, </w:t>
      </w:r>
      <w:r>
        <w:rPr>
          <w:rStyle w:val="IntenseEmphasis"/>
          <w:i w:val="0"/>
          <w:color w:val="auto"/>
        </w:rPr>
        <w:t xml:space="preserve">and </w:t>
      </w:r>
      <w:r w:rsidR="002C0249">
        <w:rPr>
          <w:rStyle w:val="IntenseEmphasis"/>
          <w:i w:val="0"/>
          <w:color w:val="auto"/>
        </w:rPr>
        <w:t xml:space="preserve">head ache and increased appetite </w:t>
      </w:r>
      <w:r>
        <w:rPr>
          <w:rStyle w:val="IntenseEmphasis"/>
          <w:i w:val="0"/>
          <w:color w:val="auto"/>
        </w:rPr>
        <w:t>(</w:t>
      </w:r>
      <w:r w:rsidR="002C0249">
        <w:rPr>
          <w:rStyle w:val="IntenseEmphasis"/>
          <w:i w:val="0"/>
          <w:color w:val="auto"/>
        </w:rPr>
        <w:t>1</w:t>
      </w:r>
      <w:r>
        <w:rPr>
          <w:rStyle w:val="IntenseEmphasis"/>
          <w:i w:val="0"/>
          <w:color w:val="auto"/>
        </w:rPr>
        <w:t xml:space="preserve"> participant each)</w:t>
      </w:r>
      <w:r w:rsidR="002C0249">
        <w:rPr>
          <w:rStyle w:val="IntenseEmphasis"/>
          <w:i w:val="0"/>
          <w:color w:val="auto"/>
        </w:rPr>
        <w:t>.</w:t>
      </w:r>
      <w:r w:rsidR="00E954A0">
        <w:rPr>
          <w:rStyle w:val="IntenseEmphasis"/>
          <w:i w:val="0"/>
          <w:color w:val="auto"/>
        </w:rPr>
        <w:t xml:space="preserve"> The groups differed in the number of people experiencing adverse events, due to significantly lower likelihood of adverse events </w:t>
      </w:r>
      <w:r w:rsidR="00DB4DA5">
        <w:rPr>
          <w:rStyle w:val="IntenseEmphasis"/>
          <w:i w:val="0"/>
          <w:color w:val="auto"/>
        </w:rPr>
        <w:t xml:space="preserve">occurring </w:t>
      </w:r>
      <w:r w:rsidR="00E954A0">
        <w:rPr>
          <w:rStyle w:val="IntenseEmphasis"/>
          <w:i w:val="0"/>
          <w:color w:val="auto"/>
        </w:rPr>
        <w:t xml:space="preserve">with active treatment compared to placebo (chi-square 4.5979, p=0.0320). </w:t>
      </w:r>
    </w:p>
    <w:p w14:paraId="17BD051F" w14:textId="77777777" w:rsidR="0023771D" w:rsidRPr="0023771D" w:rsidRDefault="0023771D" w:rsidP="00A44CB0">
      <w:pPr>
        <w:spacing w:line="480" w:lineRule="auto"/>
        <w:rPr>
          <w:rStyle w:val="IntenseEmphasis"/>
          <w:i w:val="0"/>
          <w:color w:val="auto"/>
        </w:rPr>
      </w:pPr>
    </w:p>
    <w:p w14:paraId="497A3474" w14:textId="77777777" w:rsidR="00C9528C" w:rsidRDefault="00C90082" w:rsidP="00A44CB0">
      <w:pPr>
        <w:spacing w:line="480" w:lineRule="auto"/>
        <w:rPr>
          <w:rStyle w:val="IntenseEmphasis"/>
          <w:i w:val="0"/>
          <w:color w:val="auto"/>
        </w:rPr>
      </w:pPr>
      <w:r w:rsidRPr="00A44CB0">
        <w:rPr>
          <w:rStyle w:val="IntenseEmphasis"/>
          <w:b/>
          <w:i w:val="0"/>
          <w:color w:val="auto"/>
        </w:rPr>
        <w:t>Discussion</w:t>
      </w:r>
    </w:p>
    <w:p w14:paraId="25E801A3" w14:textId="692163E6" w:rsidR="00FE209F" w:rsidRDefault="00A44CB0" w:rsidP="003E16D2">
      <w:pPr>
        <w:pStyle w:val="PlainText"/>
        <w:spacing w:line="480" w:lineRule="auto"/>
        <w:rPr>
          <w:rStyle w:val="IntenseEmphasis"/>
          <w:i w:val="0"/>
          <w:color w:val="auto"/>
        </w:rPr>
      </w:pPr>
      <w:r w:rsidRPr="003E16D2">
        <w:rPr>
          <w:rStyle w:val="IntenseEmphasis"/>
          <w:rFonts w:ascii="Times New Roman" w:hAnsi="Times New Roman" w:cs="Times New Roman"/>
          <w:i w:val="0"/>
          <w:color w:val="auto"/>
          <w:sz w:val="24"/>
          <w:szCs w:val="24"/>
        </w:rPr>
        <w:tab/>
        <w:t xml:space="preserve">This study showed that brexpiprazole </w:t>
      </w:r>
      <w:r w:rsidR="003E16D2">
        <w:rPr>
          <w:rStyle w:val="IntenseEmphasis"/>
          <w:rFonts w:ascii="Times New Roman" w:hAnsi="Times New Roman" w:cs="Times New Roman"/>
          <w:i w:val="0"/>
          <w:color w:val="auto"/>
          <w:sz w:val="24"/>
          <w:szCs w:val="24"/>
        </w:rPr>
        <w:t xml:space="preserve">may </w:t>
      </w:r>
      <w:r w:rsidR="00777A66" w:rsidRPr="003E16D2">
        <w:rPr>
          <w:rStyle w:val="IntenseEmphasis"/>
          <w:rFonts w:ascii="Times New Roman" w:hAnsi="Times New Roman" w:cs="Times New Roman"/>
          <w:i w:val="0"/>
          <w:color w:val="auto"/>
          <w:sz w:val="24"/>
          <w:szCs w:val="24"/>
        </w:rPr>
        <w:t xml:space="preserve">have </w:t>
      </w:r>
      <w:r w:rsidR="003E16D2">
        <w:rPr>
          <w:rStyle w:val="IntenseEmphasis"/>
          <w:rFonts w:ascii="Times New Roman" w:hAnsi="Times New Roman" w:cs="Times New Roman"/>
          <w:i w:val="0"/>
          <w:color w:val="auto"/>
          <w:sz w:val="24"/>
          <w:szCs w:val="24"/>
        </w:rPr>
        <w:t>had some</w:t>
      </w:r>
      <w:r w:rsidR="00777A66" w:rsidRPr="003E16D2">
        <w:rPr>
          <w:rStyle w:val="IntenseEmphasis"/>
          <w:rFonts w:ascii="Times New Roman" w:hAnsi="Times New Roman" w:cs="Times New Roman"/>
          <w:i w:val="0"/>
          <w:color w:val="auto"/>
          <w:sz w:val="24"/>
          <w:szCs w:val="24"/>
        </w:rPr>
        <w:t xml:space="preserve"> effect on BPD symptoms but </w:t>
      </w:r>
      <w:r w:rsidR="0042292D" w:rsidRPr="003E16D2">
        <w:rPr>
          <w:rStyle w:val="IntenseEmphasis"/>
          <w:rFonts w:ascii="Times New Roman" w:hAnsi="Times New Roman" w:cs="Times New Roman"/>
          <w:i w:val="0"/>
          <w:color w:val="auto"/>
          <w:sz w:val="24"/>
          <w:szCs w:val="24"/>
        </w:rPr>
        <w:t xml:space="preserve">this was primarily due to differentiation from placebo specifically at </w:t>
      </w:r>
      <w:r w:rsidR="00777A66" w:rsidRPr="003E16D2">
        <w:rPr>
          <w:rStyle w:val="IntenseEmphasis"/>
          <w:rFonts w:ascii="Times New Roman" w:hAnsi="Times New Roman" w:cs="Times New Roman"/>
          <w:i w:val="0"/>
          <w:color w:val="auto"/>
          <w:sz w:val="24"/>
          <w:szCs w:val="24"/>
        </w:rPr>
        <w:t xml:space="preserve">12 weeks and therefore further studies are warranted. </w:t>
      </w:r>
      <w:r w:rsidR="00FE209F" w:rsidRPr="003E16D2">
        <w:rPr>
          <w:rStyle w:val="IntenseEmphasis"/>
          <w:rFonts w:ascii="Times New Roman" w:hAnsi="Times New Roman" w:cs="Times New Roman"/>
          <w:i w:val="0"/>
          <w:color w:val="auto"/>
          <w:sz w:val="24"/>
          <w:szCs w:val="24"/>
        </w:rPr>
        <w:t xml:space="preserve"> </w:t>
      </w:r>
      <w:r w:rsidR="003E16D2">
        <w:rPr>
          <w:rStyle w:val="IntenseEmphasis"/>
          <w:rFonts w:ascii="Times New Roman" w:hAnsi="Times New Roman" w:cs="Times New Roman"/>
          <w:i w:val="0"/>
          <w:color w:val="auto"/>
          <w:sz w:val="24"/>
          <w:szCs w:val="24"/>
        </w:rPr>
        <w:t xml:space="preserve">Having said that, these data make it difficult to imagine that </w:t>
      </w:r>
      <w:r w:rsidR="003E16D2" w:rsidRPr="003E16D2">
        <w:rPr>
          <w:rFonts w:ascii="Times New Roman" w:hAnsi="Times New Roman" w:cs="Times New Roman"/>
          <w:sz w:val="24"/>
          <w:szCs w:val="24"/>
        </w:rPr>
        <w:t xml:space="preserve">a drug mechanism </w:t>
      </w:r>
      <w:r w:rsidR="003E16D2">
        <w:rPr>
          <w:rFonts w:ascii="Times New Roman" w:hAnsi="Times New Roman" w:cs="Times New Roman"/>
          <w:sz w:val="24"/>
          <w:szCs w:val="24"/>
        </w:rPr>
        <w:t xml:space="preserve">gave rise to the differences in ZAN-BPD scores at the final visit. </w:t>
      </w:r>
      <w:r w:rsidR="003E16D2" w:rsidRPr="003E16D2">
        <w:rPr>
          <w:rFonts w:ascii="Times New Roman" w:hAnsi="Times New Roman" w:cs="Times New Roman"/>
          <w:sz w:val="24"/>
          <w:szCs w:val="24"/>
        </w:rPr>
        <w:t>Thus, these</w:t>
      </w:r>
      <w:r w:rsidR="00FE209F" w:rsidRPr="003E16D2">
        <w:rPr>
          <w:rStyle w:val="IntenseEmphasis"/>
          <w:rFonts w:ascii="Times New Roman" w:hAnsi="Times New Roman" w:cs="Times New Roman"/>
          <w:i w:val="0"/>
          <w:color w:val="auto"/>
          <w:sz w:val="24"/>
          <w:szCs w:val="24"/>
        </w:rPr>
        <w:t xml:space="preserve"> findings need to be interpreted </w:t>
      </w:r>
      <w:r w:rsidR="00DC16F4" w:rsidRPr="003E16D2">
        <w:rPr>
          <w:rStyle w:val="IntenseEmphasis"/>
          <w:rFonts w:ascii="Times New Roman" w:hAnsi="Times New Roman" w:cs="Times New Roman"/>
          <w:i w:val="0"/>
          <w:color w:val="auto"/>
          <w:sz w:val="24"/>
          <w:szCs w:val="24"/>
        </w:rPr>
        <w:t>with some caution</w:t>
      </w:r>
      <w:r w:rsidR="00FE209F" w:rsidRPr="003E16D2">
        <w:rPr>
          <w:rStyle w:val="IntenseEmphasis"/>
          <w:rFonts w:ascii="Times New Roman" w:hAnsi="Times New Roman" w:cs="Times New Roman"/>
          <w:i w:val="0"/>
          <w:color w:val="auto"/>
          <w:sz w:val="24"/>
          <w:szCs w:val="24"/>
        </w:rPr>
        <w:t xml:space="preserve">. Although the primary outcome measure separated from placebo at the final visit, it had </w:t>
      </w:r>
      <w:r w:rsidR="00E45073" w:rsidRPr="003E16D2">
        <w:rPr>
          <w:rStyle w:val="IntenseEmphasis"/>
          <w:rFonts w:ascii="Times New Roman" w:hAnsi="Times New Roman" w:cs="Times New Roman"/>
          <w:i w:val="0"/>
          <w:color w:val="auto"/>
          <w:sz w:val="24"/>
          <w:szCs w:val="24"/>
        </w:rPr>
        <w:t xml:space="preserve">not </w:t>
      </w:r>
      <w:r w:rsidR="00FE209F" w:rsidRPr="003E16D2">
        <w:rPr>
          <w:rStyle w:val="IntenseEmphasis"/>
          <w:rFonts w:ascii="Times New Roman" w:hAnsi="Times New Roman" w:cs="Times New Roman"/>
          <w:i w:val="0"/>
          <w:color w:val="auto"/>
          <w:sz w:val="24"/>
          <w:szCs w:val="24"/>
        </w:rPr>
        <w:t>done so for the first 10 weeks of treatment. This may be due to a robust placebo response in BPD, as evidenced from previous pharmacological trials (</w:t>
      </w:r>
      <w:r w:rsidR="0024424C" w:rsidRPr="003E16D2">
        <w:rPr>
          <w:rStyle w:val="IntenseEmphasis"/>
          <w:rFonts w:ascii="Times New Roman" w:hAnsi="Times New Roman" w:cs="Times New Roman"/>
          <w:i w:val="0"/>
          <w:color w:val="auto"/>
          <w:sz w:val="24"/>
          <w:szCs w:val="24"/>
        </w:rPr>
        <w:t>11,32,33</w:t>
      </w:r>
      <w:r w:rsidR="00FE209F" w:rsidRPr="003E16D2">
        <w:rPr>
          <w:rStyle w:val="IntenseEmphasis"/>
          <w:rFonts w:ascii="Times New Roman" w:hAnsi="Times New Roman" w:cs="Times New Roman"/>
          <w:i w:val="0"/>
          <w:color w:val="auto"/>
          <w:sz w:val="24"/>
          <w:szCs w:val="24"/>
        </w:rPr>
        <w:t xml:space="preserve">).  This </w:t>
      </w:r>
      <w:r w:rsidR="00E45073" w:rsidRPr="003E16D2">
        <w:rPr>
          <w:rStyle w:val="IntenseEmphasis"/>
          <w:rFonts w:ascii="Times New Roman" w:hAnsi="Times New Roman" w:cs="Times New Roman"/>
          <w:i w:val="0"/>
          <w:color w:val="auto"/>
          <w:sz w:val="24"/>
          <w:szCs w:val="24"/>
        </w:rPr>
        <w:t xml:space="preserve">late separation from placebo </w:t>
      </w:r>
      <w:r w:rsidR="00FE209F" w:rsidRPr="003E16D2">
        <w:rPr>
          <w:rStyle w:val="IntenseEmphasis"/>
          <w:rFonts w:ascii="Times New Roman" w:hAnsi="Times New Roman" w:cs="Times New Roman"/>
          <w:i w:val="0"/>
          <w:color w:val="auto"/>
          <w:sz w:val="24"/>
          <w:szCs w:val="24"/>
        </w:rPr>
        <w:t>suggests that perhaps only longer duration trials can provide clear evidence of a strong drug effect</w:t>
      </w:r>
      <w:r w:rsidR="007F4ECC" w:rsidRPr="003E16D2">
        <w:rPr>
          <w:rStyle w:val="IntenseEmphasis"/>
          <w:rFonts w:ascii="Times New Roman" w:hAnsi="Times New Roman" w:cs="Times New Roman"/>
          <w:i w:val="0"/>
          <w:color w:val="auto"/>
          <w:sz w:val="24"/>
          <w:szCs w:val="24"/>
        </w:rPr>
        <w:t>, though it is unclear pharmacologically why benefits would not have accrued gradually over time rather than being evident mainly at one time point</w:t>
      </w:r>
      <w:r w:rsidR="00FE209F" w:rsidRPr="003E16D2">
        <w:rPr>
          <w:rStyle w:val="IntenseEmphasis"/>
          <w:rFonts w:ascii="Times New Roman" w:hAnsi="Times New Roman" w:cs="Times New Roman"/>
          <w:i w:val="0"/>
          <w:color w:val="auto"/>
          <w:sz w:val="24"/>
          <w:szCs w:val="24"/>
        </w:rPr>
        <w:t>.</w:t>
      </w:r>
      <w:r w:rsidR="007F4ECC" w:rsidRPr="003E16D2">
        <w:rPr>
          <w:rStyle w:val="IntenseEmphasis"/>
          <w:rFonts w:ascii="Times New Roman" w:hAnsi="Times New Roman" w:cs="Times New Roman"/>
          <w:i w:val="0"/>
          <w:color w:val="auto"/>
          <w:sz w:val="24"/>
          <w:szCs w:val="24"/>
        </w:rPr>
        <w:t xml:space="preserve"> Another possibility is that due to the trial nearing its end, medication had some effect on rejection sensitivity</w:t>
      </w:r>
      <w:r w:rsidR="005478A9" w:rsidRPr="003E16D2">
        <w:rPr>
          <w:rStyle w:val="IntenseEmphasis"/>
          <w:rFonts w:ascii="Times New Roman" w:hAnsi="Times New Roman" w:cs="Times New Roman"/>
          <w:i w:val="0"/>
          <w:color w:val="auto"/>
          <w:sz w:val="24"/>
          <w:szCs w:val="24"/>
        </w:rPr>
        <w:t xml:space="preserve"> versus placebo; thus Z</w:t>
      </w:r>
      <w:r w:rsidR="00425E3D" w:rsidRPr="003E16D2">
        <w:rPr>
          <w:rStyle w:val="IntenseEmphasis"/>
          <w:rFonts w:ascii="Times New Roman" w:hAnsi="Times New Roman" w:cs="Times New Roman"/>
          <w:i w:val="0"/>
          <w:color w:val="auto"/>
          <w:sz w:val="24"/>
          <w:szCs w:val="24"/>
        </w:rPr>
        <w:t>AN-BPD</w:t>
      </w:r>
      <w:r w:rsidR="005478A9" w:rsidRPr="003E16D2">
        <w:rPr>
          <w:rStyle w:val="IntenseEmphasis"/>
          <w:rFonts w:ascii="Times New Roman" w:hAnsi="Times New Roman" w:cs="Times New Roman"/>
          <w:i w:val="0"/>
          <w:color w:val="auto"/>
          <w:sz w:val="24"/>
          <w:szCs w:val="24"/>
        </w:rPr>
        <w:t xml:space="preserve"> scores tended to increase in the placebo group but less so the active treatment group</w:t>
      </w:r>
      <w:r w:rsidR="007F4ECC" w:rsidRPr="003E16D2">
        <w:rPr>
          <w:rFonts w:ascii="Times New Roman" w:hAnsi="Times New Roman" w:cs="Times New Roman"/>
          <w:sz w:val="24"/>
          <w:szCs w:val="24"/>
        </w:rPr>
        <w:t>.</w:t>
      </w:r>
      <w:r w:rsidR="00FE209F" w:rsidRPr="003E16D2">
        <w:rPr>
          <w:rStyle w:val="IntenseEmphasis"/>
          <w:rFonts w:ascii="Times New Roman" w:hAnsi="Times New Roman" w:cs="Times New Roman"/>
          <w:i w:val="0"/>
          <w:color w:val="auto"/>
          <w:sz w:val="24"/>
          <w:szCs w:val="24"/>
        </w:rPr>
        <w:t xml:space="preserve"> Also, given that subjects were informed at visit 8 that their medication would be taper</w:t>
      </w:r>
      <w:r w:rsidR="0024424C" w:rsidRPr="003E16D2">
        <w:rPr>
          <w:rStyle w:val="IntenseEmphasis"/>
          <w:rFonts w:ascii="Times New Roman" w:hAnsi="Times New Roman" w:cs="Times New Roman"/>
          <w:i w:val="0"/>
          <w:color w:val="auto"/>
          <w:sz w:val="24"/>
          <w:szCs w:val="24"/>
        </w:rPr>
        <w:t>ed</w:t>
      </w:r>
      <w:r w:rsidR="00FE209F" w:rsidRPr="003E16D2">
        <w:rPr>
          <w:rStyle w:val="IntenseEmphasis"/>
          <w:rFonts w:ascii="Times New Roman" w:hAnsi="Times New Roman" w:cs="Times New Roman"/>
          <w:i w:val="0"/>
          <w:color w:val="auto"/>
          <w:sz w:val="24"/>
          <w:szCs w:val="24"/>
        </w:rPr>
        <w:t xml:space="preserve"> for the final week, it also remains unclear as to whether some may have exaggerated treatment response (although why in one arm and not the other remains unclear).  Again, longer studies may better delineate these findings </w:t>
      </w:r>
      <w:r w:rsidR="0024424C" w:rsidRPr="003E16D2">
        <w:rPr>
          <w:rStyle w:val="IntenseEmphasis"/>
          <w:rFonts w:ascii="Times New Roman" w:hAnsi="Times New Roman" w:cs="Times New Roman"/>
          <w:i w:val="0"/>
          <w:color w:val="auto"/>
          <w:sz w:val="24"/>
          <w:szCs w:val="24"/>
        </w:rPr>
        <w:t xml:space="preserve">and </w:t>
      </w:r>
      <w:r w:rsidR="00FE209F" w:rsidRPr="003E16D2">
        <w:rPr>
          <w:rStyle w:val="IntenseEmphasis"/>
          <w:rFonts w:ascii="Times New Roman" w:hAnsi="Times New Roman" w:cs="Times New Roman"/>
          <w:i w:val="0"/>
          <w:color w:val="auto"/>
          <w:sz w:val="24"/>
          <w:szCs w:val="24"/>
        </w:rPr>
        <w:t>confirm a pharmacological response.</w:t>
      </w:r>
      <w:r w:rsidR="00FE209F">
        <w:rPr>
          <w:rStyle w:val="IntenseEmphasis"/>
          <w:i w:val="0"/>
          <w:color w:val="auto"/>
        </w:rPr>
        <w:t xml:space="preserve"> </w:t>
      </w:r>
    </w:p>
    <w:p w14:paraId="50938149" w14:textId="00206CAA" w:rsidR="004859D1" w:rsidRDefault="0024424C" w:rsidP="0024424C">
      <w:pPr>
        <w:spacing w:line="480" w:lineRule="auto"/>
        <w:ind w:firstLine="720"/>
        <w:rPr>
          <w:rStyle w:val="IntenseEmphasis"/>
          <w:i w:val="0"/>
          <w:color w:val="auto"/>
        </w:rPr>
      </w:pPr>
      <w:r>
        <w:t>The placebo response in this study was quick and fairly sustained for several weeks. This type of robust</w:t>
      </w:r>
      <w:r w:rsidR="004859D1" w:rsidRPr="004859D1">
        <w:t xml:space="preserve"> placebo response </w:t>
      </w:r>
      <w:r>
        <w:t>is consistent with previous</w:t>
      </w:r>
      <w:r w:rsidR="004859D1" w:rsidRPr="004859D1">
        <w:t xml:space="preserve"> </w:t>
      </w:r>
      <w:r>
        <w:t>pharmacological studies in BPD</w:t>
      </w:r>
      <w:r w:rsidR="004859D1" w:rsidRPr="004859D1">
        <w:t xml:space="preserve"> (</w:t>
      </w:r>
      <w:r>
        <w:t>32).</w:t>
      </w:r>
      <w:r w:rsidR="004859D1" w:rsidRPr="004859D1">
        <w:t xml:space="preserve"> </w:t>
      </w:r>
      <w:r>
        <w:t>Having said that, this type of placebo response</w:t>
      </w:r>
      <w:r w:rsidR="004859D1" w:rsidRPr="004859D1">
        <w:t xml:space="preserve"> can lower statistical power and interfere with interpretation of results. </w:t>
      </w:r>
      <w:r>
        <w:t xml:space="preserve">Did the </w:t>
      </w:r>
      <w:r w:rsidR="000C3CC4">
        <w:t>every two</w:t>
      </w:r>
      <w:r>
        <w:t xml:space="preserve"> week visits provide some sort of n</w:t>
      </w:r>
      <w:r w:rsidR="004859D1" w:rsidRPr="004859D1">
        <w:t>onspecific psychological support</w:t>
      </w:r>
      <w:r>
        <w:t xml:space="preserve"> to those assigned placebo?</w:t>
      </w:r>
      <w:r w:rsidR="004859D1" w:rsidRPr="004859D1">
        <w:t xml:space="preserve"> One potential solution is to conduct longer trials</w:t>
      </w:r>
      <w:r>
        <w:t xml:space="preserve"> with less frequent visits. It is unclear whether participants would p</w:t>
      </w:r>
      <w:r w:rsidR="004859D1" w:rsidRPr="004859D1">
        <w:t xml:space="preserve">articipate in </w:t>
      </w:r>
      <w:r>
        <w:t>these types of trials</w:t>
      </w:r>
      <w:r w:rsidR="004859D1" w:rsidRPr="004859D1">
        <w:t xml:space="preserve">. </w:t>
      </w:r>
      <w:r>
        <w:t xml:space="preserve">A placebo lead-in may </w:t>
      </w:r>
      <w:r w:rsidR="000C3CC4">
        <w:t xml:space="preserve">also be needed to </w:t>
      </w:r>
      <w:r>
        <w:t xml:space="preserve">reduce some of this noise and allow for better examination of drug effect. </w:t>
      </w:r>
    </w:p>
    <w:p w14:paraId="45D3BAC4" w14:textId="3E60E0C0" w:rsidR="0023771D" w:rsidRDefault="00FE209F" w:rsidP="00A44CB0">
      <w:pPr>
        <w:spacing w:line="480" w:lineRule="auto"/>
        <w:rPr>
          <w:rStyle w:val="IntenseEmphasis"/>
          <w:i w:val="0"/>
          <w:color w:val="auto"/>
        </w:rPr>
      </w:pPr>
      <w:r>
        <w:rPr>
          <w:rStyle w:val="IntenseEmphasis"/>
          <w:i w:val="0"/>
          <w:color w:val="auto"/>
        </w:rPr>
        <w:tab/>
        <w:t xml:space="preserve">There are several limitations associated with this study. First, </w:t>
      </w:r>
      <w:r w:rsidR="00B923BC">
        <w:rPr>
          <w:rStyle w:val="IntenseEmphasis"/>
          <w:i w:val="0"/>
          <w:color w:val="auto"/>
        </w:rPr>
        <w:t xml:space="preserve">there were some </w:t>
      </w:r>
      <w:r>
        <w:rPr>
          <w:rStyle w:val="IntenseEmphasis"/>
          <w:i w:val="0"/>
          <w:color w:val="auto"/>
        </w:rPr>
        <w:t>missing data, largely due to switching to an online platform given restrictions from COVID19. Second</w:t>
      </w:r>
      <w:r w:rsidR="0023771D">
        <w:rPr>
          <w:rStyle w:val="IntenseEmphasis"/>
          <w:i w:val="0"/>
          <w:color w:val="auto"/>
        </w:rPr>
        <w:t xml:space="preserve">, the </w:t>
      </w:r>
      <w:r w:rsidR="00B923BC">
        <w:rPr>
          <w:rStyle w:val="IntenseEmphasis"/>
          <w:i w:val="0"/>
          <w:color w:val="auto"/>
        </w:rPr>
        <w:t xml:space="preserve">relatively </w:t>
      </w:r>
      <w:r w:rsidR="0023771D">
        <w:rPr>
          <w:rStyle w:val="IntenseEmphasis"/>
          <w:i w:val="0"/>
          <w:color w:val="auto"/>
        </w:rPr>
        <w:t>small sample size due to drop out in the early weeks of the study may further call into question whether some of the secondary measures may have been significant if adequately powered. Finally, although well tolerated, the activating side effect of brexpiprazole may have jeopardized the blind potentially</w:t>
      </w:r>
      <w:r w:rsidR="00B923BC">
        <w:rPr>
          <w:rStyle w:val="IntenseEmphasis"/>
          <w:i w:val="0"/>
          <w:color w:val="auto"/>
        </w:rPr>
        <w:t xml:space="preserve">, though this seems unlikely given that subjects were more likely to report side effects with placebo. </w:t>
      </w:r>
    </w:p>
    <w:p w14:paraId="66B0C499" w14:textId="68206D48" w:rsidR="00FE209F" w:rsidRPr="00C90082" w:rsidRDefault="0023771D" w:rsidP="00A44CB0">
      <w:pPr>
        <w:spacing w:line="480" w:lineRule="auto"/>
        <w:rPr>
          <w:rStyle w:val="IntenseEmphasis"/>
          <w:i w:val="0"/>
          <w:color w:val="auto"/>
        </w:rPr>
      </w:pPr>
      <w:r>
        <w:rPr>
          <w:rStyle w:val="IntenseEmphasis"/>
          <w:i w:val="0"/>
          <w:color w:val="auto"/>
        </w:rPr>
        <w:tab/>
        <w:t xml:space="preserve">Despite the limitations, </w:t>
      </w:r>
      <w:r w:rsidR="00425E3D">
        <w:rPr>
          <w:rStyle w:val="IntenseEmphasis"/>
          <w:i w:val="0"/>
          <w:color w:val="auto"/>
        </w:rPr>
        <w:t>b</w:t>
      </w:r>
      <w:r w:rsidR="00425E3D" w:rsidRPr="0023771D">
        <w:rPr>
          <w:bCs/>
          <w:szCs w:val="24"/>
        </w:rPr>
        <w:t xml:space="preserve">rexpiprazole </w:t>
      </w:r>
      <w:r w:rsidR="00425E3D">
        <w:rPr>
          <w:bCs/>
          <w:szCs w:val="24"/>
        </w:rPr>
        <w:t xml:space="preserve">appears to have had some possible effect on BPD symptoms but further studies are needed due to significant effects being evident specifically at the final time point. </w:t>
      </w:r>
      <w:r w:rsidR="0042292D">
        <w:rPr>
          <w:rStyle w:val="IntenseEmphasis"/>
          <w:i w:val="0"/>
          <w:color w:val="auto"/>
        </w:rPr>
        <w:t xml:space="preserve"> </w:t>
      </w:r>
      <w:r w:rsidR="000A03FF">
        <w:rPr>
          <w:rStyle w:val="IntenseEmphasis"/>
          <w:i w:val="0"/>
          <w:color w:val="auto"/>
        </w:rPr>
        <w:t xml:space="preserve"> </w:t>
      </w:r>
      <w:r w:rsidR="007F4ECC">
        <w:rPr>
          <w:rStyle w:val="IntenseEmphasis"/>
          <w:i w:val="0"/>
          <w:color w:val="auto"/>
        </w:rPr>
        <w:t xml:space="preserve"> </w:t>
      </w:r>
      <w:r>
        <w:rPr>
          <w:rStyle w:val="IntenseEmphasis"/>
          <w:i w:val="0"/>
          <w:color w:val="auto"/>
        </w:rPr>
        <w:t>Given the strong placebo response future studies should be well powered and long enough to better determine what is a placebo response compared to a true drug effect.</w:t>
      </w:r>
      <w:r w:rsidR="00FE209F">
        <w:rPr>
          <w:rStyle w:val="IntenseEmphasis"/>
          <w:i w:val="0"/>
          <w:color w:val="auto"/>
        </w:rPr>
        <w:t xml:space="preserve"> </w:t>
      </w:r>
    </w:p>
    <w:p w14:paraId="38AFD961" w14:textId="76F56A21" w:rsidR="007835E0" w:rsidRDefault="007835E0" w:rsidP="007835E0">
      <w:pPr>
        <w:rPr>
          <w:szCs w:val="24"/>
        </w:rPr>
      </w:pPr>
    </w:p>
    <w:p w14:paraId="12325EC0" w14:textId="77777777" w:rsidR="003E16D2" w:rsidRDefault="003E16D2">
      <w:pPr>
        <w:rPr>
          <w:b/>
          <w:szCs w:val="24"/>
          <w:u w:val="single"/>
        </w:rPr>
      </w:pPr>
      <w:r>
        <w:rPr>
          <w:b/>
          <w:szCs w:val="24"/>
          <w:u w:val="single"/>
        </w:rPr>
        <w:br w:type="page"/>
      </w:r>
    </w:p>
    <w:p w14:paraId="4D3325F2" w14:textId="4102598D" w:rsidR="008F2940" w:rsidRPr="009A7A33" w:rsidRDefault="008F2940" w:rsidP="007835E0">
      <w:pPr>
        <w:rPr>
          <w:b/>
          <w:szCs w:val="24"/>
          <w:u w:val="single"/>
        </w:rPr>
      </w:pPr>
      <w:r w:rsidRPr="009A7A33">
        <w:rPr>
          <w:b/>
          <w:szCs w:val="24"/>
          <w:u w:val="single"/>
        </w:rPr>
        <w:t>References</w:t>
      </w:r>
    </w:p>
    <w:p w14:paraId="3E43883C" w14:textId="77777777" w:rsidR="007B5A6C" w:rsidRDefault="007B5A6C" w:rsidP="007B5A6C">
      <w:r>
        <w:t>1. Gunderson J: Borderline Personality Disorder, 2nd ed. Washington, DC, American Psychiatric Press, 2000</w:t>
      </w:r>
    </w:p>
    <w:p w14:paraId="3FCE3F09" w14:textId="77777777" w:rsidR="007B5A6C" w:rsidRDefault="007B5A6C" w:rsidP="007B5A6C">
      <w:r>
        <w:t>2. Nakao K, Gunderson JG, Phillips KA, Tanaka N: Functional impairment in personality disorders. J Pers Disord 1992; 6:24–31</w:t>
      </w:r>
    </w:p>
    <w:p w14:paraId="665522EB" w14:textId="77777777" w:rsidR="00E85F0E" w:rsidRDefault="007B5A6C" w:rsidP="007B5A6C">
      <w:r>
        <w:t xml:space="preserve">3. </w:t>
      </w:r>
      <w:r w:rsidR="00E85F0E">
        <w:t>Bode K, Vogel R, Walker J, Kröger C. Health care costs of borderline personality disorder and matched controls with major depressive disorder: a comparative study based on anonymized claims data. Eur J Health Econ. 2017 Dec;18(9):1125-1135. doi: 10.1007/s10198-016-0858-2. Epub 2016 Dec 18. PMID: 27990594.</w:t>
      </w:r>
    </w:p>
    <w:p w14:paraId="6B298BBA" w14:textId="77777777" w:rsidR="007B5A6C" w:rsidRDefault="007B5A6C" w:rsidP="007B5A6C">
      <w:r>
        <w:t>4. Linehan MM, Comtois KA, Murray AM, Brown MZ, Gallop RJ, Heard HL, Korslund KE, Tutek DA, Reynolds SK, Lindenboim N: Two-year randomized controlled trial and follow-up of dialectical behavior therapy vs therapy by experts for suicidal behaviors and borderline personality disorder. Arch Gen Psychiatry 2006; 63:757–766</w:t>
      </w:r>
    </w:p>
    <w:p w14:paraId="33E2502A" w14:textId="77777777" w:rsidR="007B5A6C" w:rsidRDefault="007B5A6C" w:rsidP="007B5A6C">
      <w:r>
        <w:t>5. Blum N, St John D, Pfohl B, Stuart S, McCormick B, Allen J, Arndt S, Black DW: Systems training for emotional predictability and problem solving (STEPPS) for outpatients with borderline personality disorder: a randomized controlled trial and 1-year follow-up. Am J Psychiatry 2008; 165:468–478</w:t>
      </w:r>
    </w:p>
    <w:p w14:paraId="46A07BA8" w14:textId="597024F3" w:rsidR="00C107C4" w:rsidRDefault="007B5A6C" w:rsidP="007B5A6C">
      <w:pPr>
        <w:rPr>
          <w:rStyle w:val="element-citation"/>
        </w:rPr>
      </w:pPr>
      <w:r>
        <w:t xml:space="preserve">6. </w:t>
      </w:r>
      <w:r w:rsidR="00F720EB">
        <w:t>Storebø OJ, Stoffers-Winterling JM, Völlm BA, Kongerslev MT, Mattivi JT, Jørgensen MS, Faltinsen E, Todorovac A, Sales CP, Callesen HE, Lieb K, Simonsen E. Psychological therapies for people with borderline personality disorder. Cochrane Database Syst Rev. 2020 May 4;5(5):CD012955. doi: 10.1002/14651858.CD012955.pub2. PMID: 32368793; PMCID: PMC7199382.</w:t>
      </w:r>
      <w:r w:rsidR="00C107C4">
        <w:t>7.</w:t>
      </w:r>
      <w:r w:rsidR="00C107C4" w:rsidRPr="00C107C4">
        <w:t xml:space="preserve"> </w:t>
      </w:r>
      <w:r w:rsidR="00C107C4">
        <w:rPr>
          <w:rStyle w:val="element-citation"/>
        </w:rPr>
        <w:t xml:space="preserve">Carmel Adam, Rose Monica Leila, Fruzzetti Alan E. Barriers and solutions to implementing dialectical behavior therapy in a public behavioral health system. </w:t>
      </w:r>
      <w:r w:rsidR="00C107C4">
        <w:rPr>
          <w:rStyle w:val="ref-journal"/>
        </w:rPr>
        <w:t xml:space="preserve">Adm Policy Ment Health. </w:t>
      </w:r>
      <w:r w:rsidR="00C107C4">
        <w:rPr>
          <w:rStyle w:val="element-citation"/>
        </w:rPr>
        <w:t>2014 Oct;</w:t>
      </w:r>
      <w:r w:rsidR="00C107C4">
        <w:rPr>
          <w:rStyle w:val="ref-vol"/>
        </w:rPr>
        <w:t>41</w:t>
      </w:r>
      <w:r w:rsidR="00C107C4">
        <w:rPr>
          <w:rStyle w:val="element-citation"/>
        </w:rPr>
        <w:t>(5):608–14. doi: 10.1007/s10488-013-0504-6.</w:t>
      </w:r>
    </w:p>
    <w:p w14:paraId="15B4ADEE" w14:textId="77777777" w:rsidR="00C107C4" w:rsidRDefault="00C107C4" w:rsidP="007B5A6C">
      <w:r>
        <w:t>8.</w:t>
      </w:r>
      <w:r w:rsidRPr="00C107C4">
        <w:t xml:space="preserve"> </w:t>
      </w:r>
      <w:r>
        <w:t>Choi-Kain LW, Albert EB, Gunderson JG. Evidence-Based Treatments for Borderline Personality Disorder: Implementation, Integration, and Stepped Care. Harv Rev Psychiatry. 2016 Sep-Oct;24(5):342-56. doi: 10.1097/HRP.0000000000000113. PMID: 27603742.</w:t>
      </w:r>
    </w:p>
    <w:p w14:paraId="4F814B64" w14:textId="77777777" w:rsidR="007B5A6C" w:rsidRDefault="00D15CF2" w:rsidP="007B5A6C">
      <w:r>
        <w:t>9</w:t>
      </w:r>
      <w:r w:rsidR="007B5A6C">
        <w:t>. Lieb K, Völlm B, Rücker G, Timmer A, Stoffers JM: Pharmacotherapy for borderline personality disorder: Cochrane systematic review of randomised trials. Br J Psychiatry 2010; 196:4–12</w:t>
      </w:r>
    </w:p>
    <w:p w14:paraId="2E36238E" w14:textId="77777777" w:rsidR="007B5A6C" w:rsidRDefault="00D15CF2" w:rsidP="007B5A6C">
      <w:r>
        <w:t>10</w:t>
      </w:r>
      <w:r w:rsidR="007B5A6C">
        <w:t>. Nickel MK, Muehlbacher M, Nickel C, Kettler C, Pedrosa Gil F, Bachler E, Buschmann W, Rother N, Fartacek R, Egger C, Anvar J, Rother WK, Loew TH, Kaplan P: Aripiprazole in the treatment of patients with borderline personality disorder: a double blind, placebo-controlled study. Am J Psychiatry 2006; 163: 833–838</w:t>
      </w:r>
    </w:p>
    <w:p w14:paraId="6DFECB76" w14:textId="77777777" w:rsidR="007B5A6C" w:rsidRDefault="00D15CF2" w:rsidP="007B5A6C">
      <w:r>
        <w:t>11</w:t>
      </w:r>
      <w:r w:rsidR="007B5A6C">
        <w:t>. Schulz SC, ZanariniMC, Bateman A, Bohus M, Detke HC, Trzaskoma Q, Tanaka Y, Lin D, Deberdt W, Corya S: Olanzapine for the treatment of borderline personality disorder: variable dose 12-week randomised double-blind placebo-controlled study. Br J Psychiatry 2008; 193:485–492</w:t>
      </w:r>
    </w:p>
    <w:p w14:paraId="62D055A4" w14:textId="77777777" w:rsidR="007B5A6C" w:rsidRDefault="007B5A6C" w:rsidP="007B5A6C">
      <w:r>
        <w:t>1</w:t>
      </w:r>
      <w:r w:rsidR="00D15CF2">
        <w:t>2</w:t>
      </w:r>
      <w:r>
        <w:t>. Zanarini MC, Schulz SC, Detke HC, Tanaka Y, Zhao F, Lin D, Deberdt W, Kryzhanovskaya L, Corya S: A dose comparison of olanzapine for the treatment of borderline personality disorder: a 12-week randomized, double-blind, placebo-controlled study. J Clin Psychiatry 2011; 72:1353–1362</w:t>
      </w:r>
    </w:p>
    <w:p w14:paraId="6D726472" w14:textId="77777777" w:rsidR="007B5A6C" w:rsidRDefault="007B5A6C" w:rsidP="007B5A6C">
      <w:r>
        <w:t>1</w:t>
      </w:r>
      <w:r w:rsidR="00D15CF2">
        <w:t>3</w:t>
      </w:r>
      <w:r>
        <w:t>. Pascual JC, Soler J, Puigdemont D, Pérez-Egea R,</w:t>
      </w:r>
      <w:r w:rsidRPr="007B5A6C">
        <w:t xml:space="preserve"> </w:t>
      </w:r>
      <w:r>
        <w:t>Tiana T, Alvarez E, Pérez V: Ziprasidone in the treatment of borderline personality disorder: a double-blind, placebo-controlled,  randomized study. J Clin Psychiatry 2008; 69:603–608</w:t>
      </w:r>
    </w:p>
    <w:p w14:paraId="58844A85" w14:textId="77777777" w:rsidR="000E30AF" w:rsidRDefault="000E30AF" w:rsidP="000E30AF">
      <w:r>
        <w:t>1</w:t>
      </w:r>
      <w:r w:rsidR="00D15CF2">
        <w:t>4</w:t>
      </w:r>
      <w:r>
        <w:t>. Rinne T, de Kloet ER, Wouters L, Goekoop JG, de Rijk RH, van den Brink W: Fluvoxamine reduces responsiveness of HPA axis in adult female BPD patients with a history of sustained childhood abuse. Neuropsychopharmacology 2003; 28:126–132</w:t>
      </w:r>
    </w:p>
    <w:p w14:paraId="662BB9BD" w14:textId="77777777" w:rsidR="000E30AF" w:rsidRDefault="000E30AF" w:rsidP="000E30AF">
      <w:r>
        <w:t>1</w:t>
      </w:r>
      <w:r w:rsidR="00D15CF2">
        <w:t>5</w:t>
      </w:r>
      <w:r>
        <w:t>. Flewett T, Bradley P, Redvers A: Management of borderline personality disorder. Br J Psychiatry 2003; 183:78–79</w:t>
      </w:r>
    </w:p>
    <w:p w14:paraId="3681774E" w14:textId="77777777" w:rsidR="000E30AF" w:rsidRDefault="000E30AF" w:rsidP="000E30AF">
      <w:r>
        <w:t>1</w:t>
      </w:r>
      <w:r w:rsidR="00BD5589">
        <w:t>6</w:t>
      </w:r>
      <w:r>
        <w:t>. Nickel M, Nickel C, Mitterlehner F, Tritt K, Lahmann C, Leiberich P, Rother W, Loew T: Topiramate treatment of aggression in female borderline personality disorder patients: a double-blind, placebo-controlled study. J Clin Psychiatry 2004; 65:1515–1519</w:t>
      </w:r>
    </w:p>
    <w:p w14:paraId="1FCAB78A" w14:textId="77777777" w:rsidR="000E30AF" w:rsidRDefault="000E30AF" w:rsidP="000E30AF">
      <w:r>
        <w:t>1</w:t>
      </w:r>
      <w:r w:rsidR="00BD5589">
        <w:t>7</w:t>
      </w:r>
      <w:r>
        <w:t>. Nickel M, Nickel C, Kaplan P, Lahmann C, Mühlbacher M, Tritt K, Krawczyk J, Leiberich PK, Rother W, Loew T: Treatment of aggression with topiramate in male borderline patients: a double-blind, placebo-controlled study. Biol Psychiatry 2005; 57:495–499</w:t>
      </w:r>
    </w:p>
    <w:p w14:paraId="3EEFF88F" w14:textId="2C953E3A" w:rsidR="000E30AF" w:rsidRDefault="00240B4A" w:rsidP="000E30AF">
      <w:r>
        <w:t>18</w:t>
      </w:r>
      <w:r w:rsidR="000E30AF">
        <w:t xml:space="preserve">. </w:t>
      </w:r>
      <w:r w:rsidR="00F720EB">
        <w:t>Perez-Rodriguez MM, Bulbena-Cabré A, Bassir Nia A, Zipursky G, Goodman M, New AS. The Neurobiology of Borderline Personality Disorder. Psychiatr Clin North Am. 2018 Dec;41(4):633-650. doi: 10.1016/j.psc.2018.07.012. PMID: 30447729.</w:t>
      </w:r>
    </w:p>
    <w:p w14:paraId="171F4E1C" w14:textId="77777777" w:rsidR="000E30AF" w:rsidRDefault="00240B4A" w:rsidP="000E30AF">
      <w:r>
        <w:t>19</w:t>
      </w:r>
      <w:r w:rsidR="000E30AF">
        <w:t>. Friedel RO: Dopamine dysfunction in borderline personality disorder: a hypothesis. Neuropsychopharmacology 2004; 29: 1029–1039</w:t>
      </w:r>
    </w:p>
    <w:p w14:paraId="27043894" w14:textId="77777777" w:rsidR="000E30AF" w:rsidRDefault="00240B4A" w:rsidP="000E30AF">
      <w:r>
        <w:t>20</w:t>
      </w:r>
      <w:r w:rsidR="000E30AF">
        <w:t>. Hansenne M, Pitchot W, Pinto E, Reggers J, Scantamburlo G, Fuchs S, Pirard S, Ansseau M: 5-HT1A dysfunction in borderline personality disorder. Psychol Med 2002; 32:935–941</w:t>
      </w:r>
    </w:p>
    <w:p w14:paraId="67FB4647" w14:textId="77777777" w:rsidR="000E30AF" w:rsidRDefault="00240B4A" w:rsidP="000E30AF">
      <w:r>
        <w:t>21</w:t>
      </w:r>
      <w:r w:rsidR="000E30AF">
        <w:t xml:space="preserve">. Oquendo MA, Mann JJ: The biology of impulsivity and suicidality. Psychiatr Clin North Am 2000; 23:11–25 </w:t>
      </w:r>
    </w:p>
    <w:p w14:paraId="2DC3FAB2" w14:textId="77777777" w:rsidR="0017368A" w:rsidRDefault="00240B4A" w:rsidP="0017368A">
      <w:r>
        <w:t>22</w:t>
      </w:r>
      <w:r w:rsidR="0017368A">
        <w:t>. Maeda K, Sugino H, Akazawa H, Amada N, Shimada J, Futamura T, Yamashita H, Ito N, McQuade RD, Mørk A, Pehrson AL, Hentzer M, Nielsen V, Bundgaard C, Arnt J, Stensbøl TB, Kikuchi T. Brexpiprazole I: in vitro and in vivo characterization of a novel serotonin-dopamine activity modulator. J Pharmacol Exp Ther. 2014 Sep;350(3):589-604.</w:t>
      </w:r>
    </w:p>
    <w:p w14:paraId="52753D87" w14:textId="77777777" w:rsidR="000E30AF" w:rsidRDefault="00825E51" w:rsidP="0017368A">
      <w:r>
        <w:t>2</w:t>
      </w:r>
      <w:r w:rsidR="00240B4A">
        <w:t>3</w:t>
      </w:r>
      <w:r w:rsidR="0017368A">
        <w:t>. Maeda K, Lerdrup L, Sugino H, Akazawa H, Amada N, McQuade RD, Stensbøl TB, Bundgaard C, Arnt J, Kikuchi T. Brexpiprazole II: antipsychotic-like and procognitive effects of a novel serotonin-dopamine activity modulator. J Pharmacol Exp Ther. 2014 Sep;350(3):605-14</w:t>
      </w:r>
    </w:p>
    <w:p w14:paraId="76C64D17" w14:textId="77777777" w:rsidR="0017368A" w:rsidRPr="0017368A" w:rsidRDefault="00825E51" w:rsidP="0017368A">
      <w:r>
        <w:t>2</w:t>
      </w:r>
      <w:r w:rsidR="00240B4A">
        <w:t>4</w:t>
      </w:r>
      <w:r w:rsidR="0017368A">
        <w:t xml:space="preserve">. </w:t>
      </w:r>
      <w:r w:rsidR="0017368A" w:rsidRPr="0017368A">
        <w:t>Yoon S, Jeon SW, Ko YH, Patkar AA, Masand PS, Pae CU, Han C (2017). Adjunctive Brexipiprazole as a Novel Effective Strategy for Treating Major Depressive Disorder: A Systematic Review and Meta-Analysis. J Clin Psychopharmacol. 37(1):46-53.</w:t>
      </w:r>
    </w:p>
    <w:p w14:paraId="30885E86" w14:textId="77777777" w:rsidR="000E30AF" w:rsidRDefault="00BA4183" w:rsidP="000E30AF">
      <w:r>
        <w:t>25.</w:t>
      </w:r>
      <w:r w:rsidR="0017368A">
        <w:t xml:space="preserve"> </w:t>
      </w:r>
      <w:r w:rsidR="0017368A" w:rsidRPr="0017368A">
        <w:t>Sheehan DV, Lecrubier Y, Sheehan KH, Amorim P, Janavs J, Weiller E, hergueta T, baker R, Dunbar GC (1998). The Mini-International Neuropsychiatric Interview (M.I.N.I.): the development and validation of a structured diagnostic psychiatric interview for DSM-IV and ICD-10. J Clin Psychiatry. 59 Suppl 20:22-33.</w:t>
      </w:r>
    </w:p>
    <w:p w14:paraId="7A9EF532" w14:textId="77777777" w:rsidR="00BA4183" w:rsidRDefault="00BA4183" w:rsidP="00BA4183">
      <w:r>
        <w:t>26. Zanarini MC, Vujanovic AA, Parachini EA, Boulanger JL, Frankenburg FR, Hennen J: Zanarini Rating Scale for Borderline Personality Disorder (ZAN-BPD): a continuous measure of DSM-IV borderline psychopathology. J Pers Disord 2003; 17:233–242</w:t>
      </w:r>
    </w:p>
    <w:p w14:paraId="3F317A0C" w14:textId="77777777" w:rsidR="00BA4183" w:rsidRDefault="00BA4183" w:rsidP="00BA4183">
      <w:r>
        <w:t>27. Zanarini MC, Frankenburg FR: Self-Report Version of the Zanarini Rating Scale for Borderline Personality Disorder. Belmont, Mass, Mclean Hospital, 2008</w:t>
      </w:r>
    </w:p>
    <w:p w14:paraId="6823F400" w14:textId="77777777" w:rsidR="00BA4183" w:rsidRDefault="00BA4183" w:rsidP="00BA4183">
      <w:r>
        <w:t xml:space="preserve">28. </w:t>
      </w:r>
      <w:r w:rsidRPr="0017368A">
        <w:t>Sheehan DV (1983). The Anxiety Disease. New York: Scribner's.</w:t>
      </w:r>
    </w:p>
    <w:p w14:paraId="46549571" w14:textId="77777777" w:rsidR="0017368A" w:rsidRDefault="007E6238" w:rsidP="0017368A">
      <w:r>
        <w:t>29</w:t>
      </w:r>
      <w:r w:rsidR="00BA4183">
        <w:t xml:space="preserve">. </w:t>
      </w:r>
      <w:r w:rsidR="0017368A">
        <w:t>Hamilton M (1960). A rating scale for depression. J Neurol Neurosurg Psychiatry. 23:56-62.</w:t>
      </w:r>
    </w:p>
    <w:p w14:paraId="35F5EA0A" w14:textId="77777777" w:rsidR="0017368A" w:rsidRDefault="00BA4183" w:rsidP="0017368A">
      <w:r>
        <w:t>3</w:t>
      </w:r>
      <w:r w:rsidR="007E6238">
        <w:t>0</w:t>
      </w:r>
      <w:r w:rsidR="0017368A">
        <w:t xml:space="preserve">. Hamilton M (1959) The assessment of anxiety states by rating. Br J Med Psychol. 32:50-55 </w:t>
      </w:r>
    </w:p>
    <w:p w14:paraId="3620613E" w14:textId="77777777" w:rsidR="00BA4183" w:rsidRDefault="00BA4183" w:rsidP="0020639F">
      <w:r>
        <w:t>3</w:t>
      </w:r>
      <w:r w:rsidR="007E6238">
        <w:t>1</w:t>
      </w:r>
      <w:r>
        <w:t>. Brown ES, Khaleghi N, Van Enkevort E, Ivleva E, Nakamura A, Holmes T, Mason BL, Escalante C. A pilot study of brexpiprazole for bipolar depression. J Affect Disord. 2019 Apr 15;249:315-318. doi: 10.1016/j.jad.2019.02.056. Epub 2019 Feb 19. PMID: 30802696.</w:t>
      </w:r>
    </w:p>
    <w:p w14:paraId="133F58AD" w14:textId="77777777" w:rsidR="00BA4183" w:rsidRDefault="0024424C" w:rsidP="0020639F">
      <w:r>
        <w:t xml:space="preserve">32. </w:t>
      </w:r>
      <w:r w:rsidR="004859D1">
        <w:rPr>
          <w:rStyle w:val="referencesauthors"/>
        </w:rPr>
        <w:t>Van den Eynde F, Senturk V, Naudts K, Vogels C, Bernagie K, Thas O, van Heeringen C, Audenaert K</w:t>
      </w:r>
      <w:r w:rsidR="004859D1">
        <w:t xml:space="preserve">: </w:t>
      </w:r>
      <w:r w:rsidR="004859D1">
        <w:rPr>
          <w:rStyle w:val="referencesarticle-title"/>
        </w:rPr>
        <w:t>Efficacy of quetiapine for impulsivity and affective symptoms in borderline personality disorder</w:t>
      </w:r>
      <w:r w:rsidR="004859D1" w:rsidRPr="00D965A9">
        <w:rPr>
          <w:b/>
        </w:rPr>
        <w:t xml:space="preserve">. </w:t>
      </w:r>
      <w:r w:rsidR="004859D1" w:rsidRPr="00D965A9">
        <w:rPr>
          <w:rStyle w:val="Strong"/>
          <w:b w:val="0"/>
        </w:rPr>
        <w:t>J Clin Psychopharmacol</w:t>
      </w:r>
      <w:r w:rsidR="004859D1">
        <w:t xml:space="preserve"> </w:t>
      </w:r>
      <w:r w:rsidR="004859D1">
        <w:rPr>
          <w:rStyle w:val="referencesyear"/>
        </w:rPr>
        <w:t>2008</w:t>
      </w:r>
      <w:r w:rsidR="004859D1">
        <w:t>; 28:147–155</w:t>
      </w:r>
    </w:p>
    <w:p w14:paraId="00398D77" w14:textId="77777777" w:rsidR="00C3689B" w:rsidRDefault="0024424C" w:rsidP="0020639F">
      <w:r>
        <w:t>33. Black DW, Zanarini MC, Romine A, Shaw M, Allen J, Schulz SC. Comparison of low and moderate dosages of extended-release quetiapine in borderline personality disorder: a randomized, double-blind, placebo-controlled trial. Am J Psychiatry. 2014 Nov 1;171(11):1174-82. doi: 10.1176/appi.ajp.2014.13101348. PMID: 24968985.</w:t>
      </w:r>
    </w:p>
    <w:p w14:paraId="3AF4AC94" w14:textId="1738933B" w:rsidR="006C0766" w:rsidRDefault="006C0766">
      <w:r>
        <w:br w:type="page"/>
      </w:r>
    </w:p>
    <w:p w14:paraId="17CB869B" w14:textId="6795FAA6" w:rsidR="006C0766" w:rsidRPr="0041367C" w:rsidRDefault="006C0766" w:rsidP="006C0766">
      <w:pPr>
        <w:spacing w:line="480" w:lineRule="auto"/>
        <w:rPr>
          <w:szCs w:val="24"/>
        </w:rPr>
      </w:pPr>
      <w:r w:rsidRPr="006C0766">
        <w:rPr>
          <w:b/>
          <w:bCs/>
          <w:szCs w:val="24"/>
        </w:rPr>
        <w:t>Declaration of Interest</w:t>
      </w:r>
      <w:r w:rsidRPr="0041367C">
        <w:rPr>
          <w:b/>
          <w:szCs w:val="24"/>
        </w:rPr>
        <w:t>:</w:t>
      </w:r>
      <w:r w:rsidRPr="0041367C">
        <w:rPr>
          <w:szCs w:val="24"/>
        </w:rPr>
        <w:t xml:space="preserve"> Dr. Grant has received research grants from the TLC Foundation for Body-Focused Repetitive Behaviors, </w:t>
      </w:r>
      <w:r>
        <w:rPr>
          <w:szCs w:val="24"/>
        </w:rPr>
        <w:t>and Otsuka</w:t>
      </w:r>
      <w:r w:rsidRPr="0041367C">
        <w:rPr>
          <w:szCs w:val="24"/>
        </w:rPr>
        <w:t xml:space="preserve">, Biohaven, and Avanir Pharmaceuticals. He receives yearly compensation for acting as editor-in-chief of the Journal of Gambling Studies and has received royalties from Oxford University Press, American Psychiatric Publishing, Inc., Norton Press, and McGraw Hill. </w:t>
      </w:r>
      <w:r>
        <w:rPr>
          <w:szCs w:val="24"/>
        </w:rPr>
        <w:t xml:space="preserve">Dr. Chamberlain receives honoraria from Elsevier for editorial work. Dr. Chamberlain previously consulted for Promentis. The other authors report no relevant disclosures. </w:t>
      </w:r>
    </w:p>
    <w:p w14:paraId="1D3648AC" w14:textId="77777777" w:rsidR="008C19FA" w:rsidRDefault="008C19FA" w:rsidP="006C0766">
      <w:pPr>
        <w:spacing w:line="480" w:lineRule="auto"/>
        <w:rPr>
          <w:b/>
          <w:bCs/>
          <w:szCs w:val="24"/>
        </w:rPr>
      </w:pPr>
    </w:p>
    <w:p w14:paraId="6A1B9D74" w14:textId="07714D41" w:rsidR="006C0766" w:rsidRPr="0041367C" w:rsidRDefault="006C0766" w:rsidP="006C0766">
      <w:pPr>
        <w:spacing w:line="480" w:lineRule="auto"/>
        <w:rPr>
          <w:szCs w:val="24"/>
        </w:rPr>
      </w:pPr>
      <w:r w:rsidRPr="006C0766">
        <w:rPr>
          <w:b/>
          <w:bCs/>
          <w:szCs w:val="24"/>
        </w:rPr>
        <w:t>Funding</w:t>
      </w:r>
      <w:r w:rsidRPr="0041367C">
        <w:rPr>
          <w:b/>
          <w:szCs w:val="24"/>
        </w:rPr>
        <w:t>:</w:t>
      </w:r>
      <w:r w:rsidRPr="0041367C">
        <w:rPr>
          <w:szCs w:val="24"/>
        </w:rPr>
        <w:t xml:space="preserve"> This study was funded by </w:t>
      </w:r>
      <w:r>
        <w:rPr>
          <w:szCs w:val="24"/>
        </w:rPr>
        <w:t>an investigator initiated grant from Otsuka Pharmaceuticals</w:t>
      </w:r>
      <w:r w:rsidRPr="0041367C">
        <w:rPr>
          <w:szCs w:val="24"/>
        </w:rPr>
        <w:t>.</w:t>
      </w:r>
      <w:r w:rsidRPr="00E06E09">
        <w:rPr>
          <w:szCs w:val="24"/>
        </w:rPr>
        <w:t xml:space="preserve"> </w:t>
      </w:r>
      <w:r>
        <w:rPr>
          <w:szCs w:val="24"/>
        </w:rPr>
        <w:t>Dr. Chamberlain’s role in this study was funded by a Wellcome Trust Clinical Fellowship (</w:t>
      </w:r>
      <w:r w:rsidRPr="00A9320A">
        <w:rPr>
          <w:szCs w:val="24"/>
        </w:rPr>
        <w:t>110049/Z/15/Z</w:t>
      </w:r>
      <w:r>
        <w:rPr>
          <w:szCs w:val="24"/>
        </w:rPr>
        <w:t xml:space="preserve"> &amp; 110049/Z/15/A). </w:t>
      </w:r>
    </w:p>
    <w:p w14:paraId="6FEB3CE0" w14:textId="211823C2" w:rsidR="006C0766" w:rsidRPr="006C0766" w:rsidRDefault="006C0766" w:rsidP="008C19FA">
      <w:pPr>
        <w:spacing w:before="100" w:beforeAutospacing="1" w:after="100" w:afterAutospacing="1" w:line="480" w:lineRule="auto"/>
        <w:rPr>
          <w:szCs w:val="24"/>
        </w:rPr>
      </w:pPr>
      <w:r w:rsidRPr="006C0766">
        <w:rPr>
          <w:b/>
          <w:bCs/>
          <w:szCs w:val="24"/>
        </w:rPr>
        <w:t>Acknowledgements</w:t>
      </w:r>
      <w:r>
        <w:rPr>
          <w:b/>
          <w:bCs/>
          <w:szCs w:val="24"/>
        </w:rPr>
        <w:t>:</w:t>
      </w:r>
      <w:r w:rsidRPr="006C0766">
        <w:rPr>
          <w:szCs w:val="24"/>
        </w:rPr>
        <w:t xml:space="preserve"> </w:t>
      </w:r>
      <w:r>
        <w:rPr>
          <w:szCs w:val="24"/>
        </w:rPr>
        <w:t>None</w:t>
      </w:r>
    </w:p>
    <w:p w14:paraId="2E8B460D" w14:textId="53333740" w:rsidR="006C0766" w:rsidRPr="006C0766" w:rsidRDefault="006C0766" w:rsidP="008C19FA">
      <w:pPr>
        <w:spacing w:before="100" w:beforeAutospacing="1" w:after="100" w:afterAutospacing="1" w:line="480" w:lineRule="auto"/>
        <w:rPr>
          <w:szCs w:val="24"/>
        </w:rPr>
      </w:pPr>
      <w:r w:rsidRPr="006C0766">
        <w:rPr>
          <w:b/>
          <w:bCs/>
          <w:szCs w:val="24"/>
        </w:rPr>
        <w:t xml:space="preserve">Author Contribution </w:t>
      </w:r>
      <w:r w:rsidRPr="006C0766">
        <w:rPr>
          <w:szCs w:val="24"/>
        </w:rPr>
        <w:t xml:space="preserve">– All authors </w:t>
      </w:r>
      <w:r>
        <w:rPr>
          <w:szCs w:val="24"/>
        </w:rPr>
        <w:t xml:space="preserve">took part in </w:t>
      </w:r>
      <w:r w:rsidRPr="006C0766">
        <w:rPr>
          <w:szCs w:val="24"/>
        </w:rPr>
        <w:t>formulating the research question, designing the study, carrying it out, analy</w:t>
      </w:r>
      <w:r>
        <w:rPr>
          <w:szCs w:val="24"/>
        </w:rPr>
        <w:t>z</w:t>
      </w:r>
      <w:r w:rsidRPr="006C0766">
        <w:rPr>
          <w:szCs w:val="24"/>
        </w:rPr>
        <w:t>ing the data and writing the article.</w:t>
      </w:r>
    </w:p>
    <w:p w14:paraId="34E50DC5" w14:textId="2947B4AD" w:rsidR="006C0766" w:rsidRPr="006C0766" w:rsidRDefault="006C0766" w:rsidP="008C19FA">
      <w:pPr>
        <w:spacing w:before="100" w:beforeAutospacing="1" w:after="100" w:afterAutospacing="1" w:line="480" w:lineRule="auto"/>
        <w:rPr>
          <w:szCs w:val="24"/>
        </w:rPr>
      </w:pPr>
      <w:r w:rsidRPr="006C0766">
        <w:rPr>
          <w:b/>
          <w:bCs/>
          <w:szCs w:val="24"/>
        </w:rPr>
        <w:t>Data Availability</w:t>
      </w:r>
      <w:r w:rsidR="008C19FA">
        <w:rPr>
          <w:b/>
          <w:bCs/>
          <w:szCs w:val="24"/>
        </w:rPr>
        <w:t xml:space="preserve">: </w:t>
      </w:r>
      <w:r w:rsidRPr="006C0766">
        <w:rPr>
          <w:szCs w:val="24"/>
        </w:rPr>
        <w:t>The data that support the findings of this study are available from the corresponding author, [</w:t>
      </w:r>
      <w:r w:rsidR="008C19FA">
        <w:rPr>
          <w:szCs w:val="24"/>
        </w:rPr>
        <w:t>JEG</w:t>
      </w:r>
      <w:r w:rsidRPr="006C0766">
        <w:rPr>
          <w:szCs w:val="24"/>
        </w:rPr>
        <w:t>]</w:t>
      </w:r>
      <w:r w:rsidR="008C19FA">
        <w:rPr>
          <w:szCs w:val="24"/>
        </w:rPr>
        <w:t>, upon reasonable request</w:t>
      </w:r>
      <w:r w:rsidRPr="006C0766">
        <w:rPr>
          <w:szCs w:val="24"/>
        </w:rPr>
        <w:t xml:space="preserve">. The data are not publicly available due to </w:t>
      </w:r>
      <w:r w:rsidR="008C19FA">
        <w:rPr>
          <w:szCs w:val="24"/>
        </w:rPr>
        <w:t xml:space="preserve">confidentiality issues. </w:t>
      </w:r>
    </w:p>
    <w:p w14:paraId="70750889" w14:textId="77777777" w:rsidR="00BA4183" w:rsidRDefault="00BA4183" w:rsidP="0020639F"/>
    <w:p w14:paraId="578D72E5" w14:textId="77777777" w:rsidR="006B26F4" w:rsidRDefault="006B26F4" w:rsidP="006B26F4">
      <w:pPr>
        <w:rPr>
          <w:szCs w:val="24"/>
        </w:rPr>
      </w:pPr>
    </w:p>
    <w:sectPr w:rsidR="006B26F4" w:rsidSect="00561B9A">
      <w:footerReference w:type="default" r:id="rId12"/>
      <w:pgSz w:w="12240" w:h="15840" w:code="1"/>
      <w:pgMar w:top="72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A9FFE" w14:textId="77777777" w:rsidR="00AC5A1D" w:rsidRDefault="00AC5A1D">
      <w:r>
        <w:separator/>
      </w:r>
    </w:p>
  </w:endnote>
  <w:endnote w:type="continuationSeparator" w:id="0">
    <w:p w14:paraId="6F175D63" w14:textId="77777777" w:rsidR="00AC5A1D" w:rsidRDefault="00AC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895845"/>
      <w:docPartObj>
        <w:docPartGallery w:val="Page Numbers (Bottom of Page)"/>
        <w:docPartUnique/>
      </w:docPartObj>
    </w:sdtPr>
    <w:sdtEndPr>
      <w:rPr>
        <w:noProof/>
      </w:rPr>
    </w:sdtEndPr>
    <w:sdtContent>
      <w:p w14:paraId="7886096C" w14:textId="11CC3DBC" w:rsidR="004E58FD" w:rsidRDefault="004E58FD">
        <w:pPr>
          <w:pStyle w:val="Footer"/>
          <w:jc w:val="right"/>
        </w:pPr>
        <w:r>
          <w:fldChar w:fldCharType="begin"/>
        </w:r>
        <w:r>
          <w:instrText xml:space="preserve"> PAGE   \* MERGEFORMAT </w:instrText>
        </w:r>
        <w:r>
          <w:fldChar w:fldCharType="separate"/>
        </w:r>
        <w:r w:rsidR="00E84ED8">
          <w:rPr>
            <w:noProof/>
          </w:rPr>
          <w:t>1</w:t>
        </w:r>
        <w:r>
          <w:rPr>
            <w:noProof/>
          </w:rPr>
          <w:fldChar w:fldCharType="end"/>
        </w:r>
      </w:p>
    </w:sdtContent>
  </w:sdt>
  <w:p w14:paraId="49246214" w14:textId="77777777" w:rsidR="004E58FD" w:rsidRDefault="004E58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3C7D4" w14:textId="77777777" w:rsidR="00AC5A1D" w:rsidRDefault="00AC5A1D">
      <w:r>
        <w:separator/>
      </w:r>
    </w:p>
  </w:footnote>
  <w:footnote w:type="continuationSeparator" w:id="0">
    <w:p w14:paraId="0B91358E" w14:textId="77777777" w:rsidR="00AC5A1D" w:rsidRDefault="00AC5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0C9555"/>
    <w:multiLevelType w:val="hybridMultilevel"/>
    <w:tmpl w:val="C3CF06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31792"/>
    <w:multiLevelType w:val="hybridMultilevel"/>
    <w:tmpl w:val="043A77B2"/>
    <w:lvl w:ilvl="0" w:tplc="98D0DD0E">
      <w:start w:val="6"/>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16773"/>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14F415D8"/>
    <w:multiLevelType w:val="hybridMultilevel"/>
    <w:tmpl w:val="3A7C0B74"/>
    <w:lvl w:ilvl="0" w:tplc="BD841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85587F"/>
    <w:multiLevelType w:val="multilevel"/>
    <w:tmpl w:val="B28E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09457A"/>
    <w:multiLevelType w:val="hybridMultilevel"/>
    <w:tmpl w:val="46FE0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8C1F0A"/>
    <w:multiLevelType w:val="hybridMultilevel"/>
    <w:tmpl w:val="0C989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777E46"/>
    <w:multiLevelType w:val="hybridMultilevel"/>
    <w:tmpl w:val="38FC8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A7759"/>
    <w:multiLevelType w:val="singleLevel"/>
    <w:tmpl w:val="04090001"/>
    <w:lvl w:ilvl="0">
      <w:numFmt w:val="bullet"/>
      <w:lvlText w:val=""/>
      <w:lvlJc w:val="left"/>
      <w:pPr>
        <w:tabs>
          <w:tab w:val="num" w:pos="360"/>
        </w:tabs>
        <w:ind w:left="360" w:hanging="360"/>
      </w:pPr>
      <w:rPr>
        <w:rFonts w:ascii="Symbol" w:hAnsi="Symbol" w:hint="default"/>
        <w:sz w:val="20"/>
      </w:rPr>
    </w:lvl>
  </w:abstractNum>
  <w:abstractNum w:abstractNumId="9" w15:restartNumberingAfterBreak="0">
    <w:nsid w:val="5D3740F6"/>
    <w:multiLevelType w:val="hybridMultilevel"/>
    <w:tmpl w:val="C5BC7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4A2E60"/>
    <w:multiLevelType w:val="singleLevel"/>
    <w:tmpl w:val="84FC5450"/>
    <w:lvl w:ilvl="0">
      <w:start w:val="1"/>
      <w:numFmt w:val="decimal"/>
      <w:lvlText w:val="%1)"/>
      <w:lvlJc w:val="left"/>
      <w:pPr>
        <w:tabs>
          <w:tab w:val="num" w:pos="450"/>
        </w:tabs>
        <w:ind w:left="450" w:hanging="360"/>
      </w:pPr>
      <w:rPr>
        <w:rFonts w:hint="default"/>
      </w:rPr>
    </w:lvl>
  </w:abstractNum>
  <w:abstractNum w:abstractNumId="11" w15:restartNumberingAfterBreak="0">
    <w:nsid w:val="6CFC475F"/>
    <w:multiLevelType w:val="hybridMultilevel"/>
    <w:tmpl w:val="8BA6EFBA"/>
    <w:lvl w:ilvl="0" w:tplc="39A019C4">
      <w:start w:val="1"/>
      <w:numFmt w:val="bullet"/>
      <w:pStyle w:val="ListParagraph"/>
      <w:lvlText w:val=""/>
      <w:lvlJc w:val="left"/>
      <w:pPr>
        <w:ind w:left="720" w:hanging="360"/>
      </w:pPr>
      <w:rPr>
        <w:rFonts w:ascii="Symbol" w:hAnsi="Symbol" w:hint="default"/>
        <w:color w:val="A6A6A6"/>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60B81"/>
    <w:multiLevelType w:val="hybridMultilevel"/>
    <w:tmpl w:val="FE64F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2B624A"/>
    <w:multiLevelType w:val="multilevel"/>
    <w:tmpl w:val="11D0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8"/>
  </w:num>
  <w:num w:numId="4">
    <w:abstractNumId w:val="3"/>
  </w:num>
  <w:num w:numId="5">
    <w:abstractNumId w:val="5"/>
  </w:num>
  <w:num w:numId="6">
    <w:abstractNumId w:val="6"/>
  </w:num>
  <w:num w:numId="7">
    <w:abstractNumId w:val="7"/>
  </w:num>
  <w:num w:numId="8">
    <w:abstractNumId w:val="9"/>
  </w:num>
  <w:num w:numId="9">
    <w:abstractNumId w:val="12"/>
  </w:num>
  <w:num w:numId="10">
    <w:abstractNumId w:val="11"/>
  </w:num>
  <w:num w:numId="11">
    <w:abstractNumId w:val="1"/>
  </w:num>
  <w:num w:numId="12">
    <w:abstractNumId w:val="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66"/>
    <w:rsid w:val="000004F8"/>
    <w:rsid w:val="00004F95"/>
    <w:rsid w:val="00006CF0"/>
    <w:rsid w:val="00016ED9"/>
    <w:rsid w:val="00023F3A"/>
    <w:rsid w:val="000242CF"/>
    <w:rsid w:val="0003587A"/>
    <w:rsid w:val="00037E0D"/>
    <w:rsid w:val="000429FB"/>
    <w:rsid w:val="000470D0"/>
    <w:rsid w:val="000552A7"/>
    <w:rsid w:val="00061048"/>
    <w:rsid w:val="0006778F"/>
    <w:rsid w:val="00082B43"/>
    <w:rsid w:val="00091B22"/>
    <w:rsid w:val="000979FF"/>
    <w:rsid w:val="000A03FF"/>
    <w:rsid w:val="000A1282"/>
    <w:rsid w:val="000B6E90"/>
    <w:rsid w:val="000C3CC4"/>
    <w:rsid w:val="000D76DD"/>
    <w:rsid w:val="000E30AF"/>
    <w:rsid w:val="000F1475"/>
    <w:rsid w:val="0010235E"/>
    <w:rsid w:val="00104EEE"/>
    <w:rsid w:val="00114289"/>
    <w:rsid w:val="00114EB0"/>
    <w:rsid w:val="00116231"/>
    <w:rsid w:val="001279FF"/>
    <w:rsid w:val="00143AF4"/>
    <w:rsid w:val="00144167"/>
    <w:rsid w:val="001506CA"/>
    <w:rsid w:val="00151655"/>
    <w:rsid w:val="00156802"/>
    <w:rsid w:val="00156E0A"/>
    <w:rsid w:val="00157E8A"/>
    <w:rsid w:val="0016613A"/>
    <w:rsid w:val="00166FF6"/>
    <w:rsid w:val="0017368A"/>
    <w:rsid w:val="00173A8D"/>
    <w:rsid w:val="00174022"/>
    <w:rsid w:val="00175F1D"/>
    <w:rsid w:val="0018275E"/>
    <w:rsid w:val="001865CD"/>
    <w:rsid w:val="001A556C"/>
    <w:rsid w:val="001A580B"/>
    <w:rsid w:val="001A692E"/>
    <w:rsid w:val="001B08A2"/>
    <w:rsid w:val="001B2E8D"/>
    <w:rsid w:val="001B6D76"/>
    <w:rsid w:val="001C3A5E"/>
    <w:rsid w:val="001D77F1"/>
    <w:rsid w:val="001E5BE3"/>
    <w:rsid w:val="00201691"/>
    <w:rsid w:val="0020639F"/>
    <w:rsid w:val="00206497"/>
    <w:rsid w:val="00232975"/>
    <w:rsid w:val="0023395B"/>
    <w:rsid w:val="0023771D"/>
    <w:rsid w:val="00240B4A"/>
    <w:rsid w:val="00243E66"/>
    <w:rsid w:val="0024424C"/>
    <w:rsid w:val="0026289B"/>
    <w:rsid w:val="00265592"/>
    <w:rsid w:val="0027183F"/>
    <w:rsid w:val="002724BF"/>
    <w:rsid w:val="00276240"/>
    <w:rsid w:val="002825DF"/>
    <w:rsid w:val="00291BCF"/>
    <w:rsid w:val="002B54EB"/>
    <w:rsid w:val="002C0249"/>
    <w:rsid w:val="002C5E3A"/>
    <w:rsid w:val="002C6F9A"/>
    <w:rsid w:val="002D7034"/>
    <w:rsid w:val="002E2665"/>
    <w:rsid w:val="002E6E33"/>
    <w:rsid w:val="002E6EBE"/>
    <w:rsid w:val="002F072D"/>
    <w:rsid w:val="00301DF8"/>
    <w:rsid w:val="00303547"/>
    <w:rsid w:val="00311358"/>
    <w:rsid w:val="00314298"/>
    <w:rsid w:val="0031497B"/>
    <w:rsid w:val="00314B6A"/>
    <w:rsid w:val="00315985"/>
    <w:rsid w:val="00315BF6"/>
    <w:rsid w:val="00327C31"/>
    <w:rsid w:val="00332153"/>
    <w:rsid w:val="00340DED"/>
    <w:rsid w:val="00343C2A"/>
    <w:rsid w:val="00345E7A"/>
    <w:rsid w:val="003610F3"/>
    <w:rsid w:val="00382FB9"/>
    <w:rsid w:val="00392C29"/>
    <w:rsid w:val="00393470"/>
    <w:rsid w:val="003A528C"/>
    <w:rsid w:val="003B5DD1"/>
    <w:rsid w:val="003B78C5"/>
    <w:rsid w:val="003B7A78"/>
    <w:rsid w:val="003C024B"/>
    <w:rsid w:val="003C2D50"/>
    <w:rsid w:val="003E0713"/>
    <w:rsid w:val="003E16D2"/>
    <w:rsid w:val="003E1890"/>
    <w:rsid w:val="003E4223"/>
    <w:rsid w:val="003E5F58"/>
    <w:rsid w:val="003E74C6"/>
    <w:rsid w:val="003F370E"/>
    <w:rsid w:val="003F46C2"/>
    <w:rsid w:val="0042030A"/>
    <w:rsid w:val="0042292D"/>
    <w:rsid w:val="00425E3D"/>
    <w:rsid w:val="004349EC"/>
    <w:rsid w:val="00436653"/>
    <w:rsid w:val="0043681D"/>
    <w:rsid w:val="00440584"/>
    <w:rsid w:val="00442D8B"/>
    <w:rsid w:val="00443C7D"/>
    <w:rsid w:val="00443C8C"/>
    <w:rsid w:val="00454FBB"/>
    <w:rsid w:val="004568AC"/>
    <w:rsid w:val="00462AAF"/>
    <w:rsid w:val="00465CD8"/>
    <w:rsid w:val="00467975"/>
    <w:rsid w:val="00470FA2"/>
    <w:rsid w:val="004859D1"/>
    <w:rsid w:val="0048699F"/>
    <w:rsid w:val="00487DF0"/>
    <w:rsid w:val="004A5B06"/>
    <w:rsid w:val="004B3FD0"/>
    <w:rsid w:val="004B5583"/>
    <w:rsid w:val="004C152A"/>
    <w:rsid w:val="004D7229"/>
    <w:rsid w:val="004E5110"/>
    <w:rsid w:val="004E58FD"/>
    <w:rsid w:val="004F2402"/>
    <w:rsid w:val="004F45F0"/>
    <w:rsid w:val="004F735D"/>
    <w:rsid w:val="00507BB7"/>
    <w:rsid w:val="00526098"/>
    <w:rsid w:val="005362EE"/>
    <w:rsid w:val="005478A9"/>
    <w:rsid w:val="005523D6"/>
    <w:rsid w:val="00560C44"/>
    <w:rsid w:val="00561B9A"/>
    <w:rsid w:val="0058394A"/>
    <w:rsid w:val="0058485B"/>
    <w:rsid w:val="00587178"/>
    <w:rsid w:val="0059668D"/>
    <w:rsid w:val="00597B61"/>
    <w:rsid w:val="005A65D1"/>
    <w:rsid w:val="005A6C86"/>
    <w:rsid w:val="005C451D"/>
    <w:rsid w:val="005C4AC2"/>
    <w:rsid w:val="005C6C2A"/>
    <w:rsid w:val="005D365C"/>
    <w:rsid w:val="005D52C0"/>
    <w:rsid w:val="005D6713"/>
    <w:rsid w:val="005D7A6B"/>
    <w:rsid w:val="005F3348"/>
    <w:rsid w:val="005F4B11"/>
    <w:rsid w:val="00600652"/>
    <w:rsid w:val="00606396"/>
    <w:rsid w:val="006109E1"/>
    <w:rsid w:val="006125F6"/>
    <w:rsid w:val="0062379E"/>
    <w:rsid w:val="00625621"/>
    <w:rsid w:val="00630CBD"/>
    <w:rsid w:val="00643B12"/>
    <w:rsid w:val="006537D7"/>
    <w:rsid w:val="00654FF2"/>
    <w:rsid w:val="00656535"/>
    <w:rsid w:val="00667946"/>
    <w:rsid w:val="00671CC5"/>
    <w:rsid w:val="00672B7C"/>
    <w:rsid w:val="00676407"/>
    <w:rsid w:val="006862E0"/>
    <w:rsid w:val="00692253"/>
    <w:rsid w:val="00695DA9"/>
    <w:rsid w:val="006A3C6A"/>
    <w:rsid w:val="006A57A8"/>
    <w:rsid w:val="006B26F4"/>
    <w:rsid w:val="006B3480"/>
    <w:rsid w:val="006C0766"/>
    <w:rsid w:val="006C4936"/>
    <w:rsid w:val="006D5DE5"/>
    <w:rsid w:val="006D610E"/>
    <w:rsid w:val="006E4C93"/>
    <w:rsid w:val="006E5F77"/>
    <w:rsid w:val="006F3D1F"/>
    <w:rsid w:val="006F7F27"/>
    <w:rsid w:val="00703251"/>
    <w:rsid w:val="007138FC"/>
    <w:rsid w:val="007304D2"/>
    <w:rsid w:val="00733056"/>
    <w:rsid w:val="007344DF"/>
    <w:rsid w:val="0073514F"/>
    <w:rsid w:val="00744032"/>
    <w:rsid w:val="007440E1"/>
    <w:rsid w:val="007454B6"/>
    <w:rsid w:val="0075509E"/>
    <w:rsid w:val="00767A32"/>
    <w:rsid w:val="00774312"/>
    <w:rsid w:val="00775DCD"/>
    <w:rsid w:val="00777A66"/>
    <w:rsid w:val="0078171E"/>
    <w:rsid w:val="007835E0"/>
    <w:rsid w:val="0079037B"/>
    <w:rsid w:val="00792035"/>
    <w:rsid w:val="00792813"/>
    <w:rsid w:val="007A2E4B"/>
    <w:rsid w:val="007A34DE"/>
    <w:rsid w:val="007A38C5"/>
    <w:rsid w:val="007B5A6C"/>
    <w:rsid w:val="007C0FD5"/>
    <w:rsid w:val="007C230B"/>
    <w:rsid w:val="007C3393"/>
    <w:rsid w:val="007C6E63"/>
    <w:rsid w:val="007D7005"/>
    <w:rsid w:val="007D7B83"/>
    <w:rsid w:val="007E6238"/>
    <w:rsid w:val="007F4ECC"/>
    <w:rsid w:val="008061BC"/>
    <w:rsid w:val="00807172"/>
    <w:rsid w:val="00810F15"/>
    <w:rsid w:val="00811CCB"/>
    <w:rsid w:val="0081769B"/>
    <w:rsid w:val="008209B4"/>
    <w:rsid w:val="00825E51"/>
    <w:rsid w:val="00826006"/>
    <w:rsid w:val="008300C5"/>
    <w:rsid w:val="0083302D"/>
    <w:rsid w:val="0084219B"/>
    <w:rsid w:val="00844CEF"/>
    <w:rsid w:val="0088234C"/>
    <w:rsid w:val="00884187"/>
    <w:rsid w:val="0089381F"/>
    <w:rsid w:val="00894930"/>
    <w:rsid w:val="008A2589"/>
    <w:rsid w:val="008B017C"/>
    <w:rsid w:val="008B038E"/>
    <w:rsid w:val="008B091E"/>
    <w:rsid w:val="008C19FA"/>
    <w:rsid w:val="008C497C"/>
    <w:rsid w:val="008D09AD"/>
    <w:rsid w:val="008D512D"/>
    <w:rsid w:val="008F2940"/>
    <w:rsid w:val="008F371A"/>
    <w:rsid w:val="008F619F"/>
    <w:rsid w:val="008F72BD"/>
    <w:rsid w:val="00901AB2"/>
    <w:rsid w:val="009103F3"/>
    <w:rsid w:val="00910C90"/>
    <w:rsid w:val="00926EF7"/>
    <w:rsid w:val="00932D4F"/>
    <w:rsid w:val="009334BC"/>
    <w:rsid w:val="00942DDD"/>
    <w:rsid w:val="00954E0D"/>
    <w:rsid w:val="00973D1C"/>
    <w:rsid w:val="0098643E"/>
    <w:rsid w:val="009942DC"/>
    <w:rsid w:val="00996312"/>
    <w:rsid w:val="009A28F2"/>
    <w:rsid w:val="009A7637"/>
    <w:rsid w:val="009A7A33"/>
    <w:rsid w:val="009B5DED"/>
    <w:rsid w:val="009C2BF4"/>
    <w:rsid w:val="009D0BC1"/>
    <w:rsid w:val="009D6354"/>
    <w:rsid w:val="009E1372"/>
    <w:rsid w:val="009E3A02"/>
    <w:rsid w:val="009F39EB"/>
    <w:rsid w:val="009F5B06"/>
    <w:rsid w:val="009F71E9"/>
    <w:rsid w:val="00A00DF5"/>
    <w:rsid w:val="00A02B10"/>
    <w:rsid w:val="00A10B70"/>
    <w:rsid w:val="00A14812"/>
    <w:rsid w:val="00A2020F"/>
    <w:rsid w:val="00A31E09"/>
    <w:rsid w:val="00A31E74"/>
    <w:rsid w:val="00A34317"/>
    <w:rsid w:val="00A42F00"/>
    <w:rsid w:val="00A44CB0"/>
    <w:rsid w:val="00A46EE4"/>
    <w:rsid w:val="00A529D3"/>
    <w:rsid w:val="00A53B29"/>
    <w:rsid w:val="00A56910"/>
    <w:rsid w:val="00A5734C"/>
    <w:rsid w:val="00A63661"/>
    <w:rsid w:val="00A63930"/>
    <w:rsid w:val="00A6795F"/>
    <w:rsid w:val="00A70FB3"/>
    <w:rsid w:val="00A72DDA"/>
    <w:rsid w:val="00A77391"/>
    <w:rsid w:val="00A77841"/>
    <w:rsid w:val="00A85CD8"/>
    <w:rsid w:val="00A90632"/>
    <w:rsid w:val="00AA0D92"/>
    <w:rsid w:val="00AA202F"/>
    <w:rsid w:val="00AA2A6B"/>
    <w:rsid w:val="00AA5598"/>
    <w:rsid w:val="00AB77BE"/>
    <w:rsid w:val="00AC0AD7"/>
    <w:rsid w:val="00AC5A1D"/>
    <w:rsid w:val="00AD1364"/>
    <w:rsid w:val="00AE718F"/>
    <w:rsid w:val="00AF2263"/>
    <w:rsid w:val="00AF2A1C"/>
    <w:rsid w:val="00AF5CD3"/>
    <w:rsid w:val="00B01583"/>
    <w:rsid w:val="00B02C1C"/>
    <w:rsid w:val="00B05090"/>
    <w:rsid w:val="00B11DB6"/>
    <w:rsid w:val="00B26A46"/>
    <w:rsid w:val="00B32CC4"/>
    <w:rsid w:val="00B37F65"/>
    <w:rsid w:val="00B41F39"/>
    <w:rsid w:val="00B421D9"/>
    <w:rsid w:val="00B50559"/>
    <w:rsid w:val="00B50DA2"/>
    <w:rsid w:val="00B519C2"/>
    <w:rsid w:val="00B73300"/>
    <w:rsid w:val="00B923BC"/>
    <w:rsid w:val="00BA3973"/>
    <w:rsid w:val="00BA4183"/>
    <w:rsid w:val="00BB3068"/>
    <w:rsid w:val="00BB4EB8"/>
    <w:rsid w:val="00BB79D9"/>
    <w:rsid w:val="00BC3CC8"/>
    <w:rsid w:val="00BC537E"/>
    <w:rsid w:val="00BC594E"/>
    <w:rsid w:val="00BD2A4E"/>
    <w:rsid w:val="00BD5589"/>
    <w:rsid w:val="00BD7047"/>
    <w:rsid w:val="00BE3F01"/>
    <w:rsid w:val="00C000FB"/>
    <w:rsid w:val="00C05876"/>
    <w:rsid w:val="00C07184"/>
    <w:rsid w:val="00C107C4"/>
    <w:rsid w:val="00C1466C"/>
    <w:rsid w:val="00C14F04"/>
    <w:rsid w:val="00C16E84"/>
    <w:rsid w:val="00C2513C"/>
    <w:rsid w:val="00C32CB7"/>
    <w:rsid w:val="00C3689B"/>
    <w:rsid w:val="00C37619"/>
    <w:rsid w:val="00C44422"/>
    <w:rsid w:val="00C45935"/>
    <w:rsid w:val="00C553D8"/>
    <w:rsid w:val="00C7489D"/>
    <w:rsid w:val="00C76C7C"/>
    <w:rsid w:val="00C90082"/>
    <w:rsid w:val="00C92C16"/>
    <w:rsid w:val="00C9528C"/>
    <w:rsid w:val="00CA1002"/>
    <w:rsid w:val="00CB1CC8"/>
    <w:rsid w:val="00CB6EEF"/>
    <w:rsid w:val="00CD02E2"/>
    <w:rsid w:val="00CD4852"/>
    <w:rsid w:val="00CD72AB"/>
    <w:rsid w:val="00CE3891"/>
    <w:rsid w:val="00CE6498"/>
    <w:rsid w:val="00CE6642"/>
    <w:rsid w:val="00D00ED8"/>
    <w:rsid w:val="00D15CF2"/>
    <w:rsid w:val="00D34CC0"/>
    <w:rsid w:val="00D37DDA"/>
    <w:rsid w:val="00D418F6"/>
    <w:rsid w:val="00D533B4"/>
    <w:rsid w:val="00D57222"/>
    <w:rsid w:val="00D607E3"/>
    <w:rsid w:val="00D646E2"/>
    <w:rsid w:val="00D70D29"/>
    <w:rsid w:val="00D73B99"/>
    <w:rsid w:val="00D91DBB"/>
    <w:rsid w:val="00D95A53"/>
    <w:rsid w:val="00D965A9"/>
    <w:rsid w:val="00D97728"/>
    <w:rsid w:val="00DB25DA"/>
    <w:rsid w:val="00DB4DA5"/>
    <w:rsid w:val="00DC16F4"/>
    <w:rsid w:val="00DC55AA"/>
    <w:rsid w:val="00DC7A00"/>
    <w:rsid w:val="00DD0E08"/>
    <w:rsid w:val="00DE13E1"/>
    <w:rsid w:val="00DE15B2"/>
    <w:rsid w:val="00DF5CDB"/>
    <w:rsid w:val="00E026EB"/>
    <w:rsid w:val="00E05A23"/>
    <w:rsid w:val="00E10F13"/>
    <w:rsid w:val="00E34058"/>
    <w:rsid w:val="00E368ED"/>
    <w:rsid w:val="00E45073"/>
    <w:rsid w:val="00E574E8"/>
    <w:rsid w:val="00E60B38"/>
    <w:rsid w:val="00E621AE"/>
    <w:rsid w:val="00E7162A"/>
    <w:rsid w:val="00E756A3"/>
    <w:rsid w:val="00E76FC0"/>
    <w:rsid w:val="00E84ED8"/>
    <w:rsid w:val="00E85F0E"/>
    <w:rsid w:val="00E87A84"/>
    <w:rsid w:val="00E954A0"/>
    <w:rsid w:val="00EA3539"/>
    <w:rsid w:val="00EC1B9F"/>
    <w:rsid w:val="00EC2510"/>
    <w:rsid w:val="00EC7488"/>
    <w:rsid w:val="00ED396B"/>
    <w:rsid w:val="00ED4EA1"/>
    <w:rsid w:val="00ED6FD8"/>
    <w:rsid w:val="00ED7BB7"/>
    <w:rsid w:val="00EE3DB2"/>
    <w:rsid w:val="00F12622"/>
    <w:rsid w:val="00F2577F"/>
    <w:rsid w:val="00F344CA"/>
    <w:rsid w:val="00F371D3"/>
    <w:rsid w:val="00F40037"/>
    <w:rsid w:val="00F543EC"/>
    <w:rsid w:val="00F54B16"/>
    <w:rsid w:val="00F55DF1"/>
    <w:rsid w:val="00F61085"/>
    <w:rsid w:val="00F63225"/>
    <w:rsid w:val="00F720EB"/>
    <w:rsid w:val="00F82345"/>
    <w:rsid w:val="00F82682"/>
    <w:rsid w:val="00F826E0"/>
    <w:rsid w:val="00F857CA"/>
    <w:rsid w:val="00F86492"/>
    <w:rsid w:val="00F95A78"/>
    <w:rsid w:val="00FA12D0"/>
    <w:rsid w:val="00FA1D20"/>
    <w:rsid w:val="00FB2057"/>
    <w:rsid w:val="00FB2D72"/>
    <w:rsid w:val="00FB6876"/>
    <w:rsid w:val="00FD15CF"/>
    <w:rsid w:val="00FD79AF"/>
    <w:rsid w:val="00FE209F"/>
    <w:rsid w:val="00FE4EC3"/>
    <w:rsid w:val="00FF244F"/>
    <w:rsid w:val="00FF2EEC"/>
    <w:rsid w:val="00FF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3B738BE7"/>
  <w15:docId w15:val="{CA97FEDE-783F-4727-BA4D-529DBFBC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left="720" w:hanging="720"/>
      <w:outlineLvl w:val="0"/>
    </w:pPr>
    <w:rPr>
      <w:u w:val="single"/>
    </w:rPr>
  </w:style>
  <w:style w:type="paragraph" w:styleId="Heading2">
    <w:name w:val="heading 2"/>
    <w:basedOn w:val="Normal"/>
    <w:next w:val="Normal"/>
    <w:qFormat/>
    <w:pPr>
      <w:keepNext/>
      <w:outlineLvl w:val="1"/>
    </w:pPr>
    <w:rPr>
      <w:b/>
      <w:sz w:val="28"/>
      <w:u w:val="single"/>
    </w:rPr>
  </w:style>
  <w:style w:type="paragraph" w:styleId="Heading4">
    <w:name w:val="heading 4"/>
    <w:basedOn w:val="Normal"/>
    <w:next w:val="Normal"/>
    <w:link w:val="Heading4Char"/>
    <w:uiPriority w:val="9"/>
    <w:semiHidden/>
    <w:unhideWhenUsed/>
    <w:qFormat/>
    <w:rsid w:val="00C9528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1B9A"/>
    <w:pPr>
      <w:tabs>
        <w:tab w:val="center" w:pos="4320"/>
        <w:tab w:val="right" w:pos="8640"/>
      </w:tabs>
    </w:pPr>
  </w:style>
  <w:style w:type="paragraph" w:styleId="Footer">
    <w:name w:val="footer"/>
    <w:basedOn w:val="Normal"/>
    <w:link w:val="FooterChar"/>
    <w:uiPriority w:val="99"/>
    <w:rsid w:val="00561B9A"/>
    <w:pPr>
      <w:tabs>
        <w:tab w:val="center" w:pos="4320"/>
        <w:tab w:val="right" w:pos="8640"/>
      </w:tabs>
    </w:pPr>
  </w:style>
  <w:style w:type="character" w:styleId="PageNumber">
    <w:name w:val="page number"/>
    <w:basedOn w:val="DefaultParagraphFont"/>
    <w:rsid w:val="00561B9A"/>
  </w:style>
  <w:style w:type="character" w:styleId="Emphasis">
    <w:name w:val="Emphasis"/>
    <w:uiPriority w:val="20"/>
    <w:qFormat/>
    <w:rsid w:val="00B32CC4"/>
    <w:rPr>
      <w:i/>
      <w:iCs/>
    </w:rPr>
  </w:style>
  <w:style w:type="character" w:customStyle="1" w:styleId="volume">
    <w:name w:val="volume"/>
    <w:basedOn w:val="DefaultParagraphFont"/>
    <w:rsid w:val="00382FB9"/>
  </w:style>
  <w:style w:type="character" w:customStyle="1" w:styleId="issue">
    <w:name w:val="issue"/>
    <w:basedOn w:val="DefaultParagraphFont"/>
    <w:rsid w:val="00382FB9"/>
  </w:style>
  <w:style w:type="character" w:customStyle="1" w:styleId="pages">
    <w:name w:val="pages"/>
    <w:basedOn w:val="DefaultParagraphFont"/>
    <w:rsid w:val="00382FB9"/>
  </w:style>
  <w:style w:type="paragraph" w:styleId="NormalWeb">
    <w:name w:val="Normal (Web)"/>
    <w:basedOn w:val="Normal"/>
    <w:uiPriority w:val="99"/>
    <w:rsid w:val="007C0FD5"/>
    <w:pPr>
      <w:spacing w:before="100" w:beforeAutospacing="1" w:after="100" w:afterAutospacing="1"/>
    </w:pPr>
    <w:rPr>
      <w:szCs w:val="24"/>
    </w:rPr>
  </w:style>
  <w:style w:type="character" w:styleId="Hyperlink">
    <w:name w:val="Hyperlink"/>
    <w:uiPriority w:val="99"/>
    <w:unhideWhenUsed/>
    <w:rsid w:val="00F61085"/>
    <w:rPr>
      <w:color w:val="0000FF"/>
      <w:u w:val="single"/>
    </w:rPr>
  </w:style>
  <w:style w:type="paragraph" w:styleId="BalloonText">
    <w:name w:val="Balloon Text"/>
    <w:basedOn w:val="Normal"/>
    <w:link w:val="BalloonTextChar"/>
    <w:uiPriority w:val="99"/>
    <w:semiHidden/>
    <w:unhideWhenUsed/>
    <w:rsid w:val="009D6354"/>
    <w:rPr>
      <w:rFonts w:ascii="Tahoma" w:hAnsi="Tahoma" w:cs="Tahoma"/>
      <w:sz w:val="16"/>
      <w:szCs w:val="16"/>
    </w:rPr>
  </w:style>
  <w:style w:type="character" w:customStyle="1" w:styleId="BalloonTextChar">
    <w:name w:val="Balloon Text Char"/>
    <w:link w:val="BalloonText"/>
    <w:uiPriority w:val="99"/>
    <w:semiHidden/>
    <w:rsid w:val="009D6354"/>
    <w:rPr>
      <w:rFonts w:ascii="Tahoma" w:hAnsi="Tahoma" w:cs="Tahoma"/>
      <w:sz w:val="16"/>
      <w:szCs w:val="16"/>
    </w:rPr>
  </w:style>
  <w:style w:type="character" w:customStyle="1" w:styleId="FooterChar">
    <w:name w:val="Footer Char"/>
    <w:link w:val="Footer"/>
    <w:uiPriority w:val="99"/>
    <w:rsid w:val="00CD02E2"/>
    <w:rPr>
      <w:sz w:val="24"/>
    </w:rPr>
  </w:style>
  <w:style w:type="character" w:customStyle="1" w:styleId="apple-converted-space">
    <w:name w:val="apple-converted-space"/>
    <w:rsid w:val="00CD02E2"/>
  </w:style>
  <w:style w:type="character" w:customStyle="1" w:styleId="ref-journal">
    <w:name w:val="ref-journal"/>
    <w:rsid w:val="00CD02E2"/>
  </w:style>
  <w:style w:type="character" w:customStyle="1" w:styleId="ref-vol">
    <w:name w:val="ref-vol"/>
    <w:rsid w:val="00CD02E2"/>
  </w:style>
  <w:style w:type="character" w:customStyle="1" w:styleId="element-citation">
    <w:name w:val="element-citation"/>
    <w:rsid w:val="00C107C4"/>
  </w:style>
  <w:style w:type="character" w:styleId="CommentReference">
    <w:name w:val="annotation reference"/>
    <w:uiPriority w:val="99"/>
    <w:semiHidden/>
    <w:unhideWhenUsed/>
    <w:rsid w:val="00C32CB7"/>
    <w:rPr>
      <w:sz w:val="16"/>
      <w:szCs w:val="16"/>
    </w:rPr>
  </w:style>
  <w:style w:type="paragraph" w:styleId="CommentText">
    <w:name w:val="annotation text"/>
    <w:basedOn w:val="Normal"/>
    <w:link w:val="CommentTextChar"/>
    <w:uiPriority w:val="99"/>
    <w:semiHidden/>
    <w:unhideWhenUsed/>
    <w:rsid w:val="00C32CB7"/>
    <w:rPr>
      <w:sz w:val="20"/>
    </w:rPr>
  </w:style>
  <w:style w:type="character" w:customStyle="1" w:styleId="CommentTextChar">
    <w:name w:val="Comment Text Char"/>
    <w:link w:val="CommentText"/>
    <w:uiPriority w:val="99"/>
    <w:semiHidden/>
    <w:rsid w:val="00C32CB7"/>
    <w:rPr>
      <w:lang w:val="en-US" w:eastAsia="en-US"/>
    </w:rPr>
  </w:style>
  <w:style w:type="paragraph" w:styleId="CommentSubject">
    <w:name w:val="annotation subject"/>
    <w:basedOn w:val="CommentText"/>
    <w:next w:val="CommentText"/>
    <w:link w:val="CommentSubjectChar"/>
    <w:uiPriority w:val="99"/>
    <w:semiHidden/>
    <w:unhideWhenUsed/>
    <w:rsid w:val="00C32CB7"/>
    <w:rPr>
      <w:b/>
      <w:bCs/>
    </w:rPr>
  </w:style>
  <w:style w:type="character" w:customStyle="1" w:styleId="CommentSubjectChar">
    <w:name w:val="Comment Subject Char"/>
    <w:link w:val="CommentSubject"/>
    <w:uiPriority w:val="99"/>
    <w:semiHidden/>
    <w:rsid w:val="00C32CB7"/>
    <w:rPr>
      <w:b/>
      <w:bCs/>
      <w:lang w:val="en-US" w:eastAsia="en-US"/>
    </w:rPr>
  </w:style>
  <w:style w:type="table" w:customStyle="1" w:styleId="GridTable2-Accent31">
    <w:name w:val="Grid Table 2 - Accent 31"/>
    <w:basedOn w:val="TableNormal"/>
    <w:uiPriority w:val="47"/>
    <w:rsid w:val="006B26F4"/>
    <w:rPr>
      <w:rFonts w:ascii="Calibri" w:eastAsia="Calibri" w:hAnsi="Calibri"/>
      <w:sz w:val="24"/>
      <w:szCs w:val="24"/>
      <w:lang w:val="en-GB"/>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Paragraph">
    <w:name w:val="List Paragraph"/>
    <w:basedOn w:val="Normal"/>
    <w:uiPriority w:val="34"/>
    <w:qFormat/>
    <w:rsid w:val="00C9528C"/>
    <w:pPr>
      <w:numPr>
        <w:numId w:val="10"/>
      </w:numPr>
      <w:tabs>
        <w:tab w:val="num" w:pos="450"/>
      </w:tabs>
      <w:spacing w:after="120" w:line="276" w:lineRule="auto"/>
      <w:ind w:left="450"/>
    </w:pPr>
    <w:rPr>
      <w:rFonts w:ascii="Segoe UI" w:eastAsia="Segoe UI" w:hAnsi="Segoe UI"/>
      <w:sz w:val="22"/>
      <w:szCs w:val="22"/>
    </w:rPr>
  </w:style>
  <w:style w:type="table" w:styleId="TableGrid">
    <w:name w:val="Table Grid"/>
    <w:basedOn w:val="TableNormal"/>
    <w:uiPriority w:val="39"/>
    <w:rsid w:val="00C9528C"/>
    <w:rPr>
      <w:rFonts w:ascii="Segoe UI" w:eastAsia="Segoe UI" w:hAnsi="Segoe U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C9528C"/>
    <w:rPr>
      <w:rFonts w:ascii="Calibri" w:eastAsia="Times New Roman" w:hAnsi="Calibri" w:cs="Times New Roman"/>
      <w:b/>
      <w:bCs/>
      <w:sz w:val="28"/>
      <w:szCs w:val="28"/>
    </w:rPr>
  </w:style>
  <w:style w:type="character" w:styleId="IntenseEmphasis">
    <w:name w:val="Intense Emphasis"/>
    <w:uiPriority w:val="21"/>
    <w:qFormat/>
    <w:rsid w:val="00C9528C"/>
    <w:rPr>
      <w:i/>
      <w:iCs/>
      <w:color w:val="3070DA"/>
    </w:rPr>
  </w:style>
  <w:style w:type="character" w:customStyle="1" w:styleId="referencesauthors">
    <w:name w:val="references__authors"/>
    <w:basedOn w:val="DefaultParagraphFont"/>
    <w:rsid w:val="004859D1"/>
  </w:style>
  <w:style w:type="character" w:customStyle="1" w:styleId="referencesarticle-title">
    <w:name w:val="references__article-title"/>
    <w:basedOn w:val="DefaultParagraphFont"/>
    <w:rsid w:val="004859D1"/>
  </w:style>
  <w:style w:type="character" w:styleId="Strong">
    <w:name w:val="Strong"/>
    <w:basedOn w:val="DefaultParagraphFont"/>
    <w:uiPriority w:val="22"/>
    <w:qFormat/>
    <w:rsid w:val="004859D1"/>
    <w:rPr>
      <w:b/>
      <w:bCs/>
    </w:rPr>
  </w:style>
  <w:style w:type="character" w:customStyle="1" w:styleId="referencesyear">
    <w:name w:val="references__year"/>
    <w:basedOn w:val="DefaultParagraphFont"/>
    <w:rsid w:val="004859D1"/>
  </w:style>
  <w:style w:type="paragraph" w:customStyle="1" w:styleId="Default">
    <w:name w:val="Default"/>
    <w:rsid w:val="00340DED"/>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E16D2"/>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3E16D2"/>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9388">
      <w:bodyDiv w:val="1"/>
      <w:marLeft w:val="0"/>
      <w:marRight w:val="0"/>
      <w:marTop w:val="0"/>
      <w:marBottom w:val="0"/>
      <w:divBdr>
        <w:top w:val="none" w:sz="0" w:space="0" w:color="auto"/>
        <w:left w:val="none" w:sz="0" w:space="0" w:color="auto"/>
        <w:bottom w:val="none" w:sz="0" w:space="0" w:color="auto"/>
        <w:right w:val="none" w:sz="0" w:space="0" w:color="auto"/>
      </w:divBdr>
      <w:divsChild>
        <w:div w:id="2015570977">
          <w:marLeft w:val="0"/>
          <w:marRight w:val="0"/>
          <w:marTop w:val="0"/>
          <w:marBottom w:val="0"/>
          <w:divBdr>
            <w:top w:val="none" w:sz="0" w:space="0" w:color="auto"/>
            <w:left w:val="none" w:sz="0" w:space="0" w:color="auto"/>
            <w:bottom w:val="none" w:sz="0" w:space="0" w:color="auto"/>
            <w:right w:val="none" w:sz="0" w:space="0" w:color="auto"/>
          </w:divBdr>
          <w:divsChild>
            <w:div w:id="478423229">
              <w:marLeft w:val="0"/>
              <w:marRight w:val="0"/>
              <w:marTop w:val="0"/>
              <w:marBottom w:val="0"/>
              <w:divBdr>
                <w:top w:val="none" w:sz="0" w:space="0" w:color="auto"/>
                <w:left w:val="none" w:sz="0" w:space="0" w:color="auto"/>
                <w:bottom w:val="none" w:sz="0" w:space="0" w:color="auto"/>
                <w:right w:val="none" w:sz="0" w:space="0" w:color="auto"/>
              </w:divBdr>
              <w:divsChild>
                <w:div w:id="2024093514">
                  <w:marLeft w:val="0"/>
                  <w:marRight w:val="0"/>
                  <w:marTop w:val="0"/>
                  <w:marBottom w:val="0"/>
                  <w:divBdr>
                    <w:top w:val="none" w:sz="0" w:space="0" w:color="auto"/>
                    <w:left w:val="none" w:sz="0" w:space="0" w:color="auto"/>
                    <w:bottom w:val="none" w:sz="0" w:space="0" w:color="auto"/>
                    <w:right w:val="none" w:sz="0" w:space="0" w:color="auto"/>
                  </w:divBdr>
                  <w:divsChild>
                    <w:div w:id="1571691128">
                      <w:marLeft w:val="0"/>
                      <w:marRight w:val="0"/>
                      <w:marTop w:val="0"/>
                      <w:marBottom w:val="0"/>
                      <w:divBdr>
                        <w:top w:val="none" w:sz="0" w:space="0" w:color="auto"/>
                        <w:left w:val="none" w:sz="0" w:space="0" w:color="auto"/>
                        <w:bottom w:val="none" w:sz="0" w:space="0" w:color="auto"/>
                        <w:right w:val="none" w:sz="0" w:space="0" w:color="auto"/>
                      </w:divBdr>
                      <w:divsChild>
                        <w:div w:id="1180899762">
                          <w:marLeft w:val="0"/>
                          <w:marRight w:val="0"/>
                          <w:marTop w:val="0"/>
                          <w:marBottom w:val="0"/>
                          <w:divBdr>
                            <w:top w:val="none" w:sz="0" w:space="0" w:color="auto"/>
                            <w:left w:val="none" w:sz="0" w:space="0" w:color="auto"/>
                            <w:bottom w:val="none" w:sz="0" w:space="0" w:color="auto"/>
                            <w:right w:val="none" w:sz="0" w:space="0" w:color="auto"/>
                          </w:divBdr>
                          <w:divsChild>
                            <w:div w:id="649748051">
                              <w:marLeft w:val="0"/>
                              <w:marRight w:val="0"/>
                              <w:marTop w:val="0"/>
                              <w:marBottom w:val="0"/>
                              <w:divBdr>
                                <w:top w:val="none" w:sz="0" w:space="0" w:color="auto"/>
                                <w:left w:val="none" w:sz="0" w:space="0" w:color="auto"/>
                                <w:bottom w:val="none" w:sz="0" w:space="0" w:color="auto"/>
                                <w:right w:val="none" w:sz="0" w:space="0" w:color="auto"/>
                              </w:divBdr>
                              <w:divsChild>
                                <w:div w:id="910696221">
                                  <w:marLeft w:val="0"/>
                                  <w:marRight w:val="0"/>
                                  <w:marTop w:val="0"/>
                                  <w:marBottom w:val="0"/>
                                  <w:divBdr>
                                    <w:top w:val="none" w:sz="0" w:space="0" w:color="auto"/>
                                    <w:left w:val="none" w:sz="0" w:space="0" w:color="auto"/>
                                    <w:bottom w:val="none" w:sz="0" w:space="0" w:color="auto"/>
                                    <w:right w:val="none" w:sz="0" w:space="0" w:color="auto"/>
                                  </w:divBdr>
                                  <w:divsChild>
                                    <w:div w:id="1128470443">
                                      <w:marLeft w:val="0"/>
                                      <w:marRight w:val="0"/>
                                      <w:marTop w:val="0"/>
                                      <w:marBottom w:val="0"/>
                                      <w:divBdr>
                                        <w:top w:val="none" w:sz="0" w:space="0" w:color="auto"/>
                                        <w:left w:val="none" w:sz="0" w:space="0" w:color="auto"/>
                                        <w:bottom w:val="none" w:sz="0" w:space="0" w:color="auto"/>
                                        <w:right w:val="none" w:sz="0" w:space="0" w:color="auto"/>
                                      </w:divBdr>
                                    </w:div>
                                    <w:div w:id="21370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755247">
      <w:bodyDiv w:val="1"/>
      <w:marLeft w:val="0"/>
      <w:marRight w:val="0"/>
      <w:marTop w:val="0"/>
      <w:marBottom w:val="0"/>
      <w:divBdr>
        <w:top w:val="none" w:sz="0" w:space="0" w:color="auto"/>
        <w:left w:val="none" w:sz="0" w:space="0" w:color="auto"/>
        <w:bottom w:val="none" w:sz="0" w:space="0" w:color="auto"/>
        <w:right w:val="none" w:sz="0" w:space="0" w:color="auto"/>
      </w:divBdr>
    </w:div>
    <w:div w:id="1053194416">
      <w:bodyDiv w:val="1"/>
      <w:marLeft w:val="0"/>
      <w:marRight w:val="0"/>
      <w:marTop w:val="0"/>
      <w:marBottom w:val="0"/>
      <w:divBdr>
        <w:top w:val="none" w:sz="0" w:space="0" w:color="auto"/>
        <w:left w:val="none" w:sz="0" w:space="0" w:color="auto"/>
        <w:bottom w:val="none" w:sz="0" w:space="0" w:color="auto"/>
        <w:right w:val="none" w:sz="0" w:space="0" w:color="auto"/>
      </w:divBdr>
    </w:div>
    <w:div w:id="1166356620">
      <w:bodyDiv w:val="1"/>
      <w:marLeft w:val="0"/>
      <w:marRight w:val="0"/>
      <w:marTop w:val="0"/>
      <w:marBottom w:val="0"/>
      <w:divBdr>
        <w:top w:val="none" w:sz="0" w:space="0" w:color="auto"/>
        <w:left w:val="none" w:sz="0" w:space="0" w:color="auto"/>
        <w:bottom w:val="none" w:sz="0" w:space="0" w:color="auto"/>
        <w:right w:val="none" w:sz="0" w:space="0" w:color="auto"/>
      </w:divBdr>
      <w:divsChild>
        <w:div w:id="356666455">
          <w:marLeft w:val="0"/>
          <w:marRight w:val="0"/>
          <w:marTop w:val="0"/>
          <w:marBottom w:val="0"/>
          <w:divBdr>
            <w:top w:val="none" w:sz="0" w:space="0" w:color="auto"/>
            <w:left w:val="none" w:sz="0" w:space="0" w:color="auto"/>
            <w:bottom w:val="none" w:sz="0" w:space="0" w:color="auto"/>
            <w:right w:val="none" w:sz="0" w:space="0" w:color="auto"/>
          </w:divBdr>
          <w:divsChild>
            <w:div w:id="1166552104">
              <w:marLeft w:val="0"/>
              <w:marRight w:val="0"/>
              <w:marTop w:val="0"/>
              <w:marBottom w:val="0"/>
              <w:divBdr>
                <w:top w:val="none" w:sz="0" w:space="0" w:color="auto"/>
                <w:left w:val="none" w:sz="0" w:space="0" w:color="auto"/>
                <w:bottom w:val="none" w:sz="0" w:space="0" w:color="auto"/>
                <w:right w:val="none" w:sz="0" w:space="0" w:color="auto"/>
              </w:divBdr>
              <w:divsChild>
                <w:div w:id="447242469">
                  <w:marLeft w:val="0"/>
                  <w:marRight w:val="0"/>
                  <w:marTop w:val="0"/>
                  <w:marBottom w:val="0"/>
                  <w:divBdr>
                    <w:top w:val="none" w:sz="0" w:space="0" w:color="auto"/>
                    <w:left w:val="none" w:sz="0" w:space="0" w:color="auto"/>
                    <w:bottom w:val="none" w:sz="0" w:space="0" w:color="auto"/>
                    <w:right w:val="none" w:sz="0" w:space="0" w:color="auto"/>
                  </w:divBdr>
                  <w:divsChild>
                    <w:div w:id="1731927850">
                      <w:marLeft w:val="0"/>
                      <w:marRight w:val="0"/>
                      <w:marTop w:val="0"/>
                      <w:marBottom w:val="0"/>
                      <w:divBdr>
                        <w:top w:val="none" w:sz="0" w:space="0" w:color="auto"/>
                        <w:left w:val="none" w:sz="0" w:space="0" w:color="auto"/>
                        <w:bottom w:val="none" w:sz="0" w:space="0" w:color="auto"/>
                        <w:right w:val="none" w:sz="0" w:space="0" w:color="auto"/>
                      </w:divBdr>
                      <w:divsChild>
                        <w:div w:id="532615459">
                          <w:marLeft w:val="0"/>
                          <w:marRight w:val="0"/>
                          <w:marTop w:val="0"/>
                          <w:marBottom w:val="0"/>
                          <w:divBdr>
                            <w:top w:val="none" w:sz="0" w:space="0" w:color="auto"/>
                            <w:left w:val="none" w:sz="0" w:space="0" w:color="auto"/>
                            <w:bottom w:val="none" w:sz="0" w:space="0" w:color="auto"/>
                            <w:right w:val="none" w:sz="0" w:space="0" w:color="auto"/>
                          </w:divBdr>
                          <w:divsChild>
                            <w:div w:id="611059630">
                              <w:marLeft w:val="0"/>
                              <w:marRight w:val="0"/>
                              <w:marTop w:val="0"/>
                              <w:marBottom w:val="0"/>
                              <w:divBdr>
                                <w:top w:val="none" w:sz="0" w:space="0" w:color="auto"/>
                                <w:left w:val="none" w:sz="0" w:space="0" w:color="auto"/>
                                <w:bottom w:val="none" w:sz="0" w:space="0" w:color="auto"/>
                                <w:right w:val="none" w:sz="0" w:space="0" w:color="auto"/>
                              </w:divBdr>
                              <w:divsChild>
                                <w:div w:id="796414579">
                                  <w:marLeft w:val="0"/>
                                  <w:marRight w:val="0"/>
                                  <w:marTop w:val="0"/>
                                  <w:marBottom w:val="0"/>
                                  <w:divBdr>
                                    <w:top w:val="none" w:sz="0" w:space="0" w:color="auto"/>
                                    <w:left w:val="none" w:sz="0" w:space="0" w:color="auto"/>
                                    <w:bottom w:val="none" w:sz="0" w:space="0" w:color="auto"/>
                                    <w:right w:val="none" w:sz="0" w:space="0" w:color="auto"/>
                                  </w:divBdr>
                                  <w:divsChild>
                                    <w:div w:id="134027614">
                                      <w:marLeft w:val="0"/>
                                      <w:marRight w:val="0"/>
                                      <w:marTop w:val="0"/>
                                      <w:marBottom w:val="0"/>
                                      <w:divBdr>
                                        <w:top w:val="none" w:sz="0" w:space="0" w:color="auto"/>
                                        <w:left w:val="none" w:sz="0" w:space="0" w:color="auto"/>
                                        <w:bottom w:val="none" w:sz="0" w:space="0" w:color="auto"/>
                                        <w:right w:val="none" w:sz="0" w:space="0" w:color="auto"/>
                                      </w:divBdr>
                                    </w:div>
                                    <w:div w:id="18381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229782">
      <w:bodyDiv w:val="1"/>
      <w:marLeft w:val="0"/>
      <w:marRight w:val="0"/>
      <w:marTop w:val="0"/>
      <w:marBottom w:val="0"/>
      <w:divBdr>
        <w:top w:val="none" w:sz="0" w:space="0" w:color="auto"/>
        <w:left w:val="none" w:sz="0" w:space="0" w:color="auto"/>
        <w:bottom w:val="none" w:sz="0" w:space="0" w:color="auto"/>
        <w:right w:val="none" w:sz="0" w:space="0" w:color="auto"/>
      </w:divBdr>
    </w:div>
    <w:div w:id="1763407216">
      <w:bodyDiv w:val="1"/>
      <w:marLeft w:val="0"/>
      <w:marRight w:val="0"/>
      <w:marTop w:val="0"/>
      <w:marBottom w:val="0"/>
      <w:divBdr>
        <w:top w:val="none" w:sz="0" w:space="0" w:color="auto"/>
        <w:left w:val="none" w:sz="0" w:space="0" w:color="auto"/>
        <w:bottom w:val="none" w:sz="0" w:space="0" w:color="auto"/>
        <w:right w:val="none" w:sz="0" w:space="0" w:color="auto"/>
      </w:divBdr>
      <w:divsChild>
        <w:div w:id="374736759">
          <w:marLeft w:val="0"/>
          <w:marRight w:val="0"/>
          <w:marTop w:val="0"/>
          <w:marBottom w:val="0"/>
          <w:divBdr>
            <w:top w:val="none" w:sz="0" w:space="0" w:color="auto"/>
            <w:left w:val="none" w:sz="0" w:space="0" w:color="auto"/>
            <w:bottom w:val="none" w:sz="0" w:space="0" w:color="auto"/>
            <w:right w:val="none" w:sz="0" w:space="0" w:color="auto"/>
          </w:divBdr>
          <w:divsChild>
            <w:div w:id="7089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3565">
      <w:bodyDiv w:val="1"/>
      <w:marLeft w:val="0"/>
      <w:marRight w:val="0"/>
      <w:marTop w:val="0"/>
      <w:marBottom w:val="0"/>
      <w:divBdr>
        <w:top w:val="none" w:sz="0" w:space="0" w:color="auto"/>
        <w:left w:val="none" w:sz="0" w:space="0" w:color="auto"/>
        <w:bottom w:val="none" w:sz="0" w:space="0" w:color="auto"/>
        <w:right w:val="none" w:sz="0" w:space="0" w:color="auto"/>
      </w:divBdr>
      <w:divsChild>
        <w:div w:id="682167720">
          <w:marLeft w:val="0"/>
          <w:marRight w:val="0"/>
          <w:marTop w:val="0"/>
          <w:marBottom w:val="0"/>
          <w:divBdr>
            <w:top w:val="none" w:sz="0" w:space="0" w:color="auto"/>
            <w:left w:val="none" w:sz="0" w:space="0" w:color="auto"/>
            <w:bottom w:val="none" w:sz="0" w:space="0" w:color="auto"/>
            <w:right w:val="none" w:sz="0" w:space="0" w:color="auto"/>
          </w:divBdr>
          <w:divsChild>
            <w:div w:id="1703631626">
              <w:marLeft w:val="0"/>
              <w:marRight w:val="0"/>
              <w:marTop w:val="0"/>
              <w:marBottom w:val="0"/>
              <w:divBdr>
                <w:top w:val="none" w:sz="0" w:space="0" w:color="auto"/>
                <w:left w:val="none" w:sz="0" w:space="0" w:color="auto"/>
                <w:bottom w:val="none" w:sz="0" w:space="0" w:color="auto"/>
                <w:right w:val="none" w:sz="0" w:space="0" w:color="auto"/>
              </w:divBdr>
              <w:divsChild>
                <w:div w:id="219708557">
                  <w:marLeft w:val="0"/>
                  <w:marRight w:val="0"/>
                  <w:marTop w:val="0"/>
                  <w:marBottom w:val="0"/>
                  <w:divBdr>
                    <w:top w:val="none" w:sz="0" w:space="0" w:color="auto"/>
                    <w:left w:val="none" w:sz="0" w:space="0" w:color="auto"/>
                    <w:bottom w:val="none" w:sz="0" w:space="0" w:color="auto"/>
                    <w:right w:val="none" w:sz="0" w:space="0" w:color="auto"/>
                  </w:divBdr>
                  <w:divsChild>
                    <w:div w:id="1757245461">
                      <w:marLeft w:val="0"/>
                      <w:marRight w:val="0"/>
                      <w:marTop w:val="0"/>
                      <w:marBottom w:val="0"/>
                      <w:divBdr>
                        <w:top w:val="none" w:sz="0" w:space="0" w:color="auto"/>
                        <w:left w:val="none" w:sz="0" w:space="0" w:color="auto"/>
                        <w:bottom w:val="none" w:sz="0" w:space="0" w:color="auto"/>
                        <w:right w:val="none" w:sz="0" w:space="0" w:color="auto"/>
                      </w:divBdr>
                      <w:divsChild>
                        <w:div w:id="124584869">
                          <w:marLeft w:val="0"/>
                          <w:marRight w:val="0"/>
                          <w:marTop w:val="0"/>
                          <w:marBottom w:val="0"/>
                          <w:divBdr>
                            <w:top w:val="none" w:sz="0" w:space="0" w:color="auto"/>
                            <w:left w:val="none" w:sz="0" w:space="0" w:color="auto"/>
                            <w:bottom w:val="none" w:sz="0" w:space="0" w:color="auto"/>
                            <w:right w:val="none" w:sz="0" w:space="0" w:color="auto"/>
                          </w:divBdr>
                          <w:divsChild>
                            <w:div w:id="685248320">
                              <w:marLeft w:val="0"/>
                              <w:marRight w:val="0"/>
                              <w:marTop w:val="0"/>
                              <w:marBottom w:val="0"/>
                              <w:divBdr>
                                <w:top w:val="none" w:sz="0" w:space="0" w:color="auto"/>
                                <w:left w:val="none" w:sz="0" w:space="0" w:color="auto"/>
                                <w:bottom w:val="none" w:sz="0" w:space="0" w:color="auto"/>
                                <w:right w:val="none" w:sz="0" w:space="0" w:color="auto"/>
                              </w:divBdr>
                              <w:divsChild>
                                <w:div w:id="926965998">
                                  <w:marLeft w:val="0"/>
                                  <w:marRight w:val="0"/>
                                  <w:marTop w:val="0"/>
                                  <w:marBottom w:val="0"/>
                                  <w:divBdr>
                                    <w:top w:val="none" w:sz="0" w:space="0" w:color="auto"/>
                                    <w:left w:val="none" w:sz="0" w:space="0" w:color="auto"/>
                                    <w:bottom w:val="none" w:sz="0" w:space="0" w:color="auto"/>
                                    <w:right w:val="none" w:sz="0" w:space="0" w:color="auto"/>
                                  </w:divBdr>
                                  <w:divsChild>
                                    <w:div w:id="84040865">
                                      <w:marLeft w:val="0"/>
                                      <w:marRight w:val="0"/>
                                      <w:marTop w:val="0"/>
                                      <w:marBottom w:val="0"/>
                                      <w:divBdr>
                                        <w:top w:val="none" w:sz="0" w:space="0" w:color="auto"/>
                                        <w:left w:val="none" w:sz="0" w:space="0" w:color="auto"/>
                                        <w:bottom w:val="none" w:sz="0" w:space="0" w:color="auto"/>
                                        <w:right w:val="none" w:sz="0" w:space="0" w:color="auto"/>
                                      </w:divBdr>
                                    </w:div>
                                    <w:div w:id="19167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00051">
      <w:bodyDiv w:val="1"/>
      <w:marLeft w:val="0"/>
      <w:marRight w:val="0"/>
      <w:marTop w:val="0"/>
      <w:marBottom w:val="0"/>
      <w:divBdr>
        <w:top w:val="none" w:sz="0" w:space="0" w:color="auto"/>
        <w:left w:val="none" w:sz="0" w:space="0" w:color="auto"/>
        <w:bottom w:val="none" w:sz="0" w:space="0" w:color="auto"/>
        <w:right w:val="none" w:sz="0" w:space="0" w:color="auto"/>
      </w:divBdr>
      <w:divsChild>
        <w:div w:id="1960648512">
          <w:marLeft w:val="0"/>
          <w:marRight w:val="0"/>
          <w:marTop w:val="0"/>
          <w:marBottom w:val="0"/>
          <w:divBdr>
            <w:top w:val="none" w:sz="0" w:space="0" w:color="auto"/>
            <w:left w:val="none" w:sz="0" w:space="0" w:color="auto"/>
            <w:bottom w:val="none" w:sz="0" w:space="0" w:color="auto"/>
            <w:right w:val="none" w:sz="0" w:space="0" w:color="auto"/>
          </w:divBdr>
          <w:divsChild>
            <w:div w:id="472211949">
              <w:marLeft w:val="0"/>
              <w:marRight w:val="75"/>
              <w:marTop w:val="105"/>
              <w:marBottom w:val="105"/>
              <w:divBdr>
                <w:top w:val="none" w:sz="0" w:space="0" w:color="auto"/>
                <w:left w:val="none" w:sz="0" w:space="0" w:color="auto"/>
                <w:bottom w:val="none" w:sz="0" w:space="0" w:color="auto"/>
                <w:right w:val="none" w:sz="0" w:space="0" w:color="auto"/>
              </w:divBdr>
              <w:divsChild>
                <w:div w:id="1270894194">
                  <w:marLeft w:val="0"/>
                  <w:marRight w:val="0"/>
                  <w:marTop w:val="0"/>
                  <w:marBottom w:val="0"/>
                  <w:divBdr>
                    <w:top w:val="single" w:sz="6" w:space="2" w:color="8FCCD9"/>
                    <w:left w:val="single" w:sz="6" w:space="2" w:color="8FCCD9"/>
                    <w:bottom w:val="single" w:sz="6" w:space="2" w:color="8FCCD9"/>
                    <w:right w:val="single" w:sz="6" w:space="2" w:color="8FCCD9"/>
                  </w:divBdr>
                  <w:divsChild>
                    <w:div w:id="213655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9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grant@uchicag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clinicaltrials.gov/show/NCT03418675"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a:t>
            </a:r>
            <a:r>
              <a:rPr lang="en-US" baseline="0"/>
              <a:t> Zanarini Total Score by Group and Visit</a:t>
            </a:r>
            <a:endParaRPr lang="en-US"/>
          </a:p>
        </c:rich>
      </c:tx>
      <c:layout/>
      <c:overlay val="0"/>
      <c:spPr>
        <a:noFill/>
        <a:ln>
          <a:noFill/>
        </a:ln>
        <a:effectLst/>
      </c:spPr>
    </c:title>
    <c:autoTitleDeleted val="0"/>
    <c:plotArea>
      <c:layout/>
      <c:lineChart>
        <c:grouping val="standard"/>
        <c:varyColors val="0"/>
        <c:ser>
          <c:idx val="0"/>
          <c:order val="0"/>
          <c:tx>
            <c:strRef>
              <c:f>Sheet1!$B$1</c:f>
              <c:strCache>
                <c:ptCount val="1"/>
                <c:pt idx="0">
                  <c:v>Placebo</c:v>
                </c:pt>
              </c:strCache>
            </c:strRef>
          </c:tx>
          <c:spPr>
            <a:ln w="28575" cap="rnd">
              <a:solidFill>
                <a:schemeClr val="tx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Sheet1!$A$2:$A$9</c:f>
              <c:strCache>
                <c:ptCount val="8"/>
                <c:pt idx="0">
                  <c:v>V1</c:v>
                </c:pt>
                <c:pt idx="1">
                  <c:v>V2</c:v>
                </c:pt>
                <c:pt idx="2">
                  <c:v>V3</c:v>
                </c:pt>
                <c:pt idx="3">
                  <c:v>V4</c:v>
                </c:pt>
                <c:pt idx="4">
                  <c:v>V5</c:v>
                </c:pt>
                <c:pt idx="5">
                  <c:v>V6</c:v>
                </c:pt>
                <c:pt idx="6">
                  <c:v>V7</c:v>
                </c:pt>
                <c:pt idx="7">
                  <c:v>V8</c:v>
                </c:pt>
              </c:strCache>
            </c:strRef>
          </c:cat>
          <c:val>
            <c:numRef>
              <c:f>Sheet1!$B$2:$B$9</c:f>
              <c:numCache>
                <c:formatCode>General</c:formatCode>
                <c:ptCount val="8"/>
                <c:pt idx="0">
                  <c:v>14.9</c:v>
                </c:pt>
                <c:pt idx="1">
                  <c:v>7.6</c:v>
                </c:pt>
                <c:pt idx="2">
                  <c:v>4.7</c:v>
                </c:pt>
                <c:pt idx="3">
                  <c:v>6</c:v>
                </c:pt>
                <c:pt idx="4">
                  <c:v>4.2</c:v>
                </c:pt>
                <c:pt idx="5">
                  <c:v>5.7</c:v>
                </c:pt>
                <c:pt idx="6">
                  <c:v>5</c:v>
                </c:pt>
                <c:pt idx="7">
                  <c:v>8.4</c:v>
                </c:pt>
              </c:numCache>
            </c:numRef>
          </c:val>
          <c:smooth val="0"/>
          <c:extLst>
            <c:ext xmlns:c16="http://schemas.microsoft.com/office/drawing/2014/chart" uri="{C3380CC4-5D6E-409C-BE32-E72D297353CC}">
              <c16:uniqueId val="{00000000-3305-4E12-8551-6CDAC1FD0CDD}"/>
            </c:ext>
          </c:extLst>
        </c:ser>
        <c:ser>
          <c:idx val="1"/>
          <c:order val="1"/>
          <c:tx>
            <c:strRef>
              <c:f>Sheet1!$C$1</c:f>
              <c:strCache>
                <c:ptCount val="1"/>
                <c:pt idx="0">
                  <c:v>Treatment</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Sheet1!$A$2:$A$9</c:f>
              <c:strCache>
                <c:ptCount val="8"/>
                <c:pt idx="0">
                  <c:v>V1</c:v>
                </c:pt>
                <c:pt idx="1">
                  <c:v>V2</c:v>
                </c:pt>
                <c:pt idx="2">
                  <c:v>V3</c:v>
                </c:pt>
                <c:pt idx="3">
                  <c:v>V4</c:v>
                </c:pt>
                <c:pt idx="4">
                  <c:v>V5</c:v>
                </c:pt>
                <c:pt idx="5">
                  <c:v>V6</c:v>
                </c:pt>
                <c:pt idx="6">
                  <c:v>V7</c:v>
                </c:pt>
                <c:pt idx="7">
                  <c:v>V8</c:v>
                </c:pt>
              </c:strCache>
            </c:strRef>
          </c:cat>
          <c:val>
            <c:numRef>
              <c:f>Sheet1!$C$2:$C$9</c:f>
              <c:numCache>
                <c:formatCode>General</c:formatCode>
                <c:ptCount val="8"/>
                <c:pt idx="0">
                  <c:v>14.9</c:v>
                </c:pt>
                <c:pt idx="1">
                  <c:v>6.7</c:v>
                </c:pt>
                <c:pt idx="2">
                  <c:v>5.3</c:v>
                </c:pt>
                <c:pt idx="3">
                  <c:v>4.4000000000000004</c:v>
                </c:pt>
                <c:pt idx="4">
                  <c:v>4.5</c:v>
                </c:pt>
                <c:pt idx="5">
                  <c:v>4.9000000000000004</c:v>
                </c:pt>
                <c:pt idx="6">
                  <c:v>4</c:v>
                </c:pt>
                <c:pt idx="7">
                  <c:v>3.1</c:v>
                </c:pt>
              </c:numCache>
            </c:numRef>
          </c:val>
          <c:smooth val="0"/>
          <c:extLst>
            <c:ext xmlns:c16="http://schemas.microsoft.com/office/drawing/2014/chart" uri="{C3380CC4-5D6E-409C-BE32-E72D297353CC}">
              <c16:uniqueId val="{00000001-3305-4E12-8551-6CDAC1FD0CDD}"/>
            </c:ext>
          </c:extLst>
        </c:ser>
        <c:dLbls>
          <c:showLegendKey val="0"/>
          <c:showVal val="0"/>
          <c:showCatName val="0"/>
          <c:showSerName val="0"/>
          <c:showPercent val="0"/>
          <c:showBubbleSize val="0"/>
        </c:dLbls>
        <c:smooth val="0"/>
        <c:axId val="124560512"/>
        <c:axId val="124562048"/>
      </c:lineChart>
      <c:catAx>
        <c:axId val="12456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62048"/>
        <c:crosses val="autoZero"/>
        <c:auto val="1"/>
        <c:lblAlgn val="ctr"/>
        <c:lblOffset val="100"/>
        <c:noMultiLvlLbl val="0"/>
      </c:catAx>
      <c:valAx>
        <c:axId val="12456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60512"/>
        <c:crosses val="autoZero"/>
        <c:crossBetween val="between"/>
        <c:majorUnit val="4"/>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0.90046</cdr:x>
      <cdr:y>0.46032</cdr:y>
    </cdr:from>
    <cdr:to>
      <cdr:x>1</cdr:x>
      <cdr:y>0.52778</cdr:y>
    </cdr:to>
    <cdr:sp macro="" textlink="">
      <cdr:nvSpPr>
        <cdr:cNvPr id="2" name="Text Box 1"/>
        <cdr:cNvSpPr txBox="1"/>
      </cdr:nvSpPr>
      <cdr:spPr>
        <a:xfrm xmlns:a="http://schemas.openxmlformats.org/drawingml/2006/main">
          <a:off x="4940300" y="1473200"/>
          <a:ext cx="546100" cy="215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l"/>
          <a:r>
            <a:rPr lang="en-US" sz="1100">
              <a:latin typeface="Arial Narrow" panose="020B0606020202030204" pitchFamily="34" charset="0"/>
            </a:rPr>
            <a:t>Placebo</a:t>
          </a:r>
        </a:p>
      </cdr:txBody>
    </cdr:sp>
  </cdr:relSizeAnchor>
  <cdr:relSizeAnchor xmlns:cdr="http://schemas.openxmlformats.org/drawingml/2006/chartDrawing">
    <cdr:from>
      <cdr:x>0.8831</cdr:x>
      <cdr:y>0.68254</cdr:y>
    </cdr:from>
    <cdr:to>
      <cdr:x>0.98264</cdr:x>
      <cdr:y>0.75</cdr:y>
    </cdr:to>
    <cdr:sp macro="" textlink="">
      <cdr:nvSpPr>
        <cdr:cNvPr id="3" name="Text Box 1"/>
        <cdr:cNvSpPr txBox="1"/>
      </cdr:nvSpPr>
      <cdr:spPr>
        <a:xfrm xmlns:a="http://schemas.openxmlformats.org/drawingml/2006/main">
          <a:off x="4845050" y="2184400"/>
          <a:ext cx="546100" cy="2159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en-US" sz="1100">
              <a:solidFill>
                <a:schemeClr val="accent2"/>
              </a:solidFill>
              <a:latin typeface="Arial Narrow" panose="020B0606020202030204" pitchFamily="34" charset="0"/>
            </a:rPr>
            <a:t>Treatment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A0348-8076-44AA-9A32-356DD921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4820</Words>
  <Characters>27474</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Outline for Phase IV study submissions-Forest Laboratories, Inc</vt:lpstr>
    </vt:vector>
  </TitlesOfParts>
  <Company>Forest Laboratories, Inc.</Company>
  <LinksUpToDate>false</LinksUpToDate>
  <CharactersWithSpaces>32230</CharactersWithSpaces>
  <SharedDoc>false</SharedDoc>
  <HLinks>
    <vt:vector size="12" baseType="variant">
      <vt:variant>
        <vt:i4>3801201</vt:i4>
      </vt:variant>
      <vt:variant>
        <vt:i4>3</vt:i4>
      </vt:variant>
      <vt:variant>
        <vt:i4>0</vt:i4>
      </vt:variant>
      <vt:variant>
        <vt:i4>5</vt:i4>
      </vt:variant>
      <vt:variant>
        <vt:lpwstr>http://www.cssrs.columbia.edu/docs</vt:lpwstr>
      </vt:variant>
      <vt:variant>
        <vt:lpwstr/>
      </vt:variant>
      <vt:variant>
        <vt:i4>3014660</vt:i4>
      </vt:variant>
      <vt:variant>
        <vt:i4>0</vt:i4>
      </vt:variant>
      <vt:variant>
        <vt:i4>0</vt:i4>
      </vt:variant>
      <vt:variant>
        <vt:i4>5</vt:i4>
      </vt:variant>
      <vt:variant>
        <vt:lpwstr>mailto:jongrant@uchicago.edu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Phase IV study submissions-Forest Laboratories, Inc</dc:title>
  <dc:creator>Forest Laboratories, Inc.</dc:creator>
  <cp:lastModifiedBy>Mary Houston</cp:lastModifiedBy>
  <cp:revision>2</cp:revision>
  <cp:lastPrinted>2017-12-14T20:04:00Z</cp:lastPrinted>
  <dcterms:created xsi:type="dcterms:W3CDTF">2021-09-27T11:09:00Z</dcterms:created>
  <dcterms:modified xsi:type="dcterms:W3CDTF">2021-09-27T11:09:00Z</dcterms:modified>
</cp:coreProperties>
</file>