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A097" w14:textId="54740C8C" w:rsidR="00F75FFF" w:rsidRDefault="00F75FFF" w:rsidP="003F6EAB">
      <w:pPr>
        <w:jc w:val="center"/>
        <w:rPr>
          <w:rFonts w:ascii="Times New Roman" w:hAnsi="Times New Roman" w:cs="Times New Roman"/>
          <w:b/>
        </w:rPr>
      </w:pPr>
      <w:r>
        <w:rPr>
          <w:rFonts w:ascii="Times New Roman" w:hAnsi="Times New Roman" w:cs="Times New Roman"/>
          <w:b/>
        </w:rPr>
        <w:t xml:space="preserve">Binge-eating disorder in students: </w:t>
      </w:r>
      <w:r w:rsidR="00900D30">
        <w:rPr>
          <w:rFonts w:ascii="Times New Roman" w:hAnsi="Times New Roman" w:cs="Times New Roman"/>
          <w:b/>
        </w:rPr>
        <w:t xml:space="preserve">high </w:t>
      </w:r>
      <w:r>
        <w:rPr>
          <w:rFonts w:ascii="Times New Roman" w:hAnsi="Times New Roman" w:cs="Times New Roman"/>
          <w:b/>
        </w:rPr>
        <w:t>prevalence and strong link to impulsive and compulsive traits</w:t>
      </w:r>
    </w:p>
    <w:p w14:paraId="446FDD25" w14:textId="77777777" w:rsidR="00F75FFF" w:rsidRPr="000B16C6" w:rsidRDefault="00F75FFF" w:rsidP="00F75FFF">
      <w:pPr>
        <w:jc w:val="center"/>
        <w:rPr>
          <w:rFonts w:ascii="Times New Roman" w:hAnsi="Times New Roman" w:cs="Times New Roman"/>
          <w:b/>
        </w:rPr>
      </w:pPr>
    </w:p>
    <w:p w14:paraId="10D2A1BE" w14:textId="77777777" w:rsidR="00F75FFF" w:rsidRPr="00315014" w:rsidRDefault="00F75FFF" w:rsidP="00F75FFF">
      <w:pPr>
        <w:jc w:val="center"/>
        <w:rPr>
          <w:rFonts w:ascii="Times New Roman" w:hAnsi="Times New Roman" w:cs="Times New Roman"/>
        </w:rPr>
      </w:pPr>
    </w:p>
    <w:p w14:paraId="706985F8" w14:textId="7C5212BF" w:rsidR="00F75FFF" w:rsidRDefault="00F75FFF" w:rsidP="00F75FFF">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Jeremy </w:t>
      </w:r>
      <w:r w:rsidR="003F6EAB">
        <w:rPr>
          <w:rFonts w:ascii="Times New Roman" w:eastAsia="Times New Roman" w:hAnsi="Times New Roman" w:cs="Times New Roman"/>
        </w:rPr>
        <w:t xml:space="preserve">E. </w:t>
      </w:r>
      <w:r>
        <w:rPr>
          <w:rFonts w:ascii="Times New Roman" w:eastAsia="Times New Roman" w:hAnsi="Times New Roman" w:cs="Times New Roman"/>
        </w:rPr>
        <w:t>Solly MB/</w:t>
      </w:r>
      <w:proofErr w:type="spellStart"/>
      <w:r>
        <w:rPr>
          <w:rFonts w:ascii="Times New Roman" w:eastAsia="Times New Roman" w:hAnsi="Times New Roman" w:cs="Times New Roman"/>
        </w:rPr>
        <w:t>BChir</w:t>
      </w:r>
      <w:proofErr w:type="spellEnd"/>
      <w:r>
        <w:rPr>
          <w:rFonts w:ascii="Times New Roman" w:eastAsia="Times New Roman" w:hAnsi="Times New Roman" w:cs="Times New Roman"/>
        </w:rPr>
        <w:t>, PhD</w:t>
      </w:r>
      <w:r w:rsidRPr="0041367C">
        <w:rPr>
          <w:rFonts w:ascii="Times New Roman" w:eastAsia="Times New Roman" w:hAnsi="Times New Roman" w:cs="Times New Roman"/>
          <w:vertAlign w:val="superscript"/>
        </w:rPr>
        <w:t>1</w:t>
      </w:r>
      <w:r w:rsidR="003F6EAB">
        <w:rPr>
          <w:rFonts w:ascii="Times New Roman" w:eastAsia="Times New Roman" w:hAnsi="Times New Roman" w:cs="Times New Roman"/>
          <w:vertAlign w:val="superscript"/>
        </w:rPr>
        <w:t>,2</w:t>
      </w:r>
    </w:p>
    <w:p w14:paraId="0D194C5F" w14:textId="5D1CAB06" w:rsidR="00F75FFF" w:rsidRPr="000A12BB" w:rsidRDefault="00F75FFF" w:rsidP="00F75FFF">
      <w:pPr>
        <w:spacing w:line="480" w:lineRule="auto"/>
        <w:jc w:val="center"/>
        <w:rPr>
          <w:rFonts w:ascii="Times New Roman" w:eastAsia="Times New Roman" w:hAnsi="Times New Roman" w:cs="Times New Roman"/>
          <w:vertAlign w:val="superscript"/>
        </w:rPr>
      </w:pPr>
      <w:r w:rsidRPr="000A12BB">
        <w:rPr>
          <w:rFonts w:ascii="Times New Roman" w:eastAsia="Times New Roman" w:hAnsi="Times New Roman" w:cs="Times New Roman"/>
        </w:rPr>
        <w:t>Samuel R. Chamberlain,</w:t>
      </w:r>
      <w:r w:rsidR="003F6EAB" w:rsidRPr="000A12BB">
        <w:rPr>
          <w:rFonts w:ascii="Times New Roman" w:eastAsia="Times New Roman" w:hAnsi="Times New Roman" w:cs="Times New Roman"/>
        </w:rPr>
        <w:t xml:space="preserve"> MB/</w:t>
      </w:r>
      <w:proofErr w:type="spellStart"/>
      <w:r w:rsidR="003F6EAB" w:rsidRPr="000A12BB">
        <w:rPr>
          <w:rFonts w:ascii="Times New Roman" w:eastAsia="Times New Roman" w:hAnsi="Times New Roman" w:cs="Times New Roman"/>
        </w:rPr>
        <w:t>BChir</w:t>
      </w:r>
      <w:proofErr w:type="spellEnd"/>
      <w:r w:rsidR="003F6EAB" w:rsidRPr="000A12BB">
        <w:rPr>
          <w:rFonts w:ascii="Times New Roman" w:eastAsia="Times New Roman" w:hAnsi="Times New Roman" w:cs="Times New Roman"/>
        </w:rPr>
        <w:t xml:space="preserve">, PhD, </w:t>
      </w:r>
      <w:r w:rsidRPr="000A12BB">
        <w:rPr>
          <w:rFonts w:ascii="Times New Roman" w:eastAsia="Times New Roman" w:hAnsi="Times New Roman" w:cs="Times New Roman"/>
        </w:rPr>
        <w:t>MRCPsych</w:t>
      </w:r>
      <w:r w:rsidRPr="000A12BB">
        <w:rPr>
          <w:rFonts w:ascii="Times New Roman" w:eastAsia="Times New Roman" w:hAnsi="Times New Roman" w:cs="Times New Roman"/>
          <w:vertAlign w:val="superscript"/>
        </w:rPr>
        <w:t>1,</w:t>
      </w:r>
      <w:r w:rsidR="003F6EAB" w:rsidRPr="000A12BB">
        <w:rPr>
          <w:rFonts w:ascii="Times New Roman" w:eastAsia="Times New Roman" w:hAnsi="Times New Roman" w:cs="Times New Roman"/>
          <w:vertAlign w:val="superscript"/>
        </w:rPr>
        <w:t>3</w:t>
      </w:r>
    </w:p>
    <w:p w14:paraId="0ABFBA5D" w14:textId="689B141B" w:rsidR="000E36D0" w:rsidRPr="000A12BB" w:rsidRDefault="000E36D0" w:rsidP="000E36D0">
      <w:pPr>
        <w:spacing w:line="480" w:lineRule="auto"/>
        <w:jc w:val="center"/>
        <w:rPr>
          <w:rFonts w:ascii="Times New Roman" w:hAnsi="Times New Roman" w:cs="Times New Roman"/>
          <w:bCs/>
          <w:noProof/>
          <w:vertAlign w:val="superscript"/>
        </w:rPr>
      </w:pPr>
      <w:r w:rsidRPr="000A12BB">
        <w:rPr>
          <w:rFonts w:ascii="Times New Roman" w:hAnsi="Times New Roman" w:cs="Times New Roman"/>
          <w:bCs/>
          <w:noProof/>
        </w:rPr>
        <w:t>Katherine Lust, PhD</w:t>
      </w:r>
      <w:r w:rsidRPr="000A12BB">
        <w:rPr>
          <w:rFonts w:ascii="Times New Roman" w:hAnsi="Times New Roman" w:cs="Times New Roman"/>
          <w:bCs/>
          <w:noProof/>
          <w:vertAlign w:val="superscript"/>
        </w:rPr>
        <w:t>4</w:t>
      </w:r>
    </w:p>
    <w:p w14:paraId="6FEC6D45" w14:textId="05067D0C" w:rsidR="00F75FFF" w:rsidRPr="000A12BB" w:rsidRDefault="00F75FFF" w:rsidP="00F75FFF">
      <w:pPr>
        <w:spacing w:line="480" w:lineRule="auto"/>
        <w:jc w:val="center"/>
        <w:rPr>
          <w:rFonts w:ascii="Times New Roman" w:eastAsia="Times New Roman" w:hAnsi="Times New Roman" w:cs="Times New Roman"/>
          <w:vertAlign w:val="superscript"/>
        </w:rPr>
      </w:pPr>
      <w:r w:rsidRPr="000A12BB">
        <w:rPr>
          <w:rFonts w:ascii="Times New Roman" w:eastAsia="Times New Roman" w:hAnsi="Times New Roman" w:cs="Times New Roman"/>
        </w:rPr>
        <w:t>Jon E. Grant, JD, MD, MPH</w:t>
      </w:r>
      <w:r w:rsidR="000E36D0" w:rsidRPr="000A12BB">
        <w:rPr>
          <w:rFonts w:ascii="Times New Roman" w:eastAsia="Times New Roman" w:hAnsi="Times New Roman" w:cs="Times New Roman"/>
          <w:vertAlign w:val="superscript"/>
        </w:rPr>
        <w:t>5</w:t>
      </w:r>
    </w:p>
    <w:p w14:paraId="40BBE0A3" w14:textId="77777777" w:rsidR="00F75FFF" w:rsidRPr="0041367C" w:rsidRDefault="00F75FFF" w:rsidP="00F75FFF">
      <w:pPr>
        <w:spacing w:line="480" w:lineRule="auto"/>
        <w:jc w:val="center"/>
        <w:rPr>
          <w:rFonts w:ascii="Times New Roman" w:eastAsia="Times New Roman" w:hAnsi="Times New Roman" w:cs="Times New Roman"/>
          <w:vertAlign w:val="superscript"/>
        </w:rPr>
      </w:pPr>
    </w:p>
    <w:p w14:paraId="51CF5D92" w14:textId="0D756D19" w:rsidR="00F75FFF" w:rsidRDefault="00F75FFF" w:rsidP="000A12BB">
      <w:pPr>
        <w:spacing w:after="200"/>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Department of Psychiatry, University of Cambridge</w:t>
      </w:r>
      <w:r w:rsidR="003F6EAB">
        <w:rPr>
          <w:rFonts w:ascii="Times New Roman" w:eastAsia="Times New Roman" w:hAnsi="Times New Roman" w:cs="Times New Roman"/>
        </w:rPr>
        <w:t>, UK</w:t>
      </w:r>
      <w:r>
        <w:rPr>
          <w:rFonts w:ascii="Times New Roman" w:eastAsia="Times New Roman" w:hAnsi="Times New Roman" w:cs="Times New Roman"/>
        </w:rPr>
        <w:t>.</w:t>
      </w:r>
    </w:p>
    <w:p w14:paraId="76D77136" w14:textId="0E8E3793" w:rsidR="003F6EAB" w:rsidRPr="003F6EAB" w:rsidRDefault="003F6EAB" w:rsidP="000A12BB">
      <w:pPr>
        <w:spacing w:after="200"/>
        <w:jc w:val="center"/>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Cambridge University Hospitals NHS Foundation Trust, Cambridge, UK.</w:t>
      </w:r>
    </w:p>
    <w:p w14:paraId="68C51A2E" w14:textId="77777777" w:rsidR="000E36D0" w:rsidRDefault="003F6EAB" w:rsidP="000A12BB">
      <w:pPr>
        <w:spacing w:after="200"/>
        <w:jc w:val="center"/>
        <w:rPr>
          <w:rFonts w:ascii="Times New Roman" w:eastAsia="Times New Roman" w:hAnsi="Times New Roman" w:cs="Times New Roman"/>
        </w:rPr>
      </w:pPr>
      <w:r>
        <w:rPr>
          <w:rFonts w:ascii="Times New Roman" w:eastAsia="Times New Roman" w:hAnsi="Times New Roman" w:cs="Times New Roman"/>
          <w:vertAlign w:val="superscript"/>
        </w:rPr>
        <w:t>3</w:t>
      </w:r>
      <w:r w:rsidR="00F75FFF">
        <w:rPr>
          <w:rFonts w:ascii="Times New Roman" w:eastAsia="Times New Roman" w:hAnsi="Times New Roman" w:cs="Times New Roman"/>
        </w:rPr>
        <w:t>Department of Psychiatry, Faculty of Medicine, University of Southampton; and Southern Health NHS Foundation Trust, Southampton, UK.</w:t>
      </w:r>
    </w:p>
    <w:p w14:paraId="29507779" w14:textId="0F042784" w:rsidR="000A12BB" w:rsidRPr="000A12BB" w:rsidRDefault="00F75FFF" w:rsidP="000A12BB">
      <w:pPr>
        <w:spacing w:after="200"/>
        <w:jc w:val="center"/>
        <w:rPr>
          <w:rFonts w:ascii="Times New Roman" w:eastAsia="Batang" w:hAnsi="Times New Roman" w:cs="Times New Roman"/>
        </w:rPr>
      </w:pPr>
      <w:r w:rsidRPr="000A12BB">
        <w:rPr>
          <w:rFonts w:ascii="Times New Roman" w:eastAsia="Times New Roman" w:hAnsi="Times New Roman" w:cs="Times New Roman"/>
        </w:rPr>
        <w:t xml:space="preserve"> </w:t>
      </w:r>
      <w:r w:rsidR="000E36D0" w:rsidRPr="000A12BB">
        <w:rPr>
          <w:rFonts w:ascii="Times New Roman" w:eastAsia="Batang" w:hAnsi="Times New Roman" w:cs="Times New Roman"/>
          <w:vertAlign w:val="superscript"/>
        </w:rPr>
        <w:t>4</w:t>
      </w:r>
      <w:r w:rsidR="000E36D0" w:rsidRPr="000A12BB">
        <w:rPr>
          <w:rFonts w:ascii="Times New Roman" w:eastAsia="Batang" w:hAnsi="Times New Roman" w:cs="Times New Roman"/>
        </w:rPr>
        <w:t>Boynton Health Service, University of Minnesota USA</w:t>
      </w:r>
    </w:p>
    <w:p w14:paraId="1E93950E" w14:textId="4952DAAF" w:rsidR="00F75FFF" w:rsidRDefault="000E36D0" w:rsidP="000A12BB">
      <w:pPr>
        <w:spacing w:after="200"/>
        <w:jc w:val="center"/>
        <w:rPr>
          <w:rFonts w:ascii="Times New Roman" w:eastAsia="Times New Roman" w:hAnsi="Times New Roman" w:cs="Times New Roman"/>
        </w:rPr>
      </w:pPr>
      <w:r w:rsidRPr="000A12BB">
        <w:rPr>
          <w:rFonts w:ascii="Times New Roman" w:eastAsia="Times New Roman" w:hAnsi="Times New Roman" w:cs="Times New Roman"/>
          <w:vertAlign w:val="superscript"/>
        </w:rPr>
        <w:t>5</w:t>
      </w:r>
      <w:r w:rsidR="00F75FFF" w:rsidRPr="000A12BB">
        <w:rPr>
          <w:rFonts w:ascii="Times New Roman" w:eastAsia="Times New Roman" w:hAnsi="Times New Roman" w:cs="Times New Roman"/>
        </w:rPr>
        <w:t xml:space="preserve">University of Chicago, Department of Psychiatry and </w:t>
      </w:r>
      <w:proofErr w:type="spellStart"/>
      <w:r w:rsidR="00F75FFF" w:rsidRPr="000A12BB">
        <w:rPr>
          <w:rFonts w:ascii="Times New Roman" w:eastAsia="Times New Roman" w:hAnsi="Times New Roman" w:cs="Times New Roman"/>
        </w:rPr>
        <w:t>Behavioral</w:t>
      </w:r>
      <w:proofErr w:type="spellEnd"/>
      <w:r w:rsidR="00F75FFF" w:rsidRPr="000A12BB">
        <w:rPr>
          <w:rFonts w:ascii="Times New Roman" w:eastAsia="Times New Roman" w:hAnsi="Times New Roman" w:cs="Times New Roman"/>
        </w:rPr>
        <w:t xml:space="preserve"> Neuroscience, Chicago, IL</w:t>
      </w:r>
      <w:r w:rsidR="00F75FFF">
        <w:rPr>
          <w:rFonts w:ascii="Times New Roman" w:eastAsia="Times New Roman" w:hAnsi="Times New Roman" w:cs="Times New Roman"/>
        </w:rPr>
        <w:t xml:space="preserve"> USA</w:t>
      </w:r>
    </w:p>
    <w:p w14:paraId="01058815" w14:textId="77777777" w:rsidR="00F75FFF" w:rsidRPr="0041367C" w:rsidRDefault="00F75FFF" w:rsidP="000A12BB">
      <w:pPr>
        <w:spacing w:after="200" w:line="480" w:lineRule="auto"/>
        <w:jc w:val="center"/>
        <w:rPr>
          <w:rFonts w:ascii="Times New Roman" w:eastAsia="Times New Roman" w:hAnsi="Times New Roman" w:cs="Times New Roman"/>
        </w:rPr>
      </w:pPr>
    </w:p>
    <w:p w14:paraId="4C422EE6" w14:textId="77777777" w:rsidR="00F75FFF" w:rsidRPr="0041367C" w:rsidRDefault="00F75FFF" w:rsidP="00F75FFF">
      <w:pPr>
        <w:rPr>
          <w:rFonts w:ascii="Times New Roman" w:hAnsi="Times New Roman" w:cs="Times New Roman"/>
        </w:rPr>
      </w:pPr>
      <w:r w:rsidRPr="0041367C">
        <w:rPr>
          <w:rFonts w:ascii="Times New Roman" w:hAnsi="Times New Roman" w:cs="Times New Roman"/>
          <w:b/>
          <w:bCs/>
        </w:rPr>
        <w:t>Correspondence</w:t>
      </w:r>
      <w:r w:rsidRPr="0041367C">
        <w:rPr>
          <w:rFonts w:ascii="Times New Roman" w:hAnsi="Times New Roman" w:cs="Times New Roman"/>
        </w:rPr>
        <w:t xml:space="preserve">: Jon E. Grant, JD, MD, MPH, Department of Psychiatry and </w:t>
      </w:r>
      <w:proofErr w:type="spellStart"/>
      <w:r w:rsidRPr="0041367C">
        <w:rPr>
          <w:rFonts w:ascii="Times New Roman" w:hAnsi="Times New Roman" w:cs="Times New Roman"/>
        </w:rPr>
        <w:t>Behavioral</w:t>
      </w:r>
      <w:proofErr w:type="spellEnd"/>
      <w:r w:rsidRPr="0041367C">
        <w:rPr>
          <w:rFonts w:ascii="Times New Roman" w:hAnsi="Times New Roman" w:cs="Times New Roman"/>
        </w:rPr>
        <w:t xml:space="preserve"> Neuroscience, University of Chicago, Pritzker School of Medicine, 5841 S. Maryland Avenue, MC-3077, Chicago, IL 60637 USA</w:t>
      </w:r>
      <w:r>
        <w:rPr>
          <w:rFonts w:ascii="Times New Roman" w:hAnsi="Times New Roman" w:cs="Times New Roman"/>
        </w:rPr>
        <w:t>.</w:t>
      </w:r>
      <w:r w:rsidRPr="0041367C">
        <w:rPr>
          <w:rFonts w:ascii="Times New Roman" w:hAnsi="Times New Roman" w:cs="Times New Roman"/>
          <w:b/>
          <w:bCs/>
        </w:rPr>
        <w:t xml:space="preserve"> E-MAIL</w:t>
      </w:r>
      <w:r w:rsidRPr="0041367C">
        <w:rPr>
          <w:rFonts w:ascii="Times New Roman" w:hAnsi="Times New Roman" w:cs="Times New Roman"/>
        </w:rPr>
        <w:t>: jongrant@uchicago.edu</w:t>
      </w:r>
    </w:p>
    <w:p w14:paraId="220DF9E9" w14:textId="77777777" w:rsidR="00F75FFF" w:rsidRDefault="00F75FFF" w:rsidP="00F75FFF">
      <w:pPr>
        <w:spacing w:line="480" w:lineRule="auto"/>
        <w:rPr>
          <w:rFonts w:ascii="Times New Roman" w:eastAsia="Times New Roman" w:hAnsi="Times New Roman" w:cs="Times New Roman"/>
          <w:b/>
        </w:rPr>
      </w:pPr>
    </w:p>
    <w:p w14:paraId="0D39221C" w14:textId="2050DB90" w:rsidR="00F75FFF" w:rsidRPr="0041367C" w:rsidRDefault="00F75FFF" w:rsidP="00F75FFF">
      <w:pPr>
        <w:spacing w:line="480" w:lineRule="auto"/>
        <w:rPr>
          <w:rFonts w:ascii="Times New Roman" w:eastAsia="Times New Roman" w:hAnsi="Times New Roman" w:cs="Times New Roman"/>
        </w:rPr>
      </w:pPr>
      <w:r w:rsidRPr="0041367C">
        <w:rPr>
          <w:rFonts w:ascii="Times New Roman" w:eastAsia="Times New Roman" w:hAnsi="Times New Roman" w:cs="Times New Roman"/>
          <w:b/>
        </w:rPr>
        <w:t>Funding:</w:t>
      </w:r>
      <w:r w:rsidRPr="0041367C">
        <w:rPr>
          <w:rFonts w:ascii="Times New Roman" w:eastAsia="Times New Roman" w:hAnsi="Times New Roman" w:cs="Times New Roman"/>
        </w:rPr>
        <w:t xml:space="preserve"> </w:t>
      </w:r>
      <w:r w:rsidR="00072311" w:rsidRPr="00072311">
        <w:rPr>
          <w:rFonts w:ascii="Times New Roman" w:eastAsia="Times New Roman" w:hAnsi="Times New Roman" w:cs="Times New Roman"/>
        </w:rPr>
        <w:t xml:space="preserve">This research was funded in whole, or in part, by </w:t>
      </w:r>
      <w:proofErr w:type="spellStart"/>
      <w:r w:rsidR="00072311" w:rsidRPr="00072311">
        <w:rPr>
          <w:rFonts w:ascii="Times New Roman" w:eastAsia="Times New Roman" w:hAnsi="Times New Roman" w:cs="Times New Roman"/>
        </w:rPr>
        <w:t>Wellcome</w:t>
      </w:r>
      <w:proofErr w:type="spellEnd"/>
      <w:r w:rsidR="00072311">
        <w:rPr>
          <w:rFonts w:ascii="Times New Roman" w:eastAsia="Times New Roman" w:hAnsi="Times New Roman" w:cs="Times New Roman"/>
        </w:rPr>
        <w:t xml:space="preserve"> (</w:t>
      </w:r>
      <w:r w:rsidR="00072311" w:rsidRPr="00A9320A">
        <w:rPr>
          <w:rFonts w:ascii="Times New Roman" w:eastAsia="Times New Roman" w:hAnsi="Times New Roman" w:cs="Times New Roman"/>
        </w:rPr>
        <w:t>110049/Z/15/Z</w:t>
      </w:r>
      <w:r w:rsidR="00072311">
        <w:rPr>
          <w:rFonts w:ascii="Times New Roman" w:eastAsia="Times New Roman" w:hAnsi="Times New Roman" w:cs="Times New Roman"/>
        </w:rPr>
        <w:t xml:space="preserve"> &amp; 110049/Z/15/A). </w:t>
      </w:r>
      <w:r w:rsidR="00072311" w:rsidRPr="00072311">
        <w:rPr>
          <w:rFonts w:ascii="Times New Roman" w:eastAsia="Times New Roman" w:hAnsi="Times New Roman" w:cs="Times New Roman"/>
        </w:rPr>
        <w:t>For the purpose of open a</w:t>
      </w:r>
      <w:r w:rsidR="00072311">
        <w:rPr>
          <w:rFonts w:ascii="Times New Roman" w:eastAsia="Times New Roman" w:hAnsi="Times New Roman" w:cs="Times New Roman"/>
        </w:rPr>
        <w:t xml:space="preserve">ccess, the author has applied a </w:t>
      </w:r>
      <w:r w:rsidR="00072311" w:rsidRPr="00072311">
        <w:rPr>
          <w:rFonts w:ascii="Times New Roman" w:eastAsia="Times New Roman" w:hAnsi="Times New Roman" w:cs="Times New Roman"/>
        </w:rPr>
        <w:t>CC BY public copyright licence to any Author Accepted Manuscript version arising from this submission.</w:t>
      </w:r>
      <w:r w:rsidR="00072311">
        <w:rPr>
          <w:rFonts w:ascii="Times New Roman" w:eastAsia="Times New Roman" w:hAnsi="Times New Roman" w:cs="Times New Roman"/>
        </w:rPr>
        <w:t xml:space="preserve"> </w:t>
      </w:r>
      <w:r w:rsidR="003F6EAB">
        <w:rPr>
          <w:rFonts w:ascii="Times New Roman" w:eastAsia="Times New Roman" w:hAnsi="Times New Roman" w:cs="Times New Roman"/>
        </w:rPr>
        <w:t>Dr Solly’s role in this study was funded by the East Anglian Foundation Programme.</w:t>
      </w:r>
    </w:p>
    <w:p w14:paraId="5D02890C" w14:textId="3C7F4E84" w:rsidR="00F75FFF" w:rsidRDefault="00F75FFF" w:rsidP="003F6EAB">
      <w:pPr>
        <w:spacing w:line="480" w:lineRule="auto"/>
        <w:rPr>
          <w:rFonts w:ascii="Times New Roman" w:hAnsi="Times New Roman" w:cs="Times New Roman"/>
          <w:b/>
          <w:bCs/>
          <w:sz w:val="22"/>
          <w:szCs w:val="22"/>
        </w:rPr>
      </w:pPr>
      <w:r>
        <w:rPr>
          <w:rFonts w:ascii="Times New Roman" w:eastAsia="Times New Roman" w:hAnsi="Times New Roman" w:cs="Times New Roman"/>
          <w:b/>
        </w:rPr>
        <w:t>Declaration of Interests</w:t>
      </w:r>
      <w:r w:rsidRPr="0041367C">
        <w:rPr>
          <w:rFonts w:ascii="Times New Roman" w:eastAsia="Times New Roman" w:hAnsi="Times New Roman" w:cs="Times New Roman"/>
          <w:b/>
        </w:rPr>
        <w:t>:</w:t>
      </w:r>
      <w:r>
        <w:rPr>
          <w:rFonts w:ascii="Times New Roman" w:eastAsia="Times New Roman" w:hAnsi="Times New Roman" w:cs="Times New Roman"/>
        </w:rPr>
        <w:t xml:space="preserve"> Prof</w:t>
      </w:r>
      <w:r w:rsidRPr="0041367C">
        <w:rPr>
          <w:rFonts w:ascii="Times New Roman" w:eastAsia="Times New Roman" w:hAnsi="Times New Roman" w:cs="Times New Roman"/>
        </w:rPr>
        <w:t xml:space="preserve">. Grant has received research grants from the TLC Foundation for Body-Focused Repetitive </w:t>
      </w:r>
      <w:proofErr w:type="spellStart"/>
      <w:r w:rsidRPr="0041367C">
        <w:rPr>
          <w:rFonts w:ascii="Times New Roman" w:eastAsia="Times New Roman" w:hAnsi="Times New Roman" w:cs="Times New Roman"/>
        </w:rPr>
        <w:t>Behaviors</w:t>
      </w:r>
      <w:proofErr w:type="spellEnd"/>
      <w:r w:rsidRPr="0041367C">
        <w:rPr>
          <w:rFonts w:ascii="Times New Roman" w:eastAsia="Times New Roman" w:hAnsi="Times New Roman" w:cs="Times New Roman"/>
        </w:rPr>
        <w:t xml:space="preserve">, </w:t>
      </w:r>
      <w:r>
        <w:rPr>
          <w:rFonts w:ascii="Times New Roman" w:eastAsia="Times New Roman" w:hAnsi="Times New Roman" w:cs="Times New Roman"/>
        </w:rPr>
        <w:t>and Otsuka</w:t>
      </w:r>
      <w:r w:rsidRPr="0041367C">
        <w:rPr>
          <w:rFonts w:ascii="Times New Roman" w:eastAsia="Times New Roman" w:hAnsi="Times New Roman" w:cs="Times New Roman"/>
        </w:rPr>
        <w:t xml:space="preserve">, </w:t>
      </w:r>
      <w:proofErr w:type="spellStart"/>
      <w:r w:rsidRPr="0041367C">
        <w:rPr>
          <w:rFonts w:ascii="Times New Roman" w:eastAsia="Times New Roman" w:hAnsi="Times New Roman" w:cs="Times New Roman"/>
        </w:rPr>
        <w:t>Biohaven</w:t>
      </w:r>
      <w:proofErr w:type="spellEnd"/>
      <w:r w:rsidRPr="0041367C">
        <w:rPr>
          <w:rFonts w:ascii="Times New Roman" w:eastAsia="Times New Roman" w:hAnsi="Times New Roman" w:cs="Times New Roman"/>
        </w:rPr>
        <w:t xml:space="preserve">, and </w:t>
      </w:r>
      <w:proofErr w:type="spellStart"/>
      <w:r w:rsidRPr="0041367C">
        <w:rPr>
          <w:rFonts w:ascii="Times New Roman" w:eastAsia="Times New Roman" w:hAnsi="Times New Roman" w:cs="Times New Roman"/>
        </w:rPr>
        <w:t>Avanir</w:t>
      </w:r>
      <w:proofErr w:type="spellEnd"/>
      <w:r w:rsidRPr="0041367C">
        <w:rPr>
          <w:rFonts w:ascii="Times New Roman" w:eastAsia="Times New Roman" w:hAnsi="Times New Roman" w:cs="Times New Roman"/>
        </w:rPr>
        <w:t xml:space="preserve"> Pharmaceuticals. He receives yearly compensation for acting as editor-in-chief of the Journal of Gambling Studies and has received royalties from Oxford University Press, American Psychiatric Publishing, Inc., Norton Press, and McGraw Hill. </w:t>
      </w:r>
      <w:r>
        <w:rPr>
          <w:rFonts w:ascii="Times New Roman" w:eastAsia="Times New Roman" w:hAnsi="Times New Roman" w:cs="Times New Roman"/>
        </w:rPr>
        <w:t xml:space="preserve">Prof. Chamberlain </w:t>
      </w:r>
      <w:r w:rsidR="003F6EAB">
        <w:rPr>
          <w:rFonts w:ascii="Times New Roman" w:eastAsia="Times New Roman" w:hAnsi="Times New Roman" w:cs="Times New Roman"/>
        </w:rPr>
        <w:t xml:space="preserve">receives </w:t>
      </w:r>
      <w:r>
        <w:rPr>
          <w:rFonts w:ascii="Times New Roman" w:eastAsia="Times New Roman" w:hAnsi="Times New Roman" w:cs="Times New Roman"/>
        </w:rPr>
        <w:t xml:space="preserve">an honorarium </w:t>
      </w:r>
      <w:r>
        <w:rPr>
          <w:rFonts w:ascii="Times New Roman" w:eastAsia="Times New Roman" w:hAnsi="Times New Roman" w:cs="Times New Roman"/>
        </w:rPr>
        <w:lastRenderedPageBreak/>
        <w:t xml:space="preserve">from Elsevier for editorial work. He previously consulted for </w:t>
      </w:r>
      <w:proofErr w:type="spellStart"/>
      <w:r>
        <w:rPr>
          <w:rFonts w:ascii="Times New Roman" w:eastAsia="Times New Roman" w:hAnsi="Times New Roman" w:cs="Times New Roman"/>
        </w:rPr>
        <w:t>Promentis</w:t>
      </w:r>
      <w:proofErr w:type="spellEnd"/>
      <w:r>
        <w:rPr>
          <w:rFonts w:ascii="Times New Roman" w:eastAsia="Times New Roman" w:hAnsi="Times New Roman" w:cs="Times New Roman"/>
        </w:rPr>
        <w:t xml:space="preserve"> on work unrelated to the content of this paper.</w:t>
      </w:r>
      <w:r w:rsidR="00072311">
        <w:rPr>
          <w:rFonts w:ascii="Times New Roman" w:eastAsia="Times New Roman" w:hAnsi="Times New Roman" w:cs="Times New Roman"/>
        </w:rPr>
        <w:t xml:space="preserve"> Prof. Chamberlain’s role in this project was supported and funded by </w:t>
      </w:r>
      <w:proofErr w:type="spellStart"/>
      <w:r w:rsidR="00072311">
        <w:rPr>
          <w:rFonts w:ascii="Times New Roman" w:eastAsia="Times New Roman" w:hAnsi="Times New Roman" w:cs="Times New Roman"/>
        </w:rPr>
        <w:t>Wellcome</w:t>
      </w:r>
      <w:proofErr w:type="spellEnd"/>
      <w:r w:rsidR="00072311">
        <w:rPr>
          <w:rFonts w:ascii="Times New Roman" w:eastAsia="Times New Roman" w:hAnsi="Times New Roman" w:cs="Times New Roman"/>
        </w:rPr>
        <w:t>.</w:t>
      </w:r>
      <w:r>
        <w:rPr>
          <w:rFonts w:ascii="Times New Roman" w:eastAsia="Times New Roman" w:hAnsi="Times New Roman" w:cs="Times New Roman"/>
        </w:rPr>
        <w:t xml:space="preserve"> The other authors report no relevant disclosures. </w:t>
      </w:r>
      <w:r>
        <w:rPr>
          <w:rFonts w:ascii="Times New Roman" w:hAnsi="Times New Roman" w:cs="Times New Roman"/>
          <w:b/>
          <w:bCs/>
          <w:sz w:val="22"/>
          <w:szCs w:val="22"/>
        </w:rPr>
        <w:br w:type="page"/>
      </w:r>
    </w:p>
    <w:p w14:paraId="08519070" w14:textId="11E36E13" w:rsidR="0056767E" w:rsidRDefault="0056767E" w:rsidP="0056767E">
      <w:pPr>
        <w:spacing w:line="480" w:lineRule="auto"/>
        <w:rPr>
          <w:rFonts w:ascii="Times New Roman" w:hAnsi="Times New Roman" w:cs="Times New Roman"/>
          <w:b/>
          <w:bCs/>
          <w:sz w:val="22"/>
          <w:szCs w:val="22"/>
        </w:rPr>
      </w:pPr>
      <w:r>
        <w:rPr>
          <w:rFonts w:ascii="Times New Roman" w:hAnsi="Times New Roman" w:cs="Times New Roman"/>
          <w:b/>
          <w:bCs/>
          <w:sz w:val="22"/>
          <w:szCs w:val="22"/>
        </w:rPr>
        <w:lastRenderedPageBreak/>
        <w:t>Abstract</w:t>
      </w:r>
    </w:p>
    <w:p w14:paraId="7FE301A5" w14:textId="0775E455" w:rsidR="0056767E" w:rsidRDefault="0056767E" w:rsidP="0056767E">
      <w:pPr>
        <w:spacing w:line="480" w:lineRule="auto"/>
        <w:rPr>
          <w:rFonts w:ascii="Times New Roman" w:hAnsi="Times New Roman" w:cs="Times New Roman"/>
          <w:sz w:val="22"/>
          <w:szCs w:val="22"/>
        </w:rPr>
      </w:pPr>
      <w:r w:rsidRPr="005847B2">
        <w:rPr>
          <w:rFonts w:ascii="Times New Roman" w:hAnsi="Times New Roman" w:cs="Times New Roman"/>
          <w:b/>
          <w:bCs/>
          <w:sz w:val="22"/>
          <w:szCs w:val="22"/>
        </w:rPr>
        <w:t>Objective:</w:t>
      </w:r>
      <w:r>
        <w:rPr>
          <w:rFonts w:ascii="Times New Roman" w:hAnsi="Times New Roman" w:cs="Times New Roman"/>
          <w:sz w:val="22"/>
          <w:szCs w:val="22"/>
        </w:rPr>
        <w:t xml:space="preserve"> Binge Eating Disorder (BED) is the most common eating disorder,</w:t>
      </w:r>
      <w:r w:rsidR="00110FEE">
        <w:rPr>
          <w:rFonts w:ascii="Times New Roman" w:hAnsi="Times New Roman" w:cs="Times New Roman"/>
          <w:sz w:val="22"/>
          <w:szCs w:val="22"/>
        </w:rPr>
        <w:t xml:space="preserve"> and is</w:t>
      </w:r>
      <w:r>
        <w:rPr>
          <w:rFonts w:ascii="Times New Roman" w:hAnsi="Times New Roman" w:cs="Times New Roman"/>
          <w:sz w:val="22"/>
          <w:szCs w:val="22"/>
        </w:rPr>
        <w:t xml:space="preserve"> associated with significant comorbidity, </w:t>
      </w:r>
      <w:r w:rsidR="00110FEE">
        <w:rPr>
          <w:rFonts w:ascii="Times New Roman" w:hAnsi="Times New Roman" w:cs="Times New Roman"/>
          <w:sz w:val="22"/>
          <w:szCs w:val="22"/>
        </w:rPr>
        <w:t>with</w:t>
      </w:r>
      <w:r>
        <w:rPr>
          <w:rFonts w:ascii="Times New Roman" w:hAnsi="Times New Roman" w:cs="Times New Roman"/>
          <w:sz w:val="22"/>
          <w:szCs w:val="22"/>
        </w:rPr>
        <w:t xml:space="preserve"> university students </w:t>
      </w:r>
      <w:r w:rsidR="00110FEE">
        <w:rPr>
          <w:rFonts w:ascii="Times New Roman" w:hAnsi="Times New Roman" w:cs="Times New Roman"/>
          <w:sz w:val="22"/>
          <w:szCs w:val="22"/>
        </w:rPr>
        <w:t>being</w:t>
      </w:r>
      <w:r>
        <w:rPr>
          <w:rFonts w:ascii="Times New Roman" w:hAnsi="Times New Roman" w:cs="Times New Roman"/>
          <w:sz w:val="22"/>
          <w:szCs w:val="22"/>
        </w:rPr>
        <w:t xml:space="preserve"> particularly vulnerable. We aimed to assess </w:t>
      </w:r>
      <w:r w:rsidR="005847B2">
        <w:rPr>
          <w:rFonts w:ascii="Times New Roman" w:hAnsi="Times New Roman" w:cs="Times New Roman"/>
          <w:sz w:val="22"/>
          <w:szCs w:val="22"/>
        </w:rPr>
        <w:t xml:space="preserve">associations of BED with a wide range of comorbidities and measures of impulsivity and compulsivity in </w:t>
      </w:r>
      <w:r w:rsidR="00110FEE">
        <w:rPr>
          <w:rFonts w:ascii="Times New Roman" w:hAnsi="Times New Roman" w:cs="Times New Roman"/>
          <w:sz w:val="22"/>
          <w:szCs w:val="22"/>
        </w:rPr>
        <w:t>university students</w:t>
      </w:r>
      <w:r w:rsidR="005847B2">
        <w:rPr>
          <w:rFonts w:ascii="Times New Roman" w:hAnsi="Times New Roman" w:cs="Times New Roman"/>
          <w:sz w:val="22"/>
          <w:szCs w:val="22"/>
        </w:rPr>
        <w:t>, to gain better understanding of its prevalence, correlates and pathophysiology.</w:t>
      </w:r>
    </w:p>
    <w:p w14:paraId="3F9A88E3" w14:textId="0113892C" w:rsidR="0056767E" w:rsidRDefault="0056767E" w:rsidP="0056767E">
      <w:pPr>
        <w:spacing w:line="480" w:lineRule="auto"/>
        <w:rPr>
          <w:rFonts w:ascii="Times New Roman" w:hAnsi="Times New Roman" w:cs="Times New Roman"/>
          <w:sz w:val="22"/>
          <w:szCs w:val="22"/>
        </w:rPr>
      </w:pPr>
      <w:r w:rsidRPr="005847B2">
        <w:rPr>
          <w:rFonts w:ascii="Times New Roman" w:hAnsi="Times New Roman" w:cs="Times New Roman"/>
          <w:b/>
          <w:bCs/>
          <w:sz w:val="22"/>
          <w:szCs w:val="22"/>
        </w:rPr>
        <w:t>Method:</w:t>
      </w:r>
      <w:r w:rsidR="005847B2">
        <w:rPr>
          <w:rFonts w:ascii="Times New Roman" w:hAnsi="Times New Roman" w:cs="Times New Roman"/>
          <w:sz w:val="22"/>
          <w:szCs w:val="22"/>
        </w:rPr>
        <w:t xml:space="preserve"> We carried out an internet-based survey, assessing presence of BED</w:t>
      </w:r>
      <w:r w:rsidR="00120E02">
        <w:rPr>
          <w:rFonts w:ascii="Times New Roman" w:hAnsi="Times New Roman" w:cs="Times New Roman"/>
          <w:sz w:val="22"/>
          <w:szCs w:val="22"/>
        </w:rPr>
        <w:t xml:space="preserve"> using a validated structured self-report diagnostic tool</w:t>
      </w:r>
      <w:r w:rsidR="005847B2">
        <w:rPr>
          <w:rFonts w:ascii="Times New Roman" w:hAnsi="Times New Roman" w:cs="Times New Roman"/>
          <w:sz w:val="22"/>
          <w:szCs w:val="22"/>
        </w:rPr>
        <w:t>, demographics, substance use, impulsive behaviours, psychiatric history and measures of impulsivity and compulsivity. Approximately 10,000 students were invited to take part. Group differences between students with current BED and students without BED were investigated.</w:t>
      </w:r>
    </w:p>
    <w:p w14:paraId="5924BFD5" w14:textId="39AB7671" w:rsidR="0056767E" w:rsidRDefault="0056767E" w:rsidP="0056767E">
      <w:pPr>
        <w:spacing w:line="480" w:lineRule="auto"/>
        <w:rPr>
          <w:rFonts w:ascii="Times New Roman" w:hAnsi="Times New Roman" w:cs="Times New Roman"/>
          <w:sz w:val="22"/>
          <w:szCs w:val="22"/>
        </w:rPr>
      </w:pPr>
      <w:r w:rsidRPr="0038580E">
        <w:rPr>
          <w:rFonts w:ascii="Times New Roman" w:hAnsi="Times New Roman" w:cs="Times New Roman"/>
          <w:b/>
          <w:bCs/>
          <w:sz w:val="22"/>
          <w:szCs w:val="22"/>
        </w:rPr>
        <w:t>Results:</w:t>
      </w:r>
      <w:r w:rsidR="005847B2">
        <w:rPr>
          <w:rFonts w:ascii="Times New Roman" w:hAnsi="Times New Roman" w:cs="Times New Roman"/>
          <w:sz w:val="22"/>
          <w:szCs w:val="22"/>
        </w:rPr>
        <w:t xml:space="preserve"> 3415 students completed the survey, with 83 (2.4%) screening positive for BED. </w:t>
      </w:r>
      <w:r w:rsidR="0038580E">
        <w:rPr>
          <w:rFonts w:ascii="Times New Roman" w:hAnsi="Times New Roman" w:cs="Times New Roman"/>
          <w:sz w:val="22"/>
          <w:szCs w:val="22"/>
        </w:rPr>
        <w:t>BED was associated with female gender, hazardous/harmful alcohol use, depression and anxiety symptoms, low self-esteem, post-traumatic stress disorder, attention-deficit/hyperactivity disorder, treatment for psychological/emotional problems (including prescribed medication) and trait impulsivity and compulsivity.</w:t>
      </w:r>
      <w:r w:rsidR="00934FAD">
        <w:rPr>
          <w:rFonts w:ascii="Times New Roman" w:hAnsi="Times New Roman" w:cs="Times New Roman"/>
          <w:sz w:val="22"/>
          <w:szCs w:val="22"/>
        </w:rPr>
        <w:t xml:space="preserve"> However, t</w:t>
      </w:r>
      <w:r w:rsidR="0038580E">
        <w:rPr>
          <w:rFonts w:ascii="Times New Roman" w:hAnsi="Times New Roman" w:cs="Times New Roman"/>
          <w:sz w:val="22"/>
          <w:szCs w:val="22"/>
        </w:rPr>
        <w:t xml:space="preserve">he largest effect sizes were </w:t>
      </w:r>
      <w:r w:rsidR="00934FAD">
        <w:rPr>
          <w:rFonts w:ascii="Times New Roman" w:hAnsi="Times New Roman" w:cs="Times New Roman"/>
          <w:sz w:val="22"/>
          <w:szCs w:val="22"/>
        </w:rPr>
        <w:t>evident for</w:t>
      </w:r>
      <w:r w:rsidR="0038580E">
        <w:rPr>
          <w:rFonts w:ascii="Times New Roman" w:hAnsi="Times New Roman" w:cs="Times New Roman"/>
          <w:sz w:val="22"/>
          <w:szCs w:val="22"/>
        </w:rPr>
        <w:t xml:space="preserve"> associations with trait impulsivity and compulsivity.</w:t>
      </w:r>
    </w:p>
    <w:p w14:paraId="291C202D" w14:textId="72288CE0" w:rsidR="0056767E" w:rsidRDefault="0056767E" w:rsidP="0056767E">
      <w:pPr>
        <w:spacing w:line="480" w:lineRule="auto"/>
        <w:rPr>
          <w:rFonts w:ascii="Times New Roman" w:hAnsi="Times New Roman" w:cs="Times New Roman"/>
          <w:sz w:val="22"/>
          <w:szCs w:val="22"/>
        </w:rPr>
      </w:pPr>
      <w:r w:rsidRPr="0094688E">
        <w:rPr>
          <w:rFonts w:ascii="Times New Roman" w:hAnsi="Times New Roman" w:cs="Times New Roman"/>
          <w:b/>
          <w:bCs/>
          <w:sz w:val="22"/>
          <w:szCs w:val="22"/>
        </w:rPr>
        <w:t>Conclusions:</w:t>
      </w:r>
      <w:r w:rsidR="0038580E">
        <w:rPr>
          <w:rFonts w:ascii="Times New Roman" w:hAnsi="Times New Roman" w:cs="Times New Roman"/>
          <w:sz w:val="22"/>
          <w:szCs w:val="22"/>
        </w:rPr>
        <w:t xml:space="preserve"> The association</w:t>
      </w:r>
      <w:r w:rsidR="00C94494">
        <w:rPr>
          <w:rFonts w:ascii="Times New Roman" w:hAnsi="Times New Roman" w:cs="Times New Roman"/>
          <w:sz w:val="22"/>
          <w:szCs w:val="22"/>
        </w:rPr>
        <w:t>s</w:t>
      </w:r>
      <w:r w:rsidR="0038580E">
        <w:rPr>
          <w:rFonts w:ascii="Times New Roman" w:hAnsi="Times New Roman" w:cs="Times New Roman"/>
          <w:sz w:val="22"/>
          <w:szCs w:val="22"/>
        </w:rPr>
        <w:t xml:space="preserve"> of BED with trait impulsivity and compulsivity implicate these latent phenotypes in its pathophysiology. The </w:t>
      </w:r>
      <w:r w:rsidR="0094688E">
        <w:rPr>
          <w:rFonts w:ascii="Times New Roman" w:hAnsi="Times New Roman" w:cs="Times New Roman"/>
          <w:sz w:val="22"/>
          <w:szCs w:val="22"/>
        </w:rPr>
        <w:t>identifi</w:t>
      </w:r>
      <w:r w:rsidR="009D3460">
        <w:rPr>
          <w:rFonts w:ascii="Times New Roman" w:hAnsi="Times New Roman" w:cs="Times New Roman"/>
          <w:sz w:val="22"/>
          <w:szCs w:val="22"/>
        </w:rPr>
        <w:t>ed</w:t>
      </w:r>
      <w:r w:rsidR="0094688E">
        <w:rPr>
          <w:rFonts w:ascii="Times New Roman" w:hAnsi="Times New Roman" w:cs="Times New Roman"/>
          <w:sz w:val="22"/>
          <w:szCs w:val="22"/>
        </w:rPr>
        <w:t xml:space="preserve"> </w:t>
      </w:r>
      <w:r w:rsidR="0038580E">
        <w:rPr>
          <w:rFonts w:ascii="Times New Roman" w:hAnsi="Times New Roman" w:cs="Times New Roman"/>
          <w:sz w:val="22"/>
          <w:szCs w:val="22"/>
        </w:rPr>
        <w:t xml:space="preserve">links </w:t>
      </w:r>
      <w:r w:rsidR="00192E3A">
        <w:rPr>
          <w:rFonts w:ascii="Times New Roman" w:hAnsi="Times New Roman" w:cs="Times New Roman"/>
          <w:sz w:val="22"/>
          <w:szCs w:val="22"/>
        </w:rPr>
        <w:t>between BED and</w:t>
      </w:r>
      <w:r w:rsidR="0038580E">
        <w:rPr>
          <w:rFonts w:ascii="Times New Roman" w:hAnsi="Times New Roman" w:cs="Times New Roman"/>
          <w:sz w:val="22"/>
          <w:szCs w:val="22"/>
        </w:rPr>
        <w:t xml:space="preserve"> a </w:t>
      </w:r>
      <w:r w:rsidR="0094688E">
        <w:rPr>
          <w:rFonts w:ascii="Times New Roman" w:hAnsi="Times New Roman" w:cs="Times New Roman"/>
          <w:sz w:val="22"/>
          <w:szCs w:val="22"/>
        </w:rPr>
        <w:t xml:space="preserve">wide </w:t>
      </w:r>
      <w:r w:rsidR="0038580E">
        <w:rPr>
          <w:rFonts w:ascii="Times New Roman" w:hAnsi="Times New Roman" w:cs="Times New Roman"/>
          <w:sz w:val="22"/>
          <w:szCs w:val="22"/>
        </w:rPr>
        <w:t>range of mental disorders</w:t>
      </w:r>
      <w:r w:rsidR="0094688E">
        <w:rPr>
          <w:rFonts w:ascii="Times New Roman" w:hAnsi="Times New Roman" w:cs="Times New Roman"/>
          <w:sz w:val="22"/>
          <w:szCs w:val="22"/>
        </w:rPr>
        <w:t xml:space="preserve"> highlight the need to screen for disordered eating in student populations</w:t>
      </w:r>
      <w:r w:rsidR="00925E20">
        <w:rPr>
          <w:rFonts w:ascii="Times New Roman" w:hAnsi="Times New Roman" w:cs="Times New Roman"/>
          <w:sz w:val="22"/>
          <w:szCs w:val="22"/>
        </w:rPr>
        <w:t xml:space="preserve">, including when students present with other mental health conditions. </w:t>
      </w:r>
    </w:p>
    <w:p w14:paraId="2B6D9CF1" w14:textId="272A97ED" w:rsidR="0056767E" w:rsidRDefault="0056767E">
      <w:pPr>
        <w:rPr>
          <w:rFonts w:ascii="Times New Roman" w:hAnsi="Times New Roman" w:cs="Times New Roman"/>
          <w:b/>
          <w:bCs/>
          <w:sz w:val="22"/>
          <w:szCs w:val="22"/>
        </w:rPr>
      </w:pPr>
      <w:r>
        <w:rPr>
          <w:rFonts w:ascii="Times New Roman" w:hAnsi="Times New Roman" w:cs="Times New Roman"/>
          <w:b/>
          <w:bCs/>
          <w:sz w:val="22"/>
          <w:szCs w:val="22"/>
        </w:rPr>
        <w:br w:type="page"/>
      </w:r>
    </w:p>
    <w:p w14:paraId="382C5A7A" w14:textId="11ACC0D0" w:rsidR="00745082" w:rsidRPr="00515B26" w:rsidRDefault="00745082" w:rsidP="0058300D">
      <w:pPr>
        <w:spacing w:line="480" w:lineRule="auto"/>
        <w:rPr>
          <w:rFonts w:ascii="Times New Roman" w:hAnsi="Times New Roman" w:cs="Times New Roman"/>
          <w:b/>
          <w:bCs/>
          <w:sz w:val="22"/>
          <w:szCs w:val="22"/>
        </w:rPr>
      </w:pPr>
      <w:r w:rsidRPr="00515B26">
        <w:rPr>
          <w:rFonts w:ascii="Times New Roman" w:hAnsi="Times New Roman" w:cs="Times New Roman"/>
          <w:b/>
          <w:bCs/>
          <w:sz w:val="22"/>
          <w:szCs w:val="22"/>
        </w:rPr>
        <w:lastRenderedPageBreak/>
        <w:t>Introduction</w:t>
      </w:r>
    </w:p>
    <w:p w14:paraId="2CC29A3C" w14:textId="341C9B9F" w:rsidR="00A5057A" w:rsidRDefault="009152A2" w:rsidP="0058300D">
      <w:pPr>
        <w:spacing w:line="480" w:lineRule="auto"/>
        <w:rPr>
          <w:rFonts w:ascii="Times New Roman" w:hAnsi="Times New Roman" w:cs="Times New Roman"/>
          <w:sz w:val="22"/>
          <w:szCs w:val="22"/>
        </w:rPr>
      </w:pPr>
      <w:r w:rsidRPr="00515B26">
        <w:rPr>
          <w:rFonts w:ascii="Times New Roman" w:hAnsi="Times New Roman" w:cs="Times New Roman"/>
          <w:sz w:val="22"/>
          <w:szCs w:val="22"/>
        </w:rPr>
        <w:t xml:space="preserve">Binge eating disorder (BED) </w:t>
      </w:r>
      <w:r w:rsidR="00281623" w:rsidRPr="00515B26">
        <w:rPr>
          <w:rFonts w:ascii="Times New Roman" w:hAnsi="Times New Roman" w:cs="Times New Roman"/>
          <w:sz w:val="22"/>
          <w:szCs w:val="22"/>
        </w:rPr>
        <w:t xml:space="preserve">is </w:t>
      </w:r>
      <w:r w:rsidR="00366E6E">
        <w:rPr>
          <w:rFonts w:ascii="Times New Roman" w:hAnsi="Times New Roman" w:cs="Times New Roman"/>
          <w:sz w:val="22"/>
          <w:szCs w:val="22"/>
        </w:rPr>
        <w:t xml:space="preserve">the most common </w:t>
      </w:r>
      <w:r w:rsidR="00322E52">
        <w:rPr>
          <w:rFonts w:ascii="Times New Roman" w:hAnsi="Times New Roman" w:cs="Times New Roman"/>
          <w:sz w:val="22"/>
          <w:szCs w:val="22"/>
        </w:rPr>
        <w:t>typical</w:t>
      </w:r>
      <w:r w:rsidR="00366E6E">
        <w:rPr>
          <w:rFonts w:ascii="Times New Roman" w:hAnsi="Times New Roman" w:cs="Times New Roman"/>
          <w:sz w:val="22"/>
          <w:szCs w:val="22"/>
        </w:rPr>
        <w:t xml:space="preserve"> eating disorder and is </w:t>
      </w:r>
      <w:r w:rsidR="00281623" w:rsidRPr="00515B26">
        <w:rPr>
          <w:rFonts w:ascii="Times New Roman" w:hAnsi="Times New Roman" w:cs="Times New Roman"/>
          <w:sz w:val="22"/>
          <w:szCs w:val="22"/>
        </w:rPr>
        <w:t>characterized by recurrent episodes of binge eating without purging</w:t>
      </w:r>
      <w:r w:rsidR="00E61BCA">
        <w:rPr>
          <w:rFonts w:ascii="Times New Roman" w:hAnsi="Times New Roman" w:cs="Times New Roman"/>
          <w:sz w:val="22"/>
          <w:szCs w:val="22"/>
        </w:rPr>
        <w:t>, leading to</w:t>
      </w:r>
      <w:r w:rsidR="00281623" w:rsidRPr="00515B26">
        <w:rPr>
          <w:rFonts w:ascii="Times New Roman" w:hAnsi="Times New Roman" w:cs="Times New Roman"/>
          <w:sz w:val="22"/>
          <w:szCs w:val="22"/>
        </w:rPr>
        <w:t xml:space="preserve"> marked distress</w:t>
      </w:r>
      <w:r w:rsidR="006C7756">
        <w:rPr>
          <w:rFonts w:ascii="Times New Roman" w:hAnsi="Times New Roman" w:cs="Times New Roman"/>
          <w:sz w:val="22"/>
          <w:szCs w:val="22"/>
        </w:rPr>
        <w:t>.</w:t>
      </w:r>
      <w:r w:rsidR="000B6647" w:rsidRPr="00515B26">
        <w:rPr>
          <w:rFonts w:ascii="Times New Roman" w:hAnsi="Times New Roman" w:cs="Times New Roman"/>
          <w:sz w:val="22"/>
          <w:szCs w:val="22"/>
        </w:rPr>
        <w:fldChar w:fldCharType="begin" w:fldLock="1"/>
      </w:r>
      <w:r w:rsidR="00D00F1A">
        <w:rPr>
          <w:rFonts w:ascii="Times New Roman" w:hAnsi="Times New Roman" w:cs="Times New Roman"/>
          <w:sz w:val="22"/>
          <w:szCs w:val="22"/>
        </w:rPr>
        <w:instrText>ADDIN CSL_CITATION {"citationItems":[{"id":"ITEM-1","itemData":{"DOI":"10.1111/imj.14691","ISSN":"14455994","PMID":"31943622","abstract":"This article presents current diagnostic conceptualisations of eating disorders, including new disorders such as binge eating disorder (BED) and avoidant/restrictive food intake disorder (ARFID). This is followed by contemporary findings in the epidemiology of eating disorders, their broad sociodemographic distribution and the increases in community prevalence. Advances and the current status of evidence-based treatment and outcomes for the main eating disorders, anorexia nervosa, bulimia nervosa and BED are discussed with focus on first-line psychological therapies. Deficits in knowledge and directions for further research are highlighted, particularly with regard to treatments for BED and ARFID, how to improve treatment engagement and the management of osteopenia.","author":[{"dropping-particle":"","family":"Hay","given":"Phillipa","non-dropping-particle":"","parse-names":false,"suffix":""}],"container-title":"Internal Medicine Journal","id":"ITEM-1","issue":"1","issued":{"date-parts":[["2020"]]},"page":"24-29","title":"Current approach to eating disorders: a clinical update","type":"article-journal","volume":"50"},"uris":["http://www.mendeley.com/documents/?uuid=876d4eec-e8ee-4dbd-b6b1-b8054bf33df8"]},{"id":"ITEM-2","itemData":{"DOI":"10.1093/ajcn/nqy342","ISSN":"19383207","PMID":"31051507","abstract":"Background: Eating disorders (EDs) lead to multiple psychiatric and somatic complications and thus constitute a major public health concern. Objectives: The aim of this study was to give an exhaustive view of the studies reporting the prevalence of the different EDs or total EDs and to study their evolution. Methods: A literature search following PRISMA Guidelines and limited to studies in English or French published between 2000 and 2018 was performed and relevant studies were included in this systematic review on the prevalence of EDs. The literature search revealed 94 studies with accurate ED diagnosis and 27 with broad ED diagnosis. Results: In 94 studies with accurate ED diagnosis, the weighted means (ranges) of lifetime ED were 8.4% (3.3-18.6%) for women and 2.2% (0.8-6.5%) for men. The weighted means (ranges) of 12-month ED prevalence were 2.2% (0.8-13.1%) for women and 0.7% (0.3-0.9%) for men. The weighted means (ranges) of point prevalence were 5.7% (0.9-13.5%) for women and 2.2% (0.2-7.3%) for men. According to continents, the weighted means (ranges) of point prevalence were 4.6% (2.0-13.5%) in America, 2.2% (0.2-13.1%) in Europe, and 3.5% (0.6-7.8%) in Asia. In addition to the former, 27 other studies reported the prevalence of EDs as broad categories resulting in weighted means (ranges) of total point prevalence of any EDs of 19.4% (6.5-36.0%) for women and 13.8% (3.6-27.1%) for men. Conclusions: Despite the complexity of integrating all ED prevalence data, the most recent studies confirm that EDs are highly prevalent worldwide, especially in women. Moreover, the weighted means of point ED prevalence increased over the study period from 3.5% for the 2000-2006 period to 7.8% for the 2013-2018 period. This highlights a real challenge for public health and healthcare providers.","author":[{"dropping-particle":"","family":"Galmiche","given":"Marie","non-dropping-particle":"","parse-names":false,"suffix":""},{"dropping-particle":"","family":"Déchelotte","given":"Pierre","non-dropping-particle":"","parse-names":false,"suffix":""},{"dropping-particle":"","family":"Lambert","given":"Grégory","non-dropping-particle":"","parse-names":false,"suffix":""},{"dropping-particle":"","family":"Tavolacci","given":"Marie Pierre","non-dropping-particle":"","parse-names":false,"suffix":""}],"container-title":"American Journal of Clinical Nutrition","id":"ITEM-2","issue":"5","issued":{"date-parts":[["2019"]]},"page":"1402-1413","publisher":"Oxford University Press","title":"Prevalence of eating disorders over the 2000-2018 period: A systematic literature review","type":"article-journal","volume":"109"},"uris":["http://www.mendeley.com/documents/?uuid=abce5f0e-5503-42b5-896c-16244629680f"]},{"id":"ITEM-3","itemData":{"DOI":"10.1016/j.biopsych.2018.03.014","ISSN":"00063223","author":[{"dropping-particle":"","family":"Udo","given":"Tomoko","non-dropping-particle":"","parse-names":false,"suffix":""},{"dropping-particle":"","family":"Grilo","given":"Carlos M.","non-dropping-particle":"","parse-names":false,"suffix":""}],"container-title":"Biological Psychiatry","id":"ITEM-3","issue":"5","issued":{"date-parts":[["2018","9"]]},"page":"345-354","title":"Prevalence and Correlates of DSM-5–Defined Eating Disorders in a Nationally Representative Sample of U.S. Adults","type":"article-journal","volume":"84"},"uris":["http://www.mendeley.com/documents/?uuid=d78ed5ad-1b39-4f97-834a-9a2943724007"]},{"id":"ITEM-4","itemData":{"author":[{"dropping-particle":"","family":"Association","given":"American Psychiatric","non-dropping-particle":"","parse-names":false,"suffix":""}],"id":"ITEM-4","issued":{"date-parts":[["2013"]]},"title":"Diagnostic and statistical manual of mental disorders (5th ed.)","type":"article"},"uris":["http://www.mendeley.com/documents/?uuid=972e8671-e5c7-49a7-8cb2-089f923bf7b2"]}],"mendeley":{"formattedCitation":"&lt;sup&gt;1–4&lt;/sup&gt;","plainTextFormattedCitation":"1–4","previouslyFormattedCitation":"&lt;sup&gt;1–4&lt;/sup&gt;"},"properties":{"noteIndex":0},"schema":"https://github.com/citation-style-language/schema/raw/master/csl-citation.json"}</w:instrText>
      </w:r>
      <w:r w:rsidR="000B6647" w:rsidRPr="00515B26">
        <w:rPr>
          <w:rFonts w:ascii="Times New Roman" w:hAnsi="Times New Roman" w:cs="Times New Roman"/>
          <w:sz w:val="22"/>
          <w:szCs w:val="22"/>
        </w:rPr>
        <w:fldChar w:fldCharType="separate"/>
      </w:r>
      <w:r w:rsidR="005A3C0D" w:rsidRPr="005A3C0D">
        <w:rPr>
          <w:rFonts w:ascii="Times New Roman" w:hAnsi="Times New Roman" w:cs="Times New Roman"/>
          <w:noProof/>
          <w:sz w:val="22"/>
          <w:szCs w:val="22"/>
          <w:vertAlign w:val="superscript"/>
        </w:rPr>
        <w:t>1–4</w:t>
      </w:r>
      <w:r w:rsidR="000B6647" w:rsidRPr="00515B26">
        <w:rPr>
          <w:rFonts w:ascii="Times New Roman" w:hAnsi="Times New Roman" w:cs="Times New Roman"/>
          <w:sz w:val="22"/>
          <w:szCs w:val="22"/>
        </w:rPr>
        <w:fldChar w:fldCharType="end"/>
      </w:r>
      <w:r w:rsidR="003C6182" w:rsidRPr="00515B26">
        <w:rPr>
          <w:rFonts w:ascii="Times New Roman" w:hAnsi="Times New Roman" w:cs="Times New Roman"/>
          <w:sz w:val="22"/>
          <w:szCs w:val="22"/>
        </w:rPr>
        <w:t xml:space="preserve"> </w:t>
      </w:r>
      <w:r w:rsidR="00366E6E">
        <w:rPr>
          <w:rFonts w:ascii="Times New Roman" w:hAnsi="Times New Roman" w:cs="Times New Roman"/>
          <w:sz w:val="22"/>
          <w:szCs w:val="22"/>
        </w:rPr>
        <w:t>It</w:t>
      </w:r>
      <w:r w:rsidR="006A3EB9">
        <w:rPr>
          <w:rFonts w:ascii="Times New Roman" w:hAnsi="Times New Roman" w:cs="Times New Roman"/>
          <w:sz w:val="22"/>
          <w:szCs w:val="22"/>
        </w:rPr>
        <w:t xml:space="preserve"> is </w:t>
      </w:r>
      <w:r w:rsidR="002067C1">
        <w:rPr>
          <w:rFonts w:ascii="Times New Roman" w:hAnsi="Times New Roman" w:cs="Times New Roman"/>
          <w:sz w:val="22"/>
          <w:szCs w:val="22"/>
        </w:rPr>
        <w:t xml:space="preserve">also </w:t>
      </w:r>
      <w:r w:rsidR="006A3EB9">
        <w:rPr>
          <w:rFonts w:ascii="Times New Roman" w:hAnsi="Times New Roman" w:cs="Times New Roman"/>
          <w:sz w:val="22"/>
          <w:szCs w:val="22"/>
        </w:rPr>
        <w:t>associated with significant comorbidity</w:t>
      </w:r>
      <w:r w:rsidR="00557F91">
        <w:rPr>
          <w:rFonts w:ascii="Times New Roman" w:hAnsi="Times New Roman" w:cs="Times New Roman"/>
          <w:sz w:val="22"/>
          <w:szCs w:val="22"/>
        </w:rPr>
        <w:t>;</w:t>
      </w:r>
      <w:r w:rsidR="00B051F8">
        <w:rPr>
          <w:rFonts w:ascii="Times New Roman" w:hAnsi="Times New Roman" w:cs="Times New Roman"/>
          <w:sz w:val="22"/>
          <w:szCs w:val="22"/>
        </w:rPr>
        <w:t xml:space="preserve"> m</w:t>
      </w:r>
      <w:r w:rsidR="002B45B3">
        <w:rPr>
          <w:rFonts w:ascii="Times New Roman" w:hAnsi="Times New Roman" w:cs="Times New Roman"/>
          <w:sz w:val="22"/>
          <w:szCs w:val="22"/>
        </w:rPr>
        <w:t>ost individuals with lifetime BED meet criteria for other mental disorders</w:t>
      </w:r>
      <w:r w:rsidR="00A5057A">
        <w:rPr>
          <w:rFonts w:ascii="Times New Roman" w:hAnsi="Times New Roman" w:cs="Times New Roman"/>
          <w:sz w:val="22"/>
          <w:szCs w:val="22"/>
        </w:rPr>
        <w:t xml:space="preserve"> </w:t>
      </w:r>
      <w:r w:rsidR="006A3EB9">
        <w:rPr>
          <w:rFonts w:ascii="Times New Roman" w:hAnsi="Times New Roman" w:cs="Times New Roman"/>
          <w:sz w:val="22"/>
          <w:szCs w:val="22"/>
        </w:rPr>
        <w:t>and it is linked to physical comorbidities such as obesity and diabetes</w:t>
      </w:r>
      <w:r w:rsidR="006C7756">
        <w:rPr>
          <w:rFonts w:ascii="Times New Roman" w:hAnsi="Times New Roman" w:cs="Times New Roman"/>
          <w:sz w:val="22"/>
          <w:szCs w:val="22"/>
        </w:rPr>
        <w:t>.</w:t>
      </w:r>
      <w:r w:rsidR="00D11B17" w:rsidRPr="00515B26">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{"citationItems":[{"id":"ITEM-1","itemData":{"DOI":"10.1016/j.biopsych.2012.11.020","ISSN":"00063223","author":[{"dropping-particle":"","family":"Kessler","given":"Ronald C.","non-dropping-particle":"","parse-names":false,"suffix":""},{"dropping-particle":"","family":"Berglund","given":"Patricia A.","non-dropping-particle":"","parse-names":false,"suffix":""},{"dropping-particle":"","family":"Chiu","given":"Wai Tat","non-dropping-particle":"","parse-names":false,"suffix":""},{"dropping-particle":"","family":"Deitz","given":"Anne C.","non-dropping-particle":"","parse-names":false,"suffix":""},{"dropping-particle":"","family":"Hudson","given":"James I.","non-dropping-particle":"","parse-names":false,"suffix":""},{"dropping-particle":"","family":"Shahly","given":"Victoria","non-dropping-particle":"","parse-names":false,"suffix":""},{"dropping-particle":"","family":"Aguilar-Gaxiola","given":"Sergio","non-dropping-particle":"","parse-names":false,"suffix":""},{"dropping-particle":"","family":"Alonso","given":"Jordi","non-dropping-particle":"","parse-names":false,"suffix":""},{"dropping-particle":"","family":"Angermeyer","given":"Matthias C.","non-dropping-particle":"","parse-names":false,"suffix":""},{"dropping-particle":"","family":"Benjet","given":"Corina","non-dropping-particle":"","parse-names":false,"suffix":""},{"dropping-particle":"","family":"Bruffaerts","given":"Ronny","non-dropping-particle":"","parse-names":false,"suffix":""},{"dropping-particle":"","family":"Girolamo","given":"Giovanni","non-dropping-particle":"de","parse-names":false,"suffix":""},{"dropping-particle":"","family":"Graaf","given":"Ron","non-dropping-particle":"de","parse-names":false,"suffix":""},{"dropping-particle":"","family":"Maria Haro","given":"Josep","non-dropping-particle":"","parse-names":false,"suffix":""},{"dropping-particle":"","family":"Kovess-Masfety","given":"Viviane","non-dropping-particle":"","parse-names":false,"suffix":""},{"dropping-particle":"","family":"O’Neill","given":"Siobhan","non-dropping-particle":"","parse-names":false,"suffix":""},{"dropping-particle":"","family":"Posada-Villa","given":"Jose","non-dropping-particle":"","parse-names":false,"suffix":""},{"dropping-particle":"","family":"Sasu","given":"Carmen","non-dropping-particle":"","parse-names":false,"suffix":""},{"dropping-particle":"","family":"Scott","given":"Kate","non-dropping-particle":"","parse-names":false,"suffix":""},{"dropping-particle":"","family":"Viana","given":"Maria Carmen","non-dropping-particle":"","parse-names":false,"suffix":""},{"dropping-particle":"","family":"Xavier","given":"Miguel","non-dropping-particle":"","parse-names":false,"suffix":""}],"container-title":"Biological Psychiatry","id":"ITEM-1","issue":"9","issued":{"date-parts":[["2013","5"]]},"page":"904-914","title":"The Prevalence and Correlates of Binge Eating Disorder in the World Health Organization World Mental Health Surveys","type":"article-journal","volume":"73"},"uris":["http://www.mendeley.com/documents/?uuid=a49713ba-85cf-4ac2-9216-f8fae2048926"]},{"id":"ITEM-2","itemData":{"DOI":"10.1016/j.biopsych.2006.03.040","ISSN":"00063223","abstract":"This article studies the performance of the cooperative system where each base station (BS) is connected to a central processor (CP) via a noiseless and rate-limited backhaul link. The single-user compress-and-forward scheme is deployed at the BSs, and the problem for jointly setting the quantisation noise and the transmit power levels is left open. The authors formulate the weighted sum-rate (WSR) problem of optimising quantisation and transmit power levels for K-users and B-BSs situation. However, the problem is non-convex and difficult to be solved directly by conventional convex methods. In this work, an algorithm is proposed to solve the optimisation problem and achieve its global optimality. More importantly, the authors reveal the reason for the effect of the quantisation levels on the performance of cooperative system. Lower and upper bounds of quantisation levels are derived under the given signal to interference noise ratio (SINR) requirements. The lower and upper bounds are then demonstrated to be rather close to the numerical results. It is also numerically shown that the proposed algorithm can achieve the global optimality and is robust with respect to different multi-user situations.","author":[{"dropping-particle":"","family":"Hudson","given":"James I.","non-dropping-particle":"","parse-names":false,"suffix":""},{"dropping-particle":"","family":"Hiripi","given":"Eva","non-dropping-particle":"","parse-names":false,"suffix":""},{"dropping-particle":"","family":"Pope","given":"Harrison G.","non-dropping-particle":"","parse-names":false,"suffix":""},{"dropping-particle":"","family":"Kessler","given":"Ronald C.","non-dropping-particle":"","parse-names":false,"suffix":""}],"container-title":"Biological Psychiatry","id":"ITEM-2","issue":"3","issued":{"date-parts":[["2007","2"]]},"page":"348-358","title":"The Prevalence and Correlates of Eating Disorders in the National Comorbidity Survey Replication","type":"article-journal","volume":"61"},"uris":["http://www.mendeley.com/documents/?uuid=a2729f49-3aba-4572-8bd8-7c26c06dbf3e"]},{"id":"ITEM-3","itemData":{"DOI":"10.1002/eat.23004","ISSN":"1098108X","PMID":"30756422","abstract":"Objective: To examine psychiatric and somatic correlates of DSM-5 eating disorders (EDs)—anorexia nervosa (AN), bulimia nervosa (BN), and binge-eating disorder (BED)—in a nationally representative sample of adults in the United States. Method: A national sample of 36,309 adult participants in the national epidemiologic survey on alcohol and related conditions III (NESARC-III) completed structured diagnostic interviews (AUDADIS-5) to determine psychiatric disorders, including EDs, and reported 12-month diagnosis of chronic somatic conditions. Prevalence of lifetime psychiatric disorders and somatic conditions were calculated across the AN, BN, and BED groups and a fourth group without specific ED; multiple logistic regression models compared the likelihood of psychiatric/somatic conditions with each specific ED relative to the no-specific ED group. Results: All three EDs were associated significantly with lifetime mood disorders, anxiety disorders, alcohol and drug use disorders, and personality disorders. In all three EDs, major depressive disorder was the most prevalent, followed by alcohol use disorder. AN was associated significantly with fibromyalgia, cancer, anemia, and osteoporosis, and BED with diabetes, hypertension, high cholesterol, and triglycerides. BN was not associated significantly with any somatic conditions. Conclusions: This study examined lifetime psychiatric and somatic correlates of DSM-5 AN, BN, and BED in a large representative sample of U.S. adults. Our findings on significant associations with other psychiatric disorders and with current chronic somatic conditions indicate the serious burdens of EDs. Our findings suggest important differences across specific EDs and indicate some similarities and differences to previous smaller studies based on earlier diagnostic criteria.","author":[{"dropping-particle":"","family":"Udo","given":"Tomoko","non-dropping-particle":"","parse-names":false,"suffix":""},{"dropping-particle":"","family":"Grilo","given":"Carlos M.","non-dropping-particle":"","parse-names":false,"suffix":""}],"container-title":"International Journal of Eating Disorders","id":"ITEM-3","issue":"1","issued":{"date-parts":[["2019"]]},"page":"42-50","title":"Psychiatric and medical correlates of DSM-5 eating disorders in a nationally representative sample of adults in the United States","type":"article-journal","volume":"52"},"uris":["http://www.mendeley.com/documents/?uuid=93a7e27d-77f6-47e9-87b8-1606af7ec000"]}],"mendeley":{"formattedCitation":"&lt;sup&gt;5–7&lt;/sup&gt;","plainTextFormattedCitation":"5–7","previouslyFormattedCitation":"&lt;sup&gt;5–7&lt;/sup&gt;"},"properties":{"noteIndex":0},"schema":"https://github.com/citation-style-language/schema/raw/master/csl-citation.json"}</w:instrText>
      </w:r>
      <w:r w:rsidR="00D11B17" w:rsidRPr="00515B26">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5–7</w:t>
      </w:r>
      <w:r w:rsidR="00D11B17" w:rsidRPr="00515B26">
        <w:rPr>
          <w:rFonts w:ascii="Times New Roman" w:hAnsi="Times New Roman" w:cs="Times New Roman"/>
          <w:sz w:val="22"/>
          <w:szCs w:val="22"/>
        </w:rPr>
        <w:fldChar w:fldCharType="end"/>
      </w:r>
      <w:r w:rsidR="002067C1">
        <w:rPr>
          <w:rFonts w:ascii="Times New Roman" w:hAnsi="Times New Roman" w:cs="Times New Roman"/>
          <w:sz w:val="22"/>
          <w:szCs w:val="22"/>
        </w:rPr>
        <w:t xml:space="preserve"> </w:t>
      </w:r>
      <w:r w:rsidR="009E302B">
        <w:rPr>
          <w:rFonts w:ascii="Times New Roman" w:hAnsi="Times New Roman" w:cs="Times New Roman"/>
          <w:sz w:val="22"/>
          <w:szCs w:val="22"/>
        </w:rPr>
        <w:t xml:space="preserve">The mean age of onset for BED is </w:t>
      </w:r>
      <w:r w:rsidR="00D81809">
        <w:rPr>
          <w:rFonts w:ascii="Times New Roman" w:hAnsi="Times New Roman" w:cs="Times New Roman"/>
          <w:sz w:val="22"/>
          <w:szCs w:val="22"/>
        </w:rPr>
        <w:t>later</w:t>
      </w:r>
      <w:r w:rsidR="009E302B">
        <w:rPr>
          <w:rFonts w:ascii="Times New Roman" w:hAnsi="Times New Roman" w:cs="Times New Roman"/>
          <w:sz w:val="22"/>
          <w:szCs w:val="22"/>
        </w:rPr>
        <w:t xml:space="preserve"> than for anorexia nervosa and bulimia nervosa</w:t>
      </w:r>
      <w:r w:rsidR="00B051F8">
        <w:rPr>
          <w:rFonts w:ascii="Times New Roman" w:hAnsi="Times New Roman" w:cs="Times New Roman"/>
          <w:sz w:val="22"/>
          <w:szCs w:val="22"/>
        </w:rPr>
        <w:t xml:space="preserve">, </w:t>
      </w:r>
      <w:r w:rsidR="009E302B">
        <w:rPr>
          <w:rFonts w:ascii="Times New Roman" w:hAnsi="Times New Roman" w:cs="Times New Roman"/>
          <w:sz w:val="22"/>
          <w:szCs w:val="22"/>
        </w:rPr>
        <w:t>occur</w:t>
      </w:r>
      <w:r w:rsidR="00B051F8">
        <w:rPr>
          <w:rFonts w:ascii="Times New Roman" w:hAnsi="Times New Roman" w:cs="Times New Roman"/>
          <w:sz w:val="22"/>
          <w:szCs w:val="22"/>
        </w:rPr>
        <w:t>ring</w:t>
      </w:r>
      <w:r w:rsidR="009E302B">
        <w:rPr>
          <w:rFonts w:ascii="Times New Roman" w:hAnsi="Times New Roman" w:cs="Times New Roman"/>
          <w:sz w:val="22"/>
          <w:szCs w:val="22"/>
        </w:rPr>
        <w:t xml:space="preserve"> in </w:t>
      </w:r>
      <w:r w:rsidR="002930B7">
        <w:rPr>
          <w:rFonts w:ascii="Times New Roman" w:hAnsi="Times New Roman" w:cs="Times New Roman"/>
          <w:sz w:val="22"/>
          <w:szCs w:val="22"/>
        </w:rPr>
        <w:t>young</w:t>
      </w:r>
      <w:r w:rsidR="009E302B">
        <w:rPr>
          <w:rFonts w:ascii="Times New Roman" w:hAnsi="Times New Roman" w:cs="Times New Roman"/>
          <w:sz w:val="22"/>
          <w:szCs w:val="22"/>
        </w:rPr>
        <w:t xml:space="preserve"> adulthood</w:t>
      </w:r>
      <w:r w:rsidR="006C7756">
        <w:rPr>
          <w:rFonts w:ascii="Times New Roman" w:hAnsi="Times New Roman" w:cs="Times New Roman"/>
          <w:sz w:val="22"/>
          <w:szCs w:val="22"/>
        </w:rPr>
        <w:t>,</w:t>
      </w:r>
      <w:r w:rsidR="009E302B">
        <w:rPr>
          <w:rFonts w:ascii="Times New Roman" w:hAnsi="Times New Roman" w:cs="Times New Roman"/>
          <w:sz w:val="22"/>
          <w:szCs w:val="22"/>
        </w:rPr>
        <w:fldChar w:fldCharType="begin" w:fldLock="1"/>
      </w:r>
      <w:r w:rsidR="00D00F1A">
        <w:rPr>
          <w:rFonts w:ascii="Times New Roman" w:hAnsi="Times New Roman" w:cs="Times New Roman"/>
          <w:sz w:val="22"/>
          <w:szCs w:val="22"/>
        </w:rPr>
        <w:instrText>ADDIN CSL_CITATION {"citationItems":[{"id":"ITEM-1","itemData":{"DOI":"10.1016/j.biopsych.2006.03.040","ISSN":"00063223","abstract":"This article studies the performance of the cooperative system where each base station (BS) is connected to a central processor (CP) via a noiseless and rate-limited backhaul link. The single-user compress-and-forward scheme is deployed at the BSs, and the problem for jointly setting the quantisation noise and the transmit power levels is left open. The authors formulate the weighted sum-rate (WSR) problem of optimising quantisation and transmit power levels for K-users and B-BSs situation. However, the problem is non-convex and difficult to be solved directly by conventional convex methods. In this work, an algorithm is proposed to solve the optimisation problem and achieve its global optimality. More importantly, the authors reveal the reason for the effect of the quantisation levels on the performance of cooperative system. Lower and upper bounds of quantisation levels are derived under the given signal to interference noise ratio (SINR) requirements. The lower and upper bounds are then demonstrated to be rather close to the numerical results. It is also numerically shown that the proposed algorithm can achieve the global optimality and is robust with respect to different multi-user situations.","author":[{"dropping-particle":"","family":"Hudson","given":"James I.","non-dropping-particle":"","parse-names":false,"suffix":""},{"dropping-particle":"","family":"Hiripi","given":"Eva","non-dropping-particle":"","parse-names":false,"suffix":""},{"dropping-particle":"","family":"Pope","given":"Harrison G.","non-dropping-particle":"","parse-names":false,"suffix":""},{"dropping-particle":"","family":"Kessler","given":"Ronald C.","non-dropping-particle":"","parse-names":false,"suffix":""}],"container-title":"Biological Psychiatry","id":"ITEM-1","issue":"3","issued":{"date-parts":[["2007","2"]]},"page":"348-358","title":"The Prevalence and Correlates of Eating Disorders in the National Comorbidity Survey Replication","type":"article-journal","volume":"61"},"uris":["http://www.mendeley.com/documents/?uuid=a2729f49-3aba-4572-8bd8-7c26c06dbf3e"]},{"id":"ITEM-2","itemData":{"DOI":"10.1016/j.biopsych.2012.11.020","ISSN":"00063223","author":[{"dropping-particle":"","family":"Kessler","given":"Ronald C.","non-dropping-particle":"","parse-names":false,"suffix":""},{"dropping-particle":"","family":"Berglund","given":"Patricia A.","non-dropping-particle":"","parse-names":false,"suffix":""},{"dropping-particle":"","family":"Chiu","given":"Wai Tat","non-dropping-particle":"","parse-names":false,"suffix":""},{"dropping-particle":"","family":"Deitz","given":"Anne C.","non-dropping-particle":"","parse-names":false,"suffix":""},{"dropping-particle":"","family":"Hudson","given":"James I.","non-dropping-particle":"","parse-names":false,"suffix":""},{"dropping-particle":"","family":"Shahly","given":"Victoria","non-dropping-particle":"","parse-names":false,"suffix":""},{"dropping-particle":"","family":"Aguilar-Gaxiola","given":"Sergio","non-dropping-particle":"","parse-names":false,"suffix":""},{"dropping-particle":"","family":"Alonso","given":"Jordi","non-dropping-particle":"","parse-names":false,"suffix":""},{"dropping-particle":"","family":"Angermeyer","given":"Matthias C.","non-dropping-particle":"","parse-names":false,"suffix":""},{"dropping-particle":"","family":"Benjet","given":"Corina","non-dropping-particle":"","parse-names":false,"suffix":""},{"dropping-particle":"","family":"Bruffaerts","given":"Ronny","non-dropping-particle":"","parse-names":false,"suffix":""},{"dropping-particle":"","family":"Girolamo","given":"Giovanni","non-dropping-particle":"de","parse-names":false,"suffix":""},{"dropping-particle":"","family":"Graaf","given":"Ron","non-dropping-particle":"de","parse-names":false,"suffix":""},{"dropping-particle":"","family":"Maria Haro","given":"Josep","non-dropping-particle":"","parse-names":false,"suffix":""},{"dropping-particle":"","family":"Kovess-Masfety","given":"Viviane","non-dropping-particle":"","parse-names":false,"suffix":""},{"dropping-particle":"","family":"O’Neill","given":"Siobhan","non-dropping-particle":"","parse-names":false,"suffix":""},{"dropping-particle":"","family":"Posada-Villa","given":"Jose","non-dropping-particle":"","parse-names":false,"suffix":""},{"dropping-particle":"","family":"Sasu","given":"Carmen","non-dropping-particle":"","parse-names":false,"suffix":""},{"dropping-particle":"","family":"Scott","given":"Kate","non-dropping-particle":"","parse-names":false,"suffix":""},{"dropping-particle":"","family":"Viana","given":"Maria Carmen","non-dropping-particle":"","parse-names":false,"suffix":""},{"dropping-particle":"","family":"Xavier","given":"Miguel","non-dropping-particle":"","parse-names":false,"suffix":""}],"container-title":"Biological Psychiatry","id":"ITEM-2","issue":"9","issued":{"date-parts":[["2013","5"]]},"page":"904-914","title":"The Prevalence and Correlates of Binge Eating Disorder in the World Health Organization World Mental Health Surveys","type":"article-journal","volume":"73"},"uris":["http://www.mendeley.com/documents/?uuid=a49713ba-85cf-4ac2-9216-f8fae2048926"]}],"mendeley":{"formattedCitation":"&lt;sup&gt;5,6&lt;/sup&gt;","plainTextFormattedCitation":"5,6","previouslyFormattedCitation":"&lt;sup&gt;5,6&lt;/sup&gt;"},"properties":{"noteIndex":0},"schema":"https://github.com/citation-style-language/schema/raw/master/csl-citation.json"}</w:instrText>
      </w:r>
      <w:r w:rsidR="009E302B">
        <w:rPr>
          <w:rFonts w:ascii="Times New Roman" w:hAnsi="Times New Roman" w:cs="Times New Roman"/>
          <w:sz w:val="22"/>
          <w:szCs w:val="22"/>
        </w:rPr>
        <w:fldChar w:fldCharType="separate"/>
      </w:r>
      <w:r w:rsidR="005A3C0D" w:rsidRPr="005A3C0D">
        <w:rPr>
          <w:rFonts w:ascii="Times New Roman" w:hAnsi="Times New Roman" w:cs="Times New Roman"/>
          <w:noProof/>
          <w:sz w:val="22"/>
          <w:szCs w:val="22"/>
          <w:vertAlign w:val="superscript"/>
        </w:rPr>
        <w:t>5,6</w:t>
      </w:r>
      <w:r w:rsidR="009E302B">
        <w:rPr>
          <w:rFonts w:ascii="Times New Roman" w:hAnsi="Times New Roman" w:cs="Times New Roman"/>
          <w:sz w:val="22"/>
          <w:szCs w:val="22"/>
        </w:rPr>
        <w:fldChar w:fldCharType="end"/>
      </w:r>
      <w:r w:rsidR="00B051F8">
        <w:rPr>
          <w:rFonts w:ascii="Times New Roman" w:hAnsi="Times New Roman" w:cs="Times New Roman"/>
          <w:sz w:val="22"/>
          <w:szCs w:val="22"/>
        </w:rPr>
        <w:t xml:space="preserve"> and longitudinal data suggest that earlier detection and treatment might improve outcomes and reduce healthcare costs</w:t>
      </w:r>
      <w:r w:rsidR="006C7756">
        <w:rPr>
          <w:rFonts w:ascii="Times New Roman" w:hAnsi="Times New Roman" w:cs="Times New Roman"/>
          <w:sz w:val="22"/>
          <w:szCs w:val="22"/>
        </w:rPr>
        <w:t>.</w:t>
      </w:r>
      <w:r w:rsidR="00B051F8" w:rsidRPr="00515B26">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{"citationItems":[{"id":"ITEM-1","itemData":{"DOI":"10.1016/j.jpsychores.2018.02.011","ISSN":"18791360","PMID":"29602325","abstract":"Objective: Capturing trends in healthcare utilization may help to improve efficiencies in the detection and diagnosis of illness, to plan service delivery, and to forecast future health expenditures. For binge-eating disorder (BED), issues include lengthy delays in detection and diagnosis, missed opportunities for recognition and treatment, and morbidity. The study objective was to compare healthcare utilization and expenditure in people with and without BED. Methods: A case-control design and nationwide registers were used. All individuals diagnosed with BED at eating disorder clinics in Sweden between 2005 and 2009 were included (N = 319, 97% female, M age = 22 years). Ten controls (N = 3190) were matched to each case on age-, sex-, and location of birth. Inpatient, hospital-based outpatient, and prescription medication utilization and expenditure were analyzed up to eight years before and four years after the index date (i.e., date of diagnosis of the BED case). Results: Cases had significantly higher inpatient, hospital-based outpatient, and prescription medication utilization and expenditure compared with controls many years prior to and after diagnosis of BED. Utilization and expenditure for controls was relatively stable over time, but for cases followed an inverted U-shape and peaked at the index year. Care for somatic conditions normalized after the index year, but care for psychiatric conditions remained significantly higher. Conclusion: Individuals with BED had substantially higher healthcare utilization and costs in the years prior to and after diagnosis of BED. Since previous research shows a delay in diagnosis, findings indicate clear opportunities for earlier detection and clinical management. Training of providers in detection, diagnosis, and management may help curtail morbidity. A reduction in healthcare utilization was observed after BED diagnosis. This suggests that earlier diagnosis and treatment could improve long-term health outcomes and reduce the economic burden associated with BED.","author":[{"dropping-particle":"","family":"Watson","given":"Hunna J.","non-dropping-particle":"","parse-names":false,"suffix":""},{"dropping-particle":"","family":"Jangmo","given":"Andreas","non-dropping-particle":"","parse-names":false,"suffix":""},{"dropping-particle":"","family":"Smith","given":"Tosha","non-dropping-particle":"","parse-names":false,"suffix":""},{"dropping-particle":"","family":"Thornton","given":"Laura M.","non-dropping-particle":"","parse-names":false,"suffix":""},{"dropping-particle":"","family":"Hausswolff-Juhlin","given":"Yvonne","non-dropping-particle":"von","parse-names":false,"suffix":""},{"dropping-particle":"","family":"Madhoo","given":"Manisha","non-dropping-particle":"","parse-names":false,"suffix":""},{"dropping-particle":"","family":"Norring","given":"Claes","non-dropping-particle":"","parse-names":false,"suffix":""},{"dropping-particle":"","family":"Welch","given":"Elisabeth","non-dropping-particle":"","parse-names":false,"suffix":""},{"dropping-particle":"","family":"Wiklund","given":"Camilla","non-dropping-particle":"","parse-names":false,"suffix":""},{"dropping-particle":"","family":"Larsson","given":"Henrik","non-dropping-particle":"","parse-names":false,"suffix":""},{"dropping-particle":"","family":"Bulik","given":"Cynthia M.","non-dropping-particle":"","parse-names":false,"suffix":""}],"container-title":"Journal of Psychosomatic Research","id":"ITEM-1","issue":"February","issued":{"date-parts":[["2018"]]},"page":"47-53","title":"A register-based case-control study of health care utilization and costs in binge-eating disorder","type":"article-journal","volume":"108"},"uris":["http://www.mendeley.com/documents/?uuid=e65a9909-fab8-49f5-a29f-b55fc7c92969"]}],"mendeley":{"formattedCitation":"&lt;sup&gt;8&lt;/sup&gt;","plainTextFormattedCitation":"8","previouslyFormattedCitation":"&lt;sup&gt;8&lt;/sup&gt;"},"properties":{"noteIndex":0},"schema":"https://github.com/citation-style-language/schema/raw/master/csl-citation.json"}</w:instrText>
      </w:r>
      <w:r w:rsidR="00B051F8" w:rsidRPr="00515B26">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8</w:t>
      </w:r>
      <w:r w:rsidR="00B051F8" w:rsidRPr="00515B26">
        <w:rPr>
          <w:rFonts w:ascii="Times New Roman" w:hAnsi="Times New Roman" w:cs="Times New Roman"/>
          <w:sz w:val="22"/>
          <w:szCs w:val="22"/>
        </w:rPr>
        <w:fldChar w:fldCharType="end"/>
      </w:r>
    </w:p>
    <w:p w14:paraId="537E3F65" w14:textId="0D118FEE" w:rsidR="003655BC" w:rsidRDefault="003655BC" w:rsidP="0058300D">
      <w:pPr>
        <w:spacing w:line="480" w:lineRule="auto"/>
        <w:rPr>
          <w:rFonts w:ascii="Times New Roman" w:hAnsi="Times New Roman" w:cs="Times New Roman"/>
          <w:sz w:val="22"/>
          <w:szCs w:val="22"/>
        </w:rPr>
      </w:pPr>
    </w:p>
    <w:p w14:paraId="7F397A00" w14:textId="4BAFC026" w:rsidR="00393DD1" w:rsidRDefault="002067C1" w:rsidP="0058300D">
      <w:pPr>
        <w:spacing w:line="480" w:lineRule="auto"/>
        <w:rPr>
          <w:rFonts w:ascii="Times New Roman" w:hAnsi="Times New Roman" w:cs="Times New Roman"/>
          <w:sz w:val="22"/>
          <w:szCs w:val="22"/>
        </w:rPr>
      </w:pPr>
      <w:r>
        <w:rPr>
          <w:rFonts w:ascii="Times New Roman" w:hAnsi="Times New Roman" w:cs="Times New Roman"/>
          <w:sz w:val="22"/>
          <w:szCs w:val="22"/>
        </w:rPr>
        <w:t>Young adulthood is associated with the onset of a range of mental disorders</w:t>
      </w:r>
      <w:r w:rsidR="002930B7">
        <w:rPr>
          <w:rFonts w:ascii="Times New Roman" w:hAnsi="Times New Roman" w:cs="Times New Roman"/>
          <w:sz w:val="22"/>
          <w:szCs w:val="22"/>
        </w:rPr>
        <w:t>, including BED,</w:t>
      </w:r>
      <w:r>
        <w:rPr>
          <w:rFonts w:ascii="Times New Roman" w:hAnsi="Times New Roman" w:cs="Times New Roman"/>
          <w:sz w:val="22"/>
          <w:szCs w:val="22"/>
        </w:rPr>
        <w:t xml:space="preserve"> and university students may be particularly vulnerable, due to stressors such as academic pressure and major life changes</w:t>
      </w:r>
      <w:r w:rsidR="006C7756">
        <w:rPr>
          <w:rFonts w:ascii="Times New Roman" w:hAnsi="Times New Roman" w:cs="Times New Roman"/>
          <w:sz w:val="22"/>
          <w:szCs w:val="22"/>
        </w:rPr>
        <w:t>.</w:t>
      </w:r>
      <w:r w:rsidRPr="00515B26">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{"citationItems":[{"id":"ITEM-1","itemData":{"DOI":"10.1007/s40596-014-0205-9","ISSN":"1042-9670","abstract":"Attending college can be a stressful time for many students. In addition to coping with academic pressure, some students have to deal with the stressful tasks of separation and individuation from their family of origin while some may have to attend to numerous work and family responsibilities. In this context, many college students experience the first onset of mental health and substance use problems or an exacerbation of their symptoms. Given the uniqueness of college students, there is a need to outline critical issues to consider when working with this population. In this commentary, first, the prevalence of psychiatric and substance use problems in college students and the significance of assessing age of onset of current psychopathology are described. Then, the concerning persistent nature of mental health problems among college students and its implications are summarized. Finally, important aspects of treatment to consider when treating college students with mental health problems are outlined, such as the importance of including parents in the treatment, communicating with other providers, and employing of technology to increase adherence. It is concluded that, by becoming familiar with the unique problems characteristic of the developmental stage and environment college students are in, practitioners will be able to better serve them.","author":[{"dropping-particle":"","family":"Pedrelli","given":"Paola","non-dropping-particle":"","parse-names":false,"suffix":""},{"dropping-particle":"","family":"Nyer","given":"Maren","non-dropping-particle":"","parse-names":false,"suffix":""},{"dropping-particle":"","family":"Yeung","given":"Albert","non-dropping-particle":"","parse-names":false,"suffix":""},{"dropping-particle":"","family":"Zulauf","given":"Courtney","non-dropping-particle":"","parse-names":false,"suffix":""},{"dropping-particle":"","family":"Wilens","given":"Timothy","non-dropping-particle":"","parse-names":false,"suffix":""}],"container-title":"Academic Psychiatry","id":"ITEM-1","issue":"5","issued":{"date-parts":[["2015","10","21"]]},"page":"503-511","title":"College Students: Mental Health Problems and Treatment Considerations","type":"article-journal","volume":"39"},"uris":["http://www.mendeley.com/documents/?uuid=8f06e34a-71fb-415d-85eb-78c796daf9c1"]}],"mendeley":{"formattedCitation":"&lt;sup&gt;9&lt;/sup&gt;","plainTextFormattedCitation":"9","previouslyFormattedCitation":"&lt;sup&gt;9&lt;/sup&gt;"},"properties":{"noteIndex":0},"schema":"https://github.com/citation-style-language/schema/raw/master/csl-citation.json"}</w:instrText>
      </w:r>
      <w:r w:rsidRPr="00515B26">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9</w:t>
      </w:r>
      <w:r w:rsidRPr="00515B26">
        <w:rPr>
          <w:rFonts w:ascii="Times New Roman" w:hAnsi="Times New Roman" w:cs="Times New Roman"/>
          <w:sz w:val="22"/>
          <w:szCs w:val="22"/>
        </w:rPr>
        <w:fldChar w:fldCharType="end"/>
      </w:r>
      <w:r>
        <w:rPr>
          <w:rFonts w:ascii="Times New Roman" w:hAnsi="Times New Roman" w:cs="Times New Roman"/>
          <w:sz w:val="22"/>
          <w:szCs w:val="22"/>
        </w:rPr>
        <w:t xml:space="preserve"> </w:t>
      </w:r>
      <w:r w:rsidR="00616AB9">
        <w:rPr>
          <w:rFonts w:ascii="Times New Roman" w:hAnsi="Times New Roman" w:cs="Times New Roman"/>
          <w:sz w:val="22"/>
          <w:szCs w:val="22"/>
        </w:rPr>
        <w:t>Improving understanding of BED rates and correlates in university students is therefore important in identifying risk factors and levels of need in this high</w:t>
      </w:r>
      <w:r w:rsidR="00A62111">
        <w:rPr>
          <w:rFonts w:ascii="Times New Roman" w:hAnsi="Times New Roman" w:cs="Times New Roman"/>
          <w:sz w:val="22"/>
          <w:szCs w:val="22"/>
        </w:rPr>
        <w:t>er</w:t>
      </w:r>
      <w:r w:rsidR="00616AB9">
        <w:rPr>
          <w:rFonts w:ascii="Times New Roman" w:hAnsi="Times New Roman" w:cs="Times New Roman"/>
          <w:sz w:val="22"/>
          <w:szCs w:val="22"/>
        </w:rPr>
        <w:t xml:space="preserve">-risk group. </w:t>
      </w:r>
      <w:r w:rsidR="00C80CF8" w:rsidRPr="00515B26">
        <w:rPr>
          <w:rFonts w:ascii="Times New Roman" w:hAnsi="Times New Roman" w:cs="Times New Roman"/>
          <w:sz w:val="22"/>
          <w:szCs w:val="22"/>
        </w:rPr>
        <w:t xml:space="preserve">Studies </w:t>
      </w:r>
      <w:r w:rsidR="00557F91">
        <w:rPr>
          <w:rFonts w:ascii="Times New Roman" w:hAnsi="Times New Roman" w:cs="Times New Roman"/>
          <w:sz w:val="22"/>
          <w:szCs w:val="22"/>
        </w:rPr>
        <w:t>of</w:t>
      </w:r>
      <w:r w:rsidR="00A146E1">
        <w:rPr>
          <w:rFonts w:ascii="Times New Roman" w:hAnsi="Times New Roman" w:cs="Times New Roman"/>
          <w:sz w:val="22"/>
          <w:szCs w:val="22"/>
        </w:rPr>
        <w:t xml:space="preserve"> student</w:t>
      </w:r>
      <w:r w:rsidR="00557F91">
        <w:rPr>
          <w:rFonts w:ascii="Times New Roman" w:hAnsi="Times New Roman" w:cs="Times New Roman"/>
          <w:sz w:val="22"/>
          <w:szCs w:val="22"/>
        </w:rPr>
        <w:t xml:space="preserve"> populations</w:t>
      </w:r>
      <w:r w:rsidR="00A146E1">
        <w:rPr>
          <w:rFonts w:ascii="Times New Roman" w:hAnsi="Times New Roman" w:cs="Times New Roman"/>
          <w:sz w:val="22"/>
          <w:szCs w:val="22"/>
        </w:rPr>
        <w:t xml:space="preserve"> </w:t>
      </w:r>
      <w:r w:rsidR="00C80CF8" w:rsidRPr="00515B26">
        <w:rPr>
          <w:rFonts w:ascii="Times New Roman" w:hAnsi="Times New Roman" w:cs="Times New Roman"/>
          <w:sz w:val="22"/>
          <w:szCs w:val="22"/>
        </w:rPr>
        <w:t>have reported rates of BED between 0 and 12.9%, depending on diagnostic criteria and the specific population studied</w:t>
      </w:r>
      <w:r w:rsidR="006C7756">
        <w:rPr>
          <w:rFonts w:ascii="Times New Roman" w:hAnsi="Times New Roman" w:cs="Times New Roman"/>
          <w:sz w:val="22"/>
          <w:szCs w:val="22"/>
        </w:rPr>
        <w:t>,</w:t>
      </w:r>
      <w:r w:rsidR="00C80CF8" w:rsidRPr="00515B26">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{"citationItems":[{"id":"ITEM-1","itemData":{"DOI":"10.1111/j.1440-1614.2006.01759.x","ISSN":"0004-8674","PMID":"16476130","abstract":"Objective: The purpose of this study was to determine the prevalence of eating disorders (EDs) among university students in a rural area of Turkey and to compare groups based on the sociodemographic data, history of child abuse and neglect, family roles and selfesteem with a normal control group regarding EDs. Method: Subjects who were chosen by simple random sampling method were consisted of 980 Cumhuriyet University students who agreed to participate out of the 1003 total students and were given a sociodemographic information form and an Eating Attitudes Test (EAT). Students who scored above a cutoff level on the EAT were interviewed using the Structured Clinical Interview for DSM-IV axis I Disorders (SCID-I), Clinical Version. The Rosenberg Self-Esteem Scale, Family Assessment Device (FAD) and Childhood Abuse and Neglect Questionnaire Form were given to subjects in the control and study groups. Results: Seventy-one of the 951 students (492 female, 459 male) who correctly filled out the EAT had a score above the cutoff level of 30 or higher. Of these 71 students, 21 (2.20%) were found to have an eating disorder based on the SCID-I. No subjects were found to have anorexia nervosa. Eighteen of the 21 subjects were female. Of these 18 female students, 15 (1.57%) were found to have bulimia nervosa and three (0.31%) were found to have binge eating disorder (BED). All of the three male subjects were diagnosed with BED (0.31%). The self-esteem of those in the study group was lower than those in the control group (p &lt; 0.001). Subjects in the study group had more frequent histories of sexual and emotional abuse in childhood (p &lt; 0.05). Also, in the study group scores showing communication in FAD families, unity and emotional attachment were statistically significantly lower than the control group (p &lt; 0.001). Conclusions: It has been observed from the results of this research that the frequency of bulimia nervosa and BED in this sample is so similar to Western samples. Besides that, self-esteem, child abuse and neglect, and family functions must be examined in detail because they are risk factors for EDs and affect the course of treatment. © 2006 The Authors Journal compilation © 2006 The Royal Australian and New Zealand College of Psychiatrists.","author":[{"dropping-particle":"","family":"Kugu","given":"Nesim","non-dropping-particle":"","parse-names":false,"suffix":""},{"dropping-particle":"","family":"Akyuz","given":"Gamze","non-dropping-particle":"","parse-names":false,"suffix":""},{"dropping-particle":"","family":"Dogan","given":"Orhan","non-dropping-particle":"","parse-names":false,"suffix":""},{"dropping-particle":"","family":"Ersan","given":"Erdal","non-dropping-particle":"","parse-names":false,"suffix":""},{"dropping-particle":"","family":"Izgic","given":"Ferda","non-dropping-particle":"","parse-names":false,"suffix":""}],"container-title":"Australian and New Zealand Journal of Psychiatry","id":"ITEM-1","issue":"2","issued":{"date-parts":[["2006","2"]]},"page":"129-135","title":"The prevalence of eating disorders among university students and the relationship with some individual characteristics","type":"article-journal","volume":"40"},"uris":["http://www.mendeley.com/documents/?uuid=ab806429-a178-41ef-a40c-afbbf333b1dd"]},{"id":"ITEM-2","itemData":{"DOI":"10.1016/j.eatbeh.2011.07.004","ISSN":"14710153","PMID":"22051361","abstract":"Binge Eating Disorder (BED) is characterized by recurrent episodes of compulsive eating, without any compensatory behavior to avoid possible gain weight. Individuals who suffer from eating disorders often show negative self-image.The present paper aimed to assess BED prevalence and self-image disorders among university students in the city of São José do Rio Preto, State of São Paulo, Brazil.The survey had the participation of 217 undergraduates. The following procedures were carried out: a personal data questionnaire, the Binge Eating Scale and a figure scale.In the surveyed population, 12.90% showed BED. Most subjects (86.32%) chose larger figures when compared to their current BMI, overestimating their body size. Furthermore, BED individuals showed higher self-image inadequacy in comparison to people without the disorder.Therefore, this is a public health problem to which undergraduates are exposed; forthcoming studies may be carried out to understand BED and associated commorbidities. © 2011 Elsevier Ltd.","author":[{"dropping-particle":"","family":"Nicoli","given":"Marina G.","non-dropping-particle":"","parse-names":false,"suffix":""},{"dropping-particle":"","family":"Liberatore Junior","given":"Raphael D.R.","non-dropping-particle":"","parse-names":false,"suffix":""}],"container-title":"Eating Behaviors","id":"ITEM-2","issue":"4","issued":{"date-parts":[["2011","12"]]},"page":"284-288","publisher":"Elsevier Ltd","title":"Binge Eating Disorder and body image perception among university students","type":"article-journal","volume":"12"},"uris":["http://www.mendeley.com/documents/?uuid=9221ea43-8b64-4638-8d40-7c2efed343b7"]},{"id":"ITEM-3","itemData":{"DOI":"10.1002/erv.2283","ISSN":"10724133","PMID":"24729194","abstract":"Binge eating disorder (BED) has important associated comorbidities and has been recently considered as a diagnostic category in the Diagnostic and Statistical Manual of Mental Disorders - Fifth Edition. This study investigates the prevalence of BED in a sample of college students using a two-stage design. Between October 2008 and July 2009, 805 students attending a public college campus completed the Questionnaire on Eating and Weight Patterns - Revised to screen for possible cases. Eighty-five students meeting key criteria for BED were invited for a second stage interview using the Eating Disorder Examination. At stage 1, 9.6% of the subjects reported binge eating episodes. At stage 2, a prevalence rate of 0.5% for BED was found, and 1% if the criterion for large amount of food was excluded. © 2014 John Wiley &amp; Sons, Ltd and Eating Disorders Association.","author":[{"dropping-particle":"","family":"Ribeiro","given":"Mónica","non-dropping-particle":"","parse-names":false,"suffix":""},{"dropping-particle":"","family":"Conceição","given":"Eva","non-dropping-particle":"","parse-names":false,"suffix":""},{"dropping-particle":"","family":"Vaz","given":"Ana Rita","non-dropping-particle":"","parse-names":false,"suffix":""},{"dropping-particle":"","family":"Machado","given":"Paulo P. P.","non-dropping-particle":"","parse-names":false,"suffix":""}],"container-title":"European Eating Disorders Review","id":"ITEM-3","issue":"3","issued":{"date-parts":[["2014","5"]]},"page":"185-190","title":"The Prevalence of Binge Eating Disorder in a Sample of College Students in the North of Portugal","type":"article-journal","volume":"22"},"uris":["http://www.mendeley.com/documents/?uuid=a76ddf91-661b-40f2-a21c-07528185daca"]},{"id":"ITEM-4","itemData":{"DOI":"10.1007/s00127-013-0694-y","ISSN":"09337954","PMID":"23744441","abstract":"Background: The community prevalence of eating disorders among Chinese young women may now be similar to their western counterparts. Aim: To investigate the prevalence of eating disorders (ED) in female university students in Wuhan, China, using a two-stage design. Method: In stage one, 99.1 % (N = 8,444) of eligible students (N = 8,521) completed the eating disorder inventory-1 (EDI-1) and a survey of relevant anthropomorphic data. A total of 421 women scored above the cut-off for EDE-1, as defined by a set of criteria similar to those of Keski-Rahkonen (Int J Eat Disord 39:754-762, 2006). 257 (61 %) of these case-positive women and a random sample of case-negative women (312 out of 8,023, 4 %) whose scores did not exceed the defined cut-off were interviewed using the eating disorder examination (EDE) and the structured clinical interview for DSM-IV axis I disorders (SCID-I). Results: On interview with the SCID-I, 79 women were diagnosed with an ED. Among them, 10 had anorexia nervosa (AN), 21 bulimia nervosa (BN), and 48 binge eating disorder (BED) The results showed a prevalence rate of 1.05 % (95 % CI = 0.02-2.08) for AN, 2.98 % (95 % CI = 1.21-4.74) for BN, and 3.53 % (95 % CI = 1.75-5.30) for BED. Conclusion: The prevalence of ED among female university students in China is now similar to that of their western counterparts, and BED is the most common ED followed by BN and AN similarly. ©2013 Springer-Verlag Berlin Heidelberg.","author":[{"dropping-particle":"","family":"Tong","given":"Jun","non-dropping-particle":"","parse-names":false,"suffix":""},{"dropping-particle":"","family":"Miao","given":"Shaojiang","non-dropping-particle":"","parse-names":false,"suffix":""},{"dropping-particle":"","family":"Wang","given":"Jian","non-dropping-particle":"","parse-names":false,"suffix":""},{"dropping-particle":"","family":"Yang","given":"Fan","non-dropping-particle":"","parse-names":false,"suffix":""},{"dropping-particle":"","family":"Lai","given":"Haixiong","non-dropping-particle":"","parse-names":false,"suffix":""},{"dropping-particle":"","family":"Zhang","given":"Chunyan","non-dropping-particle":"","parse-names":false,"suffix":""},{"dropping-particle":"","family":"Zhang","given":"Yanhua","non-dropping-particle":"","parse-names":false,"suffix":""},{"dropping-particle":"","family":"Hsu","given":"L. K.George","non-dropping-particle":"","parse-names":false,"suffix":""}],"container-title":"Social Psychiatry and Psychiatric Epidemiology","id":"ITEM-4","issue":"3","issued":{"date-parts":[["2014"]]},"page":"499-505","title":"A two-stage epidemiologic study on prevalence of eating disorders in female university students in Wuhan, China","type":"article-journal","volume":"49"},"uris":["http://www.mendeley.com/documents/?uuid=be06c155-4042-4bfa-af31-86861a3bd0c4"]},{"id":"ITEM-5","itemData":{"DOI":"10.1016/j.ajp.2019.07.017","ISSN":"18762026","PMID":"31302438","abstract":"Background: Borderline personality disorder (BPD) usually emerges during adolescence and is associated with severe morbidity. Individuals with BPD are also vulnerable to develop eating disorders as well as mood disorders. Objective: To study the prevalence of borderline personality and its association with binge-eating and bipolar spectrum disorder in college students. Methods: A questionnaire based survey was conducted on a convenience sample of 500 college students (&gt;18 years of age) in medical and engineering campus. Participants were screened on self-report measures including McLean Screening Instrument for BPD (MSI-BPD), Mood Disorder Questionnaire (MDQ) and Binge-Eating Disorder Screener (BEDS-7) for BPD, bipolar spectrum disorder (BSD) and binge-eating disorder (BED), respectively. Results: The prevalence of BPD was 76 (15.2%, 95% CI 12.3–18.6), BSD was 43 (8.6%, 95% CI 6.4–11.5) and BED was 48 (9.6%, 95% CI 7.2–12.6). There was a significantly higher proportion of BSD (OR 23.6, 95% CI 11.3–49.3) and BED (OR 3.4, 95% CI 1.8–6.5) among those with BPD than those without. Conclusions: BPD was found in 15% of adolescents and they have higher proportion of BED and BSD. Early identification may help in planning early intervention strategies to reduce associated morbidity.","author":[{"dropping-particle":"","family":"Shenoy","given":"Shivani K.","non-dropping-particle":"","parse-names":false,"suffix":""},{"dropping-particle":"","family":"Praharaj","given":"Samir Kumar","non-dropping-particle":"","parse-names":false,"suffix":""}],"container-title":"Asian Journal of Psychiatry","id":"ITEM-5","issue":"July","issued":{"date-parts":[["2019"]]},"page":"20-24","publisher":"Elsevier","title":"Borderline personality disorder and its association with bipolar spectrum and binge eating disorder in college students from South India","type":"article-journal","volume":"44"},"uris":["http://www.mendeley.com/documents/?uuid=84bdde43-44d4-4bca-b9aa-983093efd3b2"]},{"id":"ITEM-6","itemData":{"DOI":"10.1186/s12909-017-1083-0","ISSN":"14726920","PMID":"29183315","abstract":"Background: Poor mental health among medical students is widely acknowledged. Studies on mental health among medical students of Nepal are lacking. Therefore, we conducted a study to determine the prevalence of mental disorders. Methods: A cross-sectional study was conducted among medical students at KIST Medical College and Teaching Hospital, Nepal from December 2016 to February 2017. Our survey instrument consisted of the Patient Health Questionnaire (PHQ) and questions about socio-demographic factors, smoking, marijuana use, suicidal ideation and thoughts of dropping out of medical school. Results: The prevalence rates were 29.2% (95% CI, 24.4% - 34.3%) depression, 22.4% (95% CI, 18.0% - 26.9%) medium to highly severe somatic symptoms, 4.1% (95% CI, 2.0% - 6.2%) panic syndrome, 5.8% (95% CI, 3.4% - 8.3%) other anxiety syndrome, 5% (95% CI, 2.7% - 7.3%) binge eating disorder and 1.2% (95% CI, 0.0% - 2.3%) bulimia nervosa. Sixteen students [4.7% (95% CI, 2.4% - 6.9%)] seriously considered committing suicide while in medical school. Thirty-four students [9.9% (95% CI, 6.8% - 13.1%)] considered dropping out of medical school within the past month. About 15% (95% CI, 11.1% - 18.6%) of the students reported use of marijuana during medical school. Conclusions: We found high prevalence of poor mental health among medical students of Nepal. Future studies are required to identify the factors associated with poor mental health.","author":[{"dropping-particle":"","family":"Adhikari","given":"Arjab","non-dropping-particle":"","parse-names":false,"suffix":""},{"dropping-particle":"","family":"Dutta","given":"Aman","non-dropping-particle":"","parse-names":false,"suffix":""},{"dropping-particle":"","family":"Sapkota","given":"Supriya","non-dropping-particle":"","parse-names":false,"suffix":""},{"dropping-particle":"","family":"Chapagain","given":"Abina","non-dropping-particle":"","parse-names":false,"suffix":""},{"dropping-particle":"","family":"Aryal","given":"Anurag","non-dropping-particle":"","parse-names":false,"suffix":""},{"dropping-particle":"","family":"Pradhan","given":"Amita","non-dropping-particle":"","parse-names":false,"suffix":""}],"container-title":"BMC Medical Education","id":"ITEM-6","issued":{"date-parts":[["2017"]]},"page":"232","publisher":"BMC Medical Education","title":"Prevalence of poor mental health among medical students in Nepal: A cross-sectional study","type":"article-journal","volume":"17"},"uris":["http://www.mendeley.com/documents/?uuid=5d2643fe-954c-4ab7-9a94-bb2eeae24d3d"]},{"id":"ITEM-7","itemData":{"DOI":"10.1016/j.eatbeh.2011.03.001","ISSN":"14710153","PMID":"21741023","abstract":"Males and females engage in comparable rates of binge eating, but gender differences in what constitutes a \"binge\" may contribute to the disproportionate likelihood of females meeting diagnostic criteria for binge eating disorder (BED). Using data from one university enrolled in the 2010 Healthy Minds Study, we investigated the differences in \"eating binge\" definitions as a function of gender, BED status, and their interaction. This sample of 969 undergraduate college students was 64.0% female, and 9.3% (10.7% of women; 6.9% of males) met the screening criteria for BED. Open-ended responses defining a \"binge\" were coded into psychological/behavioral and food themes. Females with BED were most likely to mention loss of control when defining an eating binge, and relative to males with BED, they were significantly more likely to mention sweet foods; males with BED were significantly more likely to mention pizza. Findings suggest that among those without BED, females mentioned mood, type of food, and engaging in compensatory behaviors significantly more often than males. Results suggests that the diagnostic emphasis on binge eating as involving \"loss of control\" may lead to a heightened diagnosis of BED among females, yet both genders may experience a comparable weight-related sequelae from binge eating. © 2011 Elsevier Ltd.","author":[{"dropping-particle":"","family":"Reslan","given":"Summar","non-dropping-particle":"","parse-names":false,"suffix":""},{"dropping-particle":"","family":"Saules","given":"Karen K.","non-dropping-particle":"","parse-names":false,"suffix":""}],"container-title":"Eating Behaviors","id":"ITEM-7","issue":"3","issued":{"date-parts":[["2011"]]},"page":"225-227","publisher":"Elsevier Ltd","title":"College students' definitions of an eating \"binge\" differ as a function of gender and binge eating disorder status","type":"article-journal","volume":"12"},"uris":["http://www.mendeley.com/documents/?uuid=31d628e6-a66c-40d8-9d12-b63adaae1cb6"]},{"id":"ITEM-8","itemData":{"DOI":"10.1159/000091801","ISSN":"02544962","PMID":"16531691","abstract":"Background: No study to date has investigated the frequency of eating disorders (ED) in Malta. The aim of the present study was to provide a cross-cultural comparison between Malta and Italy as regards the frequency of ED and problematic eating attitudes among female students. Sampling and Methods: 128 Maltese and 135 Italian female students aged 16-20 were surveyed. Subjects underwent a structured clinical interview and completed some self-reported questionnaires: the Eating Attitudes Test, the Inventory for the Screening of Eating Disorders and the Eating Disorders Examination-Screening Version. Results: The rates of ED are very similar in the two samples with the exception of the frequency of binge eating disorder which is zero in the Italian sample and 4% among Maltese students. Maltese female students weighed significantly more than their Italian counterparts. They also reported more frequent dieting, fear of fatness and experience of low self-esteem related to body shape and weight. Conclusions: Despite the fact that Maltese female students have a greater tendency to be overweight and display more problematic eating and body attitudes, their risk of developing ED, with the exception of binge eating disorder, is similar to that of their Italian counterparts. Copyright © 2006 S. Karger AG.","author":[{"dropping-particle":"","family":"Santonastaso","given":"Paolo","non-dropping-particle":"","parse-names":false,"suffix":""},{"dropping-particle":"","family":"Scicluna","given":"Dorothy","non-dropping-particle":"","parse-names":false,"suffix":""},{"dropping-particle":"","family":"Colombo","given":"Giovanni","non-dropping-particle":"","parse-names":false,"suffix":""},{"dropping-particle":"","family":"Zanetti","given":"Tatiana","non-dropping-particle":"","parse-names":false,"suffix":""},{"dropping-particle":"","family":"Favaro","given":"Angela","non-dropping-particle":"","parse-names":false,"suffix":""}],"container-title":"Psychopathology","id":"ITEM-8","issue":"3","issued":{"date-parts":[["2006"]]},"page":"153-157","title":"Eating disorders and attitudes in Maltese and Italian female students","type":"article-journal","volume":"39"},"uris":["http://www.mendeley.com/documents/?uuid=4d731626-d5ea-4cc0-be1e-742127d5c223"]},{"id":"ITEM-9","itemData":{"DOI":"10.1111/j.1600-0447.1998.tb10051.x","ISSN":"0001690X","PMID":"9718236","abstract":"We screened a sample of 919 female students, aged 13-19 years, by means of the EDI 2 and GHQ-28 questionnaires. Those students identified as being at risk for an eating disorder (281 subjects) underwent a psychiatric interview. We found 2 cases of full-syndrome anorexia nervosa (0.2%), 21 cases of full- syndrome bulimia nervosa (2.3%) and 2 cases of full-syndrome binge-eating disorder (0.2%). Moreover, 35 girls (3.8%) met the criteria for partial- syndrome and 98 girls (10.7%) fulfilled the criteria for subclinical eating disorders. Subjects with partial-syndrome and subclinical eating disorders had higher scores than those with no diagnosis, but lower scores than students with full-syndrome eating disorders, on both the EDI 2 and GHQ-28 questionnaires. A follow-up of subjects with partial-syndrome and subclinical eating disorders is now in progress.","author":[{"dropping-particle":"","family":"Cotrufo","given":"P.","non-dropping-particle":"","parse-names":false,"suffix":""},{"dropping-particle":"","family":"Barretta","given":"V.","non-dropping-particle":"","parse-names":false,"suffix":""},{"dropping-particle":"","family":"Monteleone","given":"P.","non-dropping-particle":"","parse-names":false,"suffix":""},{"dropping-particle":"","family":"Maj","given":"M.","non-dropping-particle":"","parse-names":false,"suffix":""}],"container-title":"Acta Psychiatrica Scandinavica","id":"ITEM-9","issue":"2","issued":{"date-parts":[["1998"]]},"page":"112-115","title":"Full-syndrome, partial-syndrome and subclinical eating disorders: An epidemiological study of female students in Southern Italy","type":"article-journal","volume":"98"},"uris":["http://www.mendeley.com/documents/?uuid=2138dbe5-c584-4575-885c-6397a0448f1d"]}],"mendeley":{"formattedCitation":"&lt;sup&gt;10–18&lt;/sup&gt;","plainTextFormattedCitation":"10–18","previouslyFormattedCitation":"&lt;sup&gt;10–18&lt;/sup&gt;"},"properties":{"noteIndex":0},"schema":"https://github.com/citation-style-language/schema/raw/master/csl-citation.json"}</w:instrText>
      </w:r>
      <w:r w:rsidR="00C80CF8" w:rsidRPr="00515B26">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10–18</w:t>
      </w:r>
      <w:r w:rsidR="00C80CF8" w:rsidRPr="00515B26">
        <w:rPr>
          <w:rFonts w:ascii="Times New Roman" w:hAnsi="Times New Roman" w:cs="Times New Roman"/>
          <w:sz w:val="22"/>
          <w:szCs w:val="22"/>
        </w:rPr>
        <w:fldChar w:fldCharType="end"/>
      </w:r>
      <w:r w:rsidR="00C80CF8" w:rsidRPr="00515B26">
        <w:rPr>
          <w:rFonts w:ascii="Times New Roman" w:hAnsi="Times New Roman" w:cs="Times New Roman"/>
          <w:sz w:val="22"/>
          <w:szCs w:val="22"/>
        </w:rPr>
        <w:t xml:space="preserve"> while prevalence of binge eating behaviours has been reported to be as high as 50% in female undergraduates</w:t>
      </w:r>
      <w:r w:rsidR="006C7756">
        <w:rPr>
          <w:rFonts w:ascii="Times New Roman" w:hAnsi="Times New Roman" w:cs="Times New Roman"/>
          <w:sz w:val="22"/>
          <w:szCs w:val="22"/>
        </w:rPr>
        <w:t>.</w:t>
      </w:r>
      <w:r w:rsidR="00C80CF8" w:rsidRPr="00515B26">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{"citationItems":[{"id":"ITEM-1","itemData":{"DOI":"10.1186/s40337-019-0263-1","ISSN":"20502974","abstract":"Background: Eating disorders pose a serious challenge to health services due to psychosocial and medical problems. Binge eating disorder (BED) is characterized as a pattern of overeating episodes followed by shame, distress and guilty feelings. Among eating disorders, BED has the highest prevalence, especially among females. The literature reported that BED is associated with nutritional status, socio-demographic factors, and psychological factors in different countries. This study aims to examine the prevalence of binge eating symptoms and its relationship with selected variables (i.e. socio-demographics, nutritional status and dietary habits). Methods: One hundred fifty-four female undergraduate students, from three different faculties at Palestine Polytechnic University, participated in the study. All the students who consented to join the study were assessed in terms of weight status using body mass index, dietary habits and medical profile. The screening for presence of binge eating symptoms was done using BEDS-7. The psychosocial factors were assessed by validated Arabic version of DASS-21. Results: Half of the participants (50%) had binge eating symptoms. No association between binge eating symptoms and socio-demographic variables was found. Similarly, binge eating symptoms was not related to body weight status, however, it was associated with eating between meals and number of snacks. A significantly higher score on depression, stress and anxiety was found among binge eaters than non-binge eaters. Conclusion: It was concluded that binge eating symptoms have considerable prevalence among the study participants, and it was significantly correlated with psychosocial factors. Future studies are needed to examine other risk factors and correlations. Educational programs are also recommended to increase the awareness of eating disorders as well as to promote healthy eating patterns.","author":[{"dropping-particle":"","family":"Badrasawi","given":"Manal M.","non-dropping-particle":"","parse-names":false,"suffix":""},{"dropping-particle":"","family":"Zidan","given":"Souzan J.","non-dropping-particle":"","parse-names":false,"suffix":""}],"container-title":"Journal of Eating Disorders","id":"ITEM-1","issued":{"date-parts":[["2019"]]},"page":"33","publisher":"Journal of Eating Disorders","title":"Binge eating symptoms prevalence and relationship with psychosocial factors among female undergraduate students at Palestine Polytechnic University: a cross-sectional study","type":"article-journal","volume":"7"},"uris":["http://www.mendeley.com/documents/?uuid=43f2732c-dcc6-47c9-83d1-8bba6983b1ec"]}],"mendeley":{"formattedCitation":"&lt;sup&gt;19&lt;/sup&gt;","plainTextFormattedCitation":"19","previouslyFormattedCitation":"&lt;sup&gt;19&lt;/sup&gt;"},"properties":{"noteIndex":0},"schema":"https://github.com/citation-style-language/schema/raw/master/csl-citation.json"}</w:instrText>
      </w:r>
      <w:r w:rsidR="00C80CF8" w:rsidRPr="00515B26">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19</w:t>
      </w:r>
      <w:r w:rsidR="00C80CF8" w:rsidRPr="00515B26">
        <w:rPr>
          <w:rFonts w:ascii="Times New Roman" w:hAnsi="Times New Roman" w:cs="Times New Roman"/>
          <w:sz w:val="22"/>
          <w:szCs w:val="22"/>
        </w:rPr>
        <w:fldChar w:fldCharType="end"/>
      </w:r>
      <w:r w:rsidR="00C80CF8" w:rsidRPr="00515B26">
        <w:rPr>
          <w:rFonts w:ascii="Times New Roman" w:hAnsi="Times New Roman" w:cs="Times New Roman"/>
          <w:sz w:val="22"/>
          <w:szCs w:val="22"/>
        </w:rPr>
        <w:t xml:space="preserve"> In student populations, binge eating has been associated with functional impairment</w:t>
      </w:r>
      <w:r w:rsidR="006C7756">
        <w:rPr>
          <w:rFonts w:ascii="Times New Roman" w:hAnsi="Times New Roman" w:cs="Times New Roman"/>
          <w:sz w:val="22"/>
          <w:szCs w:val="22"/>
        </w:rPr>
        <w:t>,</w:t>
      </w:r>
      <w:r w:rsidR="00C80CF8" w:rsidRPr="00515B26">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{"citationItems":[{"id":"ITEM-1","itemData":{"DOI":"10.1007/s40519-018-0574-2","ISBN":"0123456789","ISSN":"15901262","PMID":"30196529","abstract":"Purpose: The aim of the present study was to describe the clinical features of binge eating disorder (BED) in normal weight and overweight undergraduate Korean women. Methods: 117 overweight (BMI ≥ 25 kg/m 2 ) and 346 normal weight (18 kg/m 2 ≤ BMI &lt; 25 kg/m 2 ) undergraduate Korean women completed questionnaires to assess for BED. Their emotional eating behaviors, binge eating-related behaviors, a spectrum of compulsive behaviors such as substance abuse and obsessive–compulsive disorder, and psychological profiles were evaluated through personal interviews and questionnaires. The features of those with BED were compared to those without BED in the overweight and normal weight groups. Results: Both normal weight and overweight BED women had higher levels of functional impairment, eating disorder psychopathology including emotional and external eating behaviors, and neuroticism than their non-BED counterparts. In the normal weight group, BED women had more frequent alcohol consumption and obsessive–compulsive symptoms than non-BED women. In the overweight group, BED women had higher levels of depression and lower extraversion than non-BED women. Conclusions: BED is associated with global functional impairment and mental health problems. Thus, the association with high functional impairments and psychiatric comorbidities suggest that people with BED may benefit from treatment. Level III: Evidence obtained from well-designed case–control analytic studies, from more than one center.","author":[{"dropping-particle":"","family":"Kim","given":"Youl Ri","non-dropping-particle":"","parse-names":false,"suffix":""},{"dropping-particle":"","family":"Hwang","given":"Bo In","non-dropping-particle":"","parse-names":false,"suffix":""},{"dropping-particle":"","family":"Lee","given":"Gi Young","non-dropping-particle":"","parse-names":false,"suffix":""},{"dropping-particle":"","family":"Kim","given":"Kyung Hee","non-dropping-particle":"","parse-names":false,"suffix":""},{"dropping-particle":"","family":"Kim","given":"Mirihae","non-dropping-particle":"","parse-names":false,"suffix":""},{"dropping-particle":"","family":"Kim","given":"Kwang Kee","non-dropping-particle":"","parse-names":false,"suffix":""},{"dropping-particle":"","family":"Treasure","given":"Janet","non-dropping-particle":"","parse-names":false,"suffix":""}],"container-title":"Eating and Weight Disorders","id":"ITEM-1","issue":"6","issued":{"date-parts":[["2018"]]},"page":"849-860","publisher":"Springer International Publishing","title":"Determinants of binge eating disorder among normal weight and overweight female college students in Korea","type":"article-journal","volume":"23"},"uris":["http://www.mendeley.com/documents/?uuid=b51b6b7f-2d59-4c84-8346-a89d95d9305b"]}],"mendeley":{"formattedCitation":"&lt;sup&gt;20&lt;/sup&gt;","plainTextFormattedCitation":"20","previouslyFormattedCitation":"&lt;sup&gt;20&lt;/sup&gt;"},"properties":{"noteIndex":0},"schema":"https://github.com/citation-style-language/schema/raw/master/csl-citation.json"}</w:instrText>
      </w:r>
      <w:r w:rsidR="00C80CF8" w:rsidRPr="00515B26">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20</w:t>
      </w:r>
      <w:r w:rsidR="00C80CF8" w:rsidRPr="00515B26">
        <w:rPr>
          <w:rFonts w:ascii="Times New Roman" w:hAnsi="Times New Roman" w:cs="Times New Roman"/>
          <w:sz w:val="22"/>
          <w:szCs w:val="22"/>
        </w:rPr>
        <w:fldChar w:fldCharType="end"/>
      </w:r>
      <w:r w:rsidR="009B06D5">
        <w:rPr>
          <w:rFonts w:ascii="Times New Roman" w:hAnsi="Times New Roman" w:cs="Times New Roman"/>
          <w:sz w:val="22"/>
          <w:szCs w:val="22"/>
        </w:rPr>
        <w:t xml:space="preserve"> mental health problems</w:t>
      </w:r>
      <w:r w:rsidR="00C80CF8" w:rsidRPr="00515B26">
        <w:rPr>
          <w:rFonts w:ascii="Times New Roman" w:hAnsi="Times New Roman" w:cs="Times New Roman"/>
          <w:sz w:val="22"/>
          <w:szCs w:val="22"/>
        </w:rPr>
        <w:t xml:space="preserve"> and lower academic performance</w:t>
      </w:r>
      <w:r w:rsidR="00C80CF8" w:rsidRPr="00515B26">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{"citationItems":[{"id":"ITEM-1","itemData":{"DOI":"10.1002/eat.23211","ISSN":"1098108X","PMID":"31868255","abstract":"Background: Binge eating and purging behaviors (BPB) are common among college students, but evidence is scant on prevalence and associations of BPB with mental health problems and objective academic performance. This study aims to investigate: (a) 12-month prevalence of BPB among college first-year students, (b) comorbidity patterns of BPB with various mental health problems, and (c) the association of BPB with objective academic functioning. Methods: Using data from the Leuven College Surveys (Belgium), as part of the World Mental Health Surveys International College Student initiative, we cross-sectionally assessed 12-month BPB and mental health problems among college first-year students (n = 4,889; response rate = 73.2%) at the beginning of the academic year. Objective measures of academic functioning (final grades, expressed in academic year percentage “AYP” [0–100%] and academic failure) were obtained from administrative records at the end of the academic year. Results: Twelve-month prevalence of BPB was 7.6% (7.3%binge eating and 1.0%purging), with higher rates among females than males. Bivariate models showed an association between BPB and numerous mental health problems (ORs = 3.4–18.4). Multivariate models showed associations with non-suicidal self-injury, post-traumatic stress, internalizing/externalizing problems and suicidal ideation. After controlling for sociodemographic characteristics and comorbid mental health problems, BPB were still associated with lower AYP (−4.1 to −11.2% range) and elevated odds of academic year failure (ORs = 1.4–4.2). Conclusions: BPB (especially binge eating) are relatively common and associated with mental health problems, comparatively low academic performance, and higher risk of academic failure among college first-year students. Further study is needed to examine the causal dynamics underlying these associations.","author":[{"dropping-particle":"","family":"Serra","given":"Riccardo","non-dropping-particle":"","parse-names":false,"suffix":""},{"dropping-particle":"","family":"Kiekens","given":"Glenn","non-dropping-particle":"","parse-names":false,"suffix":""},{"dropping-particle":"","family":"Vanderlinden","given":"Johan","non-dropping-particle":"","parse-names":false,"suffix":""},{"dropping-particle":"","family":"Vrieze","given":"Elske","non-dropping-particle":"","parse-names":false,"suffix":""},{"dropping-particle":"","family":"Auerbach","given":"Randy P.","non-dropping-particle":"","parse-names":false,"suffix":""},{"dropping-particle":"","family":"Benjet","given":"Corina","non-dropping-particle":"","parse-names":false,"suffix":""},{"dropping-particle":"","family":"Claes","given":"Laurence","non-dropping-particle":"","parse-names":false,"suffix":""},{"dropping-particle":"","family":"Cuijpers","given":"Pim","non-dropping-particle":"","parse-names":false,"suffix":""},{"dropping-particle":"","family":"Demyttenaere","given":"Koen","non-dropping-particle":"","parse-names":false,"suffix":""},{"dropping-particle":"","family":"Ebert","given":"David D.","non-dropping-particle":"","parse-names":false,"suffix":""},{"dropping-particle":"","family":"Tarsitani","given":"Lorenzo","non-dropping-particle":"","parse-names":false,"suffix":""},{"dropping-particle":"","family":"Green","given":"Jennifer Greif","non-dropping-particle":"","parse-names":false,"suffix":""},{"dropping-particle":"","family":"Kessler","given":"Ronald C.","non-dropping-particle":"","parse-names":false,"suffix":""},{"dropping-particle":"","family":"Nock","given":"Matthew K.","non-dropping-particle":"","parse-names":false,"suffix":""},{"dropping-particle":"","family":"Mortier","given":"Phillippe","non-dropping-particle":"","parse-names":false,"suffix":""},{"dropping-particle":"","family":"Bruffaerts","given":"Ronny","non-dropping-particle":"","parse-names":false,"suffix":""}],"container-title":"International Journal of Eating Disorders","id":"ITEM-1","issue":"3","issued":{"date-parts":[["2020"]]},"page":"339-348","title":"Binge eating and purging in first-year college students: Prevalence, psychiatric comorbidity, and academic performance","type":"article-journal","volume":"53"},"uris":["http://www.mendeley.com/documents/?uuid=0d9927cc-60f5-45c8-8d44-c6cfc3ca2888"]}],"mendeley":{"formattedCitation":"&lt;sup&gt;21&lt;/sup&gt;","plainTextFormattedCitation":"21","previouslyFormattedCitation":"&lt;sup&gt;21&lt;/sup&gt;"},"properties":{"noteIndex":0},"schema":"https://github.com/citation-style-language/schema/raw/master/csl-citation.json"}</w:instrText>
      </w:r>
      <w:r w:rsidR="00C80CF8" w:rsidRPr="00515B26">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21</w:t>
      </w:r>
      <w:r w:rsidR="00C80CF8" w:rsidRPr="00515B26">
        <w:rPr>
          <w:rFonts w:ascii="Times New Roman" w:hAnsi="Times New Roman" w:cs="Times New Roman"/>
          <w:sz w:val="22"/>
          <w:szCs w:val="22"/>
        </w:rPr>
        <w:fldChar w:fldCharType="end"/>
      </w:r>
      <w:r w:rsidR="00C80CF8" w:rsidRPr="00515B26">
        <w:rPr>
          <w:rFonts w:ascii="Times New Roman" w:hAnsi="Times New Roman" w:cs="Times New Roman"/>
          <w:sz w:val="22"/>
          <w:szCs w:val="22"/>
        </w:rPr>
        <w:t xml:space="preserve"> and so may have long-term consequences.</w:t>
      </w:r>
    </w:p>
    <w:p w14:paraId="529F2F15" w14:textId="168E3415" w:rsidR="00D80C0B" w:rsidRDefault="00D80C0B" w:rsidP="0058300D">
      <w:pPr>
        <w:spacing w:line="480" w:lineRule="auto"/>
        <w:rPr>
          <w:rFonts w:ascii="Times New Roman" w:hAnsi="Times New Roman" w:cs="Times New Roman"/>
          <w:sz w:val="22"/>
          <w:szCs w:val="22"/>
        </w:rPr>
      </w:pPr>
    </w:p>
    <w:p w14:paraId="06C14A52" w14:textId="6D3AFA8D" w:rsidR="00EB5A1F" w:rsidRDefault="00D66881" w:rsidP="0058300D">
      <w:pPr>
        <w:spacing w:line="480" w:lineRule="auto"/>
        <w:rPr>
          <w:rFonts w:ascii="Times New Roman" w:hAnsi="Times New Roman" w:cs="Times New Roman"/>
          <w:sz w:val="22"/>
          <w:szCs w:val="22"/>
        </w:rPr>
      </w:pPr>
      <w:r>
        <w:rPr>
          <w:rFonts w:ascii="Times New Roman" w:hAnsi="Times New Roman" w:cs="Times New Roman"/>
          <w:sz w:val="22"/>
          <w:szCs w:val="22"/>
        </w:rPr>
        <w:t>Impulsivity and compulsivity are</w:t>
      </w:r>
      <w:r w:rsidR="001A12F0">
        <w:rPr>
          <w:rFonts w:ascii="Times New Roman" w:hAnsi="Times New Roman" w:cs="Times New Roman"/>
          <w:sz w:val="22"/>
          <w:szCs w:val="22"/>
        </w:rPr>
        <w:t xml:space="preserve"> latent constructs</w:t>
      </w:r>
      <w:r>
        <w:rPr>
          <w:rFonts w:ascii="Times New Roman" w:hAnsi="Times New Roman" w:cs="Times New Roman"/>
          <w:sz w:val="22"/>
          <w:szCs w:val="22"/>
        </w:rPr>
        <w:t xml:space="preserve"> implicated in a number of mental disorders</w:t>
      </w:r>
      <w:r w:rsidR="001A12F0">
        <w:rPr>
          <w:rFonts w:ascii="Times New Roman" w:hAnsi="Times New Roman" w:cs="Times New Roman"/>
          <w:sz w:val="22"/>
          <w:szCs w:val="22"/>
        </w:rPr>
        <w:t>, as well as being highly relevant in normative populations</w:t>
      </w:r>
      <w:r w:rsidR="006C7756">
        <w:rPr>
          <w:rFonts w:ascii="Times New Roman" w:hAnsi="Times New Roman" w:cs="Times New Roman"/>
          <w:sz w:val="22"/>
          <w:szCs w:val="22"/>
        </w:rPr>
        <w:t>.</w:t>
      </w:r>
      <w:r w:rsidR="00927E97">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{"citationItems":[{"id":"ITEM-1","itemData":{"DOI":"10.1017/S0033291717002185","ISSN":"14698978","PMID":"28805173","abstract":"Background The concepts of impulsivity and compulsivity are commonly used in psychiatry. Little is known about whether different manifest measures of impulsivity and compulsivity (behavior, personality, and cognition) map onto underlying latent traits; and if so, their inter-relationship. Methods A total of 576 adults were recruited using media advertisements. Psychopathological, personality, and cognitive measures of impulsivity and compulsivity were completed. Confirmatory factor analysis was used to identify the optimal model. Results The data were best explained by a two-factor model, corresponding to latent traits of impulsivity and compulsivity, respectively, which were positively correlated with each other. This model was statistically superior to the alternative models of their being one underlying factor ('disinhibition') or two anticorrelated factors. Higher scores on the impulsive and compulsive latent factors were each significantly associated with worse quality of life (both p &lt; 0.0001). Conclusions This study supports the existence of latent functionally impairing dimensional forms of impulsivity and compulsivity, which are positively correlated. Future work should examine the neurobiological and neurochemical underpinnings of these latent traits; and explore whether they can be used as candidate treatment targets. The findings have implications for diagnostic classification systems, suggesting that combining categorical and dimensional approaches may be valuable and clinically relevant.","author":[{"dropping-particle":"","family":"Chamberlain","given":"S. R.","non-dropping-particle":"","parse-names":false,"suffix":""},{"dropping-particle":"","family":"Stochl","given":"J.","non-dropping-particle":"","parse-names":false,"suffix":""},{"dropping-particle":"","family":"Redden","given":"S. A.","non-dropping-particle":"","parse-names":false,"suffix":""},{"dropping-particle":"","family":"Grant","given":"J. E.","non-dropping-particle":"","parse-names":false,"suffix":""}],"container-title":"Psychological Medicine","id":"ITEM-1","issue":"5","issued":{"date-parts":[["2018"]]},"page":"810-821","title":"Latent traits of impulsivity and compulsivity: Toward dimensional psychiatry","type":"article-journal","volume":"48"},"uris":["http://www.mendeley.com/documents/?uuid=d389f8c0-6c4a-434b-ab67-ff989f59e2ef"]}],"mendeley":{"formattedCitation":"&lt;sup&gt;22&lt;/sup&gt;","plainTextFormattedCitation":"22","previouslyFormattedCitation":"&lt;sup&gt;22&lt;/sup&gt;"},"properties":{"noteIndex":0},"schema":"https://github.com/citation-style-language/schema/raw/master/csl-citation.json"}</w:instrText>
      </w:r>
      <w:r w:rsidR="00927E97">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22</w:t>
      </w:r>
      <w:r w:rsidR="00927E97">
        <w:rPr>
          <w:rFonts w:ascii="Times New Roman" w:hAnsi="Times New Roman" w:cs="Times New Roman"/>
          <w:sz w:val="22"/>
          <w:szCs w:val="22"/>
        </w:rPr>
        <w:fldChar w:fldCharType="end"/>
      </w:r>
      <w:r>
        <w:rPr>
          <w:rFonts w:ascii="Times New Roman" w:hAnsi="Times New Roman" w:cs="Times New Roman"/>
          <w:sz w:val="22"/>
          <w:szCs w:val="22"/>
        </w:rPr>
        <w:t xml:space="preserve"> Impulsivity refers to a</w:t>
      </w:r>
      <w:r w:rsidR="001A12F0">
        <w:rPr>
          <w:rFonts w:ascii="Times New Roman" w:hAnsi="Times New Roman" w:cs="Times New Roman"/>
          <w:sz w:val="22"/>
          <w:szCs w:val="22"/>
        </w:rPr>
        <w:t xml:space="preserve"> tendency to undertake</w:t>
      </w:r>
      <w:r w:rsidR="009D3EB3">
        <w:rPr>
          <w:rFonts w:ascii="Times New Roman" w:hAnsi="Times New Roman" w:cs="Times New Roman"/>
          <w:sz w:val="22"/>
          <w:szCs w:val="22"/>
        </w:rPr>
        <w:t xml:space="preserve"> behaviour</w:t>
      </w:r>
      <w:r w:rsidR="001A12F0">
        <w:rPr>
          <w:rFonts w:ascii="Times New Roman" w:hAnsi="Times New Roman" w:cs="Times New Roman"/>
          <w:sz w:val="22"/>
          <w:szCs w:val="22"/>
        </w:rPr>
        <w:t>s/</w:t>
      </w:r>
      <w:r w:rsidR="009D3EB3">
        <w:rPr>
          <w:rFonts w:ascii="Times New Roman" w:hAnsi="Times New Roman" w:cs="Times New Roman"/>
          <w:sz w:val="22"/>
          <w:szCs w:val="22"/>
        </w:rPr>
        <w:t>action</w:t>
      </w:r>
      <w:r w:rsidR="001A12F0">
        <w:rPr>
          <w:rFonts w:ascii="Times New Roman" w:hAnsi="Times New Roman" w:cs="Times New Roman"/>
          <w:sz w:val="22"/>
          <w:szCs w:val="22"/>
        </w:rPr>
        <w:t>s</w:t>
      </w:r>
      <w:r w:rsidR="009D3EB3">
        <w:rPr>
          <w:rFonts w:ascii="Times New Roman" w:hAnsi="Times New Roman" w:cs="Times New Roman"/>
          <w:sz w:val="22"/>
          <w:szCs w:val="22"/>
        </w:rPr>
        <w:t xml:space="preserve"> that </w:t>
      </w:r>
      <w:r w:rsidR="001A12F0">
        <w:rPr>
          <w:rFonts w:ascii="Times New Roman" w:hAnsi="Times New Roman" w:cs="Times New Roman"/>
          <w:sz w:val="22"/>
          <w:szCs w:val="22"/>
        </w:rPr>
        <w:t>are</w:t>
      </w:r>
      <w:r w:rsidR="009D3EB3">
        <w:rPr>
          <w:rFonts w:ascii="Times New Roman" w:hAnsi="Times New Roman" w:cs="Times New Roman"/>
          <w:sz w:val="22"/>
          <w:szCs w:val="22"/>
        </w:rPr>
        <w:t xml:space="preserve"> inappropriate, premature or risky</w:t>
      </w:r>
      <w:r w:rsidR="006C7756">
        <w:rPr>
          <w:rFonts w:ascii="Times New Roman" w:hAnsi="Times New Roman" w:cs="Times New Roman"/>
          <w:sz w:val="22"/>
          <w:szCs w:val="22"/>
        </w:rPr>
        <w:t>,</w:t>
      </w:r>
      <w:r w:rsidR="009D3EB3">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{"citationItems":[{"id":"ITEM-1","itemData":{"DOI":"10.1007/PL00005481","ISSN":"0033-3158","PMID":"10550486","abstract":"The concept of impulsivity covers a wide range of 'actions that are poorly conceived, prematurely expressed, unduly risky, or inappropriate to the situation and that often result in undesirable outcomes'. As such it plays an important role in normal behaviour, as well as, in a pathological form, in many kinds of mental illness such as mania, personality disorders, substance abuse disorders and attention deficit/hyperactivity disorder. Although evidence from psychological studies of human personality suggests that impulsivity may be made up of several independent factors, this has not made a major impact on biological studies of impulsivity. This may be because there is little unanimity as to which these factors are. The present review summarises evidence for varieties of impulsivity from several different areas of research: human psychology, psychiatry and animal behaviour. Recently, a series of psychopharmacological studies has been carried out by the present author and colleagues using methods proposed to measure selectively different aspects of impulsivity. The results of these studies suggest that several neurochemical mechanisms can influence impulsivity, and that impulsive behaviour has no unique neurobiological basis. Consideration of impulsivity as the result of several different, independent factors which interact to modulate behaviour may provide better insight into the pathology than current hypotheses based on serotonergic underactivity.","author":[{"dropping-particle":"","family":"Evenden","given":"John L.","non-dropping-particle":"","parse-names":false,"suffix":""}],"container-title":"Psychopharmacology","id":"ITEM-1","issue":"4","issued":{"date-parts":[["1999","10","21"]]},"page":"348-361","title":"Varieties of impulsivity","type":"article-journal","volume":"146"},"uris":["http://www.mendeley.com/documents/?uuid=8c91b732-b01d-40ff-8022-eaa63818a7aa"]}],"mendeley":{"formattedCitation":"&lt;sup&gt;23&lt;/sup&gt;","plainTextFormattedCitation":"23","previouslyFormattedCitation":"&lt;sup&gt;23&lt;/sup&gt;"},"properties":{"noteIndex":0},"schema":"https://github.com/citation-style-language/schema/raw/master/csl-citation.json"}</w:instrText>
      </w:r>
      <w:r w:rsidR="009D3EB3">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23</w:t>
      </w:r>
      <w:r w:rsidR="009D3EB3">
        <w:rPr>
          <w:rFonts w:ascii="Times New Roman" w:hAnsi="Times New Roman" w:cs="Times New Roman"/>
          <w:sz w:val="22"/>
          <w:szCs w:val="22"/>
        </w:rPr>
        <w:fldChar w:fldCharType="end"/>
      </w:r>
      <w:r w:rsidR="009D3EB3">
        <w:rPr>
          <w:rFonts w:ascii="Times New Roman" w:hAnsi="Times New Roman" w:cs="Times New Roman"/>
          <w:sz w:val="22"/>
          <w:szCs w:val="22"/>
        </w:rPr>
        <w:t xml:space="preserve"> while compulsivity refers to repetitive acts </w:t>
      </w:r>
      <w:r w:rsidR="00EB5A1F">
        <w:rPr>
          <w:rFonts w:ascii="Times New Roman" w:hAnsi="Times New Roman" w:cs="Times New Roman"/>
          <w:sz w:val="22"/>
          <w:szCs w:val="22"/>
        </w:rPr>
        <w:t xml:space="preserve">that </w:t>
      </w:r>
      <w:r w:rsidR="001A12F0">
        <w:rPr>
          <w:rFonts w:ascii="Times New Roman" w:hAnsi="Times New Roman" w:cs="Times New Roman"/>
          <w:sz w:val="22"/>
          <w:szCs w:val="22"/>
        </w:rPr>
        <w:t>are performed according to rigid rules or in a habitual fashion</w:t>
      </w:r>
      <w:r w:rsidR="006C7756">
        <w:rPr>
          <w:rFonts w:ascii="Times New Roman" w:hAnsi="Times New Roman" w:cs="Times New Roman"/>
          <w:sz w:val="22"/>
          <w:szCs w:val="22"/>
        </w:rPr>
        <w:t>.</w:t>
      </w:r>
      <w:r w:rsidR="00D25AB4">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{"citationItems":[{"id":"ITEM-1","itemData":{"DOI":"10.1007/s11065-019-09404-9","ISBN":"1106501909404","ISSN":"1040-7308","PMID":"31016439","abstract":"Compulsive tendencies are a central feature of problematic human behavior and thereby are of great interest to the scientific and clinical community. However, no consensus exists about the precise meaning of ‘compulsivity,’ creating confusion in the field and hampering comparison across psychiatric disorders. A vague conceptualization makes compulsivity a moving target encompassing a fluctuating variety of behaviors, which is unlikely to improve the new dimension-based psychiatric or psychopathology approach. This article aims to help progress the definition of what constitutes compulsive behavior, cross-diagnostically, by analyzing different definitions in the psychiatric literature. We searched PubMed for articles in human psychiatric research with ‘compulsive behavior’ or ‘compulsivity’ in the title that focused on the broader concept of compulsivity—returning 28 articles with nine original definitions. Within the definitions, we separated three types of descriptive elements: phenomenological, observational and explanatory. The elements most applicable, cross-diagnostically, resulted in this definition: Compulsive behavior consists of repetitive acts that are characterized by the feeling that one ‘has to’ perform them while one is aware that these acts are not in line with one’s overall goal. Having a more unified definition for compulsive behavior will make its meaning precise and explicit, and therefore more transferable and testable across clinical and non-clinical populations.","author":[{"dropping-particle":"","family":"Luigjes","given":"Judy","non-dropping-particle":"","parse-names":false,"suffix":""},{"dropping-particle":"","family":"Lorenzetti","given":"Valentina","non-dropping-particle":"","parse-names":false,"suffix":""},{"dropping-particle":"","family":"Haan","given":"Sanneke","non-dropping-particle":"de","parse-names":false,"suffix":""},{"dropping-particle":"","family":"Youssef","given":"George J.","non-dropping-particle":"","parse-names":false,"suffix":""},{"dropping-particle":"","family":"Murawski","given":"Carsten","non-dropping-particle":"","parse-names":false,"suffix":""},{"dropping-particle":"","family":"Sjoerds","given":"Zsuzsika","non-dropping-particle":"","parse-names":false,"suffix":""},{"dropping-particle":"","family":"Brink","given":"Wim","non-dropping-particle":"van den","parse-names":false,"suffix":""},{"dropping-particle":"","family":"Denys","given":"Damiaan","non-dropping-particle":"","parse-names":false,"suffix":""},{"dropping-particle":"","family":"Fontenelle","given":"Leonardo F.","non-dropping-particle":"","parse-names":false,"suffix":""},{"dropping-particle":"","family":"Yücel","given":"Murat","non-dropping-particle":"","parse-names":false,"suffix":""}],"container-title":"Neuropsychology Review","id":"ITEM-1","issue":"1","issued":{"date-parts":[["2019","3","23"]]},"page":"4-13","publisher":"Neuropsychology Review","title":"Defining Compulsive Behavior","type":"article-journal","volume":"29"},"uris":["http://www.mendeley.com/documents/?uuid=911c26f3-48b3-4b31-af4b-24e0db70c0b9"]}],"mendeley":{"formattedCitation":"&lt;sup&gt;24&lt;/sup&gt;","plainTextFormattedCitation":"24","previouslyFormattedCitation":"&lt;sup&gt;24&lt;/sup&gt;"},"properties":{"noteIndex":0},"schema":"https://github.com/citation-style-language/schema/raw/master/csl-citation.json"}</w:instrText>
      </w:r>
      <w:r w:rsidR="00D25AB4">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24</w:t>
      </w:r>
      <w:r w:rsidR="00D25AB4">
        <w:rPr>
          <w:rFonts w:ascii="Times New Roman" w:hAnsi="Times New Roman" w:cs="Times New Roman"/>
          <w:sz w:val="22"/>
          <w:szCs w:val="22"/>
        </w:rPr>
        <w:fldChar w:fldCharType="end"/>
      </w:r>
      <w:r w:rsidR="00D25AB4">
        <w:rPr>
          <w:rFonts w:ascii="Times New Roman" w:hAnsi="Times New Roman" w:cs="Times New Roman"/>
          <w:sz w:val="22"/>
          <w:szCs w:val="22"/>
        </w:rPr>
        <w:t xml:space="preserve"> </w:t>
      </w:r>
      <w:r w:rsidR="00EB5A1F">
        <w:rPr>
          <w:rFonts w:ascii="Times New Roman" w:hAnsi="Times New Roman" w:cs="Times New Roman"/>
          <w:sz w:val="22"/>
          <w:szCs w:val="22"/>
        </w:rPr>
        <w:t xml:space="preserve">Both impulsivity and compulsivity are thought to be core features </w:t>
      </w:r>
      <w:r w:rsidR="001A12F0">
        <w:rPr>
          <w:rFonts w:ascii="Times New Roman" w:hAnsi="Times New Roman" w:cs="Times New Roman"/>
          <w:sz w:val="22"/>
          <w:szCs w:val="22"/>
        </w:rPr>
        <w:t>relevant to understanding of</w:t>
      </w:r>
      <w:r w:rsidR="00EB5A1F">
        <w:rPr>
          <w:rFonts w:ascii="Times New Roman" w:hAnsi="Times New Roman" w:cs="Times New Roman"/>
          <w:sz w:val="22"/>
          <w:szCs w:val="22"/>
        </w:rPr>
        <w:t xml:space="preserve"> BED, </w:t>
      </w:r>
      <w:r w:rsidR="001A12F0">
        <w:rPr>
          <w:rFonts w:ascii="Times New Roman" w:hAnsi="Times New Roman" w:cs="Times New Roman"/>
          <w:sz w:val="22"/>
          <w:szCs w:val="22"/>
        </w:rPr>
        <w:t>as evidenced by findings from</w:t>
      </w:r>
      <w:r w:rsidR="00EB5A1F">
        <w:rPr>
          <w:rFonts w:ascii="Times New Roman" w:hAnsi="Times New Roman" w:cs="Times New Roman"/>
          <w:sz w:val="22"/>
          <w:szCs w:val="22"/>
        </w:rPr>
        <w:t xml:space="preserve"> cognitive tasks, neuroimaging and trait impulsivity scales</w:t>
      </w:r>
      <w:r w:rsidR="006260A8">
        <w:rPr>
          <w:rFonts w:ascii="Times New Roman" w:hAnsi="Times New Roman" w:cs="Times New Roman"/>
          <w:sz w:val="22"/>
          <w:szCs w:val="22"/>
        </w:rPr>
        <w:t>.</w:t>
      </w:r>
      <w:r w:rsidR="00EB5A1F">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{"citationItems":[{"id":"ITEM-1","itemData":{"DOI":"10.3389/fpsyt.2018.00103","ISSN":"1664-0640","abstract":"Introduction: It is unclear whether core symptoms of attention deficit hyperactivity disorder (ADHD) relate to specific types of disordered eating and little is known about the mediating mechanisms. We investigated associations between core symptoms of ADHD and binge/disinhibited eating and restrictive eating behavior and assessed whether negative mood and/or deficits in awareness and reliance on internal hunger/satiety cues mediate these relationships. Methods: In two independent studies, we used a dimensional approach to study ADHD and disordered eating. In Study 1, a community-based sample of 237 adults (72.6% female, 18-60 years [M = 26.8, SE = 0.6]) completed an online questionnaire, assessing eating attitudes/behaviors, negative mood, awareness, and reliance on internal hunger/satiety cues and ADHD symptomatology. In Study 2, 142 students (80.3% female, 18-32 years [M = 19.3, SE = 0.1]) were recruited to complete the same questionnaires and complete tasks assessing interoceptive sensitivity and impulsivity in the laboratory. Results: In each study, core symptoms of ADHD correlated positively with both binge/disinhibited and restrictive eating and negative mood mediated the relationships. Deficits in awareness and reliance on internal hunger/satiety signals also mediated the association between inattentive symptoms of ADHD and disordered eating, especially binge/disinhibited eating. The results from both studies demonstrated that inattentive symptoms of ADHD were also directly related to binge/disinhibited eating behavior, while accounting for the indirect pathways of association via negative mood and awareness and reliance on internal hunger/satiety signals. Conclusion: This research provides evidence that core symptoms of ADHD are associated with both binge/disinhibited eating and restrictive eating behavior. Further investigation of the role of inattentive symptoms of ADHD in disordered eating may be helpful in developing novel treatments for both ADHD and binge eating.","author":[{"dropping-particle":"","family":"Kaisari","given":"Panagiota","non-dropping-particle":"","parse-names":false,"suffix":""},{"dropping-particle":"","family":"Dourish","given":"Colin T.","non-dropping-particle":"","parse-names":false,"suffix":""},{"dropping-particle":"","family":"Rotshtein","given":"Pia","non-dropping-particle":"","parse-names":false,"suffix":""},{"dropping-particle":"","family":"Higgs","given":"Suzanne","non-dropping-particle":"","parse-names":false,"suffix":""}],"container-title":"Frontiers in Psychiatry","id":"ITEM-1","issue":"MAR","issued":{"date-parts":[["2018","3","29"]]},"page":"1-16","title":"Associations Between Core Symptoms of Attention Deficit Hyperactivity Disorder and Both Binge and Restrictive Eating","type":"article-journal","volume":"9"},"uris":["http://www.mendeley.com/documents/?uuid=10392013-965d-4d0e-8b2d-827448621dee"]},{"id":"ITEM-2","itemData":{"DOI":"10.1038/npp.2016.269","ISSN":"0893-133X","PMID":"27922596","abstract":"Compulsive eating behavior is a transdiagnostic construct that is characteristic of medical and psychiatric conditions such as forms of obesity and eating disorders. Although feeding research is moving toward a better understanding of the proposed addictive properties of food, the components and the mechanisms contributing to compulsive eating are not yet clearly defined or understood. Current understanding highlights three elements of compulsive behavior as it applies to pathological overeating: (1) habitual overeating; (2) overeating to relieve a negative emotional state; and (3) overeating despite aversive consequences. These elements emerge through mechanisms involving pathological habit formation through an aberrant learning process, the emergence of a negative emotional state, and dysfunctions in behavioral control. Dysfunctions in systems within neurocircuitries that comprise the basal ganglia, the extended amygdala, and the prefrontal cortex result in compulsive eating behaviors. Here, we present evidence to relate compulsive eating behavior and addiction and to characterize their underlying neurobiological mechanisms. A major need to improve understanding of compulsive eating through the integration of complex motivational, emotional, and cognitive constructs is warranted.","author":[{"dropping-particle":"","family":"Moore","given":"Catherine F.","non-dropping-particle":"","parse-names":false,"suffix":""},{"dropping-particle":"","family":"Sabino","given":"Valentina","non-dropping-particle":"","parse-names":false,"suffix":""},{"dropping-particle":"","family":"Koob","given":"George F.","non-dropping-particle":"","parse-names":false,"suffix":""},{"dropping-particle":"","family":"Cottone","given":"Pietro","non-dropping-particle":"","parse-names":false,"suffix":""}],"container-title":"Neuropsychopharmacology","id":"ITEM-2","issue":"7","issued":{"date-parts":[["2017","6","6"]]},"page":"1375-1389","publisher":"Nature Publishing Group","title":"Pathological Overeating: Emerging Evidence for a Compulsivity Construct","type":"article-journal","volume":"42"},"uris":["http://www.mendeley.com/documents/?uuid=1e81dd4d-1e81-4554-b980-1871c5f06503"]},{"id":"ITEM-3","itemData":{"DOI":"10.1016/j.neubiorev.2016.01.013","ISSN":"18737528","PMID":"26850211","abstract":"Relatively little is known about the neuropathophysiology of binge-eating disorder (BED). Here, the evidence from neuroimaging, neurocognitive, genetics, and animal studies are reviewed to synthesize our current understanding of the pathophysiology of BED. Binge-eating disorder may be conceptualized as an impulsive/compulsive disorder, with altered reward sensitivity and food-related attentional biases. Neuroimaging studies suggest there are corticostriatal circuitry alterations in BED similar to those observed in substance abuse, including altered function of prefrontal, insular, and orbitofrontal cortices and the striatum. Human genetics and animal studies suggest that there are changes in neurotransmitter networks, including dopaminergic and opioidergic systems, associated with binge-eating behaviors. Overall, the current evidence suggests that BED may be related to maladaptation of the corticostriatal circuitry regulating motivation and impulse control similar to that found in other impulsive/compulsive disorders. Further studies are needed to understand the genetics of BED and how neurotransmitter activity and neurocircuitry function are altered in BED and how pharmacotherapies may influence these systems to reduce BED symptoms.","author":[{"dropping-particle":"","family":"Kessler","given":"Robert M.","non-dropping-particle":"","parse-names":false,"suffix":""},{"dropping-particle":"","family":"Hutson","given":"Peter H.","non-dropping-particle":"","parse-names":false,"suffix":""},{"dropping-particle":"","family":"Herman","given":"Barry K.","non-dropping-particle":"","parse-names":false,"suffix":""},{"dropping-particle":"","family":"Potenza","given":"Marc N.","non-dropping-particle":"","parse-names":false,"suffix":""}],"container-title":"Neuroscience and Biobehavioral Reviews","id":"ITEM-3","issued":{"date-parts":[["2016"]]},"page":"223-238","publisher":"Elsevier Ltd","title":"The neurobiological basis of binge-eating disorder","type":"article-journal","volume":"63"},"uris":["http://www.mendeley.com/documents/?uuid=8c37de10-a2ce-490e-a87c-fa6a5788b88b"]},{"id":"ITEM-4","itemData":{"DOI":"10.1017/S1092852915000681","ISSN":"10928529","PMID":"26594850","abstract":"Binge eating disorder (BED) is the most common of eating disorders and is characterized by excessive, out-of-control, rapid food intake. This review focuses on cognitive impairments in BED, which represent an endophenotype that mediates brain function and behavior. Here we focus on reviewing impulsivity, compulsivity, attentional biases to food cues, and executive function. Behavioral regulation in BED appears to be influenced by the context of motivationally salient food cues and the degree of obesity. Deficits in delay discounting and risk taking under ambiguity are impaired in obesity irrespective of BED status. However, in BED subjects with milder obesity, greater risk seeking under explicit probabilistic risk is observed to monetary rewards, whereas this shifts to risk aversion and enhanced delay discounting in more severe obesity. Relative to non-BED obese subjects, BED is characterized by enhanced behavioral inflexibility or compulsivity across multiple domains, with subjects selecting the same choices despite change in relevance (set shifting), being no longer rewarding (habit formation), or irrespective of outcome (perseveration). The context of food cues was associated with multiple attentional and early and late inhibitory impairments and enhanced memory bias, although BED patients also have generalized cognitive interference in working memory. These findings may help explain the phenotype of binge eating. Motivationally salient food cues provoke attentional and memory biases along with impairing response inhibitory processes. Those with BED are also more susceptible to cognitive interference and have impaired decisional impulsivity, with the tendency to inflexibly stick with the same choices irrespective of changes in context. These findings suggest critical cognitive domains that may guide therapeutic interventions.","author":[{"dropping-particle":"","family":"Voon","given":"Valerie","non-dropping-particle":"","parse-names":false,"suffix":""}],"container-title":"CNS Spectrums","id":"ITEM-4","issue":"6","issued":{"date-parts":[["2015"]]},"page":"566-573","title":"Cognitive biases in binge eating disorder: The hijacking of decision making","type":"article-journal","volume":"20"},"uris":["http://www.mendeley.com/documents/?uuid=685b4fe9-80cf-4d70-b14a-f02d3c1ebbf8"]}],"mendeley":{"formattedCitation":"&lt;sup&gt;25–28&lt;/sup&gt;","plainTextFormattedCitation":"25–28","previouslyFormattedCitation":"&lt;sup&gt;25–28&lt;/sup&gt;"},"properties":{"noteIndex":0},"schema":"https://github.com/citation-style-language/schema/raw/master/csl-citation.json"}</w:instrText>
      </w:r>
      <w:r w:rsidR="00EB5A1F">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25–28</w:t>
      </w:r>
      <w:r w:rsidR="00EB5A1F">
        <w:rPr>
          <w:rFonts w:ascii="Times New Roman" w:hAnsi="Times New Roman" w:cs="Times New Roman"/>
          <w:sz w:val="22"/>
          <w:szCs w:val="22"/>
        </w:rPr>
        <w:fldChar w:fldCharType="end"/>
      </w:r>
      <w:r w:rsidR="00EB5A1F">
        <w:rPr>
          <w:rFonts w:ascii="Times New Roman" w:hAnsi="Times New Roman" w:cs="Times New Roman"/>
          <w:sz w:val="22"/>
          <w:szCs w:val="22"/>
        </w:rPr>
        <w:t xml:space="preserve"> </w:t>
      </w:r>
      <w:r w:rsidR="005B2703">
        <w:rPr>
          <w:rFonts w:ascii="Times New Roman" w:hAnsi="Times New Roman" w:cs="Times New Roman"/>
          <w:sz w:val="22"/>
          <w:szCs w:val="22"/>
        </w:rPr>
        <w:t>Higher impulsivity and compulsivity may also be related to BED severity, as non-planning impulsivity has been found to correlate with binge eating frequency</w:t>
      </w:r>
      <w:r w:rsidR="005B2703">
        <w:rPr>
          <w:rFonts w:ascii="Times New Roman" w:hAnsi="Times New Roman" w:cs="Times New Roman"/>
          <w:sz w:val="22"/>
          <w:szCs w:val="22"/>
        </w:rPr>
        <w:fldChar w:fldCharType="begin" w:fldLock="1"/>
      </w:r>
      <w:r w:rsidR="00137FF6">
        <w:rPr>
          <w:rFonts w:ascii="Times New Roman" w:hAnsi="Times New Roman" w:cs="Times New Roman"/>
          <w:sz w:val="22"/>
          <w:szCs w:val="22"/>
        </w:rPr>
        <w:instrText>ADDIN CSL_CITATION {"citationItems":[{"id":"ITEM-1","itemData":{"DOI":"10.3389/fpsyg.2021.716010","abstract":"High trait impulsivity is thought to contribute to the sense of loss of control over eating and impulses to binge eat experienced by those with binge eating disorder (BED). Lisdexamfetamine dimesylate (LDX), a drug approved for treatment of moderate to severe BED, has been shown to decrease impulsive features of BED. However, the relationship between LDX-related reductions of binge eating (BE) episodes and impulsivity has not yet been explored. Forty-one adults aged 18–40years with moderate to severe BED completed questionnaires and tasks assessing impulsivity at baseline and after 8weeks of 50–70mg of LDX. Twenty age-matched healthy controls were also assessed at two timepoints for normative comparison. Data were analysed using linear mixed models. BED participants exhibited increased self-reported motor, non-planning, cognitive and food-related impulsivity relative to controls but no differences in objective task-based measures of impulsivity. Food-related and non-planning impulsivity was significantly reduced by LDX, but not to normative levels. Individuals with higher baseline levels of motor and non-planning impulsivity, and loss of control over eating scores experienced the greatest reduction in BE frequency after 8weeks of LDX. Further, there were significant associations between the degree to which subjective loss of control over eating, non-planning impulsivity and BE frequency reduced after 8weeks of LDX. These data suggest that specific subjective measures of impulsivity may be able to predict who will have the greatest benefit from LDX treatment and that reductions in BE frequency may be moderated by concurrent reductions in non-planning impulsivity.","author":[{"dropping-particle":"","family":"Griffiths","given":"Kristi R.","non-dropping-particle":"","parse-names":false,"suffix":""},{"dropping-particle":"","family":"Aparício","given":"Leonor","non-dropping-particle":"","parse-names":false,"suffix":""},{"dropping-particle":"","family":"Braund","given":"Taylor A.","non-dropping-particle":"","parse-names":false,"suffix":""},{"dropping-particle":"","family":"Yang","given":"Jenny","non-dropping-particle":"","parse-names":false,"suffix":""},{"dropping-particle":"","family":"Harvie","given":"Grace","non-dropping-particle":"","parse-names":false,"suffix":""},{"dropping-particle":"","family":"Harris","given":"Anthony","non-dropping-particle":"","parse-names":false,"suffix":""},{"dropping-particle":"","family":"Hay","given":"Phillipa J.","non-dropping-particle":"","parse-names":false,"suffix":""},{"dropping-particle":"","family":"Touyz","given":"Stephen","non-dropping-particle":"","parse-names":false,"suffix":""},{"dropping-particle":"","family":"Kohn","given":"Michael R.","non-dropping-particle":"","parse-names":false,"suffix":""}],"container-title":"Frontiers in Psychology","id":"ITEM-1","issue":"August","issued":{"date-parts":[["2021"]]},"title":"Impulsivity and Its Relationship With Lisdexamfetamine Dimesylate Treatment in Binge Eating Disorder","type":"article-journal","volume":"12"},"uris":["http://www.mendeley.com/documents/?uuid=23c2bc90-25fc-4795-920d-35263a79e37f"]}],"mendeley":{"formattedCitation":"&lt;sup&gt;29&lt;/sup&gt;","plainTextFormattedCitation":"29","previouslyFormattedCitation":"&lt;sup&gt;29&lt;/sup&gt;"},"properties":{"noteIndex":0},"schema":"https://github.com/citation-style-language/schema/raw/master/csl-citation.json"}</w:instrText>
      </w:r>
      <w:r w:rsidR="005B2703">
        <w:rPr>
          <w:rFonts w:ascii="Times New Roman" w:hAnsi="Times New Roman" w:cs="Times New Roman"/>
          <w:sz w:val="22"/>
          <w:szCs w:val="22"/>
        </w:rPr>
        <w:fldChar w:fldCharType="separate"/>
      </w:r>
      <w:r w:rsidR="005B2703" w:rsidRPr="005B2703">
        <w:rPr>
          <w:rFonts w:ascii="Times New Roman" w:hAnsi="Times New Roman" w:cs="Times New Roman"/>
          <w:noProof/>
          <w:sz w:val="22"/>
          <w:szCs w:val="22"/>
          <w:vertAlign w:val="superscript"/>
        </w:rPr>
        <w:t>29</w:t>
      </w:r>
      <w:r w:rsidR="005B2703">
        <w:rPr>
          <w:rFonts w:ascii="Times New Roman" w:hAnsi="Times New Roman" w:cs="Times New Roman"/>
          <w:sz w:val="22"/>
          <w:szCs w:val="22"/>
        </w:rPr>
        <w:fldChar w:fldCharType="end"/>
      </w:r>
      <w:r w:rsidR="000C5846">
        <w:rPr>
          <w:rFonts w:ascii="Times New Roman" w:hAnsi="Times New Roman" w:cs="Times New Roman"/>
          <w:sz w:val="22"/>
          <w:szCs w:val="22"/>
        </w:rPr>
        <w:t xml:space="preserve">, while </w:t>
      </w:r>
      <w:r w:rsidR="005B2703">
        <w:rPr>
          <w:rFonts w:ascii="Times New Roman" w:hAnsi="Times New Roman" w:cs="Times New Roman"/>
          <w:sz w:val="22"/>
          <w:szCs w:val="22"/>
        </w:rPr>
        <w:t>h</w:t>
      </w:r>
      <w:r w:rsidR="00FC3D50">
        <w:rPr>
          <w:rFonts w:ascii="Times New Roman" w:hAnsi="Times New Roman" w:cs="Times New Roman"/>
          <w:sz w:val="22"/>
          <w:szCs w:val="22"/>
        </w:rPr>
        <w:t>igher levels of obsessive</w:t>
      </w:r>
      <w:r w:rsidR="00BD6B79">
        <w:rPr>
          <w:rFonts w:ascii="Times New Roman" w:hAnsi="Times New Roman" w:cs="Times New Roman"/>
          <w:sz w:val="22"/>
          <w:szCs w:val="22"/>
        </w:rPr>
        <w:t>ness and compulsiveness of</w:t>
      </w:r>
      <w:r w:rsidR="00FC3D50">
        <w:rPr>
          <w:rFonts w:ascii="Times New Roman" w:hAnsi="Times New Roman" w:cs="Times New Roman"/>
          <w:sz w:val="22"/>
          <w:szCs w:val="22"/>
        </w:rPr>
        <w:t xml:space="preserve"> binge eating-related thoughts </w:t>
      </w:r>
      <w:r w:rsidR="00BD6B79">
        <w:rPr>
          <w:rFonts w:ascii="Times New Roman" w:hAnsi="Times New Roman" w:cs="Times New Roman"/>
          <w:sz w:val="22"/>
          <w:szCs w:val="22"/>
        </w:rPr>
        <w:t xml:space="preserve">and </w:t>
      </w:r>
      <w:r w:rsidR="00FC3D50">
        <w:rPr>
          <w:rFonts w:ascii="Times New Roman" w:hAnsi="Times New Roman" w:cs="Times New Roman"/>
          <w:sz w:val="22"/>
          <w:szCs w:val="22"/>
        </w:rPr>
        <w:t>behavio</w:t>
      </w:r>
      <w:r w:rsidR="00F7017C">
        <w:rPr>
          <w:rFonts w:ascii="Times New Roman" w:hAnsi="Times New Roman" w:cs="Times New Roman"/>
          <w:sz w:val="22"/>
          <w:szCs w:val="22"/>
        </w:rPr>
        <w:t>u</w:t>
      </w:r>
      <w:r w:rsidR="00FC3D50">
        <w:rPr>
          <w:rFonts w:ascii="Times New Roman" w:hAnsi="Times New Roman" w:cs="Times New Roman"/>
          <w:sz w:val="22"/>
          <w:szCs w:val="22"/>
        </w:rPr>
        <w:t>r</w:t>
      </w:r>
      <w:r w:rsidR="00BD6B79">
        <w:rPr>
          <w:rFonts w:ascii="Times New Roman" w:hAnsi="Times New Roman" w:cs="Times New Roman"/>
          <w:sz w:val="22"/>
          <w:szCs w:val="22"/>
        </w:rPr>
        <w:t>s</w:t>
      </w:r>
      <w:r w:rsidR="000C5846">
        <w:rPr>
          <w:rFonts w:ascii="Times New Roman" w:hAnsi="Times New Roman" w:cs="Times New Roman"/>
          <w:sz w:val="22"/>
          <w:szCs w:val="22"/>
        </w:rPr>
        <w:t>, as well as more frequent binge eating,</w:t>
      </w:r>
      <w:r w:rsidR="00FC3D50">
        <w:rPr>
          <w:rFonts w:ascii="Times New Roman" w:hAnsi="Times New Roman" w:cs="Times New Roman"/>
          <w:sz w:val="22"/>
          <w:szCs w:val="22"/>
        </w:rPr>
        <w:t xml:space="preserve"> correlate with </w:t>
      </w:r>
      <w:r w:rsidR="00FC3D50">
        <w:rPr>
          <w:rFonts w:ascii="Times New Roman" w:hAnsi="Times New Roman" w:cs="Times New Roman"/>
          <w:sz w:val="22"/>
          <w:szCs w:val="22"/>
        </w:rPr>
        <w:lastRenderedPageBreak/>
        <w:t xml:space="preserve">higher </w:t>
      </w:r>
      <w:r w:rsidR="005B2703">
        <w:rPr>
          <w:rFonts w:ascii="Times New Roman" w:hAnsi="Times New Roman" w:cs="Times New Roman"/>
          <w:sz w:val="22"/>
          <w:szCs w:val="22"/>
        </w:rPr>
        <w:t xml:space="preserve">scores on the global clinical </w:t>
      </w:r>
      <w:r w:rsidR="000C5846">
        <w:rPr>
          <w:rFonts w:ascii="Times New Roman" w:hAnsi="Times New Roman" w:cs="Times New Roman"/>
          <w:sz w:val="22"/>
          <w:szCs w:val="22"/>
        </w:rPr>
        <w:t>disease severity scale</w:t>
      </w:r>
      <w:r w:rsidR="000F5260">
        <w:rPr>
          <w:rFonts w:ascii="Times New Roman" w:hAnsi="Times New Roman" w:cs="Times New Roman"/>
          <w:sz w:val="22"/>
          <w:szCs w:val="22"/>
        </w:rPr>
        <w:t>.</w:t>
      </w:r>
      <w:r w:rsidR="00FC3D50">
        <w:rPr>
          <w:rFonts w:ascii="Times New Roman" w:hAnsi="Times New Roman" w:cs="Times New Roman"/>
          <w:sz w:val="22"/>
          <w:szCs w:val="22"/>
        </w:rPr>
        <w:fldChar w:fldCharType="begin" w:fldLock="1"/>
      </w:r>
      <w:r w:rsidR="00137FF6">
        <w:rPr>
          <w:rFonts w:ascii="Times New Roman" w:hAnsi="Times New Roman" w:cs="Times New Roman"/>
          <w:sz w:val="22"/>
          <w:szCs w:val="22"/>
        </w:rPr>
        <w:instrText>ADDIN CSL_CITATION {"citationItems":[{"id":"ITEM-1","itemData":{"DOI":"10.2147/NDT.S158395","ISSN":"11782021","abstract":"Objectives: In two Phase III studies, lisdexamfetamine dimesylate (LDX) reduced binge eating (BE) days/week in adults with moderate to severe binge eating disorder (BED) and was associated with improvement based on the Clinical Global Impressions–Improvement (CGI-I) scale. In this study, post hoc analyses examined the relationships between clinical observations and clinical rating scales in individuals with BED. Clinical trial registration: NCT01718483 (ClinicalTrials.gov/ct2/show/NCT01718483); NCT01718509 (ClinicalTrials.gov/ct2/show/NCT01718509). Methods: Two 12-week, double-blind, placebo-controlled studies randomized (1:1) adults meeting Diagnostic and Statistical Manual of Mental Disorders, Fourth Edition, Text Revision, BED criteria and with protocol-defined moderate to severe BED (study 1, N=383; study 2, N=390) to placebo or dose-optimized LDX (50 or 70 mg). Assessments included the number of BE days/week, CGI–Severity (CGI-S) and CGI-I scores, and Yale-Brown Obsessive Compulsive Scale modified for Binge Eating (Y-BOCS-BE) total scores. For these post hoc analyses, data were pooled across studies and treatment arms. Statistical assessments included Spearman correlations and equipercentile linking analyses (ELA). Reported P-values are nominal (descriptive and not adjusted for multiplicity). Results: At baseline, nominally significant correlations with CGI-S scores were reported for BE days/week (r=0.374; P&lt;0.0001) and Y-BOCS-BE total scores (r=0.319; P&lt;0.0001). Baseline ELA for CGI-S further characterized this relationship: a CGI-S score of 4 (moderately ill) corresponding to 3.504 BE days/week and a Y-BOCS-BE total score of 18.6. Nominally significant correlations with CGI-I scores were reported for changes from baseline at study endpoint for BE days/week (r=0.647; P&lt;0.0001) and Y-BOCS-BE total scores (r=0.741; P&lt;0.0001). ELA for CGI-I scores at study endpoint showed that a CGI-I score of 1 (very much improved) corresponds to a reduction from baseline of 4.504 BE days/week and 19.4 points for Y-BOCS-BE total score. Conclusion: These post hoc analyses suggest that indices of global disease severity and improvement positively correlate with BE behavior and with obsessive and compulsive features of BED, measured by the Y-BOCS-BE, supporting the clinical relevance of BED treatment outcomes.","author":[{"dropping-particle":"","family":"Citrome","given":"Leslie","non-dropping-particle":"","parse-names":false,"suffix":""},{"dropping-particle":"","family":"Kando","given":"Judith C.","non-dropping-particle":"","parse-names":false,"suffix":""},{"dropping-particle":"","family":"Bliss","given":"Caleb","non-dropping-particle":"","parse-names":false,"suffix":""}],"container-title":"Neuropsychiatric Disease and Treatment","id":"ITEM-1","issued":{"date-parts":[["2018"]]},"page":"537-546","title":"Relationships between clinical scales and binge eating days in adults with moderate to severe binge eating disorder in two phase III studies","type":"article-journal","volume":"14"},"uris":["http://www.mendeley.com/documents/?uuid=4d972b43-193a-4ee1-8235-9b36acb70614"]}],"mendeley":{"formattedCitation":"&lt;sup&gt;30&lt;/sup&gt;","plainTextFormattedCitation":"30","previouslyFormattedCitation":"&lt;sup&gt;30&lt;/sup&gt;"},"properties":{"noteIndex":0},"schema":"https://github.com/citation-style-language/schema/raw/master/csl-citation.json"}</w:instrText>
      </w:r>
      <w:r w:rsidR="00FC3D50">
        <w:rPr>
          <w:rFonts w:ascii="Times New Roman" w:hAnsi="Times New Roman" w:cs="Times New Roman"/>
          <w:sz w:val="22"/>
          <w:szCs w:val="22"/>
        </w:rPr>
        <w:fldChar w:fldCharType="separate"/>
      </w:r>
      <w:r w:rsidR="005B2703" w:rsidRPr="005B2703">
        <w:rPr>
          <w:rFonts w:ascii="Times New Roman" w:hAnsi="Times New Roman" w:cs="Times New Roman"/>
          <w:noProof/>
          <w:sz w:val="22"/>
          <w:szCs w:val="22"/>
          <w:vertAlign w:val="superscript"/>
        </w:rPr>
        <w:t>30</w:t>
      </w:r>
      <w:r w:rsidR="00FC3D50">
        <w:rPr>
          <w:rFonts w:ascii="Times New Roman" w:hAnsi="Times New Roman" w:cs="Times New Roman"/>
          <w:sz w:val="22"/>
          <w:szCs w:val="22"/>
        </w:rPr>
        <w:fldChar w:fldCharType="end"/>
      </w:r>
      <w:r w:rsidR="00FC3D50">
        <w:rPr>
          <w:rFonts w:ascii="Times New Roman" w:hAnsi="Times New Roman" w:cs="Times New Roman"/>
          <w:sz w:val="22"/>
          <w:szCs w:val="22"/>
        </w:rPr>
        <w:t xml:space="preserve"> </w:t>
      </w:r>
      <w:r w:rsidR="00EB5A1F">
        <w:rPr>
          <w:rFonts w:ascii="Times New Roman" w:hAnsi="Times New Roman" w:cs="Times New Roman"/>
          <w:sz w:val="22"/>
          <w:szCs w:val="22"/>
        </w:rPr>
        <w:t>It has not previously been possible to carry out trans-diagnostic measurement of trait compulsivity</w:t>
      </w:r>
      <w:r w:rsidR="00AA7FAA">
        <w:rPr>
          <w:rFonts w:ascii="Times New Roman" w:hAnsi="Times New Roman" w:cs="Times New Roman"/>
          <w:sz w:val="22"/>
          <w:szCs w:val="22"/>
        </w:rPr>
        <w:t xml:space="preserve"> in normative and clinical populations</w:t>
      </w:r>
      <w:r w:rsidR="00EB5A1F">
        <w:rPr>
          <w:rFonts w:ascii="Times New Roman" w:hAnsi="Times New Roman" w:cs="Times New Roman"/>
          <w:sz w:val="22"/>
          <w:szCs w:val="22"/>
        </w:rPr>
        <w:t xml:space="preserve"> due to lack of appropriate measures; however, reliable scales have recently been developed, allowing dimensional measurement of compulsivity in large sample sizes</w:t>
      </w:r>
      <w:r w:rsidR="006C7756">
        <w:rPr>
          <w:rFonts w:ascii="Times New Roman" w:hAnsi="Times New Roman" w:cs="Times New Roman"/>
          <w:sz w:val="22"/>
          <w:szCs w:val="22"/>
        </w:rPr>
        <w:t>.</w:t>
      </w:r>
      <w:r w:rsidR="00EB5A1F">
        <w:rPr>
          <w:rFonts w:ascii="Times New Roman" w:hAnsi="Times New Roman" w:cs="Times New Roman"/>
          <w:sz w:val="22"/>
          <w:szCs w:val="22"/>
        </w:rPr>
        <w:fldChar w:fldCharType="begin" w:fldLock="1"/>
      </w:r>
      <w:r w:rsidR="00137FF6">
        <w:rPr>
          <w:rFonts w:ascii="Times New Roman" w:hAnsi="Times New Roman" w:cs="Times New Roman"/>
          <w:sz w:val="22"/>
          <w:szCs w:val="22"/>
        </w:rPr>
        <w:instrText>ADDIN CSL_CITATION {"citationItems":[{"id":"ITEM-1","itemData":{"DOI":"10.1016/j.neubiorev.2020.10.007","ISSN":"18737528","PMID":"33115636","abstract":"Introduction: Impulsivity and compulsivity are important constructs, relevant to understanding behaviour in the general population, as well as in particular mental disorders (e.g. attention deficit hyperactivity disorder, obsessive-compulsive disorder). The current paper provides a narrative review of self-report impulsivity and compulsivity scales. Methods: A literature search was conducted using the following terms: (“impulsivity” OR “compulsivity”) AND (“self-report” OR “questionnaire” OR “psychometric” OR “scale”). Results: 25 impulsive and 11 compulsive scales were identified, which varied considerably in psychometric properties, convenience, and validity. For impulsivity, the most commonly used scales were the BIS and the UPPS-P, whilst for compulsivity, the Padua Inventory was commonly used. The majority of compulsivity scales measured OCD symptoms (obsessions and compulsions) rather than being trans-diagnostic or specific to compulsivity (as opposed to obsessions). Scales capable of overcoming these limitations were highlighted. Discussion: This review provides clarity regarding relative advantages and disadvantages of different scales relevant to the measurement of impulsivity and compulsivity in many contexts. Areas for further research and refinement are highlighted.","author":[{"dropping-particle":"","family":"Hook","given":"Roxanne W.","non-dropping-particle":"","parse-names":false,"suffix":""},{"dropping-particle":"","family":"Grant","given":"Jon E.","non-dropping-particle":"","parse-names":false,"suffix":""},{"dropping-particle":"","family":"Ioannidis","given":"Konstantinos","non-dropping-particle":"","parse-names":false,"suffix":""},{"dropping-particle":"","family":"Tiego","given":"Jeggan","non-dropping-particle":"","parse-names":false,"suffix":""},{"dropping-particle":"","family":"Yücel","given":"Murat","non-dropping-particle":"","parse-names":false,"suffix":""},{"dropping-particle":"","family":"Wilkinson","given":"Paul","non-dropping-particle":"","parse-names":false,"suffix":""},{"dropping-particle":"","family":"Chamberlain","given":"Samuel R.","non-dropping-particle":"","parse-names":false,"suffix":""}],"container-title":"Neuroscience and Biobehavioral Reviews","id":"ITEM-1","issued":{"date-parts":[["2021"]]},"page":"455-469","title":"Trans-diagnostic measurement of impulsivity and compulsivity: A review of self-report tools","type":"article-journal","volume":"120"},"uris":["http://www.mendeley.com/documents/?uuid=50b70b91-17f4-4961-8b0c-479bb83833f2"]}],"mendeley":{"formattedCitation":"&lt;sup&gt;31&lt;/sup&gt;","plainTextFormattedCitation":"31","previouslyFormattedCitation":"&lt;sup&gt;31&lt;/sup&gt;"},"properties":{"noteIndex":0},"schema":"https://github.com/citation-style-language/schema/raw/master/csl-citation.json"}</w:instrText>
      </w:r>
      <w:r w:rsidR="00EB5A1F">
        <w:rPr>
          <w:rFonts w:ascii="Times New Roman" w:hAnsi="Times New Roman" w:cs="Times New Roman"/>
          <w:sz w:val="22"/>
          <w:szCs w:val="22"/>
        </w:rPr>
        <w:fldChar w:fldCharType="separate"/>
      </w:r>
      <w:r w:rsidR="005B2703" w:rsidRPr="005B2703">
        <w:rPr>
          <w:rFonts w:ascii="Times New Roman" w:hAnsi="Times New Roman" w:cs="Times New Roman"/>
          <w:noProof/>
          <w:sz w:val="22"/>
          <w:szCs w:val="22"/>
          <w:vertAlign w:val="superscript"/>
        </w:rPr>
        <w:t>31</w:t>
      </w:r>
      <w:r w:rsidR="00EB5A1F">
        <w:rPr>
          <w:rFonts w:ascii="Times New Roman" w:hAnsi="Times New Roman" w:cs="Times New Roman"/>
          <w:sz w:val="22"/>
          <w:szCs w:val="22"/>
        </w:rPr>
        <w:fldChar w:fldCharType="end"/>
      </w:r>
    </w:p>
    <w:p w14:paraId="3B0621B8" w14:textId="22CA91CD" w:rsidR="00C80CF8" w:rsidRPr="00515B26" w:rsidRDefault="00C80CF8" w:rsidP="0058300D">
      <w:pPr>
        <w:spacing w:line="480" w:lineRule="auto"/>
        <w:rPr>
          <w:rFonts w:ascii="Times New Roman" w:hAnsi="Times New Roman" w:cs="Times New Roman"/>
          <w:sz w:val="22"/>
          <w:szCs w:val="22"/>
        </w:rPr>
      </w:pPr>
    </w:p>
    <w:p w14:paraId="4256120C" w14:textId="2269F181" w:rsidR="00526974" w:rsidRDefault="00526974" w:rsidP="003E307F">
      <w:pPr>
        <w:spacing w:line="480" w:lineRule="auto"/>
        <w:rPr>
          <w:rFonts w:ascii="Times New Roman" w:hAnsi="Times New Roman" w:cs="Times New Roman"/>
          <w:sz w:val="22"/>
          <w:szCs w:val="22"/>
        </w:rPr>
      </w:pPr>
      <w:r>
        <w:rPr>
          <w:rFonts w:ascii="Times New Roman" w:hAnsi="Times New Roman" w:cs="Times New Roman"/>
          <w:sz w:val="22"/>
          <w:szCs w:val="22"/>
        </w:rPr>
        <w:t xml:space="preserve">Although a number of studies have assessed BED in university students either alone or with a small number of comorbidities, there </w:t>
      </w:r>
      <w:r w:rsidR="001F7293">
        <w:rPr>
          <w:rFonts w:ascii="Times New Roman" w:hAnsi="Times New Roman" w:cs="Times New Roman"/>
          <w:sz w:val="22"/>
          <w:szCs w:val="22"/>
        </w:rPr>
        <w:t>are less</w:t>
      </w:r>
      <w:r>
        <w:rPr>
          <w:rFonts w:ascii="Times New Roman" w:hAnsi="Times New Roman" w:cs="Times New Roman"/>
          <w:sz w:val="22"/>
          <w:szCs w:val="22"/>
        </w:rPr>
        <w:t xml:space="preserve"> data </w:t>
      </w:r>
      <w:r w:rsidR="001F7293">
        <w:rPr>
          <w:rFonts w:ascii="Times New Roman" w:hAnsi="Times New Roman" w:cs="Times New Roman"/>
          <w:sz w:val="22"/>
          <w:szCs w:val="22"/>
        </w:rPr>
        <w:t>regarding</w:t>
      </w:r>
      <w:r>
        <w:rPr>
          <w:rFonts w:ascii="Times New Roman" w:hAnsi="Times New Roman" w:cs="Times New Roman"/>
          <w:sz w:val="22"/>
          <w:szCs w:val="22"/>
        </w:rPr>
        <w:t xml:space="preserve"> associations of BED with a wider range of comorbidities in this population</w:t>
      </w:r>
      <w:r w:rsidR="006C7756">
        <w:rPr>
          <w:rFonts w:ascii="Times New Roman" w:hAnsi="Times New Roman" w:cs="Times New Roman"/>
          <w:sz w:val="22"/>
          <w:szCs w:val="22"/>
        </w:rPr>
        <w:t>.</w:t>
      </w:r>
      <w:r>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{"citationItems":[{"id":"ITEM-1","itemData":{"DOI":"10.1002/eat.23211","ISSN":"1098108X","PMID":"31868255","abstract":"Background: Binge eating and purging behaviors (BPB) are common among college students, but evidence is scant on prevalence and associations of BPB with mental health problems and objective academic performance. This study aims to investigate: (a) 12-month prevalence of BPB among college first-year students, (b) comorbidity patterns of BPB with various mental health problems, and (c) the association of BPB with objective academic functioning. Methods: Using data from the Leuven College Surveys (Belgium), as part of the World Mental Health Surveys International College Student initiative, we cross-sectionally assessed 12-month BPB and mental health problems among college first-year students (n = 4,889; response rate = 73.2%) at the beginning of the academic year. Objective measures of academic functioning (final grades, expressed in academic year percentage “AYP” [0–100%] and academic failure) were obtained from administrative records at the end of the academic year. Results: Twelve-month prevalence of BPB was 7.6% (7.3%binge eating and 1.0%purging), with higher rates among females than males. Bivariate models showed an association between BPB and numerous mental health problems (ORs = 3.4–18.4). Multivariate models showed associations with non-suicidal self-injury, post-traumatic stress, internalizing/externalizing problems and suicidal ideation. After controlling for sociodemographic characteristics and comorbid mental health problems, BPB were still associated with lower AYP (−4.1 to −11.2% range) and elevated odds of academic year failure (ORs = 1.4–4.2). Conclusions: BPB (especially binge eating) are relatively common and associated with mental health problems, comparatively low academic performance, and higher risk of academic failure among college first-year students. Further study is needed to examine the causal dynamics underlying these associations.","author":[{"dropping-particle":"","family":"Serra","given":"Riccardo","non-dropping-particle":"","parse-names":false,"suffix":""},{"dropping-particle":"","family":"Kiekens","given":"Glenn","non-dropping-particle":"","parse-names":false,"suffix":""},{"dropping-particle":"","family":"Vanderlinden","given":"Johan","non-dropping-particle":"","parse-names":false,"suffix":""},{"dropping-particle":"","family":"Vrieze","given":"Elske","non-dropping-particle":"","parse-names":false,"suffix":""},{"dropping-particle":"","family":"Auerbach","given":"Randy P.","non-dropping-particle":"","parse-names":false,"suffix":""},{"dropping-particle":"","family":"Benjet","given":"Corina","non-dropping-particle":"","parse-names":false,"suffix":""},{"dropping-particle":"","family":"Claes","given":"Laurence","non-dropping-particle":"","parse-names":false,"suffix":""},{"dropping-particle":"","family":"Cuijpers","given":"Pim","non-dropping-particle":"","parse-names":false,"suffix":""},{"dropping-particle":"","family":"Demyttenaere","given":"Koen","non-dropping-particle":"","parse-names":false,"suffix":""},{"dropping-particle":"","family":"Ebert","given":"David D.","non-dropping-particle":"","parse-names":false,"suffix":""},{"dropping-particle":"","family":"Tarsitani","given":"Lorenzo","non-dropping-particle":"","parse-names":false,"suffix":""},{"dropping-particle":"","family":"Green","given":"Jennifer Greif","non-dropping-particle":"","parse-names":false,"suffix":""},{"dropping-particle":"","family":"Kessler","given":"Ronald C.","non-dropping-particle":"","parse-names":false,"suffix":""},{"dropping-particle":"","family":"Nock","given":"Matthew K.","non-dropping-particle":"","parse-names":false,"suffix":""},{"dropping-particle":"","family":"Mortier","given":"Phillippe","non-dropping-particle":"","parse-names":false,"suffix":""},{"dropping-particle":"","family":"Bruffaerts","given":"Ronny","non-dropping-particle":"","parse-names":false,"suffix":""}],"container-title":"International Journal of Eating Disorders","id":"ITEM-1","issue":"3","issued":{"date-parts":[["2020"]]},"page":"339-348","title":"Binge eating and purging in first-year college students: Prevalence, psychiatric comorbidity, and academic performance","type":"article-journal","volume":"53"},"uris":["http://www.mendeley.com/documents/?uuid=0d9927cc-60f5-45c8-8d44-c6cfc3ca2888"]}],"mendeley":{"formattedCitation":"&lt;sup&gt;21&lt;/sup&gt;","plainTextFormattedCitation":"21","previouslyFormattedCitation":"&lt;sup&gt;21&lt;/sup&gt;"},"properties":{"noteIndex":0},"schema":"https://github.com/citation-style-language/schema/raw/master/csl-citation.json"}</w:instrText>
      </w:r>
      <w:r>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21</w:t>
      </w:r>
      <w:r>
        <w:rPr>
          <w:rFonts w:ascii="Times New Roman" w:hAnsi="Times New Roman" w:cs="Times New Roman"/>
          <w:sz w:val="22"/>
          <w:szCs w:val="22"/>
        </w:rPr>
        <w:fldChar w:fldCharType="end"/>
      </w:r>
      <w:r>
        <w:rPr>
          <w:rFonts w:ascii="Times New Roman" w:hAnsi="Times New Roman" w:cs="Times New Roman"/>
          <w:sz w:val="22"/>
          <w:szCs w:val="22"/>
        </w:rPr>
        <w:t xml:space="preserve"> In addition, although compulsivity is thought to be a core feature </w:t>
      </w:r>
      <w:r w:rsidR="001F7293">
        <w:rPr>
          <w:rFonts w:ascii="Times New Roman" w:hAnsi="Times New Roman" w:cs="Times New Roman"/>
          <w:sz w:val="22"/>
          <w:szCs w:val="22"/>
        </w:rPr>
        <w:t xml:space="preserve">implicated in </w:t>
      </w:r>
      <w:r>
        <w:rPr>
          <w:rFonts w:ascii="Times New Roman" w:hAnsi="Times New Roman" w:cs="Times New Roman"/>
          <w:sz w:val="22"/>
          <w:szCs w:val="22"/>
        </w:rPr>
        <w:t>BED, it has not often been measured</w:t>
      </w:r>
      <w:r w:rsidR="001F7293">
        <w:rPr>
          <w:rFonts w:ascii="Times New Roman" w:hAnsi="Times New Roman" w:cs="Times New Roman"/>
          <w:sz w:val="22"/>
          <w:szCs w:val="22"/>
        </w:rPr>
        <w:t xml:space="preserve"> in such student studies</w:t>
      </w:r>
      <w:r>
        <w:rPr>
          <w:rFonts w:ascii="Times New Roman" w:hAnsi="Times New Roman" w:cs="Times New Roman"/>
          <w:sz w:val="22"/>
          <w:szCs w:val="22"/>
        </w:rPr>
        <w:t>. Therefore, this study aimed to examine the prevalence of BED in a large sample of university students, its demographic and clinical associations, and relationships to measures of trait impulsivity and compulsivity.</w:t>
      </w:r>
    </w:p>
    <w:p w14:paraId="7D700AFC" w14:textId="77777777" w:rsidR="00745082" w:rsidRPr="00515B26" w:rsidRDefault="00745082" w:rsidP="0058300D">
      <w:pPr>
        <w:spacing w:line="480" w:lineRule="auto"/>
        <w:rPr>
          <w:rFonts w:ascii="Times New Roman" w:hAnsi="Times New Roman" w:cs="Times New Roman"/>
          <w:b/>
          <w:bCs/>
          <w:sz w:val="22"/>
          <w:szCs w:val="22"/>
        </w:rPr>
      </w:pPr>
    </w:p>
    <w:p w14:paraId="1CBB399E" w14:textId="123103EB" w:rsidR="0005695C" w:rsidRPr="00515B26" w:rsidRDefault="0058300D" w:rsidP="0058300D">
      <w:pPr>
        <w:spacing w:line="480" w:lineRule="auto"/>
        <w:rPr>
          <w:rFonts w:ascii="Times New Roman" w:hAnsi="Times New Roman" w:cs="Times New Roman"/>
          <w:b/>
          <w:bCs/>
          <w:sz w:val="22"/>
          <w:szCs w:val="22"/>
        </w:rPr>
      </w:pPr>
      <w:r w:rsidRPr="00515B26">
        <w:rPr>
          <w:rFonts w:ascii="Times New Roman" w:hAnsi="Times New Roman" w:cs="Times New Roman"/>
          <w:b/>
          <w:bCs/>
          <w:sz w:val="22"/>
          <w:szCs w:val="22"/>
        </w:rPr>
        <w:t>Methods</w:t>
      </w:r>
    </w:p>
    <w:p w14:paraId="436DB0CE" w14:textId="46E3BA46" w:rsidR="0058300D" w:rsidRPr="00515B26" w:rsidRDefault="0058300D" w:rsidP="0058300D">
      <w:pPr>
        <w:spacing w:line="480" w:lineRule="auto"/>
        <w:rPr>
          <w:rFonts w:ascii="Times New Roman" w:hAnsi="Times New Roman" w:cs="Times New Roman"/>
          <w:sz w:val="22"/>
          <w:szCs w:val="22"/>
        </w:rPr>
      </w:pPr>
      <w:r w:rsidRPr="00515B26">
        <w:rPr>
          <w:rFonts w:ascii="Times New Roman" w:hAnsi="Times New Roman" w:cs="Times New Roman"/>
          <w:sz w:val="22"/>
          <w:szCs w:val="22"/>
        </w:rPr>
        <w:t xml:space="preserve">The Internet-based survey was </w:t>
      </w:r>
      <w:r w:rsidR="00890E98">
        <w:rPr>
          <w:rFonts w:ascii="Times New Roman" w:hAnsi="Times New Roman" w:cs="Times New Roman"/>
          <w:sz w:val="22"/>
          <w:szCs w:val="22"/>
        </w:rPr>
        <w:t>conducted at</w:t>
      </w:r>
      <w:r w:rsidRPr="00515B26">
        <w:rPr>
          <w:rFonts w:ascii="Times New Roman" w:hAnsi="Times New Roman" w:cs="Times New Roman"/>
          <w:sz w:val="22"/>
          <w:szCs w:val="22"/>
        </w:rPr>
        <w:t xml:space="preserve"> Boynton Health Services at the University of Minnesota</w:t>
      </w:r>
      <w:r w:rsidR="00890E98">
        <w:rPr>
          <w:rFonts w:ascii="Times New Roman" w:hAnsi="Times New Roman" w:cs="Times New Roman"/>
          <w:sz w:val="22"/>
          <w:szCs w:val="22"/>
        </w:rPr>
        <w:t>, USA</w:t>
      </w:r>
      <w:r w:rsidRPr="00515B26">
        <w:rPr>
          <w:rFonts w:ascii="Times New Roman" w:hAnsi="Times New Roman" w:cs="Times New Roman"/>
          <w:sz w:val="22"/>
          <w:szCs w:val="22"/>
        </w:rPr>
        <w:t xml:space="preserve">. </w:t>
      </w:r>
      <w:r w:rsidR="00684B91" w:rsidRPr="00515B26">
        <w:rPr>
          <w:rFonts w:ascii="Times New Roman" w:hAnsi="Times New Roman" w:cs="Times New Roman"/>
          <w:sz w:val="22"/>
          <w:szCs w:val="22"/>
        </w:rPr>
        <w:t>Study procedures were conducted in accordance with the Declaration of Helsinki. The study was approved by the University of Minnesota’s Institutional Review Board.</w:t>
      </w:r>
    </w:p>
    <w:p w14:paraId="434225BC" w14:textId="6CAEC038" w:rsidR="00684B91" w:rsidRPr="00515B26" w:rsidRDefault="00684B91" w:rsidP="0058300D">
      <w:pPr>
        <w:spacing w:line="480" w:lineRule="auto"/>
        <w:rPr>
          <w:rFonts w:ascii="Times New Roman" w:hAnsi="Times New Roman" w:cs="Times New Roman"/>
          <w:sz w:val="22"/>
          <w:szCs w:val="22"/>
        </w:rPr>
      </w:pPr>
    </w:p>
    <w:p w14:paraId="0711053B" w14:textId="74591063" w:rsidR="00684B91" w:rsidRPr="00515B26" w:rsidRDefault="00684B91" w:rsidP="0058300D">
      <w:pPr>
        <w:spacing w:line="480" w:lineRule="auto"/>
        <w:rPr>
          <w:rFonts w:ascii="Times New Roman" w:hAnsi="Times New Roman" w:cs="Times New Roman"/>
          <w:b/>
          <w:bCs/>
          <w:i/>
          <w:iCs/>
          <w:sz w:val="22"/>
          <w:szCs w:val="22"/>
        </w:rPr>
      </w:pPr>
      <w:r w:rsidRPr="00515B26">
        <w:rPr>
          <w:rFonts w:ascii="Times New Roman" w:hAnsi="Times New Roman" w:cs="Times New Roman"/>
          <w:b/>
          <w:bCs/>
          <w:i/>
          <w:iCs/>
          <w:sz w:val="22"/>
          <w:szCs w:val="22"/>
        </w:rPr>
        <w:t>Participants</w:t>
      </w:r>
    </w:p>
    <w:p w14:paraId="17D694DD" w14:textId="363BB4CF" w:rsidR="00684B91" w:rsidRPr="00515B26" w:rsidRDefault="002964FB" w:rsidP="0058300D">
      <w:pPr>
        <w:spacing w:line="480" w:lineRule="auto"/>
        <w:rPr>
          <w:rFonts w:ascii="Times New Roman" w:hAnsi="Times New Roman" w:cs="Times New Roman"/>
          <w:sz w:val="22"/>
          <w:szCs w:val="22"/>
        </w:rPr>
      </w:pPr>
      <w:r>
        <w:rPr>
          <w:rFonts w:ascii="Times New Roman" w:hAnsi="Times New Roman" w:cs="Times New Roman"/>
          <w:sz w:val="22"/>
          <w:szCs w:val="22"/>
        </w:rPr>
        <w:t xml:space="preserve">Email invitations were sent to </w:t>
      </w:r>
      <w:r w:rsidR="00684B91" w:rsidRPr="00515B26">
        <w:rPr>
          <w:rFonts w:ascii="Times New Roman" w:hAnsi="Times New Roman" w:cs="Times New Roman"/>
          <w:sz w:val="22"/>
          <w:szCs w:val="22"/>
        </w:rPr>
        <w:t xml:space="preserve">10,000 </w:t>
      </w:r>
      <w:r w:rsidR="007F79C6" w:rsidRPr="00515B26">
        <w:rPr>
          <w:rFonts w:ascii="Times New Roman" w:hAnsi="Times New Roman" w:cs="Times New Roman"/>
          <w:sz w:val="22"/>
          <w:szCs w:val="22"/>
        </w:rPr>
        <w:t xml:space="preserve">randomly selected </w:t>
      </w:r>
      <w:r w:rsidR="00684B91" w:rsidRPr="00515B26">
        <w:rPr>
          <w:rFonts w:ascii="Times New Roman" w:hAnsi="Times New Roman" w:cs="Times New Roman"/>
          <w:sz w:val="22"/>
          <w:szCs w:val="22"/>
        </w:rPr>
        <w:t>students</w:t>
      </w:r>
      <w:r>
        <w:rPr>
          <w:rFonts w:ascii="Times New Roman" w:hAnsi="Times New Roman" w:cs="Times New Roman"/>
          <w:sz w:val="22"/>
          <w:szCs w:val="22"/>
        </w:rPr>
        <w:t>, from a total of approximately 60,000 students,</w:t>
      </w:r>
      <w:r w:rsidR="00684B91" w:rsidRPr="00515B26">
        <w:rPr>
          <w:rFonts w:ascii="Times New Roman" w:hAnsi="Times New Roman" w:cs="Times New Roman"/>
          <w:sz w:val="22"/>
          <w:szCs w:val="22"/>
        </w:rPr>
        <w:t xml:space="preserve"> at a large Midwestern university</w:t>
      </w:r>
      <w:r>
        <w:rPr>
          <w:rFonts w:ascii="Times New Roman" w:hAnsi="Times New Roman" w:cs="Times New Roman"/>
          <w:sz w:val="22"/>
          <w:szCs w:val="22"/>
        </w:rPr>
        <w:t xml:space="preserve"> over three weeks in fall 2016. 9449 were successfully received</w:t>
      </w:r>
      <w:r w:rsidR="00684B91" w:rsidRPr="00515B26">
        <w:rPr>
          <w:rFonts w:ascii="Times New Roman" w:hAnsi="Times New Roman" w:cs="Times New Roman"/>
          <w:sz w:val="22"/>
          <w:szCs w:val="22"/>
        </w:rPr>
        <w:t xml:space="preserve">. </w:t>
      </w:r>
      <w:r w:rsidR="00A918B9">
        <w:rPr>
          <w:rFonts w:ascii="Times New Roman" w:hAnsi="Times New Roman" w:cs="Times New Roman"/>
          <w:sz w:val="22"/>
          <w:szCs w:val="22"/>
        </w:rPr>
        <w:t xml:space="preserve">On responding to the email, </w:t>
      </w:r>
      <w:r>
        <w:rPr>
          <w:rFonts w:ascii="Times New Roman" w:hAnsi="Times New Roman" w:cs="Times New Roman"/>
          <w:sz w:val="22"/>
          <w:szCs w:val="22"/>
        </w:rPr>
        <w:t>students</w:t>
      </w:r>
      <w:r w:rsidRPr="00515B26">
        <w:rPr>
          <w:rFonts w:ascii="Times New Roman" w:hAnsi="Times New Roman" w:cs="Times New Roman"/>
          <w:sz w:val="22"/>
          <w:szCs w:val="22"/>
        </w:rPr>
        <w:t xml:space="preserve"> </w:t>
      </w:r>
      <w:r w:rsidR="00684B91" w:rsidRPr="00515B26">
        <w:rPr>
          <w:rFonts w:ascii="Times New Roman" w:hAnsi="Times New Roman" w:cs="Times New Roman"/>
          <w:sz w:val="22"/>
          <w:szCs w:val="22"/>
        </w:rPr>
        <w:t xml:space="preserve">were informed </w:t>
      </w:r>
      <w:r w:rsidR="009756BF" w:rsidRPr="00515B26">
        <w:rPr>
          <w:rFonts w:ascii="Times New Roman" w:hAnsi="Times New Roman" w:cs="Times New Roman"/>
          <w:sz w:val="22"/>
          <w:szCs w:val="22"/>
        </w:rPr>
        <w:t xml:space="preserve">via an online interface </w:t>
      </w:r>
      <w:r w:rsidR="00684B91" w:rsidRPr="00515B26">
        <w:rPr>
          <w:rFonts w:ascii="Times New Roman" w:hAnsi="Times New Roman" w:cs="Times New Roman"/>
          <w:sz w:val="22"/>
          <w:szCs w:val="22"/>
        </w:rPr>
        <w:t xml:space="preserve">that </w:t>
      </w:r>
      <w:r w:rsidR="007F79C6" w:rsidRPr="00515B26">
        <w:rPr>
          <w:rFonts w:ascii="Times New Roman" w:hAnsi="Times New Roman" w:cs="Times New Roman"/>
          <w:sz w:val="22"/>
          <w:szCs w:val="22"/>
        </w:rPr>
        <w:t>participation was confidential</w:t>
      </w:r>
      <w:r w:rsidR="003477F2" w:rsidRPr="00515B26">
        <w:rPr>
          <w:rFonts w:ascii="Times New Roman" w:hAnsi="Times New Roman" w:cs="Times New Roman"/>
          <w:sz w:val="22"/>
          <w:szCs w:val="22"/>
        </w:rPr>
        <w:t xml:space="preserve">, </w:t>
      </w:r>
      <w:r w:rsidR="00684B91" w:rsidRPr="00515B26">
        <w:rPr>
          <w:rFonts w:ascii="Times New Roman" w:hAnsi="Times New Roman" w:cs="Times New Roman"/>
          <w:sz w:val="22"/>
          <w:szCs w:val="22"/>
        </w:rPr>
        <w:t>those completing the survey would be entered into a prize draw</w:t>
      </w:r>
      <w:r w:rsidR="003477F2" w:rsidRPr="00515B26">
        <w:rPr>
          <w:rFonts w:ascii="Times New Roman" w:hAnsi="Times New Roman" w:cs="Times New Roman"/>
          <w:sz w:val="22"/>
          <w:szCs w:val="22"/>
        </w:rPr>
        <w:t xml:space="preserve"> and </w:t>
      </w:r>
      <w:r w:rsidR="00684B91" w:rsidRPr="00515B26">
        <w:rPr>
          <w:rFonts w:ascii="Times New Roman" w:hAnsi="Times New Roman" w:cs="Times New Roman"/>
          <w:sz w:val="22"/>
          <w:szCs w:val="22"/>
        </w:rPr>
        <w:t>10 participants would be randomly selected to receive prizes</w:t>
      </w:r>
      <w:r w:rsidR="0049130B">
        <w:rPr>
          <w:rFonts w:ascii="Times New Roman" w:hAnsi="Times New Roman" w:cs="Times New Roman"/>
          <w:sz w:val="22"/>
          <w:szCs w:val="22"/>
        </w:rPr>
        <w:t xml:space="preserve"> </w:t>
      </w:r>
      <w:r w:rsidR="0049130B" w:rsidRPr="00985AD6">
        <w:rPr>
          <w:rFonts w:ascii="Times New Roman" w:hAnsi="Times New Roman" w:cs="Times New Roman"/>
          <w:sz w:val="22"/>
          <w:szCs w:val="22"/>
          <w:lang w:val="en-US"/>
        </w:rPr>
        <w:t>(3 would receive tablet computers, 4 would receive $250 gift certificates, 2 would receive $500 gift certificates and 1 would receive a $1000 gift certificate). They were assured that contact details for the prize draw would be stored separately from their survey responses to ensure confidentiality. The survey was presented following provision of consent.</w:t>
      </w:r>
      <w:r w:rsidR="00E56550">
        <w:rPr>
          <w:rFonts w:ascii="Times New Roman" w:hAnsi="Times New Roman" w:cs="Times New Roman"/>
          <w:sz w:val="22"/>
          <w:szCs w:val="22"/>
          <w:lang w:val="en-US"/>
        </w:rPr>
        <w:t xml:space="preserve"> Students were required to review</w:t>
      </w:r>
      <w:r w:rsidR="00EF59CE">
        <w:rPr>
          <w:rFonts w:ascii="Times New Roman" w:hAnsi="Times New Roman" w:cs="Times New Roman"/>
          <w:sz w:val="22"/>
          <w:szCs w:val="22"/>
          <w:lang w:val="en-US"/>
        </w:rPr>
        <w:t xml:space="preserve">, but not to answer, all questions to be eligible for the prize </w:t>
      </w:r>
      <w:r w:rsidR="00EF59CE">
        <w:rPr>
          <w:rFonts w:ascii="Times New Roman" w:hAnsi="Times New Roman" w:cs="Times New Roman"/>
          <w:sz w:val="22"/>
          <w:szCs w:val="22"/>
          <w:lang w:val="en-US"/>
        </w:rPr>
        <w:lastRenderedPageBreak/>
        <w:t xml:space="preserve">draw. </w:t>
      </w:r>
      <w:r w:rsidR="00E56550">
        <w:rPr>
          <w:rFonts w:ascii="Times New Roman" w:hAnsi="Times New Roman" w:cs="Times New Roman"/>
          <w:sz w:val="22"/>
          <w:szCs w:val="22"/>
          <w:lang w:val="en-US"/>
        </w:rPr>
        <w:t>3659 students completed the survey.</w:t>
      </w:r>
      <w:r w:rsidR="004A4D02">
        <w:rPr>
          <w:rFonts w:ascii="Times New Roman" w:hAnsi="Times New Roman" w:cs="Times New Roman"/>
          <w:sz w:val="22"/>
          <w:szCs w:val="22"/>
          <w:lang w:val="en-US"/>
        </w:rPr>
        <w:t xml:space="preserve"> After one week, a reminder email was sent to selected students.</w:t>
      </w:r>
    </w:p>
    <w:p w14:paraId="4CE782E8" w14:textId="4211DF49" w:rsidR="0005695C" w:rsidRPr="00515B26" w:rsidRDefault="0005695C" w:rsidP="0058300D">
      <w:pPr>
        <w:spacing w:line="480" w:lineRule="auto"/>
        <w:rPr>
          <w:rFonts w:ascii="Times New Roman" w:hAnsi="Times New Roman" w:cs="Times New Roman"/>
          <w:sz w:val="22"/>
          <w:szCs w:val="22"/>
        </w:rPr>
      </w:pPr>
    </w:p>
    <w:p w14:paraId="42AFC3EB" w14:textId="2C530902" w:rsidR="0005695C" w:rsidRPr="00515B26" w:rsidRDefault="0005695C" w:rsidP="0058300D">
      <w:pPr>
        <w:spacing w:line="480" w:lineRule="auto"/>
        <w:rPr>
          <w:rFonts w:ascii="Times New Roman" w:hAnsi="Times New Roman" w:cs="Times New Roman"/>
          <w:b/>
          <w:bCs/>
          <w:i/>
          <w:iCs/>
          <w:sz w:val="22"/>
          <w:szCs w:val="22"/>
        </w:rPr>
      </w:pPr>
      <w:r w:rsidRPr="00515B26">
        <w:rPr>
          <w:rFonts w:ascii="Times New Roman" w:hAnsi="Times New Roman" w:cs="Times New Roman"/>
          <w:b/>
          <w:bCs/>
          <w:i/>
          <w:iCs/>
          <w:sz w:val="22"/>
          <w:szCs w:val="22"/>
        </w:rPr>
        <w:t>Survey overview</w:t>
      </w:r>
    </w:p>
    <w:p w14:paraId="088D5B89" w14:textId="2B943C39" w:rsidR="0005695C" w:rsidRPr="00515B26" w:rsidRDefault="0005695C" w:rsidP="0058300D">
      <w:pPr>
        <w:spacing w:line="480" w:lineRule="auto"/>
        <w:rPr>
          <w:rFonts w:ascii="Times New Roman" w:hAnsi="Times New Roman" w:cs="Times New Roman"/>
          <w:sz w:val="22"/>
          <w:szCs w:val="22"/>
        </w:rPr>
      </w:pPr>
      <w:r w:rsidRPr="00515B26">
        <w:rPr>
          <w:rFonts w:ascii="Times New Roman" w:hAnsi="Times New Roman" w:cs="Times New Roman"/>
          <w:sz w:val="22"/>
          <w:szCs w:val="22"/>
        </w:rPr>
        <w:t xml:space="preserve">The survey took </w:t>
      </w:r>
      <w:r w:rsidR="006C7756" w:rsidRPr="00515B26">
        <w:rPr>
          <w:rFonts w:ascii="Times New Roman" w:hAnsi="Times New Roman" w:cs="Times New Roman"/>
          <w:sz w:val="22"/>
          <w:szCs w:val="22"/>
        </w:rPr>
        <w:t>a</w:t>
      </w:r>
      <w:r w:rsidR="006C7756">
        <w:rPr>
          <w:rFonts w:ascii="Times New Roman" w:hAnsi="Times New Roman" w:cs="Times New Roman"/>
          <w:sz w:val="22"/>
          <w:szCs w:val="22"/>
        </w:rPr>
        <w:t>pproximately</w:t>
      </w:r>
      <w:r w:rsidRPr="00515B26">
        <w:rPr>
          <w:rFonts w:ascii="Times New Roman" w:hAnsi="Times New Roman" w:cs="Times New Roman"/>
          <w:sz w:val="22"/>
          <w:szCs w:val="22"/>
        </w:rPr>
        <w:t xml:space="preserve"> 30 minutes</w:t>
      </w:r>
      <w:r w:rsidR="000E36D0">
        <w:rPr>
          <w:rFonts w:ascii="Times New Roman" w:hAnsi="Times New Roman" w:cs="Times New Roman"/>
          <w:sz w:val="22"/>
          <w:szCs w:val="22"/>
        </w:rPr>
        <w:t xml:space="preserve"> to complete</w:t>
      </w:r>
      <w:r w:rsidRPr="00515B26">
        <w:rPr>
          <w:rFonts w:ascii="Times New Roman" w:hAnsi="Times New Roman" w:cs="Times New Roman"/>
          <w:sz w:val="22"/>
          <w:szCs w:val="22"/>
        </w:rPr>
        <w:t xml:space="preserve">. </w:t>
      </w:r>
      <w:r w:rsidR="00B96492" w:rsidRPr="00515B26">
        <w:rPr>
          <w:rFonts w:ascii="Times New Roman" w:hAnsi="Times New Roman" w:cs="Times New Roman"/>
          <w:sz w:val="22"/>
          <w:szCs w:val="22"/>
        </w:rPr>
        <w:t>BED was assessed using the</w:t>
      </w:r>
      <w:r w:rsidR="00120E02">
        <w:rPr>
          <w:rFonts w:ascii="Times New Roman" w:hAnsi="Times New Roman" w:cs="Times New Roman"/>
          <w:sz w:val="22"/>
          <w:szCs w:val="22"/>
        </w:rPr>
        <w:t xml:space="preserve"> self-report</w:t>
      </w:r>
      <w:r w:rsidR="00B96492" w:rsidRPr="00515B26">
        <w:rPr>
          <w:rFonts w:ascii="Times New Roman" w:hAnsi="Times New Roman" w:cs="Times New Roman"/>
          <w:sz w:val="22"/>
          <w:szCs w:val="22"/>
        </w:rPr>
        <w:t xml:space="preserve"> Minnesota Impulse Control Disorders interview (MIDI</w:t>
      </w:r>
      <w:r w:rsidR="00B96492" w:rsidRPr="002968CC">
        <w:rPr>
          <w:rFonts w:ascii="Times New Roman" w:hAnsi="Times New Roman" w:cs="Times New Roman"/>
          <w:sz w:val="22"/>
          <w:szCs w:val="22"/>
        </w:rPr>
        <w:t>)</w:t>
      </w:r>
      <w:r w:rsidR="0049130B" w:rsidRPr="002968CC">
        <w:rPr>
          <w:rFonts w:ascii="Times New Roman" w:hAnsi="Times New Roman" w:cs="Times New Roman"/>
          <w:sz w:val="22"/>
          <w:szCs w:val="22"/>
          <w:lang w:val="en-US"/>
        </w:rPr>
        <w:t xml:space="preserve"> in which subjects first responded to a general question about the disorder. If they responded yes, further questions were asked based on diagnostic criteria and positive responses to all questions indicated presence of BED</w:t>
      </w:r>
      <w:r w:rsidR="006C7756">
        <w:rPr>
          <w:rFonts w:ascii="Times New Roman" w:hAnsi="Times New Roman" w:cs="Times New Roman"/>
          <w:sz w:val="22"/>
          <w:szCs w:val="22"/>
          <w:lang w:val="en-US"/>
        </w:rPr>
        <w:t>.</w:t>
      </w:r>
      <w:r w:rsidR="000668CE">
        <w:rPr>
          <w:rFonts w:ascii="Times New Roman" w:hAnsi="Times New Roman" w:cs="Times New Roman"/>
          <w:sz w:val="22"/>
          <w:szCs w:val="22"/>
          <w:lang w:val="en-US"/>
        </w:rPr>
        <w:t xml:space="preserve"> </w:t>
      </w:r>
      <w:r w:rsidR="00B014A5">
        <w:rPr>
          <w:rFonts w:ascii="Times New Roman" w:hAnsi="Times New Roman" w:cs="Times New Roman"/>
          <w:sz w:val="22"/>
          <w:szCs w:val="22"/>
          <w:lang w:val="en-US"/>
        </w:rPr>
        <w:t>Although, the MIDI criteria for BED have not been examined against other measures, the questions mirror the DSM-% criteria and thus it has good face validity. Furthermore, t</w:t>
      </w:r>
      <w:r w:rsidR="000668CE">
        <w:rPr>
          <w:rFonts w:ascii="Times New Roman" w:hAnsi="Times New Roman" w:cs="Times New Roman"/>
          <w:sz w:val="22"/>
          <w:szCs w:val="22"/>
          <w:lang w:val="en-US"/>
        </w:rPr>
        <w:t>he MIDI shows high test-retest reliability, good concurrent validity against a gambling disorder interview and trait impulsivity scales and good divergent validity</w:t>
      </w:r>
      <w:r w:rsidR="00062EAE">
        <w:rPr>
          <w:rFonts w:ascii="Times New Roman" w:hAnsi="Times New Roman" w:cs="Times New Roman"/>
          <w:sz w:val="22"/>
          <w:szCs w:val="22"/>
          <w:lang w:val="en-US"/>
        </w:rPr>
        <w:t>.</w:t>
      </w:r>
      <w:r w:rsidR="005E0802" w:rsidRPr="002968CC">
        <w:rPr>
          <w:rFonts w:ascii="Times New Roman" w:hAnsi="Times New Roman" w:cs="Times New Roman"/>
          <w:sz w:val="22"/>
          <w:szCs w:val="22"/>
        </w:rPr>
        <w:fldChar w:fldCharType="begin" w:fldLock="1"/>
      </w:r>
      <w:r w:rsidR="00137FF6">
        <w:rPr>
          <w:rFonts w:ascii="Times New Roman" w:hAnsi="Times New Roman" w:cs="Times New Roman"/>
          <w:sz w:val="22"/>
          <w:szCs w:val="22"/>
        </w:rPr>
        <w:instrText>ADDIN CSL_CITATION {"citationItems":[{"id":"ITEM-1","itemData":{"DOI":"10.1016/j.psychres.2018.05.006","ISSN":"18727123","PMID":"29772488","abstract":"Background: Disorders of impulsivity are common, functionally impairing, and highly relevant across different clinical and research settings. Few structured clinical interviews for the identification and diagnosis of impulse control disorders exist, and none have been validated in a community sample in terms of psychometric properties. Methods: The Minnesota Impulse control disorders Interview (MIDI v2.0) was administered to an enriched sample of 293 non-treatment seeking adults aged 18–35 years, recruited using media advertisements in two large US cities. In addition to the MIDI, participants undertook extended clinical interview for other mental disorders, the Barratt impulsiveness questionnaire, and the Padua obsessive-compulsive inventory. The psychometric properties of the MIDI were characterized. Results: In logistic regression, the MIDI showed good concurrent validity against the reference measures (versus gambling disorder interview, p &lt; 0.001; Barratt impulsiveness attentional and non-planning scores p &lt; 0.05), and good discriminant validity versus primarily non-impulsive symptoms, including against anxiety, depression, and obsessive-compulsive symptoms (all p &gt; 0.05). Test re-test reliability was excellent (0.95). Conclusions: The MIDI has good psychometric properties and thus may be a valuable interview tool for clinical and research studies involving impulse control disorders. Further research is needed to better understanding the optimal diagnostic classification and neurobiology of these neglected disorders.","author":[{"dropping-particle":"","family":"Chamberlain","given":"Samuel R.","non-dropping-particle":"","parse-names":false,"suffix":""},{"dropping-particle":"","family":"Grant","given":"Jon E.","non-dropping-particle":"","parse-names":false,"suffix":""}],"container-title":"Psychiatry Research","id":"ITEM-1","issue":"May","issued":{"date-parts":[["2018"]]},"page":"279-283","publisher":"Elsevier Ireland Ltd","title":"Minnesota Impulse Disorders Interview (MIDI): Validation of a structured diagnostic clinical interview for impulse control disorders in an enriched community sample","type":"article-journal","volume":"265"},"uris":["http://www.mendeley.com/documents/?uuid=0d8e0433-28cc-4e79-b6ba-0636368a5bc6"]}],"mendeley":{"formattedCitation":"&lt;sup&gt;32&lt;/sup&gt;","plainTextFormattedCitation":"32","previouslyFormattedCitation":"&lt;sup&gt;32&lt;/sup&gt;"},"properties":{"noteIndex":0},"schema":"https://github.com/citation-style-language/schema/raw/master/csl-citation.json"}</w:instrText>
      </w:r>
      <w:r w:rsidR="005E0802" w:rsidRPr="002968CC">
        <w:rPr>
          <w:rFonts w:ascii="Times New Roman" w:hAnsi="Times New Roman" w:cs="Times New Roman"/>
          <w:sz w:val="22"/>
          <w:szCs w:val="22"/>
        </w:rPr>
        <w:fldChar w:fldCharType="separate"/>
      </w:r>
      <w:r w:rsidR="005B2703" w:rsidRPr="005B2703">
        <w:rPr>
          <w:rFonts w:ascii="Times New Roman" w:hAnsi="Times New Roman" w:cs="Times New Roman"/>
          <w:noProof/>
          <w:sz w:val="22"/>
          <w:szCs w:val="22"/>
          <w:vertAlign w:val="superscript"/>
        </w:rPr>
        <w:t>32</w:t>
      </w:r>
      <w:r w:rsidR="005E0802" w:rsidRPr="002968CC">
        <w:rPr>
          <w:rFonts w:ascii="Times New Roman" w:hAnsi="Times New Roman" w:cs="Times New Roman"/>
          <w:sz w:val="22"/>
          <w:szCs w:val="22"/>
        </w:rPr>
        <w:fldChar w:fldCharType="end"/>
      </w:r>
      <w:r w:rsidR="00CE434B" w:rsidRPr="00515B26">
        <w:rPr>
          <w:rFonts w:ascii="Times New Roman" w:hAnsi="Times New Roman" w:cs="Times New Roman"/>
          <w:sz w:val="22"/>
          <w:szCs w:val="22"/>
        </w:rPr>
        <w:t xml:space="preserve"> Participants were classified into two groups: students </w:t>
      </w:r>
      <w:r w:rsidR="00136FFE">
        <w:rPr>
          <w:rFonts w:ascii="Times New Roman" w:hAnsi="Times New Roman" w:cs="Times New Roman"/>
          <w:sz w:val="22"/>
          <w:szCs w:val="22"/>
        </w:rPr>
        <w:t xml:space="preserve">meeting criteria for </w:t>
      </w:r>
      <w:r w:rsidR="00CE434B" w:rsidRPr="00515B26">
        <w:rPr>
          <w:rFonts w:ascii="Times New Roman" w:hAnsi="Times New Roman" w:cs="Times New Roman"/>
          <w:sz w:val="22"/>
          <w:szCs w:val="22"/>
        </w:rPr>
        <w:t>current BED and students without BED</w:t>
      </w:r>
      <w:r w:rsidR="00136FFE">
        <w:rPr>
          <w:rFonts w:ascii="Times New Roman" w:hAnsi="Times New Roman" w:cs="Times New Roman"/>
          <w:sz w:val="22"/>
          <w:szCs w:val="22"/>
        </w:rPr>
        <w:t>, based on the MIDI</w:t>
      </w:r>
      <w:r w:rsidR="00CE434B" w:rsidRPr="00515B26">
        <w:rPr>
          <w:rFonts w:ascii="Times New Roman" w:hAnsi="Times New Roman" w:cs="Times New Roman"/>
          <w:sz w:val="22"/>
          <w:szCs w:val="22"/>
        </w:rPr>
        <w:t xml:space="preserve">. </w:t>
      </w:r>
      <w:r w:rsidR="00136FFE">
        <w:rPr>
          <w:rFonts w:ascii="Times New Roman" w:hAnsi="Times New Roman" w:cs="Times New Roman"/>
          <w:sz w:val="22"/>
          <w:szCs w:val="22"/>
        </w:rPr>
        <w:t>As outlined in further detail below, t</w:t>
      </w:r>
      <w:r w:rsidR="00CE434B" w:rsidRPr="00515B26">
        <w:rPr>
          <w:rFonts w:ascii="Times New Roman" w:hAnsi="Times New Roman" w:cs="Times New Roman"/>
          <w:sz w:val="22"/>
          <w:szCs w:val="22"/>
        </w:rPr>
        <w:t>he survey collected</w:t>
      </w:r>
      <w:r w:rsidR="00136FFE">
        <w:rPr>
          <w:rFonts w:ascii="Times New Roman" w:hAnsi="Times New Roman" w:cs="Times New Roman"/>
          <w:sz w:val="22"/>
          <w:szCs w:val="22"/>
        </w:rPr>
        <w:t xml:space="preserve"> contextual</w:t>
      </w:r>
      <w:r w:rsidR="00CE434B" w:rsidRPr="00515B26">
        <w:rPr>
          <w:rFonts w:ascii="Times New Roman" w:hAnsi="Times New Roman" w:cs="Times New Roman"/>
          <w:sz w:val="22"/>
          <w:szCs w:val="22"/>
        </w:rPr>
        <w:t xml:space="preserve"> information about demographics, substance use</w:t>
      </w:r>
      <w:r w:rsidR="00057AB9" w:rsidRPr="00515B26">
        <w:rPr>
          <w:rFonts w:ascii="Times New Roman" w:hAnsi="Times New Roman" w:cs="Times New Roman"/>
          <w:sz w:val="22"/>
          <w:szCs w:val="22"/>
        </w:rPr>
        <w:t xml:space="preserve"> and </w:t>
      </w:r>
      <w:r w:rsidR="00A34926" w:rsidRPr="00515B26">
        <w:rPr>
          <w:rFonts w:ascii="Times New Roman" w:hAnsi="Times New Roman" w:cs="Times New Roman"/>
          <w:sz w:val="22"/>
          <w:szCs w:val="22"/>
        </w:rPr>
        <w:t>impulsive behaviours/</w:t>
      </w:r>
      <w:r w:rsidR="00CE434B" w:rsidRPr="00515B26">
        <w:rPr>
          <w:rFonts w:ascii="Times New Roman" w:hAnsi="Times New Roman" w:cs="Times New Roman"/>
          <w:sz w:val="22"/>
          <w:szCs w:val="22"/>
        </w:rPr>
        <w:t>psychiatric history</w:t>
      </w:r>
      <w:r w:rsidR="00057AB9" w:rsidRPr="00515B26">
        <w:rPr>
          <w:rFonts w:ascii="Times New Roman" w:hAnsi="Times New Roman" w:cs="Times New Roman"/>
          <w:sz w:val="22"/>
          <w:szCs w:val="22"/>
        </w:rPr>
        <w:t>, and</w:t>
      </w:r>
      <w:r w:rsidR="00D1002A" w:rsidRPr="00515B26">
        <w:rPr>
          <w:rFonts w:ascii="Times New Roman" w:hAnsi="Times New Roman" w:cs="Times New Roman"/>
          <w:sz w:val="22"/>
          <w:szCs w:val="22"/>
        </w:rPr>
        <w:t xml:space="preserve"> assessed</w:t>
      </w:r>
      <w:r w:rsidR="00CE434B" w:rsidRPr="00515B26">
        <w:rPr>
          <w:rFonts w:ascii="Times New Roman" w:hAnsi="Times New Roman" w:cs="Times New Roman"/>
          <w:sz w:val="22"/>
          <w:szCs w:val="22"/>
        </w:rPr>
        <w:t xml:space="preserve"> measures of impulsivity and compulsivity.</w:t>
      </w:r>
    </w:p>
    <w:p w14:paraId="7B506EA1" w14:textId="35EAC830" w:rsidR="00FD4E89" w:rsidRPr="00515B26" w:rsidRDefault="00FD4E89" w:rsidP="0058300D">
      <w:pPr>
        <w:spacing w:line="480" w:lineRule="auto"/>
        <w:rPr>
          <w:rFonts w:ascii="Times New Roman" w:hAnsi="Times New Roman" w:cs="Times New Roman"/>
          <w:sz w:val="22"/>
          <w:szCs w:val="22"/>
        </w:rPr>
      </w:pPr>
    </w:p>
    <w:p w14:paraId="0B0EA352" w14:textId="2B45F706" w:rsidR="00A34926" w:rsidRPr="00515B26" w:rsidRDefault="00A34926" w:rsidP="0058300D">
      <w:pPr>
        <w:spacing w:line="480" w:lineRule="auto"/>
        <w:rPr>
          <w:rFonts w:ascii="Times New Roman" w:hAnsi="Times New Roman" w:cs="Times New Roman"/>
          <w:b/>
          <w:bCs/>
          <w:i/>
          <w:iCs/>
          <w:sz w:val="22"/>
          <w:szCs w:val="22"/>
        </w:rPr>
      </w:pPr>
      <w:r w:rsidRPr="00515B26">
        <w:rPr>
          <w:rFonts w:ascii="Times New Roman" w:hAnsi="Times New Roman" w:cs="Times New Roman"/>
          <w:b/>
          <w:bCs/>
          <w:i/>
          <w:iCs/>
          <w:sz w:val="22"/>
          <w:szCs w:val="22"/>
        </w:rPr>
        <w:t>Demographics</w:t>
      </w:r>
    </w:p>
    <w:p w14:paraId="3622691D" w14:textId="4D76C265" w:rsidR="00A34926" w:rsidRPr="00515B26" w:rsidRDefault="00A34926" w:rsidP="0058300D">
      <w:pPr>
        <w:spacing w:line="480" w:lineRule="auto"/>
        <w:rPr>
          <w:rFonts w:ascii="Times New Roman" w:hAnsi="Times New Roman" w:cs="Times New Roman"/>
          <w:sz w:val="22"/>
          <w:szCs w:val="22"/>
        </w:rPr>
      </w:pPr>
      <w:r w:rsidRPr="00515B26">
        <w:rPr>
          <w:rFonts w:ascii="Times New Roman" w:hAnsi="Times New Roman" w:cs="Times New Roman"/>
          <w:sz w:val="22"/>
          <w:szCs w:val="22"/>
        </w:rPr>
        <w:t xml:space="preserve">Demographic information collected included </w:t>
      </w:r>
      <w:r w:rsidR="00A9339A" w:rsidRPr="00515B26">
        <w:rPr>
          <w:rFonts w:ascii="Times New Roman" w:hAnsi="Times New Roman" w:cs="Times New Roman"/>
          <w:sz w:val="22"/>
          <w:szCs w:val="22"/>
        </w:rPr>
        <w:t>gender</w:t>
      </w:r>
      <w:r w:rsidRPr="00515B26">
        <w:rPr>
          <w:rFonts w:ascii="Times New Roman" w:hAnsi="Times New Roman" w:cs="Times New Roman"/>
          <w:sz w:val="22"/>
          <w:szCs w:val="22"/>
        </w:rPr>
        <w:t xml:space="preserve">, year in college (undergraduate or graduate), race/ethnicity and Grade Point Average (GPA) (&lt;3.00 or </w:t>
      </w:r>
      <w:r w:rsidR="00C941D2">
        <w:rPr>
          <w:rFonts w:ascii="Times New Roman" w:hAnsi="Times New Roman" w:cs="Times New Roman"/>
          <w:sz w:val="22"/>
          <w:szCs w:val="22"/>
        </w:rPr>
        <w:t>≥</w:t>
      </w:r>
      <w:r w:rsidRPr="00515B26">
        <w:rPr>
          <w:rFonts w:ascii="Times New Roman" w:eastAsiaTheme="minorEastAsia" w:hAnsi="Times New Roman" w:cs="Times New Roman"/>
          <w:sz w:val="22"/>
          <w:szCs w:val="22"/>
        </w:rPr>
        <w:t>3.00).</w:t>
      </w:r>
    </w:p>
    <w:p w14:paraId="73C9A6A5" w14:textId="77777777" w:rsidR="00A34926" w:rsidRPr="00515B26" w:rsidRDefault="00A34926" w:rsidP="0058300D">
      <w:pPr>
        <w:spacing w:line="480" w:lineRule="auto"/>
        <w:rPr>
          <w:rFonts w:ascii="Times New Roman" w:hAnsi="Times New Roman" w:cs="Times New Roman"/>
          <w:b/>
          <w:bCs/>
          <w:i/>
          <w:iCs/>
          <w:sz w:val="22"/>
          <w:szCs w:val="22"/>
        </w:rPr>
      </w:pPr>
    </w:p>
    <w:p w14:paraId="36060FDF" w14:textId="756360ED" w:rsidR="00FD4E89" w:rsidRPr="00515B26" w:rsidRDefault="00FD4E89" w:rsidP="0058300D">
      <w:pPr>
        <w:spacing w:line="480" w:lineRule="auto"/>
        <w:rPr>
          <w:rFonts w:ascii="Times New Roman" w:hAnsi="Times New Roman" w:cs="Times New Roman"/>
          <w:b/>
          <w:bCs/>
          <w:i/>
          <w:iCs/>
          <w:sz w:val="22"/>
          <w:szCs w:val="22"/>
        </w:rPr>
      </w:pPr>
      <w:r w:rsidRPr="00515B26">
        <w:rPr>
          <w:rFonts w:ascii="Times New Roman" w:hAnsi="Times New Roman" w:cs="Times New Roman"/>
          <w:b/>
          <w:bCs/>
          <w:i/>
          <w:iCs/>
          <w:sz w:val="22"/>
          <w:szCs w:val="22"/>
        </w:rPr>
        <w:t>Substance use</w:t>
      </w:r>
    </w:p>
    <w:p w14:paraId="008A541F" w14:textId="65C7D502" w:rsidR="00FD4E89" w:rsidRPr="00515B26" w:rsidRDefault="00657D66" w:rsidP="0058300D">
      <w:pPr>
        <w:spacing w:line="480" w:lineRule="auto"/>
        <w:rPr>
          <w:rFonts w:ascii="Times New Roman" w:eastAsiaTheme="minorEastAsia" w:hAnsi="Times New Roman" w:cs="Times New Roman"/>
          <w:sz w:val="22"/>
          <w:szCs w:val="22"/>
        </w:rPr>
      </w:pPr>
      <w:r w:rsidRPr="00515B26">
        <w:rPr>
          <w:rFonts w:ascii="Times New Roman" w:hAnsi="Times New Roman" w:cs="Times New Roman"/>
          <w:sz w:val="22"/>
          <w:szCs w:val="22"/>
        </w:rPr>
        <w:t>Participants were asked about</w:t>
      </w:r>
      <w:r w:rsidR="00910431" w:rsidRPr="00515B26">
        <w:rPr>
          <w:rFonts w:ascii="Times New Roman" w:hAnsi="Times New Roman" w:cs="Times New Roman"/>
          <w:sz w:val="22"/>
          <w:szCs w:val="22"/>
        </w:rPr>
        <w:t xml:space="preserve"> </w:t>
      </w:r>
      <w:r w:rsidRPr="00515B26">
        <w:rPr>
          <w:rFonts w:ascii="Times New Roman" w:hAnsi="Times New Roman" w:cs="Times New Roman"/>
          <w:sz w:val="22"/>
          <w:szCs w:val="22"/>
        </w:rPr>
        <w:t>frequency of e-cigarette use and alcohol consumption</w:t>
      </w:r>
      <w:r w:rsidR="00401DD3" w:rsidRPr="00515B26">
        <w:rPr>
          <w:rFonts w:ascii="Times New Roman" w:hAnsi="Times New Roman" w:cs="Times New Roman"/>
          <w:sz w:val="22"/>
          <w:szCs w:val="22"/>
        </w:rPr>
        <w:t>, and age at first use of cigarettes/nicotine</w:t>
      </w:r>
      <w:r w:rsidRPr="00515B26">
        <w:rPr>
          <w:rFonts w:ascii="Times New Roman" w:hAnsi="Times New Roman" w:cs="Times New Roman"/>
          <w:sz w:val="22"/>
          <w:szCs w:val="22"/>
        </w:rPr>
        <w:t>. They were asked if they had used any of the following and the frequency: non-prescription amphetamines, cocaine, opiates, inhalants, sedatives, marijuana, or prescription pain medication. Participants completed the Alcohol Use Disorders Identification Test (</w:t>
      </w:r>
      <w:r w:rsidR="005E0802" w:rsidRPr="00515B26">
        <w:rPr>
          <w:rFonts w:ascii="Times New Roman" w:hAnsi="Times New Roman" w:cs="Times New Roman"/>
          <w:sz w:val="22"/>
          <w:szCs w:val="22"/>
        </w:rPr>
        <w:t>AUDIT)</w:t>
      </w:r>
      <w:r w:rsidR="0049130B" w:rsidRPr="0049130B">
        <w:rPr>
          <w:rFonts w:ascii="Times New Roman" w:hAnsi="Times New Roman" w:cs="Times New Roman"/>
          <w:sz w:val="22"/>
          <w:szCs w:val="22"/>
          <w:lang w:val="en-US"/>
        </w:rPr>
        <w:t xml:space="preserve"> </w:t>
      </w:r>
      <w:r w:rsidR="0049130B" w:rsidRPr="00985AD6">
        <w:rPr>
          <w:rFonts w:ascii="Times New Roman" w:hAnsi="Times New Roman" w:cs="Times New Roman"/>
          <w:sz w:val="22"/>
          <w:szCs w:val="22"/>
          <w:lang w:val="en-US"/>
        </w:rPr>
        <w:t xml:space="preserve">(with a score </w:t>
      </w:r>
      <w:r w:rsidR="009B06D5">
        <w:rPr>
          <w:rFonts w:ascii="Times New Roman" w:hAnsi="Times New Roman" w:cs="Times New Roman"/>
          <w:sz w:val="22"/>
          <w:szCs w:val="22"/>
          <w:lang w:val="en-US"/>
        </w:rPr>
        <w:t>≥</w:t>
      </w:r>
      <w:r w:rsidR="0049130B" w:rsidRPr="00985AD6">
        <w:rPr>
          <w:rFonts w:ascii="Times New Roman" w:eastAsiaTheme="minorEastAsia" w:hAnsi="Times New Roman" w:cs="Times New Roman"/>
          <w:sz w:val="22"/>
          <w:szCs w:val="22"/>
          <w:lang w:val="en-US"/>
        </w:rPr>
        <w:t>8 indicating potentially hazardous or harmful alcohol use</w:t>
      </w:r>
      <w:r w:rsidR="0049130B">
        <w:rPr>
          <w:rFonts w:ascii="Times New Roman" w:eastAsiaTheme="minorEastAsia" w:hAnsi="Times New Roman" w:cs="Times New Roman"/>
          <w:sz w:val="22"/>
          <w:szCs w:val="22"/>
          <w:lang w:val="en-US"/>
        </w:rPr>
        <w:t>)</w:t>
      </w:r>
      <w:r w:rsidR="00C45011" w:rsidRPr="00515B2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{"citationItems":[{"id":"ITEM-1","itemData":{"DOI":"10.1111/j.1360-0443.1993.tb02093.x","ISSN":"09652140","PMID":"8329970","abstract":"The Alcohol Use Disorders Identification Test (A UDIT) has been developed from a six‐country WHO collaborative project as a screening instrument for hazardous and harmful alcohol consumption. It is a 10‐item questionnaire which covers the domains of alcohol consumption, drinking behaviour, and alcohol‐related problems. Questions were selected from a 150‐item assessment schedule (which was administered to 1888 persons attending representative primary health care facilities) on the basis of their representativeness for these conceptual domains and their perceived usefulness for intervention. Responses to each question are scored from 0 to 4, giving a maximum possible score of 40. Among those diagnosed as having hazardous or harmful alcohol use, 92% had an AUDIT score of 8 or more, and 94% of those with non‐hazardous consumption had a score of less than 8. AUDIT provides a simple method of early detection of hazardous and harmful alcohol use in primary health care settings and is the first instrument of its type to be derived on the basis of a cross‐national study. Copyright © 1993, Wiley Blackwell. All rights reserved","author":[{"dropping-particle":"","family":"Saunders","given":"John B.","non-dropping-particle":"","parse-names":false,"suffix":""},{"dropping-particle":"","family":"Aasland","given":"Olaf G.","non-dropping-particle":"","parse-names":false,"suffix":""},{"dropping-particle":"","family":"Babor","given":"Thomas F.","non-dropping-particle":"","parse-names":false,"suffix":""},{"dropping-particle":"","family":"la Fuente","given":"Juan R.","non-dropping-particle":"de","parse-names":false,"suffix":""},{"dropping-particle":"","family":"Grant","given":"Marcus","non-dropping-particle":"","parse-names":false,"suffix":""}],"container-title":"Addiction","id":"ITEM-1","issue":"6","issued":{"date-parts":[["1993","6"]]},"page":"791-804","title":"Development of the Alcohol Use Disorders Identification Test (AUDIT): WHO Collaborative Project on Early Detection of Persons with Harmful Alcohol Consumption-II","type":"article-journal","volume":"88"},"uris":["http://www.mendeley.com/documents/?uuid=50554ed3-df76-4991-8a12-288f9ff90849"]}],"mendeley":{"formattedCitation":"&lt;sup&gt;33&lt;/sup&gt;","plainTextFormattedCitation":"33","previouslyFormattedCitation":"&lt;sup&gt;33&lt;/sup&gt;"},"properties":{"noteIndex":0},"schema":"https://github.com/citation-style-language/schema/raw/master/csl-citation.json"}</w:instrText>
      </w:r>
      <w:r w:rsidR="00C45011" w:rsidRPr="00515B26">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33</w:t>
      </w:r>
      <w:r w:rsidR="00C45011" w:rsidRPr="00515B26">
        <w:rPr>
          <w:rFonts w:ascii="Times New Roman" w:eastAsiaTheme="minorEastAsia" w:hAnsi="Times New Roman" w:cs="Times New Roman"/>
          <w:sz w:val="22"/>
          <w:szCs w:val="22"/>
        </w:rPr>
        <w:fldChar w:fldCharType="end"/>
      </w:r>
      <w:r w:rsidR="00F43878" w:rsidRPr="00515B26">
        <w:rPr>
          <w:rFonts w:ascii="Times New Roman" w:eastAsiaTheme="minorEastAsia" w:hAnsi="Times New Roman" w:cs="Times New Roman"/>
          <w:sz w:val="22"/>
          <w:szCs w:val="22"/>
        </w:rPr>
        <w:t xml:space="preserve"> </w:t>
      </w:r>
      <w:r w:rsidR="005E0802" w:rsidRPr="00515B26">
        <w:rPr>
          <w:rFonts w:ascii="Times New Roman" w:eastAsiaTheme="minorEastAsia" w:hAnsi="Times New Roman" w:cs="Times New Roman"/>
          <w:sz w:val="22"/>
          <w:szCs w:val="22"/>
        </w:rPr>
        <w:t>and the Drug Abuse Screening Test (DAST-10)</w:t>
      </w:r>
      <w:r w:rsidR="0049130B">
        <w:rPr>
          <w:rFonts w:ascii="Times New Roman" w:eastAsiaTheme="minorEastAsia" w:hAnsi="Times New Roman" w:cs="Times New Roman"/>
          <w:sz w:val="22"/>
          <w:szCs w:val="22"/>
        </w:rPr>
        <w:t xml:space="preserve"> (</w:t>
      </w:r>
      <w:r w:rsidR="0049130B" w:rsidRPr="00985AD6">
        <w:rPr>
          <w:rFonts w:ascii="Times New Roman" w:eastAsiaTheme="minorEastAsia" w:hAnsi="Times New Roman" w:cs="Times New Roman"/>
          <w:sz w:val="22"/>
          <w:szCs w:val="22"/>
          <w:lang w:val="en-US"/>
        </w:rPr>
        <w:t>with a score of 3 indicating a positive screen for a drug use disorder</w:t>
      </w:r>
      <w:r w:rsidR="0049130B">
        <w:rPr>
          <w:rFonts w:ascii="Times New Roman" w:eastAsiaTheme="minorEastAsia" w:hAnsi="Times New Roman" w:cs="Times New Roman"/>
          <w:sz w:val="22"/>
          <w:szCs w:val="22"/>
          <w:lang w:val="en-US"/>
        </w:rPr>
        <w:t>)</w:t>
      </w:r>
      <w:r w:rsidR="006C7756">
        <w:rPr>
          <w:rFonts w:ascii="Times New Roman" w:eastAsiaTheme="minorEastAsia" w:hAnsi="Times New Roman" w:cs="Times New Roman"/>
          <w:sz w:val="22"/>
          <w:szCs w:val="22"/>
          <w:lang w:val="en-US"/>
        </w:rPr>
        <w:t>.</w:t>
      </w:r>
      <w:r w:rsidR="00C45011" w:rsidRPr="00515B2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{"citationItems":[{"id":"ITEM-1","itemData":{"DOI":"10.1016/0306-4603(82)90005-3","ISSN":"03064603","author":[{"dropping-particle":"","family":"Skinner","given":"Harvey A","non-dropping-particle":"","parse-names":false,"suffix":""}],"container-title":"Addictive Behaviors","id":"ITEM-1","issue":"4","issued":{"date-parts":[["1982","1"]]},"page":"363-371","title":"The drug abuse screening test","type":"article-journal","volume":"7"},"uris":["http://www.mendeley.com/documents/?uuid=5cfc3434-2100-47bb-bff6-be4a37afeddc"]},{"id":"ITEM-2","itemData":{"DOI":"10.1016/j.jsat.2006.08.002","ISSN":"07405472","PMID":"17306727","abstract":"This article reviews the reliability and the validity of the (10-, 20-, and 28-item) Drug Abuse Screening Test (DAST). The reliability and the validity of the adolescent version of the DAST are also reviewed. An extensive literature review was conducted using the Medline and Psychinfo databases from the years 1982 to 2005. All articles that addressed the reliability and the validity of the DAST were examined. Publications in which the DAST was used as a screening tool but had no data on its psychometric properties were not included. Descriptive information about each version of the test, as well as discussion of the empirical literature that has explored measures of the reliability and the validity of the DAST, has been included. The DAST tended to have moderate to high levels of test-retest, interitem, and item-total reliabilities. The DAST also tended to have moderate to high levels of validity, sensitivity, and specificity. In general, all versions of the DAST yield satisfactory measures of reliability and validity for use as clinical or research tools. Furthermore, these tests are easy to administer and have been used in a variety of populations. © 2007 Elsevier Inc. All rights reserved.","author":[{"dropping-particle":"","family":"Yudko","given":"Errol","non-dropping-particle":"","parse-names":false,"suffix":""},{"dropping-particle":"","family":"Lozhkina","given":"Olga","non-dropping-particle":"","parse-names":false,"suffix":""},{"dropping-particle":"","family":"Fouts","given":"Adriana","non-dropping-particle":"","parse-names":false,"suffix":""}],"container-title":"Journal of Substance Abuse Treatment","id":"ITEM-2","issue":"2","issued":{"date-parts":[["2007"]]},"page":"189-198","title":"A comprehensive review of the psychometric properties of the Drug Abuse Screening Test","type":"article-journal","volume":"32"},"uris":["http://www.mendeley.com/documents/?uuid=4c82f98f-f5b5-4ccb-9533-b6aa2447afef"]}],"mendeley":{"formattedCitation":"&lt;sup&gt;34,35&lt;/sup&gt;","plainTextFormattedCitation":"34,35","previouslyFormattedCitation":"&lt;sup&gt;34,35&lt;/sup&gt;"},"properties":{"noteIndex":0},"schema":"https://github.com/citation-style-language/schema/raw/master/csl-citation.json"}</w:instrText>
      </w:r>
      <w:r w:rsidR="00C45011" w:rsidRPr="00515B26">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34,35</w:t>
      </w:r>
      <w:r w:rsidR="00C45011" w:rsidRPr="00515B26">
        <w:rPr>
          <w:rFonts w:ascii="Times New Roman" w:eastAsiaTheme="minorEastAsia" w:hAnsi="Times New Roman" w:cs="Times New Roman"/>
          <w:sz w:val="22"/>
          <w:szCs w:val="22"/>
        </w:rPr>
        <w:fldChar w:fldCharType="end"/>
      </w:r>
      <w:r w:rsidR="00361A01" w:rsidRPr="00515B26">
        <w:rPr>
          <w:rFonts w:ascii="Times New Roman" w:eastAsiaTheme="minorEastAsia" w:hAnsi="Times New Roman" w:cs="Times New Roman"/>
          <w:sz w:val="22"/>
          <w:szCs w:val="22"/>
        </w:rPr>
        <w:t xml:space="preserve"> </w:t>
      </w:r>
      <w:r w:rsidR="00BB3B4B">
        <w:rPr>
          <w:rFonts w:ascii="Times New Roman" w:eastAsiaTheme="minorEastAsia" w:hAnsi="Times New Roman" w:cs="Times New Roman"/>
          <w:sz w:val="22"/>
          <w:szCs w:val="22"/>
        </w:rPr>
        <w:t>They were also asked whether they had been treated for drug/alcohol use problems.</w:t>
      </w:r>
    </w:p>
    <w:p w14:paraId="124E0B3B" w14:textId="733D36CA" w:rsidR="00A34926" w:rsidRPr="00515B26" w:rsidRDefault="00A34926" w:rsidP="0058300D">
      <w:pPr>
        <w:spacing w:line="480" w:lineRule="auto"/>
        <w:rPr>
          <w:rFonts w:ascii="Times New Roman" w:eastAsiaTheme="minorEastAsia" w:hAnsi="Times New Roman" w:cs="Times New Roman"/>
          <w:sz w:val="22"/>
          <w:szCs w:val="22"/>
        </w:rPr>
      </w:pPr>
    </w:p>
    <w:p w14:paraId="0E6BD607" w14:textId="7A049213" w:rsidR="00A34926" w:rsidRPr="00515B26" w:rsidRDefault="00A34926" w:rsidP="0058300D">
      <w:pPr>
        <w:spacing w:line="480" w:lineRule="auto"/>
        <w:rPr>
          <w:rFonts w:ascii="Times New Roman" w:eastAsiaTheme="minorEastAsia" w:hAnsi="Times New Roman" w:cs="Times New Roman"/>
          <w:b/>
          <w:bCs/>
          <w:i/>
          <w:iCs/>
          <w:sz w:val="22"/>
          <w:szCs w:val="22"/>
        </w:rPr>
      </w:pPr>
      <w:r w:rsidRPr="00515B26">
        <w:rPr>
          <w:rFonts w:ascii="Times New Roman" w:eastAsiaTheme="minorEastAsia" w:hAnsi="Times New Roman" w:cs="Times New Roman"/>
          <w:b/>
          <w:bCs/>
          <w:i/>
          <w:iCs/>
          <w:sz w:val="22"/>
          <w:szCs w:val="22"/>
        </w:rPr>
        <w:t>Impulsive behaviours and psychiatric history</w:t>
      </w:r>
    </w:p>
    <w:p w14:paraId="5F6F0DDD" w14:textId="3DA97095" w:rsidR="0093704A" w:rsidRPr="00515B26" w:rsidRDefault="00A34926" w:rsidP="0058300D">
      <w:pPr>
        <w:spacing w:line="480" w:lineRule="auto"/>
        <w:rPr>
          <w:rFonts w:ascii="Times New Roman" w:eastAsiaTheme="minorEastAsia" w:hAnsi="Times New Roman" w:cs="Times New Roman"/>
          <w:sz w:val="22"/>
          <w:szCs w:val="22"/>
        </w:rPr>
      </w:pPr>
      <w:r w:rsidRPr="00515B26">
        <w:rPr>
          <w:rFonts w:ascii="Times New Roman" w:eastAsiaTheme="minorEastAsia" w:hAnsi="Times New Roman" w:cs="Times New Roman"/>
          <w:sz w:val="22"/>
          <w:szCs w:val="22"/>
        </w:rPr>
        <w:t xml:space="preserve">Participants were asked how many caffeinated soft drinks they had consumed over the past week; whether they had been treated for psychological/emotional problems; and whether they were currently taking prescribed mental health medication(s). </w:t>
      </w:r>
      <w:r w:rsidR="00075C34" w:rsidRPr="00515B26">
        <w:rPr>
          <w:rFonts w:ascii="Times New Roman" w:eastAsiaTheme="minorEastAsia" w:hAnsi="Times New Roman" w:cs="Times New Roman"/>
          <w:sz w:val="22"/>
          <w:szCs w:val="22"/>
        </w:rPr>
        <w:t>Gambling disorder was assessed using the MIDI. Participants also completed the following previously validated questionnaires: Patient Health Questionnaire (PHQ-9)</w:t>
      </w:r>
      <w:r w:rsidR="0049130B">
        <w:rPr>
          <w:rFonts w:ascii="Times New Roman" w:eastAsiaTheme="minorEastAsia" w:hAnsi="Times New Roman" w:cs="Times New Roman"/>
          <w:sz w:val="22"/>
          <w:szCs w:val="22"/>
        </w:rPr>
        <w:t xml:space="preserve"> </w:t>
      </w:r>
      <w:r w:rsidR="0049130B" w:rsidRPr="00985AD6">
        <w:rPr>
          <w:rFonts w:ascii="Times New Roman" w:eastAsiaTheme="minorEastAsia" w:hAnsi="Times New Roman" w:cs="Times New Roman"/>
          <w:sz w:val="22"/>
          <w:szCs w:val="22"/>
          <w:lang w:val="en-US"/>
        </w:rPr>
        <w:t xml:space="preserve">(with a score </w:t>
      </w:r>
      <w:r w:rsidR="00C80827">
        <w:rPr>
          <w:rFonts w:ascii="Times New Roman" w:eastAsiaTheme="minorEastAsia" w:hAnsi="Times New Roman" w:cs="Times New Roman"/>
          <w:sz w:val="22"/>
          <w:szCs w:val="22"/>
          <w:lang w:val="en-US"/>
        </w:rPr>
        <w:t>≥</w:t>
      </w:r>
      <w:r w:rsidR="0049130B" w:rsidRPr="00985AD6">
        <w:rPr>
          <w:rFonts w:ascii="Times New Roman" w:eastAsiaTheme="minorEastAsia" w:hAnsi="Times New Roman" w:cs="Times New Roman"/>
          <w:sz w:val="22"/>
          <w:szCs w:val="22"/>
          <w:lang w:val="en-US"/>
        </w:rPr>
        <w:t>10 indicating depressive symptoms of moderate severity or greate</w:t>
      </w:r>
      <w:r w:rsidR="0049130B">
        <w:rPr>
          <w:rFonts w:ascii="Times New Roman" w:eastAsiaTheme="minorEastAsia" w:hAnsi="Times New Roman" w:cs="Times New Roman"/>
          <w:sz w:val="22"/>
          <w:szCs w:val="22"/>
          <w:lang w:val="en-US"/>
        </w:rPr>
        <w:t>r)</w:t>
      </w:r>
      <w:r w:rsidR="0093704A" w:rsidRPr="00515B2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{"citationItems":[{"id":"ITEM-1","itemData":{"DOI":"10.1046/j.1525-1497.2001.016009606.x","ISSN":"08848734","PMID":"11556941","abstract":"OBJECTIVE: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\"O\"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tool.","author":[{"dropping-particle":"","family":"Kroenke","given":"Kurt","non-dropping-particle":"","parse-names":false,"suffix":""},{"dropping-particle":"","family":"Spitzer","given":"Robert L.","non-dropping-particle":"","parse-names":false,"suffix":""},{"dropping-particle":"","family":"Williams","given":"Janet B.W.","non-dropping-particle":"","parse-names":false,"suffix":""}],"container-title":"Journal of General Internal Medicine","id":"ITEM-1","issue":"9","issued":{"date-parts":[["2001"]]},"page":"606-613","title":"The PHQ-9: Validity of a brief depression severity measure","type":"article-journal","volume":"16"},"uris":["http://www.mendeley.com/documents/?uuid=6a93e953-54cd-4a1e-acaf-bfa9483e482b"]}],"mendeley":{"formattedCitation":"&lt;sup&gt;36&lt;/sup&gt;","plainTextFormattedCitation":"36","previouslyFormattedCitation":"&lt;sup&gt;36&lt;/sup&gt;"},"properties":{"noteIndex":0},"schema":"https://github.com/citation-style-language/schema/raw/master/csl-citation.json"}</w:instrText>
      </w:r>
      <w:r w:rsidR="0093704A" w:rsidRPr="00515B26">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36</w:t>
      </w:r>
      <w:r w:rsidR="0093704A" w:rsidRPr="00515B26">
        <w:rPr>
          <w:rFonts w:ascii="Times New Roman" w:eastAsiaTheme="minorEastAsia" w:hAnsi="Times New Roman" w:cs="Times New Roman"/>
          <w:sz w:val="22"/>
          <w:szCs w:val="22"/>
        </w:rPr>
        <w:fldChar w:fldCharType="end"/>
      </w:r>
      <w:r w:rsidR="006C7756">
        <w:rPr>
          <w:rFonts w:ascii="Times New Roman" w:eastAsiaTheme="minorEastAsia" w:hAnsi="Times New Roman" w:cs="Times New Roman"/>
          <w:sz w:val="22"/>
          <w:szCs w:val="22"/>
        </w:rPr>
        <w:t>;</w:t>
      </w:r>
      <w:r w:rsidR="0093704A" w:rsidRPr="00515B26">
        <w:rPr>
          <w:rFonts w:ascii="Times New Roman" w:eastAsiaTheme="minorEastAsia" w:hAnsi="Times New Roman" w:cs="Times New Roman"/>
          <w:sz w:val="22"/>
          <w:szCs w:val="22"/>
        </w:rPr>
        <w:t xml:space="preserve"> </w:t>
      </w:r>
      <w:r w:rsidR="00075C34" w:rsidRPr="00515B26">
        <w:rPr>
          <w:rFonts w:ascii="Times New Roman" w:eastAsiaTheme="minorEastAsia" w:hAnsi="Times New Roman" w:cs="Times New Roman"/>
          <w:sz w:val="22"/>
          <w:szCs w:val="22"/>
        </w:rPr>
        <w:t>Primary Care PTSD Screen (PC-PTSD)</w:t>
      </w:r>
      <w:r w:rsidR="0049130B">
        <w:rPr>
          <w:rFonts w:ascii="Times New Roman" w:eastAsiaTheme="minorEastAsia" w:hAnsi="Times New Roman" w:cs="Times New Roman"/>
          <w:sz w:val="22"/>
          <w:szCs w:val="22"/>
        </w:rPr>
        <w:t xml:space="preserve"> </w:t>
      </w:r>
      <w:r w:rsidR="0049130B" w:rsidRPr="00985AD6">
        <w:rPr>
          <w:rFonts w:ascii="Times New Roman" w:eastAsiaTheme="minorEastAsia" w:hAnsi="Times New Roman" w:cs="Times New Roman"/>
          <w:sz w:val="22"/>
          <w:szCs w:val="22"/>
          <w:lang w:val="en-US"/>
        </w:rPr>
        <w:t xml:space="preserve">(with a score </w:t>
      </w:r>
      <w:r w:rsidR="00D71940">
        <w:rPr>
          <w:rFonts w:ascii="Times New Roman" w:eastAsiaTheme="minorEastAsia" w:hAnsi="Times New Roman" w:cs="Times New Roman"/>
          <w:sz w:val="22"/>
          <w:szCs w:val="22"/>
          <w:lang w:val="en-US"/>
        </w:rPr>
        <w:t>≥</w:t>
      </w:r>
      <w:r w:rsidR="0049130B" w:rsidRPr="00985AD6">
        <w:rPr>
          <w:rFonts w:ascii="Times New Roman" w:eastAsiaTheme="minorEastAsia" w:hAnsi="Times New Roman" w:cs="Times New Roman"/>
          <w:sz w:val="22"/>
          <w:szCs w:val="22"/>
          <w:lang w:val="en-US"/>
        </w:rPr>
        <w:t>3 indicating probabl</w:t>
      </w:r>
      <w:r w:rsidR="00C144F5">
        <w:rPr>
          <w:rFonts w:ascii="Times New Roman" w:eastAsiaTheme="minorEastAsia" w:hAnsi="Times New Roman" w:cs="Times New Roman"/>
          <w:sz w:val="22"/>
          <w:szCs w:val="22"/>
          <w:lang w:val="en-US"/>
        </w:rPr>
        <w:t>e</w:t>
      </w:r>
      <w:r w:rsidR="0049130B" w:rsidRPr="00985AD6">
        <w:rPr>
          <w:rFonts w:ascii="Times New Roman" w:eastAsiaTheme="minorEastAsia" w:hAnsi="Times New Roman" w:cs="Times New Roman"/>
          <w:sz w:val="22"/>
          <w:szCs w:val="22"/>
          <w:lang w:val="en-US"/>
        </w:rPr>
        <w:t xml:space="preserve"> post-traumatic stress disorder, PTSD</w:t>
      </w:r>
      <w:r w:rsidR="0049130B">
        <w:rPr>
          <w:rFonts w:ascii="Times New Roman" w:eastAsiaTheme="minorEastAsia" w:hAnsi="Times New Roman" w:cs="Times New Roman"/>
          <w:sz w:val="22"/>
          <w:szCs w:val="22"/>
        </w:rPr>
        <w:t>)</w:t>
      </w:r>
      <w:r w:rsidR="0093704A" w:rsidRPr="00515B2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10.1185/135525703125002360","ISSN":"13552570","author":[{"dropping-particle":"","family":"Prins","given":"Annabel","non-dropping-particle":"","parse-names":false,"suffix":""},{"dropping-particle":"","family":"Ouimette","given":"Paige","non-dropping-particle":"","parse-names":false,"suffix":""},{"dropping-particle":"","family":"Kimerling","given":"Rachel","non-dropping-particle":"","parse-names":false,"suffix":""},{"dropping-particle":"","family":"Camerond","given":"Rebecca P.","non-dropping-particle":"","parse-names":false,"suffix":""},{"dropping-particle":"","family":"Hugelshofer","given":"Daniela S.","non-dropping-particle":"","parse-names":false,"suffix":""},{"dropping-particle":"","family":"Shaw-Hegwer","given":"Jennifer","non-dropping-particle":"","parse-names":false,"suffix":""},{"dropping-particle":"","family":"Thrailkill","given":"Ann","non-dropping-particle":"","parse-names":false,"suffix":""},{"dropping-particle":"","family":"Gusman","given":"Fred D.","non-dropping-particle":"","parse-names":false,"suffix":""},{"dropping-particle":"","family":"Sheikh","given":"Javaid I.","non-dropping-particle":"","parse-names":false,"suffix":""}],"container-title":"Primary Care Psychiatry","id":"ITEM-1","issue":"1","issued":{"date-parts":[["2004","1","1"]]},"page":"9-14","title":"The primary care PTSD screen (PC–PTSD): development and operating characteristics","type":"article-journal","volume":"9"},"uris":["http://www.mendeley.com/documents/?uuid=8f9aed1c-7f29-4d67-891e-c67c22bfcdc9"]}],"mendeley":{"formattedCitation":"&lt;sup&gt;37&lt;/sup&gt;","plainTextFormattedCitation":"37","previouslyFormattedCitation":"&lt;sup&gt;37&lt;/sup&gt;"},"properties":{"noteIndex":0},"schema":"https://github.com/citation-style-language/schema/raw/master/csl-citation.json"}</w:instrText>
      </w:r>
      <w:r w:rsidR="0093704A" w:rsidRPr="00515B26">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37</w:t>
      </w:r>
      <w:r w:rsidR="0093704A" w:rsidRPr="00515B26">
        <w:rPr>
          <w:rFonts w:ascii="Times New Roman" w:eastAsiaTheme="minorEastAsia" w:hAnsi="Times New Roman" w:cs="Times New Roman"/>
          <w:sz w:val="22"/>
          <w:szCs w:val="22"/>
        </w:rPr>
        <w:fldChar w:fldCharType="end"/>
      </w:r>
      <w:r w:rsidR="009C30BB" w:rsidRPr="00515B26">
        <w:rPr>
          <w:rFonts w:ascii="Times New Roman" w:eastAsiaTheme="minorEastAsia" w:hAnsi="Times New Roman" w:cs="Times New Roman"/>
          <w:sz w:val="22"/>
          <w:szCs w:val="22"/>
        </w:rPr>
        <w:t>; Generalized Anxiety Disorder 7 (GAD-7)</w:t>
      </w:r>
      <w:r w:rsidR="0049130B">
        <w:rPr>
          <w:rFonts w:ascii="Times New Roman" w:eastAsiaTheme="minorEastAsia" w:hAnsi="Times New Roman" w:cs="Times New Roman"/>
          <w:sz w:val="22"/>
          <w:szCs w:val="22"/>
        </w:rPr>
        <w:t xml:space="preserve"> </w:t>
      </w:r>
      <w:r w:rsidR="0049130B" w:rsidRPr="00985AD6">
        <w:rPr>
          <w:rFonts w:ascii="Times New Roman" w:eastAsiaTheme="minorEastAsia" w:hAnsi="Times New Roman" w:cs="Times New Roman"/>
          <w:sz w:val="22"/>
          <w:szCs w:val="22"/>
          <w:lang w:val="en-US"/>
        </w:rPr>
        <w:t>(with scores indicating: 0-4 no anxiety, 5-9 mild anxiety, 10-14 moderate anxiety and 15-21 severe anxiety</w:t>
      </w:r>
      <w:r w:rsidR="0049130B">
        <w:rPr>
          <w:rFonts w:ascii="Times New Roman" w:eastAsiaTheme="minorEastAsia" w:hAnsi="Times New Roman" w:cs="Times New Roman"/>
          <w:sz w:val="22"/>
          <w:szCs w:val="22"/>
        </w:rPr>
        <w:t>)</w:t>
      </w:r>
      <w:r w:rsidR="0093704A" w:rsidRPr="00515B2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Medicine","id":"ITEM-1","issue":"10","issued":{"date-parts":[["2006"]]},"page":"1092-1097","title":"A brief measure for assessing generalized anxiety disorder: The GAD-7","type":"article-journal","volume":"166"},"uris":["http://www.mendeley.com/documents/?uuid=a268dec7-8dd1-44bf-aa80-7172993673e2"]}],"mendeley":{"formattedCitation":"&lt;sup&gt;38&lt;/sup&gt;","plainTextFormattedCitation":"38","previouslyFormattedCitation":"&lt;sup&gt;38&lt;/sup&gt;"},"properties":{"noteIndex":0},"schema":"https://github.com/citation-style-language/schema/raw/master/csl-citation.json"}</w:instrText>
      </w:r>
      <w:r w:rsidR="0093704A" w:rsidRPr="00515B26">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38</w:t>
      </w:r>
      <w:r w:rsidR="0093704A" w:rsidRPr="00515B26">
        <w:rPr>
          <w:rFonts w:ascii="Times New Roman" w:eastAsiaTheme="minorEastAsia" w:hAnsi="Times New Roman" w:cs="Times New Roman"/>
          <w:sz w:val="22"/>
          <w:szCs w:val="22"/>
        </w:rPr>
        <w:fldChar w:fldCharType="end"/>
      </w:r>
      <w:r w:rsidR="0093704A" w:rsidRPr="00515B26">
        <w:rPr>
          <w:rFonts w:ascii="Times New Roman" w:eastAsiaTheme="minorEastAsia" w:hAnsi="Times New Roman" w:cs="Times New Roman"/>
          <w:sz w:val="22"/>
          <w:szCs w:val="22"/>
        </w:rPr>
        <w:t xml:space="preserve">; </w:t>
      </w:r>
      <w:r w:rsidR="009826E9" w:rsidRPr="00515B26">
        <w:rPr>
          <w:rFonts w:ascii="Times New Roman" w:eastAsiaTheme="minorEastAsia" w:hAnsi="Times New Roman" w:cs="Times New Roman"/>
          <w:sz w:val="22"/>
          <w:szCs w:val="22"/>
        </w:rPr>
        <w:t>Adult ADHD Self-Report Scale (ASRS-v1.1) Part A</w:t>
      </w:r>
      <w:r w:rsidR="0049130B">
        <w:rPr>
          <w:rFonts w:ascii="Times New Roman" w:eastAsiaTheme="minorEastAsia" w:hAnsi="Times New Roman" w:cs="Times New Roman"/>
          <w:sz w:val="22"/>
          <w:szCs w:val="22"/>
        </w:rPr>
        <w:t xml:space="preserve"> </w:t>
      </w:r>
      <w:r w:rsidR="0049130B" w:rsidRPr="00985AD6">
        <w:rPr>
          <w:rFonts w:ascii="Times New Roman" w:eastAsiaTheme="minorEastAsia" w:hAnsi="Times New Roman" w:cs="Times New Roman"/>
          <w:sz w:val="22"/>
          <w:szCs w:val="22"/>
          <w:lang w:val="en-US"/>
        </w:rPr>
        <w:t>(6 questions screening for attention-deficit/hyperactivity disorder, ADHD</w:t>
      </w:r>
      <w:r w:rsidR="007E1725">
        <w:rPr>
          <w:rFonts w:ascii="Times New Roman" w:eastAsiaTheme="minorEastAsia" w:hAnsi="Times New Roman" w:cs="Times New Roman"/>
          <w:sz w:val="22"/>
          <w:szCs w:val="22"/>
          <w:lang w:val="en-US"/>
        </w:rPr>
        <w:t>)</w:t>
      </w:r>
      <w:r w:rsidR="0049130B" w:rsidRPr="00985AD6">
        <w:rPr>
          <w:rFonts w:ascii="Times New Roman" w:eastAsiaTheme="minorEastAsia" w:hAnsi="Times New Roman" w:cs="Times New Roman"/>
          <w:sz w:val="22"/>
          <w:szCs w:val="22"/>
          <w:lang w:val="en-US"/>
        </w:rPr>
        <w:t>, where</w:t>
      </w:r>
      <w:r w:rsidR="007E1725">
        <w:rPr>
          <w:rFonts w:ascii="Times New Roman" w:eastAsiaTheme="minorEastAsia" w:hAnsi="Times New Roman" w:cs="Times New Roman"/>
          <w:sz w:val="22"/>
          <w:szCs w:val="22"/>
          <w:lang w:val="en-US"/>
        </w:rPr>
        <w:t xml:space="preserve"> positive screen was based on previous definitions</w:t>
      </w:r>
      <w:r w:rsidR="0093704A" w:rsidRPr="00515B2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{"citationItems":[{"id":"ITEM-1","itemData":{"DOI":"10.1002/mpr.208","ISSN":"10498931","abstract":"BACKGROUND AND AIMS: Preclinical animal studies have established stressors, substance use associated cues, and priming as distinct triggers of relapse in substance dependence. These triggers seem to induce relapse by activating distinct brain pathways. In order to test these findings in humans, it is necessary to establish new human research paradigms. Neuroimaging may help to study brain regions involved in mediating the effects of these distinct triggers of relapse and to further delineate mediators of these pathways. In order to understand individual differences it is crucial to assess the impact of moderators on these pathways to relapse. METHODS: Paradigms to study distinct relapse triggers are currently being set up for tobacco dependence. It is practically impossible to study human relapse and specifically its neurobiological pathways in the natural surrounding. Instead we aim to establish vulnerability patterns in a laboratory environment, applying functional magnetic resonance imaging (fMRI) assessments during trigger exposure. Brain activation determined by fMRI may constitute a sensitive measure to assess responses to cues, stress, and priming. Establishing these paradigms will then allow to further delineate the role of possible mediators (e.g. attention, inhibition) and moderators (e.g. sex, genetic factors) underlying relapse to smoking. RESULTS: Initial results are encouraging, but this approach needs further studies to proof its usefulness. CONCLUSIONS: We outline an approach to study nicotine relapse within a laboratory environment, using fMRI assessments during trigger exposure. The long term goal is rational treatment development. To reach this goal it is crucial to identify, include and investigate critical moderators and mediators of relapse within this approach.","author":[{"dropping-particle":"","family":"Kessler","given":"Ronald C.","non-dropping-particle":"","parse-names":false,"suffix":""},{"dropping-particle":"","family":"Adler","given":"Lenard A.","non-dropping-particle":"","parse-names":false,"suffix":""},{"dropping-particle":"","family":"Gruber","given":"Michael J.","non-dropping-particle":"","parse-names":false,"suffix":""},{"dropping-particle":"","family":"Sarawate","given":"Chaitanya A.","non-dropping-particle":"","parse-names":false,"suffix":""},{"dropping-particle":"","family":"Spencer","given":"Thomas","non-dropping-particle":"","parse-names":false,"suffix":""},{"dropping-particle":"","family":"Brunt","given":"David L.","non-dropping-particle":"Van","parse-names":false,"suffix":""}],"container-title":"International Journal of Methods in Psychiatric Research","id":"ITEM-1","issue":"2","issued":{"date-parts":[["2007","6"]]},"page":"52-65","title":"Validity of the World Health Organization Adult ADHD Self-Report Scale (ASRS) Screener in a representative sample of health plan members","type":"article-journal","volume":"16"},"uris":["http://www.mendeley.com/documents/?uuid=8e17ca88-7207-413a-b3ae-bae20ce33978"]},{"id":"ITEM-2","itemData":{"DOI":"10.1017/S0033291704002892","ISSN":"00332917","PMID":"15841682","abstract":"Background. A self-report screening scale of adult attention-deficit/hyperactivity disorder (ADHD), the World Health Organization (WHO) Adult ADHD Self-Report Scale (ASRS) was developed in conjunction with revision of the WHO Composite International Diagnostic Interview (CIDI). The current report presents data on concordance of the ASRS and of a short-form ASRS screener with blind clinical diagnoses in a community sample. Method. The ASRS includes 18 questions about frequency of recent DSM-IV Criterion A symptoms of adult ADHD. The ASRS screener consists of six out of these 18 questions that were selected based on stepwise logistic regression to optimize concordance with the clinical classification. ASRS responses were compared to blind clinical ratings of DSM-IV adult ADHD in a sample of 154 respondents who previously participated in the US National Comorbidity Survey Replication (NCS-R), oversampling those who reported childhood ADHD and adult persistence. Results. Each ASRS symptom measure was significantly related to the comparable clinical symptom rating, but varied substantially in concordance (Cohen's κ in the range 0.16-0.81). Optimal scoring to predict clinical syndrome classifications was to sum unweighted dichotomous responses across all 18 ASRS questions. However, because of the wide variation in symptom-level concordance, the unweighted six-question ASRS screener outperformed the unweighted 18-question ASRS in sensitivity (68.7% v. 56.3%), specificity (99.5% v. 98.3%), total classification accuracy (97.9% v. 96.2%), and κ (0.76 v. 0.58). Conclusions. Clinical calibration in larger samples might show that a weighted version of the 18-question ASRS outperforms the six-question ASRS screener. Until that time, however, the unweighted screener should be preferred to the full ASRS, both in community surveys and in clinical outreach and case-finding initiatives. © 2004 Cambridge University Press.","author":[{"dropping-particle":"","family":"Kessler","given":"Ronald C.","non-dropping-particle":"","parse-names":false,"suffix":""},{"dropping-particle":"","family":"Adler","given":"Lenard","non-dropping-particle":"","parse-names":false,"suffix":""},{"dropping-particle":"","family":"Ames","given":"Minnie","non-dropping-particle":"","parse-names":false,"suffix":""},{"dropping-particle":"","family":"Demler","given":"Olga","non-dropping-particle":"","parse-names":false,"suffix":""},{"dropping-particle":"","family":"Faraone","given":"Steve","non-dropping-particle":"","parse-names":false,"suffix":""},{"dropping-particle":"","family":"Hiripi","given":"Eva","non-dropping-particle":"","parse-names":false,"suffix":""},{"dropping-particle":"","family":"Howes","given":"Mary J.","non-dropping-particle":"","parse-names":false,"suffix":""},{"dropping-particle":"","family":"Jin","given":"Robert","non-dropping-particle":"","parse-names":false,"suffix":""},{"dropping-particle":"","family":"Secnik","given":"Kristina","non-dropping-particle":"","parse-names":false,"suffix":""},{"dropping-particle":"","family":"Spencer","given":"Thomas","non-dropping-particle":"","parse-names":false,"suffix":""},{"dropping-particle":"","family":"Ustun","given":"T. Bedirhan","non-dropping-particle":"","parse-names":false,"suffix":""},{"dropping-particle":"","family":"Walters","given":"Ellen E.","non-dropping-particle":"","parse-names":false,"suffix":""}],"container-title":"Psychological Medicine","id":"ITEM-2","issue":"2","issued":{"date-parts":[["2005"]]},"page":"245-256","title":"The World Health Organization adult ADHD self-report scale (ASRS): A short screening scale for use in the general population","type":"article-journal","volume":"35"},"uris":["http://www.mendeley.com/documents/?uuid=7b6fc7b4-261f-469f-982b-88dfca42c952"]}],"mendeley":{"formattedCitation":"&lt;sup&gt;39,40&lt;/sup&gt;","plainTextFormattedCitation":"39,40","previouslyFormattedCitation":"&lt;sup&gt;39,40&lt;/sup&gt;"},"properties":{"noteIndex":0},"schema":"https://github.com/citation-style-language/schema/raw/master/csl-citation.json"}</w:instrText>
      </w:r>
      <w:r w:rsidR="0093704A" w:rsidRPr="00515B26">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39,40</w:t>
      </w:r>
      <w:r w:rsidR="0093704A" w:rsidRPr="00515B26">
        <w:rPr>
          <w:rFonts w:ascii="Times New Roman" w:eastAsiaTheme="minorEastAsia" w:hAnsi="Times New Roman" w:cs="Times New Roman"/>
          <w:sz w:val="22"/>
          <w:szCs w:val="22"/>
        </w:rPr>
        <w:fldChar w:fldCharType="end"/>
      </w:r>
      <w:r w:rsidR="0093704A" w:rsidRPr="00515B26">
        <w:rPr>
          <w:rFonts w:ascii="Times New Roman" w:eastAsiaTheme="minorEastAsia" w:hAnsi="Times New Roman" w:cs="Times New Roman"/>
          <w:sz w:val="22"/>
          <w:szCs w:val="22"/>
        </w:rPr>
        <w:t xml:space="preserve">; and the </w:t>
      </w:r>
      <w:r w:rsidR="001F1C01" w:rsidRPr="00515B26">
        <w:rPr>
          <w:rFonts w:ascii="Times New Roman" w:eastAsiaTheme="minorEastAsia" w:hAnsi="Times New Roman" w:cs="Times New Roman"/>
          <w:sz w:val="22"/>
          <w:szCs w:val="22"/>
        </w:rPr>
        <w:t>Rosenberg Self-Esteem Scale (RSES)</w:t>
      </w:r>
      <w:r w:rsidR="0049130B" w:rsidRPr="0049130B">
        <w:rPr>
          <w:rFonts w:ascii="Times New Roman" w:eastAsiaTheme="minorEastAsia" w:hAnsi="Times New Roman" w:cs="Times New Roman"/>
          <w:sz w:val="22"/>
          <w:szCs w:val="22"/>
          <w:lang w:val="en-US"/>
        </w:rPr>
        <w:t xml:space="preserve"> </w:t>
      </w:r>
      <w:r w:rsidR="0049130B" w:rsidRPr="00985AD6">
        <w:rPr>
          <w:rFonts w:ascii="Times New Roman" w:eastAsiaTheme="minorEastAsia" w:hAnsi="Times New Roman" w:cs="Times New Roman"/>
          <w:sz w:val="22"/>
          <w:szCs w:val="22"/>
          <w:lang w:val="en-US"/>
        </w:rPr>
        <w:t>(with a score &lt;15 indicating low self-esteem</w:t>
      </w:r>
      <w:r w:rsidR="0049130B">
        <w:rPr>
          <w:rFonts w:ascii="Times New Roman" w:eastAsiaTheme="minorEastAsia" w:hAnsi="Times New Roman" w:cs="Times New Roman"/>
          <w:sz w:val="22"/>
          <w:szCs w:val="22"/>
          <w:lang w:val="en-US"/>
        </w:rPr>
        <w:t>)</w:t>
      </w:r>
      <w:r w:rsidR="006C7756">
        <w:rPr>
          <w:rFonts w:ascii="Times New Roman" w:eastAsiaTheme="minorEastAsia" w:hAnsi="Times New Roman" w:cs="Times New Roman"/>
          <w:sz w:val="22"/>
          <w:szCs w:val="22"/>
        </w:rPr>
        <w:t>.</w:t>
      </w:r>
      <w:r w:rsidR="0093704A" w:rsidRPr="00515B2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{"citationItems":[{"id":"ITEM-1","itemData":{"author":[{"dropping-particle":"","family":"Rosenberg","given":"M","non-dropping-particle":"","parse-names":false,"suffix":""}],"id":"ITEM-1","issued":{"date-parts":[["1965"]]},"publisher":"Princeton University Press","publisher-place":"Princeton, NJ","title":"Society and the Adolescent Self-Image","type":"book"},"uris":["http://www.mendeley.com/documents/?uuid=53bd123c-5247-4f64-850b-11b3fdd24dc7"]}],"mendeley":{"formattedCitation":"&lt;sup&gt;41&lt;/sup&gt;","plainTextFormattedCitation":"41","previouslyFormattedCitation":"&lt;sup&gt;41&lt;/sup&gt;"},"properties":{"noteIndex":0},"schema":"https://github.com/citation-style-language/schema/raw/master/csl-citation.json"}</w:instrText>
      </w:r>
      <w:r w:rsidR="0093704A" w:rsidRPr="00515B26">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41</w:t>
      </w:r>
      <w:r w:rsidR="0093704A" w:rsidRPr="00515B26">
        <w:rPr>
          <w:rFonts w:ascii="Times New Roman" w:eastAsiaTheme="minorEastAsia" w:hAnsi="Times New Roman" w:cs="Times New Roman"/>
          <w:sz w:val="22"/>
          <w:szCs w:val="22"/>
        </w:rPr>
        <w:fldChar w:fldCharType="end"/>
      </w:r>
    </w:p>
    <w:p w14:paraId="51401C5C" w14:textId="0D37271C" w:rsidR="003C375B" w:rsidRPr="00515B26" w:rsidRDefault="003C375B" w:rsidP="0058300D">
      <w:pPr>
        <w:spacing w:line="480" w:lineRule="auto"/>
        <w:rPr>
          <w:rFonts w:ascii="Times New Roman" w:eastAsiaTheme="minorEastAsia" w:hAnsi="Times New Roman" w:cs="Times New Roman"/>
          <w:sz w:val="22"/>
          <w:szCs w:val="22"/>
        </w:rPr>
      </w:pPr>
    </w:p>
    <w:p w14:paraId="17E40A22" w14:textId="57E00B1C" w:rsidR="003C375B" w:rsidRPr="00515B26" w:rsidRDefault="003C375B" w:rsidP="0058300D">
      <w:pPr>
        <w:spacing w:line="480" w:lineRule="auto"/>
        <w:rPr>
          <w:rFonts w:ascii="Times New Roman" w:eastAsiaTheme="minorEastAsia" w:hAnsi="Times New Roman" w:cs="Times New Roman"/>
          <w:b/>
          <w:bCs/>
          <w:i/>
          <w:iCs/>
          <w:sz w:val="22"/>
          <w:szCs w:val="22"/>
        </w:rPr>
      </w:pPr>
      <w:r w:rsidRPr="00515B26">
        <w:rPr>
          <w:rFonts w:ascii="Times New Roman" w:eastAsiaTheme="minorEastAsia" w:hAnsi="Times New Roman" w:cs="Times New Roman"/>
          <w:b/>
          <w:bCs/>
          <w:i/>
          <w:iCs/>
          <w:sz w:val="22"/>
          <w:szCs w:val="22"/>
        </w:rPr>
        <w:t>Impulsivity and compulsivity</w:t>
      </w:r>
    </w:p>
    <w:p w14:paraId="49170B16" w14:textId="57C10FED" w:rsidR="003C375B" w:rsidRPr="00515B26" w:rsidRDefault="003C375B" w:rsidP="0058300D">
      <w:pPr>
        <w:spacing w:line="480" w:lineRule="auto"/>
        <w:rPr>
          <w:rFonts w:ascii="Times New Roman" w:eastAsiaTheme="minorEastAsia" w:hAnsi="Times New Roman" w:cs="Times New Roman"/>
          <w:sz w:val="22"/>
          <w:szCs w:val="22"/>
        </w:rPr>
      </w:pPr>
      <w:r w:rsidRPr="00515B26">
        <w:rPr>
          <w:rFonts w:ascii="Times New Roman" w:eastAsiaTheme="minorEastAsia" w:hAnsi="Times New Roman" w:cs="Times New Roman"/>
          <w:sz w:val="22"/>
          <w:szCs w:val="22"/>
        </w:rPr>
        <w:t>The Barratt Impulsiveness Scale, Version 11 (BIS-11) was used to assess impulsivit</w:t>
      </w:r>
      <w:r w:rsidR="001251B3" w:rsidRPr="00515B26">
        <w:rPr>
          <w:rFonts w:ascii="Times New Roman" w:eastAsiaTheme="minorEastAsia" w:hAnsi="Times New Roman" w:cs="Times New Roman"/>
          <w:sz w:val="22"/>
          <w:szCs w:val="22"/>
        </w:rPr>
        <w:t>y</w:t>
      </w:r>
      <w:r w:rsidR="0049130B">
        <w:rPr>
          <w:rFonts w:ascii="Times New Roman" w:eastAsiaTheme="minorEastAsia" w:hAnsi="Times New Roman" w:cs="Times New Roman"/>
          <w:sz w:val="22"/>
          <w:szCs w:val="22"/>
        </w:rPr>
        <w:t xml:space="preserve"> </w:t>
      </w:r>
      <w:r w:rsidR="0049130B" w:rsidRPr="00985AD6">
        <w:rPr>
          <w:rFonts w:ascii="Times New Roman" w:eastAsiaTheme="minorEastAsia" w:hAnsi="Times New Roman" w:cs="Times New Roman"/>
          <w:sz w:val="22"/>
          <w:szCs w:val="22"/>
          <w:lang w:val="en-US"/>
        </w:rPr>
        <w:t>and provided three dimension</w:t>
      </w:r>
      <w:r w:rsidR="007E1725">
        <w:rPr>
          <w:rFonts w:ascii="Times New Roman" w:eastAsiaTheme="minorEastAsia" w:hAnsi="Times New Roman" w:cs="Times New Roman"/>
          <w:sz w:val="22"/>
          <w:szCs w:val="22"/>
          <w:lang w:val="en-US"/>
        </w:rPr>
        <w:t>al scores for</w:t>
      </w:r>
      <w:r w:rsidR="0049130B" w:rsidRPr="00985AD6">
        <w:rPr>
          <w:rFonts w:ascii="Times New Roman" w:eastAsiaTheme="minorEastAsia" w:hAnsi="Times New Roman" w:cs="Times New Roman"/>
          <w:sz w:val="22"/>
          <w:szCs w:val="22"/>
          <w:lang w:val="en-US"/>
        </w:rPr>
        <w:t xml:space="preserve"> impulsivity: attentional, motor and non</w:t>
      </w:r>
      <w:r w:rsidR="007E1725">
        <w:rPr>
          <w:rFonts w:ascii="Times New Roman" w:eastAsiaTheme="minorEastAsia" w:hAnsi="Times New Roman" w:cs="Times New Roman"/>
          <w:sz w:val="22"/>
          <w:szCs w:val="22"/>
          <w:lang w:val="en-US"/>
        </w:rPr>
        <w:t>-</w:t>
      </w:r>
      <w:r w:rsidR="0049130B" w:rsidRPr="00985AD6">
        <w:rPr>
          <w:rFonts w:ascii="Times New Roman" w:eastAsiaTheme="minorEastAsia" w:hAnsi="Times New Roman" w:cs="Times New Roman"/>
          <w:sz w:val="22"/>
          <w:szCs w:val="22"/>
          <w:lang w:val="en-US"/>
        </w:rPr>
        <w:t>planning</w:t>
      </w:r>
      <w:r w:rsidR="006C7756">
        <w:rPr>
          <w:rFonts w:ascii="Times New Roman" w:eastAsiaTheme="minorEastAsia" w:hAnsi="Times New Roman" w:cs="Times New Roman"/>
          <w:sz w:val="22"/>
          <w:szCs w:val="22"/>
        </w:rPr>
        <w:t>.</w:t>
      </w:r>
      <w:r w:rsidRPr="00515B2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{"citationItems":[{"id":"ITEM-1","itemData":{"DOI":"10.1016/j.paid.2009.04.008","ISSN":"01918869","abstract":"The Barratt Impulsiveness Scale (BIS-11) is a 30 item self-report instrument designed to assess the personality/behavioral construct of impulsiveness. Originally developed as part of a larger attempt to relate anxiety and impulsiveness to psychomotor efficiency, the BIS is arguably the most commonly administered self-report measure for the assessment of impulsiveness in both research and clinical settings. Over the last 50 years the BIS has significantly influenced the way that impulsivity is conceptualized in psychology and psychiatry. On its golden anniversary we thought it important to update the literature in relation to this influential psychometric instrument. The goal of this paper is threefold: (1) describe the history and development of the BIS-11; (2) present new data supporting the psychometric properties of the subscales; and to (3) review the clinical and personality literature that has reported on the BIS-11 subscales. © 2009 Elsevier Ltd. All rights reserved.","author":[{"dropping-particle":"","family":"Stanford","given":"Matthew S.","non-dropping-particle":"","parse-names":false,"suffix":""},{"dropping-particle":"","family":"Mathias","given":"Charles W.","non-dropping-particle":"","parse-names":false,"suffix":""},{"dropping-particle":"","family":"Dougherty","given":"Donald M.","non-dropping-particle":"","parse-names":false,"suffix":""},{"dropping-particle":"","family":"Lake","given":"Sarah L.","non-dropping-particle":"","parse-names":false,"suffix":""},{"dropping-particle":"","family":"Anderson","given":"Nathaniel E.","non-dropping-particle":"","parse-names":false,"suffix":""},{"dropping-particle":"","family":"Patton","given":"Jim H.","non-dropping-particle":"","parse-names":false,"suffix":""}],"container-title":"Personality and Individual Differences","id":"ITEM-1","issue":"5","issued":{"date-parts":[["2009"]]},"page":"385-395","publisher":"Elsevier Ltd","title":"Fifty years of the Barratt Impulsiveness Scale: An update and review","type":"article-journal","volume":"47"},"uris":["http://www.mendeley.com/documents/?uuid=9ea8383a-96dd-4fc5-9994-83e8718613e6"]},{"id":"ITEM-2","itemData":{"DOI":"10.1002/1097-4679(199511)51:6&lt;768::AID-JCLP2270510607&gt;3.0.CO;2-1","ISSN":"00219762","PMID":"8778124","abstract":"The purpose of the present study was to revise the Barratt Impulsiveness Scale Version 10 (BIS‐10), identify the factor structure of the items among normals, and compare their scores on the revised form (BIS‐11) with psychiatric inpatients and prison inmates. The scale was administered to 412 college undergraduates, 248 psychiatric inpatients, and 73 male prison inmates. Exploratory principal components analysis of the items identified six primary factors and three second‐order factors. The three second‐order factors were labeled Attentional Impulsiveness, Motor Impulsiveness, and Nonplanning Impulsiveness. Two of the three second‐order factors identified in the BIS‐11 were consistent with those proposed by Barratt (1985), but no cognitive impulsiveness component was identified per se. The results of the present study suggest that the total score of the BIS‐11 is an internally consistent measure of impulsiveness and has potential clinical utility for measuring impulsiveness among selected patient and inmate populations. Copyright © 1995 Wiley Periodicals, Inc., A Wiley Company","author":[{"dropping-particle":"","family":"Patton","given":"Jim H.","non-dropping-particle":"","parse-names":false,"suffix":""},{"dropping-particle":"","family":"Stanford","given":"Matthew S.","non-dropping-particle":"","parse-names":false,"suffix":""},{"dropping-particle":"","family":"Barratt","given":"Ernest S.","non-dropping-particle":"","parse-names":false,"suffix":""}],"container-title":"Journal of Clinical Psychology","id":"ITEM-2","issue":"6","issued":{"date-parts":[["1995","11"]]},"page":"768-774","title":"Factor structure of the barratt impulsiveness scale","type":"article-journal","volume":"51"},"uris":["http://www.mendeley.com/documents/?uuid=9b1f8582-8476-4f58-84e0-35e8453555cd"]}],"mendeley":{"formattedCitation":"&lt;sup&gt;42,43&lt;/sup&gt;","plainTextFormattedCitation":"42,43","previouslyFormattedCitation":"&lt;sup&gt;42,43&lt;/sup&gt;"},"properties":{"noteIndex":0},"schema":"https://github.com/citation-style-language/schema/raw/master/csl-citation.json"}</w:instrText>
      </w:r>
      <w:r w:rsidRPr="00515B26">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42,43</w:t>
      </w:r>
      <w:r w:rsidRPr="00515B26">
        <w:rPr>
          <w:rFonts w:ascii="Times New Roman" w:eastAsiaTheme="minorEastAsia" w:hAnsi="Times New Roman" w:cs="Times New Roman"/>
          <w:sz w:val="22"/>
          <w:szCs w:val="22"/>
        </w:rPr>
        <w:fldChar w:fldCharType="end"/>
      </w:r>
      <w:r w:rsidRPr="00515B26">
        <w:rPr>
          <w:rFonts w:ascii="Times New Roman" w:eastAsiaTheme="minorEastAsia" w:hAnsi="Times New Roman" w:cs="Times New Roman"/>
          <w:sz w:val="22"/>
          <w:szCs w:val="22"/>
        </w:rPr>
        <w:t xml:space="preserve"> </w:t>
      </w:r>
      <w:r w:rsidR="0049130B">
        <w:rPr>
          <w:rFonts w:ascii="Times New Roman" w:eastAsiaTheme="minorEastAsia" w:hAnsi="Times New Roman" w:cs="Times New Roman"/>
          <w:sz w:val="22"/>
          <w:szCs w:val="22"/>
        </w:rPr>
        <w:t>T</w:t>
      </w:r>
      <w:r w:rsidR="00C436FE" w:rsidRPr="00515B26">
        <w:rPr>
          <w:rFonts w:ascii="Times New Roman" w:eastAsiaTheme="minorEastAsia" w:hAnsi="Times New Roman" w:cs="Times New Roman"/>
          <w:sz w:val="22"/>
          <w:szCs w:val="22"/>
        </w:rPr>
        <w:t xml:space="preserve">he Cambridge-Chicago Compulsivity Trait Scale (CHI-T) </w:t>
      </w:r>
      <w:r w:rsidR="001251B3" w:rsidRPr="00515B26">
        <w:rPr>
          <w:rFonts w:ascii="Times New Roman" w:eastAsiaTheme="minorEastAsia" w:hAnsi="Times New Roman" w:cs="Times New Roman"/>
          <w:sz w:val="22"/>
          <w:szCs w:val="22"/>
        </w:rPr>
        <w:t>assessed</w:t>
      </w:r>
      <w:r w:rsidR="00C436FE" w:rsidRPr="00515B26">
        <w:rPr>
          <w:rFonts w:ascii="Times New Roman" w:eastAsiaTheme="minorEastAsia" w:hAnsi="Times New Roman" w:cs="Times New Roman"/>
          <w:sz w:val="22"/>
          <w:szCs w:val="22"/>
        </w:rPr>
        <w:t xml:space="preserve"> compulsivity</w:t>
      </w:r>
      <w:r w:rsidR="0049130B">
        <w:rPr>
          <w:rFonts w:ascii="Times New Roman" w:eastAsiaTheme="minorEastAsia" w:hAnsi="Times New Roman" w:cs="Times New Roman"/>
          <w:sz w:val="22"/>
          <w:szCs w:val="22"/>
        </w:rPr>
        <w:t xml:space="preserve"> </w:t>
      </w:r>
      <w:r w:rsidR="0049130B" w:rsidRPr="00985AD6">
        <w:rPr>
          <w:rFonts w:ascii="Times New Roman" w:eastAsiaTheme="minorEastAsia" w:hAnsi="Times New Roman" w:cs="Times New Roman"/>
          <w:sz w:val="22"/>
          <w:szCs w:val="22"/>
          <w:lang w:val="en-US"/>
        </w:rPr>
        <w:t>and provided a total compulsivity score</w:t>
      </w:r>
      <w:r w:rsidR="006C7756">
        <w:rPr>
          <w:rFonts w:ascii="Times New Roman" w:eastAsiaTheme="minorEastAsia" w:hAnsi="Times New Roman" w:cs="Times New Roman"/>
          <w:sz w:val="22"/>
          <w:szCs w:val="22"/>
        </w:rPr>
        <w:t>.</w:t>
      </w:r>
      <w:r w:rsidR="00C436FE" w:rsidRPr="00515B2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{"citationItems":[{"id":"ITEM-1","itemData":{"DOI":"10.1017/S1092852918000810","ISSN":"10928529","PMID":"29730994","abstract":"Objective Compulsivity refers to a tendency toward repetitive habitual behaviors. Multiple disorders have compulsive symptoms at their core, including substance use disorders, gambling disorder, and obsessive-compulsive disorder. The aim of this study was to validate a scale for the objective, transdiagnostic measurement of compulsivity.Methods The 15-item Cambridge-Chicago Compulsivity Trait Scale (CHI-T) was developed for the rapid but comprehensive measurement of compulsivity. Adults aged 18-29y were recruited using media advertisements, and completed the CHI-T in addition to demographic, clinical, and cognitive assessment. The validity and psychometric properties of the scale were quantified.Results A total of 112 participants completed the study. The scale yielded a normal distribution with very few outliers. It had excellent psychometric properties, with high internal consistency (Cronbach's alpha=0.8), and excellent convergent validity against gold-standard assessments of compulsive symptoms (each p&lt;0.001 for gambling disorder, obsessive-compulsive, and substance use disorder symptoms). Total scores on the scale correlated significantly with less risk-Adjustment on the decision-making task (rigid response style), and divergent validity was confirmed against other cognitive domains (response inhibition and executive planning). The above significant findings withstood Bonferroni correction. Factor analysis suggested the existence of two latent factors: one related mainly to reward-seeking and the need for perfection, and the other relating to anxiolytic/soothing features of compulsivity.Conclusion The CHI-T, a scale designed to measure transdiagnostic compulsivity, appears to show excellent psychometric properties in a normative population and merits further investigation in the context of clinical patient populations, including in treatment trials.","author":[{"dropping-particle":"","family":"Chamberlain","given":"Samuel R.","non-dropping-particle":"","parse-names":false,"suffix":""},{"dropping-particle":"","family":"Grant","given":"Jon E.","non-dropping-particle":"","parse-names":false,"suffix":""}],"container-title":"CNS Spectrums","id":"ITEM-1","issue":"5","issued":{"date-parts":[["2018"]]},"page":"340-346","title":"Initial validation of a transdiagnostic compulsivity questionnaire: The Cambridge-Chicago Compulsivity Trait Scale","type":"article-journal","volume":"23"},"uris":["http://www.mendeley.com/documents/?uuid=719fdf5c-03ba-4c67-8bb7-8a723502166f"]}],"mendeley":{"formattedCitation":"&lt;sup&gt;44&lt;/sup&gt;","plainTextFormattedCitation":"44","previouslyFormattedCitation":"&lt;sup&gt;44&lt;/sup&gt;"},"properties":{"noteIndex":0},"schema":"https://github.com/citation-style-language/schema/raw/master/csl-citation.json"}</w:instrText>
      </w:r>
      <w:r w:rsidR="00C436FE" w:rsidRPr="00515B26">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44</w:t>
      </w:r>
      <w:r w:rsidR="00C436FE" w:rsidRPr="00515B26">
        <w:rPr>
          <w:rFonts w:ascii="Times New Roman" w:eastAsiaTheme="minorEastAsia" w:hAnsi="Times New Roman" w:cs="Times New Roman"/>
          <w:sz w:val="22"/>
          <w:szCs w:val="22"/>
        </w:rPr>
        <w:fldChar w:fldCharType="end"/>
      </w:r>
    </w:p>
    <w:p w14:paraId="78BEDC25" w14:textId="6D40A53E" w:rsidR="00FD1785" w:rsidRPr="00515B26" w:rsidRDefault="00FD1785" w:rsidP="0058300D">
      <w:pPr>
        <w:spacing w:line="480" w:lineRule="auto"/>
        <w:rPr>
          <w:rFonts w:ascii="Times New Roman" w:eastAsiaTheme="minorEastAsia" w:hAnsi="Times New Roman" w:cs="Times New Roman"/>
          <w:sz w:val="22"/>
          <w:szCs w:val="22"/>
        </w:rPr>
      </w:pPr>
    </w:p>
    <w:p w14:paraId="64102997" w14:textId="555253FF" w:rsidR="00FD1785" w:rsidRPr="00515B26" w:rsidRDefault="00FD1785" w:rsidP="0058300D">
      <w:pPr>
        <w:spacing w:line="480" w:lineRule="auto"/>
        <w:rPr>
          <w:rFonts w:ascii="Times New Roman" w:eastAsiaTheme="minorEastAsia" w:hAnsi="Times New Roman" w:cs="Times New Roman"/>
          <w:b/>
          <w:bCs/>
          <w:i/>
          <w:iCs/>
          <w:sz w:val="22"/>
          <w:szCs w:val="22"/>
        </w:rPr>
      </w:pPr>
      <w:r w:rsidRPr="00515B26">
        <w:rPr>
          <w:rFonts w:ascii="Times New Roman" w:eastAsiaTheme="minorEastAsia" w:hAnsi="Times New Roman" w:cs="Times New Roman"/>
          <w:b/>
          <w:bCs/>
          <w:i/>
          <w:iCs/>
          <w:sz w:val="22"/>
          <w:szCs w:val="22"/>
        </w:rPr>
        <w:t>Statistical analysis</w:t>
      </w:r>
    </w:p>
    <w:p w14:paraId="5A92D385" w14:textId="05684EDB" w:rsidR="00874521" w:rsidRPr="00515B26" w:rsidRDefault="002964FB" w:rsidP="0058300D">
      <w:pPr>
        <w:spacing w:line="480" w:lineRule="auto"/>
        <w:rPr>
          <w:rFonts w:ascii="Times New Roman" w:hAnsi="Times New Roman" w:cs="Times New Roman"/>
          <w:color w:val="FF0000"/>
          <w:sz w:val="22"/>
          <w:szCs w:val="22"/>
        </w:rPr>
      </w:pPr>
      <w:r>
        <w:rPr>
          <w:rFonts w:ascii="Times New Roman" w:hAnsi="Times New Roman" w:cs="Times New Roman"/>
          <w:sz w:val="22"/>
          <w:szCs w:val="22"/>
        </w:rPr>
        <w:t xml:space="preserve">Respondents who answered the </w:t>
      </w:r>
      <w:r w:rsidR="00E56550">
        <w:rPr>
          <w:rFonts w:ascii="Times New Roman" w:hAnsi="Times New Roman" w:cs="Times New Roman"/>
          <w:sz w:val="22"/>
          <w:szCs w:val="22"/>
        </w:rPr>
        <w:t xml:space="preserve">BED MIDI module (3415 out of 3659) were included in analyses. </w:t>
      </w:r>
      <w:r w:rsidR="00FD1785" w:rsidRPr="00515B26">
        <w:rPr>
          <w:rFonts w:ascii="Times New Roman" w:hAnsi="Times New Roman" w:cs="Times New Roman"/>
          <w:sz w:val="22"/>
          <w:szCs w:val="22"/>
        </w:rPr>
        <w:t xml:space="preserve">Likelihood ratio tests and analysis of variance </w:t>
      </w:r>
      <w:r w:rsidR="00DD615E">
        <w:rPr>
          <w:rFonts w:ascii="Times New Roman" w:hAnsi="Times New Roman" w:cs="Times New Roman"/>
          <w:sz w:val="22"/>
          <w:szCs w:val="22"/>
        </w:rPr>
        <w:t xml:space="preserve">(ANOVA) </w:t>
      </w:r>
      <w:r w:rsidR="00FD1785" w:rsidRPr="00515B26">
        <w:rPr>
          <w:rFonts w:ascii="Times New Roman" w:hAnsi="Times New Roman" w:cs="Times New Roman"/>
          <w:sz w:val="22"/>
          <w:szCs w:val="22"/>
        </w:rPr>
        <w:t xml:space="preserve">were used to explore </w:t>
      </w:r>
      <w:r w:rsidR="00910431" w:rsidRPr="00515B26">
        <w:rPr>
          <w:rFonts w:ascii="Times New Roman" w:hAnsi="Times New Roman" w:cs="Times New Roman"/>
          <w:sz w:val="22"/>
          <w:szCs w:val="22"/>
        </w:rPr>
        <w:t>associations of current BED with survey items</w:t>
      </w:r>
      <w:r w:rsidR="00FD1785" w:rsidRPr="00515B26">
        <w:rPr>
          <w:rFonts w:ascii="Times New Roman" w:hAnsi="Times New Roman" w:cs="Times New Roman"/>
          <w:sz w:val="22"/>
          <w:szCs w:val="22"/>
        </w:rPr>
        <w:t xml:space="preserve">. </w:t>
      </w:r>
      <w:r w:rsidR="00BD36B9" w:rsidRPr="00515B26">
        <w:rPr>
          <w:rFonts w:ascii="Times New Roman" w:hAnsi="Times New Roman" w:cs="Times New Roman"/>
          <w:sz w:val="22"/>
          <w:szCs w:val="22"/>
        </w:rPr>
        <w:t xml:space="preserve">Effect sizes </w:t>
      </w:r>
      <w:r w:rsidR="003A4E92">
        <w:rPr>
          <w:rFonts w:ascii="Times New Roman" w:hAnsi="Times New Roman" w:cs="Times New Roman"/>
          <w:sz w:val="22"/>
          <w:szCs w:val="22"/>
        </w:rPr>
        <w:t xml:space="preserve">(measures of magnitude of the association between two variables) </w:t>
      </w:r>
      <w:r w:rsidR="00BD36B9" w:rsidRPr="00515B26">
        <w:rPr>
          <w:rFonts w:ascii="Times New Roman" w:hAnsi="Times New Roman" w:cs="Times New Roman"/>
          <w:sz w:val="22"/>
          <w:szCs w:val="22"/>
        </w:rPr>
        <w:t xml:space="preserve">were reported using Cramer’s V </w:t>
      </w:r>
      <w:r w:rsidR="00CD5F1F" w:rsidRPr="00515B26">
        <w:rPr>
          <w:rFonts w:ascii="Times New Roman" w:hAnsi="Times New Roman" w:cs="Times New Roman"/>
          <w:sz w:val="22"/>
          <w:szCs w:val="22"/>
        </w:rPr>
        <w:t xml:space="preserve">(V) </w:t>
      </w:r>
      <w:r w:rsidR="00BD36B9" w:rsidRPr="00515B26">
        <w:rPr>
          <w:rFonts w:ascii="Times New Roman" w:hAnsi="Times New Roman" w:cs="Times New Roman"/>
          <w:sz w:val="22"/>
          <w:szCs w:val="22"/>
        </w:rPr>
        <w:t>or Cohen’s D</w:t>
      </w:r>
      <w:r w:rsidR="00CD5F1F" w:rsidRPr="00515B26">
        <w:rPr>
          <w:rFonts w:ascii="Times New Roman" w:hAnsi="Times New Roman" w:cs="Times New Roman"/>
          <w:sz w:val="22"/>
          <w:szCs w:val="22"/>
        </w:rPr>
        <w:t xml:space="preserve"> (D)</w:t>
      </w:r>
      <w:r w:rsidR="00BD36B9" w:rsidRPr="00515B26">
        <w:rPr>
          <w:rFonts w:ascii="Times New Roman" w:hAnsi="Times New Roman" w:cs="Times New Roman"/>
          <w:sz w:val="22"/>
          <w:szCs w:val="22"/>
        </w:rPr>
        <w:t xml:space="preserve">. </w:t>
      </w:r>
      <w:r w:rsidR="003A4E92">
        <w:rPr>
          <w:rFonts w:ascii="Times New Roman" w:hAnsi="Times New Roman" w:cs="Times New Roman"/>
          <w:sz w:val="22"/>
          <w:szCs w:val="22"/>
        </w:rPr>
        <w:t xml:space="preserve">V varies between 0 and 1, where values </w:t>
      </w:r>
      <w:r w:rsidR="00137FF6">
        <w:rPr>
          <w:rFonts w:ascii="Times New Roman" w:hAnsi="Times New Roman" w:cs="Times New Roman"/>
          <w:sz w:val="22"/>
          <w:szCs w:val="22"/>
        </w:rPr>
        <w:t>between .1-.2 suggest a weak association, between .2-.4 suggest a moderate association and above .4 suggest a relatively strong association.</w:t>
      </w:r>
      <w:r w:rsidR="00137FF6">
        <w:rPr>
          <w:rFonts w:ascii="Times New Roman" w:hAnsi="Times New Roman" w:cs="Times New Roman"/>
          <w:sz w:val="22"/>
          <w:szCs w:val="22"/>
        </w:rPr>
        <w:fldChar w:fldCharType="begin" w:fldLock="1"/>
      </w:r>
      <w:r w:rsidR="00137FF6">
        <w:rPr>
          <w:rFonts w:ascii="Times New Roman" w:hAnsi="Times New Roman" w:cs="Times New Roman"/>
          <w:sz w:val="22"/>
          <w:szCs w:val="22"/>
        </w:rPr>
        <w:instrText>ADDIN CSL_CITATION {"citationItems":[{"id":"ITEM-1","itemData":{"ISSN":"20057563","PMID":"27924194","author":[{"dropping-particle":"","family":"Lee","given":"Dong Kyu","non-dropping-particle":"","parse-names":false,"suffix":""}],"container-title":"Korean Journal of Anesthesiology","id":"ITEM-1","issue":"6","issued":{"date-parts":[["2016"]]},"page":"555-562","title":"Interval and effect size","type":"article-journal","volume":"69"},"uris":["http://www.mendeley.com/documents/?uuid=fc88caee-d6c9-4b76-be81-c58e5a2f37b9"]}],"mendeley":{"formattedCitation":"&lt;sup&gt;45&lt;/sup&gt;","plainTextFormattedCitation":"45","previouslyFormattedCitation":"&lt;sup&gt;45&lt;/sup&gt;"},"properties":{"noteIndex":0},"schema":"https://github.com/citation-style-language/schema/raw/master/csl-citation.json"}</w:instrText>
      </w:r>
      <w:r w:rsidR="00137FF6">
        <w:rPr>
          <w:rFonts w:ascii="Times New Roman" w:hAnsi="Times New Roman" w:cs="Times New Roman"/>
          <w:sz w:val="22"/>
          <w:szCs w:val="22"/>
        </w:rPr>
        <w:fldChar w:fldCharType="separate"/>
      </w:r>
      <w:r w:rsidR="00137FF6" w:rsidRPr="00137FF6">
        <w:rPr>
          <w:rFonts w:ascii="Times New Roman" w:hAnsi="Times New Roman" w:cs="Times New Roman"/>
          <w:noProof/>
          <w:sz w:val="22"/>
          <w:szCs w:val="22"/>
          <w:vertAlign w:val="superscript"/>
        </w:rPr>
        <w:t>45</w:t>
      </w:r>
      <w:r w:rsidR="00137FF6">
        <w:rPr>
          <w:rFonts w:ascii="Times New Roman" w:hAnsi="Times New Roman" w:cs="Times New Roman"/>
          <w:sz w:val="22"/>
          <w:szCs w:val="22"/>
        </w:rPr>
        <w:fldChar w:fldCharType="end"/>
      </w:r>
      <w:r w:rsidR="00137FF6">
        <w:rPr>
          <w:rFonts w:ascii="Times New Roman" w:hAnsi="Times New Roman" w:cs="Times New Roman"/>
          <w:sz w:val="22"/>
          <w:szCs w:val="22"/>
        </w:rPr>
        <w:t xml:space="preserve"> D of .2 is commonly interpreted as a small effect, .5 as a medium effect and .8 as a large effect.</w:t>
      </w:r>
      <w:r w:rsidR="00137FF6">
        <w:rPr>
          <w:rFonts w:ascii="Times New Roman" w:hAnsi="Times New Roman" w:cs="Times New Roman"/>
          <w:sz w:val="22"/>
          <w:szCs w:val="22"/>
        </w:rPr>
        <w:fldChar w:fldCharType="begin" w:fldLock="1"/>
      </w:r>
      <w:r w:rsidR="00137FF6">
        <w:rPr>
          <w:rFonts w:ascii="Times New Roman" w:hAnsi="Times New Roman" w:cs="Times New Roman"/>
          <w:sz w:val="22"/>
          <w:szCs w:val="22"/>
        </w:rPr>
        <w:instrText>ADDIN CSL_CITATION {"citationItems":[{"id":"ITEM-1","itemData":{"DOI":"10.3389/fpsyg.2013.00863","ISSN":"16641078","PMID":"24324449","author":[{"dropping-particle":"","family":"Lakens","given":"Daniël","non-dropping-particle":"","parse-names":false,"suffix":""}],"container-title":"Frontiers in Psychology","id":"ITEM-1","issue":"NOV","issued":{"date-parts":[["2013"]]},"page":"1-12","title":"Calculating and reporting effect sizes to facilitate cumulative science: A practical primer for t-tests and ANOVAs","type":"article-journal","volume":"4"},"uris":["http://www.mendeley.com/documents/?uuid=5a109976-857c-43e6-afa3-97e4d684f10d"]}],"mendeley":{"formattedCitation":"&lt;sup&gt;46&lt;/sup&gt;","plainTextFormattedCitation":"46"},"properties":{"noteIndex":0},"schema":"https://github.com/citation-style-language/schema/raw/master/csl-citation.json"}</w:instrText>
      </w:r>
      <w:r w:rsidR="00137FF6">
        <w:rPr>
          <w:rFonts w:ascii="Times New Roman" w:hAnsi="Times New Roman" w:cs="Times New Roman"/>
          <w:sz w:val="22"/>
          <w:szCs w:val="22"/>
        </w:rPr>
        <w:fldChar w:fldCharType="separate"/>
      </w:r>
      <w:r w:rsidR="00137FF6" w:rsidRPr="00137FF6">
        <w:rPr>
          <w:rFonts w:ascii="Times New Roman" w:hAnsi="Times New Roman" w:cs="Times New Roman"/>
          <w:noProof/>
          <w:sz w:val="22"/>
          <w:szCs w:val="22"/>
          <w:vertAlign w:val="superscript"/>
        </w:rPr>
        <w:t>46</w:t>
      </w:r>
      <w:r w:rsidR="00137FF6">
        <w:rPr>
          <w:rFonts w:ascii="Times New Roman" w:hAnsi="Times New Roman" w:cs="Times New Roman"/>
          <w:sz w:val="22"/>
          <w:szCs w:val="22"/>
        </w:rPr>
        <w:fldChar w:fldCharType="end"/>
      </w:r>
      <w:r w:rsidR="00137FF6">
        <w:rPr>
          <w:rFonts w:ascii="Times New Roman" w:hAnsi="Times New Roman" w:cs="Times New Roman"/>
          <w:sz w:val="22"/>
          <w:szCs w:val="22"/>
        </w:rPr>
        <w:t xml:space="preserve"> </w:t>
      </w:r>
      <w:r w:rsidR="00BD36B9" w:rsidRPr="00515B26">
        <w:rPr>
          <w:rFonts w:ascii="Times New Roman" w:hAnsi="Times New Roman" w:cs="Times New Roman"/>
          <w:sz w:val="22"/>
          <w:szCs w:val="22"/>
        </w:rPr>
        <w:t xml:space="preserve">SPSS (version 24, IBM Corp) was used for all analyses. </w:t>
      </w:r>
      <w:r w:rsidR="00BD36B9" w:rsidRPr="00515B26">
        <w:rPr>
          <w:rFonts w:ascii="Times New Roman" w:hAnsi="Times New Roman" w:cs="Times New Roman"/>
          <w:sz w:val="22"/>
          <w:szCs w:val="22"/>
        </w:rPr>
        <w:lastRenderedPageBreak/>
        <w:t xml:space="preserve">Statistical significance was defined as </w:t>
      </w:r>
      <w:r w:rsidR="00BD36B9" w:rsidRPr="00515B26">
        <w:rPr>
          <w:rFonts w:ascii="Times New Roman" w:hAnsi="Times New Roman" w:cs="Times New Roman"/>
          <w:i/>
          <w:iCs/>
          <w:sz w:val="22"/>
          <w:szCs w:val="22"/>
        </w:rPr>
        <w:t>P</w:t>
      </w:r>
      <w:r w:rsidR="00BD36B9" w:rsidRPr="00515B26">
        <w:rPr>
          <w:rFonts w:ascii="Times New Roman" w:hAnsi="Times New Roman" w:cs="Times New Roman"/>
          <w:sz w:val="22"/>
          <w:szCs w:val="22"/>
        </w:rPr>
        <w:t xml:space="preserve"> &lt;.05</w:t>
      </w:r>
      <w:r w:rsidR="00874521" w:rsidRPr="00515B26">
        <w:rPr>
          <w:rFonts w:ascii="Times New Roman" w:hAnsi="Times New Roman" w:cs="Times New Roman"/>
          <w:sz w:val="22"/>
          <w:szCs w:val="22"/>
        </w:rPr>
        <w:t>,</w:t>
      </w:r>
      <w:r w:rsidR="00874521" w:rsidRPr="008B7260">
        <w:rPr>
          <w:rFonts w:ascii="Times New Roman" w:hAnsi="Times New Roman" w:cs="Times New Roman"/>
          <w:sz w:val="22"/>
          <w:szCs w:val="22"/>
        </w:rPr>
        <w:t xml:space="preserve"> with Bonferroni correction for the number of measures in each table.</w:t>
      </w:r>
      <w:r w:rsidR="0093704A" w:rsidRPr="008B7260">
        <w:rPr>
          <w:rFonts w:ascii="Times New Roman" w:hAnsi="Times New Roman" w:cs="Times New Roman"/>
          <w:sz w:val="22"/>
          <w:szCs w:val="22"/>
        </w:rPr>
        <w:t xml:space="preserve"> </w:t>
      </w:r>
      <w:r w:rsidR="004C3192" w:rsidRPr="00515B26">
        <w:rPr>
          <w:rFonts w:ascii="Times New Roman" w:hAnsi="Times New Roman" w:cs="Times New Roman"/>
          <w:sz w:val="22"/>
          <w:szCs w:val="22"/>
        </w:rPr>
        <w:t>Missing data were missing completely at random (MCAR</w:t>
      </w:r>
      <w:r w:rsidR="00910431" w:rsidRPr="00515B26">
        <w:rPr>
          <w:rFonts w:ascii="Times New Roman" w:hAnsi="Times New Roman" w:cs="Times New Roman"/>
          <w:sz w:val="22"/>
          <w:szCs w:val="22"/>
        </w:rPr>
        <w:t>),</w:t>
      </w:r>
      <w:r w:rsidR="004C3192" w:rsidRPr="00515B26">
        <w:rPr>
          <w:rFonts w:ascii="Times New Roman" w:hAnsi="Times New Roman" w:cs="Times New Roman"/>
          <w:sz w:val="22"/>
          <w:szCs w:val="22"/>
        </w:rPr>
        <w:t xml:space="preserve"> and the sample was large. Therefore, the analysis was conducted using list-wise deletion</w:t>
      </w:r>
      <w:r w:rsidR="00EB1311">
        <w:rPr>
          <w:rFonts w:ascii="Times New Roman" w:hAnsi="Times New Roman" w:cs="Times New Roman"/>
          <w:sz w:val="22"/>
          <w:szCs w:val="22"/>
        </w:rPr>
        <w:t xml:space="preserve"> where missing data occur</w:t>
      </w:r>
      <w:r w:rsidR="000E36D0">
        <w:rPr>
          <w:rFonts w:ascii="Times New Roman" w:hAnsi="Times New Roman" w:cs="Times New Roman"/>
          <w:sz w:val="22"/>
          <w:szCs w:val="22"/>
        </w:rPr>
        <w:t>r</w:t>
      </w:r>
      <w:r w:rsidR="00EB1311">
        <w:rPr>
          <w:rFonts w:ascii="Times New Roman" w:hAnsi="Times New Roman" w:cs="Times New Roman"/>
          <w:sz w:val="22"/>
          <w:szCs w:val="22"/>
        </w:rPr>
        <w:t>ed</w:t>
      </w:r>
      <w:r w:rsidR="004C3192" w:rsidRPr="00515B26">
        <w:rPr>
          <w:rFonts w:ascii="Times New Roman" w:hAnsi="Times New Roman" w:cs="Times New Roman"/>
          <w:sz w:val="22"/>
          <w:szCs w:val="22"/>
        </w:rPr>
        <w:t>.</w:t>
      </w:r>
    </w:p>
    <w:p w14:paraId="09C7661B" w14:textId="007225BD" w:rsidR="007934DE" w:rsidRPr="00515B26" w:rsidRDefault="007934DE" w:rsidP="0058300D">
      <w:pPr>
        <w:spacing w:line="480" w:lineRule="auto"/>
        <w:rPr>
          <w:rFonts w:ascii="Times New Roman" w:hAnsi="Times New Roman" w:cs="Times New Roman"/>
          <w:sz w:val="22"/>
          <w:szCs w:val="22"/>
        </w:rPr>
      </w:pPr>
    </w:p>
    <w:p w14:paraId="361E63BB" w14:textId="0695BBB0" w:rsidR="007934DE" w:rsidRPr="00515B26" w:rsidRDefault="007934DE" w:rsidP="0058300D">
      <w:pPr>
        <w:spacing w:line="480" w:lineRule="auto"/>
        <w:rPr>
          <w:rFonts w:ascii="Times New Roman" w:hAnsi="Times New Roman" w:cs="Times New Roman"/>
          <w:b/>
          <w:bCs/>
          <w:sz w:val="22"/>
          <w:szCs w:val="22"/>
        </w:rPr>
      </w:pPr>
      <w:r w:rsidRPr="00515B26">
        <w:rPr>
          <w:rFonts w:ascii="Times New Roman" w:hAnsi="Times New Roman" w:cs="Times New Roman"/>
          <w:b/>
          <w:bCs/>
          <w:sz w:val="22"/>
          <w:szCs w:val="22"/>
        </w:rPr>
        <w:t>Results</w:t>
      </w:r>
    </w:p>
    <w:p w14:paraId="567B08CB" w14:textId="6C073CB2" w:rsidR="007934DE" w:rsidRPr="00515B26" w:rsidRDefault="007934DE" w:rsidP="0058300D">
      <w:pPr>
        <w:spacing w:line="480" w:lineRule="auto"/>
        <w:rPr>
          <w:rFonts w:ascii="Times New Roman" w:hAnsi="Times New Roman" w:cs="Times New Roman"/>
          <w:sz w:val="22"/>
          <w:szCs w:val="22"/>
        </w:rPr>
      </w:pPr>
      <w:r w:rsidRPr="00340A22">
        <w:rPr>
          <w:rFonts w:ascii="Times New Roman" w:hAnsi="Times New Roman" w:cs="Times New Roman"/>
          <w:sz w:val="22"/>
          <w:szCs w:val="22"/>
        </w:rPr>
        <w:t xml:space="preserve">3415 </w:t>
      </w:r>
      <w:r w:rsidRPr="00515B26">
        <w:rPr>
          <w:rFonts w:ascii="Times New Roman" w:hAnsi="Times New Roman" w:cs="Times New Roman"/>
          <w:sz w:val="22"/>
          <w:szCs w:val="22"/>
        </w:rPr>
        <w:t xml:space="preserve">college students </w:t>
      </w:r>
      <w:r w:rsidR="00CA231E" w:rsidRPr="00515B26">
        <w:rPr>
          <w:rFonts w:ascii="Times New Roman" w:hAnsi="Times New Roman" w:cs="Times New Roman"/>
          <w:sz w:val="22"/>
          <w:szCs w:val="22"/>
        </w:rPr>
        <w:t>were included</w:t>
      </w:r>
      <w:r w:rsidRPr="00515B26">
        <w:rPr>
          <w:rFonts w:ascii="Times New Roman" w:hAnsi="Times New Roman" w:cs="Times New Roman"/>
          <w:sz w:val="22"/>
          <w:szCs w:val="22"/>
        </w:rPr>
        <w:t xml:space="preserve">. Of these, </w:t>
      </w:r>
      <w:r w:rsidR="00470589">
        <w:rPr>
          <w:rFonts w:ascii="Times New Roman" w:hAnsi="Times New Roman" w:cs="Times New Roman"/>
          <w:sz w:val="22"/>
          <w:szCs w:val="22"/>
        </w:rPr>
        <w:t>83</w:t>
      </w:r>
      <w:r w:rsidRPr="00515B26">
        <w:rPr>
          <w:rFonts w:ascii="Times New Roman" w:hAnsi="Times New Roman" w:cs="Times New Roman"/>
          <w:sz w:val="22"/>
          <w:szCs w:val="22"/>
        </w:rPr>
        <w:t xml:space="preserve"> (</w:t>
      </w:r>
      <w:r w:rsidR="00470589">
        <w:rPr>
          <w:rFonts w:ascii="Times New Roman" w:hAnsi="Times New Roman" w:cs="Times New Roman"/>
          <w:sz w:val="22"/>
          <w:szCs w:val="22"/>
        </w:rPr>
        <w:t>2.4</w:t>
      </w:r>
      <w:r w:rsidRPr="00515B26">
        <w:rPr>
          <w:rFonts w:ascii="Times New Roman" w:hAnsi="Times New Roman" w:cs="Times New Roman"/>
          <w:sz w:val="22"/>
          <w:szCs w:val="22"/>
        </w:rPr>
        <w:t>%) had a positive screening outcome for BED</w:t>
      </w:r>
      <w:r w:rsidR="00D31B1B">
        <w:rPr>
          <w:rFonts w:ascii="Times New Roman" w:hAnsi="Times New Roman" w:cs="Times New Roman"/>
          <w:sz w:val="22"/>
          <w:szCs w:val="22"/>
        </w:rPr>
        <w:t>, based on the relevant MIDI module</w:t>
      </w:r>
      <w:r w:rsidRPr="00515B26">
        <w:rPr>
          <w:rFonts w:ascii="Times New Roman" w:hAnsi="Times New Roman" w:cs="Times New Roman"/>
          <w:sz w:val="22"/>
          <w:szCs w:val="22"/>
        </w:rPr>
        <w:t xml:space="preserve">. Current BED was associated with female gender. </w:t>
      </w:r>
      <w:r w:rsidR="00855AA8">
        <w:rPr>
          <w:rFonts w:ascii="Times New Roman" w:hAnsi="Times New Roman" w:cs="Times New Roman"/>
          <w:sz w:val="22"/>
          <w:szCs w:val="22"/>
        </w:rPr>
        <w:t>Other demographic factors (y</w:t>
      </w:r>
      <w:r w:rsidR="009D58D2" w:rsidRPr="00515B26">
        <w:rPr>
          <w:rFonts w:ascii="Times New Roman" w:hAnsi="Times New Roman" w:cs="Times New Roman"/>
          <w:sz w:val="22"/>
          <w:szCs w:val="22"/>
        </w:rPr>
        <w:t>ear in college</w:t>
      </w:r>
      <w:r w:rsidRPr="00515B26">
        <w:rPr>
          <w:rFonts w:ascii="Times New Roman" w:hAnsi="Times New Roman" w:cs="Times New Roman"/>
          <w:sz w:val="22"/>
          <w:szCs w:val="22"/>
        </w:rPr>
        <w:t>, rac</w:t>
      </w:r>
      <w:r w:rsidR="009D58D2" w:rsidRPr="00515B26">
        <w:rPr>
          <w:rFonts w:ascii="Times New Roman" w:hAnsi="Times New Roman" w:cs="Times New Roman"/>
          <w:sz w:val="22"/>
          <w:szCs w:val="22"/>
        </w:rPr>
        <w:t>ial/ethnic group and GPA</w:t>
      </w:r>
      <w:r w:rsidR="00855AA8">
        <w:rPr>
          <w:rFonts w:ascii="Times New Roman" w:hAnsi="Times New Roman" w:cs="Times New Roman"/>
          <w:sz w:val="22"/>
          <w:szCs w:val="22"/>
        </w:rPr>
        <w:t>)</w:t>
      </w:r>
      <w:r w:rsidR="009D58D2" w:rsidRPr="00515B26">
        <w:rPr>
          <w:rFonts w:ascii="Times New Roman" w:hAnsi="Times New Roman" w:cs="Times New Roman"/>
          <w:sz w:val="22"/>
          <w:szCs w:val="22"/>
        </w:rPr>
        <w:t xml:space="preserve"> </w:t>
      </w:r>
      <w:r w:rsidR="002775D8">
        <w:rPr>
          <w:rFonts w:ascii="Times New Roman" w:hAnsi="Times New Roman" w:cs="Times New Roman"/>
          <w:sz w:val="22"/>
          <w:szCs w:val="22"/>
        </w:rPr>
        <w:t xml:space="preserve">did not differ significantly between those with versus without </w:t>
      </w:r>
      <w:r w:rsidR="009D58D2" w:rsidRPr="00515B26">
        <w:rPr>
          <w:rFonts w:ascii="Times New Roman" w:hAnsi="Times New Roman" w:cs="Times New Roman"/>
          <w:sz w:val="22"/>
          <w:szCs w:val="22"/>
        </w:rPr>
        <w:t>BED</w:t>
      </w:r>
      <w:r w:rsidR="000E36D0">
        <w:rPr>
          <w:rFonts w:ascii="Times New Roman" w:hAnsi="Times New Roman" w:cs="Times New Roman"/>
          <w:sz w:val="22"/>
          <w:szCs w:val="22"/>
        </w:rPr>
        <w:t xml:space="preserve"> (Table 1)</w:t>
      </w:r>
      <w:r w:rsidR="009D58D2" w:rsidRPr="00515B26">
        <w:rPr>
          <w:rFonts w:ascii="Times New Roman" w:hAnsi="Times New Roman" w:cs="Times New Roman"/>
          <w:sz w:val="22"/>
          <w:szCs w:val="22"/>
        </w:rPr>
        <w:t>.</w:t>
      </w:r>
    </w:p>
    <w:p w14:paraId="23F025C0" w14:textId="7014A542" w:rsidR="00D65CAD" w:rsidRPr="00515B26" w:rsidRDefault="00D65CAD" w:rsidP="0058300D">
      <w:pPr>
        <w:spacing w:line="480" w:lineRule="auto"/>
        <w:rPr>
          <w:rFonts w:ascii="Times New Roman" w:hAnsi="Times New Roman" w:cs="Times New Roman"/>
          <w:sz w:val="22"/>
          <w:szCs w:val="22"/>
        </w:rPr>
      </w:pPr>
    </w:p>
    <w:p w14:paraId="6314B628" w14:textId="6CB07CAF" w:rsidR="00D65CAD" w:rsidRPr="00515B26" w:rsidRDefault="00011884" w:rsidP="0058300D">
      <w:pPr>
        <w:spacing w:line="480" w:lineRule="auto"/>
        <w:rPr>
          <w:rFonts w:ascii="Times New Roman" w:eastAsiaTheme="minorEastAsia" w:hAnsi="Times New Roman" w:cs="Times New Roman"/>
          <w:sz w:val="22"/>
          <w:szCs w:val="22"/>
        </w:rPr>
      </w:pPr>
      <w:r w:rsidRPr="00515B26">
        <w:rPr>
          <w:rFonts w:ascii="Times New Roman" w:hAnsi="Times New Roman" w:cs="Times New Roman"/>
          <w:sz w:val="22"/>
          <w:szCs w:val="22"/>
        </w:rPr>
        <w:t>BED was associated with</w:t>
      </w:r>
      <w:r w:rsidR="00BA6B88" w:rsidRPr="00515B26">
        <w:rPr>
          <w:rFonts w:ascii="Times New Roman" w:eastAsiaTheme="minorEastAsia" w:hAnsi="Times New Roman" w:cs="Times New Roman"/>
          <w:sz w:val="22"/>
          <w:szCs w:val="22"/>
        </w:rPr>
        <w:t xml:space="preserve"> </w:t>
      </w:r>
      <w:r w:rsidR="00F03E25" w:rsidRPr="00515B26">
        <w:rPr>
          <w:rFonts w:ascii="Times New Roman" w:eastAsiaTheme="minorEastAsia" w:hAnsi="Times New Roman" w:cs="Times New Roman"/>
          <w:sz w:val="22"/>
          <w:szCs w:val="22"/>
        </w:rPr>
        <w:t xml:space="preserve">higher </w:t>
      </w:r>
      <w:r w:rsidR="00CD5F1F" w:rsidRPr="00515B26">
        <w:rPr>
          <w:rFonts w:ascii="Times New Roman" w:hAnsi="Times New Roman" w:cs="Times New Roman"/>
          <w:sz w:val="22"/>
          <w:szCs w:val="22"/>
        </w:rPr>
        <w:t>AUDIT score</w:t>
      </w:r>
      <w:r w:rsidR="00F03E25" w:rsidRPr="00515B26">
        <w:rPr>
          <w:rFonts w:ascii="Times New Roman" w:hAnsi="Times New Roman" w:cs="Times New Roman"/>
          <w:sz w:val="22"/>
          <w:szCs w:val="22"/>
        </w:rPr>
        <w:t>s</w:t>
      </w:r>
      <w:r w:rsidR="002D3F2F">
        <w:rPr>
          <w:rFonts w:ascii="Times New Roman" w:eastAsiaTheme="minorEastAsia" w:hAnsi="Times New Roman" w:cs="Times New Roman"/>
          <w:sz w:val="22"/>
          <w:szCs w:val="22"/>
        </w:rPr>
        <w:t xml:space="preserve"> but not with frequency of alcohol consumption, treatment for drug/alcohol use problems or use of any other substances</w:t>
      </w:r>
      <w:r w:rsidR="001F777D">
        <w:rPr>
          <w:rFonts w:ascii="Times New Roman" w:eastAsiaTheme="minorEastAsia" w:hAnsi="Times New Roman" w:cs="Times New Roman"/>
          <w:sz w:val="22"/>
          <w:szCs w:val="22"/>
        </w:rPr>
        <w:t xml:space="preserve"> included in the survey</w:t>
      </w:r>
      <w:r w:rsidR="000E36D0">
        <w:rPr>
          <w:rFonts w:ascii="Times New Roman" w:eastAsiaTheme="minorEastAsia" w:hAnsi="Times New Roman" w:cs="Times New Roman"/>
          <w:sz w:val="22"/>
          <w:szCs w:val="22"/>
        </w:rPr>
        <w:t xml:space="preserve"> (Table 2)</w:t>
      </w:r>
      <w:r w:rsidR="00272257" w:rsidRPr="00515B26">
        <w:rPr>
          <w:rFonts w:ascii="Times New Roman" w:eastAsiaTheme="minorEastAsia" w:hAnsi="Times New Roman" w:cs="Times New Roman"/>
          <w:sz w:val="22"/>
          <w:szCs w:val="22"/>
        </w:rPr>
        <w:t>.</w:t>
      </w:r>
    </w:p>
    <w:p w14:paraId="063217FD" w14:textId="3A2DC007" w:rsidR="00F65926" w:rsidRPr="00515B26" w:rsidRDefault="00F65926" w:rsidP="0058300D">
      <w:pPr>
        <w:spacing w:line="480" w:lineRule="auto"/>
        <w:rPr>
          <w:rFonts w:ascii="Times New Roman" w:eastAsiaTheme="minorEastAsia" w:hAnsi="Times New Roman" w:cs="Times New Roman"/>
          <w:sz w:val="22"/>
          <w:szCs w:val="22"/>
        </w:rPr>
      </w:pPr>
    </w:p>
    <w:p w14:paraId="082CAD34" w14:textId="49AC47E0" w:rsidR="00F65926" w:rsidRPr="00515B26" w:rsidRDefault="00F3685D" w:rsidP="0058300D">
      <w:pPr>
        <w:spacing w:line="480" w:lineRule="auto"/>
        <w:rPr>
          <w:rFonts w:ascii="Times New Roman" w:eastAsiaTheme="minorEastAsia" w:hAnsi="Times New Roman" w:cs="Times New Roman"/>
          <w:sz w:val="22"/>
          <w:szCs w:val="22"/>
        </w:rPr>
      </w:pPr>
      <w:r w:rsidRPr="00515B26">
        <w:rPr>
          <w:rFonts w:ascii="Times New Roman" w:eastAsiaTheme="minorEastAsia" w:hAnsi="Times New Roman" w:cs="Times New Roman"/>
          <w:sz w:val="22"/>
          <w:szCs w:val="22"/>
        </w:rPr>
        <w:t xml:space="preserve">Students with current BED were more likely to have been treated for psychological/emotional problems and to be taking prescribed mental health medications. </w:t>
      </w:r>
      <w:r w:rsidR="00BA066D" w:rsidRPr="00515B26">
        <w:rPr>
          <w:rFonts w:ascii="Times New Roman" w:eastAsiaTheme="minorEastAsia" w:hAnsi="Times New Roman" w:cs="Times New Roman"/>
          <w:sz w:val="22"/>
          <w:szCs w:val="22"/>
        </w:rPr>
        <w:t xml:space="preserve">Questionnaires demonstrated that BED was associated with higher </w:t>
      </w:r>
      <w:r w:rsidR="00BA6B88" w:rsidRPr="00515B26">
        <w:rPr>
          <w:rFonts w:ascii="Times New Roman" w:eastAsiaTheme="minorEastAsia" w:hAnsi="Times New Roman" w:cs="Times New Roman"/>
          <w:sz w:val="22"/>
          <w:szCs w:val="22"/>
        </w:rPr>
        <w:t xml:space="preserve">scores in the </w:t>
      </w:r>
      <w:r w:rsidR="00BA066D" w:rsidRPr="00515B26">
        <w:rPr>
          <w:rFonts w:ascii="Times New Roman" w:eastAsiaTheme="minorEastAsia" w:hAnsi="Times New Roman" w:cs="Times New Roman"/>
          <w:sz w:val="22"/>
          <w:szCs w:val="22"/>
        </w:rPr>
        <w:t>PHQ-9</w:t>
      </w:r>
      <w:r w:rsidR="00BA6B88" w:rsidRPr="00515B26">
        <w:rPr>
          <w:rFonts w:ascii="Times New Roman" w:eastAsiaTheme="minorEastAsia" w:hAnsi="Times New Roman" w:cs="Times New Roman"/>
          <w:sz w:val="22"/>
          <w:szCs w:val="22"/>
        </w:rPr>
        <w:t xml:space="preserve"> and </w:t>
      </w:r>
      <w:r w:rsidR="00BA066D" w:rsidRPr="00515B26">
        <w:rPr>
          <w:rFonts w:ascii="Times New Roman" w:eastAsiaTheme="minorEastAsia" w:hAnsi="Times New Roman" w:cs="Times New Roman"/>
          <w:sz w:val="22"/>
          <w:szCs w:val="22"/>
        </w:rPr>
        <w:t>GAD-7, lower RSES scores</w:t>
      </w:r>
      <w:r w:rsidR="00C72E3C" w:rsidRPr="00515B26">
        <w:rPr>
          <w:rFonts w:ascii="Times New Roman" w:eastAsiaTheme="minorEastAsia" w:hAnsi="Times New Roman" w:cs="Times New Roman"/>
          <w:sz w:val="22"/>
          <w:szCs w:val="22"/>
        </w:rPr>
        <w:t>,</w:t>
      </w:r>
      <w:r w:rsidR="00BA066D" w:rsidRPr="00515B26">
        <w:rPr>
          <w:rFonts w:ascii="Times New Roman" w:eastAsiaTheme="minorEastAsia" w:hAnsi="Times New Roman" w:cs="Times New Roman"/>
          <w:sz w:val="22"/>
          <w:szCs w:val="22"/>
        </w:rPr>
        <w:t xml:space="preserve"> </w:t>
      </w:r>
      <w:r w:rsidR="00C72E3C" w:rsidRPr="00515B26">
        <w:rPr>
          <w:rFonts w:ascii="Times New Roman" w:eastAsiaTheme="minorEastAsia" w:hAnsi="Times New Roman" w:cs="Times New Roman"/>
          <w:sz w:val="22"/>
          <w:szCs w:val="22"/>
        </w:rPr>
        <w:t xml:space="preserve">and </w:t>
      </w:r>
      <w:r w:rsidR="00BA066D" w:rsidRPr="00515B26">
        <w:rPr>
          <w:rFonts w:ascii="Times New Roman" w:eastAsiaTheme="minorEastAsia" w:hAnsi="Times New Roman" w:cs="Times New Roman"/>
          <w:sz w:val="22"/>
          <w:szCs w:val="22"/>
        </w:rPr>
        <w:t>higher likelihood</w:t>
      </w:r>
      <w:r w:rsidR="00C72E3C" w:rsidRPr="00515B26">
        <w:rPr>
          <w:rFonts w:ascii="Times New Roman" w:eastAsiaTheme="minorEastAsia" w:hAnsi="Times New Roman" w:cs="Times New Roman"/>
          <w:sz w:val="22"/>
          <w:szCs w:val="22"/>
        </w:rPr>
        <w:t>s</w:t>
      </w:r>
      <w:r w:rsidR="00BA066D" w:rsidRPr="00515B26">
        <w:rPr>
          <w:rFonts w:ascii="Times New Roman" w:eastAsiaTheme="minorEastAsia" w:hAnsi="Times New Roman" w:cs="Times New Roman"/>
          <w:sz w:val="22"/>
          <w:szCs w:val="22"/>
        </w:rPr>
        <w:t xml:space="preserve"> of PTSD </w:t>
      </w:r>
      <w:r w:rsidR="00C72E3C" w:rsidRPr="00515B26">
        <w:rPr>
          <w:rFonts w:ascii="Times New Roman" w:eastAsiaTheme="minorEastAsia" w:hAnsi="Times New Roman" w:cs="Times New Roman"/>
          <w:sz w:val="22"/>
          <w:szCs w:val="22"/>
        </w:rPr>
        <w:t>and</w:t>
      </w:r>
      <w:r w:rsidR="00BA066D" w:rsidRPr="00515B26">
        <w:rPr>
          <w:rFonts w:ascii="Times New Roman" w:eastAsiaTheme="minorEastAsia" w:hAnsi="Times New Roman" w:cs="Times New Roman"/>
          <w:sz w:val="22"/>
          <w:szCs w:val="22"/>
        </w:rPr>
        <w:t xml:space="preserve"> ADHD</w:t>
      </w:r>
      <w:r w:rsidR="00C72E3C" w:rsidRPr="00515B26">
        <w:rPr>
          <w:rFonts w:ascii="Times New Roman" w:eastAsiaTheme="minorEastAsia" w:hAnsi="Times New Roman" w:cs="Times New Roman"/>
          <w:sz w:val="22"/>
          <w:szCs w:val="22"/>
        </w:rPr>
        <w:t>.</w:t>
      </w:r>
      <w:r w:rsidR="00BA066D" w:rsidRPr="00515B26">
        <w:rPr>
          <w:rFonts w:ascii="Times New Roman" w:eastAsiaTheme="minorEastAsia" w:hAnsi="Times New Roman" w:cs="Times New Roman"/>
          <w:sz w:val="22"/>
          <w:szCs w:val="22"/>
        </w:rPr>
        <w:t xml:space="preserve"> BED was not associated with consumption of caffeinated soft drinks or</w:t>
      </w:r>
      <w:r w:rsidR="00B44D0B">
        <w:rPr>
          <w:rFonts w:ascii="Times New Roman" w:eastAsiaTheme="minorEastAsia" w:hAnsi="Times New Roman" w:cs="Times New Roman"/>
          <w:sz w:val="22"/>
          <w:szCs w:val="22"/>
        </w:rPr>
        <w:t xml:space="preserve"> with presence of</w:t>
      </w:r>
      <w:r w:rsidR="00BA066D" w:rsidRPr="00515B26">
        <w:rPr>
          <w:rFonts w:ascii="Times New Roman" w:eastAsiaTheme="minorEastAsia" w:hAnsi="Times New Roman" w:cs="Times New Roman"/>
          <w:sz w:val="22"/>
          <w:szCs w:val="22"/>
        </w:rPr>
        <w:t xml:space="preserve"> gambling disorder</w:t>
      </w:r>
      <w:r w:rsidR="000E36D0">
        <w:rPr>
          <w:rFonts w:ascii="Times New Roman" w:eastAsiaTheme="minorEastAsia" w:hAnsi="Times New Roman" w:cs="Times New Roman"/>
          <w:sz w:val="22"/>
          <w:szCs w:val="22"/>
        </w:rPr>
        <w:t xml:space="preserve"> (Table 3)</w:t>
      </w:r>
      <w:r w:rsidR="00BA066D" w:rsidRPr="00515B26">
        <w:rPr>
          <w:rFonts w:ascii="Times New Roman" w:eastAsiaTheme="minorEastAsia" w:hAnsi="Times New Roman" w:cs="Times New Roman"/>
          <w:sz w:val="22"/>
          <w:szCs w:val="22"/>
        </w:rPr>
        <w:t>.</w:t>
      </w:r>
    </w:p>
    <w:p w14:paraId="387058B1" w14:textId="0C98F949" w:rsidR="00886392" w:rsidRPr="00515B26" w:rsidRDefault="00886392" w:rsidP="0058300D">
      <w:pPr>
        <w:spacing w:line="480" w:lineRule="auto"/>
        <w:rPr>
          <w:rFonts w:ascii="Times New Roman" w:eastAsiaTheme="minorEastAsia" w:hAnsi="Times New Roman" w:cs="Times New Roman"/>
          <w:sz w:val="22"/>
          <w:szCs w:val="22"/>
        </w:rPr>
      </w:pPr>
    </w:p>
    <w:p w14:paraId="63A02462" w14:textId="714E316A" w:rsidR="00886392" w:rsidRPr="00515B26" w:rsidRDefault="007D6429" w:rsidP="0058300D">
      <w:pPr>
        <w:spacing w:line="480" w:lineRule="auto"/>
        <w:rPr>
          <w:rFonts w:ascii="Times New Roman" w:eastAsiaTheme="minorEastAsia" w:hAnsi="Times New Roman" w:cs="Times New Roman"/>
          <w:sz w:val="22"/>
          <w:szCs w:val="22"/>
        </w:rPr>
      </w:pPr>
      <w:r w:rsidRPr="00515B26">
        <w:rPr>
          <w:rFonts w:ascii="Times New Roman" w:eastAsiaTheme="minorEastAsia" w:hAnsi="Times New Roman" w:cs="Times New Roman"/>
          <w:sz w:val="22"/>
          <w:szCs w:val="22"/>
        </w:rPr>
        <w:t>S</w:t>
      </w:r>
      <w:r w:rsidR="00886392" w:rsidRPr="00515B26">
        <w:rPr>
          <w:rFonts w:ascii="Times New Roman" w:eastAsiaTheme="minorEastAsia" w:hAnsi="Times New Roman" w:cs="Times New Roman"/>
          <w:sz w:val="22"/>
          <w:szCs w:val="22"/>
        </w:rPr>
        <w:t>tudents with current BED had higher BIS-11 total scores</w:t>
      </w:r>
      <w:r w:rsidR="00665350" w:rsidRPr="00515B26">
        <w:rPr>
          <w:rFonts w:ascii="Times New Roman" w:eastAsiaTheme="minorEastAsia" w:hAnsi="Times New Roman" w:cs="Times New Roman"/>
          <w:sz w:val="22"/>
          <w:szCs w:val="22"/>
        </w:rPr>
        <w:t>,</w:t>
      </w:r>
      <w:r w:rsidR="00886392" w:rsidRPr="00515B26">
        <w:rPr>
          <w:rFonts w:ascii="Times New Roman" w:eastAsiaTheme="minorEastAsia" w:hAnsi="Times New Roman" w:cs="Times New Roman"/>
          <w:sz w:val="22"/>
          <w:szCs w:val="22"/>
        </w:rPr>
        <w:t xml:space="preserve"> including higher scores for each subscale. BED </w:t>
      </w:r>
      <w:r w:rsidRPr="00515B26">
        <w:rPr>
          <w:rFonts w:ascii="Times New Roman" w:eastAsiaTheme="minorEastAsia" w:hAnsi="Times New Roman" w:cs="Times New Roman"/>
          <w:sz w:val="22"/>
          <w:szCs w:val="22"/>
        </w:rPr>
        <w:t xml:space="preserve">was </w:t>
      </w:r>
      <w:r w:rsidR="00886392" w:rsidRPr="00515B26">
        <w:rPr>
          <w:rFonts w:ascii="Times New Roman" w:eastAsiaTheme="minorEastAsia" w:hAnsi="Times New Roman" w:cs="Times New Roman"/>
          <w:sz w:val="22"/>
          <w:szCs w:val="22"/>
        </w:rPr>
        <w:t xml:space="preserve">also </w:t>
      </w:r>
      <w:r w:rsidRPr="00515B26">
        <w:rPr>
          <w:rFonts w:ascii="Times New Roman" w:eastAsiaTheme="minorEastAsia" w:hAnsi="Times New Roman" w:cs="Times New Roman"/>
          <w:sz w:val="22"/>
          <w:szCs w:val="22"/>
        </w:rPr>
        <w:t>associated with</w:t>
      </w:r>
      <w:r w:rsidR="00886392" w:rsidRPr="00515B26">
        <w:rPr>
          <w:rFonts w:ascii="Times New Roman" w:eastAsiaTheme="minorEastAsia" w:hAnsi="Times New Roman" w:cs="Times New Roman"/>
          <w:sz w:val="22"/>
          <w:szCs w:val="22"/>
        </w:rPr>
        <w:t xml:space="preserve"> </w:t>
      </w:r>
      <w:r w:rsidR="00096250" w:rsidRPr="00515B26">
        <w:rPr>
          <w:rFonts w:ascii="Times New Roman" w:eastAsiaTheme="minorEastAsia" w:hAnsi="Times New Roman" w:cs="Times New Roman"/>
          <w:sz w:val="22"/>
          <w:szCs w:val="22"/>
        </w:rPr>
        <w:t xml:space="preserve">higher </w:t>
      </w:r>
      <w:r w:rsidR="00886392" w:rsidRPr="00515B26">
        <w:rPr>
          <w:rFonts w:ascii="Times New Roman" w:eastAsiaTheme="minorEastAsia" w:hAnsi="Times New Roman" w:cs="Times New Roman"/>
          <w:sz w:val="22"/>
          <w:szCs w:val="22"/>
        </w:rPr>
        <w:t>CHI-T scores</w:t>
      </w:r>
      <w:r w:rsidR="000E36D0">
        <w:rPr>
          <w:rFonts w:ascii="Times New Roman" w:eastAsiaTheme="minorEastAsia" w:hAnsi="Times New Roman" w:cs="Times New Roman"/>
          <w:sz w:val="22"/>
          <w:szCs w:val="22"/>
        </w:rPr>
        <w:t xml:space="preserve"> (Table 4)</w:t>
      </w:r>
      <w:r w:rsidRPr="00515B26">
        <w:rPr>
          <w:rFonts w:ascii="Times New Roman" w:eastAsiaTheme="minorEastAsia" w:hAnsi="Times New Roman" w:cs="Times New Roman"/>
          <w:sz w:val="22"/>
          <w:szCs w:val="22"/>
        </w:rPr>
        <w:t>.</w:t>
      </w:r>
    </w:p>
    <w:p w14:paraId="67C6B361" w14:textId="6F598CE2" w:rsidR="006528EE" w:rsidRPr="00515B26" w:rsidRDefault="006528EE" w:rsidP="0058300D">
      <w:pPr>
        <w:spacing w:line="480" w:lineRule="auto"/>
        <w:rPr>
          <w:rFonts w:ascii="Times New Roman" w:eastAsiaTheme="minorEastAsia" w:hAnsi="Times New Roman" w:cs="Times New Roman"/>
          <w:sz w:val="22"/>
          <w:szCs w:val="22"/>
        </w:rPr>
      </w:pPr>
    </w:p>
    <w:p w14:paraId="597EADB7" w14:textId="026F4B2E" w:rsidR="006528EE" w:rsidRPr="00515B26" w:rsidRDefault="006528EE" w:rsidP="0058300D">
      <w:pPr>
        <w:spacing w:line="480" w:lineRule="auto"/>
        <w:rPr>
          <w:rFonts w:ascii="Times New Roman" w:eastAsiaTheme="minorEastAsia" w:hAnsi="Times New Roman" w:cs="Times New Roman"/>
          <w:b/>
          <w:bCs/>
          <w:sz w:val="22"/>
          <w:szCs w:val="22"/>
        </w:rPr>
      </w:pPr>
      <w:r w:rsidRPr="00515B26">
        <w:rPr>
          <w:rFonts w:ascii="Times New Roman" w:eastAsiaTheme="minorEastAsia" w:hAnsi="Times New Roman" w:cs="Times New Roman"/>
          <w:b/>
          <w:bCs/>
          <w:sz w:val="22"/>
          <w:szCs w:val="22"/>
        </w:rPr>
        <w:t>Discussion</w:t>
      </w:r>
    </w:p>
    <w:p w14:paraId="289B7A9C" w14:textId="0DB437CE" w:rsidR="00076CC6" w:rsidRDefault="00317E04" w:rsidP="0058300D">
      <w:pPr>
        <w:spacing w:line="480" w:lineRule="auto"/>
        <w:rPr>
          <w:rFonts w:ascii="Times New Roman" w:hAnsi="Times New Roman" w:cs="Times New Roman"/>
          <w:sz w:val="22"/>
          <w:szCs w:val="22"/>
        </w:rPr>
      </w:pPr>
      <w:r w:rsidRPr="00515B26">
        <w:rPr>
          <w:rFonts w:ascii="Times New Roman" w:hAnsi="Times New Roman" w:cs="Times New Roman"/>
          <w:sz w:val="22"/>
          <w:szCs w:val="22"/>
        </w:rPr>
        <w:t xml:space="preserve">This large study of university students assessed associations between BED and </w:t>
      </w:r>
      <w:r w:rsidR="00CE6DF6" w:rsidRPr="00515B26">
        <w:rPr>
          <w:rFonts w:ascii="Times New Roman" w:hAnsi="Times New Roman" w:cs="Times New Roman"/>
          <w:sz w:val="22"/>
          <w:szCs w:val="22"/>
        </w:rPr>
        <w:t xml:space="preserve">demographic and mental health measures. We found that </w:t>
      </w:r>
      <w:r w:rsidR="00470589">
        <w:rPr>
          <w:rFonts w:ascii="Times New Roman" w:hAnsi="Times New Roman" w:cs="Times New Roman"/>
          <w:sz w:val="22"/>
          <w:szCs w:val="22"/>
        </w:rPr>
        <w:t>2.4</w:t>
      </w:r>
      <w:r w:rsidR="00CE6DF6" w:rsidRPr="00515B26">
        <w:rPr>
          <w:rFonts w:ascii="Times New Roman" w:hAnsi="Times New Roman" w:cs="Times New Roman"/>
          <w:sz w:val="22"/>
          <w:szCs w:val="22"/>
        </w:rPr>
        <w:t xml:space="preserve">% of students had a positive screen for current BED, which is in line with </w:t>
      </w:r>
      <w:r w:rsidR="00A9339A" w:rsidRPr="00515B26">
        <w:rPr>
          <w:rFonts w:ascii="Times New Roman" w:hAnsi="Times New Roman" w:cs="Times New Roman"/>
          <w:sz w:val="22"/>
          <w:szCs w:val="22"/>
        </w:rPr>
        <w:t xml:space="preserve">the lower end of estimates by </w:t>
      </w:r>
      <w:r w:rsidR="00CE6DF6" w:rsidRPr="00515B26">
        <w:rPr>
          <w:rFonts w:ascii="Times New Roman" w:hAnsi="Times New Roman" w:cs="Times New Roman"/>
          <w:sz w:val="22"/>
          <w:szCs w:val="22"/>
        </w:rPr>
        <w:t>previous studies in university student populations</w:t>
      </w:r>
      <w:r w:rsidR="006C7756">
        <w:rPr>
          <w:rFonts w:ascii="Times New Roman" w:hAnsi="Times New Roman" w:cs="Times New Roman"/>
          <w:sz w:val="22"/>
          <w:szCs w:val="22"/>
        </w:rPr>
        <w:t>.</w:t>
      </w:r>
      <w:r w:rsidR="004E6E97" w:rsidRPr="00515B26">
        <w:rPr>
          <w:rFonts w:ascii="Times New Roman" w:hAnsi="Times New Roman" w:cs="Times New Roman"/>
          <w:sz w:val="22"/>
          <w:szCs w:val="22"/>
        </w:rPr>
        <w:fldChar w:fldCharType="begin" w:fldLock="1"/>
      </w:r>
      <w:r w:rsidR="00271853">
        <w:rPr>
          <w:rFonts w:ascii="Times New Roman" w:hAnsi="Times New Roman" w:cs="Times New Roman"/>
          <w:sz w:val="22"/>
          <w:szCs w:val="22"/>
        </w:rPr>
        <w:instrText>ADDIN CSL_CITATION {"citationItems":[{"id":"ITEM-1","itemData":{"DOI":"10.1111/j.1440-1614.2006.01759.x","ISSN":"0004-8674","PMID":"16476130","abstract":"Objective: The purpose of this study was to determine the prevalence of eating disorders (EDs) among university students in a rural area of Turkey and to compare groups based on the sociodemographic data, history of child abuse and neglect, family roles and selfesteem with a normal control group regarding EDs. Method: Subjects who were chosen by simple random sampling method were consisted of 980 Cumhuriyet University students who agreed to participate out of the 1003 total students and were given a sociodemographic information form and an Eating Attitudes Test (EAT). Students who scored above a cutoff level on the EAT were interviewed using the Structured Clinical Interview for DSM-IV axis I Disorders (SCID-I), Clinical Version. The Rosenberg Self-Esteem Scale, Family Assessment Device (FAD) and Childhood Abuse and Neglect Questionnaire Form were given to subjects in the control and study groups. Results: Seventy-one of the 951 students (492 female, 459 male) who correctly filled out the EAT had a score above the cutoff level of 30 or higher. Of these 71 students, 21 (2.20%) were found to have an eating disorder based on the SCID-I. No subjects were found to have anorexia nervosa. Eighteen of the 21 subjects were female. Of these 18 female students, 15 (1.57%) were found to have bulimia nervosa and three (0.31%) were found to have binge eating disorder (BED). All of the three male subjects were diagnosed with BED (0.31%). The self-esteem of those in the study group was lower than those in the control group (p &lt; 0.001). Subjects in the study group had more frequent histories of sexual and emotional abuse in childhood (p &lt; 0.05). Also, in the study group scores showing communication in FAD families, unity and emotional attachment were statistically significantly lower than the control group (p &lt; 0.001). Conclusions: It has been observed from the results of this research that the frequency of bulimia nervosa and BED in this sample is so similar to Western samples. Besides that, self-esteem, child abuse and neglect, and family functions must be examined in detail because they are risk factors for EDs and affect the course of treatment. © 2006 The Authors Journal compilation © 2006 The Royal Australian and New Zealand College of Psychiatrists.","author":[{"dropping-particle":"","family":"Kugu","given":"Nesim","non-dropping-particle":"","parse-names":false,"suffix":""},{"dropping-particle":"","family":"Akyuz","given":"Gamze","non-dropping-particle":"","parse-names":false,"suffix":""},{"dropping-particle":"","family":"Dogan","given":"Orhan","non-dropping-particle":"","parse-names":false,"suffix":""},{"dropping-particle":"","family":"Ersan","given":"Erdal","non-dropping-particle":"","parse-names":false,"suffix":""},{"dropping-particle":"","family":"Izgic","given":"Ferda","non-dropping-particle":"","parse-names":false,"suffix":""}],"container-title":"Australian and New Zealand Journal of Psychiatry","id":"ITEM-1","issue":"2","issued":{"date-parts":[["2006","2"]]},"page":"129-135","title":"The prevalence of eating disorders among university students and the relationship with some individual characteristics","type":"article-journal","volume":"40"},"uris":["http://www.mendeley.com/documents/?uuid=ab806429-a178-41ef-a40c-afbbf333b1dd"]},{"id":"ITEM-2","itemData":{"DOI":"10.1016/j.eatbeh.2011.07.004","ISSN":"14710153","PMID":"22051361","abstract":"Binge Eating Disorder (BED) is characterized by recurrent episodes of compulsive eating, without any compensatory behavior to avoid possible gain weight. Individuals who suffer from eating disorders often show negative self-image.The present paper aimed to assess BED prevalence and self-image disorders among university students in the city of São José do Rio Preto, State of São Paulo, Brazil.The survey had the participation of 217 undergraduates. The following procedures were carried out: a personal data questionnaire, the Binge Eating Scale and a figure scale.In the surveyed population, 12.90% showed BED. Most subjects (86.32%) chose larger figures when compared to their current BMI, overestimating their body size. Furthermore, BED individuals showed higher self-image inadequacy in comparison to people without the disorder.Therefore, this is a public health problem to which undergraduates are exposed; forthcoming studies may be carried out to understand BED and associated commorbidities. © 2011 Elsevier Ltd.","author":[{"dropping-particle":"","family":"Nicoli","given":"Marina G.","non-dropping-particle":"","parse-names":false,"suffix":""},{"dropping-particle":"","family":"Liberatore Junior","given":"Raphael D.R.","non-dropping-particle":"","parse-names":false,"suffix":""}],"container-title":"Eating Behaviors","id":"ITEM-2","issue":"4","issued":{"date-parts":[["2011","12"]]},"page":"284-288","publisher":"Elsevier Ltd","title":"Binge Eating Disorder and body image perception among university students","type":"article-journal","volume":"12"},"uris":["http://www.mendeley.com/documents/?uuid=9221ea43-8b64-4638-8d40-7c2efed343b7"]},{"id":"ITEM-3","itemData":{"DOI":"10.1002/erv.2283","ISSN":"10724133","PMID":"24729194","abstract":"Binge eating disorder (BED) has important associated comorbidities and has been recently considered as a diagnostic category in the Diagnostic and Statistical Manual of Mental Disorders - Fifth Edition. This study investigates the prevalence of BED in a sample of college students using a two-stage design. Between October 2008 and July 2009, 805 students attending a public college campus completed the Questionnaire on Eating and Weight Patterns - Revised to screen for possible cases. Eighty-five students meeting key criteria for BED were invited for a second stage interview using the Eating Disorder Examination. At stage 1, 9.6% of the subjects reported binge eating episodes. At stage 2, a prevalence rate of 0.5% for BED was found, and 1% if the criterion for large amount of food was excluded. © 2014 John Wiley &amp; Sons, Ltd and Eating Disorders Association.","author":[{"dropping-particle":"","family":"Ribeiro","given":"Mónica","non-dropping-particle":"","parse-names":false,"suffix":""},{"dropping-particle":"","family":"Conceição","given":"Eva","non-dropping-particle":"","parse-names":false,"suffix":""},{"dropping-particle":"","family":"Vaz","given":"Ana Rita","non-dropping-particle":"","parse-names":false,"suffix":""},{"dropping-particle":"","family":"Machado","given":"Paulo P. P.","non-dropping-particle":"","parse-names":false,"suffix":""}],"container-title":"European Eating Disorders Review","id":"ITEM-3","issue":"3","issued":{"date-parts":[["2014","5"]]},"page":"185-190","title":"The Prevalence of Binge Eating Disorder in a Sample of College Students in the North of Portugal","type":"article-journal","volume":"22"},"uris":["http://www.mendeley.com/documents/?uuid=a76ddf91-661b-40f2-a21c-07528185daca"]},{"id":"ITEM-4","itemData":{"DOI":"10.1007/s00127-013-0694-y","ISSN":"09337954","PMID":"23744441","abstract":"Background: The community prevalence of eating disorders among Chinese young women may now be similar to their western counterparts. Aim: To investigate the prevalence of eating disorders (ED) in female university students in Wuhan, China, using a two-stage design. Method: In stage one, 99.1 % (N = 8,444) of eligible students (N = 8,521) completed the eating disorder inventory-1 (EDI-1) and a survey of relevant anthropomorphic data. A total of 421 women scored above the cut-off for EDE-1, as defined by a set of criteria similar to those of Keski-Rahkonen (Int J Eat Disord 39:754-762, 2006). 257 (61 %) of these case-positive women and a random sample of case-negative women (312 out of 8,023, 4 %) whose scores did not exceed the defined cut-off were interviewed using the eating disorder examination (EDE) and the structured clinical interview for DSM-IV axis I disorders (SCID-I). Results: On interview with the SCID-I, 79 women were diagnosed with an ED. Among them, 10 had anorexia nervosa (AN), 21 bulimia nervosa (BN), and 48 binge eating disorder (BED) The results showed a prevalence rate of 1.05 % (95 % CI = 0.02-2.08) for AN, 2.98 % (95 % CI = 1.21-4.74) for BN, and 3.53 % (95 % CI = 1.75-5.30) for BED. Conclusion: The prevalence of ED among female university students in China is now similar to that of their western counterparts, and BED is the most common ED followed by BN and AN similarly. ©2013 Springer-Verlag Berlin Heidelberg.","author":[{"dropping-particle":"","family":"Tong","given":"Jun","non-dropping-particle":"","parse-names":false,"suffix":""},{"dropping-particle":"","family":"Miao","given":"Shaojiang","non-dropping-particle":"","parse-names":false,"suffix":""},{"dropping-particle":"","family":"Wang","given":"Jian","non-dropping-particle":"","parse-names":false,"suffix":""},{"dropping-particle":"","family":"Yang","given":"Fan","non-dropping-particle":"","parse-names":false,"suffix":""},{"dropping-particle":"","family":"Lai","given":"Haixiong","non-dropping-particle":"","parse-names":false,"suffix":""},{"dropping-particle":"","family":"Zhang","given":"Chunyan","non-dropping-particle":"","parse-names":false,"suffix":""},{"dropping-particle":"","family":"Zhang","given":"Yanhua","non-dropping-particle":"","parse-names":false,"suffix":""},{"dropping-particle":"","family":"Hsu","given":"L. K.George","non-dropping-particle":"","parse-names":false,"suffix":""}],"container-title":"Social Psychiatry and Psychiatric Epidemiology","id":"ITEM-4","issue":"3","issued":{"date-parts":[["2014"]]},"page":"499-505","title":"A two-stage epidemiologic study on prevalence of eating disorders in female university students in Wuhan, China","type":"article-journal","volume":"49"},"uris":["http://www.mendeley.com/documents/?uuid=be06c155-4042-4bfa-af31-86861a3bd0c4"]},{"id":"ITEM-5","itemData":{"DOI":"10.1016/j.ajp.2019.07.017","ISSN":"18762026","PMID":"31302438","abstract":"Background: Borderline personality disorder (BPD) usually emerges during adolescence and is associated with severe morbidity. Individuals with BPD are also vulnerable to develop eating disorders as well as mood disorders. Objective: To study the prevalence of borderline personality and its association with binge-eating and bipolar spectrum disorder in college students. Methods: A questionnaire based survey was conducted on a convenience sample of 500 college students (&gt;18 years of age) in medical and engineering campus. Participants were screened on self-report measures including McLean Screening Instrument for BPD (MSI-BPD), Mood Disorder Questionnaire (MDQ) and Binge-Eating Disorder Screener (BEDS-7) for BPD, bipolar spectrum disorder (BSD) and binge-eating disorder (BED), respectively. Results: The prevalence of BPD was 76 (15.2%, 95% CI 12.3–18.6), BSD was 43 (8.6%, 95% CI 6.4–11.5) and BED was 48 (9.6%, 95% CI 7.2–12.6). There was a significantly higher proportion of BSD (OR 23.6, 95% CI 11.3–49.3) and BED (OR 3.4, 95% CI 1.8–6.5) among those with BPD than those without. Conclusions: BPD was found in 15% of adolescents and they have higher proportion of BED and BSD. Early identification may help in planning early intervention strategies to reduce associated morbidity.","author":[{"dropping-particle":"","family":"Shenoy","given":"Shivani K.","non-dropping-particle":"","parse-names":false,"suffix":""},{"dropping-particle":"","family":"Praharaj","given":"Samir Kumar","non-dropping-particle":"","parse-names":false,"suffix":""}],"container-title":"Asian Journal of Psychiatry","id":"ITEM-5","issue":"July","issued":{"date-parts":[["2019"]]},"page":"20-24","publisher":"Elsevier","title":"Borderline personality disorder and its association with bipolar spectrum and binge eating disorder in college students from South India","type":"article-journal","volume":"44"},"uris":["http://www.mendeley.com/documents/?uuid=84bdde43-44d4-4bca-b9aa-983093efd3b2"]},{"id":"ITEM-6","itemData":{"DOI":"10.1186/s12909-017-1083-0","ISSN":"14726920","PMID":"29183315","abstract":"Background: Poor mental health among medical students is widely acknowledged. Studies on mental health among medical students of Nepal are lacking. Therefore, we conducted a study to determine the prevalence of mental disorders. Methods: A cross-sectional study was conducted among medical students at KIST Medical College and Teaching Hospital, Nepal from December 2016 to February 2017. Our survey instrument consisted of the Patient Health Questionnaire (PHQ) and questions about socio-demographic factors, smoking, marijuana use, suicidal ideation and thoughts of dropping out of medical school. Results: The prevalence rates were 29.2% (95% CI, 24.4% - 34.3%) depression, 22.4% (95% CI, 18.0% - 26.9%) medium to highly severe somatic symptoms, 4.1% (95% CI, 2.0% - 6.2%) panic syndrome, 5.8% (95% CI, 3.4% - 8.3%) other anxiety syndrome, 5% (95% CI, 2.7% - 7.3%) binge eating disorder and 1.2% (95% CI, 0.0% - 2.3%) bulimia nervosa. Sixteen students [4.7% (95% CI, 2.4% - 6.9%)] seriously considered committing suicide while in medical school. Thirty-four students [9.9% (95% CI, 6.8% - 13.1%)] considered dropping out of medical school within the past month. About 15% (95% CI, 11.1% - 18.6%) of the students reported use of marijuana during medical school. Conclusions: We found high prevalence of poor mental health among medical students of Nepal. Future studies are required to identify the factors associated with poor mental health.","author":[{"dropping-particle":"","family":"Adhikari","given":"Arjab","non-dropping-particle":"","parse-names":false,"suffix":""},{"dropping-particle":"","family":"Dutta","given":"Aman","non-dropping-particle":"","parse-names":false,"suffix":""},{"dropping-particle":"","family":"Sapkota","given":"Supriya","non-dropping-particle":"","parse-names":false,"suffix":""},{"dropping-particle":"","family":"Chapagain","given":"Abina","non-dropping-particle":"","parse-names":false,"suffix":""},{"dropping-particle":"","family":"Aryal","given":"Anurag","non-dropping-particle":"","parse-names":false,"suffix":""},{"dropping-particle":"","family":"Pradhan","given":"Amita","non-dropping-particle":"","parse-names":false,"suffix":""}],"container-title":"BMC Medical Education","id":"ITEM-6","issued":{"date-parts":[["2017"]]},"page":"232","publisher":"BMC Medical Education","title":"Prevalence of poor mental health among medical students in Nepal: A cross-sectional study","type":"article-journal","volume":"17"},"uris":["http://www.mendeley.com/documents/?uuid=5d2643fe-954c-4ab7-9a94-bb2eeae24d3d"]},{"id":"ITEM-7","itemData":{"DOI":"10.1016/j.eatbeh.2011.03.001","ISSN":"14710153","PMID":"21741023","abstract":"Males and females engage in comparable rates of binge eating, but gender differences in what constitutes a \"binge\" may contribute to the disproportionate likelihood of females meeting diagnostic criteria for binge eating disorder (BED). Using data from one university enrolled in the 2010 Healthy Minds Study, we investigated the differences in \"eating binge\" definitions as a function of gender, BED status, and their interaction. This sample of 969 undergraduate college students was 64.0% female, and 9.3% (10.7% of women; 6.9% of males) met the screening criteria for BED. Open-ended responses defining a \"binge\" were coded into psychological/behavioral and food themes. Females with BED were most likely to mention loss of control when defining an eating binge, and relative to males with BED, they were significantly more likely to mention sweet foods; males with BED were significantly more likely to mention pizza. Findings suggest that among those without BED, females mentioned mood, type of food, and engaging in compensatory behaviors significantly more often than males. Results suggests that the diagnostic emphasis on binge eating as involving \"loss of control\" may lead to a heightened diagnosis of BED among females, yet both genders may experience a comparable weight-related sequelae from binge eating. © 2011 Elsevier Ltd.","author":[{"dropping-particle":"","family":"Reslan","given":"Summar","non-dropping-particle":"","parse-names":false,"suffix":""},{"dropping-particle":"","family":"Saules","given":"Karen K.","non-dropping-particle":"","parse-names":false,"suffix":""}],"container-title":"Eating Behaviors","id":"ITEM-7","issue":"3","issued":{"date-parts":[["2011"]]},"page":"225-227","publisher":"Elsevier Ltd","title":"College students' definitions of an eating \"binge\" differ as a function of gender and binge eating disorder status","type":"article-journal","volume":"12"},"uris":["http://www.mendeley.com/documents/?uuid=31d628e6-a66c-40d8-9d12-b63adaae1cb6"]},{"id":"ITEM-8","itemData":{"DOI":"10.1159/000091801","ISSN":"02544962","PMID":"16531691","abstract":"Background: No study to date has investigated the frequency of eating disorders (ED) in Malta. The aim of the present study was to provide a cross-cultural comparison between Malta and Italy as regards the frequency of ED and problematic eating attitudes among female students. Sampling and Methods: 128 Maltese and 135 Italian female students aged 16-20 were surveyed. Subjects underwent a structured clinical interview and completed some self-reported questionnaires: the Eating Attitudes Test, the Inventory for the Screening of Eating Disorders and the Eating Disorders Examination-Screening Version. Results: The rates of ED are very similar in the two samples with the exception of the frequency of binge eating disorder which is zero in the Italian sample and 4% among Maltese students. Maltese female students weighed significantly more than their Italian counterparts. They also reported more frequent dieting, fear of fatness and experience of low self-esteem related to body shape and weight. Conclusions: Despite the fact that Maltese female students have a greater tendency to be overweight and display more problematic eating and body attitudes, their risk of developing ED, with the exception of binge eating disorder, is similar to that of their Italian counterparts. Copyright © 2006 S. Karger AG.","author":[{"dropping-particle":"","family":"Santonastaso","given":"Paolo","non-dropping-particle":"","parse-names":false,"suffix":""},{"dropping-particle":"","family":"Scicluna","given":"Dorothy","non-dropping-particle":"","parse-names":false,"suffix":""},{"dropping-particle":"","family":"Colombo","given":"Giovanni","non-dropping-particle":"","parse-names":false,"suffix":""},{"dropping-particle":"","family":"Zanetti","given":"Tatiana","non-dropping-particle":"","parse-names":false,"suffix":""},{"dropping-particle":"","family":"Favaro","given":"Angela","non-dropping-particle":"","parse-names":false,"suffix":""}],"container-title":"Psychopathology","id":"ITEM-8","issue":"3","issued":{"date-parts":[["2006"]]},"page":"153-157","title":"Eating disorders and attitudes in Maltese and Italian female students","type":"article-journal","volume":"39"},"uris":["http://www.mendeley.com/documents/?uuid=4d731626-d5ea-4cc0-be1e-742127d5c223"]},{"id":"ITEM-9","itemData":{"DOI":"10.1111/j.1600-0447.1998.tb10051.x","ISSN":"0001690X","PMID":"9718236","abstract":"We screened a sample of 919 female students, aged 13-19 years, by means of the EDI 2 and GHQ-28 questionnaires. Those students identified as being at risk for an eating disorder (281 subjects) underwent a psychiatric interview. We found 2 cases of full-syndrome anorexia nervosa (0.2%), 21 cases of full- syndrome bulimia nervosa (2.3%) and 2 cases of full-syndrome binge-eating disorder (0.2%). Moreover, 35 girls (3.8%) met the criteria for partial- syndrome and 98 girls (10.7%) fulfilled the criteria for subclinical eating disorders. Subjects with partial-syndrome and subclinical eating disorders had higher scores than those with no diagnosis, but lower scores than students with full-syndrome eating disorders, on both the EDI 2 and GHQ-28 questionnaires. A follow-up of subjects with partial-syndrome and subclinical eating disorders is now in progress.","author":[{"dropping-particle":"","family":"Cotrufo","given":"P.","non-dropping-particle":"","parse-names":false,"suffix":""},{"dropping-particle":"","family":"Barretta","given":"V.","non-dropping-particle":"","parse-names":false,"suffix":""},{"dropping-particle":"","family":"Monteleone","given":"P.","non-dropping-particle":"","parse-names":false,"suffix":""},{"dropping-particle":"","family":"Maj","given":"M.","non-dropping-particle":"","parse-names":false,"suffix":""}],"container-title":"Acta Psychiatrica Scandinavica","id":"ITEM-9","issue":"2","issued":{"date-parts":[["1998"]]},"page":"112-115","title":"Full-syndrome, partial-syndrome and subclinical eating disorders: An epidemiological study of female students in Southern Italy","type":"article-journal","volume":"98"},"uris":["http://www.mendeley.com/documents/?uuid=2138dbe5-c584-4575-885c-6397a0448f1d"]}],"mendeley":{"formattedCitation":"&lt;sup&gt;10–18&lt;/sup&gt;","plainTextFormattedCitation":"10–18","previouslyFormattedCitation":"&lt;sup&gt;10–18&lt;/sup&gt;"},"properties":{"noteIndex":0},"schema":"https://github.com/citation-style-language/schema/raw/master/csl-citation.json"}</w:instrText>
      </w:r>
      <w:r w:rsidR="004E6E97" w:rsidRPr="00515B26">
        <w:rPr>
          <w:rFonts w:ascii="Times New Roman" w:hAnsi="Times New Roman" w:cs="Times New Roman"/>
          <w:sz w:val="22"/>
          <w:szCs w:val="22"/>
        </w:rPr>
        <w:fldChar w:fldCharType="separate"/>
      </w:r>
      <w:r w:rsidR="00D00F1A" w:rsidRPr="00D00F1A">
        <w:rPr>
          <w:rFonts w:ascii="Times New Roman" w:hAnsi="Times New Roman" w:cs="Times New Roman"/>
          <w:noProof/>
          <w:sz w:val="22"/>
          <w:szCs w:val="22"/>
          <w:vertAlign w:val="superscript"/>
        </w:rPr>
        <w:t>10–18</w:t>
      </w:r>
      <w:r w:rsidR="004E6E97" w:rsidRPr="00515B26">
        <w:rPr>
          <w:rFonts w:ascii="Times New Roman" w:hAnsi="Times New Roman" w:cs="Times New Roman"/>
          <w:sz w:val="22"/>
          <w:szCs w:val="22"/>
        </w:rPr>
        <w:fldChar w:fldCharType="end"/>
      </w:r>
      <w:r w:rsidR="00A9339A" w:rsidRPr="00515B26">
        <w:rPr>
          <w:rFonts w:ascii="Times New Roman" w:hAnsi="Times New Roman" w:cs="Times New Roman"/>
          <w:sz w:val="22"/>
          <w:szCs w:val="22"/>
        </w:rPr>
        <w:t xml:space="preserve"> BED was more likely in females, consistent with previous findings</w:t>
      </w:r>
      <w:r w:rsidR="006C7756">
        <w:rPr>
          <w:rFonts w:ascii="Times New Roman" w:hAnsi="Times New Roman" w:cs="Times New Roman"/>
          <w:sz w:val="22"/>
          <w:szCs w:val="22"/>
        </w:rPr>
        <w:t>.</w:t>
      </w:r>
      <w:r w:rsidR="00A9339A" w:rsidRPr="00515B26">
        <w:rPr>
          <w:rFonts w:ascii="Times New Roman" w:hAnsi="Times New Roman" w:cs="Times New Roman"/>
          <w:sz w:val="22"/>
          <w:szCs w:val="22"/>
        </w:rPr>
        <w:fldChar w:fldCharType="begin" w:fldLock="1"/>
      </w:r>
      <w:r w:rsidR="005A3C0D">
        <w:rPr>
          <w:rFonts w:ascii="Times New Roman" w:hAnsi="Times New Roman" w:cs="Times New Roman"/>
          <w:sz w:val="22"/>
          <w:szCs w:val="22"/>
        </w:rPr>
        <w:instrText>ADDIN CSL_CITATION {"citationItems":[{"id":"ITEM-1","itemData":{"DOI":"10.1093/ajcn/nqy342","ISSN":"19383207","PMID":"31051507","abstract":"Background: Eating disorders (EDs) lead to multiple psychiatric and somatic complications and thus constitute a major public health concern. Objectives: The aim of this study was to give an exhaustive view of the studies reporting the prevalence of the different EDs or total EDs and to study their evolution. Methods: A literature search following PRISMA Guidelines and limited to studies in English or French published between 2000 and 2018 was performed and relevant studies were included in this systematic review on the prevalence of EDs. The literature search revealed 94 studies with accurate ED diagnosis and 27 with broad ED diagnosis. Results: In 94 studies with accurate ED diagnosis, the weighted means (ranges) of lifetime ED were 8.4% (3.3-18.6%) for women and 2.2% (0.8-6.5%) for men. The weighted means (ranges) of 12-month ED prevalence were 2.2% (0.8-13.1%) for women and 0.7% (0.3-0.9%) for men. The weighted means (ranges) of point prevalence were 5.7% (0.9-13.5%) for women and 2.2% (0.2-7.3%) for men. According to continents, the weighted means (ranges) of point prevalence were 4.6% (2.0-13.5%) in America, 2.2% (0.2-13.1%) in Europe, and 3.5% (0.6-7.8%) in Asia. In addition to the former, 27 other studies reported the prevalence of EDs as broad categories resulting in weighted means (ranges) of total point prevalence of any EDs of 19.4% (6.5-36.0%) for women and 13.8% (3.6-27.1%) for men. Conclusions: Despite the complexity of integrating all ED prevalence data, the most recent studies confirm that EDs are highly prevalent worldwide, especially in women. Moreover, the weighted means of point ED prevalence increased over the study period from 3.5% for the 2000-2006 period to 7.8% for the 2013-2018 period. This highlights a real challenge for public health and healthcare providers.","author":[{"dropping-particle":"","family":"Galmiche","given":"Marie","non-dropping-particle":"","parse-names":false,"suffix":""},{"dropping-particle":"","family":"Déchelotte","given":"Pierre","non-dropping-particle":"","parse-names":false,"suffix":""},{"dropping-particle":"","family":"Lambert","given":"Grégory","non-dropping-particle":"","parse-names":false,"suffix":""},{"dropping-particle":"","family":"Tavolacci","given":"Marie Pierre","non-dropping-particle":"","parse-names":false,"suffix":""}],"container-title":"American Journal of Clinical Nutrition","id":"ITEM-1","issue":"5","issued":{"date-parts":[["2019"]]},"page":"1402-1413","publisher":"Oxford University Press","title":"Prevalence of eating disorders over the 2000-2018 period: A systematic literature review","type":"article-journal","volume":"109"},"uris":["http://www.mendeley.com/documents/?uuid=abce5f0e-5503-42b5-896c-16244629680f"]}],"mendeley":{"formattedCitation":"&lt;sup&gt;2&lt;/sup&gt;","plainTextFormattedCitation":"2","previouslyFormattedCitation":"&lt;sup&gt;2&lt;/sup&gt;"},"properties":{"noteIndex":0},"schema":"https://github.com/citation-style-language/schema/raw/master/csl-citation.json"}</w:instrText>
      </w:r>
      <w:r w:rsidR="00A9339A" w:rsidRPr="00515B26">
        <w:rPr>
          <w:rFonts w:ascii="Times New Roman" w:hAnsi="Times New Roman" w:cs="Times New Roman"/>
          <w:sz w:val="22"/>
          <w:szCs w:val="22"/>
        </w:rPr>
        <w:fldChar w:fldCharType="separate"/>
      </w:r>
      <w:r w:rsidR="000A12BB" w:rsidRPr="000A12BB">
        <w:rPr>
          <w:rFonts w:ascii="Times New Roman" w:hAnsi="Times New Roman" w:cs="Times New Roman"/>
          <w:noProof/>
          <w:sz w:val="22"/>
          <w:szCs w:val="22"/>
          <w:vertAlign w:val="superscript"/>
        </w:rPr>
        <w:t>2</w:t>
      </w:r>
      <w:r w:rsidR="00A9339A" w:rsidRPr="00515B26">
        <w:rPr>
          <w:rFonts w:ascii="Times New Roman" w:hAnsi="Times New Roman" w:cs="Times New Roman"/>
          <w:sz w:val="22"/>
          <w:szCs w:val="22"/>
        </w:rPr>
        <w:fldChar w:fldCharType="end"/>
      </w:r>
    </w:p>
    <w:p w14:paraId="7E63E0CE" w14:textId="77777777" w:rsidR="001E3EE1" w:rsidRPr="00515B26" w:rsidRDefault="001E3EE1" w:rsidP="0058300D">
      <w:pPr>
        <w:spacing w:line="480" w:lineRule="auto"/>
        <w:rPr>
          <w:rFonts w:ascii="Times New Roman" w:hAnsi="Times New Roman" w:cs="Times New Roman"/>
          <w:sz w:val="22"/>
          <w:szCs w:val="22"/>
        </w:rPr>
      </w:pPr>
    </w:p>
    <w:p w14:paraId="1EFF48F6" w14:textId="620435C6" w:rsidR="004A65B1" w:rsidRDefault="004A65B1" w:rsidP="004A65B1">
      <w:pPr>
        <w:spacing w:line="48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The largest effect sizes in this study were seen when examining the associations of BED with trait impulsivity and compulsivity. Students with BED had significantly higher BIS-11 and CHI-T scores with medium-large effect sizes (D = .660 and .656, respectively), including higher scores in all</w:t>
      </w:r>
      <w:r w:rsidR="00E139C1">
        <w:rPr>
          <w:rFonts w:ascii="Times New Roman" w:eastAsiaTheme="minorEastAsia" w:hAnsi="Times New Roman" w:cs="Times New Roman"/>
          <w:sz w:val="22"/>
          <w:szCs w:val="22"/>
        </w:rPr>
        <w:t xml:space="preserve"> three</w:t>
      </w:r>
      <w:r>
        <w:rPr>
          <w:rFonts w:ascii="Times New Roman" w:eastAsiaTheme="minorEastAsia" w:hAnsi="Times New Roman" w:cs="Times New Roman"/>
          <w:sz w:val="22"/>
          <w:szCs w:val="22"/>
        </w:rPr>
        <w:t xml:space="preserve"> BIS-11 subscales. Deficits in tasks assessing inhibitory control and cognitive flexibility have previously been reported in BED, supporting </w:t>
      </w:r>
      <w:r w:rsidR="00C02C5F">
        <w:rPr>
          <w:rFonts w:ascii="Times New Roman" w:eastAsiaTheme="minorEastAsia" w:hAnsi="Times New Roman" w:cs="Times New Roman"/>
          <w:sz w:val="22"/>
          <w:szCs w:val="22"/>
        </w:rPr>
        <w:t xml:space="preserve">involvement of </w:t>
      </w:r>
      <w:r>
        <w:rPr>
          <w:rFonts w:ascii="Times New Roman" w:eastAsiaTheme="minorEastAsia" w:hAnsi="Times New Roman" w:cs="Times New Roman"/>
          <w:sz w:val="22"/>
          <w:szCs w:val="22"/>
        </w:rPr>
        <w:t xml:space="preserve">impulsive/compulsive </w:t>
      </w:r>
      <w:r w:rsidR="00C02C5F">
        <w:rPr>
          <w:rFonts w:ascii="Times New Roman" w:eastAsiaTheme="minorEastAsia" w:hAnsi="Times New Roman" w:cs="Times New Roman"/>
          <w:sz w:val="22"/>
          <w:szCs w:val="22"/>
        </w:rPr>
        <w:t>tendencies in its pathophysiology</w:t>
      </w:r>
      <w:r w:rsidR="006C7756">
        <w:rPr>
          <w:rFonts w:ascii="Times New Roman" w:eastAsiaTheme="minorEastAsia" w:hAnsi="Times New Roman" w:cs="Times New Roman"/>
          <w:sz w:val="22"/>
          <w:szCs w:val="22"/>
        </w:rPr>
        <w:t>.</w:t>
      </w:r>
      <w:r>
        <w:rPr>
          <w:rFonts w:ascii="Times New Roman" w:eastAsiaTheme="minorEastAsia" w:hAnsi="Times New Roman" w:cs="Times New Roman"/>
          <w:sz w:val="22"/>
          <w:szCs w:val="22"/>
        </w:rPr>
        <w:fldChar w:fldCharType="begin" w:fldLock="1"/>
      </w:r>
      <w:r w:rsidR="00271853">
        <w:rPr>
          <w:rFonts w:ascii="Times New Roman" w:eastAsiaTheme="minorEastAsia" w:hAnsi="Times New Roman" w:cs="Times New Roman"/>
          <w:sz w:val="22"/>
          <w:szCs w:val="22"/>
        </w:rPr>
        <w:instrText>ADDIN CSL_CITATION {"citationItems":[{"id":"ITEM-1","itemData":{"DOI":"10.1016/j.neubiorev.2016.01.013","ISSN":"18737528","PMID":"26850211","abstract":"Relatively little is known about the neuropathophysiology of binge-eating disorder (BED). Here, the evidence from neuroimaging, neurocognitive, genetics, and animal studies are reviewed to synthesize our current understanding of the pathophysiology of BED. Binge-eating disorder may be conceptualized as an impulsive/compulsive disorder, with altered reward sensitivity and food-related attentional biases. Neuroimaging studies suggest there are corticostriatal circuitry alterations in BED similar to those observed in substance abuse, including altered function of prefrontal, insular, and orbitofrontal cortices and the striatum. Human genetics and animal studies suggest that there are changes in neurotransmitter networks, including dopaminergic and opioidergic systems, associated with binge-eating behaviors. Overall, the current evidence suggests that BED may be related to maladaptation of the corticostriatal circuitry regulating motivation and impulse control similar to that found in other impulsive/compulsive disorders. Further studies are needed to understand the genetics of BED and how neurotransmitter activity and neurocircuitry function are altered in BED and how pharmacotherapies may influence these systems to reduce BED symptoms.","author":[{"dropping-particle":"","family":"Kessler","given":"Robert M.","non-dropping-particle":"","parse-names":false,"suffix":""},{"dropping-particle":"","family":"Hutson","given":"Peter H.","non-dropping-particle":"","parse-names":false,"suffix":""},{"dropping-particle":"","family":"Herman","given":"Barry K.","non-dropping-particle":"","parse-names":false,"suffix":""},{"dropping-particle":"","family":"Potenza","given":"Marc N.","non-dropping-particle":"","parse-names":false,"suffix":""}],"container-title":"Neuroscience and Biobehavioral Reviews","id":"ITEM-1","issued":{"date-parts":[["2016"]]},"page":"223-238","publisher":"Elsevier Ltd","title":"The neurobiological basis of binge-eating disorder","type":"article-journal","volume":"63"},"uris":["http://www.mendeley.com/documents/?uuid=8c37de10-a2ce-490e-a87c-fa6a5788b88b"]}],"mendeley":{"formattedCitation":"&lt;sup&gt;27&lt;/sup&gt;","plainTextFormattedCitation":"27","previouslyFormattedCitation":"&lt;sup&gt;27&lt;/sup&gt;"},"properties":{"noteIndex":0},"schema":"https://github.com/citation-style-language/schema/raw/master/csl-citation.json"}</w:instrText>
      </w:r>
      <w:r>
        <w:rPr>
          <w:rFonts w:ascii="Times New Roman" w:eastAsiaTheme="minorEastAsia" w:hAnsi="Times New Roman" w:cs="Times New Roman"/>
          <w:sz w:val="22"/>
          <w:szCs w:val="22"/>
        </w:rPr>
        <w:fldChar w:fldCharType="separate"/>
      </w:r>
      <w:r w:rsidR="00D00F1A" w:rsidRPr="00D00F1A">
        <w:rPr>
          <w:rFonts w:ascii="Times New Roman" w:eastAsiaTheme="minorEastAsia" w:hAnsi="Times New Roman" w:cs="Times New Roman"/>
          <w:noProof/>
          <w:sz w:val="22"/>
          <w:szCs w:val="22"/>
          <w:vertAlign w:val="superscript"/>
        </w:rPr>
        <w:t>27</w:t>
      </w:r>
      <w:r>
        <w:rPr>
          <w:rFonts w:ascii="Times New Roman" w:eastAsiaTheme="minorEastAsia" w:hAnsi="Times New Roman" w:cs="Times New Roman"/>
          <w:sz w:val="22"/>
          <w:szCs w:val="22"/>
        </w:rPr>
        <w:fldChar w:fldCharType="end"/>
      </w:r>
      <w:r>
        <w:rPr>
          <w:rFonts w:ascii="Times New Roman" w:eastAsiaTheme="minorEastAsia" w:hAnsi="Times New Roman" w:cs="Times New Roman"/>
          <w:sz w:val="22"/>
          <w:szCs w:val="22"/>
        </w:rPr>
        <w:t xml:space="preserve"> In addition, neuroimaging findings have implicated brain regions such as the prefrontal cortex and striatum in BED, suggesting parallels with other impulsive/compulsive</w:t>
      </w:r>
      <w:r w:rsidR="00C02C5F">
        <w:rPr>
          <w:rFonts w:ascii="Times New Roman" w:eastAsiaTheme="minorEastAsia" w:hAnsi="Times New Roman" w:cs="Times New Roman"/>
          <w:sz w:val="22"/>
          <w:szCs w:val="22"/>
        </w:rPr>
        <w:t>-related</w:t>
      </w:r>
      <w:r>
        <w:rPr>
          <w:rFonts w:ascii="Times New Roman" w:eastAsiaTheme="minorEastAsia" w:hAnsi="Times New Roman" w:cs="Times New Roman"/>
          <w:sz w:val="22"/>
          <w:szCs w:val="22"/>
        </w:rPr>
        <w:t xml:space="preserve"> disorders such as substance use or behavioural addictions</w:t>
      </w:r>
      <w:r w:rsidR="006C7756">
        <w:rPr>
          <w:rFonts w:ascii="Times New Roman" w:eastAsiaTheme="minorEastAsia" w:hAnsi="Times New Roman" w:cs="Times New Roman"/>
          <w:sz w:val="22"/>
          <w:szCs w:val="22"/>
        </w:rPr>
        <w:t>.</w:t>
      </w:r>
      <w:r>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{"citationItems":[{"id":"ITEM-1","itemData":{"DOI":"10.1016/j.clinthera.2020.10.014","ISSN":"01492918","PMID":"33257092","abstract":"Purpose: Emerging work indicates divergence in the neurobiologies of binge-eating disorder (BED) and obesity despite their frequent co-occurrence. This review highlights specific distinguishing aspects of BED, including elevated impulsivity and compulsivity possibly involving the mesocorticolimbic dopamine system, and discusses implications for differential therapeutics for BED. Methods: This narrative review describes epidemiologic, clinical, genetic, and preclinical differences between BED and obesity. Subsequently, this review discusses human neuroimaging work reporting differences in executive functioning, reward processing, and emotion reactivity in BED compared with obesity. Finally, on the basis of the neurobiology of BED, this review identifies existing and new therapeutic agents that may be most promising given their specific targets based on putative mechanisms of action relevant specifically to BED. Findings: BED is characterized by elevated impulsivity and compulsivity compared with obesity, which is reflected in divergent neurobiological characteristics and effective pharmacotherapies. Therapeutic agents that influence both reward and executive function systems may be especially effective for BED. Implications: Greater attention to impulsivity/compulsivity-related, reward-related, and emotion reactivity–related processes may enhance conceptualization and treatment approaches for patients with BED. Consideration of these distinguishing characteristics and processes could have implications for more targeted pharmacologic treatment research and interventions.","author":[{"dropping-particle":"","family":"Boswell","given":"Rebecca G.","non-dropping-particle":"","parse-names":false,"suffix":""},{"dropping-particle":"","family":"Potenza","given":"Marc N.","non-dropping-particle":"","parse-names":false,"suffix":""},{"dropping-particle":"","family":"Grilo","given":"Carlos M.","non-dropping-particle":"","parse-names":false,"suffix":""}],"container-title":"Clinical Therapeutics","id":"ITEM-1","issue":"1","issued":{"date-parts":[["2021","1"]]},"page":"50-69","publisher":"Elsevier Ltd","title":"The Neurobiology of Binge-eating Disorder Compared with Obesity: Implications for Differential Therapeutics","type":"article-journal","volume":"43"},"uris":["http://www.mendeley.com/documents/?uuid=b4a28af3-339c-49f8-b2f2-1efdab2c6611"]},{"id":"ITEM-2","itemData":{"DOI":"10.1016/j.neubiorev.2016.01.013","ISSN":"18737528","PMID":"26850211","abstract":"Relatively little is known about the neuropathophysiology of binge-eating disorder (BED). Here, the evidence from neuroimaging, neurocognitive, genetics, and animal studies are reviewed to synthesize our current understanding of the pathophysiology of BED. Binge-eating disorder may be conceptualized as an impulsive/compulsive disorder, with altered reward sensitivity and food-related attentional biases. Neuroimaging studies suggest there are corticostriatal circuitry alterations in BED similar to those observed in substance abuse, including altered function of prefrontal, insular, and orbitofrontal cortices and the striatum. Human genetics and animal studies suggest that there are changes in neurotransmitter networks, including dopaminergic and opioidergic systems, associated with binge-eating behaviors. Overall, the current evidence suggests that BED may be related to maladaptation of the corticostriatal circuitry regulating motivation and impulse control similar to that found in other impulsive/compulsive disorders. Further studies are needed to understand the genetics of BED and how neurotransmitter activity and neurocircuitry function are altered in BED and how pharmacotherapies may influence these systems to reduce BED symptoms.","author":[{"dropping-particle":"","family":"Kessler","given":"Robert M.","non-dropping-particle":"","parse-names":false,"suffix":""},{"dropping-particle":"","family":"Hutson","given":"Peter H.","non-dropping-particle":"","parse-names":false,"suffix":""},{"dropping-particle":"","family":"Herman","given":"Barry K.","non-dropping-particle":"","parse-names":false,"suffix":""},{"dropping-particle":"","family":"Potenza","given":"Marc N.","non-dropping-particle":"","parse-names":false,"suffix":""}],"container-title":"Neuroscience and Biobehavioral Reviews","id":"ITEM-2","issued":{"date-parts":[["2016"]]},"page":"223-238","publisher":"Elsevier Ltd","title":"The neurobiological basis of binge-eating disorder","type":"article-journal","volume":"63"},"uris":["http://www.mendeley.com/documents/?uuid=8c37de10-a2ce-490e-a87c-fa6a5788b88b"]},{"id":"ITEM-3","itemData":{"DOI":"10.1016/j.conb.2013.01.002","ISSN":"09594388","abstract":"Through sequential waves of drug-induced neurochemical stimulation, addiction co-opts the brain's neuronal circuits that mediate reward, motivation to behavioral inflexibility and a severe disruption of self-control and compulsive drug intake. Brain imaging technologies have allowed neuroscientists to map out the neural landscape of addiction in the human brain and to understand how drugs modify it. © 2013.","author":[{"dropping-particle":"","family":"Volkow","given":"Nora D.","non-dropping-particle":"","parse-names":false,"suffix":""},{"dropping-particle":"","family":"Wang","given":"Gen Jack","non-dropping-particle":"","parse-names":false,"suffix":""},{"dropping-particle":"","family":"Tomasi","given":"Dardo","non-dropping-particle":"","parse-names":false,"suffix":""},{"dropping-particle":"","family":"Baler","given":"Ruben D.","non-dropping-particle":"","parse-names":false,"suffix":""}],"container-title":"Current Opinion in Neurobiology","id":"ITEM-3","issue":"4","issued":{"date-parts":[["2013"]]},"page":"639-648","title":"Unbalanced neuronal circuits in addiction","type":"article-journal","volume":"23"},"uris":["http://www.mendeley.com/documents/?uuid=93f9ce68-fb70-4c7b-a2ac-6e6baa663778"]},{"id":"ITEM-4","itemData":{"DOI":"10.1016/j.euroneuro.2015.08.013","ISSN":"18737862","PMID":"26585600","abstract":"The term 'addiction' was traditionally used in relation to centrally active substances, such as cocaine, alcohol, or nicotine. Addiction is not a unitary construct but rather incorporates a number of features, such as repetitive engagement in behaviours that are rewarding (at least initially), loss of control (spiralling engagement over time), persistence despite untoward functional consequences, and physical dependence (evidenced by withdrawal symptoms when intake of the substance diminishes). It has been suggested that certain psychiatric disorders characterized by maladaptive, repetitive behaviours share parallels with substance addiction and therefore represent 'behavioural addictions'. This perspective has influenced the Diagnostic and Statistical Manual of Mental Disorders, Fifth Edition (DSM-5), which now has a category 'Substance Related and Addictive Disorders', including gambling disorder. Could other disorders characterised by repetitive behaviours, besides gambling disorder, also be considered 'addictions'? Potential examples include kleptomania, compulsive sexual behaviour, 'Internet addiction', trichotillomania (hair pulling disorder), and skin-picking disorder. This paper seeks to define what is meant by 'behavioural addiction', and critically considers the evidence for and against this conceptualisation in respect of the above conditions, from perspectives of aetiology, phenomenology, co-morbidity, neurobiology, and treatment. Research in this area has important implications for future diagnostic classification systems, neurobiological models, and novel treatment directions.","author":[{"dropping-particle":"","family":"Chamberlain","given":"Samuel R.","non-dropping-particle":"","parse-names":false,"suffix":""},{"dropping-particle":"","family":"Lochner","given":"Christine","non-dropping-particle":"","parse-names":false,"suffix":""},{"dropping-particle":"","family":"Stein","given":"Dan J.","non-dropping-particle":"","parse-names":false,"suffix":""},{"dropping-particle":"","family":"Goudriaan","given":"Anna E.","non-dropping-particle":"","parse-names":false,"suffix":""},{"dropping-particle":"","family":"Holst","given":"Ruth Janke","non-dropping-particle":"van","parse-names":false,"suffix":""},{"dropping-particle":"","family":"Zohar","given":"Joseph","non-dropping-particle":"","parse-names":false,"suffix":""},{"dropping-particle":"","family":"Grant","given":"Jon E.","non-dropping-particle":"","parse-names":false,"suffix":""}],"container-title":"European Neuropsychopharmacology","id":"ITEM-4","issue":"5","issued":{"date-parts":[["2016"]]},"page":"841-855","publisher":"Elsevier","title":"Behavioural addiction-A rising tide?","type":"article-journal","volume":"26"},"uris":["http://www.mendeley.com/documents/?uuid=16c8e34a-2c1c-4951-9529-2d1420e0fe79"]}],"mendeley":{"formattedCitation":"&lt;sup&gt;27,47–49&lt;/sup&gt;","plainTextFormattedCitation":"27,47–49","previouslyFormattedCitation":"&lt;sup&gt;27,46–48&lt;/sup&gt;"},"properties":{"noteIndex":0},"schema":"https://github.com/citation-style-language/schema/raw/master/csl-citation.json"}</w:instrText>
      </w:r>
      <w:r>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27,47–49</w:t>
      </w:r>
      <w:r>
        <w:rPr>
          <w:rFonts w:ascii="Times New Roman" w:eastAsiaTheme="minorEastAsia" w:hAnsi="Times New Roman" w:cs="Times New Roman"/>
          <w:sz w:val="22"/>
          <w:szCs w:val="22"/>
        </w:rPr>
        <w:fldChar w:fldCharType="end"/>
      </w:r>
      <w:r>
        <w:rPr>
          <w:rFonts w:ascii="Times New Roman" w:eastAsiaTheme="minorEastAsia" w:hAnsi="Times New Roman" w:cs="Times New Roman"/>
          <w:sz w:val="22"/>
          <w:szCs w:val="22"/>
        </w:rPr>
        <w:t xml:space="preserve"> Higher BIS-11 scores have previously been associated with BED</w:t>
      </w:r>
      <w:r w:rsidR="006C7756">
        <w:rPr>
          <w:rFonts w:ascii="Times New Roman" w:eastAsiaTheme="minorEastAsia" w:hAnsi="Times New Roman" w:cs="Times New Roman"/>
          <w:sz w:val="22"/>
          <w:szCs w:val="22"/>
        </w:rPr>
        <w:t>.</w:t>
      </w:r>
      <w:r>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{"citationItems":[{"id":"ITEM-1","itemData":{"DOI":"10.5498/wjp.v7.i2.114","ISSN":"2220-3206","abstract":"AIM To investigate the levels of impulsiveness, and the relationship between the binge eating disorder (BED) and the levels of impulsiveness in obese individuals. METHODS Two hundred and forty-one obese patients who were included in the study and candidate for bariatric surgery (weight loss surgery) were clinically interviewed to identify the BED group, and patients were divided into two groups: Those with BED and those without BED. The comorbidity rate of groups was determined by using structured clinical interview for DSM-IV (SCID-I). A sociodemographic data form including the story of previous psychiatric treatment, structured clinical interview for DSM-IV (SCID-I), Beck Anxiety Inventory, Beck Depression Inventory (BDI) and Barratt Impulsiveness Scale-11 were applied to both of the groups. RESULTS In regard to 241 obese individuals included in the study, total score and score of attention subscale for BED (+) group were significantly high (P &lt; 0.05). In addition, suicide attempt, story of psychiatric consultation, and score for BDI were again significantly high in the BED (+) group (P &lt; 0.05). CONCLUSION In assessment of obese individuals, assessment of associated psychopathology such as impulsive characteristics and suicide attempt in addition to disrupted eating behaviors will allow to have a more extensive view.","author":[{"dropping-particle":"","family":"Ural","given":"Cenk","non-dropping-particle":"","parse-names":false,"suffix":""},{"dropping-particle":"","family":"Belli","given":"Hasan","non-dropping-particle":"","parse-names":false,"suffix":""},{"dropping-particle":"","family":"Akbudak","given":"Mahir","non-dropping-particle":"","parse-names":false,"suffix":""},{"dropping-particle":"","family":"Solmaz","given":"Ali","non-dropping-particle":"","parse-names":false,"suffix":""},{"dropping-particle":"","family":"Bektas","given":"Zuhal Dogan","non-dropping-particle":"","parse-names":false,"suffix":""},{"dropping-particle":"","family":"Celebi","given":"Fatih","non-dropping-particle":"","parse-names":false,"suffix":""}],"container-title":"World Journal of Psychiatry","id":"ITEM-1","issue":"2","issued":{"date-parts":[["2017"]]},"page":"114-120","title":"Relation of binge eating disorder with impulsiveness in obese individuals","type":"article-journal","volume":"7"},"uris":["http://www.mendeley.com/documents/?uuid=329b0798-95b2-41e8-bab3-6e93c2e1c937"]}],"mendeley":{"formattedCitation":"&lt;sup&gt;50&lt;/sup&gt;","plainTextFormattedCitation":"50","previouslyFormattedCitation":"&lt;sup&gt;49&lt;/sup&gt;"},"properties":{"noteIndex":0},"schema":"https://github.com/citation-style-language/schema/raw/master/csl-citation.json"}</w:instrText>
      </w:r>
      <w:r>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50</w:t>
      </w:r>
      <w:r>
        <w:rPr>
          <w:rFonts w:ascii="Times New Roman" w:eastAsiaTheme="minorEastAsia" w:hAnsi="Times New Roman" w:cs="Times New Roman"/>
          <w:sz w:val="22"/>
          <w:szCs w:val="22"/>
        </w:rPr>
        <w:fldChar w:fldCharType="end"/>
      </w:r>
      <w:r>
        <w:rPr>
          <w:rFonts w:ascii="Times New Roman" w:eastAsiaTheme="minorEastAsia" w:hAnsi="Times New Roman" w:cs="Times New Roman"/>
          <w:sz w:val="22"/>
          <w:szCs w:val="22"/>
        </w:rPr>
        <w:t xml:space="preserve"> However, to our knowledge, this is the first study to investigate trait compulsivity in BED, as self-report measures designed to assess compulsivity across disorders have only recently been developed</w:t>
      </w:r>
      <w:r w:rsidR="006C7756">
        <w:rPr>
          <w:rFonts w:ascii="Times New Roman" w:eastAsiaTheme="minorEastAsia" w:hAnsi="Times New Roman" w:cs="Times New Roman"/>
          <w:sz w:val="22"/>
          <w:szCs w:val="22"/>
        </w:rPr>
        <w:t>.</w:t>
      </w:r>
      <w:r>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{"citationItems":[{"id":"ITEM-1","itemData":{"DOI":"10.1016/j.neubiorev.2020.10.007","ISSN":"18737528","PMID":"33115636","abstract":"Introduction: Impulsivity and compulsivity are important constructs, relevant to understanding behaviour in the general population, as well as in particular mental disorders (e.g. attention deficit hyperactivity disorder, obsessive-compulsive disorder). The current paper provides a narrative review of self-report impulsivity and compulsivity scales. Methods: A literature search was conducted using the following terms: (“impulsivity” OR “compulsivity”) AND (“self-report” OR “questionnaire” OR “psychometric” OR “scale”). Results: 25 impulsive and 11 compulsive scales were identified, which varied considerably in psychometric properties, convenience, and validity. For impulsivity, the most commonly used scales were the BIS and the UPPS-P, whilst for compulsivity, the Padua Inventory was commonly used. The majority of compulsivity scales measured OCD symptoms (obsessions and compulsions) rather than being trans-diagnostic or specific to compulsivity (as opposed to obsessions). Scales capable of overcoming these limitations were highlighted. Discussion: This review provides clarity regarding relative advantages and disadvantages of different scales relevant to the measurement of impulsivity and compulsivity in many contexts. Areas for further research and refinement are highlighted.","author":[{"dropping-particle":"","family":"Hook","given":"Roxanne W.","non-dropping-particle":"","parse-names":false,"suffix":""},{"dropping-particle":"","family":"Grant","given":"Jon E.","non-dropping-particle":"","parse-names":false,"suffix":""},{"dropping-particle":"","family":"Ioannidis","given":"Konstantinos","non-dropping-particle":"","parse-names":false,"suffix":""},{"dropping-particle":"","family":"Tiego","given":"Jeggan","non-dropping-particle":"","parse-names":false,"suffix":""},{"dropping-particle":"","family":"Yücel","given":"Murat","non-dropping-particle":"","parse-names":false,"suffix":""},{"dropping-particle":"","family":"Wilkinson","given":"Paul","non-dropping-particle":"","parse-names":false,"suffix":""},{"dropping-particle":"","family":"Chamberlain","given":"Samuel R.","non-dropping-particle":"","parse-names":false,"suffix":""}],"container-title":"Neuroscience and Biobehavioral Reviews","id":"ITEM-1","issued":{"date-parts":[["2021"]]},"page":"455-469","title":"Trans-diagnostic measurement of impulsivity and compulsivity: A review of self-report tools","type":"article-journal","volume":"120"},"uris":["http://www.mendeley.com/documents/?uuid=50b70b91-17f4-4961-8b0c-479bb83833f2"]}],"mendeley":{"formattedCitation":"&lt;sup&gt;31&lt;/sup&gt;","plainTextFormattedCitation":"31","previouslyFormattedCitation":"&lt;sup&gt;31&lt;/sup&gt;"},"properties":{"noteIndex":0},"schema":"https://github.com/citation-style-language/schema/raw/master/csl-citation.json"}</w:instrText>
      </w:r>
      <w:r>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31</w:t>
      </w:r>
      <w:r>
        <w:rPr>
          <w:rFonts w:ascii="Times New Roman" w:eastAsiaTheme="minorEastAsia" w:hAnsi="Times New Roman" w:cs="Times New Roman"/>
          <w:sz w:val="22"/>
          <w:szCs w:val="22"/>
        </w:rPr>
        <w:fldChar w:fldCharType="end"/>
      </w:r>
      <w:r w:rsidR="00E139C1">
        <w:rPr>
          <w:rFonts w:ascii="Times New Roman" w:eastAsiaTheme="minorEastAsia" w:hAnsi="Times New Roman" w:cs="Times New Roman"/>
          <w:sz w:val="22"/>
          <w:szCs w:val="22"/>
        </w:rPr>
        <w:t xml:space="preserve"> Prior work has typically used scales unsuitable for measuring compulsivity, such as relying on measures of obsessive-compulsive symptoms.</w:t>
      </w:r>
      <w:r>
        <w:rPr>
          <w:rFonts w:ascii="Times New Roman" w:eastAsiaTheme="minorEastAsia" w:hAnsi="Times New Roman" w:cs="Times New Roman"/>
          <w:sz w:val="22"/>
          <w:szCs w:val="22"/>
        </w:rPr>
        <w:t xml:space="preserve"> In future, these associations should be tested in a range of populations, using both self-report measures and cognitive tasks. </w:t>
      </w:r>
      <w:r w:rsidR="00713BE9">
        <w:rPr>
          <w:rFonts w:ascii="Times New Roman" w:eastAsiaTheme="minorEastAsia" w:hAnsi="Times New Roman" w:cs="Times New Roman"/>
          <w:sz w:val="22"/>
          <w:szCs w:val="22"/>
        </w:rPr>
        <w:t xml:space="preserve">It would also be valuable to conduct longitudinal research to examine whether these traits exist prior to BED and confer vulnerability to developing it. </w:t>
      </w:r>
    </w:p>
    <w:p w14:paraId="2946DFAA" w14:textId="2EBF237D" w:rsidR="004A65B1" w:rsidRDefault="004A65B1" w:rsidP="0058300D">
      <w:pPr>
        <w:spacing w:line="480" w:lineRule="auto"/>
        <w:rPr>
          <w:rFonts w:ascii="Times New Roman" w:hAnsi="Times New Roman" w:cs="Times New Roman"/>
          <w:sz w:val="22"/>
          <w:szCs w:val="22"/>
        </w:rPr>
      </w:pPr>
    </w:p>
    <w:p w14:paraId="42458FEA" w14:textId="395CFC1D" w:rsidR="00804783" w:rsidRDefault="00804783" w:rsidP="0058300D">
      <w:pPr>
        <w:spacing w:line="480" w:lineRule="auto"/>
        <w:rPr>
          <w:rFonts w:ascii="Times New Roman" w:hAnsi="Times New Roman" w:cs="Times New Roman"/>
          <w:sz w:val="22"/>
          <w:szCs w:val="22"/>
        </w:rPr>
      </w:pPr>
      <w:r>
        <w:rPr>
          <w:rFonts w:ascii="Times New Roman" w:hAnsi="Times New Roman" w:cs="Times New Roman"/>
          <w:sz w:val="22"/>
          <w:szCs w:val="22"/>
        </w:rPr>
        <w:t>Regarding substance use, BED was associated with higher AUDIT scores, consistent with previously reported links between BED and alcohol use disorder</w:t>
      </w:r>
      <w:r w:rsidR="006C7756">
        <w:rPr>
          <w:rFonts w:ascii="Times New Roman" w:hAnsi="Times New Roman" w:cs="Times New Roman"/>
          <w:sz w:val="22"/>
          <w:szCs w:val="22"/>
        </w:rPr>
        <w:t>.</w:t>
      </w:r>
      <w:r>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{"citationItems":[{"id":"ITEM-1","itemData":{"DOI":"10.1111/add.15155","ISBN":"4201914062","ISSN":"13600443","PMID":"32533728","abstract":"Background and Aims: Binge eating disorder (BED) is correlated with substance use. This study aimed to estimate the life-time prevalence of alcohol use disorder (AUD) among individuals with non-compensatory binge eating and determine whether their life-time prevalence of AUD is higher than in non-bingeing controls. Design: A systematic search of databases (PubMed, Embase and Web of Science) for studies of adults diagnosed with BED or a related behavior that also reported the life-time prevalence of AUD was conducted. The Preferred Reporting Items for Systematic Reviews and Meta-Analyses (PRISMA) protocol was followed. The protocol was registered on the International Prospective Register of Systematic Reviews (PROSPERO). Setting: Studies originating in Canada, Sweden, the United Kingdom and the United States. Participants: Eighteen studies meeting the inclusion criteria were found, representing 69 233 individuals. Measurements: Life-time prevalence of AUD among individuals with binge eating disorder and their life-time relative risk of AUD compared with individuals without this disorder. Results: The pooled life-time prevalence of AUD in individuals with binge eating disorder was 19.9% [95% confidence interval (CI) = 13.7–27.9]. The risk of life-time AUD incidence among individuals with binge eating disorder was more than 1.5 times higher than controls (relative risk = 1.59, 95% CI = 1.41–1.79). Life-time AUD prevalence was higher in community samples than in clinical samples (27.45 versus 14.45%, P = 0.041) and in studies with a lower proportion of women (β = −2.2773, P = 0.044). Conclusions: Life-time alcohol use disorder appears to be more prevalent with binge eating disorder than among those without.","author":[{"dropping-particle":"","family":"Bogusz","given":"Krzysztof","non-dropping-particle":"","parse-names":false,"suffix":""},{"dropping-particle":"","family":"Kopera","given":"Maciej","non-dropping-particle":"","parse-names":false,"suffix":""},{"dropping-particle":"","family":"Jakubczyk","given":"Andrzej","non-dropping-particle":"","parse-names":false,"suffix":""},{"dropping-particle":"","family":"Trucco","given":"Elisa M.","non-dropping-particle":"","parse-names":false,"suffix":""},{"dropping-particle":"","family":"Kucharska","given":"Katarzyna","non-dropping-particle":"","parse-names":false,"suffix":""},{"dropping-particle":"","family":"Walenda","given":"Anna","non-dropping-particle":"","parse-names":false,"suffix":""},{"dropping-particle":"","family":"Wojnar","given":"Marcin","non-dropping-particle":"","parse-names":false,"suffix":""}],"container-title":"Addiction","id":"ITEM-1","issue":"1","issued":{"date-parts":[["2021"]]},"page":"18-31","title":"Prevalence of alcohol use disorder among individuals who binge eat: a systematic review and meta-analysis","type":"article-journal","volume":"116"},"uris":["http://www.mendeley.com/documents/?uuid=6d6ef9f0-edc4-4b36-afed-2e4bae09979e"]}],"mendeley":{"formattedCitation":"&lt;sup&gt;51&lt;/sup&gt;","plainTextFormattedCitation":"51","previouslyFormattedCitation":"&lt;sup&gt;50&lt;/sup&gt;"},"properties":{"noteIndex":0},"schema":"https://github.com/citation-style-language/schema/raw/master/csl-citation.json"}</w:instrText>
      </w:r>
      <w:r>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51</w:t>
      </w:r>
      <w:r>
        <w:rPr>
          <w:rFonts w:ascii="Times New Roman" w:eastAsiaTheme="minorEastAsia" w:hAnsi="Times New Roman" w:cs="Times New Roman"/>
          <w:sz w:val="22"/>
          <w:szCs w:val="22"/>
        </w:rPr>
        <w:fldChar w:fldCharType="end"/>
      </w:r>
      <w:r>
        <w:rPr>
          <w:rFonts w:ascii="Times New Roman" w:eastAsiaTheme="minorEastAsia" w:hAnsi="Times New Roman" w:cs="Times New Roman"/>
          <w:sz w:val="22"/>
          <w:szCs w:val="22"/>
        </w:rPr>
        <w:t xml:space="preserve"> However, the effect size was very small (V = .054) and there was no association between BED and frequency of alcohol consumption or treatment for drug/alcohol problems. As the AUDIT captures information regarding drinking behaviours</w:t>
      </w:r>
      <w:r w:rsidR="004D4F0E">
        <w:rPr>
          <w:rFonts w:ascii="Times New Roman" w:eastAsiaTheme="minorEastAsia" w:hAnsi="Times New Roman" w:cs="Times New Roman"/>
          <w:sz w:val="22"/>
          <w:szCs w:val="22"/>
        </w:rPr>
        <w:t xml:space="preserve"> as well as frequency</w:t>
      </w:r>
      <w:r w:rsidR="008C2F4B">
        <w:rPr>
          <w:rFonts w:ascii="Times New Roman" w:eastAsiaTheme="minorEastAsia" w:hAnsi="Times New Roman" w:cs="Times New Roman"/>
          <w:sz w:val="22"/>
          <w:szCs w:val="22"/>
        </w:rPr>
        <w:t>,</w:t>
      </w:r>
      <w:r>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{"citationItems":[{"id":"ITEM-1","itemData":{"DOI":"10.1111/j.1360-0443.1993.tb02093.x","ISSN":"09652140","PMID":"8329970","abstract":"The Alcohol Use Disorders Identification Test (A UDIT) has been developed from a six‐country WHO collaborative project as a screening instrument for hazardous and harmful alcohol consumption. It is a 10‐item questionnaire which covers the domains of alcohol consumption, drinking behaviour, and alcohol‐related problems. Questions were selected from a 150‐item assessment schedule (which was administered to 1888 persons attending representative primary health care facilities) on the basis of their representativeness for these conceptual domains and their perceived usefulness for intervention. Responses to each question are scored from 0 to 4, giving a maximum possible score of 40. Among those diagnosed as having hazardous or harmful alcohol use, 92% had an AUDIT score of 8 or more, and 94% of those with non‐hazardous consumption had a score of less than 8. AUDIT provides a simple method of early detection of hazardous and harmful alcohol use in primary health care settings and is the first instrument of its type to be derived on the basis of a cross‐national study. Copyright © 1993, Wiley Blackwell. All rights reserved","author":[{"dropping-particle":"","family":"Saunders","given":"John B.","non-dropping-particle":"","parse-names":false,"suffix":""},{"dropping-particle":"","family":"Aasland","given":"Olaf G.","non-dropping-particle":"","parse-names":false,"suffix":""},{"dropping-particle":"","family":"Babor","given":"Thomas F.","non-dropping-particle":"","parse-names":false,"suffix":""},{"dropping-particle":"","family":"la Fuente","given":"Juan R.","non-dropping-particle":"de","parse-names":false,"suffix":""},{"dropping-particle":"","family":"Grant","given":"Marcus","non-dropping-particle":"","parse-names":false,"suffix":""}],"container-title":"Addiction","id":"ITEM-1","issue":"6","issued":{"date-parts":[["1993","6"]]},"page":"791-804","title":"Development of the Alcohol Use Disorders Identification Test (AUDIT): WHO Collaborative Project on Early Detection of Persons with Harmful Alcohol Consumption-II","type":"article-journal","volume":"88"},"uris":["http://www.mendeley.com/documents/?uuid=50554ed3-df76-4991-8a12-288f9ff90849"]}],"mendeley":{"formattedCitation":"&lt;sup&gt;33&lt;/sup&gt;","plainTextFormattedCitation":"33","previouslyFormattedCitation":"&lt;sup&gt;33&lt;/sup&gt;"},"properties":{"noteIndex":0},"schema":"https://github.com/citation-style-language/schema/raw/master/csl-citation.json"}</w:instrText>
      </w:r>
      <w:r>
        <w:rPr>
          <w:rFonts w:ascii="Times New Roman" w:eastAsiaTheme="minorEastAsia" w:hAnsi="Times New Roman" w:cs="Times New Roman"/>
          <w:sz w:val="22"/>
          <w:szCs w:val="22"/>
        </w:rPr>
        <w:fldChar w:fldCharType="separate"/>
      </w:r>
      <w:r w:rsidR="005B2703" w:rsidRPr="005B2703">
        <w:rPr>
          <w:rFonts w:ascii="Times New Roman" w:eastAsiaTheme="minorEastAsia" w:hAnsi="Times New Roman" w:cs="Times New Roman"/>
          <w:noProof/>
          <w:sz w:val="22"/>
          <w:szCs w:val="22"/>
          <w:vertAlign w:val="superscript"/>
        </w:rPr>
        <w:t>33</w:t>
      </w:r>
      <w:r>
        <w:rPr>
          <w:rFonts w:ascii="Times New Roman" w:eastAsiaTheme="minorEastAsia" w:hAnsi="Times New Roman" w:cs="Times New Roman"/>
          <w:sz w:val="22"/>
          <w:szCs w:val="22"/>
        </w:rPr>
        <w:fldChar w:fldCharType="end"/>
      </w:r>
      <w:r>
        <w:rPr>
          <w:rFonts w:ascii="Times New Roman" w:eastAsiaTheme="minorEastAsia" w:hAnsi="Times New Roman" w:cs="Times New Roman"/>
          <w:sz w:val="22"/>
          <w:szCs w:val="22"/>
        </w:rPr>
        <w:t xml:space="preserve"> the higher AUDIT scores identified here</w:t>
      </w:r>
      <w:r w:rsidR="00724B46">
        <w:rPr>
          <w:rFonts w:ascii="Times New Roman" w:eastAsiaTheme="minorEastAsia" w:hAnsi="Times New Roman" w:cs="Times New Roman"/>
          <w:sz w:val="22"/>
          <w:szCs w:val="22"/>
        </w:rPr>
        <w:t xml:space="preserve"> may</w:t>
      </w:r>
      <w:r>
        <w:rPr>
          <w:rFonts w:ascii="Times New Roman" w:eastAsiaTheme="minorEastAsia" w:hAnsi="Times New Roman" w:cs="Times New Roman"/>
          <w:sz w:val="22"/>
          <w:szCs w:val="22"/>
        </w:rPr>
        <w:t xml:space="preserve"> indicate a possible relationship between BED and binge drinking. </w:t>
      </w:r>
      <w:r w:rsidR="009976F2">
        <w:rPr>
          <w:rFonts w:ascii="Times New Roman" w:eastAsiaTheme="minorEastAsia" w:hAnsi="Times New Roman" w:cs="Times New Roman"/>
          <w:sz w:val="22"/>
          <w:szCs w:val="22"/>
        </w:rPr>
        <w:t>Indeed, there is evidence of a direct relationship between binge eating and binge drinking in undergraduate students</w:t>
      </w:r>
      <w:r w:rsidR="009976F2">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{"citationItems":[{"id":"ITEM-1","itemData":{"DOI":"10.3390/ijerph17249451","ISSN":"1660-4601","PMID":"33348581","abstract":"Background: Binge drinking is an important health problem, and it has been related to binge eating and fat intake in animal models, but this relationship has not been tested in humans. The first objective of this study was to analyze whether binge eating and fat intake are related to binge drinking in a youth sample. The second objective was to analyze whether binge eating and fat intake mediate the relationship between individual factors associated with binge eating and fat intake (sex, body mass index (BMI), drive for thinness, body dissatisfaction, eating styles, impulsivity, and food addiction) and binge drinking. Methods: A sample of 428 undergraduate students filled out several questionnaires on binge drinking, binge eating, fat intake, drive for thinness, body dissatisfaction, eating styles, food addiction, and impulsivity. Results: Results showed an excellent model fit: χ2(25) = 30.342 (p = 0.212), comparative fit index (CFI) = 0.992, root mean squared error of approximation (RMSEA) = 0.022 [90% CI = 0.000, 0.047]. Binge eating and fat intake were positively related to binge drinking. Furthermore, emotional eating, external eating, and food addiction showed positive and statistically significant indirect relationships with binge drinking, whereas the relationship with restrained eating was negative. Conclusions: These findings point to the need to use a broader approach in understanding and preventing binge drinking in the youth population by showing the influence of the eating pattern on this problem. This information could be helpful in preventing future behaviors and improving interventions that address health risk behaviors.","author":[{"dropping-particle":"","family":"Escrivá-Martínez","given":"Tamara","non-dropping-particle":"","parse-names":false,"suffix":""},{"dropping-particle":"","family":"Galiana","given":"Laura","non-dropping-particle":"","parse-names":false,"suffix":""},{"dropping-particle":"","family":"Herrero","given":"Rocío","non-dropping-particle":"","parse-names":false,"suffix":""},{"dropping-particle":"","family":"Rodríguez-Arias","given":"Marta","non-dropping-particle":"","parse-names":false,"suffix":""},{"dropping-particle":"","family":"Baños","given":"Rosa Mª","non-dropping-particle":"","parse-names":false,"suffix":""}],"container-title":"International Journal of Environmental Research and Public Health","id":"ITEM-1","issue":"24","issued":{"date-parts":[["2020","12","17"]]},"page":"9451","title":"Understanding the Influence of Eating Patterns on Binge Drinking: A Mediation Model","type":"article-journal","volume":"17"},"uris":["http://www.mendeley.com/documents/?uuid=857d418b-dd78-4c13-8f1e-48bc088bb77f"]}],"mendeley":{"formattedCitation":"&lt;sup&gt;52&lt;/sup&gt;","plainTextFormattedCitation":"52","previouslyFormattedCitation":"&lt;sup&gt;51&lt;/sup&gt;"},"properties":{"noteIndex":0},"schema":"https://github.com/citation-style-language/schema/raw/master/csl-citation.json"}</w:instrText>
      </w:r>
      <w:r w:rsidR="009976F2">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52</w:t>
      </w:r>
      <w:r w:rsidR="009976F2">
        <w:rPr>
          <w:rFonts w:ascii="Times New Roman" w:eastAsiaTheme="minorEastAsia" w:hAnsi="Times New Roman" w:cs="Times New Roman"/>
          <w:sz w:val="22"/>
          <w:szCs w:val="22"/>
        </w:rPr>
        <w:fldChar w:fldCharType="end"/>
      </w:r>
      <w:r w:rsidR="009976F2">
        <w:rPr>
          <w:rFonts w:ascii="Times New Roman" w:eastAsiaTheme="minorEastAsia" w:hAnsi="Times New Roman" w:cs="Times New Roman"/>
          <w:sz w:val="22"/>
          <w:szCs w:val="22"/>
        </w:rPr>
        <w:t xml:space="preserve"> and this association could be mediated either via shared neurobiology or through use of these behaviours to avoid or delay unpleasant affective states</w:t>
      </w:r>
      <w:r w:rsidR="008C2F4B">
        <w:rPr>
          <w:rFonts w:ascii="Times New Roman" w:eastAsiaTheme="minorEastAsia" w:hAnsi="Times New Roman" w:cs="Times New Roman"/>
          <w:sz w:val="22"/>
          <w:szCs w:val="22"/>
        </w:rPr>
        <w:t>.</w:t>
      </w:r>
      <w:r w:rsidR="009976F2">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{"citationItems":[{"id":"ITEM-1","itemData":{"DOI":"10.1111/add.15155","ISBN":"4201914062","ISSN":"13600443","PMID":"32533728","abstract":"Background and Aims: Binge eating disorder (BED) is correlated with substance use. This study aimed to estimate the life-time prevalence of alcohol use disorder (AUD) among individuals with non-compensatory binge eating and determine whether their life-time prevalence of AUD is higher than in non-bingeing controls. Design: A systematic search of databases (PubMed, Embase and Web of Science) for studies of adults diagnosed with BED or a related behavior that also reported the life-time prevalence of AUD was conducted. The Preferred Reporting Items for Systematic Reviews and Meta-Analyses (PRISMA) protocol was followed. The protocol was registered on the International Prospective Register of Systematic Reviews (PROSPERO). Setting: Studies originating in Canada, Sweden, the United Kingdom and the United States. Participants: Eighteen studies meeting the inclusion criteria were found, representing 69 233 individuals. Measurements: Life-time prevalence of AUD among individuals with binge eating disorder and their life-time relative risk of AUD compared with individuals without this disorder. Results: The pooled life-time prevalence of AUD in individuals with binge eating disorder was 19.9% [95% confidence interval (CI) = 13.7–27.9]. The risk of life-time AUD incidence among individuals with binge eating disorder was more than 1.5 times higher than controls (relative risk = 1.59, 95% CI = 1.41–1.79). Life-time AUD prevalence was higher in community samples than in clinical samples (27.45 versus 14.45%, P = 0.041) and in studies with a lower proportion of women (β = −2.2773, P = 0.044). Conclusions: Life-time alcohol use disorder appears to be more prevalent with binge eating disorder than among those without.","author":[{"dropping-particle":"","family":"Bogusz","given":"Krzysztof","non-dropping-particle":"","parse-names":false,"suffix":""},{"dropping-particle":"","family":"Kopera","given":"Maciej","non-dropping-particle":"","parse-names":false,"suffix":""},{"dropping-particle":"","family":"Jakubczyk","given":"Andrzej","non-dropping-particle":"","parse-names":false,"suffix":""},{"dropping-particle":"","family":"Trucco","given":"Elisa M.","non-dropping-particle":"","parse-names":false,"suffix":""},{"dropping-particle":"","family":"Kucharska","given":"Katarzyna","non-dropping-particle":"","parse-names":false,"suffix":""},{"dropping-particle":"","family":"Walenda","given":"Anna","non-dropping-particle":"","parse-names":false,"suffix":""},{"dropping-particle":"","family":"Wojnar","given":"Marcin","non-dropping-particle":"","parse-names":false,"suffix":""}],"container-title":"Addiction","id":"ITEM-1","issue":"1","issued":{"date-parts":[["2021"]]},"page":"18-31","title":"Prevalence of alcohol use disorder among individuals who binge eat: a systematic review and meta-analysis","type":"article-journal","volume":"116"},"uris":["http://www.mendeley.com/documents/?uuid=6d6ef9f0-edc4-4b36-afed-2e4bae09979e"]},{"id":"ITEM-2","itemData":{"DOI":"10.1016/j.eatbeh.2011.01.001","ISSN":"14710153","PMID":"21385638","abstract":"The primary goal of this review is to provide a framework for understanding two highly overlapping behaviors: binge eating and binge drinking. Research is presented that suggests binge eating and drinking behaviors may share several important features, including personality correlates such as neuroticism and urgency, as well as affective characteristics, such as elevated levels of negative affect. Additionally, the review describes common explanatory models, which are helpful in terms of their potential to link these common features to the functions of, or reasons why individuals engage in, binge eating and drinking behaviors. Implications for understanding potentially common etiological pathways and development of interventions designed to target multiple behaviors are discussed. © 2011 Elsevier Ltd.","author":[{"dropping-particle":"","family":"Ferriter","given":"Caitlin","non-dropping-particle":"","parse-names":false,"suffix":""},{"dropping-particle":"","family":"Ray","given":"Lara A.","non-dropping-particle":"","parse-names":false,"suffix":""}],"container-title":"Eating Behaviors","id":"ITEM-2","issue":"2","issued":{"date-parts":[["2011"]]},"page":"99-107","publisher":"Elsevier Ltd","title":"Binge eating and binge drinking: An integrative review","type":"article-journal","volume":"12"},"uris":["http://www.mendeley.com/documents/?uuid=f0d43fa4-c211-4e35-8884-14102062e60a"]},{"id":"ITEM-3","itemData":{"DOI":"10.3390/ijerph17249451","ISSN":"1660-4601","PMID":"33348581","abstract":"Background: Binge drinking is an important health problem, and it has been related to binge eating and fat intake in animal models, but this relationship has not been tested in humans. The first objective of this study was to analyze whether binge eating and fat intake are related to binge drinking in a youth sample. The second objective was to analyze whether binge eating and fat intake mediate the relationship between individual factors associated with binge eating and fat intake (sex, body mass index (BMI), drive for thinness, body dissatisfaction, eating styles, impulsivity, and food addiction) and binge drinking. Methods: A sample of 428 undergraduate students filled out several questionnaires on binge drinking, binge eating, fat intake, drive for thinness, body dissatisfaction, eating styles, food addiction, and impulsivity. Results: Results showed an excellent model fit: χ2(25) = 30.342 (p = 0.212), comparative fit index (CFI) = 0.992, root mean squared error of approximation (RMSEA) = 0.022 [90% CI = 0.000, 0.047]. Binge eating and fat intake were positively related to binge drinking. Furthermore, emotional eating, external eating, and food addiction showed positive and statistically significant indirect relationships with binge drinking, whereas the relationship with restrained eating was negative. Conclusions: These findings point to the need to use a broader approach in understanding and preventing binge drinking in the youth population by showing the influence of the eating pattern on this problem. This information could be helpful in preventing future behaviors and improving interventions that address health risk behaviors.","author":[{"dropping-particle":"","family":"Escrivá-Martínez","given":"Tamara","non-dropping-particle":"","parse-names":false,"suffix":""},{"dropping-particle":"","family":"Galiana","given":"Laura","non-dropping-particle":"","parse-names":false,"suffix":""},{"dropping-particle":"","family":"Herrero","given":"Rocío","non-dropping-particle":"","parse-names":false,"suffix":""},{"dropping-particle":"","family":"Rodríguez-Arias","given":"Marta","non-dropping-particle":"","parse-names":false,"suffix":""},{"dropping-particle":"","family":"Baños","given":"Rosa Mª","non-dropping-particle":"","parse-names":false,"suffix":""}],"container-title":"International Journal of Environmental Research and Public Health","id":"ITEM-3","issue":"24","issued":{"date-parts":[["2020","12","17"]]},"page":"9451","title":"Understanding the Influence of Eating Patterns on Binge Drinking: A Mediation Model","type":"article-journal","volume":"17"},"uris":["http://www.mendeley.com/documents/?uuid=857d418b-dd78-4c13-8f1e-48bc088bb77f"]}],"mendeley":{"formattedCitation":"&lt;sup&gt;51–53&lt;/sup&gt;","plainTextFormattedCitation":"51–53","previouslyFormattedCitation":"&lt;sup&gt;50–52&lt;/sup&gt;"},"properties":{"noteIndex":0},"schema":"https://github.com/citation-style-language/schema/raw/master/csl-citation.json"}</w:instrText>
      </w:r>
      <w:r w:rsidR="009976F2">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51–53</w:t>
      </w:r>
      <w:r w:rsidR="009976F2">
        <w:rPr>
          <w:rFonts w:ascii="Times New Roman" w:eastAsiaTheme="minorEastAsia" w:hAnsi="Times New Roman" w:cs="Times New Roman"/>
          <w:sz w:val="22"/>
          <w:szCs w:val="22"/>
        </w:rPr>
        <w:fldChar w:fldCharType="end"/>
      </w:r>
      <w:r w:rsidR="009976F2">
        <w:rPr>
          <w:rFonts w:ascii="Times New Roman" w:eastAsiaTheme="minorEastAsia" w:hAnsi="Times New Roman" w:cs="Times New Roman"/>
          <w:sz w:val="22"/>
          <w:szCs w:val="22"/>
        </w:rPr>
        <w:t xml:space="preserve"> Given this possible relationship between binge eating and binge drinking, and the identification of higher AUDIT scores in students with BED in this study, it may be important to screen for other binge behaviours in individuals </w:t>
      </w:r>
      <w:r w:rsidR="006178F2">
        <w:rPr>
          <w:rFonts w:ascii="Times New Roman" w:eastAsiaTheme="minorEastAsia" w:hAnsi="Times New Roman" w:cs="Times New Roman"/>
          <w:sz w:val="22"/>
          <w:szCs w:val="22"/>
        </w:rPr>
        <w:t>with</w:t>
      </w:r>
      <w:r w:rsidR="009976F2">
        <w:rPr>
          <w:rFonts w:ascii="Times New Roman" w:eastAsiaTheme="minorEastAsia" w:hAnsi="Times New Roman" w:cs="Times New Roman"/>
          <w:sz w:val="22"/>
          <w:szCs w:val="22"/>
        </w:rPr>
        <w:t xml:space="preserve"> </w:t>
      </w:r>
      <w:r w:rsidR="007F1E82">
        <w:rPr>
          <w:rFonts w:ascii="Times New Roman" w:eastAsiaTheme="minorEastAsia" w:hAnsi="Times New Roman" w:cs="Times New Roman"/>
          <w:sz w:val="22"/>
          <w:szCs w:val="22"/>
        </w:rPr>
        <w:t>BED</w:t>
      </w:r>
      <w:r w:rsidR="009976F2">
        <w:rPr>
          <w:rFonts w:ascii="Times New Roman" w:eastAsiaTheme="minorEastAsia" w:hAnsi="Times New Roman" w:cs="Times New Roman"/>
          <w:sz w:val="22"/>
          <w:szCs w:val="22"/>
        </w:rPr>
        <w:t>.</w:t>
      </w:r>
    </w:p>
    <w:p w14:paraId="2C6AA08A" w14:textId="77777777" w:rsidR="00804783" w:rsidRDefault="00804783" w:rsidP="0058300D">
      <w:pPr>
        <w:spacing w:line="480" w:lineRule="auto"/>
        <w:rPr>
          <w:rFonts w:ascii="Times New Roman" w:hAnsi="Times New Roman" w:cs="Times New Roman"/>
          <w:sz w:val="22"/>
          <w:szCs w:val="22"/>
        </w:rPr>
      </w:pPr>
    </w:p>
    <w:p w14:paraId="669B91A4" w14:textId="2DA4466B" w:rsidR="004600A6" w:rsidRDefault="0082220E" w:rsidP="0058300D">
      <w:pPr>
        <w:spacing w:line="48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BED was associated with a range of other mental disorders in this study. Students with BED reported higher levels of anxiety and depressive symptoms, lower self-esteem and higher likelihoods of PTSD and ADHD. They were also more likely to have been treated for psychological/emotional problems and to be taking prescribed mental health medications. </w:t>
      </w:r>
      <w:r w:rsidR="00294753">
        <w:rPr>
          <w:rFonts w:ascii="Times New Roman" w:eastAsiaTheme="minorEastAsia" w:hAnsi="Times New Roman" w:cs="Times New Roman"/>
          <w:sz w:val="22"/>
          <w:szCs w:val="22"/>
        </w:rPr>
        <w:t>However,</w:t>
      </w:r>
      <w:r w:rsidR="00284F0E">
        <w:rPr>
          <w:rFonts w:ascii="Times New Roman" w:eastAsiaTheme="minorEastAsia" w:hAnsi="Times New Roman" w:cs="Times New Roman"/>
          <w:sz w:val="22"/>
          <w:szCs w:val="22"/>
        </w:rPr>
        <w:t xml:space="preserve"> and in contrast to the links with compulsivity and impulsivity at the trans-diagnostic level,</w:t>
      </w:r>
      <w:r w:rsidR="00294753">
        <w:rPr>
          <w:rFonts w:ascii="Times New Roman" w:eastAsiaTheme="minorEastAsia" w:hAnsi="Times New Roman" w:cs="Times New Roman"/>
          <w:sz w:val="22"/>
          <w:szCs w:val="22"/>
        </w:rPr>
        <w:t xml:space="preserve"> a</w:t>
      </w:r>
      <w:r w:rsidR="00D63C7B">
        <w:rPr>
          <w:rFonts w:ascii="Times New Roman" w:eastAsiaTheme="minorEastAsia" w:hAnsi="Times New Roman" w:cs="Times New Roman"/>
          <w:sz w:val="22"/>
          <w:szCs w:val="22"/>
        </w:rPr>
        <w:t xml:space="preserve">ll these associations had small effect sizes, with V between .076 and .151. </w:t>
      </w:r>
      <w:r>
        <w:rPr>
          <w:rFonts w:ascii="Times New Roman" w:eastAsiaTheme="minorEastAsia" w:hAnsi="Times New Roman" w:cs="Times New Roman"/>
          <w:sz w:val="22"/>
          <w:szCs w:val="22"/>
        </w:rPr>
        <w:t xml:space="preserve">These findings are in line with previous literature, which has reported that </w:t>
      </w:r>
      <w:r w:rsidR="00CE439A">
        <w:rPr>
          <w:rFonts w:ascii="Times New Roman" w:eastAsiaTheme="minorEastAsia" w:hAnsi="Times New Roman" w:cs="Times New Roman"/>
          <w:sz w:val="22"/>
          <w:szCs w:val="22"/>
        </w:rPr>
        <w:t>a</w:t>
      </w:r>
      <w:r>
        <w:rPr>
          <w:rFonts w:ascii="Times New Roman" w:eastAsiaTheme="minorEastAsia" w:hAnsi="Times New Roman" w:cs="Times New Roman"/>
          <w:sz w:val="22"/>
          <w:szCs w:val="22"/>
        </w:rPr>
        <w:t xml:space="preserve"> majority of individuals with BED meet lifetime criteria for other mental disorders</w:t>
      </w:r>
      <w:r w:rsidR="008C2F4B">
        <w:rPr>
          <w:rFonts w:ascii="Times New Roman" w:eastAsiaTheme="minorEastAsia" w:hAnsi="Times New Roman" w:cs="Times New Roman"/>
          <w:sz w:val="22"/>
          <w:szCs w:val="22"/>
        </w:rPr>
        <w:t>.</w:t>
      </w:r>
      <w:r>
        <w:rPr>
          <w:rFonts w:ascii="Times New Roman" w:eastAsiaTheme="minorEastAsia" w:hAnsi="Times New Roman" w:cs="Times New Roman"/>
          <w:sz w:val="22"/>
          <w:szCs w:val="22"/>
        </w:rPr>
        <w:fldChar w:fldCharType="begin" w:fldLock="1"/>
      </w:r>
      <w:r w:rsidR="00D00F1A">
        <w:rPr>
          <w:rFonts w:ascii="Times New Roman" w:eastAsiaTheme="minorEastAsia" w:hAnsi="Times New Roman" w:cs="Times New Roman"/>
          <w:sz w:val="22"/>
          <w:szCs w:val="22"/>
        </w:rPr>
        <w:instrText>ADDIN CSL_CITATION {"citationItems":[{"id":"ITEM-1","itemData":{"DOI":"10.1016/j.biopsych.2012.11.020","ISSN":"00063223","author":[{"dropping-particle":"","family":"Kessler","given":"Ronald C.","non-dropping-particle":"","parse-names":false,"suffix":""},{"dropping-particle":"","family":"Berglund","given":"Patricia A.","non-dropping-particle":"","parse-names":false,"suffix":""},{"dropping-particle":"","family":"Chiu","given":"Wai Tat","non-dropping-particle":"","parse-names":false,"suffix":""},{"dropping-particle":"","family":"Deitz","given":"Anne C.","non-dropping-particle":"","parse-names":false,"suffix":""},{"dropping-particle":"","family":"Hudson","given":"James I.","non-dropping-particle":"","parse-names":false,"suffix":""},{"dropping-particle":"","family":"Shahly","given":"Victoria","non-dropping-particle":"","parse-names":false,"suffix":""},{"dropping-particle":"","family":"Aguilar-Gaxiola","given":"Sergio","non-dropping-particle":"","parse-names":false,"suffix":""},{"dropping-particle":"","family":"Alonso","given":"Jordi","non-dropping-particle":"","parse-names":false,"suffix":""},{"dropping-particle":"","family":"Angermeyer","given":"Matthias C.","non-dropping-particle":"","parse-names":false,"suffix":""},{"dropping-particle":"","family":"Benjet","given":"Corina","non-dropping-particle":"","parse-names":false,"suffix":""},{"dropping-particle":"","family":"Bruffaerts","given":"Ronny","non-dropping-particle":"","parse-names":false,"suffix":""},{"dropping-particle":"","family":"Girolamo","given":"Giovanni","non-dropping-particle":"de","parse-names":false,"suffix":""},{"dropping-particle":"","family":"Graaf","given":"Ron","non-dropping-particle":"de","parse-names":false,"suffix":""},{"dropping-particle":"","family":"Maria Haro","given":"Josep","non-dropping-particle":"","parse-names":false,"suffix":""},{"dropping-particle":"","family":"Kovess-Masfety","given":"Viviane","non-dropping-particle":"","parse-names":false,"suffix":""},{"dropping-particle":"","family":"O’Neill","given":"Siobhan","non-dropping-particle":"","parse-names":false,"suffix":""},{"dropping-particle":"","family":"Posada-Villa","given":"Jose","non-dropping-particle":"","parse-names":false,"suffix":""},{"dropping-particle":"","family":"Sasu","given":"Carmen","non-dropping-particle":"","parse-names":false,"suffix":""},{"dropping-particle":"","family":"Scott","given":"Kate","non-dropping-particle":"","parse-names":false,"suffix":""},{"dropping-particle":"","family":"Viana","given":"Maria Carmen","non-dropping-particle":"","parse-names":false,"suffix":""},{"dropping-particle":"","family":"Xavier","given":"Miguel","non-dropping-particle":"","parse-names":false,"suffix":""}],"container-title":"Biological Psychiatry","id":"ITEM-1","issue":"9","issued":{"date-parts":[["2013","5"]]},"page":"904-914","title":"The Prevalence and Correlates of Binge Eating Disorder in the World Health Organization World Mental Health Surveys","type":"article-journal","volume":"73"},"uris":["http://www.mendeley.com/documents/?uuid=a49713ba-85cf-4ac2-9216-f8fae2048926"]}],"mendeley":{"formattedCitation":"&lt;sup&gt;5&lt;/sup&gt;","plainTextFormattedCitation":"5","previouslyFormattedCitation":"&lt;sup&gt;5&lt;/sup&gt;"},"properties":{"noteIndex":0},"schema":"https://github.com/citation-style-language/schema/raw/master/csl-citation.json"}</w:instrText>
      </w:r>
      <w:r>
        <w:rPr>
          <w:rFonts w:ascii="Times New Roman" w:eastAsiaTheme="minorEastAsia" w:hAnsi="Times New Roman" w:cs="Times New Roman"/>
          <w:sz w:val="22"/>
          <w:szCs w:val="22"/>
        </w:rPr>
        <w:fldChar w:fldCharType="separate"/>
      </w:r>
      <w:r w:rsidR="005A3C0D" w:rsidRPr="005A3C0D">
        <w:rPr>
          <w:rFonts w:ascii="Times New Roman" w:eastAsiaTheme="minorEastAsia" w:hAnsi="Times New Roman" w:cs="Times New Roman"/>
          <w:noProof/>
          <w:sz w:val="22"/>
          <w:szCs w:val="22"/>
          <w:vertAlign w:val="superscript"/>
        </w:rPr>
        <w:t>5</w:t>
      </w:r>
      <w:r>
        <w:rPr>
          <w:rFonts w:ascii="Times New Roman" w:eastAsiaTheme="minorEastAsia" w:hAnsi="Times New Roman" w:cs="Times New Roman"/>
          <w:sz w:val="22"/>
          <w:szCs w:val="22"/>
        </w:rPr>
        <w:fldChar w:fldCharType="end"/>
      </w:r>
      <w:r>
        <w:rPr>
          <w:rFonts w:ascii="Times New Roman" w:eastAsiaTheme="minorEastAsia" w:hAnsi="Times New Roman" w:cs="Times New Roman"/>
          <w:sz w:val="22"/>
          <w:szCs w:val="22"/>
        </w:rPr>
        <w:t xml:space="preserve"> </w:t>
      </w:r>
      <w:r w:rsidR="004600A6">
        <w:rPr>
          <w:rFonts w:ascii="Times New Roman" w:eastAsiaTheme="minorEastAsia" w:hAnsi="Times New Roman" w:cs="Times New Roman"/>
          <w:sz w:val="22"/>
          <w:szCs w:val="22"/>
        </w:rPr>
        <w:t>Depressive symptoms and low self-esteem have been linked to self-criticism and the over-evaluation of shape and weight in BED</w:t>
      </w:r>
      <w:r w:rsidR="008C2F4B">
        <w:rPr>
          <w:rFonts w:ascii="Times New Roman" w:eastAsiaTheme="minorEastAsia" w:hAnsi="Times New Roman" w:cs="Times New Roman"/>
          <w:sz w:val="22"/>
          <w:szCs w:val="22"/>
        </w:rPr>
        <w:t>,</w:t>
      </w:r>
      <w:r w:rsidR="004600A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{"citationItems":[{"id":"ITEM-1","itemData":{"DOI":"10.1016/j.brat.2006.01.017","ISSN":"00057967","PMID":"16530723","abstract":"Despite the fact that negative self-evaluations are widely considered to be prominent in eating disorders, the role of self-criticism has received little empirical attention. The vast majority of research on the construct of self-criticism has focused on its role as a specific personality vulnerability factor in depression-related phenomena. In this study of 236 patients with binge eating disorder, confirmatory factor analysis supported self-criticism, self-esteem, depressive symptoms, and over-evaluation of shape and weight as distinct, albeit related, constructs. Structural equation modeling demonstrated that the relation between self-criticism and over-evaluation of shape and weight was partly mediated or explained by low self-esteem and depressive symptoms. Continued efforts to understand the role of self-criticism in eating disorders appear warranted. © 2006 Elsevier Ltd. All rights reserved.","author":[{"dropping-particle":"","family":"Dunkley","given":"David M.","non-dropping-particle":"","parse-names":false,"suffix":""},{"dropping-particle":"","family":"Grilo","given":"Carlos M.","non-dropping-particle":"","parse-names":false,"suffix":""}],"container-title":"Behaviour Research and Therapy","id":"ITEM-1","issue":"1","issued":{"date-parts":[["2007","1"]]},"page":"139-149","publisher":"Elsevier Ltd","title":"Self-criticism, low self-esteem, depressive symptoms, and over-evaluation of shape and weight in binge eating disorder patients","type":"article-journal","volume":"45"},"uris":["http://www.mendeley.com/documents/?uuid=0fa11b27-c112-41dd-997d-44aa1b759649"]}],"mendeley":{"formattedCitation":"&lt;sup&gt;54&lt;/sup&gt;","plainTextFormattedCitation":"54","previouslyFormattedCitation":"&lt;sup&gt;53&lt;/sup&gt;"},"properties":{"noteIndex":0},"schema":"https://github.com/citation-style-language/schema/raw/master/csl-citation.json"}</w:instrText>
      </w:r>
      <w:r w:rsidR="004600A6">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54</w:t>
      </w:r>
      <w:r w:rsidR="004600A6">
        <w:rPr>
          <w:rFonts w:ascii="Times New Roman" w:eastAsiaTheme="minorEastAsia" w:hAnsi="Times New Roman" w:cs="Times New Roman"/>
          <w:sz w:val="22"/>
          <w:szCs w:val="22"/>
        </w:rPr>
        <w:fldChar w:fldCharType="end"/>
      </w:r>
      <w:r w:rsidR="004600A6">
        <w:rPr>
          <w:rFonts w:ascii="Times New Roman" w:eastAsiaTheme="minorEastAsia" w:hAnsi="Times New Roman" w:cs="Times New Roman"/>
          <w:sz w:val="22"/>
          <w:szCs w:val="22"/>
        </w:rPr>
        <w:t xml:space="preserve"> </w:t>
      </w:r>
      <w:r w:rsidR="003047FF">
        <w:rPr>
          <w:rFonts w:ascii="Times New Roman" w:eastAsiaTheme="minorEastAsia" w:hAnsi="Times New Roman" w:cs="Times New Roman"/>
          <w:sz w:val="22"/>
          <w:szCs w:val="22"/>
        </w:rPr>
        <w:t>as well as</w:t>
      </w:r>
      <w:r w:rsidR="004600A6">
        <w:rPr>
          <w:rFonts w:ascii="Times New Roman" w:eastAsiaTheme="minorEastAsia" w:hAnsi="Times New Roman" w:cs="Times New Roman"/>
          <w:sz w:val="22"/>
          <w:szCs w:val="22"/>
        </w:rPr>
        <w:t xml:space="preserve"> to a greater likelihood of later reporting binge eating in a longitudinal study</w:t>
      </w:r>
      <w:r w:rsidR="008C2F4B">
        <w:rPr>
          <w:rFonts w:ascii="Times New Roman" w:eastAsiaTheme="minorEastAsia" w:hAnsi="Times New Roman" w:cs="Times New Roman"/>
          <w:sz w:val="22"/>
          <w:szCs w:val="22"/>
        </w:rPr>
        <w:t>,</w:t>
      </w:r>
      <w:r w:rsidR="004600A6">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{"citationItems":[{"id":"ITEM-1","itemData":{"DOI":"10.1037/dev0000086","ISSN":"1939-0599","abstract":"Genetic and epigenetic heterogeneity is emerging as a fundamental property of human cancers. Reflecting the genesis of tumors as an evolutionary process driven by clonal selection. The complexity of clonal architecture has been known for many years in the setting of acute myeloid leukemia (AML), based on karyotyping studies. However the true complexity of AMLs is only now being understood thanks to in depth genome sequencing studies in humans, which reveal that heterogeneity is a multilayered and involves not only the genome but also the epigenome. Here, we review recent advances in genetic and epigenetic heterogeneity and clonal dynamics in AML and their relevance to biology, clinical outcomes and therapeutic implications. Special attention is focused on somatic mutations affecting regulators of cytosine methylation, since these tend to occur early in disease evolution, reprogram the epigenome of hematopoietic stem cells, and are linked to unfavorable outcome.","author":[{"dropping-particle":"","family":"Goldschmidt","given":"Andrea B.","non-dropping-particle":"","parse-names":false,"suffix":""},{"dropping-particle":"","family":"Wall","given":"Melanie M.","non-dropping-particle":"","parse-names":false,"suffix":""},{"dropping-particle":"","family":"Zhang","given":"Jun","non-dropping-particle":"","parse-names":false,"suffix":""},{"dropping-particle":"","family":"Loth","given":"Katie A.","non-dropping-particle":"","parse-names":false,"suffix":""},{"dropping-particle":"","family":"Neumark-Sztainer","given":"Dianne","non-dropping-particle":"","parse-names":false,"suffix":""}],"container-title":"Developmental Psychology","id":"ITEM-1","issue":"3","issued":{"date-parts":[["2016"]]},"page":"475-483","title":"Overeating and binge eating in emerging adulthood: 10-year stability and risk factors","type":"article-journal","volume":"52"},"uris":["http://www.mendeley.com/documents/?uuid=bb125a76-fe5c-458e-8c8d-a4d95dc005dc"]}],"mendeley":{"formattedCitation":"&lt;sup&gt;55&lt;/sup&gt;","plainTextFormattedCitation":"55","previouslyFormattedCitation":"&lt;sup&gt;54&lt;/sup&gt;"},"properties":{"noteIndex":0},"schema":"https://github.com/citation-style-language/schema/raw/master/csl-citation.json"}</w:instrText>
      </w:r>
      <w:r w:rsidR="004600A6">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55</w:t>
      </w:r>
      <w:r w:rsidR="004600A6">
        <w:rPr>
          <w:rFonts w:ascii="Times New Roman" w:eastAsiaTheme="minorEastAsia" w:hAnsi="Times New Roman" w:cs="Times New Roman"/>
          <w:sz w:val="22"/>
          <w:szCs w:val="22"/>
        </w:rPr>
        <w:fldChar w:fldCharType="end"/>
      </w:r>
      <w:r w:rsidR="004600A6">
        <w:rPr>
          <w:rFonts w:ascii="Times New Roman" w:eastAsiaTheme="minorEastAsia" w:hAnsi="Times New Roman" w:cs="Times New Roman"/>
          <w:sz w:val="22"/>
          <w:szCs w:val="22"/>
        </w:rPr>
        <w:t xml:space="preserve"> suggesting </w:t>
      </w:r>
      <w:r w:rsidR="00A44B96">
        <w:rPr>
          <w:rFonts w:ascii="Times New Roman" w:eastAsiaTheme="minorEastAsia" w:hAnsi="Times New Roman" w:cs="Times New Roman"/>
          <w:sz w:val="22"/>
          <w:szCs w:val="22"/>
        </w:rPr>
        <w:t xml:space="preserve">that </w:t>
      </w:r>
      <w:r w:rsidR="004600A6">
        <w:rPr>
          <w:rFonts w:ascii="Times New Roman" w:eastAsiaTheme="minorEastAsia" w:hAnsi="Times New Roman" w:cs="Times New Roman"/>
          <w:sz w:val="22"/>
          <w:szCs w:val="22"/>
        </w:rPr>
        <w:t xml:space="preserve">they might be related to </w:t>
      </w:r>
      <w:r w:rsidR="007D5667">
        <w:rPr>
          <w:rFonts w:ascii="Times New Roman" w:eastAsiaTheme="minorEastAsia" w:hAnsi="Times New Roman" w:cs="Times New Roman"/>
          <w:sz w:val="22"/>
          <w:szCs w:val="22"/>
        </w:rPr>
        <w:t>the development of BED.</w:t>
      </w:r>
      <w:r w:rsidR="002423FB">
        <w:rPr>
          <w:rFonts w:ascii="Times New Roman" w:eastAsiaTheme="minorEastAsia" w:hAnsi="Times New Roman" w:cs="Times New Roman"/>
          <w:sz w:val="22"/>
          <w:szCs w:val="22"/>
        </w:rPr>
        <w:t xml:space="preserve"> </w:t>
      </w:r>
      <w:r w:rsidR="00A54A7B">
        <w:rPr>
          <w:rFonts w:ascii="Times New Roman" w:eastAsiaTheme="minorEastAsia" w:hAnsi="Times New Roman" w:cs="Times New Roman"/>
          <w:sz w:val="22"/>
          <w:szCs w:val="22"/>
        </w:rPr>
        <w:t>L</w:t>
      </w:r>
      <w:r w:rsidR="000E6B9F">
        <w:rPr>
          <w:rFonts w:ascii="Times New Roman" w:eastAsiaTheme="minorEastAsia" w:hAnsi="Times New Roman" w:cs="Times New Roman"/>
          <w:sz w:val="22"/>
          <w:szCs w:val="22"/>
        </w:rPr>
        <w:t xml:space="preserve">ifetime prevalence of BED is higher in individuals with PTSD compared to people with no trauma exposure and so binge eating may act as a mechanism to cope with </w:t>
      </w:r>
      <w:r w:rsidR="00050DAB">
        <w:rPr>
          <w:rFonts w:ascii="Times New Roman" w:eastAsiaTheme="minorEastAsia" w:hAnsi="Times New Roman" w:cs="Times New Roman"/>
          <w:sz w:val="22"/>
          <w:szCs w:val="22"/>
        </w:rPr>
        <w:t xml:space="preserve">PTSD symptoms or </w:t>
      </w:r>
      <w:r w:rsidR="000E6B9F">
        <w:rPr>
          <w:rFonts w:ascii="Times New Roman" w:eastAsiaTheme="minorEastAsia" w:hAnsi="Times New Roman" w:cs="Times New Roman"/>
          <w:sz w:val="22"/>
          <w:szCs w:val="22"/>
        </w:rPr>
        <w:t>trauma</w:t>
      </w:r>
      <w:r w:rsidR="008C2F4B">
        <w:rPr>
          <w:rFonts w:ascii="Times New Roman" w:eastAsiaTheme="minorEastAsia" w:hAnsi="Times New Roman" w:cs="Times New Roman"/>
          <w:sz w:val="22"/>
          <w:szCs w:val="22"/>
        </w:rPr>
        <w:t>.</w:t>
      </w:r>
      <w:r w:rsidR="000E6B9F">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10.4088/JCP.19m12813","ISSN":"1555-2101","author":[{"dropping-particle":"","family":"Braun","given":"Joel","non-dropping-particle":"","parse-names":false,"suffix":""},{"dropping-particle":"","family":"El-Gabalawy","given":"Renée","non-dropping-particle":"","parse-names":false,"suffix":""},{"dropping-particle":"","family":"Sommer","given":"Jordana L.","non-dropping-particle":"","parse-names":false,"suffix":""},{"dropping-particle":"","family":"Pietrzak","given":"Robert H.","non-dropping-particle":"","parse-names":false,"suffix":""},{"dropping-particle":"","family":"Mitchell","given":"Karen","non-dropping-particle":"","parse-names":false,"suffix":""},{"dropping-particle":"","family":"Mota","given":"Natalie","non-dropping-particle":"","parse-names":false,"suffix":""}],"container-title":"The Journal of Clinical Psychiatry","id":"ITEM-1","issue":"6","issued":{"date-parts":[["2019","10","22"]]},"page":"19m12813","title":"Trauma Exposure, DSM-5 Posttraumatic Stress, and Binge Eating Symptoms: Results from a Nationally Representative Sample","type":"article-journal","volume":"80"},"uris":["http://www.mendeley.com/documents/?uuid=c617bc80-3bbb-48b2-94d9-6ec420524393"]}],"mendeley":{"formattedCitation":"&lt;sup&gt;56&lt;/sup&gt;","plainTextFormattedCitation":"56","previouslyFormattedCitation":"&lt;sup&gt;55&lt;/sup&gt;"},"properties":{"noteIndex":0},"schema":"https://github.com/citation-style-language/schema/raw/master/csl-citation.json"}</w:instrText>
      </w:r>
      <w:r w:rsidR="000E6B9F">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56</w:t>
      </w:r>
      <w:r w:rsidR="000E6B9F">
        <w:rPr>
          <w:rFonts w:ascii="Times New Roman" w:eastAsiaTheme="minorEastAsia" w:hAnsi="Times New Roman" w:cs="Times New Roman"/>
          <w:sz w:val="22"/>
          <w:szCs w:val="22"/>
        </w:rPr>
        <w:fldChar w:fldCharType="end"/>
      </w:r>
      <w:r w:rsidR="000E6B9F">
        <w:rPr>
          <w:rFonts w:ascii="Times New Roman" w:eastAsiaTheme="minorEastAsia" w:hAnsi="Times New Roman" w:cs="Times New Roman"/>
          <w:sz w:val="22"/>
          <w:szCs w:val="22"/>
        </w:rPr>
        <w:t xml:space="preserve"> </w:t>
      </w:r>
      <w:r w:rsidR="00657922">
        <w:rPr>
          <w:rFonts w:ascii="Times New Roman" w:eastAsiaTheme="minorEastAsia" w:hAnsi="Times New Roman" w:cs="Times New Roman"/>
          <w:sz w:val="22"/>
          <w:szCs w:val="22"/>
        </w:rPr>
        <w:t>Prior literature also supports a relationship between binge eating and ADHD, although the nature of the association is unclear</w:t>
      </w:r>
      <w:r w:rsidR="00657922">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10.1111/j.1753-4887.2007.tb00318.x","ISBN":"3314003226","ISSN":"00296643","author":[{"dropping-particle":"","family":"Cortese","given":"Samuele","non-dropping-particle":"","parse-names":false,"suffix":""},{"dropping-particle":"","family":"Bernardina","given":"Bernardo Dalla","non-dropping-particle":"","parse-names":false,"suffix":""},{"dropping-particle":"","family":"Mouren","given":"Marie Christine","non-dropping-particle":"","parse-names":false,"suffix":""}],"container-title":"Nutrition Reviews","id":"ITEM-1","issue":"9","issued":{"date-parts":[["2008","6","28"]]},"page":"404-411","title":"Attention-Deficit/Hyperactivity Disorder (ADHD) and Binge Eating","type":"article-journal","volume":"65"},"uris":["http://www.mendeley.com/documents/?uuid=70e7fd3c-b3cb-4e3d-9343-3436be79fe6d"]},{"id":"ITEM-2","itemData":{"DOI":"10.3389/fpsyt.2019.00708","ISSN":"16640640","abstract":"Background: Links between eating disorders (EDs) [e.g., anorexia nervosa (AN), bulimia nervosa (BN), and binge eating disorder (BED)] and the major neurodevelopmental disorders of autism spectrum disorder (ASD) and attention-deficit/hyperactivity disorder (ADHD) have been repeatedly highlighted. In both ASD and ADHD, these links range from an elevated risk for EDs to common symptomatic overlaps and etiological commonalities with EDs. Methods: We performed a systematic literature search (through July 2019) with Medline via Ovid for epidemiological data on EDs (AN, BN, and BED) in combination with both ASD and ADHD. Results: The reviewed studies showed that, on average, 4.7% of patients with certain ED diagnoses (AN, BN, or BED) received an ASD diagnosis. Reliable data on the prevalence of EDs in ASD samples are still scarce. Comorbid ASD is most commonly diagnosed in patients with AN. The prevalence of ADHD in EDs ranged between 1.6% and 18%. Comorbid ADHD was more often reported in the AN-binge eating/purging subtype and BN than in the AN restrictive subtype. The prevalence of EDs in ADHD ranged between no association and a lifetime prevalence of 21.8% of developing an ED in women with ADHD. Conclusions: Studies on the prevalence rates of EDs in ADHD and ASD and vice versa are heterogeneous, but they indicate frequent association. While there is growing evidence of clinical overlaps between the three disorders, it remains difficult to determine whether overlapping characteristics (e.g., social withdrawal) are due to common comorbidities (e.g., depression) or are instead primarily associated with EDs and neurodevelopmental disorders. Furthermore, prospective studies are required to better understand how these disorders are related and whether ADHD and ASD could be either specific or nonspecific predisposing factors for the development of EDs.","author":[{"dropping-particle":"","family":"Nickel","given":"Kathrin","non-dropping-particle":"","parse-names":false,"suffix":""},{"dropping-particle":"","family":"Maier","given":"Simon","non-dropping-particle":"","parse-names":false,"suffix":""},{"dropping-particle":"","family":"Endres","given":"Dominique","non-dropping-particle":"","parse-names":false,"suffix":""},{"dropping-particle":"","family":"Joos","given":"Andreas","non-dropping-particle":"","parse-names":false,"suffix":""},{"dropping-particle":"","family":"Maier","given":"Viktoria","non-dropping-particle":"","parse-names":false,"suffix":""},{"dropping-particle":"","family":"Tebartz van Elst","given":"Ludger","non-dropping-particle":"","parse-names":false,"suffix":""},{"dropping-particle":"","family":"Zeeck","given":"Almut","non-dropping-particle":"","parse-names":false,"suffix":""}],"container-title":"Frontiers in Psychiatry","id":"ITEM-2","issued":{"date-parts":[["2019"]]},"page":"708","title":"Systematic Review: Overlap Between Eating, Autism Spectrum, and Attention-Deficit/Hyperactivity Disorder","type":"article-journal","volume":"10"},"uris":["http://www.mendeley.com/documents/?uuid=9f4dbdf3-f7ac-41a8-9c45-0e189954441f"]},{"id":"ITEM-3","itemData":{"DOI":"10.1002/eat.22643","ISSN":"1098108X","PMID":"27859581","abstract":"Objective: There has been interest in whether people with Attention-Deficit/Hyperactivity Disorder (ADHD) are at higher risk of developing an Eating Disorder (ED). The aim of this study was estimate the size of this association with a meta-analysis of studies. Methods: We retrieved studies following PRISMA guidelines from a broad range of databases. Results: Twelve studies fitted our primary aim in investigating ED in ADHD populations (ADHD = 4,013/Controls = 29,404), and five exploring ADHD in ED populations (ED = 1,044/Controls = 11,292). The pooled odds ratio of diagnosing any ED in ADHD was increased significantly, 3.82 (95% CI:2.34–6.24). A similar level of risk was found across all ED syndromes [Anorexia Nervosa = 4.28 (95% CI:2.24–8.16); Bulimia Nervosa = 5.71 (95% CI: 3.56–9.16) and Binge Eating Disorder = 4.13 (95% CI:3–5.67)]. The risk was significantly higher if ADHD was diagnosed using a clinical interview [5.89 (95% CI:4.32–8.04)] rather than a self-report instrument [2.23 (95% CI:1.23–4.03)]. The pooled odds ratio of diagnosing ADHD in participants with ED was significantly increased, 2.57 (95% CI:1.30–5.11). Subgroup analysis of cohorts with binge eating only yielded a risk of 5.77 (95% CI:2.35–14.18). None of the variables examined in meta-regression procedures explained the variance in effect size between studies. Discussion: People with ADHD have a higher risk of comorbidity with an ED and people with an ED also have higher levels of comorbidity with ADHD. Future studies should address if patients with this comorbidity have a different prognosis, course and treatment response when compared to patients with either disorder alone. Resumen Objetivo: Ha habido interés en saber si la gente con Trastorno por Déficit de Atención e Hiperactividad (TDAH) están en mayor riesgo de desarrollar un Trastorno de la Conducta Alimentaria (TCA). El objetivo de este estudio fue estimar el tamaño de esta asociación con un meta-análisis de los estudios. Métodos: Recuperamos estudios de una amplia gama base de datos, que siguen los lineamientos PRISMA. Resultados: Doce estudios encajaron con nuestro objetivo primario de investigar los TCA en poblaciones con TDAH (TDAH = 4,013/Controles = 29,404), y 5 exploraron TDAH en poblaciones con TCA (TCA = 1,044/Controles = 11,292). El odds ratio (OR) agrupado de diagnosticar cualquier TCA en el TDAH se incrementó significativamente, 3.82 (95% CI:2.34–6.24). Un nivel de riesgo similar fue encontrado en todos los síndr…","author":[{"dropping-particle":"","family":"Nazar","given":"Bruno Palazzo","non-dropping-particle":"","parse-names":false,"suffix":""},{"dropping-particle":"","family":"Bernardes","given":"Camila","non-dropping-particle":"","parse-names":false,"suffix":""},{"dropping-particle":"","family":"Peachey","given":"Gemma","non-dropping-particle":"","parse-names":false,"suffix":""},{"dropping-particle":"","family":"Sergeant","given":"Joseph","non-dropping-particle":"","parse-names":false,"suffix":""},{"dropping-particle":"","family":"Mattos","given":"Paulo","non-dropping-particle":"","parse-names":false,"suffix":""},{"dropping-particle":"","family":"Treasure","given":"Janet","non-dropping-particle":"","parse-names":false,"suffix":""}],"container-title":"International Journal of Eating Disorders","id":"ITEM-3","issue":"12","issued":{"date-parts":[["2016"]]},"page":"1045-1057","title":"The risk of eating disorders comorbid with attention-deficit/hyperactivity disorder: A systematic review and meta-analysis","type":"article-journal","volume":"49"},"uris":["http://www.mendeley.com/documents/?uuid=b17b1fd9-3834-4064-af0d-4ae62fec1baa"]}],"mendeley":{"formattedCitation":"&lt;sup&gt;57–59&lt;/sup&gt;","plainTextFormattedCitation":"57–59","previouslyFormattedCitation":"&lt;sup&gt;56–58&lt;/sup&gt;"},"properties":{"noteIndex":0},"schema":"https://github.com/citation-style-language/schema/raw/master/csl-citation.json"}</w:instrText>
      </w:r>
      <w:r w:rsidR="00657922">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57–59</w:t>
      </w:r>
      <w:r w:rsidR="00657922">
        <w:rPr>
          <w:rFonts w:ascii="Times New Roman" w:eastAsiaTheme="minorEastAsia" w:hAnsi="Times New Roman" w:cs="Times New Roman"/>
          <w:sz w:val="22"/>
          <w:szCs w:val="22"/>
        </w:rPr>
        <w:fldChar w:fldCharType="end"/>
      </w:r>
      <w:r w:rsidR="00625192">
        <w:rPr>
          <w:rFonts w:ascii="Times New Roman" w:eastAsiaTheme="minorEastAsia" w:hAnsi="Times New Roman" w:cs="Times New Roman"/>
          <w:sz w:val="22"/>
          <w:szCs w:val="22"/>
        </w:rPr>
        <w:t xml:space="preserve"> </w:t>
      </w:r>
      <w:r w:rsidR="009976F2">
        <w:rPr>
          <w:rFonts w:ascii="Times New Roman" w:eastAsiaTheme="minorEastAsia" w:hAnsi="Times New Roman" w:cs="Times New Roman"/>
          <w:sz w:val="22"/>
          <w:szCs w:val="22"/>
        </w:rPr>
        <w:t>and may be accounted for by comorbid psychopathology</w:t>
      </w:r>
      <w:r w:rsidR="008C2F4B">
        <w:rPr>
          <w:rFonts w:ascii="Times New Roman" w:eastAsiaTheme="minorEastAsia" w:hAnsi="Times New Roman" w:cs="Times New Roman"/>
          <w:sz w:val="22"/>
          <w:szCs w:val="22"/>
        </w:rPr>
        <w:t>.</w:t>
      </w:r>
      <w:r w:rsidR="009976F2">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{"citationItems":[{"id":"ITEM-1","itemData":{"DOI":"10.1016/j.psychres.2017.11.026","ISSN":"18727123","PMID":"29172099","abstract":"The objective of this study was to examine whether previously observed associations of attention-deficit/hyperactivity disorder (ADHD) with eating disorders (EDs) are at least partially attributable to other underlying psychopathology. Data came from 4719 participants aged 18–44 years in the National Comorbidity Survey Replication and the National Survey of American Life. DSM-IV diagnoses were assessed using the World Health Organization Composite International Diagnostic Interview. Multinomial logistic regression assessed associations between DSM-IV lifetime and past-12 month diagnoses of ADHD with EDs in unadjusted models and in models adjusted for demographic variables and other psychopathology. Lifetime ADHD was strongly and significantly associated with lifetime bulimia nervosa (BN), binge eating disorder (BED), and any ED in unadjusted models, but not with anorexia nervosa or subthreshold BED. After adjusting for demographic variables and psychiatric comorbidities, all associations of lifetime ADHD with EDs were substantially attenuated, and only the association of ADHD with BN remained statistically significant. Similar results were found using past-12 month diagnoses. These results suggest that previously observed associations of ADHD with EDs might be due – at least in part – to additional psychiatric disorders that are often comorbid with both ADHD and EDs.","author":[{"dropping-particle":"","family":"Ziobrowski","given":"Hannah","non-dropping-particle":"","parse-names":false,"suffix":""},{"dropping-particle":"","family":"Brewerton","given":"Timothy D.","non-dropping-particle":"","parse-names":false,"suffix":""},{"dropping-particle":"","family":"Duncan","given":"Alexis E.","non-dropping-particle":"","parse-names":false,"suffix":""}],"container-title":"Psychiatry Research","id":"ITEM-1","issue":"November 2017","issued":{"date-parts":[["2018"]]},"page":"53-59","publisher":"Elsevier Ireland Ltd","title":"Associations between ADHD and eating disorders in relation to comorbid psychiatric disorders in a nationally representative sample","type":"article-journal","volume":"260"},"uris":["http://www.mendeley.com/documents/?uuid=b45987b4-5714-44bf-b298-81b3b6e7e626"]}],"mendeley":{"formattedCitation":"&lt;sup&gt;60&lt;/sup&gt;","plainTextFormattedCitation":"60","previouslyFormattedCitation":"&lt;sup&gt;59&lt;/sup&gt;"},"properties":{"noteIndex":0},"schema":"https://github.com/citation-style-language/schema/raw/master/csl-citation.json"}</w:instrText>
      </w:r>
      <w:r w:rsidR="009976F2">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60</w:t>
      </w:r>
      <w:r w:rsidR="009976F2">
        <w:rPr>
          <w:rFonts w:ascii="Times New Roman" w:eastAsiaTheme="minorEastAsia" w:hAnsi="Times New Roman" w:cs="Times New Roman"/>
          <w:sz w:val="22"/>
          <w:szCs w:val="22"/>
        </w:rPr>
        <w:fldChar w:fldCharType="end"/>
      </w:r>
      <w:r w:rsidR="009976F2">
        <w:rPr>
          <w:rFonts w:ascii="Times New Roman" w:eastAsiaTheme="minorEastAsia" w:hAnsi="Times New Roman" w:cs="Times New Roman"/>
          <w:sz w:val="22"/>
          <w:szCs w:val="22"/>
        </w:rPr>
        <w:t xml:space="preserve"> Taken together, the findings presented here support </w:t>
      </w:r>
      <w:r w:rsidR="00623ECE">
        <w:rPr>
          <w:rFonts w:ascii="Times New Roman" w:eastAsiaTheme="minorEastAsia" w:hAnsi="Times New Roman" w:cs="Times New Roman"/>
          <w:sz w:val="22"/>
          <w:szCs w:val="22"/>
        </w:rPr>
        <w:t>previous reports of comorbidity between BED and multiple other mental disorders. Students with BED in this study were more likely to have been treated for psychological/emotional problems than students without BED, in line with prior research in BED; however, evidence suggests that only a minority of individuals with BED receive treatment specifically for their eating disorder</w:t>
      </w:r>
      <w:r w:rsidR="008C2F4B">
        <w:rPr>
          <w:rFonts w:ascii="Times New Roman" w:eastAsiaTheme="minorEastAsia" w:hAnsi="Times New Roman" w:cs="Times New Roman"/>
          <w:sz w:val="22"/>
          <w:szCs w:val="22"/>
        </w:rPr>
        <w:t>.</w:t>
      </w:r>
      <w:r w:rsidR="00623ECE">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{"citationItems":[{"id":"ITEM-1","itemData":{"DOI":"10.1016/j.biopsych.2012.11.020","ISSN":"00063223","author":[{"dropping-particle":"","family":"Kessler","given":"Ronald C.","non-dropping-particle":"","parse-names":false,"suffix":""},{"dropping-particle":"","family":"Berglund","given":"Patricia A.","non-dropping-particle":"","parse-names":false,"suffix":""},{"dropping-particle":"","family":"Chiu","given":"Wai Tat","non-dropping-particle":"","parse-names":false,"suffix":""},{"dropping-particle":"","family":"Deitz","given":"Anne C.","non-dropping-particle":"","parse-names":false,"suffix":""},{"dropping-particle":"","family":"Hudson","given":"James I.","non-dropping-particle":"","parse-names":false,"suffix":""},{"dropping-particle":"","family":"Shahly","given":"Victoria","non-dropping-particle":"","parse-names":false,"suffix":""},{"dropping-particle":"","family":"Aguilar-Gaxiola","given":"Sergio","non-dropping-particle":"","parse-names":false,"suffix":""},{"dropping-particle":"","family":"Alonso","given":"Jordi","non-dropping-particle":"","parse-names":false,"suffix":""},{"dropping-particle":"","family":"Angermeyer","given":"Matthias C.","non-dropping-particle":"","parse-names":false,"suffix":""},{"dropping-particle":"","family":"Benjet","given":"Corina","non-dropping-particle":"","parse-names":false,"suffix":""},{"dropping-particle":"","family":"Bruffaerts","given":"Ronny","non-dropping-particle":"","parse-names":false,"suffix":""},{"dropping-particle":"","family":"Girolamo","given":"Giovanni","non-dropping-particle":"de","parse-names":false,"suffix":""},{"dropping-particle":"","family":"Graaf","given":"Ron","non-dropping-particle":"de","parse-names":false,"suffix":""},{"dropping-particle":"","family":"Maria Haro","given":"Josep","non-dropping-particle":"","parse-names":false,"suffix":""},{"dropping-particle":"","family":"Kovess-Masfety","given":"Viviane","non-dropping-particle":"","parse-names":false,"suffix":""},{"dropping-particle":"","family":"O’Neill","given":"Siobhan","non-dropping-particle":"","parse-names":false,"suffix":""},{"dropping-particle":"","family":"Posada-Villa","given":"Jose","non-dropping-particle":"","parse-names":false,"suffix":""},{"dropping-particle":"","family":"Sasu","given":"Carmen","non-dropping-particle":"","parse-names":false,"suffix":""},{"dropping-particle":"","family":"Scott","given":"Kate","non-dropping-particle":"","parse-names":false,"suffix":""},{"dropping-particle":"","family":"Viana","given":"Maria Carmen","non-dropping-particle":"","parse-names":false,"suffix":""},{"dropping-particle":"","family":"Xavier","given":"Miguel","non-dropping-particle":"","parse-names":false,"suffix":""}],"container-title":"Biological Psychiatry","id":"ITEM-1","issue":"9","issued":{"date-parts":[["2013","5"]]},"page":"904-914","title":"The Prevalence and Correlates of Binge Eating Disorder in the World Health Organization World Mental Health Surveys","type":"article-journal","volume":"73"},"uris":["http://www.mendeley.com/documents/?uuid=a49713ba-85cf-4ac2-9216-f8fae2048926"]},{"id":"ITEM-2","itemData":{"DOI":"10.1007/s40519-014-0173-9","ISSN":"15901262","PMID":"25571885","abstract":"Purpose: To perform a systematic review on the epidemiology, the health-related quality of life (HRQoL) and economic burden of binge eating disorder (BED). Methods: A systematic literature search of English-language articles was conducted using Medline, Embase, PsycINFO, PsycARTICLES, Academic Search Complete, CINAHL Plus, Business Source Premier and Cochrane Library. Literature search on epidemiology was limited to studies published between 2009 and 2013. Cost data were inflated and converted to 2012 US$ purchasing power parities. All of the included studies were assessed for quality. Results: Forty-nine articles were included. Data on epidemiology were reported in 31, HRQoL burden in 16, and economic burden in 7 studies. Diagnosis of BED was made using 4th Edition of The Diagnostic and Statistical Manual of Mental Disorders (DSM-IV) criteria in 46 studies. Lifetime prevalence of BED was 1.1–1.9 % in the general population (DSM-IV). BED was associated with significant impairment in aspects of HRQoL relating to both physical and mental health; the Short Form 36 Physical and Mental Component Summary mean scores varied between 31.1 to 47.3 and 32.0 to 49.8, respectively. Compared to individuals without eating disorder, BED was related to increased healthcare utilization and costs. Annual direct healthcare costs per BED patient ranged between $2,372 and $3,731. Conclusions: BED is a serious eating disorder that impairs HRQoL and is related to increased healthcare utilization and healthcare costs. The limited literature warrants further research, especially to better understand the long-term HRQoL and economic burden of BED.","author":[{"dropping-particle":"","family":"Ágh","given":"Tamás","non-dropping-particle":"","parse-names":false,"suffix":""},{"dropping-particle":"","family":"Kovács","given":"Gábor","non-dropping-particle":"","parse-names":false,"suffix":""},{"dropping-particle":"","family":"Pawaskar","given":"Manjiri","non-dropping-particle":"","parse-names":false,"suffix":""},{"dropping-particle":"","family":"Supina","given":"Dylan","non-dropping-particle":"","parse-names":false,"suffix":""},{"dropping-particle":"","family":"Inotai","given":"András","non-dropping-particle":"","parse-names":false,"suffix":""},{"dropping-particle":"","family":"Vokó","given":"Zoltán","non-dropping-particle":"","parse-names":false,"suffix":""}],"container-title":"Eating and Weight Disorders","id":"ITEM-2","issue":"1","issued":{"date-parts":[["2015"]]},"page":"1-12","title":"Epidemiology, health-related quality of life and economic burden of binge eating disorder: a systematic literature review","type":"article-journal","volume":"20"},"uris":["http://www.mendeley.com/documents/?uuid=df6ebaec-c42f-429b-82a0-ecd71077e349"]}],"mendeley":{"formattedCitation":"&lt;sup&gt;5,61&lt;/sup&gt;","plainTextFormattedCitation":"5,61","previouslyFormattedCitation":"&lt;sup&gt;5,60&lt;/sup&gt;"},"properties":{"noteIndex":0},"schema":"https://github.com/citation-style-language/schema/raw/master/csl-citation.json"}</w:instrText>
      </w:r>
      <w:r w:rsidR="00623ECE">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5,61</w:t>
      </w:r>
      <w:r w:rsidR="00623ECE">
        <w:rPr>
          <w:rFonts w:ascii="Times New Roman" w:eastAsiaTheme="minorEastAsia" w:hAnsi="Times New Roman" w:cs="Times New Roman"/>
          <w:sz w:val="22"/>
          <w:szCs w:val="22"/>
        </w:rPr>
        <w:fldChar w:fldCharType="end"/>
      </w:r>
      <w:r w:rsidR="00623ECE">
        <w:rPr>
          <w:rFonts w:ascii="Times New Roman" w:eastAsiaTheme="minorEastAsia" w:hAnsi="Times New Roman" w:cs="Times New Roman"/>
          <w:sz w:val="22"/>
          <w:szCs w:val="22"/>
        </w:rPr>
        <w:t xml:space="preserve"> </w:t>
      </w:r>
      <w:r w:rsidR="00F37F73">
        <w:rPr>
          <w:rFonts w:ascii="Times New Roman" w:eastAsiaTheme="minorEastAsia" w:hAnsi="Times New Roman" w:cs="Times New Roman"/>
          <w:sz w:val="22"/>
          <w:szCs w:val="22"/>
        </w:rPr>
        <w:t xml:space="preserve">This may be related to low levels of recognition, as one internet-based survey found that only </w:t>
      </w:r>
      <w:r w:rsidR="00271853">
        <w:rPr>
          <w:rFonts w:ascii="Times New Roman" w:eastAsiaTheme="minorEastAsia" w:hAnsi="Times New Roman" w:cs="Times New Roman"/>
          <w:sz w:val="22"/>
          <w:szCs w:val="22"/>
        </w:rPr>
        <w:t>a small minority (</w:t>
      </w:r>
      <w:r w:rsidR="00F37F73">
        <w:rPr>
          <w:rFonts w:ascii="Times New Roman" w:eastAsiaTheme="minorEastAsia" w:hAnsi="Times New Roman" w:cs="Times New Roman"/>
          <w:sz w:val="22"/>
          <w:szCs w:val="22"/>
        </w:rPr>
        <w:t>3.2%</w:t>
      </w:r>
      <w:r w:rsidR="00271853">
        <w:rPr>
          <w:rFonts w:ascii="Times New Roman" w:eastAsiaTheme="minorEastAsia" w:hAnsi="Times New Roman" w:cs="Times New Roman"/>
          <w:sz w:val="22"/>
          <w:szCs w:val="22"/>
        </w:rPr>
        <w:t>)</w:t>
      </w:r>
      <w:r w:rsidR="00F37F73">
        <w:rPr>
          <w:rFonts w:ascii="Times New Roman" w:eastAsiaTheme="minorEastAsia" w:hAnsi="Times New Roman" w:cs="Times New Roman"/>
          <w:sz w:val="22"/>
          <w:szCs w:val="22"/>
        </w:rPr>
        <w:t xml:space="preserve"> of respondents </w:t>
      </w:r>
      <w:r w:rsidR="00271853">
        <w:rPr>
          <w:rFonts w:ascii="Times New Roman" w:eastAsiaTheme="minorEastAsia" w:hAnsi="Times New Roman" w:cs="Times New Roman"/>
          <w:sz w:val="22"/>
          <w:szCs w:val="22"/>
        </w:rPr>
        <w:t xml:space="preserve">from the general population </w:t>
      </w:r>
      <w:r w:rsidR="00F37F73">
        <w:rPr>
          <w:rFonts w:ascii="Times New Roman" w:eastAsiaTheme="minorEastAsia" w:hAnsi="Times New Roman" w:cs="Times New Roman"/>
          <w:sz w:val="22"/>
          <w:szCs w:val="22"/>
        </w:rPr>
        <w:t>meeting criteria for BED had received a formal diagnosis.</w:t>
      </w:r>
      <w:r w:rsidR="00271853">
        <w:rPr>
          <w:rFonts w:ascii="Times New Roman" w:eastAsiaTheme="minorEastAsia" w:hAnsi="Times New Roman" w:cs="Times New Roman"/>
          <w:sz w:val="22"/>
          <w:szCs w:val="22"/>
        </w:rPr>
        <w:fldChar w:fldCharType="begin" w:fldLock="1"/>
      </w:r>
      <w:r w:rsidR="00137FF6">
        <w:rPr>
          <w:rFonts w:ascii="Times New Roman" w:eastAsiaTheme="minorEastAsia" w:hAnsi="Times New Roman" w:cs="Times New Roman"/>
          <w:sz w:val="22"/>
          <w:szCs w:val="22"/>
        </w:rPr>
        <w:instrText>ADDIN CSL_CITATION {"citationItems":[{"id":"ITEM-1","itemData":{"DOI":"10.4088/JCP.15m10059","ISSN":"01606689","PMID":"27232527","abstract":"Objective: To estimate binge eating disorder (BED) prevalence according to DSM-5 and DSM-IV-TR criteria in US adults and to estimate the proportion of individuals meeting DSM-5 BED criteria who reported being formally diagnosed. Methods: A representative sample of US adults who participated in the National Health and Wellness Survey were asked to respond to an Internet survey (conducted in October 2013). Assessments included 3-month, 12-month, and lifetime BED prevalence based on DSM-5 and DSM-IV-TR criteria and demographics, psychiatric comorbidities, and self-esteem (Rosenberg Self-Esteem Scale). Descriptive statistics are provided. Prevalence estimates were calculated using poststratification sampling weights. Results: Of 22,397 respondents, 344 (women, n = 242; men, n = 102) self-reported symptoms consistent with DSM-5 BED symptom criteria. The 3-month, 12-month, and lifetime DSM-5 prevalence estimates (95% CIs) projected to the US population were 1.19% (1.04%-1.37%), 1.64% (1.45%-1.85%), and 2.03% (1.83%-2.26%), respectively. The 12-month and lifetime projected DSM-IV-TR prevalence estimates were 1.15% (1.00%-1.32%) and 1.52% (1.35%-1.70%), respectively. Of respondents meeting DSM-5 BED criteria in the past 12 months, 3.2% (11/344) reported receiving a formal diagnosis. Compared with non-BED respondents, respondents meeting DSM-5 BED criteria in the past 12 months were younger (mean ± SD age = 46.01 ± 14.32 vs 51.59 ± 15.80 years; P &lt; .001), had a higher body mass index (mean ± SD = 33.71 ± 9.36 vs 27.96 ± 6.68 kg/m2; P &lt; .001), and had lower self-esteem (mean ± SD score = 16.47 ± 6.99 vs 23.33 ±} 6.06; P &lt; .001). Conclusions: DSM-5 BED criteria resulted in higher BED prevalence estimates than with DSM-IV-TR criteria. Most BED respondents did not report being formally diagnosed, indicating an unmet need in BED recognition and diagnosis.","author":[{"dropping-particle":"","family":"Cossrow","given":"Nicole","non-dropping-particle":"","parse-names":false,"suffix":""},{"dropping-particle":"","family":"Pawaskar","given":"Manjiri","non-dropping-particle":"","parse-names":false,"suffix":""},{"dropping-particle":"","family":"Witt","given":"Edward A.","non-dropping-particle":"","parse-names":false,"suffix":""},{"dropping-particle":"","family":"Ming","given":"Eileen E.","non-dropping-particle":"","parse-names":false,"suffix":""},{"dropping-particle":"","family":"Victor","given":"Timothy W.","non-dropping-particle":"","parse-names":false,"suffix":""},{"dropping-particle":"","family":"Herman","given":"Barry K.","non-dropping-particle":"","parse-names":false,"suffix":""},{"dropping-particle":"","family":"Wadden","given":"Thomas A.","non-dropping-particle":"","parse-names":false,"suffix":""},{"dropping-particle":"","family":"Erder","given":"M. Haim","non-dropping-particle":"","parse-names":false,"suffix":""}],"container-title":"Journal of Clinical Psychiatry","id":"ITEM-1","issue":"8","issued":{"date-parts":[["2016"]]},"page":"e968-e974","title":"Estimating the Prevalence of Binge Eating Disorder in a Community Sample From the United States: Comparing DSM-IV-TR and DSM-5 Criteria","type":"article-journal","volume":"77"},"uris":["http://www.mendeley.com/documents/?uuid=39b500d7-82d0-46d6-8a49-60039018c5ee"]}],"mendeley":{"formattedCitation":"&lt;sup&gt;62&lt;/sup&gt;","plainTextFormattedCitation":"62","previouslyFormattedCitation":"&lt;sup&gt;61&lt;/sup&gt;"},"properties":{"noteIndex":0},"schema":"https://github.com/citation-style-language/schema/raw/master/csl-citation.json"}</w:instrText>
      </w:r>
      <w:r w:rsidR="00271853">
        <w:rPr>
          <w:rFonts w:ascii="Times New Roman" w:eastAsiaTheme="minorEastAsia" w:hAnsi="Times New Roman" w:cs="Times New Roman"/>
          <w:sz w:val="22"/>
          <w:szCs w:val="22"/>
        </w:rPr>
        <w:fldChar w:fldCharType="separate"/>
      </w:r>
      <w:r w:rsidR="00137FF6" w:rsidRPr="00137FF6">
        <w:rPr>
          <w:rFonts w:ascii="Times New Roman" w:eastAsiaTheme="minorEastAsia" w:hAnsi="Times New Roman" w:cs="Times New Roman"/>
          <w:noProof/>
          <w:sz w:val="22"/>
          <w:szCs w:val="22"/>
          <w:vertAlign w:val="superscript"/>
        </w:rPr>
        <w:t>62</w:t>
      </w:r>
      <w:r w:rsidR="00271853">
        <w:rPr>
          <w:rFonts w:ascii="Times New Roman" w:eastAsiaTheme="minorEastAsia" w:hAnsi="Times New Roman" w:cs="Times New Roman"/>
          <w:sz w:val="22"/>
          <w:szCs w:val="22"/>
        </w:rPr>
        <w:fldChar w:fldCharType="end"/>
      </w:r>
      <w:r w:rsidR="00F37F73">
        <w:rPr>
          <w:rFonts w:ascii="Times New Roman" w:eastAsiaTheme="minorEastAsia" w:hAnsi="Times New Roman" w:cs="Times New Roman"/>
          <w:sz w:val="22"/>
          <w:szCs w:val="22"/>
        </w:rPr>
        <w:t xml:space="preserve"> </w:t>
      </w:r>
      <w:r w:rsidR="00623ECE">
        <w:rPr>
          <w:rFonts w:ascii="Times New Roman" w:eastAsiaTheme="minorEastAsia" w:hAnsi="Times New Roman" w:cs="Times New Roman"/>
          <w:sz w:val="22"/>
          <w:szCs w:val="22"/>
        </w:rPr>
        <w:t xml:space="preserve">Therefore, </w:t>
      </w:r>
      <w:r w:rsidR="00820F11">
        <w:rPr>
          <w:rFonts w:ascii="Times New Roman" w:eastAsiaTheme="minorEastAsia" w:hAnsi="Times New Roman" w:cs="Times New Roman"/>
          <w:sz w:val="22"/>
          <w:szCs w:val="22"/>
        </w:rPr>
        <w:t>our findings highlight the need to screen</w:t>
      </w:r>
      <w:r w:rsidR="003A40D2">
        <w:rPr>
          <w:rFonts w:ascii="Times New Roman" w:eastAsiaTheme="minorEastAsia" w:hAnsi="Times New Roman" w:cs="Times New Roman"/>
          <w:sz w:val="22"/>
          <w:szCs w:val="22"/>
        </w:rPr>
        <w:t xml:space="preserve"> </w:t>
      </w:r>
      <w:r w:rsidR="00820F11">
        <w:rPr>
          <w:rFonts w:ascii="Times New Roman" w:eastAsiaTheme="minorEastAsia" w:hAnsi="Times New Roman" w:cs="Times New Roman"/>
          <w:sz w:val="22"/>
          <w:szCs w:val="22"/>
        </w:rPr>
        <w:t xml:space="preserve">for disordered eating in </w:t>
      </w:r>
      <w:r w:rsidR="003A40D2">
        <w:rPr>
          <w:rFonts w:ascii="Times New Roman" w:eastAsiaTheme="minorEastAsia" w:hAnsi="Times New Roman" w:cs="Times New Roman"/>
          <w:sz w:val="22"/>
          <w:szCs w:val="22"/>
        </w:rPr>
        <w:t xml:space="preserve">individuals presenting with </w:t>
      </w:r>
      <w:r w:rsidR="00A11980">
        <w:rPr>
          <w:rFonts w:ascii="Times New Roman" w:eastAsiaTheme="minorEastAsia" w:hAnsi="Times New Roman" w:cs="Times New Roman"/>
          <w:sz w:val="22"/>
          <w:szCs w:val="22"/>
        </w:rPr>
        <w:t>a range of</w:t>
      </w:r>
      <w:r w:rsidR="003A40D2">
        <w:rPr>
          <w:rFonts w:ascii="Times New Roman" w:eastAsiaTheme="minorEastAsia" w:hAnsi="Times New Roman" w:cs="Times New Roman"/>
          <w:sz w:val="22"/>
          <w:szCs w:val="22"/>
        </w:rPr>
        <w:t xml:space="preserve"> mental disorders, to facilitate access to </w:t>
      </w:r>
      <w:r w:rsidR="00956ED0">
        <w:rPr>
          <w:rFonts w:ascii="Times New Roman" w:eastAsiaTheme="minorEastAsia" w:hAnsi="Times New Roman" w:cs="Times New Roman"/>
          <w:sz w:val="22"/>
          <w:szCs w:val="22"/>
        </w:rPr>
        <w:t>specific</w:t>
      </w:r>
      <w:r w:rsidR="003A40D2">
        <w:rPr>
          <w:rFonts w:ascii="Times New Roman" w:eastAsiaTheme="minorEastAsia" w:hAnsi="Times New Roman" w:cs="Times New Roman"/>
          <w:sz w:val="22"/>
          <w:szCs w:val="22"/>
        </w:rPr>
        <w:t xml:space="preserve"> support.</w:t>
      </w:r>
    </w:p>
    <w:p w14:paraId="291D0ED1" w14:textId="77777777" w:rsidR="009976F2" w:rsidRPr="00515B26" w:rsidRDefault="009976F2" w:rsidP="0058300D">
      <w:pPr>
        <w:spacing w:line="480" w:lineRule="auto"/>
        <w:rPr>
          <w:rFonts w:ascii="Times New Roman" w:eastAsiaTheme="minorEastAsia" w:hAnsi="Times New Roman" w:cs="Times New Roman"/>
          <w:sz w:val="22"/>
          <w:szCs w:val="22"/>
        </w:rPr>
      </w:pPr>
    </w:p>
    <w:p w14:paraId="7FD1C314" w14:textId="70D71412" w:rsidR="00B71D5F" w:rsidRPr="00515B26" w:rsidRDefault="008D5F87" w:rsidP="0058300D">
      <w:pPr>
        <w:spacing w:line="480" w:lineRule="auto"/>
        <w:rPr>
          <w:rFonts w:ascii="Times New Roman" w:eastAsiaTheme="minorEastAsia" w:hAnsi="Times New Roman" w:cs="Times New Roman"/>
          <w:sz w:val="22"/>
          <w:szCs w:val="22"/>
        </w:rPr>
      </w:pPr>
      <w:r>
        <w:rPr>
          <w:rFonts w:ascii="Times New Roman" w:eastAsiaTheme="minorEastAsia" w:hAnsi="Times New Roman" w:cs="Times New Roman"/>
          <w:sz w:val="22"/>
          <w:szCs w:val="22"/>
        </w:rPr>
        <w:t>Major strengths of this study are its large sample size</w:t>
      </w:r>
      <w:r w:rsidR="00294753">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the wide variety of comorbidities included</w:t>
      </w:r>
      <w:r w:rsidR="00294753">
        <w:rPr>
          <w:rFonts w:ascii="Times New Roman" w:eastAsiaTheme="minorEastAsia" w:hAnsi="Times New Roman" w:cs="Times New Roman"/>
          <w:sz w:val="22"/>
          <w:szCs w:val="22"/>
        </w:rPr>
        <w:t xml:space="preserve">, the use of a </w:t>
      </w:r>
      <w:r w:rsidR="00662A50">
        <w:rPr>
          <w:rFonts w:ascii="Times New Roman" w:eastAsiaTheme="minorEastAsia" w:hAnsi="Times New Roman" w:cs="Times New Roman"/>
          <w:sz w:val="22"/>
          <w:szCs w:val="22"/>
        </w:rPr>
        <w:t xml:space="preserve">self-report BED tool adapted from a </w:t>
      </w:r>
      <w:r w:rsidR="00294753">
        <w:rPr>
          <w:rFonts w:ascii="Times New Roman" w:eastAsiaTheme="minorEastAsia" w:hAnsi="Times New Roman" w:cs="Times New Roman"/>
          <w:sz w:val="22"/>
          <w:szCs w:val="22"/>
        </w:rPr>
        <w:t xml:space="preserve">validated </w:t>
      </w:r>
      <w:r w:rsidR="00662A50">
        <w:rPr>
          <w:rFonts w:ascii="Times New Roman" w:eastAsiaTheme="minorEastAsia" w:hAnsi="Times New Roman" w:cs="Times New Roman"/>
          <w:sz w:val="22"/>
          <w:szCs w:val="22"/>
        </w:rPr>
        <w:t>clinical interview (the MIDI)</w:t>
      </w:r>
      <w:r w:rsidR="00294753">
        <w:rPr>
          <w:rFonts w:ascii="Times New Roman" w:eastAsiaTheme="minorEastAsia" w:hAnsi="Times New Roman" w:cs="Times New Roman"/>
          <w:sz w:val="22"/>
          <w:szCs w:val="22"/>
        </w:rPr>
        <w:t>, and the collection of a trans-diagnostic compulsivity measure (as well as other salient parameters)</w:t>
      </w:r>
      <w:r>
        <w:rPr>
          <w:rFonts w:ascii="Times New Roman" w:eastAsiaTheme="minorEastAsia" w:hAnsi="Times New Roman" w:cs="Times New Roman"/>
          <w:sz w:val="22"/>
          <w:szCs w:val="22"/>
        </w:rPr>
        <w:t xml:space="preserve">. An </w:t>
      </w:r>
      <w:r>
        <w:rPr>
          <w:rFonts w:ascii="Times New Roman" w:eastAsiaTheme="minorEastAsia" w:hAnsi="Times New Roman" w:cs="Times New Roman"/>
          <w:sz w:val="22"/>
          <w:szCs w:val="22"/>
        </w:rPr>
        <w:lastRenderedPageBreak/>
        <w:t xml:space="preserve">important limitation is the anonymous, self-report design, which </w:t>
      </w:r>
      <w:r w:rsidR="00662A50">
        <w:rPr>
          <w:rFonts w:ascii="Times New Roman" w:eastAsiaTheme="minorEastAsia" w:hAnsi="Times New Roman" w:cs="Times New Roman"/>
          <w:sz w:val="22"/>
          <w:szCs w:val="22"/>
        </w:rPr>
        <w:t>may</w:t>
      </w:r>
      <w:r>
        <w:rPr>
          <w:rFonts w:ascii="Times New Roman" w:eastAsiaTheme="minorEastAsia" w:hAnsi="Times New Roman" w:cs="Times New Roman"/>
          <w:sz w:val="22"/>
          <w:szCs w:val="22"/>
        </w:rPr>
        <w:t xml:space="preserve"> be less accurate than </w:t>
      </w:r>
      <w:r w:rsidR="0006556A">
        <w:rPr>
          <w:rFonts w:ascii="Times New Roman" w:eastAsiaTheme="minorEastAsia" w:hAnsi="Times New Roman" w:cs="Times New Roman"/>
          <w:sz w:val="22"/>
          <w:szCs w:val="22"/>
        </w:rPr>
        <w:t xml:space="preserve">face-to-face </w:t>
      </w:r>
      <w:r>
        <w:rPr>
          <w:rFonts w:ascii="Times New Roman" w:eastAsiaTheme="minorEastAsia" w:hAnsi="Times New Roman" w:cs="Times New Roman"/>
          <w:sz w:val="22"/>
          <w:szCs w:val="22"/>
        </w:rPr>
        <w:t>clinical assessment</w:t>
      </w:r>
      <w:r w:rsidR="0006556A">
        <w:rPr>
          <w:rFonts w:ascii="Times New Roman" w:eastAsiaTheme="minorEastAsia" w:hAnsi="Times New Roman" w:cs="Times New Roman"/>
          <w:sz w:val="22"/>
          <w:szCs w:val="22"/>
        </w:rPr>
        <w:t>, including in terms of diagnosing BED accurately</w:t>
      </w:r>
      <w:r>
        <w:rPr>
          <w:rFonts w:ascii="Times New Roman" w:eastAsiaTheme="minorEastAsia" w:hAnsi="Times New Roman" w:cs="Times New Roman"/>
          <w:sz w:val="22"/>
          <w:szCs w:val="22"/>
        </w:rPr>
        <w:t>. However, this design may have facilitated participants disclosing information regarding their mental health and substance misuse</w:t>
      </w:r>
      <w:r w:rsidR="0003793A">
        <w:rPr>
          <w:rFonts w:ascii="Times New Roman" w:eastAsiaTheme="minorEastAsia" w:hAnsi="Times New Roman" w:cs="Times New Roman"/>
          <w:sz w:val="22"/>
          <w:szCs w:val="22"/>
        </w:rPr>
        <w:t xml:space="preserve"> more openly than they might</w:t>
      </w:r>
      <w:r w:rsidR="00662A50">
        <w:rPr>
          <w:rFonts w:ascii="Times New Roman" w:eastAsiaTheme="minorEastAsia" w:hAnsi="Times New Roman" w:cs="Times New Roman"/>
          <w:sz w:val="22"/>
          <w:szCs w:val="22"/>
        </w:rPr>
        <w:t xml:space="preserve"> have done</w:t>
      </w:r>
      <w:r w:rsidR="0003793A">
        <w:rPr>
          <w:rFonts w:ascii="Times New Roman" w:eastAsiaTheme="minorEastAsia" w:hAnsi="Times New Roman" w:cs="Times New Roman"/>
          <w:sz w:val="22"/>
          <w:szCs w:val="22"/>
        </w:rPr>
        <w:t xml:space="preserve"> in a face-to-face research study</w:t>
      </w:r>
      <w:r>
        <w:rPr>
          <w:rFonts w:ascii="Times New Roman" w:eastAsiaTheme="minorEastAsia" w:hAnsi="Times New Roman" w:cs="Times New Roman"/>
          <w:sz w:val="22"/>
          <w:szCs w:val="22"/>
        </w:rPr>
        <w:t xml:space="preserve">. In addition, as the survey was cross-sectional, causality cannot be shown. </w:t>
      </w:r>
      <w:r w:rsidR="00B71D5F" w:rsidRPr="00515B26">
        <w:rPr>
          <w:rFonts w:ascii="Times New Roman" w:eastAsiaTheme="minorEastAsia" w:hAnsi="Times New Roman" w:cs="Times New Roman"/>
          <w:sz w:val="22"/>
          <w:szCs w:val="22"/>
        </w:rPr>
        <w:t xml:space="preserve">The response rate to the survey was </w:t>
      </w:r>
      <w:r w:rsidR="00E8746F">
        <w:rPr>
          <w:rFonts w:ascii="Times New Roman" w:eastAsiaTheme="minorEastAsia" w:hAnsi="Times New Roman" w:cs="Times New Roman"/>
          <w:sz w:val="22"/>
          <w:szCs w:val="22"/>
        </w:rPr>
        <w:t>36.</w:t>
      </w:r>
      <w:r w:rsidR="00E56550">
        <w:rPr>
          <w:rFonts w:ascii="Times New Roman" w:eastAsiaTheme="minorEastAsia" w:hAnsi="Times New Roman" w:cs="Times New Roman"/>
          <w:sz w:val="22"/>
          <w:szCs w:val="22"/>
        </w:rPr>
        <w:t>1</w:t>
      </w:r>
      <w:r w:rsidR="00B71D5F" w:rsidRPr="00515B26">
        <w:rPr>
          <w:rFonts w:ascii="Times New Roman" w:eastAsiaTheme="minorEastAsia" w:hAnsi="Times New Roman" w:cs="Times New Roman"/>
          <w:sz w:val="22"/>
          <w:szCs w:val="22"/>
        </w:rPr>
        <w:t>% and</w:t>
      </w:r>
      <w:r w:rsidR="00F12317">
        <w:rPr>
          <w:rFonts w:ascii="Times New Roman" w:eastAsiaTheme="minorEastAsia" w:hAnsi="Times New Roman" w:cs="Times New Roman"/>
          <w:sz w:val="22"/>
          <w:szCs w:val="22"/>
        </w:rPr>
        <w:t xml:space="preserve"> </w:t>
      </w:r>
      <w:r w:rsidR="00B71D5F" w:rsidRPr="00515B26">
        <w:rPr>
          <w:rFonts w:ascii="Times New Roman" w:eastAsiaTheme="minorEastAsia" w:hAnsi="Times New Roman" w:cs="Times New Roman"/>
          <w:sz w:val="22"/>
          <w:szCs w:val="22"/>
        </w:rPr>
        <w:t xml:space="preserve">it is </w:t>
      </w:r>
      <w:r w:rsidR="00D43D65" w:rsidRPr="00515B26">
        <w:rPr>
          <w:rFonts w:ascii="Times New Roman" w:eastAsiaTheme="minorEastAsia" w:hAnsi="Times New Roman" w:cs="Times New Roman"/>
          <w:sz w:val="22"/>
          <w:szCs w:val="22"/>
        </w:rPr>
        <w:t>not possible to confirm whether these findings generalize to the whole sample.</w:t>
      </w:r>
      <w:r w:rsidR="00637D2F">
        <w:rPr>
          <w:rFonts w:ascii="Times New Roman" w:eastAsiaTheme="minorEastAsia" w:hAnsi="Times New Roman" w:cs="Times New Roman"/>
          <w:sz w:val="22"/>
          <w:szCs w:val="22"/>
        </w:rPr>
        <w:t xml:space="preserve"> As the survey was anonymous, it is not possible to compare the demographic information of those who completed the survey and those who did not.</w:t>
      </w:r>
      <w:r w:rsidR="00F30138">
        <w:rPr>
          <w:rFonts w:ascii="Times New Roman" w:eastAsiaTheme="minorEastAsia" w:hAnsi="Times New Roman" w:cs="Times New Roman"/>
          <w:sz w:val="22"/>
          <w:szCs w:val="22"/>
        </w:rPr>
        <w:t xml:space="preserve"> Those students who completed the survey, however, were similar on demographic variables to the larger university population.</w:t>
      </w:r>
    </w:p>
    <w:p w14:paraId="049B168F" w14:textId="77076EE2" w:rsidR="00D43D65" w:rsidRPr="00515B26" w:rsidRDefault="00D43D65" w:rsidP="0058300D">
      <w:pPr>
        <w:spacing w:line="480" w:lineRule="auto"/>
        <w:rPr>
          <w:rFonts w:ascii="Times New Roman" w:eastAsiaTheme="minorEastAsia" w:hAnsi="Times New Roman" w:cs="Times New Roman"/>
          <w:sz w:val="22"/>
          <w:szCs w:val="22"/>
        </w:rPr>
      </w:pPr>
    </w:p>
    <w:p w14:paraId="2A5E0AF3" w14:textId="5B481266" w:rsidR="004265C4" w:rsidRDefault="00D43D65" w:rsidP="0058300D">
      <w:pPr>
        <w:spacing w:line="480" w:lineRule="auto"/>
        <w:rPr>
          <w:rFonts w:ascii="Times New Roman" w:eastAsiaTheme="minorEastAsia" w:hAnsi="Times New Roman" w:cs="Times New Roman"/>
          <w:sz w:val="22"/>
          <w:szCs w:val="22"/>
        </w:rPr>
      </w:pPr>
      <w:r w:rsidRPr="00515B26">
        <w:rPr>
          <w:rFonts w:ascii="Times New Roman" w:eastAsiaTheme="minorEastAsia" w:hAnsi="Times New Roman" w:cs="Times New Roman"/>
          <w:sz w:val="22"/>
          <w:szCs w:val="22"/>
        </w:rPr>
        <w:t xml:space="preserve">To conclude, in a large sample of university students, we found a BED prevalence of </w:t>
      </w:r>
      <w:r w:rsidR="00E30077">
        <w:rPr>
          <w:rFonts w:ascii="Times New Roman" w:eastAsiaTheme="minorEastAsia" w:hAnsi="Times New Roman" w:cs="Times New Roman"/>
          <w:sz w:val="22"/>
          <w:szCs w:val="22"/>
        </w:rPr>
        <w:t>2.4</w:t>
      </w:r>
      <w:r w:rsidRPr="00515B26">
        <w:rPr>
          <w:rFonts w:ascii="Times New Roman" w:eastAsiaTheme="minorEastAsia" w:hAnsi="Times New Roman" w:cs="Times New Roman"/>
          <w:sz w:val="22"/>
          <w:szCs w:val="22"/>
        </w:rPr>
        <w:t>%</w:t>
      </w:r>
      <w:r w:rsidR="00D80C0B">
        <w:rPr>
          <w:rFonts w:ascii="Times New Roman" w:eastAsiaTheme="minorEastAsia" w:hAnsi="Times New Roman" w:cs="Times New Roman"/>
          <w:sz w:val="22"/>
          <w:szCs w:val="22"/>
        </w:rPr>
        <w:t xml:space="preserve"> and BED was more likely in females. BED was associated with trait impulsivity and compulsivity with medium-large effect sizes, </w:t>
      </w:r>
      <w:r w:rsidR="00500E3C">
        <w:rPr>
          <w:rFonts w:ascii="Times New Roman" w:eastAsiaTheme="minorEastAsia" w:hAnsi="Times New Roman" w:cs="Times New Roman"/>
          <w:sz w:val="22"/>
          <w:szCs w:val="22"/>
        </w:rPr>
        <w:t>implicating these latent phenotypes in its pathophysiology</w:t>
      </w:r>
      <w:r w:rsidR="00582268">
        <w:rPr>
          <w:rFonts w:ascii="Times New Roman" w:eastAsiaTheme="minorEastAsia" w:hAnsi="Times New Roman" w:cs="Times New Roman"/>
          <w:sz w:val="22"/>
          <w:szCs w:val="22"/>
        </w:rPr>
        <w:t xml:space="preserve">. BED was also associated, with smaller effect sizes, with </w:t>
      </w:r>
      <w:r w:rsidRPr="00515B26">
        <w:rPr>
          <w:rFonts w:ascii="Times New Roman" w:eastAsiaTheme="minorEastAsia" w:hAnsi="Times New Roman" w:cs="Times New Roman"/>
          <w:sz w:val="22"/>
          <w:szCs w:val="22"/>
        </w:rPr>
        <w:t xml:space="preserve">higher AUDIT scores, </w:t>
      </w:r>
      <w:r w:rsidR="00582268" w:rsidRPr="00515B26">
        <w:rPr>
          <w:rFonts w:ascii="Times New Roman" w:eastAsiaTheme="minorEastAsia" w:hAnsi="Times New Roman" w:cs="Times New Roman"/>
          <w:sz w:val="22"/>
          <w:szCs w:val="22"/>
        </w:rPr>
        <w:t>depressive and anxiety symptoms, PTSD, ADHD, low self-esteem</w:t>
      </w:r>
      <w:r w:rsidR="00582268">
        <w:rPr>
          <w:rFonts w:ascii="Times New Roman" w:eastAsiaTheme="minorEastAsia" w:hAnsi="Times New Roman" w:cs="Times New Roman"/>
          <w:sz w:val="22"/>
          <w:szCs w:val="22"/>
        </w:rPr>
        <w:t xml:space="preserve"> and treatment for psychological/emotional problems </w:t>
      </w:r>
      <w:r w:rsidR="00582268" w:rsidRPr="00515B26">
        <w:rPr>
          <w:rFonts w:ascii="Times New Roman" w:eastAsiaTheme="minorEastAsia" w:hAnsi="Times New Roman" w:cs="Times New Roman"/>
          <w:sz w:val="22"/>
          <w:szCs w:val="22"/>
        </w:rPr>
        <w:t xml:space="preserve">(including prescribed </w:t>
      </w:r>
      <w:r w:rsidR="00582268" w:rsidRPr="008D5F87">
        <w:rPr>
          <w:rFonts w:ascii="Times New Roman" w:eastAsiaTheme="minorEastAsia" w:hAnsi="Times New Roman" w:cs="Times New Roman"/>
          <w:sz w:val="22"/>
          <w:szCs w:val="22"/>
        </w:rPr>
        <w:t xml:space="preserve">medication). </w:t>
      </w:r>
      <w:r w:rsidR="00A55AF7" w:rsidRPr="008D5F87">
        <w:rPr>
          <w:rFonts w:ascii="Times New Roman" w:eastAsiaTheme="minorEastAsia" w:hAnsi="Times New Roman" w:cs="Times New Roman"/>
          <w:sz w:val="22"/>
          <w:szCs w:val="22"/>
        </w:rPr>
        <w:t xml:space="preserve">The identified associations with impulsivity and compulsivity </w:t>
      </w:r>
      <w:r w:rsidR="008D5F87" w:rsidRPr="008D5F87">
        <w:rPr>
          <w:rFonts w:ascii="Times New Roman" w:eastAsiaTheme="minorEastAsia" w:hAnsi="Times New Roman" w:cs="Times New Roman"/>
          <w:sz w:val="22"/>
          <w:szCs w:val="22"/>
        </w:rPr>
        <w:t>strengthen current understanding of the</w:t>
      </w:r>
      <w:r w:rsidR="00A55AF7" w:rsidRPr="008D5F87">
        <w:rPr>
          <w:rFonts w:ascii="Times New Roman" w:eastAsiaTheme="minorEastAsia" w:hAnsi="Times New Roman" w:cs="Times New Roman"/>
          <w:sz w:val="22"/>
          <w:szCs w:val="22"/>
        </w:rPr>
        <w:t xml:space="preserve"> neurobiological underpinnings of BED, while the associations with a wide range of mental disorders</w:t>
      </w:r>
      <w:r w:rsidR="00575D9E" w:rsidRPr="008D5F87">
        <w:rPr>
          <w:rFonts w:ascii="Times New Roman" w:eastAsiaTheme="minorEastAsia" w:hAnsi="Times New Roman" w:cs="Times New Roman"/>
          <w:sz w:val="22"/>
          <w:szCs w:val="22"/>
        </w:rPr>
        <w:t>, albeit with small effect sizes,</w:t>
      </w:r>
      <w:r w:rsidR="00A55AF7" w:rsidRPr="008D5F87">
        <w:rPr>
          <w:rFonts w:ascii="Times New Roman" w:eastAsiaTheme="minorEastAsia" w:hAnsi="Times New Roman" w:cs="Times New Roman"/>
          <w:sz w:val="22"/>
          <w:szCs w:val="22"/>
        </w:rPr>
        <w:t xml:space="preserve"> highlight the need to screen for disordered eating in a range of psychiatric presentations.</w:t>
      </w:r>
    </w:p>
    <w:p w14:paraId="49AF2E4F" w14:textId="77777777" w:rsidR="004265C4" w:rsidRDefault="004265C4">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br w:type="page"/>
      </w:r>
    </w:p>
    <w:p w14:paraId="7D4CA54A" w14:textId="6AA4B0D9" w:rsidR="00137FF6" w:rsidRPr="00137FF6" w:rsidRDefault="004265C4" w:rsidP="00137FF6">
      <w:pPr>
        <w:widowControl w:val="0"/>
        <w:autoSpaceDE w:val="0"/>
        <w:autoSpaceDN w:val="0"/>
        <w:adjustRightInd w:val="0"/>
        <w:spacing w:line="480" w:lineRule="auto"/>
        <w:ind w:left="640" w:hanging="640"/>
        <w:rPr>
          <w:rFonts w:ascii="Times New Roman" w:hAnsi="Times New Roman" w:cs="Times New Roman"/>
          <w:noProof/>
          <w:sz w:val="22"/>
        </w:rPr>
      </w:pPr>
      <w:r>
        <w:rPr>
          <w:rFonts w:ascii="Times New Roman" w:eastAsiaTheme="minorEastAsia" w:hAnsi="Times New Roman" w:cs="Times New Roman"/>
          <w:sz w:val="22"/>
          <w:szCs w:val="22"/>
        </w:rPr>
        <w:lastRenderedPageBreak/>
        <w:fldChar w:fldCharType="begin" w:fldLock="1"/>
      </w:r>
      <w:r>
        <w:rPr>
          <w:rFonts w:ascii="Times New Roman" w:eastAsiaTheme="minorEastAsia" w:hAnsi="Times New Roman" w:cs="Times New Roman"/>
          <w:sz w:val="22"/>
          <w:szCs w:val="22"/>
        </w:rPr>
        <w:instrText xml:space="preserve">ADDIN Mendeley Bibliography CSL_BIBLIOGRAPHY </w:instrText>
      </w:r>
      <w:r>
        <w:rPr>
          <w:rFonts w:ascii="Times New Roman" w:eastAsiaTheme="minorEastAsia" w:hAnsi="Times New Roman" w:cs="Times New Roman"/>
          <w:sz w:val="22"/>
          <w:szCs w:val="22"/>
        </w:rPr>
        <w:fldChar w:fldCharType="separate"/>
      </w:r>
      <w:r w:rsidR="00137FF6" w:rsidRPr="00137FF6">
        <w:rPr>
          <w:rFonts w:ascii="Times New Roman" w:hAnsi="Times New Roman" w:cs="Times New Roman"/>
          <w:noProof/>
          <w:sz w:val="22"/>
        </w:rPr>
        <w:t xml:space="preserve">1. </w:t>
      </w:r>
      <w:r w:rsidR="00137FF6" w:rsidRPr="00137FF6">
        <w:rPr>
          <w:rFonts w:ascii="Times New Roman" w:hAnsi="Times New Roman" w:cs="Times New Roman"/>
          <w:noProof/>
          <w:sz w:val="22"/>
        </w:rPr>
        <w:tab/>
        <w:t xml:space="preserve">Hay P. Current approach to eating disorders: a clinical update. </w:t>
      </w:r>
      <w:r w:rsidR="00137FF6" w:rsidRPr="00137FF6">
        <w:rPr>
          <w:rFonts w:ascii="Times New Roman" w:hAnsi="Times New Roman" w:cs="Times New Roman"/>
          <w:i/>
          <w:iCs/>
          <w:noProof/>
          <w:sz w:val="22"/>
        </w:rPr>
        <w:t>Intern Med J</w:t>
      </w:r>
      <w:r w:rsidR="00137FF6" w:rsidRPr="00137FF6">
        <w:rPr>
          <w:rFonts w:ascii="Times New Roman" w:hAnsi="Times New Roman" w:cs="Times New Roman"/>
          <w:noProof/>
          <w:sz w:val="22"/>
        </w:rPr>
        <w:t>. 2020;50(1):24-29. doi:10.1111/imj.14691</w:t>
      </w:r>
    </w:p>
    <w:p w14:paraId="006DF4E8"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 </w:t>
      </w:r>
      <w:r w:rsidRPr="00137FF6">
        <w:rPr>
          <w:rFonts w:ascii="Times New Roman" w:hAnsi="Times New Roman" w:cs="Times New Roman"/>
          <w:noProof/>
          <w:sz w:val="22"/>
        </w:rPr>
        <w:tab/>
        <w:t xml:space="preserve">Galmiche M, Déchelotte P, Lambert G, Tavolacci MP. Prevalence of eating disorders over the 2000-2018 period: A systematic literature review. </w:t>
      </w:r>
      <w:r w:rsidRPr="00137FF6">
        <w:rPr>
          <w:rFonts w:ascii="Times New Roman" w:hAnsi="Times New Roman" w:cs="Times New Roman"/>
          <w:i/>
          <w:iCs/>
          <w:noProof/>
          <w:sz w:val="22"/>
        </w:rPr>
        <w:t>Am J Clin Nutr</w:t>
      </w:r>
      <w:r w:rsidRPr="00137FF6">
        <w:rPr>
          <w:rFonts w:ascii="Times New Roman" w:hAnsi="Times New Roman" w:cs="Times New Roman"/>
          <w:noProof/>
          <w:sz w:val="22"/>
        </w:rPr>
        <w:t>. 2019;109(5):1402-1413. doi:10.1093/ajcn/nqy342</w:t>
      </w:r>
    </w:p>
    <w:p w14:paraId="155926D9"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 </w:t>
      </w:r>
      <w:r w:rsidRPr="00137FF6">
        <w:rPr>
          <w:rFonts w:ascii="Times New Roman" w:hAnsi="Times New Roman" w:cs="Times New Roman"/>
          <w:noProof/>
          <w:sz w:val="22"/>
        </w:rPr>
        <w:tab/>
        <w:t xml:space="preserve">Udo T, Grilo CM. Prevalence and Correlates of DSM-5–Defined Eating Disorders in a Nationally Representative Sample of U.S. Adults. </w:t>
      </w:r>
      <w:r w:rsidRPr="00137FF6">
        <w:rPr>
          <w:rFonts w:ascii="Times New Roman" w:hAnsi="Times New Roman" w:cs="Times New Roman"/>
          <w:i/>
          <w:iCs/>
          <w:noProof/>
          <w:sz w:val="22"/>
        </w:rPr>
        <w:t>Biol Psychiatry</w:t>
      </w:r>
      <w:r w:rsidRPr="00137FF6">
        <w:rPr>
          <w:rFonts w:ascii="Times New Roman" w:hAnsi="Times New Roman" w:cs="Times New Roman"/>
          <w:noProof/>
          <w:sz w:val="22"/>
        </w:rPr>
        <w:t>. 2018;84(5):345-354. doi:10.1016/j.biopsych.2018.03.014</w:t>
      </w:r>
    </w:p>
    <w:p w14:paraId="18342003" w14:textId="0629EDAE"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 </w:t>
      </w:r>
      <w:r w:rsidRPr="00137FF6">
        <w:rPr>
          <w:rFonts w:ascii="Times New Roman" w:hAnsi="Times New Roman" w:cs="Times New Roman"/>
          <w:noProof/>
          <w:sz w:val="22"/>
        </w:rPr>
        <w:tab/>
      </w:r>
      <w:r w:rsidR="00E343B9">
        <w:rPr>
          <w:rFonts w:ascii="Times New Roman" w:hAnsi="Times New Roman" w:cs="Times New Roman"/>
          <w:noProof/>
          <w:sz w:val="22"/>
        </w:rPr>
        <w:t xml:space="preserve">American Psychiatric </w:t>
      </w:r>
      <w:r w:rsidRPr="00137FF6">
        <w:rPr>
          <w:rFonts w:ascii="Times New Roman" w:hAnsi="Times New Roman" w:cs="Times New Roman"/>
          <w:noProof/>
          <w:sz w:val="22"/>
        </w:rPr>
        <w:t>Association. Diagnostic and statistical manual of mental disorders (5th ed.). 2013.</w:t>
      </w:r>
    </w:p>
    <w:p w14:paraId="22BCD584"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 </w:t>
      </w:r>
      <w:r w:rsidRPr="00137FF6">
        <w:rPr>
          <w:rFonts w:ascii="Times New Roman" w:hAnsi="Times New Roman" w:cs="Times New Roman"/>
          <w:noProof/>
          <w:sz w:val="22"/>
        </w:rPr>
        <w:tab/>
        <w:t xml:space="preserve">Kessler RC, Berglund PA, Chiu WT, et al. The Prevalence and Correlates of Binge Eating Disorder in the World Health Organization World Mental Health Surveys. </w:t>
      </w:r>
      <w:r w:rsidRPr="00137FF6">
        <w:rPr>
          <w:rFonts w:ascii="Times New Roman" w:hAnsi="Times New Roman" w:cs="Times New Roman"/>
          <w:i/>
          <w:iCs/>
          <w:noProof/>
          <w:sz w:val="22"/>
        </w:rPr>
        <w:t>Biol Psychiatry</w:t>
      </w:r>
      <w:r w:rsidRPr="00137FF6">
        <w:rPr>
          <w:rFonts w:ascii="Times New Roman" w:hAnsi="Times New Roman" w:cs="Times New Roman"/>
          <w:noProof/>
          <w:sz w:val="22"/>
        </w:rPr>
        <w:t>. 2013;73(9):904-914. doi:10.1016/j.biopsych.2012.11.020</w:t>
      </w:r>
    </w:p>
    <w:p w14:paraId="4157F08C"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6. </w:t>
      </w:r>
      <w:r w:rsidRPr="00137FF6">
        <w:rPr>
          <w:rFonts w:ascii="Times New Roman" w:hAnsi="Times New Roman" w:cs="Times New Roman"/>
          <w:noProof/>
          <w:sz w:val="22"/>
        </w:rPr>
        <w:tab/>
        <w:t xml:space="preserve">Hudson JI, Hiripi E, Pope HG, Kessler RC. The Prevalence and Correlates of Eating Disorders in the National Comorbidity Survey Replication. </w:t>
      </w:r>
      <w:r w:rsidRPr="00137FF6">
        <w:rPr>
          <w:rFonts w:ascii="Times New Roman" w:hAnsi="Times New Roman" w:cs="Times New Roman"/>
          <w:i/>
          <w:iCs/>
          <w:noProof/>
          <w:sz w:val="22"/>
        </w:rPr>
        <w:t>Biol Psychiatry</w:t>
      </w:r>
      <w:r w:rsidRPr="00137FF6">
        <w:rPr>
          <w:rFonts w:ascii="Times New Roman" w:hAnsi="Times New Roman" w:cs="Times New Roman"/>
          <w:noProof/>
          <w:sz w:val="22"/>
        </w:rPr>
        <w:t>. 2007;61(3):348-358. doi:10.1016/j.biopsych.2006.03.040</w:t>
      </w:r>
    </w:p>
    <w:p w14:paraId="65B406E8"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7. </w:t>
      </w:r>
      <w:r w:rsidRPr="00137FF6">
        <w:rPr>
          <w:rFonts w:ascii="Times New Roman" w:hAnsi="Times New Roman" w:cs="Times New Roman"/>
          <w:noProof/>
          <w:sz w:val="22"/>
        </w:rPr>
        <w:tab/>
        <w:t xml:space="preserve">Udo T, Grilo CM. Psychiatric and medical correlates of DSM-5 eating disorders in a nationally representative sample of adults in the United States. </w:t>
      </w:r>
      <w:r w:rsidRPr="00137FF6">
        <w:rPr>
          <w:rFonts w:ascii="Times New Roman" w:hAnsi="Times New Roman" w:cs="Times New Roman"/>
          <w:i/>
          <w:iCs/>
          <w:noProof/>
          <w:sz w:val="22"/>
        </w:rPr>
        <w:t>Int J Eat Disord</w:t>
      </w:r>
      <w:r w:rsidRPr="00137FF6">
        <w:rPr>
          <w:rFonts w:ascii="Times New Roman" w:hAnsi="Times New Roman" w:cs="Times New Roman"/>
          <w:noProof/>
          <w:sz w:val="22"/>
        </w:rPr>
        <w:t>. 2019;52(1):42-50. doi:10.1002/eat.23004</w:t>
      </w:r>
    </w:p>
    <w:p w14:paraId="4679E4EC"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8. </w:t>
      </w:r>
      <w:r w:rsidRPr="00137FF6">
        <w:rPr>
          <w:rFonts w:ascii="Times New Roman" w:hAnsi="Times New Roman" w:cs="Times New Roman"/>
          <w:noProof/>
          <w:sz w:val="22"/>
        </w:rPr>
        <w:tab/>
        <w:t xml:space="preserve">Watson HJ, Jangmo A, Smith T, et al. A register-based case-control study of health care utilization and costs in binge-eating disorder. </w:t>
      </w:r>
      <w:r w:rsidRPr="00137FF6">
        <w:rPr>
          <w:rFonts w:ascii="Times New Roman" w:hAnsi="Times New Roman" w:cs="Times New Roman"/>
          <w:i/>
          <w:iCs/>
          <w:noProof/>
          <w:sz w:val="22"/>
        </w:rPr>
        <w:t>J Psychosom Res</w:t>
      </w:r>
      <w:r w:rsidRPr="00137FF6">
        <w:rPr>
          <w:rFonts w:ascii="Times New Roman" w:hAnsi="Times New Roman" w:cs="Times New Roman"/>
          <w:noProof/>
          <w:sz w:val="22"/>
        </w:rPr>
        <w:t>. 2018;108(February):47-53. doi:10.1016/j.jpsychores.2018.02.011</w:t>
      </w:r>
    </w:p>
    <w:p w14:paraId="4D500820"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9. </w:t>
      </w:r>
      <w:r w:rsidRPr="00137FF6">
        <w:rPr>
          <w:rFonts w:ascii="Times New Roman" w:hAnsi="Times New Roman" w:cs="Times New Roman"/>
          <w:noProof/>
          <w:sz w:val="22"/>
        </w:rPr>
        <w:tab/>
        <w:t xml:space="preserve">Pedrelli P, Nyer M, Yeung A, Zulauf C, Wilens T. College Students: Mental Health Problems and Treatment Considerations. </w:t>
      </w:r>
      <w:r w:rsidRPr="00137FF6">
        <w:rPr>
          <w:rFonts w:ascii="Times New Roman" w:hAnsi="Times New Roman" w:cs="Times New Roman"/>
          <w:i/>
          <w:iCs/>
          <w:noProof/>
          <w:sz w:val="22"/>
        </w:rPr>
        <w:t>Acad Psychiatry</w:t>
      </w:r>
      <w:r w:rsidRPr="00137FF6">
        <w:rPr>
          <w:rFonts w:ascii="Times New Roman" w:hAnsi="Times New Roman" w:cs="Times New Roman"/>
          <w:noProof/>
          <w:sz w:val="22"/>
        </w:rPr>
        <w:t>. 2015;39(5):503-511. doi:10.1007/s40596-014-0205-9</w:t>
      </w:r>
    </w:p>
    <w:p w14:paraId="12549E07"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10. </w:t>
      </w:r>
      <w:r w:rsidRPr="00137FF6">
        <w:rPr>
          <w:rFonts w:ascii="Times New Roman" w:hAnsi="Times New Roman" w:cs="Times New Roman"/>
          <w:noProof/>
          <w:sz w:val="22"/>
        </w:rPr>
        <w:tab/>
        <w:t xml:space="preserve">Kugu N, Akyuz G, Dogan O, Ersan E, Izgic F. The prevalence of eating disorders among university students and the relationship with some individual characteristics. </w:t>
      </w:r>
      <w:r w:rsidRPr="00137FF6">
        <w:rPr>
          <w:rFonts w:ascii="Times New Roman" w:hAnsi="Times New Roman" w:cs="Times New Roman"/>
          <w:i/>
          <w:iCs/>
          <w:noProof/>
          <w:sz w:val="22"/>
        </w:rPr>
        <w:t>Aust N Z J Psychiatry</w:t>
      </w:r>
      <w:r w:rsidRPr="00137FF6">
        <w:rPr>
          <w:rFonts w:ascii="Times New Roman" w:hAnsi="Times New Roman" w:cs="Times New Roman"/>
          <w:noProof/>
          <w:sz w:val="22"/>
        </w:rPr>
        <w:t>. 2006;40(2):129-135. doi:10.1111/j.1440-1614.2006.01759.x</w:t>
      </w:r>
    </w:p>
    <w:p w14:paraId="533F2352"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lastRenderedPageBreak/>
        <w:t xml:space="preserve">11. </w:t>
      </w:r>
      <w:r w:rsidRPr="00137FF6">
        <w:rPr>
          <w:rFonts w:ascii="Times New Roman" w:hAnsi="Times New Roman" w:cs="Times New Roman"/>
          <w:noProof/>
          <w:sz w:val="22"/>
        </w:rPr>
        <w:tab/>
        <w:t xml:space="preserve">Nicoli MG, Liberatore Junior RDR. Binge Eating Disorder and body image perception among university students. </w:t>
      </w:r>
      <w:r w:rsidRPr="00137FF6">
        <w:rPr>
          <w:rFonts w:ascii="Times New Roman" w:hAnsi="Times New Roman" w:cs="Times New Roman"/>
          <w:i/>
          <w:iCs/>
          <w:noProof/>
          <w:sz w:val="22"/>
        </w:rPr>
        <w:t>Eat Behav</w:t>
      </w:r>
      <w:r w:rsidRPr="00137FF6">
        <w:rPr>
          <w:rFonts w:ascii="Times New Roman" w:hAnsi="Times New Roman" w:cs="Times New Roman"/>
          <w:noProof/>
          <w:sz w:val="22"/>
        </w:rPr>
        <w:t>. 2011;12(4):284-288. doi:10.1016/j.eatbeh.2011.07.004</w:t>
      </w:r>
    </w:p>
    <w:p w14:paraId="383AE425"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12. </w:t>
      </w:r>
      <w:r w:rsidRPr="00137FF6">
        <w:rPr>
          <w:rFonts w:ascii="Times New Roman" w:hAnsi="Times New Roman" w:cs="Times New Roman"/>
          <w:noProof/>
          <w:sz w:val="22"/>
        </w:rPr>
        <w:tab/>
        <w:t xml:space="preserve">Ribeiro M, Conceição E, Vaz AR, Machado PPP. The Prevalence of Binge Eating Disorder in a Sample of College Students in the North of Portugal. </w:t>
      </w:r>
      <w:r w:rsidRPr="00137FF6">
        <w:rPr>
          <w:rFonts w:ascii="Times New Roman" w:hAnsi="Times New Roman" w:cs="Times New Roman"/>
          <w:i/>
          <w:iCs/>
          <w:noProof/>
          <w:sz w:val="22"/>
        </w:rPr>
        <w:t>Eur Eat Disord Rev</w:t>
      </w:r>
      <w:r w:rsidRPr="00137FF6">
        <w:rPr>
          <w:rFonts w:ascii="Times New Roman" w:hAnsi="Times New Roman" w:cs="Times New Roman"/>
          <w:noProof/>
          <w:sz w:val="22"/>
        </w:rPr>
        <w:t>. 2014;22(3):185-190. doi:10.1002/erv.2283</w:t>
      </w:r>
    </w:p>
    <w:p w14:paraId="464F33BC"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13. </w:t>
      </w:r>
      <w:r w:rsidRPr="00137FF6">
        <w:rPr>
          <w:rFonts w:ascii="Times New Roman" w:hAnsi="Times New Roman" w:cs="Times New Roman"/>
          <w:noProof/>
          <w:sz w:val="22"/>
        </w:rPr>
        <w:tab/>
        <w:t xml:space="preserve">Tong J, Miao S, Wang J, et al. A two-stage epidemiologic study on prevalence of eating disorders in female university students in Wuhan, China. </w:t>
      </w:r>
      <w:r w:rsidRPr="00137FF6">
        <w:rPr>
          <w:rFonts w:ascii="Times New Roman" w:hAnsi="Times New Roman" w:cs="Times New Roman"/>
          <w:i/>
          <w:iCs/>
          <w:noProof/>
          <w:sz w:val="22"/>
        </w:rPr>
        <w:t>Soc Psychiatry Psychiatr Epidemiol</w:t>
      </w:r>
      <w:r w:rsidRPr="00137FF6">
        <w:rPr>
          <w:rFonts w:ascii="Times New Roman" w:hAnsi="Times New Roman" w:cs="Times New Roman"/>
          <w:noProof/>
          <w:sz w:val="22"/>
        </w:rPr>
        <w:t>. 2014;49(3):499-505. doi:10.1007/s00127-013-0694-y</w:t>
      </w:r>
    </w:p>
    <w:p w14:paraId="67809A65"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14. </w:t>
      </w:r>
      <w:r w:rsidRPr="00137FF6">
        <w:rPr>
          <w:rFonts w:ascii="Times New Roman" w:hAnsi="Times New Roman" w:cs="Times New Roman"/>
          <w:noProof/>
          <w:sz w:val="22"/>
        </w:rPr>
        <w:tab/>
        <w:t xml:space="preserve">Shenoy SK, Praharaj SK. Borderline personality disorder and its association with bipolar spectrum and binge eating disorder in college students from South India. </w:t>
      </w:r>
      <w:r w:rsidRPr="00137FF6">
        <w:rPr>
          <w:rFonts w:ascii="Times New Roman" w:hAnsi="Times New Roman" w:cs="Times New Roman"/>
          <w:i/>
          <w:iCs/>
          <w:noProof/>
          <w:sz w:val="22"/>
        </w:rPr>
        <w:t>Asian J Psychiatr</w:t>
      </w:r>
      <w:r w:rsidRPr="00137FF6">
        <w:rPr>
          <w:rFonts w:ascii="Times New Roman" w:hAnsi="Times New Roman" w:cs="Times New Roman"/>
          <w:noProof/>
          <w:sz w:val="22"/>
        </w:rPr>
        <w:t>. 2019;44(July):20-24. doi:10.1016/j.ajp.2019.07.017</w:t>
      </w:r>
    </w:p>
    <w:p w14:paraId="4BB0127F"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15. </w:t>
      </w:r>
      <w:r w:rsidRPr="00137FF6">
        <w:rPr>
          <w:rFonts w:ascii="Times New Roman" w:hAnsi="Times New Roman" w:cs="Times New Roman"/>
          <w:noProof/>
          <w:sz w:val="22"/>
        </w:rPr>
        <w:tab/>
        <w:t xml:space="preserve">Adhikari A, Dutta A, Sapkota S, Chapagain A, Aryal A, Pradhan A. Prevalence of poor mental health among medical students in Nepal: A cross-sectional study. </w:t>
      </w:r>
      <w:r w:rsidRPr="00137FF6">
        <w:rPr>
          <w:rFonts w:ascii="Times New Roman" w:hAnsi="Times New Roman" w:cs="Times New Roman"/>
          <w:i/>
          <w:iCs/>
          <w:noProof/>
          <w:sz w:val="22"/>
        </w:rPr>
        <w:t>BMC Med Educ</w:t>
      </w:r>
      <w:r w:rsidRPr="00137FF6">
        <w:rPr>
          <w:rFonts w:ascii="Times New Roman" w:hAnsi="Times New Roman" w:cs="Times New Roman"/>
          <w:noProof/>
          <w:sz w:val="22"/>
        </w:rPr>
        <w:t>. 2017;17:232. doi:10.1186/s12909-017-1083-0</w:t>
      </w:r>
    </w:p>
    <w:p w14:paraId="3CC26B01"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16. </w:t>
      </w:r>
      <w:r w:rsidRPr="00137FF6">
        <w:rPr>
          <w:rFonts w:ascii="Times New Roman" w:hAnsi="Times New Roman" w:cs="Times New Roman"/>
          <w:noProof/>
          <w:sz w:val="22"/>
        </w:rPr>
        <w:tab/>
        <w:t xml:space="preserve">Reslan S, Saules KK. College students’ definitions of an eating “binge” differ as a function of gender and binge eating disorder status. </w:t>
      </w:r>
      <w:r w:rsidRPr="00137FF6">
        <w:rPr>
          <w:rFonts w:ascii="Times New Roman" w:hAnsi="Times New Roman" w:cs="Times New Roman"/>
          <w:i/>
          <w:iCs/>
          <w:noProof/>
          <w:sz w:val="22"/>
        </w:rPr>
        <w:t>Eat Behav</w:t>
      </w:r>
      <w:r w:rsidRPr="00137FF6">
        <w:rPr>
          <w:rFonts w:ascii="Times New Roman" w:hAnsi="Times New Roman" w:cs="Times New Roman"/>
          <w:noProof/>
          <w:sz w:val="22"/>
        </w:rPr>
        <w:t>. 2011;12(3):225-227. doi:10.1016/j.eatbeh.2011.03.001</w:t>
      </w:r>
    </w:p>
    <w:p w14:paraId="098FC92D"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17. </w:t>
      </w:r>
      <w:r w:rsidRPr="00137FF6">
        <w:rPr>
          <w:rFonts w:ascii="Times New Roman" w:hAnsi="Times New Roman" w:cs="Times New Roman"/>
          <w:noProof/>
          <w:sz w:val="22"/>
        </w:rPr>
        <w:tab/>
        <w:t xml:space="preserve">Santonastaso P, Scicluna D, Colombo G, Zanetti T, Favaro A. Eating disorders and attitudes in Maltese and Italian female students. </w:t>
      </w:r>
      <w:r w:rsidRPr="00137FF6">
        <w:rPr>
          <w:rFonts w:ascii="Times New Roman" w:hAnsi="Times New Roman" w:cs="Times New Roman"/>
          <w:i/>
          <w:iCs/>
          <w:noProof/>
          <w:sz w:val="22"/>
        </w:rPr>
        <w:t>Psychopathology</w:t>
      </w:r>
      <w:r w:rsidRPr="00137FF6">
        <w:rPr>
          <w:rFonts w:ascii="Times New Roman" w:hAnsi="Times New Roman" w:cs="Times New Roman"/>
          <w:noProof/>
          <w:sz w:val="22"/>
        </w:rPr>
        <w:t>. 2006;39(3):153-157. doi:10.1159/000091801</w:t>
      </w:r>
    </w:p>
    <w:p w14:paraId="6C258595"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18. </w:t>
      </w:r>
      <w:r w:rsidRPr="00137FF6">
        <w:rPr>
          <w:rFonts w:ascii="Times New Roman" w:hAnsi="Times New Roman" w:cs="Times New Roman"/>
          <w:noProof/>
          <w:sz w:val="22"/>
        </w:rPr>
        <w:tab/>
        <w:t xml:space="preserve">Cotrufo P, Barretta V, Monteleone P, Maj M. Full-syndrome, partial-syndrome and subclinical eating disorders: An epidemiological study of female students in Southern Italy. </w:t>
      </w:r>
      <w:r w:rsidRPr="00137FF6">
        <w:rPr>
          <w:rFonts w:ascii="Times New Roman" w:hAnsi="Times New Roman" w:cs="Times New Roman"/>
          <w:i/>
          <w:iCs/>
          <w:noProof/>
          <w:sz w:val="22"/>
        </w:rPr>
        <w:t>Acta Psychiatr Scand</w:t>
      </w:r>
      <w:r w:rsidRPr="00137FF6">
        <w:rPr>
          <w:rFonts w:ascii="Times New Roman" w:hAnsi="Times New Roman" w:cs="Times New Roman"/>
          <w:noProof/>
          <w:sz w:val="22"/>
        </w:rPr>
        <w:t>. 1998;98(2):112-115. doi:10.1111/j.1600-0447.1998.tb10051.x</w:t>
      </w:r>
    </w:p>
    <w:p w14:paraId="768294D8"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19. </w:t>
      </w:r>
      <w:r w:rsidRPr="00137FF6">
        <w:rPr>
          <w:rFonts w:ascii="Times New Roman" w:hAnsi="Times New Roman" w:cs="Times New Roman"/>
          <w:noProof/>
          <w:sz w:val="22"/>
        </w:rPr>
        <w:tab/>
        <w:t xml:space="preserve">Badrasawi MM, Zidan SJ. Binge eating symptoms prevalence and relationship with psychosocial factors among female undergraduate students at Palestine Polytechnic University: a cross-sectional study. </w:t>
      </w:r>
      <w:r w:rsidRPr="00137FF6">
        <w:rPr>
          <w:rFonts w:ascii="Times New Roman" w:hAnsi="Times New Roman" w:cs="Times New Roman"/>
          <w:i/>
          <w:iCs/>
          <w:noProof/>
          <w:sz w:val="22"/>
        </w:rPr>
        <w:t>J Eat Disord</w:t>
      </w:r>
      <w:r w:rsidRPr="00137FF6">
        <w:rPr>
          <w:rFonts w:ascii="Times New Roman" w:hAnsi="Times New Roman" w:cs="Times New Roman"/>
          <w:noProof/>
          <w:sz w:val="22"/>
        </w:rPr>
        <w:t>. 2019;7:33. doi:10.1186/s40337-019-0263-1</w:t>
      </w:r>
    </w:p>
    <w:p w14:paraId="0A951C15"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20. </w:t>
      </w:r>
      <w:r w:rsidRPr="00137FF6">
        <w:rPr>
          <w:rFonts w:ascii="Times New Roman" w:hAnsi="Times New Roman" w:cs="Times New Roman"/>
          <w:noProof/>
          <w:sz w:val="22"/>
        </w:rPr>
        <w:tab/>
        <w:t xml:space="preserve">Kim YR, Hwang BI, Lee GY, et al. Determinants of binge eating disorder among normal weight and overweight female college students in Korea. </w:t>
      </w:r>
      <w:r w:rsidRPr="00137FF6">
        <w:rPr>
          <w:rFonts w:ascii="Times New Roman" w:hAnsi="Times New Roman" w:cs="Times New Roman"/>
          <w:i/>
          <w:iCs/>
          <w:noProof/>
          <w:sz w:val="22"/>
        </w:rPr>
        <w:t>Eat Weight Disord</w:t>
      </w:r>
      <w:r w:rsidRPr="00137FF6">
        <w:rPr>
          <w:rFonts w:ascii="Times New Roman" w:hAnsi="Times New Roman" w:cs="Times New Roman"/>
          <w:noProof/>
          <w:sz w:val="22"/>
        </w:rPr>
        <w:t>. 2018;23(6):849-</w:t>
      </w:r>
      <w:r w:rsidRPr="00137FF6">
        <w:rPr>
          <w:rFonts w:ascii="Times New Roman" w:hAnsi="Times New Roman" w:cs="Times New Roman"/>
          <w:noProof/>
          <w:sz w:val="22"/>
        </w:rPr>
        <w:lastRenderedPageBreak/>
        <w:t>860. doi:10.1007/s40519-018-0574-2</w:t>
      </w:r>
    </w:p>
    <w:p w14:paraId="1562FD9D"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21. </w:t>
      </w:r>
      <w:r w:rsidRPr="00137FF6">
        <w:rPr>
          <w:rFonts w:ascii="Times New Roman" w:hAnsi="Times New Roman" w:cs="Times New Roman"/>
          <w:noProof/>
          <w:sz w:val="22"/>
        </w:rPr>
        <w:tab/>
        <w:t xml:space="preserve">Serra R, Kiekens G, Vanderlinden J, et al. Binge eating and purging in first-year college students: Prevalence, psychiatric comorbidity, and academic performance. </w:t>
      </w:r>
      <w:r w:rsidRPr="00137FF6">
        <w:rPr>
          <w:rFonts w:ascii="Times New Roman" w:hAnsi="Times New Roman" w:cs="Times New Roman"/>
          <w:i/>
          <w:iCs/>
          <w:noProof/>
          <w:sz w:val="22"/>
        </w:rPr>
        <w:t>Int J Eat Disord</w:t>
      </w:r>
      <w:r w:rsidRPr="00137FF6">
        <w:rPr>
          <w:rFonts w:ascii="Times New Roman" w:hAnsi="Times New Roman" w:cs="Times New Roman"/>
          <w:noProof/>
          <w:sz w:val="22"/>
        </w:rPr>
        <w:t>. 2020;53(3):339-348. doi:10.1002/eat.23211</w:t>
      </w:r>
    </w:p>
    <w:p w14:paraId="11A83B6B"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22. </w:t>
      </w:r>
      <w:r w:rsidRPr="00137FF6">
        <w:rPr>
          <w:rFonts w:ascii="Times New Roman" w:hAnsi="Times New Roman" w:cs="Times New Roman"/>
          <w:noProof/>
          <w:sz w:val="22"/>
        </w:rPr>
        <w:tab/>
        <w:t xml:space="preserve">Chamberlain SR, Stochl J, Redden SA, Grant JE. Latent traits of impulsivity and compulsivity: Toward dimensional psychiatry. </w:t>
      </w:r>
      <w:r w:rsidRPr="00137FF6">
        <w:rPr>
          <w:rFonts w:ascii="Times New Roman" w:hAnsi="Times New Roman" w:cs="Times New Roman"/>
          <w:i/>
          <w:iCs/>
          <w:noProof/>
          <w:sz w:val="22"/>
        </w:rPr>
        <w:t>Psychol Med</w:t>
      </w:r>
      <w:r w:rsidRPr="00137FF6">
        <w:rPr>
          <w:rFonts w:ascii="Times New Roman" w:hAnsi="Times New Roman" w:cs="Times New Roman"/>
          <w:noProof/>
          <w:sz w:val="22"/>
        </w:rPr>
        <w:t>. 2018;48(5):810-821. doi:10.1017/S0033291717002185</w:t>
      </w:r>
    </w:p>
    <w:p w14:paraId="7DFC2101"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23. </w:t>
      </w:r>
      <w:r w:rsidRPr="00137FF6">
        <w:rPr>
          <w:rFonts w:ascii="Times New Roman" w:hAnsi="Times New Roman" w:cs="Times New Roman"/>
          <w:noProof/>
          <w:sz w:val="22"/>
        </w:rPr>
        <w:tab/>
        <w:t xml:space="preserve">Evenden JL. Varieties of impulsivity. </w:t>
      </w:r>
      <w:r w:rsidRPr="00137FF6">
        <w:rPr>
          <w:rFonts w:ascii="Times New Roman" w:hAnsi="Times New Roman" w:cs="Times New Roman"/>
          <w:i/>
          <w:iCs/>
          <w:noProof/>
          <w:sz w:val="22"/>
        </w:rPr>
        <w:t>Psychopharmacology (Berl)</w:t>
      </w:r>
      <w:r w:rsidRPr="00137FF6">
        <w:rPr>
          <w:rFonts w:ascii="Times New Roman" w:hAnsi="Times New Roman" w:cs="Times New Roman"/>
          <w:noProof/>
          <w:sz w:val="22"/>
        </w:rPr>
        <w:t>. 1999;146(4):348-361. doi:10.1007/PL00005481</w:t>
      </w:r>
    </w:p>
    <w:p w14:paraId="4C8B18DA"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24. </w:t>
      </w:r>
      <w:r w:rsidRPr="00137FF6">
        <w:rPr>
          <w:rFonts w:ascii="Times New Roman" w:hAnsi="Times New Roman" w:cs="Times New Roman"/>
          <w:noProof/>
          <w:sz w:val="22"/>
        </w:rPr>
        <w:tab/>
        <w:t xml:space="preserve">Luigjes J, Lorenzetti V, de Haan S, et al. Defining Compulsive Behavior. </w:t>
      </w:r>
      <w:r w:rsidRPr="00137FF6">
        <w:rPr>
          <w:rFonts w:ascii="Times New Roman" w:hAnsi="Times New Roman" w:cs="Times New Roman"/>
          <w:i/>
          <w:iCs/>
          <w:noProof/>
          <w:sz w:val="22"/>
        </w:rPr>
        <w:t>Neuropsychol Rev</w:t>
      </w:r>
      <w:r w:rsidRPr="00137FF6">
        <w:rPr>
          <w:rFonts w:ascii="Times New Roman" w:hAnsi="Times New Roman" w:cs="Times New Roman"/>
          <w:noProof/>
          <w:sz w:val="22"/>
        </w:rPr>
        <w:t>. 2019;29(1):4-13. doi:10.1007/s11065-019-09404-9</w:t>
      </w:r>
    </w:p>
    <w:p w14:paraId="0F4535D8"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25. </w:t>
      </w:r>
      <w:r w:rsidRPr="00137FF6">
        <w:rPr>
          <w:rFonts w:ascii="Times New Roman" w:hAnsi="Times New Roman" w:cs="Times New Roman"/>
          <w:noProof/>
          <w:sz w:val="22"/>
        </w:rPr>
        <w:tab/>
        <w:t xml:space="preserve">Kaisari P, Dourish CT, Rotshtein P, Higgs S. Associations Between Core Symptoms of Attention Deficit Hyperactivity Disorder and Both Binge and Restrictive Eating. </w:t>
      </w:r>
      <w:r w:rsidRPr="00137FF6">
        <w:rPr>
          <w:rFonts w:ascii="Times New Roman" w:hAnsi="Times New Roman" w:cs="Times New Roman"/>
          <w:i/>
          <w:iCs/>
          <w:noProof/>
          <w:sz w:val="22"/>
        </w:rPr>
        <w:t>Front Psychiatry</w:t>
      </w:r>
      <w:r w:rsidRPr="00137FF6">
        <w:rPr>
          <w:rFonts w:ascii="Times New Roman" w:hAnsi="Times New Roman" w:cs="Times New Roman"/>
          <w:noProof/>
          <w:sz w:val="22"/>
        </w:rPr>
        <w:t>. 2018;9(MAR):1-16. doi:10.3389/fpsyt.2018.00103</w:t>
      </w:r>
    </w:p>
    <w:p w14:paraId="6D2F605B"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26. </w:t>
      </w:r>
      <w:r w:rsidRPr="00137FF6">
        <w:rPr>
          <w:rFonts w:ascii="Times New Roman" w:hAnsi="Times New Roman" w:cs="Times New Roman"/>
          <w:noProof/>
          <w:sz w:val="22"/>
        </w:rPr>
        <w:tab/>
        <w:t xml:space="preserve">Moore CF, Sabino V, Koob GF, Cottone P. Pathological Overeating: Emerging Evidence for a Compulsivity Construct. </w:t>
      </w:r>
      <w:r w:rsidRPr="00137FF6">
        <w:rPr>
          <w:rFonts w:ascii="Times New Roman" w:hAnsi="Times New Roman" w:cs="Times New Roman"/>
          <w:i/>
          <w:iCs/>
          <w:noProof/>
          <w:sz w:val="22"/>
        </w:rPr>
        <w:t>Neuropsychopharmacology</w:t>
      </w:r>
      <w:r w:rsidRPr="00137FF6">
        <w:rPr>
          <w:rFonts w:ascii="Times New Roman" w:hAnsi="Times New Roman" w:cs="Times New Roman"/>
          <w:noProof/>
          <w:sz w:val="22"/>
        </w:rPr>
        <w:t>. 2017;42(7):1375-1389. doi:10.1038/npp.2016.269</w:t>
      </w:r>
    </w:p>
    <w:p w14:paraId="4D906870"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27. </w:t>
      </w:r>
      <w:r w:rsidRPr="00137FF6">
        <w:rPr>
          <w:rFonts w:ascii="Times New Roman" w:hAnsi="Times New Roman" w:cs="Times New Roman"/>
          <w:noProof/>
          <w:sz w:val="22"/>
        </w:rPr>
        <w:tab/>
        <w:t xml:space="preserve">Kessler RM, Hutson PH, Herman BK, Potenza MN. The neurobiological basis of binge-eating disorder. </w:t>
      </w:r>
      <w:r w:rsidRPr="00137FF6">
        <w:rPr>
          <w:rFonts w:ascii="Times New Roman" w:hAnsi="Times New Roman" w:cs="Times New Roman"/>
          <w:i/>
          <w:iCs/>
          <w:noProof/>
          <w:sz w:val="22"/>
        </w:rPr>
        <w:t>Neurosci Biobehav Rev</w:t>
      </w:r>
      <w:r w:rsidRPr="00137FF6">
        <w:rPr>
          <w:rFonts w:ascii="Times New Roman" w:hAnsi="Times New Roman" w:cs="Times New Roman"/>
          <w:noProof/>
          <w:sz w:val="22"/>
        </w:rPr>
        <w:t>. 2016;63:223-238. doi:10.1016/j.neubiorev.2016.01.013</w:t>
      </w:r>
    </w:p>
    <w:p w14:paraId="38036163"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28. </w:t>
      </w:r>
      <w:r w:rsidRPr="00137FF6">
        <w:rPr>
          <w:rFonts w:ascii="Times New Roman" w:hAnsi="Times New Roman" w:cs="Times New Roman"/>
          <w:noProof/>
          <w:sz w:val="22"/>
        </w:rPr>
        <w:tab/>
        <w:t xml:space="preserve">Voon V. Cognitive biases in binge eating disorder: The hijacking of decision making. </w:t>
      </w:r>
      <w:r w:rsidRPr="00137FF6">
        <w:rPr>
          <w:rFonts w:ascii="Times New Roman" w:hAnsi="Times New Roman" w:cs="Times New Roman"/>
          <w:i/>
          <w:iCs/>
          <w:noProof/>
          <w:sz w:val="22"/>
        </w:rPr>
        <w:t>CNS Spectr</w:t>
      </w:r>
      <w:r w:rsidRPr="00137FF6">
        <w:rPr>
          <w:rFonts w:ascii="Times New Roman" w:hAnsi="Times New Roman" w:cs="Times New Roman"/>
          <w:noProof/>
          <w:sz w:val="22"/>
        </w:rPr>
        <w:t>. 2015;20(6):566-573. doi:10.1017/S1092852915000681</w:t>
      </w:r>
    </w:p>
    <w:p w14:paraId="74BBDE7D"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29. </w:t>
      </w:r>
      <w:r w:rsidRPr="00137FF6">
        <w:rPr>
          <w:rFonts w:ascii="Times New Roman" w:hAnsi="Times New Roman" w:cs="Times New Roman"/>
          <w:noProof/>
          <w:sz w:val="22"/>
        </w:rPr>
        <w:tab/>
        <w:t xml:space="preserve">Griffiths KR, Aparício L, Braund TA, et al. Impulsivity and Its Relationship With Lisdexamfetamine Dimesylate Treatment in Binge Eating Disorder. </w:t>
      </w:r>
      <w:r w:rsidRPr="00137FF6">
        <w:rPr>
          <w:rFonts w:ascii="Times New Roman" w:hAnsi="Times New Roman" w:cs="Times New Roman"/>
          <w:i/>
          <w:iCs/>
          <w:noProof/>
          <w:sz w:val="22"/>
        </w:rPr>
        <w:t>Front Psychol</w:t>
      </w:r>
      <w:r w:rsidRPr="00137FF6">
        <w:rPr>
          <w:rFonts w:ascii="Times New Roman" w:hAnsi="Times New Roman" w:cs="Times New Roman"/>
          <w:noProof/>
          <w:sz w:val="22"/>
        </w:rPr>
        <w:t>. 2021;12(August). doi:10.3389/fpsyg.2021.716010</w:t>
      </w:r>
    </w:p>
    <w:p w14:paraId="66536535"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30. </w:t>
      </w:r>
      <w:r w:rsidRPr="00137FF6">
        <w:rPr>
          <w:rFonts w:ascii="Times New Roman" w:hAnsi="Times New Roman" w:cs="Times New Roman"/>
          <w:noProof/>
          <w:sz w:val="22"/>
        </w:rPr>
        <w:tab/>
        <w:t xml:space="preserve">Citrome L, Kando JC, Bliss C. Relationships between clinical scales and binge eating days in adults with moderate to severe binge eating disorder in two phase III studies. </w:t>
      </w:r>
      <w:r w:rsidRPr="00137FF6">
        <w:rPr>
          <w:rFonts w:ascii="Times New Roman" w:hAnsi="Times New Roman" w:cs="Times New Roman"/>
          <w:i/>
          <w:iCs/>
          <w:noProof/>
          <w:sz w:val="22"/>
        </w:rPr>
        <w:t>Neuropsychiatr Dis Treat</w:t>
      </w:r>
      <w:r w:rsidRPr="00137FF6">
        <w:rPr>
          <w:rFonts w:ascii="Times New Roman" w:hAnsi="Times New Roman" w:cs="Times New Roman"/>
          <w:noProof/>
          <w:sz w:val="22"/>
        </w:rPr>
        <w:t>. 2018;14:537-546. doi:10.2147/NDT.S158395</w:t>
      </w:r>
    </w:p>
    <w:p w14:paraId="285E8F93"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31. </w:t>
      </w:r>
      <w:r w:rsidRPr="00137FF6">
        <w:rPr>
          <w:rFonts w:ascii="Times New Roman" w:hAnsi="Times New Roman" w:cs="Times New Roman"/>
          <w:noProof/>
          <w:sz w:val="22"/>
        </w:rPr>
        <w:tab/>
        <w:t xml:space="preserve">Hook RW, Grant JE, Ioannidis K, et al. Trans-diagnostic measurement of impulsivity and </w:t>
      </w:r>
      <w:r w:rsidRPr="00137FF6">
        <w:rPr>
          <w:rFonts w:ascii="Times New Roman" w:hAnsi="Times New Roman" w:cs="Times New Roman"/>
          <w:noProof/>
          <w:sz w:val="22"/>
        </w:rPr>
        <w:lastRenderedPageBreak/>
        <w:t xml:space="preserve">compulsivity: A review of self-report tools. </w:t>
      </w:r>
      <w:r w:rsidRPr="00137FF6">
        <w:rPr>
          <w:rFonts w:ascii="Times New Roman" w:hAnsi="Times New Roman" w:cs="Times New Roman"/>
          <w:i/>
          <w:iCs/>
          <w:noProof/>
          <w:sz w:val="22"/>
        </w:rPr>
        <w:t>Neurosci Biobehav Rev</w:t>
      </w:r>
      <w:r w:rsidRPr="00137FF6">
        <w:rPr>
          <w:rFonts w:ascii="Times New Roman" w:hAnsi="Times New Roman" w:cs="Times New Roman"/>
          <w:noProof/>
          <w:sz w:val="22"/>
        </w:rPr>
        <w:t>. 2021;120:455-469. doi:10.1016/j.neubiorev.2020.10.007</w:t>
      </w:r>
    </w:p>
    <w:p w14:paraId="4EB6D4C4"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32. </w:t>
      </w:r>
      <w:r w:rsidRPr="00137FF6">
        <w:rPr>
          <w:rFonts w:ascii="Times New Roman" w:hAnsi="Times New Roman" w:cs="Times New Roman"/>
          <w:noProof/>
          <w:sz w:val="22"/>
        </w:rPr>
        <w:tab/>
        <w:t xml:space="preserve">Chamberlain SR, Grant JE. Minnesota Impulse Disorders Interview (MIDI): Validation of a structured diagnostic clinical interview for impulse control disorders in an enriched community sample. </w:t>
      </w:r>
      <w:r w:rsidRPr="00137FF6">
        <w:rPr>
          <w:rFonts w:ascii="Times New Roman" w:hAnsi="Times New Roman" w:cs="Times New Roman"/>
          <w:i/>
          <w:iCs/>
          <w:noProof/>
          <w:sz w:val="22"/>
        </w:rPr>
        <w:t>Psychiatry Res</w:t>
      </w:r>
      <w:r w:rsidRPr="00137FF6">
        <w:rPr>
          <w:rFonts w:ascii="Times New Roman" w:hAnsi="Times New Roman" w:cs="Times New Roman"/>
          <w:noProof/>
          <w:sz w:val="22"/>
        </w:rPr>
        <w:t>. 2018;265(May):279-283. doi:10.1016/j.psychres.2018.05.006</w:t>
      </w:r>
    </w:p>
    <w:p w14:paraId="570D3F4A"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33. </w:t>
      </w:r>
      <w:r w:rsidRPr="00137FF6">
        <w:rPr>
          <w:rFonts w:ascii="Times New Roman" w:hAnsi="Times New Roman" w:cs="Times New Roman"/>
          <w:noProof/>
          <w:sz w:val="22"/>
        </w:rPr>
        <w:tab/>
        <w:t xml:space="preserve">Saunders JB, Aasland OG, Babor TF, de la Fuente JR, Grant M. Development of the Alcohol Use Disorders Identification Test (AUDIT): WHO Collaborative Project on Early Detection of Persons with Harmful Alcohol Consumption-II. </w:t>
      </w:r>
      <w:r w:rsidRPr="00137FF6">
        <w:rPr>
          <w:rFonts w:ascii="Times New Roman" w:hAnsi="Times New Roman" w:cs="Times New Roman"/>
          <w:i/>
          <w:iCs/>
          <w:noProof/>
          <w:sz w:val="22"/>
        </w:rPr>
        <w:t>Addiction</w:t>
      </w:r>
      <w:r w:rsidRPr="00137FF6">
        <w:rPr>
          <w:rFonts w:ascii="Times New Roman" w:hAnsi="Times New Roman" w:cs="Times New Roman"/>
          <w:noProof/>
          <w:sz w:val="22"/>
        </w:rPr>
        <w:t>. 1993;88(6):791-804. doi:10.1111/j.1360-0443.1993.tb02093.x</w:t>
      </w:r>
    </w:p>
    <w:p w14:paraId="3241DCCA"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34. </w:t>
      </w:r>
      <w:r w:rsidRPr="00137FF6">
        <w:rPr>
          <w:rFonts w:ascii="Times New Roman" w:hAnsi="Times New Roman" w:cs="Times New Roman"/>
          <w:noProof/>
          <w:sz w:val="22"/>
        </w:rPr>
        <w:tab/>
        <w:t xml:space="preserve">Skinner HA. The drug abuse screening test. </w:t>
      </w:r>
      <w:r w:rsidRPr="00137FF6">
        <w:rPr>
          <w:rFonts w:ascii="Times New Roman" w:hAnsi="Times New Roman" w:cs="Times New Roman"/>
          <w:i/>
          <w:iCs/>
          <w:noProof/>
          <w:sz w:val="22"/>
        </w:rPr>
        <w:t>Addict Behav</w:t>
      </w:r>
      <w:r w:rsidRPr="00137FF6">
        <w:rPr>
          <w:rFonts w:ascii="Times New Roman" w:hAnsi="Times New Roman" w:cs="Times New Roman"/>
          <w:noProof/>
          <w:sz w:val="22"/>
        </w:rPr>
        <w:t>. 1982;7(4):363-371. doi:10.1016/0306-4603(82)90005-3</w:t>
      </w:r>
    </w:p>
    <w:p w14:paraId="23C0023C"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35. </w:t>
      </w:r>
      <w:r w:rsidRPr="00137FF6">
        <w:rPr>
          <w:rFonts w:ascii="Times New Roman" w:hAnsi="Times New Roman" w:cs="Times New Roman"/>
          <w:noProof/>
          <w:sz w:val="22"/>
        </w:rPr>
        <w:tab/>
        <w:t xml:space="preserve">Yudko E, Lozhkina O, Fouts A. A comprehensive review of the psychometric properties of the Drug Abuse Screening Test. </w:t>
      </w:r>
      <w:r w:rsidRPr="00137FF6">
        <w:rPr>
          <w:rFonts w:ascii="Times New Roman" w:hAnsi="Times New Roman" w:cs="Times New Roman"/>
          <w:i/>
          <w:iCs/>
          <w:noProof/>
          <w:sz w:val="22"/>
        </w:rPr>
        <w:t>J Subst Abuse Treat</w:t>
      </w:r>
      <w:r w:rsidRPr="00137FF6">
        <w:rPr>
          <w:rFonts w:ascii="Times New Roman" w:hAnsi="Times New Roman" w:cs="Times New Roman"/>
          <w:noProof/>
          <w:sz w:val="22"/>
        </w:rPr>
        <w:t>. 2007;32(2):189-198. doi:10.1016/j.jsat.2006.08.002</w:t>
      </w:r>
    </w:p>
    <w:p w14:paraId="18226AE7"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36. </w:t>
      </w:r>
      <w:r w:rsidRPr="00137FF6">
        <w:rPr>
          <w:rFonts w:ascii="Times New Roman" w:hAnsi="Times New Roman" w:cs="Times New Roman"/>
          <w:noProof/>
          <w:sz w:val="22"/>
        </w:rPr>
        <w:tab/>
        <w:t xml:space="preserve">Kroenke K, Spitzer RL, Williams JBW. The PHQ-9: Validity of a brief depression severity measure. </w:t>
      </w:r>
      <w:r w:rsidRPr="00137FF6">
        <w:rPr>
          <w:rFonts w:ascii="Times New Roman" w:hAnsi="Times New Roman" w:cs="Times New Roman"/>
          <w:i/>
          <w:iCs/>
          <w:noProof/>
          <w:sz w:val="22"/>
        </w:rPr>
        <w:t>J Gen Intern Med</w:t>
      </w:r>
      <w:r w:rsidRPr="00137FF6">
        <w:rPr>
          <w:rFonts w:ascii="Times New Roman" w:hAnsi="Times New Roman" w:cs="Times New Roman"/>
          <w:noProof/>
          <w:sz w:val="22"/>
        </w:rPr>
        <w:t>. 2001;16(9):606-613. doi:10.1046/j.1525-1497.2001.016009606.x</w:t>
      </w:r>
    </w:p>
    <w:p w14:paraId="7B6BCEBF"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37. </w:t>
      </w:r>
      <w:r w:rsidRPr="00137FF6">
        <w:rPr>
          <w:rFonts w:ascii="Times New Roman" w:hAnsi="Times New Roman" w:cs="Times New Roman"/>
          <w:noProof/>
          <w:sz w:val="22"/>
        </w:rPr>
        <w:tab/>
        <w:t xml:space="preserve">Prins A, Ouimette P, Kimerling R, et al. The primary care PTSD screen (PC–PTSD): development and operating characteristics. </w:t>
      </w:r>
      <w:r w:rsidRPr="00137FF6">
        <w:rPr>
          <w:rFonts w:ascii="Times New Roman" w:hAnsi="Times New Roman" w:cs="Times New Roman"/>
          <w:i/>
          <w:iCs/>
          <w:noProof/>
          <w:sz w:val="22"/>
        </w:rPr>
        <w:t>Prim Care Psychiatry</w:t>
      </w:r>
      <w:r w:rsidRPr="00137FF6">
        <w:rPr>
          <w:rFonts w:ascii="Times New Roman" w:hAnsi="Times New Roman" w:cs="Times New Roman"/>
          <w:noProof/>
          <w:sz w:val="22"/>
        </w:rPr>
        <w:t>. 2004;9(1):9-14. doi:10.1185/135525703125002360</w:t>
      </w:r>
    </w:p>
    <w:p w14:paraId="71E76361"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38. </w:t>
      </w:r>
      <w:r w:rsidRPr="00137FF6">
        <w:rPr>
          <w:rFonts w:ascii="Times New Roman" w:hAnsi="Times New Roman" w:cs="Times New Roman"/>
          <w:noProof/>
          <w:sz w:val="22"/>
        </w:rPr>
        <w:tab/>
        <w:t xml:space="preserve">Spitzer RL, Kroenke K, Williams JBW, Löwe B. A brief measure for assessing generalized anxiety disorder: The GAD-7. </w:t>
      </w:r>
      <w:r w:rsidRPr="00137FF6">
        <w:rPr>
          <w:rFonts w:ascii="Times New Roman" w:hAnsi="Times New Roman" w:cs="Times New Roman"/>
          <w:i/>
          <w:iCs/>
          <w:noProof/>
          <w:sz w:val="22"/>
        </w:rPr>
        <w:t>Arch Intern Med</w:t>
      </w:r>
      <w:r w:rsidRPr="00137FF6">
        <w:rPr>
          <w:rFonts w:ascii="Times New Roman" w:hAnsi="Times New Roman" w:cs="Times New Roman"/>
          <w:noProof/>
          <w:sz w:val="22"/>
        </w:rPr>
        <w:t>. 2006;166(10):1092-1097. doi:10.1001/archinte.166.10.1092</w:t>
      </w:r>
    </w:p>
    <w:p w14:paraId="54DC72F4"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39. </w:t>
      </w:r>
      <w:r w:rsidRPr="00137FF6">
        <w:rPr>
          <w:rFonts w:ascii="Times New Roman" w:hAnsi="Times New Roman" w:cs="Times New Roman"/>
          <w:noProof/>
          <w:sz w:val="22"/>
        </w:rPr>
        <w:tab/>
        <w:t xml:space="preserve">Kessler RC, Adler LA, Gruber MJ, Sarawate CA, Spencer T, Van Brunt DL. Validity of the World Health Organization Adult ADHD Self-Report Scale (ASRS) Screener in a representative sample of health plan members. </w:t>
      </w:r>
      <w:r w:rsidRPr="00137FF6">
        <w:rPr>
          <w:rFonts w:ascii="Times New Roman" w:hAnsi="Times New Roman" w:cs="Times New Roman"/>
          <w:i/>
          <w:iCs/>
          <w:noProof/>
          <w:sz w:val="22"/>
        </w:rPr>
        <w:t>Int J Methods Psychiatr Res</w:t>
      </w:r>
      <w:r w:rsidRPr="00137FF6">
        <w:rPr>
          <w:rFonts w:ascii="Times New Roman" w:hAnsi="Times New Roman" w:cs="Times New Roman"/>
          <w:noProof/>
          <w:sz w:val="22"/>
        </w:rPr>
        <w:t>. 2007;16(2):52-65. doi:10.1002/mpr.208</w:t>
      </w:r>
    </w:p>
    <w:p w14:paraId="2832D814"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40. </w:t>
      </w:r>
      <w:r w:rsidRPr="00137FF6">
        <w:rPr>
          <w:rFonts w:ascii="Times New Roman" w:hAnsi="Times New Roman" w:cs="Times New Roman"/>
          <w:noProof/>
          <w:sz w:val="22"/>
        </w:rPr>
        <w:tab/>
        <w:t xml:space="preserve">Kessler RC, Adler L, Ames M, et al. The World Health Organization adult ADHD self-report </w:t>
      </w:r>
      <w:r w:rsidRPr="00137FF6">
        <w:rPr>
          <w:rFonts w:ascii="Times New Roman" w:hAnsi="Times New Roman" w:cs="Times New Roman"/>
          <w:noProof/>
          <w:sz w:val="22"/>
        </w:rPr>
        <w:lastRenderedPageBreak/>
        <w:t xml:space="preserve">scale (ASRS): A short screening scale for use in the general population. </w:t>
      </w:r>
      <w:r w:rsidRPr="00137FF6">
        <w:rPr>
          <w:rFonts w:ascii="Times New Roman" w:hAnsi="Times New Roman" w:cs="Times New Roman"/>
          <w:i/>
          <w:iCs/>
          <w:noProof/>
          <w:sz w:val="22"/>
        </w:rPr>
        <w:t>Psychol Med</w:t>
      </w:r>
      <w:r w:rsidRPr="00137FF6">
        <w:rPr>
          <w:rFonts w:ascii="Times New Roman" w:hAnsi="Times New Roman" w:cs="Times New Roman"/>
          <w:noProof/>
          <w:sz w:val="22"/>
        </w:rPr>
        <w:t>. 2005;35(2):245-256. doi:10.1017/S0033291704002892</w:t>
      </w:r>
    </w:p>
    <w:p w14:paraId="41983E26"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41. </w:t>
      </w:r>
      <w:r w:rsidRPr="00137FF6">
        <w:rPr>
          <w:rFonts w:ascii="Times New Roman" w:hAnsi="Times New Roman" w:cs="Times New Roman"/>
          <w:noProof/>
          <w:sz w:val="22"/>
        </w:rPr>
        <w:tab/>
        <w:t xml:space="preserve">Rosenberg M. </w:t>
      </w:r>
      <w:r w:rsidRPr="00137FF6">
        <w:rPr>
          <w:rFonts w:ascii="Times New Roman" w:hAnsi="Times New Roman" w:cs="Times New Roman"/>
          <w:i/>
          <w:iCs/>
          <w:noProof/>
          <w:sz w:val="22"/>
        </w:rPr>
        <w:t>Society and the Adolescent Self-Image</w:t>
      </w:r>
      <w:r w:rsidRPr="00137FF6">
        <w:rPr>
          <w:rFonts w:ascii="Times New Roman" w:hAnsi="Times New Roman" w:cs="Times New Roman"/>
          <w:noProof/>
          <w:sz w:val="22"/>
        </w:rPr>
        <w:t>. Princeton, NJ: Princeton University Press; 1965.</w:t>
      </w:r>
    </w:p>
    <w:p w14:paraId="08950B34"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42. </w:t>
      </w:r>
      <w:r w:rsidRPr="00137FF6">
        <w:rPr>
          <w:rFonts w:ascii="Times New Roman" w:hAnsi="Times New Roman" w:cs="Times New Roman"/>
          <w:noProof/>
          <w:sz w:val="22"/>
        </w:rPr>
        <w:tab/>
        <w:t xml:space="preserve">Stanford MS, Mathias CW, Dougherty DM, Lake SL, Anderson NE, Patton JH. Fifty years of the Barratt Impulsiveness Scale: An update and review. </w:t>
      </w:r>
      <w:r w:rsidRPr="00137FF6">
        <w:rPr>
          <w:rFonts w:ascii="Times New Roman" w:hAnsi="Times New Roman" w:cs="Times New Roman"/>
          <w:i/>
          <w:iCs/>
          <w:noProof/>
          <w:sz w:val="22"/>
        </w:rPr>
        <w:t>Pers Individ Dif</w:t>
      </w:r>
      <w:r w:rsidRPr="00137FF6">
        <w:rPr>
          <w:rFonts w:ascii="Times New Roman" w:hAnsi="Times New Roman" w:cs="Times New Roman"/>
          <w:noProof/>
          <w:sz w:val="22"/>
        </w:rPr>
        <w:t>. 2009;47(5):385-395. doi:10.1016/j.paid.2009.04.008</w:t>
      </w:r>
    </w:p>
    <w:p w14:paraId="58DB83BC"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43. </w:t>
      </w:r>
      <w:r w:rsidRPr="00137FF6">
        <w:rPr>
          <w:rFonts w:ascii="Times New Roman" w:hAnsi="Times New Roman" w:cs="Times New Roman"/>
          <w:noProof/>
          <w:sz w:val="22"/>
        </w:rPr>
        <w:tab/>
        <w:t xml:space="preserve">Patton JH, Stanford MS, Barratt ES. Factor structure of the barratt impulsiveness scale. </w:t>
      </w:r>
      <w:r w:rsidRPr="00137FF6">
        <w:rPr>
          <w:rFonts w:ascii="Times New Roman" w:hAnsi="Times New Roman" w:cs="Times New Roman"/>
          <w:i/>
          <w:iCs/>
          <w:noProof/>
          <w:sz w:val="22"/>
        </w:rPr>
        <w:t>J Clin Psychol</w:t>
      </w:r>
      <w:r w:rsidRPr="00137FF6">
        <w:rPr>
          <w:rFonts w:ascii="Times New Roman" w:hAnsi="Times New Roman" w:cs="Times New Roman"/>
          <w:noProof/>
          <w:sz w:val="22"/>
        </w:rPr>
        <w:t>. 1995;51(6):768-774. doi:10.1002/1097-4679(199511)51:6&lt;768::AID-JCLP2270510607&gt;3.0.CO;2-1</w:t>
      </w:r>
    </w:p>
    <w:p w14:paraId="7859A5D3"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44. </w:t>
      </w:r>
      <w:r w:rsidRPr="00137FF6">
        <w:rPr>
          <w:rFonts w:ascii="Times New Roman" w:hAnsi="Times New Roman" w:cs="Times New Roman"/>
          <w:noProof/>
          <w:sz w:val="22"/>
        </w:rPr>
        <w:tab/>
        <w:t xml:space="preserve">Chamberlain SR, Grant JE. Initial validation of a transdiagnostic compulsivity questionnaire: The Cambridge-Chicago Compulsivity Trait Scale. </w:t>
      </w:r>
      <w:r w:rsidRPr="00137FF6">
        <w:rPr>
          <w:rFonts w:ascii="Times New Roman" w:hAnsi="Times New Roman" w:cs="Times New Roman"/>
          <w:i/>
          <w:iCs/>
          <w:noProof/>
          <w:sz w:val="22"/>
        </w:rPr>
        <w:t>CNS Spectr</w:t>
      </w:r>
      <w:r w:rsidRPr="00137FF6">
        <w:rPr>
          <w:rFonts w:ascii="Times New Roman" w:hAnsi="Times New Roman" w:cs="Times New Roman"/>
          <w:noProof/>
          <w:sz w:val="22"/>
        </w:rPr>
        <w:t>. 2018;23(5):340-346. doi:10.1017/S1092852918000810</w:t>
      </w:r>
    </w:p>
    <w:p w14:paraId="223B8A63"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45. </w:t>
      </w:r>
      <w:r w:rsidRPr="00137FF6">
        <w:rPr>
          <w:rFonts w:ascii="Times New Roman" w:hAnsi="Times New Roman" w:cs="Times New Roman"/>
          <w:noProof/>
          <w:sz w:val="22"/>
        </w:rPr>
        <w:tab/>
        <w:t xml:space="preserve">Lee DK. Interval and effect size. </w:t>
      </w:r>
      <w:r w:rsidRPr="00137FF6">
        <w:rPr>
          <w:rFonts w:ascii="Times New Roman" w:hAnsi="Times New Roman" w:cs="Times New Roman"/>
          <w:i/>
          <w:iCs/>
          <w:noProof/>
          <w:sz w:val="22"/>
        </w:rPr>
        <w:t>Korean J Anesthesiol</w:t>
      </w:r>
      <w:r w:rsidRPr="00137FF6">
        <w:rPr>
          <w:rFonts w:ascii="Times New Roman" w:hAnsi="Times New Roman" w:cs="Times New Roman"/>
          <w:noProof/>
          <w:sz w:val="22"/>
        </w:rPr>
        <w:t>. 2016;69(6):555-562.</w:t>
      </w:r>
    </w:p>
    <w:p w14:paraId="6138BFD2"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46. </w:t>
      </w:r>
      <w:r w:rsidRPr="00137FF6">
        <w:rPr>
          <w:rFonts w:ascii="Times New Roman" w:hAnsi="Times New Roman" w:cs="Times New Roman"/>
          <w:noProof/>
          <w:sz w:val="22"/>
        </w:rPr>
        <w:tab/>
        <w:t xml:space="preserve">Lakens D. Calculating and reporting effect sizes to facilitate cumulative science: A practical primer for t-tests and ANOVAs. </w:t>
      </w:r>
      <w:r w:rsidRPr="00137FF6">
        <w:rPr>
          <w:rFonts w:ascii="Times New Roman" w:hAnsi="Times New Roman" w:cs="Times New Roman"/>
          <w:i/>
          <w:iCs/>
          <w:noProof/>
          <w:sz w:val="22"/>
        </w:rPr>
        <w:t>Front Psychol</w:t>
      </w:r>
      <w:r w:rsidRPr="00137FF6">
        <w:rPr>
          <w:rFonts w:ascii="Times New Roman" w:hAnsi="Times New Roman" w:cs="Times New Roman"/>
          <w:noProof/>
          <w:sz w:val="22"/>
        </w:rPr>
        <w:t>. 2013;4(NOV):1-12. doi:10.3389/fpsyg.2013.00863</w:t>
      </w:r>
    </w:p>
    <w:p w14:paraId="5923BC8B"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47. </w:t>
      </w:r>
      <w:r w:rsidRPr="00137FF6">
        <w:rPr>
          <w:rFonts w:ascii="Times New Roman" w:hAnsi="Times New Roman" w:cs="Times New Roman"/>
          <w:noProof/>
          <w:sz w:val="22"/>
        </w:rPr>
        <w:tab/>
        <w:t xml:space="preserve">Boswell RG, Potenza MN, Grilo CM. The Neurobiology of Binge-eating Disorder Compared with Obesity: Implications for Differential Therapeutics. </w:t>
      </w:r>
      <w:r w:rsidRPr="00137FF6">
        <w:rPr>
          <w:rFonts w:ascii="Times New Roman" w:hAnsi="Times New Roman" w:cs="Times New Roman"/>
          <w:i/>
          <w:iCs/>
          <w:noProof/>
          <w:sz w:val="22"/>
        </w:rPr>
        <w:t>Clin Ther</w:t>
      </w:r>
      <w:r w:rsidRPr="00137FF6">
        <w:rPr>
          <w:rFonts w:ascii="Times New Roman" w:hAnsi="Times New Roman" w:cs="Times New Roman"/>
          <w:noProof/>
          <w:sz w:val="22"/>
        </w:rPr>
        <w:t>. 2021;43(1):50-69. doi:10.1016/j.clinthera.2020.10.014</w:t>
      </w:r>
    </w:p>
    <w:p w14:paraId="4B0517DB"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48. </w:t>
      </w:r>
      <w:r w:rsidRPr="00137FF6">
        <w:rPr>
          <w:rFonts w:ascii="Times New Roman" w:hAnsi="Times New Roman" w:cs="Times New Roman"/>
          <w:noProof/>
          <w:sz w:val="22"/>
        </w:rPr>
        <w:tab/>
        <w:t xml:space="preserve">Volkow ND, Wang GJ, Tomasi D, Baler RD. Unbalanced neuronal circuits in addiction. </w:t>
      </w:r>
      <w:r w:rsidRPr="00137FF6">
        <w:rPr>
          <w:rFonts w:ascii="Times New Roman" w:hAnsi="Times New Roman" w:cs="Times New Roman"/>
          <w:i/>
          <w:iCs/>
          <w:noProof/>
          <w:sz w:val="22"/>
        </w:rPr>
        <w:t>Curr Opin Neurobiol</w:t>
      </w:r>
      <w:r w:rsidRPr="00137FF6">
        <w:rPr>
          <w:rFonts w:ascii="Times New Roman" w:hAnsi="Times New Roman" w:cs="Times New Roman"/>
          <w:noProof/>
          <w:sz w:val="22"/>
        </w:rPr>
        <w:t>. 2013;23(4):639-648. doi:10.1016/j.conb.2013.01.002</w:t>
      </w:r>
    </w:p>
    <w:p w14:paraId="1D7113F6"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49. </w:t>
      </w:r>
      <w:r w:rsidRPr="00137FF6">
        <w:rPr>
          <w:rFonts w:ascii="Times New Roman" w:hAnsi="Times New Roman" w:cs="Times New Roman"/>
          <w:noProof/>
          <w:sz w:val="22"/>
        </w:rPr>
        <w:tab/>
        <w:t xml:space="preserve">Chamberlain SR, Lochner C, Stein DJ, et al. Behavioural addiction-A rising tide? </w:t>
      </w:r>
      <w:r w:rsidRPr="00137FF6">
        <w:rPr>
          <w:rFonts w:ascii="Times New Roman" w:hAnsi="Times New Roman" w:cs="Times New Roman"/>
          <w:i/>
          <w:iCs/>
          <w:noProof/>
          <w:sz w:val="22"/>
        </w:rPr>
        <w:t>Eur Neuropsychopharmacol</w:t>
      </w:r>
      <w:r w:rsidRPr="00137FF6">
        <w:rPr>
          <w:rFonts w:ascii="Times New Roman" w:hAnsi="Times New Roman" w:cs="Times New Roman"/>
          <w:noProof/>
          <w:sz w:val="22"/>
        </w:rPr>
        <w:t>. 2016;26(5):841-855. doi:10.1016/j.euroneuro.2015.08.013</w:t>
      </w:r>
    </w:p>
    <w:p w14:paraId="16179152"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50. </w:t>
      </w:r>
      <w:r w:rsidRPr="00137FF6">
        <w:rPr>
          <w:rFonts w:ascii="Times New Roman" w:hAnsi="Times New Roman" w:cs="Times New Roman"/>
          <w:noProof/>
          <w:sz w:val="22"/>
        </w:rPr>
        <w:tab/>
        <w:t xml:space="preserve">Ural C, Belli H, Akbudak M, Solmaz A, Bektas ZD, Celebi F. Relation of binge eating disorder with impulsiveness in obese individuals. </w:t>
      </w:r>
      <w:r w:rsidRPr="00137FF6">
        <w:rPr>
          <w:rFonts w:ascii="Times New Roman" w:hAnsi="Times New Roman" w:cs="Times New Roman"/>
          <w:i/>
          <w:iCs/>
          <w:noProof/>
          <w:sz w:val="22"/>
        </w:rPr>
        <w:t>World J Psychiatry</w:t>
      </w:r>
      <w:r w:rsidRPr="00137FF6">
        <w:rPr>
          <w:rFonts w:ascii="Times New Roman" w:hAnsi="Times New Roman" w:cs="Times New Roman"/>
          <w:noProof/>
          <w:sz w:val="22"/>
        </w:rPr>
        <w:t>. 2017;7(2):114-120. doi:10.5498/wjp.v7.i2.114</w:t>
      </w:r>
    </w:p>
    <w:p w14:paraId="212EBF2C"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51. </w:t>
      </w:r>
      <w:r w:rsidRPr="00137FF6">
        <w:rPr>
          <w:rFonts w:ascii="Times New Roman" w:hAnsi="Times New Roman" w:cs="Times New Roman"/>
          <w:noProof/>
          <w:sz w:val="22"/>
        </w:rPr>
        <w:tab/>
        <w:t xml:space="preserve">Bogusz K, Kopera M, Jakubczyk A, et al. Prevalence of alcohol use disorder among </w:t>
      </w:r>
      <w:r w:rsidRPr="00137FF6">
        <w:rPr>
          <w:rFonts w:ascii="Times New Roman" w:hAnsi="Times New Roman" w:cs="Times New Roman"/>
          <w:noProof/>
          <w:sz w:val="22"/>
        </w:rPr>
        <w:lastRenderedPageBreak/>
        <w:t xml:space="preserve">individuals who binge eat: a systematic review and meta-analysis. </w:t>
      </w:r>
      <w:r w:rsidRPr="00137FF6">
        <w:rPr>
          <w:rFonts w:ascii="Times New Roman" w:hAnsi="Times New Roman" w:cs="Times New Roman"/>
          <w:i/>
          <w:iCs/>
          <w:noProof/>
          <w:sz w:val="22"/>
        </w:rPr>
        <w:t>Addiction</w:t>
      </w:r>
      <w:r w:rsidRPr="00137FF6">
        <w:rPr>
          <w:rFonts w:ascii="Times New Roman" w:hAnsi="Times New Roman" w:cs="Times New Roman"/>
          <w:noProof/>
          <w:sz w:val="22"/>
        </w:rPr>
        <w:t>. 2021;116(1):18-31. doi:10.1111/add.15155</w:t>
      </w:r>
    </w:p>
    <w:p w14:paraId="1968C04C"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52. </w:t>
      </w:r>
      <w:r w:rsidRPr="00137FF6">
        <w:rPr>
          <w:rFonts w:ascii="Times New Roman" w:hAnsi="Times New Roman" w:cs="Times New Roman"/>
          <w:noProof/>
          <w:sz w:val="22"/>
        </w:rPr>
        <w:tab/>
        <w:t xml:space="preserve">Escrivá-Martínez T, Galiana L, Herrero R, Rodríguez-Arias M, Baños RM. Understanding the Influence of Eating Patterns on Binge Drinking: A Mediation Model. </w:t>
      </w:r>
      <w:r w:rsidRPr="00137FF6">
        <w:rPr>
          <w:rFonts w:ascii="Times New Roman" w:hAnsi="Times New Roman" w:cs="Times New Roman"/>
          <w:i/>
          <w:iCs/>
          <w:noProof/>
          <w:sz w:val="22"/>
        </w:rPr>
        <w:t>Int J Environ Res Public Health</w:t>
      </w:r>
      <w:r w:rsidRPr="00137FF6">
        <w:rPr>
          <w:rFonts w:ascii="Times New Roman" w:hAnsi="Times New Roman" w:cs="Times New Roman"/>
          <w:noProof/>
          <w:sz w:val="22"/>
        </w:rPr>
        <w:t>. 2020;17(24):9451. doi:10.3390/ijerph17249451</w:t>
      </w:r>
    </w:p>
    <w:p w14:paraId="62A5D7C2"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53. </w:t>
      </w:r>
      <w:r w:rsidRPr="00137FF6">
        <w:rPr>
          <w:rFonts w:ascii="Times New Roman" w:hAnsi="Times New Roman" w:cs="Times New Roman"/>
          <w:noProof/>
          <w:sz w:val="22"/>
        </w:rPr>
        <w:tab/>
        <w:t xml:space="preserve">Ferriter C, Ray LA. Binge eating and binge drinking: An integrative review. </w:t>
      </w:r>
      <w:r w:rsidRPr="00137FF6">
        <w:rPr>
          <w:rFonts w:ascii="Times New Roman" w:hAnsi="Times New Roman" w:cs="Times New Roman"/>
          <w:i/>
          <w:iCs/>
          <w:noProof/>
          <w:sz w:val="22"/>
        </w:rPr>
        <w:t>Eat Behav</w:t>
      </w:r>
      <w:r w:rsidRPr="00137FF6">
        <w:rPr>
          <w:rFonts w:ascii="Times New Roman" w:hAnsi="Times New Roman" w:cs="Times New Roman"/>
          <w:noProof/>
          <w:sz w:val="22"/>
        </w:rPr>
        <w:t>. 2011;12(2):99-107. doi:10.1016/j.eatbeh.2011.01.001</w:t>
      </w:r>
    </w:p>
    <w:p w14:paraId="0F531781"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54. </w:t>
      </w:r>
      <w:r w:rsidRPr="00137FF6">
        <w:rPr>
          <w:rFonts w:ascii="Times New Roman" w:hAnsi="Times New Roman" w:cs="Times New Roman"/>
          <w:noProof/>
          <w:sz w:val="22"/>
        </w:rPr>
        <w:tab/>
        <w:t xml:space="preserve">Dunkley DM, Grilo CM. Self-criticism, low self-esteem, depressive symptoms, and over-evaluation of shape and weight in binge eating disorder patients. </w:t>
      </w:r>
      <w:r w:rsidRPr="00137FF6">
        <w:rPr>
          <w:rFonts w:ascii="Times New Roman" w:hAnsi="Times New Roman" w:cs="Times New Roman"/>
          <w:i/>
          <w:iCs/>
          <w:noProof/>
          <w:sz w:val="22"/>
        </w:rPr>
        <w:t>Behav Res Ther</w:t>
      </w:r>
      <w:r w:rsidRPr="00137FF6">
        <w:rPr>
          <w:rFonts w:ascii="Times New Roman" w:hAnsi="Times New Roman" w:cs="Times New Roman"/>
          <w:noProof/>
          <w:sz w:val="22"/>
        </w:rPr>
        <w:t>. 2007;45(1):139-149. doi:10.1016/j.brat.2006.01.017</w:t>
      </w:r>
    </w:p>
    <w:p w14:paraId="01B9642B"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55. </w:t>
      </w:r>
      <w:r w:rsidRPr="00137FF6">
        <w:rPr>
          <w:rFonts w:ascii="Times New Roman" w:hAnsi="Times New Roman" w:cs="Times New Roman"/>
          <w:noProof/>
          <w:sz w:val="22"/>
        </w:rPr>
        <w:tab/>
        <w:t xml:space="preserve">Goldschmidt AB, Wall MM, Zhang J, Loth KA, Neumark-Sztainer D. Overeating and binge eating in emerging adulthood: 10-year stability and risk factors. </w:t>
      </w:r>
      <w:r w:rsidRPr="00137FF6">
        <w:rPr>
          <w:rFonts w:ascii="Times New Roman" w:hAnsi="Times New Roman" w:cs="Times New Roman"/>
          <w:i/>
          <w:iCs/>
          <w:noProof/>
          <w:sz w:val="22"/>
        </w:rPr>
        <w:t>Dev Psychol</w:t>
      </w:r>
      <w:r w:rsidRPr="00137FF6">
        <w:rPr>
          <w:rFonts w:ascii="Times New Roman" w:hAnsi="Times New Roman" w:cs="Times New Roman"/>
          <w:noProof/>
          <w:sz w:val="22"/>
        </w:rPr>
        <w:t>. 2016;52(3):475-483. doi:10.1037/dev0000086</w:t>
      </w:r>
    </w:p>
    <w:p w14:paraId="404470DB"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56. </w:t>
      </w:r>
      <w:r w:rsidRPr="00137FF6">
        <w:rPr>
          <w:rFonts w:ascii="Times New Roman" w:hAnsi="Times New Roman" w:cs="Times New Roman"/>
          <w:noProof/>
          <w:sz w:val="22"/>
        </w:rPr>
        <w:tab/>
        <w:t xml:space="preserve">Braun J, El-Gabalawy R, Sommer JL, Pietrzak RH, Mitchell K, Mota N. Trauma Exposure, DSM-5 Posttraumatic Stress, and Binge Eating Symptoms: Results from a Nationally Representative Sample. </w:t>
      </w:r>
      <w:r w:rsidRPr="00137FF6">
        <w:rPr>
          <w:rFonts w:ascii="Times New Roman" w:hAnsi="Times New Roman" w:cs="Times New Roman"/>
          <w:i/>
          <w:iCs/>
          <w:noProof/>
          <w:sz w:val="22"/>
        </w:rPr>
        <w:t>J Clin Psychiatry</w:t>
      </w:r>
      <w:r w:rsidRPr="00137FF6">
        <w:rPr>
          <w:rFonts w:ascii="Times New Roman" w:hAnsi="Times New Roman" w:cs="Times New Roman"/>
          <w:noProof/>
          <w:sz w:val="22"/>
        </w:rPr>
        <w:t>. 2019;80(6):19m12813. doi:10.4088/JCP.19m12813</w:t>
      </w:r>
    </w:p>
    <w:p w14:paraId="1CAA53FC"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57. </w:t>
      </w:r>
      <w:r w:rsidRPr="00137FF6">
        <w:rPr>
          <w:rFonts w:ascii="Times New Roman" w:hAnsi="Times New Roman" w:cs="Times New Roman"/>
          <w:noProof/>
          <w:sz w:val="22"/>
        </w:rPr>
        <w:tab/>
        <w:t xml:space="preserve">Cortese S, Bernardina BD, Mouren MC. Attention-Deficit/Hyperactivity Disorder (ADHD) and Binge Eating. </w:t>
      </w:r>
      <w:r w:rsidRPr="00137FF6">
        <w:rPr>
          <w:rFonts w:ascii="Times New Roman" w:hAnsi="Times New Roman" w:cs="Times New Roman"/>
          <w:i/>
          <w:iCs/>
          <w:noProof/>
          <w:sz w:val="22"/>
        </w:rPr>
        <w:t>Nutr Rev</w:t>
      </w:r>
      <w:r w:rsidRPr="00137FF6">
        <w:rPr>
          <w:rFonts w:ascii="Times New Roman" w:hAnsi="Times New Roman" w:cs="Times New Roman"/>
          <w:noProof/>
          <w:sz w:val="22"/>
        </w:rPr>
        <w:t>. 2008;65(9):404-411. doi:10.1111/j.1753-4887.2007.tb00318.x</w:t>
      </w:r>
    </w:p>
    <w:p w14:paraId="4D64AD88"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58. </w:t>
      </w:r>
      <w:r w:rsidRPr="00137FF6">
        <w:rPr>
          <w:rFonts w:ascii="Times New Roman" w:hAnsi="Times New Roman" w:cs="Times New Roman"/>
          <w:noProof/>
          <w:sz w:val="22"/>
        </w:rPr>
        <w:tab/>
        <w:t xml:space="preserve">Nickel K, Maier S, Endres D, et al. Systematic Review: Overlap Between Eating, Autism Spectrum, and Attention-Deficit/Hyperactivity Disorder. </w:t>
      </w:r>
      <w:r w:rsidRPr="00137FF6">
        <w:rPr>
          <w:rFonts w:ascii="Times New Roman" w:hAnsi="Times New Roman" w:cs="Times New Roman"/>
          <w:i/>
          <w:iCs/>
          <w:noProof/>
          <w:sz w:val="22"/>
        </w:rPr>
        <w:t>Front Psychiatry</w:t>
      </w:r>
      <w:r w:rsidRPr="00137FF6">
        <w:rPr>
          <w:rFonts w:ascii="Times New Roman" w:hAnsi="Times New Roman" w:cs="Times New Roman"/>
          <w:noProof/>
          <w:sz w:val="22"/>
        </w:rPr>
        <w:t>. 2019;10:708. doi:10.3389/fpsyt.2019.00708</w:t>
      </w:r>
    </w:p>
    <w:p w14:paraId="2A622315"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59. </w:t>
      </w:r>
      <w:r w:rsidRPr="00137FF6">
        <w:rPr>
          <w:rFonts w:ascii="Times New Roman" w:hAnsi="Times New Roman" w:cs="Times New Roman"/>
          <w:noProof/>
          <w:sz w:val="22"/>
        </w:rPr>
        <w:tab/>
        <w:t xml:space="preserve">Nazar BP, Bernardes C, Peachey G, Sergeant J, Mattos P, Treasure J. The risk of eating disorders comorbid with attention-deficit/hyperactivity disorder: A systematic review and meta-analysis. </w:t>
      </w:r>
      <w:r w:rsidRPr="00137FF6">
        <w:rPr>
          <w:rFonts w:ascii="Times New Roman" w:hAnsi="Times New Roman" w:cs="Times New Roman"/>
          <w:i/>
          <w:iCs/>
          <w:noProof/>
          <w:sz w:val="22"/>
        </w:rPr>
        <w:t>Int J Eat Disord</w:t>
      </w:r>
      <w:r w:rsidRPr="00137FF6">
        <w:rPr>
          <w:rFonts w:ascii="Times New Roman" w:hAnsi="Times New Roman" w:cs="Times New Roman"/>
          <w:noProof/>
          <w:sz w:val="22"/>
        </w:rPr>
        <w:t>. 2016;49(12):1045-1057. doi:10.1002/eat.22643</w:t>
      </w:r>
    </w:p>
    <w:p w14:paraId="11E8ACF5"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60. </w:t>
      </w:r>
      <w:r w:rsidRPr="00137FF6">
        <w:rPr>
          <w:rFonts w:ascii="Times New Roman" w:hAnsi="Times New Roman" w:cs="Times New Roman"/>
          <w:noProof/>
          <w:sz w:val="22"/>
        </w:rPr>
        <w:tab/>
        <w:t xml:space="preserve">Ziobrowski H, Brewerton TD, Duncan AE. Associations between ADHD and eating disorders in relation to comorbid psychiatric disorders in a nationally representative sample. </w:t>
      </w:r>
      <w:r w:rsidRPr="00137FF6">
        <w:rPr>
          <w:rFonts w:ascii="Times New Roman" w:hAnsi="Times New Roman" w:cs="Times New Roman"/>
          <w:i/>
          <w:iCs/>
          <w:noProof/>
          <w:sz w:val="22"/>
        </w:rPr>
        <w:t>Psychiatry Res</w:t>
      </w:r>
      <w:r w:rsidRPr="00137FF6">
        <w:rPr>
          <w:rFonts w:ascii="Times New Roman" w:hAnsi="Times New Roman" w:cs="Times New Roman"/>
          <w:noProof/>
          <w:sz w:val="22"/>
        </w:rPr>
        <w:t>. 2018;260(November 2017):53-59. doi:10.1016/j.psychres.2017.11.026</w:t>
      </w:r>
    </w:p>
    <w:p w14:paraId="263FDBB1"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61. </w:t>
      </w:r>
      <w:r w:rsidRPr="00137FF6">
        <w:rPr>
          <w:rFonts w:ascii="Times New Roman" w:hAnsi="Times New Roman" w:cs="Times New Roman"/>
          <w:noProof/>
          <w:sz w:val="22"/>
        </w:rPr>
        <w:tab/>
        <w:t xml:space="preserve">Ágh T, Kovács G, Pawaskar M, Supina D, Inotai A, Vokó Z. Epidemiology, health-related </w:t>
      </w:r>
      <w:r w:rsidRPr="00137FF6">
        <w:rPr>
          <w:rFonts w:ascii="Times New Roman" w:hAnsi="Times New Roman" w:cs="Times New Roman"/>
          <w:noProof/>
          <w:sz w:val="22"/>
        </w:rPr>
        <w:lastRenderedPageBreak/>
        <w:t xml:space="preserve">quality of life and economic burden of binge eating disorder: a systematic literature review. </w:t>
      </w:r>
      <w:r w:rsidRPr="00137FF6">
        <w:rPr>
          <w:rFonts w:ascii="Times New Roman" w:hAnsi="Times New Roman" w:cs="Times New Roman"/>
          <w:i/>
          <w:iCs/>
          <w:noProof/>
          <w:sz w:val="22"/>
        </w:rPr>
        <w:t>Eat Weight Disord</w:t>
      </w:r>
      <w:r w:rsidRPr="00137FF6">
        <w:rPr>
          <w:rFonts w:ascii="Times New Roman" w:hAnsi="Times New Roman" w:cs="Times New Roman"/>
          <w:noProof/>
          <w:sz w:val="22"/>
        </w:rPr>
        <w:t>. 2015;20(1):1-12. doi:10.1007/s40519-014-0173-9</w:t>
      </w:r>
    </w:p>
    <w:p w14:paraId="7ADBE0FA" w14:textId="77777777" w:rsidR="00137FF6" w:rsidRPr="00137FF6" w:rsidRDefault="00137FF6" w:rsidP="00137FF6">
      <w:pPr>
        <w:widowControl w:val="0"/>
        <w:autoSpaceDE w:val="0"/>
        <w:autoSpaceDN w:val="0"/>
        <w:adjustRightInd w:val="0"/>
        <w:spacing w:line="480" w:lineRule="auto"/>
        <w:ind w:left="640" w:hanging="640"/>
        <w:rPr>
          <w:rFonts w:ascii="Times New Roman" w:hAnsi="Times New Roman" w:cs="Times New Roman"/>
          <w:noProof/>
          <w:sz w:val="22"/>
        </w:rPr>
      </w:pPr>
      <w:r w:rsidRPr="00137FF6">
        <w:rPr>
          <w:rFonts w:ascii="Times New Roman" w:hAnsi="Times New Roman" w:cs="Times New Roman"/>
          <w:noProof/>
          <w:sz w:val="22"/>
        </w:rPr>
        <w:t xml:space="preserve">62. </w:t>
      </w:r>
      <w:r w:rsidRPr="00137FF6">
        <w:rPr>
          <w:rFonts w:ascii="Times New Roman" w:hAnsi="Times New Roman" w:cs="Times New Roman"/>
          <w:noProof/>
          <w:sz w:val="22"/>
        </w:rPr>
        <w:tab/>
        <w:t xml:space="preserve">Cossrow N, Pawaskar M, Witt EA, et al. Estimating the Prevalence of Binge Eating Disorder in a Community Sample From the United States: Comparing DSM-IV-TR and DSM-5 Criteria. </w:t>
      </w:r>
      <w:r w:rsidRPr="00137FF6">
        <w:rPr>
          <w:rFonts w:ascii="Times New Roman" w:hAnsi="Times New Roman" w:cs="Times New Roman"/>
          <w:i/>
          <w:iCs/>
          <w:noProof/>
          <w:sz w:val="22"/>
        </w:rPr>
        <w:t>J Clin Psychiatry</w:t>
      </w:r>
      <w:r w:rsidRPr="00137FF6">
        <w:rPr>
          <w:rFonts w:ascii="Times New Roman" w:hAnsi="Times New Roman" w:cs="Times New Roman"/>
          <w:noProof/>
          <w:sz w:val="22"/>
        </w:rPr>
        <w:t>. 2016;77(8):e968-e974. doi:10.4088/JCP.15m10059</w:t>
      </w:r>
    </w:p>
    <w:p w14:paraId="26E2A0E6" w14:textId="6052C231" w:rsidR="0043693E" w:rsidRDefault="004265C4" w:rsidP="00137FF6">
      <w:pPr>
        <w:widowControl w:val="0"/>
        <w:autoSpaceDE w:val="0"/>
        <w:autoSpaceDN w:val="0"/>
        <w:adjustRightInd w:val="0"/>
        <w:spacing w:line="480" w:lineRule="auto"/>
        <w:ind w:left="640" w:hanging="640"/>
        <w:rPr>
          <w:rFonts w:ascii="Times New Roman" w:eastAsiaTheme="minorEastAsia" w:hAnsi="Times New Roman" w:cs="Times New Roman"/>
          <w:sz w:val="22"/>
          <w:szCs w:val="22"/>
        </w:rPr>
        <w:sectPr w:rsidR="0043693E" w:rsidSect="0043693E">
          <w:footerReference w:type="even" r:id="rId8"/>
          <w:footerReference w:type="default" r:id="rId9"/>
          <w:type w:val="continuous"/>
          <w:pgSz w:w="11900" w:h="16840"/>
          <w:pgMar w:top="1440" w:right="1440" w:bottom="1440" w:left="1440" w:header="709" w:footer="709" w:gutter="0"/>
          <w:cols w:space="708"/>
          <w:docGrid w:linePitch="360"/>
        </w:sectPr>
      </w:pPr>
      <w:r>
        <w:rPr>
          <w:rFonts w:ascii="Times New Roman" w:eastAsiaTheme="minorEastAsia" w:hAnsi="Times New Roman" w:cs="Times New Roman"/>
          <w:sz w:val="22"/>
          <w:szCs w:val="22"/>
        </w:rPr>
        <w:fldChar w:fldCharType="end"/>
      </w:r>
    </w:p>
    <w:p w14:paraId="33480C43" w14:textId="003F87EE" w:rsidR="0043693E" w:rsidRPr="00D027CE" w:rsidRDefault="0043693E" w:rsidP="0043693E">
      <w:pPr>
        <w:rPr>
          <w:rFonts w:ascii="Times New Roman" w:eastAsiaTheme="minorEastAsia" w:hAnsi="Times New Roman" w:cs="Times New Roman"/>
          <w:b/>
          <w:bCs/>
          <w:sz w:val="22"/>
          <w:szCs w:val="22"/>
        </w:rPr>
      </w:pPr>
      <w:r w:rsidRPr="00D027CE">
        <w:rPr>
          <w:rFonts w:ascii="Times New Roman" w:eastAsiaTheme="minorEastAsia" w:hAnsi="Times New Roman" w:cs="Times New Roman"/>
          <w:b/>
          <w:bCs/>
          <w:sz w:val="22"/>
          <w:szCs w:val="22"/>
        </w:rPr>
        <w:lastRenderedPageBreak/>
        <w:t>Table 1. Demographics of University Students based on Binge Eating Disorder</w:t>
      </w:r>
    </w:p>
    <w:tbl>
      <w:tblPr>
        <w:tblStyle w:val="TableGrid"/>
        <w:tblW w:w="0" w:type="auto"/>
        <w:tblLook w:val="04A0" w:firstRow="1" w:lastRow="0" w:firstColumn="1" w:lastColumn="0" w:noHBand="0" w:noVBand="1"/>
      </w:tblPr>
      <w:tblGrid>
        <w:gridCol w:w="2547"/>
        <w:gridCol w:w="2267"/>
        <w:gridCol w:w="2267"/>
        <w:gridCol w:w="1139"/>
        <w:gridCol w:w="847"/>
        <w:gridCol w:w="1276"/>
      </w:tblGrid>
      <w:tr w:rsidR="00D027CE" w14:paraId="3DFFC255" w14:textId="77777777" w:rsidTr="004005E4">
        <w:tc>
          <w:tcPr>
            <w:tcW w:w="2547" w:type="dxa"/>
          </w:tcPr>
          <w:p w14:paraId="18E9B7BA" w14:textId="6CD0B135" w:rsidR="00D027CE" w:rsidRPr="004005E4" w:rsidRDefault="00D027CE" w:rsidP="0043693E">
            <w:pPr>
              <w:rPr>
                <w:rFonts w:ascii="Times New Roman" w:eastAsiaTheme="minorEastAsia" w:hAnsi="Times New Roman" w:cs="Times New Roman"/>
                <w:b/>
                <w:bCs/>
                <w:sz w:val="20"/>
                <w:szCs w:val="20"/>
              </w:rPr>
            </w:pPr>
            <w:r w:rsidRPr="004005E4">
              <w:rPr>
                <w:rFonts w:ascii="Times New Roman" w:eastAsiaTheme="minorEastAsia" w:hAnsi="Times New Roman" w:cs="Times New Roman"/>
                <w:b/>
                <w:bCs/>
                <w:sz w:val="20"/>
                <w:szCs w:val="20"/>
              </w:rPr>
              <w:t>Variable</w:t>
            </w:r>
          </w:p>
        </w:tc>
        <w:tc>
          <w:tcPr>
            <w:tcW w:w="2267" w:type="dxa"/>
          </w:tcPr>
          <w:p w14:paraId="593A26B2" w14:textId="25BDA2F4" w:rsidR="00D027CE" w:rsidRPr="004005E4" w:rsidRDefault="00D027CE" w:rsidP="00D027CE">
            <w:pPr>
              <w:jc w:val="center"/>
              <w:rPr>
                <w:rFonts w:ascii="Times New Roman" w:eastAsiaTheme="minorEastAsia" w:hAnsi="Times New Roman" w:cs="Times New Roman"/>
                <w:b/>
                <w:bCs/>
                <w:sz w:val="20"/>
                <w:szCs w:val="20"/>
              </w:rPr>
            </w:pPr>
            <w:r w:rsidRPr="004005E4">
              <w:rPr>
                <w:rFonts w:ascii="Times New Roman" w:eastAsiaTheme="minorEastAsia" w:hAnsi="Times New Roman" w:cs="Times New Roman"/>
                <w:b/>
                <w:bCs/>
                <w:sz w:val="20"/>
                <w:szCs w:val="20"/>
              </w:rPr>
              <w:t>Students with current Binge Eating Disorder (n=83)</w:t>
            </w:r>
          </w:p>
        </w:tc>
        <w:tc>
          <w:tcPr>
            <w:tcW w:w="2267" w:type="dxa"/>
          </w:tcPr>
          <w:p w14:paraId="26EB697C" w14:textId="50F17A9A" w:rsidR="00D027CE" w:rsidRPr="004005E4" w:rsidRDefault="00D027CE" w:rsidP="00D027CE">
            <w:pPr>
              <w:jc w:val="center"/>
              <w:rPr>
                <w:rFonts w:ascii="Times New Roman" w:eastAsiaTheme="minorEastAsia" w:hAnsi="Times New Roman" w:cs="Times New Roman"/>
                <w:b/>
                <w:bCs/>
                <w:sz w:val="20"/>
                <w:szCs w:val="20"/>
              </w:rPr>
            </w:pPr>
            <w:r w:rsidRPr="004005E4">
              <w:rPr>
                <w:rFonts w:ascii="Times New Roman" w:eastAsiaTheme="minorEastAsia" w:hAnsi="Times New Roman" w:cs="Times New Roman"/>
                <w:b/>
                <w:bCs/>
                <w:sz w:val="20"/>
                <w:szCs w:val="20"/>
              </w:rPr>
              <w:t>Students without Binge Eating Disorder (n=3332)</w:t>
            </w:r>
          </w:p>
        </w:tc>
        <w:tc>
          <w:tcPr>
            <w:tcW w:w="1139" w:type="dxa"/>
          </w:tcPr>
          <w:p w14:paraId="303A8653" w14:textId="7A5989A9" w:rsidR="00D027CE" w:rsidRPr="004005E4" w:rsidRDefault="00D027CE" w:rsidP="00D027CE">
            <w:pPr>
              <w:jc w:val="center"/>
              <w:rPr>
                <w:rFonts w:ascii="Times New Roman" w:eastAsiaTheme="minorEastAsia" w:hAnsi="Times New Roman" w:cs="Times New Roman"/>
                <w:b/>
                <w:bCs/>
                <w:sz w:val="20"/>
                <w:szCs w:val="20"/>
              </w:rPr>
            </w:pPr>
            <w:r w:rsidRPr="004005E4">
              <w:rPr>
                <w:rFonts w:ascii="Times New Roman" w:eastAsiaTheme="minorEastAsia" w:hAnsi="Times New Roman" w:cs="Times New Roman"/>
                <w:b/>
                <w:bCs/>
                <w:sz w:val="20"/>
                <w:szCs w:val="20"/>
              </w:rPr>
              <w:t>Likelihood Ratio</w:t>
            </w:r>
          </w:p>
        </w:tc>
        <w:tc>
          <w:tcPr>
            <w:tcW w:w="847" w:type="dxa"/>
          </w:tcPr>
          <w:p w14:paraId="503FF48B" w14:textId="04E351B9" w:rsidR="00D027CE" w:rsidRPr="004005E4" w:rsidRDefault="00D027CE" w:rsidP="00D027CE">
            <w:pPr>
              <w:jc w:val="center"/>
              <w:rPr>
                <w:rFonts w:ascii="Times New Roman" w:eastAsiaTheme="minorEastAsia" w:hAnsi="Times New Roman" w:cs="Times New Roman"/>
                <w:b/>
                <w:bCs/>
                <w:sz w:val="20"/>
                <w:szCs w:val="20"/>
              </w:rPr>
            </w:pPr>
            <w:r w:rsidRPr="004005E4">
              <w:rPr>
                <w:rFonts w:ascii="Times New Roman" w:eastAsiaTheme="minorEastAsia" w:hAnsi="Times New Roman" w:cs="Times New Roman"/>
                <w:b/>
                <w:bCs/>
                <w:i/>
                <w:iCs/>
                <w:sz w:val="20"/>
                <w:szCs w:val="20"/>
              </w:rPr>
              <w:t>P</w:t>
            </w:r>
            <w:r w:rsidRPr="004005E4">
              <w:rPr>
                <w:rFonts w:ascii="Times New Roman" w:eastAsiaTheme="minorEastAsia" w:hAnsi="Times New Roman" w:cs="Times New Roman"/>
                <w:b/>
                <w:bCs/>
                <w:sz w:val="20"/>
                <w:szCs w:val="20"/>
              </w:rPr>
              <w:t xml:space="preserve"> value</w:t>
            </w:r>
          </w:p>
        </w:tc>
        <w:tc>
          <w:tcPr>
            <w:tcW w:w="1276" w:type="dxa"/>
          </w:tcPr>
          <w:p w14:paraId="409562E5" w14:textId="02488A2F" w:rsidR="00D027CE" w:rsidRPr="004005E4" w:rsidRDefault="00D027CE" w:rsidP="00A764D9">
            <w:pPr>
              <w:jc w:val="center"/>
              <w:rPr>
                <w:rFonts w:ascii="Times New Roman" w:eastAsiaTheme="minorEastAsia" w:hAnsi="Times New Roman" w:cs="Times New Roman"/>
                <w:b/>
                <w:bCs/>
                <w:sz w:val="20"/>
                <w:szCs w:val="20"/>
              </w:rPr>
            </w:pPr>
            <w:r w:rsidRPr="004005E4">
              <w:rPr>
                <w:rFonts w:ascii="Times New Roman" w:eastAsiaTheme="minorEastAsia" w:hAnsi="Times New Roman" w:cs="Times New Roman"/>
                <w:b/>
                <w:bCs/>
                <w:sz w:val="20"/>
                <w:szCs w:val="20"/>
              </w:rPr>
              <w:t>Effect Size</w:t>
            </w:r>
            <w:r w:rsidR="00A764D9">
              <w:rPr>
                <w:rFonts w:ascii="Times New Roman" w:eastAsiaTheme="minorEastAsia" w:hAnsi="Times New Roman" w:cs="Times New Roman"/>
                <w:b/>
                <w:bCs/>
                <w:sz w:val="20"/>
                <w:szCs w:val="20"/>
              </w:rPr>
              <w:t xml:space="preserve"> </w:t>
            </w:r>
            <w:r w:rsidRPr="004005E4">
              <w:rPr>
                <w:rFonts w:ascii="Times New Roman" w:eastAsiaTheme="minorEastAsia" w:hAnsi="Times New Roman" w:cs="Times New Roman"/>
                <w:b/>
                <w:bCs/>
                <w:sz w:val="20"/>
                <w:szCs w:val="20"/>
              </w:rPr>
              <w:t>Cramer’s V</w:t>
            </w:r>
          </w:p>
        </w:tc>
      </w:tr>
      <w:tr w:rsidR="00D027CE" w14:paraId="1B847DD5" w14:textId="77777777" w:rsidTr="004005E4">
        <w:tc>
          <w:tcPr>
            <w:tcW w:w="10343" w:type="dxa"/>
            <w:gridSpan w:val="6"/>
          </w:tcPr>
          <w:p w14:paraId="7820C077" w14:textId="35A829CE" w:rsidR="00D027CE" w:rsidRPr="00D027CE" w:rsidRDefault="00D027CE" w:rsidP="0043693E">
            <w:pPr>
              <w:rPr>
                <w:rFonts w:ascii="Times New Roman" w:eastAsiaTheme="minorEastAsia" w:hAnsi="Times New Roman" w:cs="Times New Roman"/>
                <w:sz w:val="20"/>
                <w:szCs w:val="20"/>
              </w:rPr>
            </w:pPr>
            <w:r w:rsidRPr="00D027CE">
              <w:rPr>
                <w:rFonts w:ascii="Times New Roman" w:eastAsiaTheme="minorEastAsia" w:hAnsi="Times New Roman" w:cs="Times New Roman"/>
                <w:sz w:val="20"/>
                <w:szCs w:val="20"/>
              </w:rPr>
              <w:t>Sex</w:t>
            </w:r>
          </w:p>
        </w:tc>
      </w:tr>
      <w:tr w:rsidR="00153194" w14:paraId="2823E9BC" w14:textId="77777777" w:rsidTr="004005E4">
        <w:trPr>
          <w:trHeight w:val="136"/>
        </w:trPr>
        <w:tc>
          <w:tcPr>
            <w:tcW w:w="2547" w:type="dxa"/>
            <w:vMerge w:val="restart"/>
            <w:vAlign w:val="center"/>
          </w:tcPr>
          <w:p w14:paraId="44DC1DBC" w14:textId="1A670364" w:rsidR="00153194" w:rsidRPr="00D027CE" w:rsidRDefault="00153194" w:rsidP="00153194">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Pr="00D027CE">
              <w:rPr>
                <w:rFonts w:ascii="Times New Roman" w:eastAsiaTheme="minorEastAsia" w:hAnsi="Times New Roman" w:cs="Times New Roman"/>
                <w:sz w:val="20"/>
                <w:szCs w:val="20"/>
              </w:rPr>
              <w:t>Female</w:t>
            </w:r>
          </w:p>
        </w:tc>
        <w:tc>
          <w:tcPr>
            <w:tcW w:w="2267" w:type="dxa"/>
            <w:vMerge w:val="restart"/>
            <w:vAlign w:val="center"/>
          </w:tcPr>
          <w:p w14:paraId="4B6D8878" w14:textId="07A46E58" w:rsidR="00153194" w:rsidRPr="00D027CE" w:rsidRDefault="00153194" w:rsidP="00153194">
            <w:pPr>
              <w:jc w:val="center"/>
              <w:rPr>
                <w:rFonts w:ascii="Times New Roman" w:eastAsiaTheme="minorEastAsia" w:hAnsi="Times New Roman" w:cs="Times New Roman"/>
                <w:sz w:val="20"/>
                <w:szCs w:val="20"/>
              </w:rPr>
            </w:pPr>
            <w:r w:rsidRPr="00D027CE">
              <w:rPr>
                <w:rFonts w:ascii="Times New Roman" w:eastAsia="Calibri" w:hAnsi="Times New Roman" w:cs="Times New Roman"/>
                <w:sz w:val="20"/>
                <w:szCs w:val="20"/>
              </w:rPr>
              <w:t>64 (77.1)</w:t>
            </w:r>
          </w:p>
        </w:tc>
        <w:tc>
          <w:tcPr>
            <w:tcW w:w="2267" w:type="dxa"/>
            <w:vMerge w:val="restart"/>
            <w:vAlign w:val="center"/>
          </w:tcPr>
          <w:p w14:paraId="44192EE6" w14:textId="4A29D360" w:rsidR="00153194" w:rsidRPr="00D027CE" w:rsidRDefault="00153194" w:rsidP="00153194">
            <w:pPr>
              <w:jc w:val="center"/>
              <w:rPr>
                <w:rFonts w:ascii="Times New Roman" w:eastAsiaTheme="minorEastAsia" w:hAnsi="Times New Roman" w:cs="Times New Roman"/>
                <w:sz w:val="20"/>
                <w:szCs w:val="20"/>
              </w:rPr>
            </w:pPr>
            <w:r w:rsidRPr="00D027CE">
              <w:rPr>
                <w:rFonts w:ascii="Times New Roman" w:eastAsia="Calibri" w:hAnsi="Times New Roman" w:cs="Times New Roman"/>
                <w:sz w:val="20"/>
                <w:szCs w:val="20"/>
              </w:rPr>
              <w:t>1975 (59.3)</w:t>
            </w:r>
          </w:p>
        </w:tc>
        <w:tc>
          <w:tcPr>
            <w:tcW w:w="1139" w:type="dxa"/>
          </w:tcPr>
          <w:p w14:paraId="1528F617" w14:textId="3DEDF4D2" w:rsidR="00153194" w:rsidRPr="00153194" w:rsidRDefault="00153194" w:rsidP="00153194">
            <w:pPr>
              <w:jc w:val="center"/>
              <w:rPr>
                <w:rFonts w:ascii="Times New Roman" w:eastAsia="Calibri" w:hAnsi="Times New Roman" w:cs="Times New Roman"/>
                <w:sz w:val="20"/>
                <w:szCs w:val="20"/>
              </w:rPr>
            </w:pPr>
            <w:r w:rsidRPr="00D027CE">
              <w:rPr>
                <w:rFonts w:ascii="Times New Roman" w:eastAsia="Calibri" w:hAnsi="Times New Roman" w:cs="Times New Roman"/>
                <w:sz w:val="20"/>
                <w:szCs w:val="20"/>
              </w:rPr>
              <w:t>LR=17.374</w:t>
            </w:r>
          </w:p>
        </w:tc>
        <w:tc>
          <w:tcPr>
            <w:tcW w:w="847" w:type="dxa"/>
            <w:vMerge w:val="restart"/>
            <w:vAlign w:val="center"/>
          </w:tcPr>
          <w:p w14:paraId="5F757D3C" w14:textId="2E066FA3" w:rsidR="00153194" w:rsidRPr="00D027CE" w:rsidRDefault="00153194" w:rsidP="00153194">
            <w:pPr>
              <w:jc w:val="center"/>
              <w:rPr>
                <w:rFonts w:ascii="Times New Roman" w:eastAsiaTheme="minorEastAsia" w:hAnsi="Times New Roman" w:cs="Times New Roman"/>
                <w:sz w:val="20"/>
                <w:szCs w:val="20"/>
              </w:rPr>
            </w:pPr>
            <w:r w:rsidRPr="00D027CE">
              <w:rPr>
                <w:rFonts w:ascii="Times New Roman" w:eastAsia="Calibri" w:hAnsi="Times New Roman" w:cs="Times New Roman"/>
                <w:sz w:val="20"/>
                <w:szCs w:val="20"/>
              </w:rPr>
              <w:t>.001</w:t>
            </w:r>
            <w:r>
              <w:rPr>
                <w:rFonts w:ascii="Times New Roman" w:eastAsia="Calibri" w:hAnsi="Times New Roman" w:cs="Times New Roman"/>
                <w:sz w:val="20"/>
                <w:szCs w:val="20"/>
              </w:rPr>
              <w:t>*</w:t>
            </w:r>
          </w:p>
        </w:tc>
        <w:tc>
          <w:tcPr>
            <w:tcW w:w="1276" w:type="dxa"/>
            <w:vMerge w:val="restart"/>
            <w:vAlign w:val="center"/>
          </w:tcPr>
          <w:p w14:paraId="39525F6F" w14:textId="7119A4A5" w:rsidR="00153194" w:rsidRPr="00D027CE" w:rsidRDefault="00153194" w:rsidP="00153194">
            <w:pPr>
              <w:jc w:val="center"/>
              <w:rPr>
                <w:rFonts w:ascii="Times New Roman" w:eastAsiaTheme="minorEastAsia" w:hAnsi="Times New Roman" w:cs="Times New Roman"/>
                <w:sz w:val="20"/>
                <w:szCs w:val="20"/>
              </w:rPr>
            </w:pPr>
            <w:r w:rsidRPr="00D027CE">
              <w:rPr>
                <w:rFonts w:ascii="Times New Roman" w:eastAsia="Calibri" w:hAnsi="Times New Roman" w:cs="Times New Roman"/>
                <w:sz w:val="20"/>
                <w:szCs w:val="20"/>
              </w:rPr>
              <w:t>.067</w:t>
            </w:r>
          </w:p>
        </w:tc>
      </w:tr>
      <w:tr w:rsidR="00153194" w14:paraId="2D055E2C" w14:textId="77777777" w:rsidTr="004005E4">
        <w:trPr>
          <w:trHeight w:val="135"/>
        </w:trPr>
        <w:tc>
          <w:tcPr>
            <w:tcW w:w="2547" w:type="dxa"/>
            <w:vMerge/>
          </w:tcPr>
          <w:p w14:paraId="6F97C146" w14:textId="77777777" w:rsidR="00153194" w:rsidRPr="00D027CE" w:rsidRDefault="00153194" w:rsidP="0043693E">
            <w:pPr>
              <w:rPr>
                <w:rFonts w:ascii="Times New Roman" w:eastAsiaTheme="minorEastAsia" w:hAnsi="Times New Roman" w:cs="Times New Roman"/>
                <w:sz w:val="20"/>
                <w:szCs w:val="20"/>
              </w:rPr>
            </w:pPr>
          </w:p>
        </w:tc>
        <w:tc>
          <w:tcPr>
            <w:tcW w:w="2267" w:type="dxa"/>
            <w:vMerge/>
          </w:tcPr>
          <w:p w14:paraId="2BDE9311" w14:textId="77777777" w:rsidR="00153194" w:rsidRPr="00D027CE" w:rsidRDefault="00153194" w:rsidP="00D027CE">
            <w:pPr>
              <w:jc w:val="center"/>
              <w:rPr>
                <w:rFonts w:ascii="Times New Roman" w:eastAsia="Calibri" w:hAnsi="Times New Roman" w:cs="Times New Roman"/>
                <w:sz w:val="20"/>
                <w:szCs w:val="20"/>
              </w:rPr>
            </w:pPr>
          </w:p>
        </w:tc>
        <w:tc>
          <w:tcPr>
            <w:tcW w:w="2267" w:type="dxa"/>
            <w:vMerge/>
          </w:tcPr>
          <w:p w14:paraId="14BCB7BD" w14:textId="77777777" w:rsidR="00153194" w:rsidRPr="00D027CE" w:rsidRDefault="00153194" w:rsidP="00D027CE">
            <w:pPr>
              <w:jc w:val="center"/>
              <w:rPr>
                <w:rFonts w:ascii="Times New Roman" w:eastAsia="Calibri" w:hAnsi="Times New Roman" w:cs="Times New Roman"/>
                <w:sz w:val="20"/>
                <w:szCs w:val="20"/>
              </w:rPr>
            </w:pPr>
          </w:p>
        </w:tc>
        <w:tc>
          <w:tcPr>
            <w:tcW w:w="1139" w:type="dxa"/>
          </w:tcPr>
          <w:p w14:paraId="26E188DB" w14:textId="34B016B8" w:rsidR="00153194" w:rsidRPr="00D027CE" w:rsidRDefault="00153194" w:rsidP="00D027CE">
            <w:pPr>
              <w:jc w:val="center"/>
              <w:rPr>
                <w:rFonts w:ascii="Times New Roman" w:eastAsia="Calibri" w:hAnsi="Times New Roman" w:cs="Times New Roman"/>
                <w:sz w:val="20"/>
                <w:szCs w:val="20"/>
              </w:rPr>
            </w:pPr>
            <w:r w:rsidRPr="00D027CE">
              <w:rPr>
                <w:rFonts w:ascii="Times New Roman" w:eastAsia="Calibri" w:hAnsi="Times New Roman" w:cs="Times New Roman"/>
                <w:sz w:val="20"/>
                <w:szCs w:val="20"/>
              </w:rPr>
              <w:t>df=3</w:t>
            </w:r>
          </w:p>
        </w:tc>
        <w:tc>
          <w:tcPr>
            <w:tcW w:w="847" w:type="dxa"/>
            <w:vMerge/>
          </w:tcPr>
          <w:p w14:paraId="354C0011" w14:textId="77777777" w:rsidR="00153194" w:rsidRPr="00D027CE" w:rsidRDefault="00153194" w:rsidP="00D027CE">
            <w:pPr>
              <w:jc w:val="center"/>
              <w:rPr>
                <w:rFonts w:ascii="Times New Roman" w:eastAsia="Calibri" w:hAnsi="Times New Roman" w:cs="Times New Roman"/>
                <w:sz w:val="20"/>
                <w:szCs w:val="20"/>
              </w:rPr>
            </w:pPr>
          </w:p>
        </w:tc>
        <w:tc>
          <w:tcPr>
            <w:tcW w:w="1276" w:type="dxa"/>
            <w:vMerge/>
          </w:tcPr>
          <w:p w14:paraId="3FAB6318" w14:textId="77777777" w:rsidR="00153194" w:rsidRPr="00D027CE" w:rsidRDefault="00153194" w:rsidP="00D027CE">
            <w:pPr>
              <w:jc w:val="center"/>
              <w:rPr>
                <w:rFonts w:ascii="Times New Roman" w:eastAsia="Calibri" w:hAnsi="Times New Roman" w:cs="Times New Roman"/>
                <w:sz w:val="20"/>
                <w:szCs w:val="20"/>
              </w:rPr>
            </w:pPr>
          </w:p>
        </w:tc>
      </w:tr>
      <w:tr w:rsidR="00D027CE" w14:paraId="3AB78240" w14:textId="77777777" w:rsidTr="004005E4">
        <w:tc>
          <w:tcPr>
            <w:tcW w:w="10343" w:type="dxa"/>
            <w:gridSpan w:val="6"/>
          </w:tcPr>
          <w:p w14:paraId="3AD93AF4" w14:textId="1ADA01C1" w:rsidR="00D027CE" w:rsidRPr="00D027CE" w:rsidRDefault="00D027CE" w:rsidP="0043693E">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Year in college</w:t>
            </w:r>
          </w:p>
        </w:tc>
      </w:tr>
      <w:tr w:rsidR="00153194" w14:paraId="4E9E5B93" w14:textId="77777777" w:rsidTr="004005E4">
        <w:tc>
          <w:tcPr>
            <w:tcW w:w="2547" w:type="dxa"/>
          </w:tcPr>
          <w:p w14:paraId="2D0CA266" w14:textId="321F0713" w:rsidR="00153194" w:rsidRPr="00153194" w:rsidRDefault="00153194" w:rsidP="0043693E">
            <w:pPr>
              <w:rPr>
                <w:rFonts w:ascii="Times New Roman" w:eastAsiaTheme="minorEastAsia" w:hAnsi="Times New Roman" w:cs="Times New Roman"/>
                <w:sz w:val="20"/>
                <w:szCs w:val="20"/>
              </w:rPr>
            </w:pPr>
            <w:r w:rsidRPr="00153194">
              <w:rPr>
                <w:rFonts w:ascii="Times New Roman" w:eastAsiaTheme="minorEastAsia" w:hAnsi="Times New Roman" w:cs="Times New Roman"/>
                <w:sz w:val="20"/>
                <w:szCs w:val="20"/>
              </w:rPr>
              <w:t xml:space="preserve">   Undergraduate</w:t>
            </w:r>
          </w:p>
        </w:tc>
        <w:tc>
          <w:tcPr>
            <w:tcW w:w="2267" w:type="dxa"/>
          </w:tcPr>
          <w:p w14:paraId="58BEF207" w14:textId="1574DCB3" w:rsidR="00153194" w:rsidRPr="00153194" w:rsidRDefault="00153194" w:rsidP="00153194">
            <w:pPr>
              <w:jc w:val="center"/>
              <w:rPr>
                <w:rFonts w:ascii="Times New Roman" w:eastAsia="Calibri" w:hAnsi="Times New Roman" w:cs="Times New Roman"/>
                <w:sz w:val="20"/>
                <w:szCs w:val="20"/>
              </w:rPr>
            </w:pPr>
            <w:r w:rsidRPr="00153194">
              <w:rPr>
                <w:rFonts w:ascii="Times New Roman" w:eastAsia="Calibri" w:hAnsi="Times New Roman" w:cs="Times New Roman"/>
                <w:sz w:val="20"/>
                <w:szCs w:val="20"/>
              </w:rPr>
              <w:t>56</w:t>
            </w:r>
            <w:r>
              <w:rPr>
                <w:rFonts w:ascii="Times New Roman" w:eastAsia="Calibri" w:hAnsi="Times New Roman" w:cs="Times New Roman"/>
                <w:sz w:val="20"/>
                <w:szCs w:val="20"/>
              </w:rPr>
              <w:t xml:space="preserve"> </w:t>
            </w:r>
            <w:r w:rsidRPr="00153194">
              <w:rPr>
                <w:rFonts w:ascii="Times New Roman" w:eastAsia="Calibri" w:hAnsi="Times New Roman" w:cs="Times New Roman"/>
                <w:sz w:val="20"/>
                <w:szCs w:val="20"/>
              </w:rPr>
              <w:t>(67.5)</w:t>
            </w:r>
          </w:p>
        </w:tc>
        <w:tc>
          <w:tcPr>
            <w:tcW w:w="2267" w:type="dxa"/>
          </w:tcPr>
          <w:p w14:paraId="3057E19E" w14:textId="1C557077" w:rsidR="00153194" w:rsidRPr="00153194" w:rsidRDefault="00153194" w:rsidP="00153194">
            <w:pPr>
              <w:jc w:val="center"/>
              <w:rPr>
                <w:rFonts w:ascii="Times New Roman" w:eastAsia="Calibri" w:hAnsi="Times New Roman" w:cs="Times New Roman"/>
                <w:sz w:val="20"/>
                <w:szCs w:val="20"/>
              </w:rPr>
            </w:pPr>
            <w:r w:rsidRPr="00153194">
              <w:rPr>
                <w:rFonts w:ascii="Times New Roman" w:eastAsia="Calibri" w:hAnsi="Times New Roman" w:cs="Times New Roman"/>
                <w:sz w:val="20"/>
                <w:szCs w:val="20"/>
              </w:rPr>
              <w:t>2200</w:t>
            </w:r>
            <w:r>
              <w:rPr>
                <w:rFonts w:ascii="Times New Roman" w:eastAsia="Calibri" w:hAnsi="Times New Roman" w:cs="Times New Roman"/>
                <w:sz w:val="20"/>
                <w:szCs w:val="20"/>
              </w:rPr>
              <w:t xml:space="preserve"> </w:t>
            </w:r>
            <w:r w:rsidRPr="00153194">
              <w:rPr>
                <w:rFonts w:ascii="Times New Roman" w:eastAsia="Calibri" w:hAnsi="Times New Roman" w:cs="Times New Roman"/>
                <w:sz w:val="20"/>
                <w:szCs w:val="20"/>
              </w:rPr>
              <w:t>(66.0)</w:t>
            </w:r>
          </w:p>
        </w:tc>
        <w:tc>
          <w:tcPr>
            <w:tcW w:w="1139" w:type="dxa"/>
          </w:tcPr>
          <w:p w14:paraId="36773388" w14:textId="2B912D4D" w:rsidR="00153194" w:rsidRPr="00153194" w:rsidRDefault="00153194" w:rsidP="00153194">
            <w:pPr>
              <w:jc w:val="center"/>
              <w:rPr>
                <w:rFonts w:ascii="Times New Roman" w:eastAsia="Calibri" w:hAnsi="Times New Roman" w:cs="Times New Roman"/>
                <w:sz w:val="20"/>
                <w:szCs w:val="20"/>
              </w:rPr>
            </w:pPr>
            <w:r w:rsidRPr="00153194">
              <w:rPr>
                <w:rFonts w:ascii="Times New Roman" w:eastAsia="Calibri" w:hAnsi="Times New Roman" w:cs="Times New Roman"/>
                <w:sz w:val="20"/>
                <w:szCs w:val="20"/>
              </w:rPr>
              <w:t>LR=.979</w:t>
            </w:r>
          </w:p>
        </w:tc>
        <w:tc>
          <w:tcPr>
            <w:tcW w:w="847" w:type="dxa"/>
            <w:vMerge w:val="restart"/>
            <w:vAlign w:val="center"/>
          </w:tcPr>
          <w:p w14:paraId="1600A6AD" w14:textId="08F0545E"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.613</w:t>
            </w:r>
          </w:p>
        </w:tc>
        <w:tc>
          <w:tcPr>
            <w:tcW w:w="1276" w:type="dxa"/>
            <w:vMerge w:val="restart"/>
          </w:tcPr>
          <w:p w14:paraId="3206EC27" w14:textId="77777777" w:rsidR="00153194" w:rsidRPr="00153194" w:rsidRDefault="00153194" w:rsidP="0043693E">
            <w:pPr>
              <w:rPr>
                <w:rFonts w:ascii="Times New Roman" w:eastAsiaTheme="minorEastAsia" w:hAnsi="Times New Roman" w:cs="Times New Roman"/>
                <w:sz w:val="20"/>
                <w:szCs w:val="20"/>
              </w:rPr>
            </w:pPr>
          </w:p>
        </w:tc>
      </w:tr>
      <w:tr w:rsidR="00153194" w14:paraId="62D1A67C" w14:textId="77777777" w:rsidTr="004005E4">
        <w:tc>
          <w:tcPr>
            <w:tcW w:w="2547" w:type="dxa"/>
          </w:tcPr>
          <w:p w14:paraId="2C2BF437" w14:textId="2892857C" w:rsidR="00153194" w:rsidRPr="00153194" w:rsidRDefault="00153194" w:rsidP="0043693E">
            <w:pPr>
              <w:rPr>
                <w:rFonts w:ascii="Times New Roman" w:eastAsiaTheme="minorEastAsia" w:hAnsi="Times New Roman" w:cs="Times New Roman"/>
                <w:sz w:val="20"/>
                <w:szCs w:val="20"/>
              </w:rPr>
            </w:pPr>
            <w:r w:rsidRPr="00153194">
              <w:rPr>
                <w:rFonts w:ascii="Times New Roman" w:eastAsiaTheme="minorEastAsia" w:hAnsi="Times New Roman" w:cs="Times New Roman"/>
                <w:sz w:val="20"/>
                <w:szCs w:val="20"/>
              </w:rPr>
              <w:t xml:space="preserve">   Graduate</w:t>
            </w:r>
          </w:p>
        </w:tc>
        <w:tc>
          <w:tcPr>
            <w:tcW w:w="2267" w:type="dxa"/>
          </w:tcPr>
          <w:p w14:paraId="2D44A558" w14:textId="7B83A5A8"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27</w:t>
            </w:r>
            <w:r>
              <w:rPr>
                <w:rFonts w:ascii="Times New Roman" w:eastAsia="Calibri" w:hAnsi="Times New Roman" w:cs="Times New Roman"/>
                <w:sz w:val="20"/>
                <w:szCs w:val="20"/>
              </w:rPr>
              <w:t xml:space="preserve"> </w:t>
            </w:r>
            <w:r w:rsidRPr="00153194">
              <w:rPr>
                <w:rFonts w:ascii="Times New Roman" w:eastAsia="Calibri" w:hAnsi="Times New Roman" w:cs="Times New Roman"/>
                <w:sz w:val="20"/>
                <w:szCs w:val="20"/>
              </w:rPr>
              <w:t>(32.5)</w:t>
            </w:r>
          </w:p>
        </w:tc>
        <w:tc>
          <w:tcPr>
            <w:tcW w:w="2267" w:type="dxa"/>
          </w:tcPr>
          <w:p w14:paraId="3D87DFC2" w14:textId="04771133"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1113</w:t>
            </w:r>
            <w:r>
              <w:rPr>
                <w:rFonts w:ascii="Times New Roman" w:eastAsia="Calibri" w:hAnsi="Times New Roman" w:cs="Times New Roman"/>
                <w:sz w:val="20"/>
                <w:szCs w:val="20"/>
              </w:rPr>
              <w:t xml:space="preserve"> </w:t>
            </w:r>
            <w:r w:rsidRPr="00153194">
              <w:rPr>
                <w:rFonts w:ascii="Times New Roman" w:eastAsia="Calibri" w:hAnsi="Times New Roman" w:cs="Times New Roman"/>
                <w:sz w:val="20"/>
                <w:szCs w:val="20"/>
              </w:rPr>
              <w:t>(33.4)</w:t>
            </w:r>
          </w:p>
        </w:tc>
        <w:tc>
          <w:tcPr>
            <w:tcW w:w="1139" w:type="dxa"/>
          </w:tcPr>
          <w:p w14:paraId="209FF78F" w14:textId="7DE75486"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df=2</w:t>
            </w:r>
          </w:p>
        </w:tc>
        <w:tc>
          <w:tcPr>
            <w:tcW w:w="847" w:type="dxa"/>
            <w:vMerge/>
          </w:tcPr>
          <w:p w14:paraId="33E8F9DF" w14:textId="77777777" w:rsidR="00153194" w:rsidRPr="00153194" w:rsidRDefault="00153194" w:rsidP="0043693E">
            <w:pPr>
              <w:rPr>
                <w:rFonts w:ascii="Times New Roman" w:eastAsiaTheme="minorEastAsia" w:hAnsi="Times New Roman" w:cs="Times New Roman"/>
                <w:sz w:val="20"/>
                <w:szCs w:val="20"/>
              </w:rPr>
            </w:pPr>
          </w:p>
        </w:tc>
        <w:tc>
          <w:tcPr>
            <w:tcW w:w="1276" w:type="dxa"/>
            <w:vMerge/>
          </w:tcPr>
          <w:p w14:paraId="0BC6C073" w14:textId="77777777" w:rsidR="00153194" w:rsidRPr="00153194" w:rsidRDefault="00153194" w:rsidP="0043693E">
            <w:pPr>
              <w:rPr>
                <w:rFonts w:ascii="Times New Roman" w:eastAsiaTheme="minorEastAsia" w:hAnsi="Times New Roman" w:cs="Times New Roman"/>
                <w:sz w:val="20"/>
                <w:szCs w:val="20"/>
              </w:rPr>
            </w:pPr>
          </w:p>
        </w:tc>
      </w:tr>
      <w:tr w:rsidR="00153194" w14:paraId="658E94BC" w14:textId="77777777" w:rsidTr="004005E4">
        <w:tc>
          <w:tcPr>
            <w:tcW w:w="10343" w:type="dxa"/>
            <w:gridSpan w:val="6"/>
          </w:tcPr>
          <w:p w14:paraId="48FB2386" w14:textId="24C7A30D" w:rsidR="00153194" w:rsidRPr="00153194" w:rsidRDefault="00153194" w:rsidP="0043693E">
            <w:pPr>
              <w:rPr>
                <w:rFonts w:ascii="Times New Roman" w:eastAsiaTheme="minorEastAsia" w:hAnsi="Times New Roman" w:cs="Times New Roman"/>
                <w:sz w:val="20"/>
                <w:szCs w:val="20"/>
              </w:rPr>
            </w:pPr>
            <w:r w:rsidRPr="00153194">
              <w:rPr>
                <w:rFonts w:ascii="Times New Roman" w:eastAsiaTheme="minorEastAsia" w:hAnsi="Times New Roman" w:cs="Times New Roman"/>
                <w:sz w:val="20"/>
                <w:szCs w:val="20"/>
              </w:rPr>
              <w:t>Race/ethnicity</w:t>
            </w:r>
          </w:p>
        </w:tc>
      </w:tr>
      <w:tr w:rsidR="00153194" w14:paraId="15807D8B" w14:textId="77777777" w:rsidTr="004005E4">
        <w:trPr>
          <w:trHeight w:val="136"/>
        </w:trPr>
        <w:tc>
          <w:tcPr>
            <w:tcW w:w="2547" w:type="dxa"/>
            <w:vMerge w:val="restart"/>
            <w:vAlign w:val="center"/>
          </w:tcPr>
          <w:p w14:paraId="29ECCDF5" w14:textId="030E3660" w:rsidR="00153194" w:rsidRPr="00153194" w:rsidRDefault="00153194" w:rsidP="00153194">
            <w:pPr>
              <w:rPr>
                <w:rFonts w:ascii="Times New Roman" w:eastAsiaTheme="minorEastAsia" w:hAnsi="Times New Roman" w:cs="Times New Roman"/>
                <w:sz w:val="20"/>
                <w:szCs w:val="20"/>
              </w:rPr>
            </w:pPr>
            <w:r w:rsidRPr="00153194">
              <w:rPr>
                <w:rFonts w:ascii="Times New Roman" w:eastAsiaTheme="minorEastAsia" w:hAnsi="Times New Roman" w:cs="Times New Roman"/>
                <w:sz w:val="20"/>
                <w:szCs w:val="20"/>
              </w:rPr>
              <w:t xml:space="preserve">   Caucasian</w:t>
            </w:r>
          </w:p>
        </w:tc>
        <w:tc>
          <w:tcPr>
            <w:tcW w:w="2267" w:type="dxa"/>
            <w:vMerge w:val="restart"/>
            <w:vAlign w:val="center"/>
          </w:tcPr>
          <w:p w14:paraId="7CA60BCA" w14:textId="692BD5E8"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62</w:t>
            </w:r>
            <w:r w:rsidR="005F44FA">
              <w:rPr>
                <w:rFonts w:ascii="Times New Roman" w:eastAsia="Calibri" w:hAnsi="Times New Roman" w:cs="Times New Roman"/>
                <w:sz w:val="20"/>
                <w:szCs w:val="20"/>
              </w:rPr>
              <w:t xml:space="preserve"> </w:t>
            </w:r>
            <w:r w:rsidRPr="00153194">
              <w:rPr>
                <w:rFonts w:ascii="Times New Roman" w:eastAsia="Calibri" w:hAnsi="Times New Roman" w:cs="Times New Roman"/>
                <w:sz w:val="20"/>
                <w:szCs w:val="20"/>
              </w:rPr>
              <w:t>(74.7)</w:t>
            </w:r>
          </w:p>
        </w:tc>
        <w:tc>
          <w:tcPr>
            <w:tcW w:w="2267" w:type="dxa"/>
            <w:vMerge w:val="restart"/>
            <w:vAlign w:val="center"/>
          </w:tcPr>
          <w:p w14:paraId="091F31C8" w14:textId="51BA161D"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2481</w:t>
            </w:r>
            <w:r w:rsidR="005F44FA">
              <w:rPr>
                <w:rFonts w:ascii="Times New Roman" w:eastAsia="Calibri" w:hAnsi="Times New Roman" w:cs="Times New Roman"/>
                <w:sz w:val="20"/>
                <w:szCs w:val="20"/>
              </w:rPr>
              <w:t xml:space="preserve"> </w:t>
            </w:r>
            <w:r w:rsidRPr="00153194">
              <w:rPr>
                <w:rFonts w:ascii="Times New Roman" w:eastAsia="Calibri" w:hAnsi="Times New Roman" w:cs="Times New Roman"/>
                <w:sz w:val="20"/>
                <w:szCs w:val="20"/>
              </w:rPr>
              <w:t>(75.8)</w:t>
            </w:r>
          </w:p>
        </w:tc>
        <w:tc>
          <w:tcPr>
            <w:tcW w:w="1139" w:type="dxa"/>
          </w:tcPr>
          <w:p w14:paraId="0CC580A1" w14:textId="2D093E53" w:rsidR="00153194" w:rsidRPr="00153194" w:rsidRDefault="00153194" w:rsidP="00153194">
            <w:pPr>
              <w:jc w:val="center"/>
              <w:rPr>
                <w:rFonts w:ascii="Times New Roman" w:eastAsia="Calibri" w:hAnsi="Times New Roman" w:cs="Times New Roman"/>
                <w:sz w:val="20"/>
                <w:szCs w:val="20"/>
              </w:rPr>
            </w:pPr>
            <w:r w:rsidRPr="00153194">
              <w:rPr>
                <w:rFonts w:ascii="Times New Roman" w:eastAsia="Calibri" w:hAnsi="Times New Roman" w:cs="Times New Roman"/>
                <w:sz w:val="20"/>
                <w:szCs w:val="20"/>
              </w:rPr>
              <w:t>LR=.051</w:t>
            </w:r>
          </w:p>
        </w:tc>
        <w:tc>
          <w:tcPr>
            <w:tcW w:w="847" w:type="dxa"/>
            <w:vMerge w:val="restart"/>
            <w:vAlign w:val="center"/>
          </w:tcPr>
          <w:p w14:paraId="0FE45218" w14:textId="360BD8EA"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.821</w:t>
            </w:r>
          </w:p>
        </w:tc>
        <w:tc>
          <w:tcPr>
            <w:tcW w:w="1276" w:type="dxa"/>
            <w:vMerge w:val="restart"/>
          </w:tcPr>
          <w:p w14:paraId="452E1FA3" w14:textId="77777777" w:rsidR="00153194" w:rsidRPr="00153194" w:rsidRDefault="00153194" w:rsidP="0043693E">
            <w:pPr>
              <w:rPr>
                <w:rFonts w:ascii="Times New Roman" w:eastAsiaTheme="minorEastAsia" w:hAnsi="Times New Roman" w:cs="Times New Roman"/>
                <w:sz w:val="20"/>
                <w:szCs w:val="20"/>
              </w:rPr>
            </w:pPr>
          </w:p>
        </w:tc>
      </w:tr>
      <w:tr w:rsidR="00153194" w14:paraId="7EC3E909" w14:textId="77777777" w:rsidTr="004005E4">
        <w:trPr>
          <w:trHeight w:val="135"/>
        </w:trPr>
        <w:tc>
          <w:tcPr>
            <w:tcW w:w="2547" w:type="dxa"/>
            <w:vMerge/>
            <w:vAlign w:val="center"/>
          </w:tcPr>
          <w:p w14:paraId="7AB369DE" w14:textId="77777777" w:rsidR="00153194" w:rsidRPr="00153194" w:rsidRDefault="00153194" w:rsidP="00153194">
            <w:pPr>
              <w:rPr>
                <w:rFonts w:ascii="Times New Roman" w:eastAsiaTheme="minorEastAsia" w:hAnsi="Times New Roman" w:cs="Times New Roman"/>
                <w:sz w:val="20"/>
                <w:szCs w:val="20"/>
              </w:rPr>
            </w:pPr>
          </w:p>
        </w:tc>
        <w:tc>
          <w:tcPr>
            <w:tcW w:w="2267" w:type="dxa"/>
            <w:vMerge/>
            <w:vAlign w:val="center"/>
          </w:tcPr>
          <w:p w14:paraId="4FF16D4C" w14:textId="77777777" w:rsidR="00153194" w:rsidRPr="00153194" w:rsidRDefault="00153194" w:rsidP="00153194">
            <w:pPr>
              <w:jc w:val="center"/>
              <w:rPr>
                <w:rFonts w:ascii="Times New Roman" w:eastAsia="Calibri" w:hAnsi="Times New Roman" w:cs="Times New Roman"/>
                <w:sz w:val="20"/>
                <w:szCs w:val="20"/>
              </w:rPr>
            </w:pPr>
          </w:p>
        </w:tc>
        <w:tc>
          <w:tcPr>
            <w:tcW w:w="2267" w:type="dxa"/>
            <w:vMerge/>
            <w:vAlign w:val="center"/>
          </w:tcPr>
          <w:p w14:paraId="7BFADBFD" w14:textId="77777777" w:rsidR="00153194" w:rsidRPr="00153194" w:rsidRDefault="00153194" w:rsidP="00153194">
            <w:pPr>
              <w:jc w:val="center"/>
              <w:rPr>
                <w:rFonts w:ascii="Times New Roman" w:eastAsia="Calibri" w:hAnsi="Times New Roman" w:cs="Times New Roman"/>
                <w:sz w:val="20"/>
                <w:szCs w:val="20"/>
              </w:rPr>
            </w:pPr>
          </w:p>
        </w:tc>
        <w:tc>
          <w:tcPr>
            <w:tcW w:w="1139" w:type="dxa"/>
          </w:tcPr>
          <w:p w14:paraId="61D681E1" w14:textId="7E09C4DB" w:rsidR="00153194" w:rsidRPr="00153194" w:rsidRDefault="00153194" w:rsidP="00D027CE">
            <w:pPr>
              <w:jc w:val="center"/>
              <w:rPr>
                <w:rFonts w:ascii="Times New Roman" w:eastAsia="Calibri" w:hAnsi="Times New Roman" w:cs="Times New Roman"/>
                <w:sz w:val="20"/>
                <w:szCs w:val="20"/>
              </w:rPr>
            </w:pPr>
            <w:r w:rsidRPr="00153194">
              <w:rPr>
                <w:rFonts w:ascii="Times New Roman" w:eastAsia="Calibri" w:hAnsi="Times New Roman" w:cs="Times New Roman"/>
                <w:sz w:val="20"/>
                <w:szCs w:val="20"/>
              </w:rPr>
              <w:t>df=1</w:t>
            </w:r>
          </w:p>
        </w:tc>
        <w:tc>
          <w:tcPr>
            <w:tcW w:w="847" w:type="dxa"/>
            <w:vMerge/>
          </w:tcPr>
          <w:p w14:paraId="7D417013" w14:textId="77777777" w:rsidR="00153194" w:rsidRPr="00153194" w:rsidRDefault="00153194" w:rsidP="0043693E">
            <w:pPr>
              <w:rPr>
                <w:rFonts w:ascii="Times New Roman" w:eastAsia="Calibri" w:hAnsi="Times New Roman" w:cs="Times New Roman"/>
                <w:sz w:val="20"/>
                <w:szCs w:val="20"/>
              </w:rPr>
            </w:pPr>
          </w:p>
        </w:tc>
        <w:tc>
          <w:tcPr>
            <w:tcW w:w="1276" w:type="dxa"/>
            <w:vMerge/>
          </w:tcPr>
          <w:p w14:paraId="527572DA" w14:textId="77777777" w:rsidR="00153194" w:rsidRPr="00153194" w:rsidRDefault="00153194" w:rsidP="0043693E">
            <w:pPr>
              <w:rPr>
                <w:rFonts w:ascii="Times New Roman" w:eastAsiaTheme="minorEastAsia" w:hAnsi="Times New Roman" w:cs="Times New Roman"/>
                <w:sz w:val="20"/>
                <w:szCs w:val="20"/>
              </w:rPr>
            </w:pPr>
          </w:p>
        </w:tc>
      </w:tr>
      <w:tr w:rsidR="00D027CE" w14:paraId="14B06D3B" w14:textId="77777777" w:rsidTr="004005E4">
        <w:tc>
          <w:tcPr>
            <w:tcW w:w="10343" w:type="dxa"/>
            <w:gridSpan w:val="6"/>
          </w:tcPr>
          <w:p w14:paraId="412A73FC" w14:textId="4C77CFE8" w:rsidR="00D027CE" w:rsidRPr="00153194" w:rsidRDefault="00D027CE" w:rsidP="0043693E">
            <w:pPr>
              <w:rPr>
                <w:rFonts w:ascii="Times New Roman" w:eastAsiaTheme="minorEastAsia" w:hAnsi="Times New Roman" w:cs="Times New Roman"/>
                <w:sz w:val="20"/>
                <w:szCs w:val="20"/>
              </w:rPr>
            </w:pPr>
            <w:r w:rsidRPr="00153194">
              <w:rPr>
                <w:rFonts w:ascii="Times New Roman" w:eastAsiaTheme="minorEastAsia" w:hAnsi="Times New Roman" w:cs="Times New Roman"/>
                <w:sz w:val="20"/>
                <w:szCs w:val="20"/>
              </w:rPr>
              <w:t>Grade Point Average, GPA</w:t>
            </w:r>
          </w:p>
        </w:tc>
      </w:tr>
      <w:tr w:rsidR="00153194" w14:paraId="15FBB5C1" w14:textId="77777777" w:rsidTr="004005E4">
        <w:tc>
          <w:tcPr>
            <w:tcW w:w="2547" w:type="dxa"/>
            <w:vAlign w:val="center"/>
          </w:tcPr>
          <w:p w14:paraId="4F5B2C60" w14:textId="2ABA9DDC" w:rsidR="00153194" w:rsidRPr="00153194" w:rsidRDefault="00153194" w:rsidP="00153194">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Pr="00153194">
              <w:rPr>
                <w:rFonts w:ascii="Times New Roman" w:eastAsiaTheme="minorEastAsia" w:hAnsi="Times New Roman" w:cs="Times New Roman"/>
                <w:sz w:val="20"/>
                <w:szCs w:val="20"/>
              </w:rPr>
              <w:t>Less than 3.00</w:t>
            </w:r>
          </w:p>
        </w:tc>
        <w:tc>
          <w:tcPr>
            <w:tcW w:w="2267" w:type="dxa"/>
          </w:tcPr>
          <w:p w14:paraId="77C244B3" w14:textId="6AEF3637" w:rsidR="00153194" w:rsidRPr="00153194" w:rsidRDefault="00153194" w:rsidP="00153194">
            <w:pPr>
              <w:jc w:val="center"/>
              <w:rPr>
                <w:rFonts w:ascii="Times New Roman" w:eastAsia="Calibri" w:hAnsi="Times New Roman" w:cs="Times New Roman"/>
                <w:sz w:val="20"/>
                <w:szCs w:val="20"/>
              </w:rPr>
            </w:pPr>
            <w:r w:rsidRPr="00153194">
              <w:rPr>
                <w:rFonts w:ascii="Times New Roman" w:eastAsia="Calibri" w:hAnsi="Times New Roman" w:cs="Times New Roman"/>
                <w:sz w:val="20"/>
                <w:szCs w:val="20"/>
              </w:rPr>
              <w:t>11</w:t>
            </w:r>
            <w:r w:rsidR="005F44FA">
              <w:rPr>
                <w:rFonts w:ascii="Times New Roman" w:eastAsia="Calibri" w:hAnsi="Times New Roman" w:cs="Times New Roman"/>
                <w:sz w:val="20"/>
                <w:szCs w:val="20"/>
              </w:rPr>
              <w:t xml:space="preserve"> </w:t>
            </w:r>
            <w:r w:rsidRPr="00153194">
              <w:rPr>
                <w:rFonts w:ascii="Times New Roman" w:eastAsia="Calibri" w:hAnsi="Times New Roman" w:cs="Times New Roman"/>
                <w:sz w:val="20"/>
                <w:szCs w:val="20"/>
              </w:rPr>
              <w:t>(13.3)</w:t>
            </w:r>
          </w:p>
        </w:tc>
        <w:tc>
          <w:tcPr>
            <w:tcW w:w="2267" w:type="dxa"/>
          </w:tcPr>
          <w:p w14:paraId="72D28175" w14:textId="75FFDA75" w:rsidR="00153194" w:rsidRPr="00153194" w:rsidRDefault="00153194" w:rsidP="00153194">
            <w:pPr>
              <w:jc w:val="center"/>
              <w:rPr>
                <w:rFonts w:ascii="Times New Roman" w:eastAsia="Calibri" w:hAnsi="Times New Roman" w:cs="Times New Roman"/>
                <w:sz w:val="20"/>
                <w:szCs w:val="20"/>
              </w:rPr>
            </w:pPr>
            <w:r w:rsidRPr="00153194">
              <w:rPr>
                <w:rFonts w:ascii="Times New Roman" w:eastAsia="Calibri" w:hAnsi="Times New Roman" w:cs="Times New Roman"/>
                <w:sz w:val="20"/>
                <w:szCs w:val="20"/>
              </w:rPr>
              <w:t>336</w:t>
            </w:r>
            <w:r w:rsidR="005F44FA">
              <w:rPr>
                <w:rFonts w:ascii="Times New Roman" w:eastAsia="Calibri" w:hAnsi="Times New Roman" w:cs="Times New Roman"/>
                <w:sz w:val="20"/>
                <w:szCs w:val="20"/>
              </w:rPr>
              <w:t xml:space="preserve"> </w:t>
            </w:r>
            <w:r w:rsidRPr="00153194">
              <w:rPr>
                <w:rFonts w:ascii="Times New Roman" w:eastAsia="Calibri" w:hAnsi="Times New Roman" w:cs="Times New Roman"/>
                <w:sz w:val="20"/>
                <w:szCs w:val="20"/>
              </w:rPr>
              <w:t>(10.2)</w:t>
            </w:r>
          </w:p>
        </w:tc>
        <w:tc>
          <w:tcPr>
            <w:tcW w:w="1139" w:type="dxa"/>
          </w:tcPr>
          <w:p w14:paraId="10BD5E37" w14:textId="58463823" w:rsidR="00153194" w:rsidRPr="00153194" w:rsidRDefault="00153194" w:rsidP="00153194">
            <w:pPr>
              <w:jc w:val="center"/>
              <w:rPr>
                <w:rFonts w:ascii="Times New Roman" w:eastAsia="Calibri" w:hAnsi="Times New Roman" w:cs="Times New Roman"/>
                <w:sz w:val="20"/>
                <w:szCs w:val="20"/>
              </w:rPr>
            </w:pPr>
            <w:r w:rsidRPr="00153194">
              <w:rPr>
                <w:rFonts w:ascii="Times New Roman" w:eastAsia="Calibri" w:hAnsi="Times New Roman" w:cs="Times New Roman"/>
                <w:sz w:val="20"/>
                <w:szCs w:val="20"/>
              </w:rPr>
              <w:t>LR=.755</w:t>
            </w:r>
          </w:p>
        </w:tc>
        <w:tc>
          <w:tcPr>
            <w:tcW w:w="847" w:type="dxa"/>
            <w:vMerge w:val="restart"/>
            <w:vAlign w:val="center"/>
          </w:tcPr>
          <w:p w14:paraId="4BD42F6F" w14:textId="545EC553"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.385</w:t>
            </w:r>
          </w:p>
        </w:tc>
        <w:tc>
          <w:tcPr>
            <w:tcW w:w="1276" w:type="dxa"/>
            <w:vMerge w:val="restart"/>
          </w:tcPr>
          <w:p w14:paraId="262C8BCB" w14:textId="77777777" w:rsidR="00153194" w:rsidRPr="00153194" w:rsidRDefault="00153194" w:rsidP="0043693E">
            <w:pPr>
              <w:rPr>
                <w:rFonts w:ascii="Times New Roman" w:eastAsiaTheme="minorEastAsia" w:hAnsi="Times New Roman" w:cs="Times New Roman"/>
                <w:sz w:val="20"/>
                <w:szCs w:val="20"/>
              </w:rPr>
            </w:pPr>
          </w:p>
        </w:tc>
      </w:tr>
      <w:tr w:rsidR="00153194" w14:paraId="7F4F8415" w14:textId="77777777" w:rsidTr="004005E4">
        <w:tc>
          <w:tcPr>
            <w:tcW w:w="2547" w:type="dxa"/>
            <w:vAlign w:val="center"/>
          </w:tcPr>
          <w:p w14:paraId="747859C5" w14:textId="41EDE8BE" w:rsidR="00153194" w:rsidRPr="00153194" w:rsidRDefault="00153194" w:rsidP="00153194">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Pr="00153194">
              <w:rPr>
                <w:rFonts w:ascii="Times New Roman" w:eastAsiaTheme="minorEastAsia" w:hAnsi="Times New Roman" w:cs="Times New Roman"/>
                <w:sz w:val="20"/>
                <w:szCs w:val="20"/>
              </w:rPr>
              <w:t>3.00 or higher</w:t>
            </w:r>
          </w:p>
        </w:tc>
        <w:tc>
          <w:tcPr>
            <w:tcW w:w="2267" w:type="dxa"/>
          </w:tcPr>
          <w:p w14:paraId="4818BE4C" w14:textId="736CABB8"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72</w:t>
            </w:r>
            <w:r w:rsidR="005F44FA">
              <w:rPr>
                <w:rFonts w:ascii="Times New Roman" w:eastAsia="Calibri" w:hAnsi="Times New Roman" w:cs="Times New Roman"/>
                <w:sz w:val="20"/>
                <w:szCs w:val="20"/>
              </w:rPr>
              <w:t xml:space="preserve"> </w:t>
            </w:r>
            <w:r w:rsidRPr="00153194">
              <w:rPr>
                <w:rFonts w:ascii="Times New Roman" w:eastAsia="Calibri" w:hAnsi="Times New Roman" w:cs="Times New Roman"/>
                <w:sz w:val="20"/>
                <w:szCs w:val="20"/>
              </w:rPr>
              <w:t>(86.7)</w:t>
            </w:r>
          </w:p>
        </w:tc>
        <w:tc>
          <w:tcPr>
            <w:tcW w:w="2267" w:type="dxa"/>
          </w:tcPr>
          <w:p w14:paraId="78493A74" w14:textId="2B049D5E"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2956</w:t>
            </w:r>
            <w:r w:rsidR="005F44FA">
              <w:rPr>
                <w:rFonts w:ascii="Times New Roman" w:eastAsia="Calibri" w:hAnsi="Times New Roman" w:cs="Times New Roman"/>
                <w:sz w:val="20"/>
                <w:szCs w:val="20"/>
              </w:rPr>
              <w:t xml:space="preserve"> </w:t>
            </w:r>
            <w:r w:rsidRPr="00153194">
              <w:rPr>
                <w:rFonts w:ascii="Times New Roman" w:eastAsia="Calibri" w:hAnsi="Times New Roman" w:cs="Times New Roman"/>
                <w:sz w:val="20"/>
                <w:szCs w:val="20"/>
              </w:rPr>
              <w:t>(89.8)</w:t>
            </w:r>
          </w:p>
        </w:tc>
        <w:tc>
          <w:tcPr>
            <w:tcW w:w="1139" w:type="dxa"/>
          </w:tcPr>
          <w:p w14:paraId="2C5473F8" w14:textId="6C6956DC" w:rsidR="00153194" w:rsidRPr="00153194" w:rsidRDefault="00153194" w:rsidP="00153194">
            <w:pPr>
              <w:jc w:val="center"/>
              <w:rPr>
                <w:rFonts w:ascii="Times New Roman" w:eastAsiaTheme="minorEastAsia" w:hAnsi="Times New Roman" w:cs="Times New Roman"/>
                <w:sz w:val="20"/>
                <w:szCs w:val="20"/>
              </w:rPr>
            </w:pPr>
            <w:r w:rsidRPr="00153194">
              <w:rPr>
                <w:rFonts w:ascii="Times New Roman" w:eastAsia="Calibri" w:hAnsi="Times New Roman" w:cs="Times New Roman"/>
                <w:sz w:val="20"/>
                <w:szCs w:val="20"/>
              </w:rPr>
              <w:t>df=1</w:t>
            </w:r>
          </w:p>
        </w:tc>
        <w:tc>
          <w:tcPr>
            <w:tcW w:w="847" w:type="dxa"/>
            <w:vMerge/>
          </w:tcPr>
          <w:p w14:paraId="3EF1C670" w14:textId="77777777" w:rsidR="00153194" w:rsidRPr="00153194" w:rsidRDefault="00153194" w:rsidP="0043693E">
            <w:pPr>
              <w:rPr>
                <w:rFonts w:ascii="Times New Roman" w:eastAsiaTheme="minorEastAsia" w:hAnsi="Times New Roman" w:cs="Times New Roman"/>
                <w:sz w:val="20"/>
                <w:szCs w:val="20"/>
              </w:rPr>
            </w:pPr>
          </w:p>
        </w:tc>
        <w:tc>
          <w:tcPr>
            <w:tcW w:w="1276" w:type="dxa"/>
            <w:vMerge/>
          </w:tcPr>
          <w:p w14:paraId="5C568C41" w14:textId="77777777" w:rsidR="00153194" w:rsidRPr="00153194" w:rsidRDefault="00153194" w:rsidP="0043693E">
            <w:pPr>
              <w:rPr>
                <w:rFonts w:ascii="Times New Roman" w:eastAsiaTheme="minorEastAsia" w:hAnsi="Times New Roman" w:cs="Times New Roman"/>
                <w:sz w:val="20"/>
                <w:szCs w:val="20"/>
              </w:rPr>
            </w:pPr>
          </w:p>
        </w:tc>
      </w:tr>
    </w:tbl>
    <w:p w14:paraId="204E7288" w14:textId="25DF5C1C" w:rsidR="0043693E" w:rsidRDefault="00153194" w:rsidP="0043693E">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All numbers are N (%) unless otherwise stated.</w:t>
      </w:r>
    </w:p>
    <w:p w14:paraId="04DD5240" w14:textId="018C936D" w:rsidR="00153194" w:rsidRDefault="00153194" w:rsidP="0043693E">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w:t>
      </w:r>
      <w:r w:rsidRPr="00153194">
        <w:rPr>
          <w:rFonts w:ascii="Times New Roman" w:eastAsiaTheme="minorEastAsia" w:hAnsi="Times New Roman" w:cs="Times New Roman"/>
          <w:i/>
          <w:iCs/>
          <w:sz w:val="22"/>
          <w:szCs w:val="22"/>
        </w:rPr>
        <w:t>P</w:t>
      </w:r>
      <w:r>
        <w:rPr>
          <w:rFonts w:ascii="Times New Roman" w:eastAsiaTheme="minorEastAsia" w:hAnsi="Times New Roman" w:cs="Times New Roman"/>
          <w:sz w:val="22"/>
          <w:szCs w:val="22"/>
        </w:rPr>
        <w:t xml:space="preserve"> value significant with Bonferroni correction; c</w:t>
      </w:r>
      <w:r w:rsidRPr="00153194">
        <w:rPr>
          <w:rFonts w:ascii="Times New Roman" w:eastAsiaTheme="minorEastAsia" w:hAnsi="Times New Roman" w:cs="Times New Roman"/>
          <w:sz w:val="22"/>
          <w:szCs w:val="22"/>
        </w:rPr>
        <w:t>ritical</w:t>
      </w:r>
      <w:r>
        <w:rPr>
          <w:rFonts w:ascii="Times New Roman" w:eastAsiaTheme="minorEastAsia" w:hAnsi="Times New Roman" w:cs="Times New Roman"/>
          <w:sz w:val="22"/>
          <w:szCs w:val="22"/>
        </w:rPr>
        <w:t xml:space="preserve"> </w:t>
      </w:r>
      <w:r>
        <w:rPr>
          <w:rFonts w:ascii="Times New Roman" w:eastAsiaTheme="minorEastAsia" w:hAnsi="Times New Roman" w:cs="Times New Roman"/>
          <w:i/>
          <w:iCs/>
          <w:sz w:val="22"/>
          <w:szCs w:val="22"/>
        </w:rPr>
        <w:t>P</w:t>
      </w:r>
      <w:r>
        <w:rPr>
          <w:rFonts w:ascii="Times New Roman" w:eastAsiaTheme="minorEastAsia" w:hAnsi="Times New Roman" w:cs="Times New Roman"/>
          <w:sz w:val="22"/>
          <w:szCs w:val="22"/>
        </w:rPr>
        <w:t xml:space="preserve"> = .05/4 = .125.</w:t>
      </w:r>
    </w:p>
    <w:p w14:paraId="09007DF0" w14:textId="7F0FFB3D" w:rsidR="00380021" w:rsidRDefault="00380021">
      <w:pPr>
        <w:rPr>
          <w:rFonts w:ascii="Times New Roman" w:eastAsiaTheme="minorEastAsia" w:hAnsi="Times New Roman" w:cs="Times New Roman"/>
          <w:sz w:val="22"/>
          <w:szCs w:val="22"/>
        </w:rPr>
      </w:pPr>
    </w:p>
    <w:p w14:paraId="67FA2410" w14:textId="3B1CF42A" w:rsidR="00732891" w:rsidRDefault="00732891" w:rsidP="0043693E">
      <w:pP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Table 2. Alcohol, Tobacco and Drug Use Based on Binge Eating Disorder</w:t>
      </w:r>
    </w:p>
    <w:tbl>
      <w:tblPr>
        <w:tblStyle w:val="TableGrid"/>
        <w:tblW w:w="0" w:type="auto"/>
        <w:tblLook w:val="04A0" w:firstRow="1" w:lastRow="0" w:firstColumn="1" w:lastColumn="0" w:noHBand="0" w:noVBand="1"/>
      </w:tblPr>
      <w:tblGrid>
        <w:gridCol w:w="3114"/>
        <w:gridCol w:w="2268"/>
        <w:gridCol w:w="2268"/>
        <w:gridCol w:w="1139"/>
        <w:gridCol w:w="850"/>
        <w:gridCol w:w="1276"/>
      </w:tblGrid>
      <w:tr w:rsidR="00A764D9" w14:paraId="4D812CFF" w14:textId="77777777" w:rsidTr="006729FA">
        <w:trPr>
          <w:tblHeader/>
        </w:trPr>
        <w:tc>
          <w:tcPr>
            <w:tcW w:w="3114" w:type="dxa"/>
          </w:tcPr>
          <w:p w14:paraId="77545C11" w14:textId="0982A622" w:rsidR="004005E4" w:rsidRPr="004005E4" w:rsidRDefault="004005E4" w:rsidP="004005E4">
            <w:pPr>
              <w:rPr>
                <w:rFonts w:ascii="Times New Roman" w:eastAsiaTheme="minorEastAsia" w:hAnsi="Times New Roman" w:cs="Times New Roman"/>
                <w:sz w:val="20"/>
                <w:szCs w:val="20"/>
              </w:rPr>
            </w:pPr>
            <w:r w:rsidRPr="004005E4">
              <w:rPr>
                <w:rFonts w:ascii="Times New Roman" w:eastAsiaTheme="minorEastAsia" w:hAnsi="Times New Roman" w:cs="Times New Roman"/>
                <w:b/>
                <w:bCs/>
                <w:sz w:val="20"/>
                <w:szCs w:val="20"/>
              </w:rPr>
              <w:t>Variable</w:t>
            </w:r>
          </w:p>
        </w:tc>
        <w:tc>
          <w:tcPr>
            <w:tcW w:w="2268" w:type="dxa"/>
          </w:tcPr>
          <w:p w14:paraId="7A5CF946" w14:textId="742C2AFC" w:rsidR="004005E4" w:rsidRPr="004005E4" w:rsidRDefault="004005E4" w:rsidP="004005E4">
            <w:pPr>
              <w:jc w:val="center"/>
              <w:rPr>
                <w:rFonts w:ascii="Times New Roman" w:eastAsiaTheme="minorEastAsia" w:hAnsi="Times New Roman" w:cs="Times New Roman"/>
                <w:sz w:val="20"/>
                <w:szCs w:val="20"/>
              </w:rPr>
            </w:pPr>
            <w:r w:rsidRPr="004005E4">
              <w:rPr>
                <w:rFonts w:ascii="Times New Roman" w:eastAsiaTheme="minorEastAsia" w:hAnsi="Times New Roman" w:cs="Times New Roman"/>
                <w:b/>
                <w:bCs/>
                <w:sz w:val="20"/>
                <w:szCs w:val="20"/>
              </w:rPr>
              <w:t>Students with current Binge Eating Disorder (n=83)</w:t>
            </w:r>
          </w:p>
        </w:tc>
        <w:tc>
          <w:tcPr>
            <w:tcW w:w="2268" w:type="dxa"/>
          </w:tcPr>
          <w:p w14:paraId="5BD3F16F" w14:textId="5D79EE12" w:rsidR="004005E4" w:rsidRPr="004005E4" w:rsidRDefault="004005E4" w:rsidP="004005E4">
            <w:pPr>
              <w:jc w:val="center"/>
              <w:rPr>
                <w:rFonts w:ascii="Times New Roman" w:eastAsiaTheme="minorEastAsia" w:hAnsi="Times New Roman" w:cs="Times New Roman"/>
                <w:sz w:val="20"/>
                <w:szCs w:val="20"/>
              </w:rPr>
            </w:pPr>
            <w:r w:rsidRPr="004005E4">
              <w:rPr>
                <w:rFonts w:ascii="Times New Roman" w:eastAsiaTheme="minorEastAsia" w:hAnsi="Times New Roman" w:cs="Times New Roman"/>
                <w:b/>
                <w:bCs/>
                <w:sz w:val="20"/>
                <w:szCs w:val="20"/>
              </w:rPr>
              <w:t>Students without Binge Eating Disorder (n=3332)</w:t>
            </w:r>
          </w:p>
        </w:tc>
        <w:tc>
          <w:tcPr>
            <w:tcW w:w="1139" w:type="dxa"/>
          </w:tcPr>
          <w:p w14:paraId="6CE204AA" w14:textId="29AF115E" w:rsidR="004005E4" w:rsidRPr="004005E4" w:rsidRDefault="004005E4" w:rsidP="004005E4">
            <w:pPr>
              <w:jc w:val="center"/>
              <w:rPr>
                <w:rFonts w:ascii="Times New Roman" w:eastAsiaTheme="minorEastAsia" w:hAnsi="Times New Roman" w:cs="Times New Roman"/>
                <w:sz w:val="20"/>
                <w:szCs w:val="20"/>
              </w:rPr>
            </w:pPr>
            <w:r w:rsidRPr="004005E4">
              <w:rPr>
                <w:rFonts w:ascii="Times New Roman" w:eastAsiaTheme="minorEastAsia" w:hAnsi="Times New Roman" w:cs="Times New Roman"/>
                <w:b/>
                <w:bCs/>
                <w:sz w:val="20"/>
                <w:szCs w:val="20"/>
              </w:rPr>
              <w:t>Likelihood Ratio</w:t>
            </w:r>
          </w:p>
        </w:tc>
        <w:tc>
          <w:tcPr>
            <w:tcW w:w="850" w:type="dxa"/>
          </w:tcPr>
          <w:p w14:paraId="35D9E9B1" w14:textId="3C39FB0C" w:rsidR="004005E4" w:rsidRPr="004005E4" w:rsidRDefault="004005E4" w:rsidP="004005E4">
            <w:pPr>
              <w:jc w:val="center"/>
              <w:rPr>
                <w:rFonts w:ascii="Times New Roman" w:eastAsiaTheme="minorEastAsia" w:hAnsi="Times New Roman" w:cs="Times New Roman"/>
                <w:sz w:val="20"/>
                <w:szCs w:val="20"/>
              </w:rPr>
            </w:pPr>
            <w:r w:rsidRPr="004005E4">
              <w:rPr>
                <w:rFonts w:ascii="Times New Roman" w:eastAsiaTheme="minorEastAsia" w:hAnsi="Times New Roman" w:cs="Times New Roman"/>
                <w:b/>
                <w:bCs/>
                <w:i/>
                <w:iCs/>
                <w:sz w:val="20"/>
                <w:szCs w:val="20"/>
              </w:rPr>
              <w:t>P</w:t>
            </w:r>
            <w:r w:rsidRPr="004005E4">
              <w:rPr>
                <w:rFonts w:ascii="Times New Roman" w:eastAsiaTheme="minorEastAsia" w:hAnsi="Times New Roman" w:cs="Times New Roman"/>
                <w:b/>
                <w:bCs/>
                <w:sz w:val="20"/>
                <w:szCs w:val="20"/>
              </w:rPr>
              <w:t xml:space="preserve"> value</w:t>
            </w:r>
          </w:p>
        </w:tc>
        <w:tc>
          <w:tcPr>
            <w:tcW w:w="1276" w:type="dxa"/>
          </w:tcPr>
          <w:p w14:paraId="03E6EF90" w14:textId="16424FC0" w:rsidR="004005E4" w:rsidRPr="00A764D9" w:rsidRDefault="004005E4" w:rsidP="00A764D9">
            <w:pPr>
              <w:jc w:val="center"/>
              <w:rPr>
                <w:rFonts w:ascii="Times New Roman" w:eastAsiaTheme="minorEastAsia" w:hAnsi="Times New Roman" w:cs="Times New Roman"/>
                <w:b/>
                <w:bCs/>
                <w:sz w:val="20"/>
                <w:szCs w:val="20"/>
              </w:rPr>
            </w:pPr>
            <w:r w:rsidRPr="004005E4">
              <w:rPr>
                <w:rFonts w:ascii="Times New Roman" w:eastAsiaTheme="minorEastAsia" w:hAnsi="Times New Roman" w:cs="Times New Roman"/>
                <w:b/>
                <w:bCs/>
                <w:sz w:val="20"/>
                <w:szCs w:val="20"/>
              </w:rPr>
              <w:t>Effect Size</w:t>
            </w:r>
            <w:r w:rsidR="00A764D9">
              <w:rPr>
                <w:rFonts w:ascii="Times New Roman" w:eastAsiaTheme="minorEastAsia" w:hAnsi="Times New Roman" w:cs="Times New Roman"/>
                <w:b/>
                <w:bCs/>
                <w:sz w:val="20"/>
                <w:szCs w:val="20"/>
              </w:rPr>
              <w:t xml:space="preserve"> </w:t>
            </w:r>
            <w:r w:rsidRPr="004005E4">
              <w:rPr>
                <w:rFonts w:ascii="Times New Roman" w:eastAsiaTheme="minorEastAsia" w:hAnsi="Times New Roman" w:cs="Times New Roman"/>
                <w:b/>
                <w:bCs/>
                <w:sz w:val="20"/>
                <w:szCs w:val="20"/>
              </w:rPr>
              <w:t>Cramer’s V</w:t>
            </w:r>
          </w:p>
        </w:tc>
      </w:tr>
      <w:tr w:rsidR="004005E4" w14:paraId="0BACDA4B" w14:textId="77777777" w:rsidTr="006729FA">
        <w:tc>
          <w:tcPr>
            <w:tcW w:w="10915" w:type="dxa"/>
            <w:gridSpan w:val="6"/>
          </w:tcPr>
          <w:p w14:paraId="5AD72B81" w14:textId="1E7BBAB5" w:rsidR="004005E4" w:rsidRPr="004005E4" w:rsidRDefault="004005E4" w:rsidP="004005E4">
            <w:pPr>
              <w:rPr>
                <w:rFonts w:ascii="Times New Roman" w:eastAsiaTheme="minorEastAsia" w:hAnsi="Times New Roman" w:cs="Times New Roman"/>
                <w:sz w:val="20"/>
                <w:szCs w:val="20"/>
              </w:rPr>
            </w:pPr>
            <w:r w:rsidRPr="004005E4">
              <w:rPr>
                <w:rFonts w:ascii="Times New Roman" w:eastAsia="Calibri" w:hAnsi="Times New Roman" w:cs="Times New Roman"/>
                <w:sz w:val="20"/>
                <w:szCs w:val="20"/>
              </w:rPr>
              <w:t xml:space="preserve">Age at first use of cigarettes or nicotine </w:t>
            </w:r>
          </w:p>
        </w:tc>
      </w:tr>
      <w:tr w:rsidR="00A764D9" w14:paraId="0EC9537B" w14:textId="77777777" w:rsidTr="006729FA">
        <w:tc>
          <w:tcPr>
            <w:tcW w:w="3114" w:type="dxa"/>
          </w:tcPr>
          <w:p w14:paraId="013F2E57" w14:textId="794CD063" w:rsidR="00DB57D6" w:rsidRPr="00DB57D6" w:rsidRDefault="00DB57D6" w:rsidP="00DB57D6">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Never used</w:t>
            </w:r>
          </w:p>
        </w:tc>
        <w:tc>
          <w:tcPr>
            <w:tcW w:w="2268" w:type="dxa"/>
          </w:tcPr>
          <w:p w14:paraId="6FE170D5" w14:textId="4D382D18" w:rsidR="00DB57D6" w:rsidRPr="00DB57D6" w:rsidRDefault="00DB57D6" w:rsidP="00DB57D6">
            <w:pPr>
              <w:jc w:val="center"/>
              <w:rPr>
                <w:rFonts w:ascii="Times New Roman" w:eastAsia="Calibri" w:hAnsi="Times New Roman" w:cs="Times New Roman"/>
                <w:sz w:val="20"/>
                <w:szCs w:val="20"/>
              </w:rPr>
            </w:pPr>
            <w:r w:rsidRPr="004005E4">
              <w:rPr>
                <w:rFonts w:ascii="Times New Roman" w:eastAsia="Calibri" w:hAnsi="Times New Roman" w:cs="Times New Roman"/>
                <w:sz w:val="20"/>
                <w:szCs w:val="20"/>
              </w:rPr>
              <w:t>49</w:t>
            </w: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(59.0)</w:t>
            </w:r>
          </w:p>
        </w:tc>
        <w:tc>
          <w:tcPr>
            <w:tcW w:w="2268" w:type="dxa"/>
          </w:tcPr>
          <w:p w14:paraId="36B2822F" w14:textId="6B486FED" w:rsidR="00DB57D6" w:rsidRPr="00DB57D6" w:rsidRDefault="00DB57D6" w:rsidP="00DB57D6">
            <w:pPr>
              <w:jc w:val="center"/>
              <w:rPr>
                <w:rFonts w:ascii="Times New Roman" w:eastAsia="Calibri" w:hAnsi="Times New Roman" w:cs="Times New Roman"/>
                <w:sz w:val="20"/>
                <w:szCs w:val="20"/>
              </w:rPr>
            </w:pPr>
            <w:r w:rsidRPr="004005E4">
              <w:rPr>
                <w:rFonts w:ascii="Times New Roman" w:eastAsia="Calibri" w:hAnsi="Times New Roman" w:cs="Times New Roman"/>
                <w:sz w:val="20"/>
                <w:szCs w:val="20"/>
              </w:rPr>
              <w:t>1996</w:t>
            </w: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(59.9)</w:t>
            </w:r>
          </w:p>
        </w:tc>
        <w:tc>
          <w:tcPr>
            <w:tcW w:w="1139" w:type="dxa"/>
          </w:tcPr>
          <w:p w14:paraId="79390C2E" w14:textId="0717B309" w:rsidR="00DB57D6" w:rsidRPr="00DB57D6" w:rsidRDefault="00DB57D6" w:rsidP="00DB57D6">
            <w:pPr>
              <w:jc w:val="center"/>
              <w:rPr>
                <w:rFonts w:ascii="Times New Roman" w:eastAsia="Calibri" w:hAnsi="Times New Roman" w:cs="Times New Roman"/>
                <w:sz w:val="20"/>
                <w:szCs w:val="20"/>
              </w:rPr>
            </w:pPr>
            <w:r w:rsidRPr="004005E4">
              <w:rPr>
                <w:rFonts w:ascii="Times New Roman" w:eastAsia="Calibri" w:hAnsi="Times New Roman" w:cs="Times New Roman"/>
                <w:sz w:val="20"/>
                <w:szCs w:val="20"/>
              </w:rPr>
              <w:t>LR=3.757</w:t>
            </w:r>
          </w:p>
        </w:tc>
        <w:tc>
          <w:tcPr>
            <w:tcW w:w="850" w:type="dxa"/>
            <w:vMerge w:val="restart"/>
            <w:vAlign w:val="center"/>
          </w:tcPr>
          <w:p w14:paraId="1C952903" w14:textId="260B7D27" w:rsidR="00DB57D6" w:rsidRPr="004005E4" w:rsidRDefault="00DB57D6" w:rsidP="00DB57D6">
            <w:pPr>
              <w:jc w:val="center"/>
              <w:rPr>
                <w:rFonts w:ascii="Times New Roman" w:eastAsiaTheme="minorEastAsia" w:hAnsi="Times New Roman" w:cs="Times New Roman"/>
                <w:sz w:val="20"/>
                <w:szCs w:val="20"/>
              </w:rPr>
            </w:pPr>
            <w:r w:rsidRPr="004005E4">
              <w:rPr>
                <w:rFonts w:ascii="Times New Roman" w:eastAsia="Calibri" w:hAnsi="Times New Roman" w:cs="Times New Roman"/>
                <w:sz w:val="20"/>
                <w:szCs w:val="20"/>
              </w:rPr>
              <w:t>.289</w:t>
            </w:r>
          </w:p>
        </w:tc>
        <w:tc>
          <w:tcPr>
            <w:tcW w:w="1276" w:type="dxa"/>
            <w:vMerge w:val="restart"/>
          </w:tcPr>
          <w:p w14:paraId="21532BF0" w14:textId="77777777" w:rsidR="00DB57D6" w:rsidRPr="004005E4" w:rsidRDefault="00DB57D6" w:rsidP="004005E4">
            <w:pPr>
              <w:rPr>
                <w:rFonts w:ascii="Times New Roman" w:eastAsiaTheme="minorEastAsia" w:hAnsi="Times New Roman" w:cs="Times New Roman"/>
                <w:sz w:val="20"/>
                <w:szCs w:val="20"/>
              </w:rPr>
            </w:pPr>
          </w:p>
        </w:tc>
      </w:tr>
      <w:tr w:rsidR="00A764D9" w14:paraId="26342B48" w14:textId="77777777" w:rsidTr="006729FA">
        <w:tc>
          <w:tcPr>
            <w:tcW w:w="3114" w:type="dxa"/>
          </w:tcPr>
          <w:p w14:paraId="5C945F7D" w14:textId="656A2D59" w:rsidR="00DB57D6" w:rsidRPr="00DB57D6" w:rsidRDefault="00DB57D6" w:rsidP="00DB57D6">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Less than 14 years</w:t>
            </w:r>
          </w:p>
        </w:tc>
        <w:tc>
          <w:tcPr>
            <w:tcW w:w="2268" w:type="dxa"/>
          </w:tcPr>
          <w:p w14:paraId="43201507" w14:textId="101DDA59" w:rsidR="00DB57D6" w:rsidRPr="00DB57D6" w:rsidRDefault="00DB57D6" w:rsidP="00DB57D6">
            <w:pPr>
              <w:jc w:val="center"/>
              <w:rPr>
                <w:rFonts w:ascii="Times New Roman" w:eastAsia="Calibri" w:hAnsi="Times New Roman" w:cs="Times New Roman"/>
                <w:sz w:val="20"/>
                <w:szCs w:val="20"/>
              </w:rPr>
            </w:pPr>
            <w:r w:rsidRPr="004005E4">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(10.8)</w:t>
            </w:r>
          </w:p>
        </w:tc>
        <w:tc>
          <w:tcPr>
            <w:tcW w:w="2268" w:type="dxa"/>
          </w:tcPr>
          <w:p w14:paraId="40D3867C" w14:textId="362DF634" w:rsidR="00DB57D6" w:rsidRPr="00DB57D6" w:rsidRDefault="00DB57D6" w:rsidP="00DB57D6">
            <w:pPr>
              <w:jc w:val="center"/>
              <w:rPr>
                <w:rFonts w:ascii="Times New Roman" w:eastAsia="Calibri" w:hAnsi="Times New Roman" w:cs="Times New Roman"/>
                <w:sz w:val="20"/>
                <w:szCs w:val="20"/>
              </w:rPr>
            </w:pPr>
            <w:r w:rsidRPr="004005E4">
              <w:rPr>
                <w:rFonts w:ascii="Times New Roman" w:eastAsia="Calibri" w:hAnsi="Times New Roman" w:cs="Times New Roman"/>
                <w:sz w:val="20"/>
                <w:szCs w:val="20"/>
              </w:rPr>
              <w:t>184</w:t>
            </w: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(5.5)</w:t>
            </w:r>
          </w:p>
        </w:tc>
        <w:tc>
          <w:tcPr>
            <w:tcW w:w="1139" w:type="dxa"/>
          </w:tcPr>
          <w:p w14:paraId="0DDB0DD4" w14:textId="32FAF94B" w:rsidR="00DB57D6" w:rsidRPr="004005E4" w:rsidRDefault="00DB57D6" w:rsidP="00DB57D6">
            <w:pPr>
              <w:jc w:val="center"/>
              <w:rPr>
                <w:rFonts w:ascii="Times New Roman" w:eastAsiaTheme="minorEastAsia" w:hAnsi="Times New Roman" w:cs="Times New Roman"/>
                <w:sz w:val="20"/>
                <w:szCs w:val="20"/>
              </w:rPr>
            </w:pPr>
            <w:r w:rsidRPr="004005E4">
              <w:rPr>
                <w:rFonts w:ascii="Times New Roman" w:eastAsia="Calibri" w:hAnsi="Times New Roman" w:cs="Times New Roman"/>
                <w:sz w:val="20"/>
                <w:szCs w:val="20"/>
              </w:rPr>
              <w:t>df=3</w:t>
            </w:r>
          </w:p>
        </w:tc>
        <w:tc>
          <w:tcPr>
            <w:tcW w:w="850" w:type="dxa"/>
            <w:vMerge/>
          </w:tcPr>
          <w:p w14:paraId="27AE3C22" w14:textId="77777777" w:rsidR="00DB57D6" w:rsidRPr="004005E4" w:rsidRDefault="00DB57D6" w:rsidP="004005E4">
            <w:pPr>
              <w:rPr>
                <w:rFonts w:ascii="Times New Roman" w:eastAsiaTheme="minorEastAsia" w:hAnsi="Times New Roman" w:cs="Times New Roman"/>
                <w:sz w:val="20"/>
                <w:szCs w:val="20"/>
              </w:rPr>
            </w:pPr>
          </w:p>
        </w:tc>
        <w:tc>
          <w:tcPr>
            <w:tcW w:w="1276" w:type="dxa"/>
            <w:vMerge/>
          </w:tcPr>
          <w:p w14:paraId="6245AE14" w14:textId="77777777" w:rsidR="00DB57D6" w:rsidRPr="004005E4" w:rsidRDefault="00DB57D6" w:rsidP="004005E4">
            <w:pPr>
              <w:rPr>
                <w:rFonts w:ascii="Times New Roman" w:eastAsiaTheme="minorEastAsia" w:hAnsi="Times New Roman" w:cs="Times New Roman"/>
                <w:sz w:val="20"/>
                <w:szCs w:val="20"/>
              </w:rPr>
            </w:pPr>
          </w:p>
        </w:tc>
      </w:tr>
      <w:tr w:rsidR="00A764D9" w14:paraId="2C6A7A86" w14:textId="77777777" w:rsidTr="006729FA">
        <w:tc>
          <w:tcPr>
            <w:tcW w:w="3114" w:type="dxa"/>
          </w:tcPr>
          <w:p w14:paraId="3A6D1FDB" w14:textId="36F8D155" w:rsidR="00DB57D6" w:rsidRPr="00DB57D6" w:rsidRDefault="00DB57D6" w:rsidP="00DB57D6">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15-17 years</w:t>
            </w:r>
          </w:p>
        </w:tc>
        <w:tc>
          <w:tcPr>
            <w:tcW w:w="2268" w:type="dxa"/>
          </w:tcPr>
          <w:p w14:paraId="076BDEF7" w14:textId="28D7C02F" w:rsidR="00DB57D6" w:rsidRPr="00DB57D6" w:rsidRDefault="00DB57D6" w:rsidP="00DB57D6">
            <w:pPr>
              <w:jc w:val="center"/>
              <w:rPr>
                <w:rFonts w:ascii="Times New Roman" w:eastAsia="Calibri" w:hAnsi="Times New Roman" w:cs="Times New Roman"/>
                <w:sz w:val="20"/>
                <w:szCs w:val="20"/>
              </w:rPr>
            </w:pPr>
            <w:r w:rsidRPr="004005E4">
              <w:rPr>
                <w:rFonts w:ascii="Times New Roman" w:eastAsia="Calibri" w:hAnsi="Times New Roman" w:cs="Times New Roman"/>
                <w:sz w:val="20"/>
                <w:szCs w:val="20"/>
              </w:rPr>
              <w:t>12</w:t>
            </w: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(14.5)</w:t>
            </w:r>
          </w:p>
        </w:tc>
        <w:tc>
          <w:tcPr>
            <w:tcW w:w="2268" w:type="dxa"/>
          </w:tcPr>
          <w:p w14:paraId="50556B5E" w14:textId="033642CF" w:rsidR="00DB57D6" w:rsidRPr="00DB57D6" w:rsidRDefault="00DB57D6" w:rsidP="00DB57D6">
            <w:pPr>
              <w:jc w:val="center"/>
              <w:rPr>
                <w:rFonts w:ascii="Times New Roman" w:eastAsia="Calibri" w:hAnsi="Times New Roman" w:cs="Times New Roman"/>
                <w:sz w:val="20"/>
                <w:szCs w:val="20"/>
              </w:rPr>
            </w:pPr>
            <w:r w:rsidRPr="004005E4">
              <w:rPr>
                <w:rFonts w:ascii="Times New Roman" w:eastAsia="Calibri" w:hAnsi="Times New Roman" w:cs="Times New Roman"/>
                <w:sz w:val="20"/>
                <w:szCs w:val="20"/>
              </w:rPr>
              <w:t>527</w:t>
            </w: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(15.8)</w:t>
            </w:r>
          </w:p>
        </w:tc>
        <w:tc>
          <w:tcPr>
            <w:tcW w:w="1139" w:type="dxa"/>
          </w:tcPr>
          <w:p w14:paraId="7804D37B" w14:textId="77777777" w:rsidR="00DB57D6" w:rsidRPr="004005E4" w:rsidRDefault="00DB57D6" w:rsidP="004005E4">
            <w:pPr>
              <w:rPr>
                <w:rFonts w:ascii="Times New Roman" w:eastAsiaTheme="minorEastAsia" w:hAnsi="Times New Roman" w:cs="Times New Roman"/>
                <w:sz w:val="20"/>
                <w:szCs w:val="20"/>
              </w:rPr>
            </w:pPr>
          </w:p>
        </w:tc>
        <w:tc>
          <w:tcPr>
            <w:tcW w:w="850" w:type="dxa"/>
            <w:vMerge/>
          </w:tcPr>
          <w:p w14:paraId="6C3209D2" w14:textId="77777777" w:rsidR="00DB57D6" w:rsidRPr="004005E4" w:rsidRDefault="00DB57D6" w:rsidP="004005E4">
            <w:pPr>
              <w:rPr>
                <w:rFonts w:ascii="Times New Roman" w:eastAsiaTheme="minorEastAsia" w:hAnsi="Times New Roman" w:cs="Times New Roman"/>
                <w:sz w:val="20"/>
                <w:szCs w:val="20"/>
              </w:rPr>
            </w:pPr>
          </w:p>
        </w:tc>
        <w:tc>
          <w:tcPr>
            <w:tcW w:w="1276" w:type="dxa"/>
            <w:vMerge/>
          </w:tcPr>
          <w:p w14:paraId="56AFAC1B" w14:textId="77777777" w:rsidR="00DB57D6" w:rsidRPr="004005E4" w:rsidRDefault="00DB57D6" w:rsidP="004005E4">
            <w:pPr>
              <w:rPr>
                <w:rFonts w:ascii="Times New Roman" w:eastAsiaTheme="minorEastAsia" w:hAnsi="Times New Roman" w:cs="Times New Roman"/>
                <w:sz w:val="20"/>
                <w:szCs w:val="20"/>
              </w:rPr>
            </w:pPr>
          </w:p>
        </w:tc>
      </w:tr>
      <w:tr w:rsidR="00A764D9" w14:paraId="1420AC7F" w14:textId="77777777" w:rsidTr="006729FA">
        <w:tc>
          <w:tcPr>
            <w:tcW w:w="3114" w:type="dxa"/>
          </w:tcPr>
          <w:p w14:paraId="0BEB440B" w14:textId="1C37BDB9" w:rsidR="00DB57D6" w:rsidRPr="004005E4" w:rsidRDefault="00DB57D6" w:rsidP="004005E4">
            <w:pPr>
              <w:rPr>
                <w:rFonts w:ascii="Times New Roman" w:eastAsiaTheme="minorEastAsia" w:hAnsi="Times New Roman" w:cs="Times New Roman"/>
                <w:sz w:val="20"/>
                <w:szCs w:val="20"/>
              </w:rPr>
            </w:pP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18 years or older</w:t>
            </w:r>
          </w:p>
        </w:tc>
        <w:tc>
          <w:tcPr>
            <w:tcW w:w="2268" w:type="dxa"/>
          </w:tcPr>
          <w:p w14:paraId="5B9E19E9" w14:textId="77F48896" w:rsidR="00DB57D6" w:rsidRPr="004005E4" w:rsidRDefault="00DB57D6" w:rsidP="00DB57D6">
            <w:pPr>
              <w:jc w:val="center"/>
              <w:rPr>
                <w:rFonts w:ascii="Times New Roman" w:eastAsiaTheme="minorEastAsia" w:hAnsi="Times New Roman" w:cs="Times New Roman"/>
                <w:sz w:val="20"/>
                <w:szCs w:val="20"/>
              </w:rPr>
            </w:pPr>
            <w:r w:rsidRPr="004005E4">
              <w:rPr>
                <w:rFonts w:ascii="Times New Roman" w:eastAsia="Calibri" w:hAnsi="Times New Roman" w:cs="Times New Roman"/>
                <w:sz w:val="20"/>
                <w:szCs w:val="20"/>
              </w:rPr>
              <w:t>13</w:t>
            </w:r>
            <w:r>
              <w:rPr>
                <w:rFonts w:ascii="Times New Roman" w:eastAsia="Calibri" w:hAnsi="Times New Roman" w:cs="Times New Roman"/>
                <w:sz w:val="20"/>
                <w:szCs w:val="20"/>
              </w:rPr>
              <w:t xml:space="preserve"> </w:t>
            </w:r>
            <w:r w:rsidRPr="004005E4">
              <w:rPr>
                <w:rFonts w:ascii="Times New Roman" w:eastAsia="Calibri" w:hAnsi="Times New Roman" w:cs="Times New Roman"/>
                <w:sz w:val="20"/>
                <w:szCs w:val="20"/>
              </w:rPr>
              <w:t>(15.7)</w:t>
            </w:r>
          </w:p>
        </w:tc>
        <w:tc>
          <w:tcPr>
            <w:tcW w:w="2268" w:type="dxa"/>
          </w:tcPr>
          <w:p w14:paraId="5B54D729" w14:textId="2AA09CC1" w:rsidR="00DB57D6" w:rsidRPr="004005E4" w:rsidRDefault="00DB57D6" w:rsidP="00DB57D6">
            <w:pPr>
              <w:jc w:val="center"/>
              <w:rPr>
                <w:rFonts w:ascii="Times New Roman" w:eastAsiaTheme="minorEastAsia" w:hAnsi="Times New Roman" w:cs="Times New Roman"/>
                <w:sz w:val="20"/>
                <w:szCs w:val="20"/>
              </w:rPr>
            </w:pPr>
            <w:r w:rsidRPr="004005E4">
              <w:rPr>
                <w:rFonts w:ascii="Times New Roman" w:eastAsia="Calibri" w:hAnsi="Times New Roman" w:cs="Times New Roman"/>
                <w:sz w:val="20"/>
                <w:szCs w:val="20"/>
              </w:rPr>
              <w:t>625(18.8)</w:t>
            </w:r>
          </w:p>
        </w:tc>
        <w:tc>
          <w:tcPr>
            <w:tcW w:w="1139" w:type="dxa"/>
          </w:tcPr>
          <w:p w14:paraId="60CF1FBA" w14:textId="77777777" w:rsidR="00DB57D6" w:rsidRPr="004005E4" w:rsidRDefault="00DB57D6" w:rsidP="004005E4">
            <w:pPr>
              <w:rPr>
                <w:rFonts w:ascii="Times New Roman" w:eastAsiaTheme="minorEastAsia" w:hAnsi="Times New Roman" w:cs="Times New Roman"/>
                <w:sz w:val="20"/>
                <w:szCs w:val="20"/>
              </w:rPr>
            </w:pPr>
          </w:p>
        </w:tc>
        <w:tc>
          <w:tcPr>
            <w:tcW w:w="850" w:type="dxa"/>
            <w:vMerge/>
          </w:tcPr>
          <w:p w14:paraId="050108A0" w14:textId="77777777" w:rsidR="00DB57D6" w:rsidRPr="004005E4" w:rsidRDefault="00DB57D6" w:rsidP="004005E4">
            <w:pPr>
              <w:rPr>
                <w:rFonts w:ascii="Times New Roman" w:eastAsiaTheme="minorEastAsia" w:hAnsi="Times New Roman" w:cs="Times New Roman"/>
                <w:sz w:val="20"/>
                <w:szCs w:val="20"/>
              </w:rPr>
            </w:pPr>
          </w:p>
        </w:tc>
        <w:tc>
          <w:tcPr>
            <w:tcW w:w="1276" w:type="dxa"/>
            <w:vMerge/>
          </w:tcPr>
          <w:p w14:paraId="13B4A4BD" w14:textId="77777777" w:rsidR="00DB57D6" w:rsidRPr="004005E4" w:rsidRDefault="00DB57D6" w:rsidP="004005E4">
            <w:pPr>
              <w:rPr>
                <w:rFonts w:ascii="Times New Roman" w:eastAsiaTheme="minorEastAsia" w:hAnsi="Times New Roman" w:cs="Times New Roman"/>
                <w:sz w:val="20"/>
                <w:szCs w:val="20"/>
              </w:rPr>
            </w:pPr>
          </w:p>
        </w:tc>
      </w:tr>
      <w:tr w:rsidR="00DB57D6" w14:paraId="34AC6C62" w14:textId="77777777" w:rsidTr="006729FA">
        <w:tc>
          <w:tcPr>
            <w:tcW w:w="10915" w:type="dxa"/>
            <w:gridSpan w:val="6"/>
          </w:tcPr>
          <w:p w14:paraId="464A8A67" w14:textId="01E03E32" w:rsidR="00DB57D6" w:rsidRPr="00DB57D6" w:rsidRDefault="00DB57D6" w:rsidP="004005E4">
            <w:pPr>
              <w:rPr>
                <w:rFonts w:ascii="Times New Roman" w:eastAsiaTheme="minorEastAsia" w:hAnsi="Times New Roman" w:cs="Times New Roman"/>
                <w:sz w:val="20"/>
                <w:szCs w:val="20"/>
              </w:rPr>
            </w:pPr>
            <w:r w:rsidRPr="00DB57D6">
              <w:rPr>
                <w:rFonts w:ascii="Times New Roman" w:eastAsia="Calibri" w:hAnsi="Times New Roman" w:cs="Times New Roman"/>
                <w:sz w:val="20"/>
                <w:szCs w:val="20"/>
              </w:rPr>
              <w:t xml:space="preserve">Frequency of e-cigarette use </w:t>
            </w:r>
          </w:p>
        </w:tc>
      </w:tr>
      <w:tr w:rsidR="00A764D9" w14:paraId="0F48E8D5" w14:textId="77777777" w:rsidTr="006729FA">
        <w:tc>
          <w:tcPr>
            <w:tcW w:w="3114" w:type="dxa"/>
          </w:tcPr>
          <w:p w14:paraId="7A1979AA" w14:textId="4B01B2FC" w:rsidR="00DB57D6" w:rsidRPr="00DB57D6" w:rsidRDefault="00DB57D6" w:rsidP="00DB57D6">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Never</w:t>
            </w:r>
          </w:p>
        </w:tc>
        <w:tc>
          <w:tcPr>
            <w:tcW w:w="2268" w:type="dxa"/>
          </w:tcPr>
          <w:p w14:paraId="3E5D5FFA" w14:textId="740D262A"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19</w:t>
            </w: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(55.9)</w:t>
            </w:r>
          </w:p>
        </w:tc>
        <w:tc>
          <w:tcPr>
            <w:tcW w:w="2268" w:type="dxa"/>
          </w:tcPr>
          <w:p w14:paraId="1F37BEFB" w14:textId="78733A57"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726</w:t>
            </w: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(54.4)</w:t>
            </w:r>
          </w:p>
        </w:tc>
        <w:tc>
          <w:tcPr>
            <w:tcW w:w="1139" w:type="dxa"/>
          </w:tcPr>
          <w:p w14:paraId="38A66FC3" w14:textId="363ABD49"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LR=3.208</w:t>
            </w:r>
          </w:p>
        </w:tc>
        <w:tc>
          <w:tcPr>
            <w:tcW w:w="850" w:type="dxa"/>
            <w:vMerge w:val="restart"/>
            <w:vAlign w:val="center"/>
          </w:tcPr>
          <w:p w14:paraId="641A57BE" w14:textId="4CF357B6" w:rsidR="00DB57D6" w:rsidRPr="00DB57D6" w:rsidRDefault="00DB57D6" w:rsidP="00DB57D6">
            <w:pPr>
              <w:jc w:val="center"/>
              <w:rPr>
                <w:rFonts w:ascii="Times New Roman" w:eastAsiaTheme="minorEastAsia" w:hAnsi="Times New Roman" w:cs="Times New Roman"/>
                <w:sz w:val="20"/>
                <w:szCs w:val="20"/>
              </w:rPr>
            </w:pPr>
            <w:r w:rsidRPr="00DB57D6">
              <w:rPr>
                <w:rFonts w:ascii="Times New Roman" w:eastAsia="Calibri" w:hAnsi="Times New Roman" w:cs="Times New Roman"/>
                <w:sz w:val="20"/>
                <w:szCs w:val="20"/>
              </w:rPr>
              <w:t>.524</w:t>
            </w:r>
          </w:p>
        </w:tc>
        <w:tc>
          <w:tcPr>
            <w:tcW w:w="1276" w:type="dxa"/>
            <w:vMerge w:val="restart"/>
          </w:tcPr>
          <w:p w14:paraId="61A4EDF0" w14:textId="77777777" w:rsidR="00DB57D6" w:rsidRPr="00DB57D6" w:rsidRDefault="00DB57D6" w:rsidP="004005E4">
            <w:pPr>
              <w:rPr>
                <w:rFonts w:ascii="Times New Roman" w:eastAsiaTheme="minorEastAsia" w:hAnsi="Times New Roman" w:cs="Times New Roman"/>
                <w:sz w:val="20"/>
                <w:szCs w:val="20"/>
              </w:rPr>
            </w:pPr>
          </w:p>
        </w:tc>
      </w:tr>
      <w:tr w:rsidR="00A764D9" w14:paraId="2EB1C8FD" w14:textId="77777777" w:rsidTr="006729FA">
        <w:tc>
          <w:tcPr>
            <w:tcW w:w="3114" w:type="dxa"/>
          </w:tcPr>
          <w:p w14:paraId="134C7174" w14:textId="3D34652E" w:rsidR="00DB57D6" w:rsidRPr="00DB57D6" w:rsidRDefault="00DB57D6" w:rsidP="00DB57D6">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Not within past year</w:t>
            </w:r>
          </w:p>
        </w:tc>
        <w:tc>
          <w:tcPr>
            <w:tcW w:w="2268" w:type="dxa"/>
          </w:tcPr>
          <w:p w14:paraId="76A92ADB" w14:textId="39675B5C"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(26.5)</w:t>
            </w:r>
          </w:p>
        </w:tc>
        <w:tc>
          <w:tcPr>
            <w:tcW w:w="2268" w:type="dxa"/>
          </w:tcPr>
          <w:p w14:paraId="52DE0AD8" w14:textId="2DBE80D7"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287</w:t>
            </w: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(21.5)</w:t>
            </w:r>
          </w:p>
        </w:tc>
        <w:tc>
          <w:tcPr>
            <w:tcW w:w="1139" w:type="dxa"/>
          </w:tcPr>
          <w:p w14:paraId="2B52E0E7" w14:textId="52AD02E6" w:rsidR="00DB57D6" w:rsidRPr="00DB57D6" w:rsidRDefault="00DB57D6" w:rsidP="00DB57D6">
            <w:pPr>
              <w:jc w:val="center"/>
              <w:rPr>
                <w:rFonts w:ascii="Times New Roman" w:eastAsiaTheme="minorEastAsia" w:hAnsi="Times New Roman" w:cs="Times New Roman"/>
                <w:sz w:val="20"/>
                <w:szCs w:val="20"/>
              </w:rPr>
            </w:pPr>
            <w:r w:rsidRPr="00DB57D6">
              <w:rPr>
                <w:rFonts w:ascii="Times New Roman" w:eastAsia="Calibri" w:hAnsi="Times New Roman" w:cs="Times New Roman"/>
                <w:sz w:val="20"/>
                <w:szCs w:val="20"/>
              </w:rPr>
              <w:t>df=4</w:t>
            </w:r>
          </w:p>
        </w:tc>
        <w:tc>
          <w:tcPr>
            <w:tcW w:w="850" w:type="dxa"/>
            <w:vMerge/>
          </w:tcPr>
          <w:p w14:paraId="258ACEFE" w14:textId="77777777" w:rsidR="00DB57D6" w:rsidRPr="00DB57D6" w:rsidRDefault="00DB57D6" w:rsidP="004005E4">
            <w:pPr>
              <w:rPr>
                <w:rFonts w:ascii="Times New Roman" w:eastAsiaTheme="minorEastAsia" w:hAnsi="Times New Roman" w:cs="Times New Roman"/>
                <w:sz w:val="20"/>
                <w:szCs w:val="20"/>
              </w:rPr>
            </w:pPr>
          </w:p>
        </w:tc>
        <w:tc>
          <w:tcPr>
            <w:tcW w:w="1276" w:type="dxa"/>
            <w:vMerge/>
          </w:tcPr>
          <w:p w14:paraId="5933AE47" w14:textId="77777777" w:rsidR="00DB57D6" w:rsidRPr="00DB57D6" w:rsidRDefault="00DB57D6" w:rsidP="004005E4">
            <w:pPr>
              <w:rPr>
                <w:rFonts w:ascii="Times New Roman" w:eastAsiaTheme="minorEastAsia" w:hAnsi="Times New Roman" w:cs="Times New Roman"/>
                <w:sz w:val="20"/>
                <w:szCs w:val="20"/>
              </w:rPr>
            </w:pPr>
          </w:p>
        </w:tc>
      </w:tr>
      <w:tr w:rsidR="00A764D9" w14:paraId="0777DB48" w14:textId="77777777" w:rsidTr="006729FA">
        <w:tc>
          <w:tcPr>
            <w:tcW w:w="3114" w:type="dxa"/>
          </w:tcPr>
          <w:p w14:paraId="65A81984" w14:textId="2E895089" w:rsidR="00DB57D6" w:rsidRPr="00DB57D6" w:rsidRDefault="00DB57D6" w:rsidP="00DB57D6">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Rarely</w:t>
            </w:r>
          </w:p>
        </w:tc>
        <w:tc>
          <w:tcPr>
            <w:tcW w:w="2268" w:type="dxa"/>
          </w:tcPr>
          <w:p w14:paraId="7CE7C77F" w14:textId="38629705"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3</w:t>
            </w: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(8.8)</w:t>
            </w:r>
          </w:p>
        </w:tc>
        <w:tc>
          <w:tcPr>
            <w:tcW w:w="2268" w:type="dxa"/>
          </w:tcPr>
          <w:p w14:paraId="62DD5E94" w14:textId="2B76B3AD"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227</w:t>
            </w: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(17.0)</w:t>
            </w:r>
          </w:p>
        </w:tc>
        <w:tc>
          <w:tcPr>
            <w:tcW w:w="1139" w:type="dxa"/>
          </w:tcPr>
          <w:p w14:paraId="61822EF4" w14:textId="77777777" w:rsidR="00DB57D6" w:rsidRPr="00DB57D6" w:rsidRDefault="00DB57D6" w:rsidP="004005E4">
            <w:pPr>
              <w:rPr>
                <w:rFonts w:ascii="Times New Roman" w:eastAsiaTheme="minorEastAsia" w:hAnsi="Times New Roman" w:cs="Times New Roman"/>
                <w:sz w:val="20"/>
                <w:szCs w:val="20"/>
              </w:rPr>
            </w:pPr>
          </w:p>
        </w:tc>
        <w:tc>
          <w:tcPr>
            <w:tcW w:w="850" w:type="dxa"/>
            <w:vMerge/>
          </w:tcPr>
          <w:p w14:paraId="5A5022A7" w14:textId="77777777" w:rsidR="00DB57D6" w:rsidRPr="00DB57D6" w:rsidRDefault="00DB57D6" w:rsidP="004005E4">
            <w:pPr>
              <w:rPr>
                <w:rFonts w:ascii="Times New Roman" w:eastAsiaTheme="minorEastAsia" w:hAnsi="Times New Roman" w:cs="Times New Roman"/>
                <w:sz w:val="20"/>
                <w:szCs w:val="20"/>
              </w:rPr>
            </w:pPr>
          </w:p>
        </w:tc>
        <w:tc>
          <w:tcPr>
            <w:tcW w:w="1276" w:type="dxa"/>
            <w:vMerge/>
          </w:tcPr>
          <w:p w14:paraId="4F4E3C9B" w14:textId="77777777" w:rsidR="00DB57D6" w:rsidRPr="00DB57D6" w:rsidRDefault="00DB57D6" w:rsidP="004005E4">
            <w:pPr>
              <w:rPr>
                <w:rFonts w:ascii="Times New Roman" w:eastAsiaTheme="minorEastAsia" w:hAnsi="Times New Roman" w:cs="Times New Roman"/>
                <w:sz w:val="20"/>
                <w:szCs w:val="20"/>
              </w:rPr>
            </w:pPr>
          </w:p>
        </w:tc>
      </w:tr>
      <w:tr w:rsidR="00A764D9" w14:paraId="6AFD0080" w14:textId="77777777" w:rsidTr="006729FA">
        <w:tc>
          <w:tcPr>
            <w:tcW w:w="3114" w:type="dxa"/>
          </w:tcPr>
          <w:p w14:paraId="0EF94278" w14:textId="741F0152" w:rsidR="00DB57D6" w:rsidRPr="00DB57D6" w:rsidRDefault="00DB57D6" w:rsidP="00DB57D6">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Occasionally</w:t>
            </w:r>
          </w:p>
        </w:tc>
        <w:tc>
          <w:tcPr>
            <w:tcW w:w="2268" w:type="dxa"/>
          </w:tcPr>
          <w:p w14:paraId="0B77BD3B" w14:textId="090BE9D6"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(2.9)</w:t>
            </w:r>
          </w:p>
        </w:tc>
        <w:tc>
          <w:tcPr>
            <w:tcW w:w="2268" w:type="dxa"/>
          </w:tcPr>
          <w:p w14:paraId="0BA3266D" w14:textId="5DEFA141"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60</w:t>
            </w: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(4.5)</w:t>
            </w:r>
          </w:p>
        </w:tc>
        <w:tc>
          <w:tcPr>
            <w:tcW w:w="1139" w:type="dxa"/>
          </w:tcPr>
          <w:p w14:paraId="0D05DA99" w14:textId="77777777" w:rsidR="00DB57D6" w:rsidRPr="00DB57D6" w:rsidRDefault="00DB57D6" w:rsidP="004005E4">
            <w:pPr>
              <w:rPr>
                <w:rFonts w:ascii="Times New Roman" w:eastAsiaTheme="minorEastAsia" w:hAnsi="Times New Roman" w:cs="Times New Roman"/>
                <w:sz w:val="20"/>
                <w:szCs w:val="20"/>
              </w:rPr>
            </w:pPr>
          </w:p>
        </w:tc>
        <w:tc>
          <w:tcPr>
            <w:tcW w:w="850" w:type="dxa"/>
            <w:vMerge/>
          </w:tcPr>
          <w:p w14:paraId="349FDF7F" w14:textId="77777777" w:rsidR="00DB57D6" w:rsidRPr="00DB57D6" w:rsidRDefault="00DB57D6" w:rsidP="004005E4">
            <w:pPr>
              <w:rPr>
                <w:rFonts w:ascii="Times New Roman" w:eastAsiaTheme="minorEastAsia" w:hAnsi="Times New Roman" w:cs="Times New Roman"/>
                <w:sz w:val="20"/>
                <w:szCs w:val="20"/>
              </w:rPr>
            </w:pPr>
          </w:p>
        </w:tc>
        <w:tc>
          <w:tcPr>
            <w:tcW w:w="1276" w:type="dxa"/>
            <w:vMerge/>
          </w:tcPr>
          <w:p w14:paraId="744DE2A6" w14:textId="77777777" w:rsidR="00DB57D6" w:rsidRPr="00DB57D6" w:rsidRDefault="00DB57D6" w:rsidP="004005E4">
            <w:pPr>
              <w:rPr>
                <w:rFonts w:ascii="Times New Roman" w:eastAsiaTheme="minorEastAsia" w:hAnsi="Times New Roman" w:cs="Times New Roman"/>
                <w:sz w:val="20"/>
                <w:szCs w:val="20"/>
              </w:rPr>
            </w:pPr>
          </w:p>
        </w:tc>
      </w:tr>
      <w:tr w:rsidR="00A764D9" w14:paraId="3F48C8E5" w14:textId="77777777" w:rsidTr="006729FA">
        <w:tc>
          <w:tcPr>
            <w:tcW w:w="3114" w:type="dxa"/>
          </w:tcPr>
          <w:p w14:paraId="3BD0E16A" w14:textId="0A854FDF" w:rsidR="00DB57D6" w:rsidRPr="00DB57D6" w:rsidRDefault="00DB57D6" w:rsidP="004005E4">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Daily</w:t>
            </w:r>
          </w:p>
        </w:tc>
        <w:tc>
          <w:tcPr>
            <w:tcW w:w="2268" w:type="dxa"/>
          </w:tcPr>
          <w:p w14:paraId="57646B56" w14:textId="4D0A1799"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(5.9)</w:t>
            </w:r>
          </w:p>
        </w:tc>
        <w:tc>
          <w:tcPr>
            <w:tcW w:w="2268" w:type="dxa"/>
          </w:tcPr>
          <w:p w14:paraId="42769530" w14:textId="17383262" w:rsidR="00DB57D6" w:rsidRPr="00DB57D6" w:rsidRDefault="00DB57D6" w:rsidP="00DB57D6">
            <w:pPr>
              <w:jc w:val="center"/>
              <w:rPr>
                <w:rFonts w:ascii="Times New Roman" w:eastAsia="Calibri" w:hAnsi="Times New Roman" w:cs="Times New Roman"/>
                <w:sz w:val="20"/>
                <w:szCs w:val="20"/>
              </w:rPr>
            </w:pPr>
            <w:r w:rsidRPr="00DB57D6">
              <w:rPr>
                <w:rFonts w:ascii="Times New Roman" w:eastAsia="Calibri" w:hAnsi="Times New Roman" w:cs="Times New Roman"/>
                <w:sz w:val="20"/>
                <w:szCs w:val="20"/>
              </w:rPr>
              <w:t>34</w:t>
            </w:r>
            <w:r>
              <w:rPr>
                <w:rFonts w:ascii="Times New Roman" w:eastAsia="Calibri" w:hAnsi="Times New Roman" w:cs="Times New Roman"/>
                <w:sz w:val="20"/>
                <w:szCs w:val="20"/>
              </w:rPr>
              <w:t xml:space="preserve"> </w:t>
            </w:r>
            <w:r w:rsidRPr="00DB57D6">
              <w:rPr>
                <w:rFonts w:ascii="Times New Roman" w:eastAsia="Calibri" w:hAnsi="Times New Roman" w:cs="Times New Roman"/>
                <w:sz w:val="20"/>
                <w:szCs w:val="20"/>
              </w:rPr>
              <w:t>(2.5)</w:t>
            </w:r>
          </w:p>
        </w:tc>
        <w:tc>
          <w:tcPr>
            <w:tcW w:w="1139" w:type="dxa"/>
          </w:tcPr>
          <w:p w14:paraId="5A462F33" w14:textId="77777777" w:rsidR="00DB57D6" w:rsidRPr="00DB57D6" w:rsidRDefault="00DB57D6" w:rsidP="004005E4">
            <w:pPr>
              <w:rPr>
                <w:rFonts w:ascii="Times New Roman" w:eastAsiaTheme="minorEastAsia" w:hAnsi="Times New Roman" w:cs="Times New Roman"/>
                <w:sz w:val="20"/>
                <w:szCs w:val="20"/>
              </w:rPr>
            </w:pPr>
          </w:p>
        </w:tc>
        <w:tc>
          <w:tcPr>
            <w:tcW w:w="850" w:type="dxa"/>
            <w:vMerge/>
          </w:tcPr>
          <w:p w14:paraId="518D8C6C" w14:textId="77777777" w:rsidR="00DB57D6" w:rsidRPr="00DB57D6" w:rsidRDefault="00DB57D6" w:rsidP="004005E4">
            <w:pPr>
              <w:rPr>
                <w:rFonts w:ascii="Times New Roman" w:eastAsiaTheme="minorEastAsia" w:hAnsi="Times New Roman" w:cs="Times New Roman"/>
                <w:sz w:val="20"/>
                <w:szCs w:val="20"/>
              </w:rPr>
            </w:pPr>
          </w:p>
        </w:tc>
        <w:tc>
          <w:tcPr>
            <w:tcW w:w="1276" w:type="dxa"/>
            <w:vMerge/>
          </w:tcPr>
          <w:p w14:paraId="3E50DD5B" w14:textId="77777777" w:rsidR="00DB57D6" w:rsidRPr="00DB57D6" w:rsidRDefault="00DB57D6" w:rsidP="004005E4">
            <w:pPr>
              <w:rPr>
                <w:rFonts w:ascii="Times New Roman" w:eastAsiaTheme="minorEastAsia" w:hAnsi="Times New Roman" w:cs="Times New Roman"/>
                <w:sz w:val="20"/>
                <w:szCs w:val="20"/>
              </w:rPr>
            </w:pPr>
          </w:p>
        </w:tc>
      </w:tr>
      <w:tr w:rsidR="00AF0D54" w14:paraId="2A771765" w14:textId="77777777" w:rsidTr="006729FA">
        <w:tc>
          <w:tcPr>
            <w:tcW w:w="10915" w:type="dxa"/>
            <w:gridSpan w:val="6"/>
          </w:tcPr>
          <w:p w14:paraId="1603CA5D" w14:textId="6EB3F663" w:rsidR="00AF0D54" w:rsidRPr="00AF0D54" w:rsidRDefault="00AF0D54" w:rsidP="004005E4">
            <w:pPr>
              <w:rPr>
                <w:rFonts w:ascii="Times New Roman" w:eastAsiaTheme="minorEastAsia" w:hAnsi="Times New Roman" w:cs="Times New Roman"/>
                <w:sz w:val="20"/>
                <w:szCs w:val="20"/>
              </w:rPr>
            </w:pPr>
            <w:r w:rsidRPr="00AF0D54">
              <w:rPr>
                <w:rFonts w:ascii="Times New Roman" w:eastAsia="Calibri" w:hAnsi="Times New Roman" w:cs="Times New Roman"/>
                <w:sz w:val="20"/>
                <w:szCs w:val="20"/>
              </w:rPr>
              <w:t xml:space="preserve">Frequency of alcohol consumption </w:t>
            </w:r>
          </w:p>
        </w:tc>
      </w:tr>
      <w:tr w:rsidR="00A764D9" w14:paraId="6E0F30BE" w14:textId="77777777" w:rsidTr="006729FA">
        <w:tc>
          <w:tcPr>
            <w:tcW w:w="3114" w:type="dxa"/>
          </w:tcPr>
          <w:p w14:paraId="61A4C04B" w14:textId="0B78ACFB" w:rsidR="00AF0D54" w:rsidRPr="00AF0D54" w:rsidRDefault="00AF0D54" w:rsidP="00AF0D54">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Never</w:t>
            </w:r>
          </w:p>
        </w:tc>
        <w:tc>
          <w:tcPr>
            <w:tcW w:w="2268" w:type="dxa"/>
          </w:tcPr>
          <w:p w14:paraId="0871D6CA" w14:textId="61477E38" w:rsidR="00AF0D54" w:rsidRPr="00AF0D54" w:rsidRDefault="00AF0D54" w:rsidP="00AF0D54">
            <w:p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13</w:t>
            </w: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(15.7)</w:t>
            </w:r>
          </w:p>
        </w:tc>
        <w:tc>
          <w:tcPr>
            <w:tcW w:w="2268" w:type="dxa"/>
          </w:tcPr>
          <w:p w14:paraId="1249B92F" w14:textId="47BF275D" w:rsidR="00AF0D54" w:rsidRPr="00AF0D54" w:rsidRDefault="00AF0D54" w:rsidP="00AF0D54">
            <w:p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620</w:t>
            </w: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(18.6)</w:t>
            </w:r>
          </w:p>
        </w:tc>
        <w:tc>
          <w:tcPr>
            <w:tcW w:w="1139" w:type="dxa"/>
          </w:tcPr>
          <w:p w14:paraId="31520396" w14:textId="5C15E1D1" w:rsidR="00AF0D54" w:rsidRPr="00AF0D54" w:rsidRDefault="00AF0D54" w:rsidP="00AF0D54">
            <w:p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LR=3.731</w:t>
            </w:r>
          </w:p>
        </w:tc>
        <w:tc>
          <w:tcPr>
            <w:tcW w:w="850" w:type="dxa"/>
            <w:vMerge w:val="restart"/>
            <w:vAlign w:val="center"/>
          </w:tcPr>
          <w:p w14:paraId="32605E38" w14:textId="7CDD9EA4" w:rsidR="00AF0D54" w:rsidRPr="00AF0D54" w:rsidRDefault="00AF0D54" w:rsidP="00AF0D54">
            <w:pPr>
              <w:jc w:val="center"/>
              <w:rPr>
                <w:rFonts w:ascii="Times New Roman" w:eastAsiaTheme="minorEastAsia" w:hAnsi="Times New Roman" w:cs="Times New Roman"/>
                <w:sz w:val="20"/>
                <w:szCs w:val="20"/>
              </w:rPr>
            </w:pPr>
            <w:r w:rsidRPr="00AF0D54">
              <w:rPr>
                <w:rFonts w:ascii="Times New Roman" w:eastAsia="Calibri" w:hAnsi="Times New Roman" w:cs="Times New Roman"/>
                <w:sz w:val="20"/>
                <w:szCs w:val="20"/>
              </w:rPr>
              <w:t>.444</w:t>
            </w:r>
          </w:p>
        </w:tc>
        <w:tc>
          <w:tcPr>
            <w:tcW w:w="1276" w:type="dxa"/>
            <w:vMerge w:val="restart"/>
          </w:tcPr>
          <w:p w14:paraId="360B642F" w14:textId="77777777" w:rsidR="00AF0D54" w:rsidRPr="00AF0D54" w:rsidRDefault="00AF0D54" w:rsidP="004005E4">
            <w:pPr>
              <w:rPr>
                <w:rFonts w:ascii="Times New Roman" w:eastAsiaTheme="minorEastAsia" w:hAnsi="Times New Roman" w:cs="Times New Roman"/>
                <w:sz w:val="20"/>
                <w:szCs w:val="20"/>
              </w:rPr>
            </w:pPr>
          </w:p>
        </w:tc>
      </w:tr>
      <w:tr w:rsidR="00A764D9" w14:paraId="29B8177B" w14:textId="77777777" w:rsidTr="006729FA">
        <w:tc>
          <w:tcPr>
            <w:tcW w:w="3114" w:type="dxa"/>
          </w:tcPr>
          <w:p w14:paraId="5579B0E3" w14:textId="48D1FAA7" w:rsidR="00AF0D54" w:rsidRPr="00AF0D54" w:rsidRDefault="00AF0D54" w:rsidP="00AF0D54">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Monthly or less</w:t>
            </w:r>
          </w:p>
        </w:tc>
        <w:tc>
          <w:tcPr>
            <w:tcW w:w="2268" w:type="dxa"/>
          </w:tcPr>
          <w:p w14:paraId="3883E7C8" w14:textId="4F83978B" w:rsidR="00AF0D54" w:rsidRPr="00AF0D54" w:rsidRDefault="00AF0D54" w:rsidP="00AF0D54">
            <w:p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21</w:t>
            </w: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(25.3)</w:t>
            </w:r>
          </w:p>
        </w:tc>
        <w:tc>
          <w:tcPr>
            <w:tcW w:w="2268" w:type="dxa"/>
          </w:tcPr>
          <w:p w14:paraId="375FAC0A" w14:textId="36FBB720" w:rsidR="00AF0D54" w:rsidRPr="00AF0D54" w:rsidRDefault="00AF0D54" w:rsidP="00AF0D54">
            <w:p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629</w:t>
            </w: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(18.9)</w:t>
            </w:r>
          </w:p>
        </w:tc>
        <w:tc>
          <w:tcPr>
            <w:tcW w:w="1139" w:type="dxa"/>
          </w:tcPr>
          <w:p w14:paraId="6C57C0F0" w14:textId="2C1B8602" w:rsidR="00AF0D54" w:rsidRPr="00AF0D54" w:rsidRDefault="00AF0D54" w:rsidP="00AF0D54">
            <w:pPr>
              <w:jc w:val="center"/>
              <w:rPr>
                <w:rFonts w:ascii="Times New Roman" w:eastAsiaTheme="minorEastAsia" w:hAnsi="Times New Roman" w:cs="Times New Roman"/>
                <w:sz w:val="20"/>
                <w:szCs w:val="20"/>
              </w:rPr>
            </w:pPr>
            <w:r w:rsidRPr="00AF0D54">
              <w:rPr>
                <w:rFonts w:ascii="Times New Roman" w:eastAsia="Calibri" w:hAnsi="Times New Roman" w:cs="Times New Roman"/>
                <w:sz w:val="20"/>
                <w:szCs w:val="20"/>
              </w:rPr>
              <w:t>df=4</w:t>
            </w:r>
          </w:p>
        </w:tc>
        <w:tc>
          <w:tcPr>
            <w:tcW w:w="850" w:type="dxa"/>
            <w:vMerge/>
          </w:tcPr>
          <w:p w14:paraId="7D91B810" w14:textId="77777777" w:rsidR="00AF0D54" w:rsidRPr="00AF0D54" w:rsidRDefault="00AF0D54" w:rsidP="004005E4">
            <w:pPr>
              <w:rPr>
                <w:rFonts w:ascii="Times New Roman" w:eastAsiaTheme="minorEastAsia" w:hAnsi="Times New Roman" w:cs="Times New Roman"/>
                <w:sz w:val="20"/>
                <w:szCs w:val="20"/>
              </w:rPr>
            </w:pPr>
          </w:p>
        </w:tc>
        <w:tc>
          <w:tcPr>
            <w:tcW w:w="1276" w:type="dxa"/>
            <w:vMerge/>
          </w:tcPr>
          <w:p w14:paraId="5A4F27D6" w14:textId="77777777" w:rsidR="00AF0D54" w:rsidRPr="00AF0D54" w:rsidRDefault="00AF0D54" w:rsidP="004005E4">
            <w:pPr>
              <w:rPr>
                <w:rFonts w:ascii="Times New Roman" w:eastAsiaTheme="minorEastAsia" w:hAnsi="Times New Roman" w:cs="Times New Roman"/>
                <w:sz w:val="20"/>
                <w:szCs w:val="20"/>
              </w:rPr>
            </w:pPr>
          </w:p>
        </w:tc>
      </w:tr>
      <w:tr w:rsidR="00A764D9" w14:paraId="5CE587D0" w14:textId="77777777" w:rsidTr="006729FA">
        <w:tc>
          <w:tcPr>
            <w:tcW w:w="3114" w:type="dxa"/>
          </w:tcPr>
          <w:p w14:paraId="413E1DB5" w14:textId="41066F53" w:rsidR="00AF0D54" w:rsidRPr="00AF0D54" w:rsidRDefault="00AF0D54" w:rsidP="00AF0D54">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Pr="00AF0D54">
              <w:rPr>
                <w:rFonts w:ascii="Times New Roman" w:eastAsia="Calibri" w:hAnsi="Times New Roman" w:cs="Times New Roman"/>
                <w:sz w:val="20"/>
                <w:szCs w:val="20"/>
              </w:rPr>
              <w:t>2-4 times a month</w:t>
            </w:r>
          </w:p>
        </w:tc>
        <w:tc>
          <w:tcPr>
            <w:tcW w:w="2268" w:type="dxa"/>
          </w:tcPr>
          <w:p w14:paraId="070675B6" w14:textId="546EFFFA" w:rsidR="00AF0D54" w:rsidRPr="00AF0D54" w:rsidRDefault="00AF0D54" w:rsidP="00AF0D54">
            <w:p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23</w:t>
            </w: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(27.7)</w:t>
            </w:r>
          </w:p>
        </w:tc>
        <w:tc>
          <w:tcPr>
            <w:tcW w:w="2268" w:type="dxa"/>
          </w:tcPr>
          <w:p w14:paraId="1DDE6923" w14:textId="18B50E20" w:rsidR="00AF0D54" w:rsidRPr="00AF0D54" w:rsidRDefault="00AF0D54" w:rsidP="00AF0D54">
            <w:pPr>
              <w:pStyle w:val="ListParagraph"/>
              <w:numPr>
                <w:ilvl w:val="0"/>
                <w:numId w:val="7"/>
              </w:num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(32.2)</w:t>
            </w:r>
          </w:p>
        </w:tc>
        <w:tc>
          <w:tcPr>
            <w:tcW w:w="1139" w:type="dxa"/>
          </w:tcPr>
          <w:p w14:paraId="78742905" w14:textId="77777777" w:rsidR="00AF0D54" w:rsidRPr="00AF0D54" w:rsidRDefault="00AF0D54" w:rsidP="004005E4">
            <w:pPr>
              <w:rPr>
                <w:rFonts w:ascii="Times New Roman" w:eastAsiaTheme="minorEastAsia" w:hAnsi="Times New Roman" w:cs="Times New Roman"/>
                <w:sz w:val="20"/>
                <w:szCs w:val="20"/>
              </w:rPr>
            </w:pPr>
          </w:p>
        </w:tc>
        <w:tc>
          <w:tcPr>
            <w:tcW w:w="850" w:type="dxa"/>
            <w:vMerge/>
          </w:tcPr>
          <w:p w14:paraId="1B56A5B2" w14:textId="77777777" w:rsidR="00AF0D54" w:rsidRPr="00AF0D54" w:rsidRDefault="00AF0D54" w:rsidP="004005E4">
            <w:pPr>
              <w:rPr>
                <w:rFonts w:ascii="Times New Roman" w:eastAsiaTheme="minorEastAsia" w:hAnsi="Times New Roman" w:cs="Times New Roman"/>
                <w:sz w:val="20"/>
                <w:szCs w:val="20"/>
              </w:rPr>
            </w:pPr>
          </w:p>
        </w:tc>
        <w:tc>
          <w:tcPr>
            <w:tcW w:w="1276" w:type="dxa"/>
            <w:vMerge/>
          </w:tcPr>
          <w:p w14:paraId="661F6153" w14:textId="77777777" w:rsidR="00AF0D54" w:rsidRPr="00AF0D54" w:rsidRDefault="00AF0D54" w:rsidP="004005E4">
            <w:pPr>
              <w:rPr>
                <w:rFonts w:ascii="Times New Roman" w:eastAsiaTheme="minorEastAsia" w:hAnsi="Times New Roman" w:cs="Times New Roman"/>
                <w:sz w:val="20"/>
                <w:szCs w:val="20"/>
              </w:rPr>
            </w:pPr>
          </w:p>
        </w:tc>
      </w:tr>
      <w:tr w:rsidR="00A764D9" w14:paraId="131BF72B" w14:textId="77777777" w:rsidTr="006729FA">
        <w:tc>
          <w:tcPr>
            <w:tcW w:w="3114" w:type="dxa"/>
          </w:tcPr>
          <w:p w14:paraId="34191066" w14:textId="4E5F07FB" w:rsidR="00AF0D54" w:rsidRPr="00AF0D54" w:rsidRDefault="00AF0D54" w:rsidP="00AF0D54">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2-3 times a week</w:t>
            </w:r>
          </w:p>
        </w:tc>
        <w:tc>
          <w:tcPr>
            <w:tcW w:w="2268" w:type="dxa"/>
          </w:tcPr>
          <w:p w14:paraId="4096D9F1" w14:textId="66A8D142" w:rsidR="00AF0D54" w:rsidRPr="00AF0D54" w:rsidRDefault="00AF0D54" w:rsidP="00AF0D54">
            <w:p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22</w:t>
            </w: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(26.5)</w:t>
            </w:r>
          </w:p>
        </w:tc>
        <w:tc>
          <w:tcPr>
            <w:tcW w:w="2268" w:type="dxa"/>
          </w:tcPr>
          <w:p w14:paraId="7633D7ED" w14:textId="039CE8D2" w:rsidR="00AF0D54" w:rsidRPr="00AF0D54" w:rsidRDefault="00AF0D54" w:rsidP="00AF0D54">
            <w:p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765</w:t>
            </w: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(23.0)</w:t>
            </w:r>
          </w:p>
        </w:tc>
        <w:tc>
          <w:tcPr>
            <w:tcW w:w="1139" w:type="dxa"/>
          </w:tcPr>
          <w:p w14:paraId="3DEF9616" w14:textId="77777777" w:rsidR="00AF0D54" w:rsidRPr="00AF0D54" w:rsidRDefault="00AF0D54" w:rsidP="004005E4">
            <w:pPr>
              <w:rPr>
                <w:rFonts w:ascii="Times New Roman" w:eastAsiaTheme="minorEastAsia" w:hAnsi="Times New Roman" w:cs="Times New Roman"/>
                <w:sz w:val="20"/>
                <w:szCs w:val="20"/>
              </w:rPr>
            </w:pPr>
          </w:p>
        </w:tc>
        <w:tc>
          <w:tcPr>
            <w:tcW w:w="850" w:type="dxa"/>
            <w:vMerge/>
          </w:tcPr>
          <w:p w14:paraId="2B5D8E8E" w14:textId="77777777" w:rsidR="00AF0D54" w:rsidRPr="00AF0D54" w:rsidRDefault="00AF0D54" w:rsidP="004005E4">
            <w:pPr>
              <w:rPr>
                <w:rFonts w:ascii="Times New Roman" w:eastAsiaTheme="minorEastAsia" w:hAnsi="Times New Roman" w:cs="Times New Roman"/>
                <w:sz w:val="20"/>
                <w:szCs w:val="20"/>
              </w:rPr>
            </w:pPr>
          </w:p>
        </w:tc>
        <w:tc>
          <w:tcPr>
            <w:tcW w:w="1276" w:type="dxa"/>
            <w:vMerge/>
          </w:tcPr>
          <w:p w14:paraId="3F3298C8" w14:textId="77777777" w:rsidR="00AF0D54" w:rsidRPr="00AF0D54" w:rsidRDefault="00AF0D54" w:rsidP="004005E4">
            <w:pPr>
              <w:rPr>
                <w:rFonts w:ascii="Times New Roman" w:eastAsiaTheme="minorEastAsia" w:hAnsi="Times New Roman" w:cs="Times New Roman"/>
                <w:sz w:val="20"/>
                <w:szCs w:val="20"/>
              </w:rPr>
            </w:pPr>
          </w:p>
        </w:tc>
      </w:tr>
      <w:tr w:rsidR="00A764D9" w14:paraId="3E8B5B47" w14:textId="77777777" w:rsidTr="006729FA">
        <w:tc>
          <w:tcPr>
            <w:tcW w:w="3114" w:type="dxa"/>
          </w:tcPr>
          <w:p w14:paraId="032DF4AB" w14:textId="5BF541C1" w:rsidR="00AF0D54" w:rsidRPr="00AF0D54" w:rsidRDefault="00AF0D54" w:rsidP="004005E4">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4+ times a week</w:t>
            </w:r>
          </w:p>
        </w:tc>
        <w:tc>
          <w:tcPr>
            <w:tcW w:w="2268" w:type="dxa"/>
          </w:tcPr>
          <w:p w14:paraId="150FEE9C" w14:textId="6AE86A85" w:rsidR="00AF0D54" w:rsidRPr="00AF0D54" w:rsidRDefault="00AF0D54" w:rsidP="00DB57D6">
            <w:p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(4.8)</w:t>
            </w:r>
          </w:p>
        </w:tc>
        <w:tc>
          <w:tcPr>
            <w:tcW w:w="2268" w:type="dxa"/>
          </w:tcPr>
          <w:p w14:paraId="1F4189C7" w14:textId="714B4F3F" w:rsidR="00AF0D54" w:rsidRPr="00AF0D54" w:rsidRDefault="00AF0D54" w:rsidP="00DB57D6">
            <w:pPr>
              <w:jc w:val="center"/>
              <w:rPr>
                <w:rFonts w:ascii="Times New Roman" w:eastAsia="Calibri" w:hAnsi="Times New Roman" w:cs="Times New Roman"/>
                <w:sz w:val="20"/>
                <w:szCs w:val="20"/>
              </w:rPr>
            </w:pPr>
            <w:r w:rsidRPr="00AF0D54">
              <w:rPr>
                <w:rFonts w:ascii="Times New Roman" w:eastAsia="Calibri" w:hAnsi="Times New Roman" w:cs="Times New Roman"/>
                <w:sz w:val="20"/>
                <w:szCs w:val="20"/>
              </w:rPr>
              <w:t>243</w:t>
            </w:r>
            <w:r>
              <w:rPr>
                <w:rFonts w:ascii="Times New Roman" w:eastAsia="Calibri" w:hAnsi="Times New Roman" w:cs="Times New Roman"/>
                <w:sz w:val="20"/>
                <w:szCs w:val="20"/>
              </w:rPr>
              <w:t xml:space="preserve"> </w:t>
            </w:r>
            <w:r w:rsidRPr="00AF0D54">
              <w:rPr>
                <w:rFonts w:ascii="Times New Roman" w:eastAsia="Calibri" w:hAnsi="Times New Roman" w:cs="Times New Roman"/>
                <w:sz w:val="20"/>
                <w:szCs w:val="20"/>
              </w:rPr>
              <w:t>(7.3)</w:t>
            </w:r>
          </w:p>
        </w:tc>
        <w:tc>
          <w:tcPr>
            <w:tcW w:w="1139" w:type="dxa"/>
          </w:tcPr>
          <w:p w14:paraId="304F5D21" w14:textId="77777777" w:rsidR="00AF0D54" w:rsidRPr="00AF0D54" w:rsidRDefault="00AF0D54" w:rsidP="004005E4">
            <w:pPr>
              <w:rPr>
                <w:rFonts w:ascii="Times New Roman" w:eastAsiaTheme="minorEastAsia" w:hAnsi="Times New Roman" w:cs="Times New Roman"/>
                <w:sz w:val="20"/>
                <w:szCs w:val="20"/>
              </w:rPr>
            </w:pPr>
          </w:p>
        </w:tc>
        <w:tc>
          <w:tcPr>
            <w:tcW w:w="850" w:type="dxa"/>
            <w:vMerge/>
          </w:tcPr>
          <w:p w14:paraId="6FB4798D" w14:textId="77777777" w:rsidR="00AF0D54" w:rsidRPr="00AF0D54" w:rsidRDefault="00AF0D54" w:rsidP="004005E4">
            <w:pPr>
              <w:rPr>
                <w:rFonts w:ascii="Times New Roman" w:eastAsiaTheme="minorEastAsia" w:hAnsi="Times New Roman" w:cs="Times New Roman"/>
                <w:sz w:val="20"/>
                <w:szCs w:val="20"/>
              </w:rPr>
            </w:pPr>
          </w:p>
        </w:tc>
        <w:tc>
          <w:tcPr>
            <w:tcW w:w="1276" w:type="dxa"/>
            <w:vMerge/>
          </w:tcPr>
          <w:p w14:paraId="79A809C2" w14:textId="77777777" w:rsidR="00AF0D54" w:rsidRPr="00AF0D54" w:rsidRDefault="00AF0D54" w:rsidP="004005E4">
            <w:pPr>
              <w:rPr>
                <w:rFonts w:ascii="Times New Roman" w:eastAsiaTheme="minorEastAsia" w:hAnsi="Times New Roman" w:cs="Times New Roman"/>
                <w:sz w:val="20"/>
                <w:szCs w:val="20"/>
              </w:rPr>
            </w:pPr>
          </w:p>
        </w:tc>
      </w:tr>
      <w:tr w:rsidR="008D650C" w14:paraId="7FF3EB1B" w14:textId="77777777" w:rsidTr="006729FA">
        <w:tc>
          <w:tcPr>
            <w:tcW w:w="10915" w:type="dxa"/>
            <w:gridSpan w:val="6"/>
          </w:tcPr>
          <w:p w14:paraId="1388BE29" w14:textId="646E662A" w:rsidR="008D650C" w:rsidRPr="008D650C" w:rsidRDefault="00380021" w:rsidP="004005E4">
            <w:pPr>
              <w:rPr>
                <w:rFonts w:ascii="Times New Roman" w:eastAsiaTheme="minorEastAsia" w:hAnsi="Times New Roman" w:cs="Times New Roman"/>
                <w:sz w:val="20"/>
                <w:szCs w:val="20"/>
              </w:rPr>
            </w:pPr>
            <w:r>
              <w:rPr>
                <w:rFonts w:ascii="Times New Roman" w:eastAsia="Arial Unicode MS" w:hAnsi="Times New Roman" w:cs="Times New Roman"/>
                <w:color w:val="00000A"/>
                <w:sz w:val="20"/>
                <w:szCs w:val="20"/>
                <w:lang w:eastAsia="zh-CN" w:bidi="hi-IN"/>
              </w:rPr>
              <w:t>N</w:t>
            </w:r>
            <w:r w:rsidR="008D650C" w:rsidRPr="008D650C">
              <w:rPr>
                <w:rFonts w:ascii="Times New Roman" w:eastAsia="Arial Unicode MS" w:hAnsi="Times New Roman" w:cs="Times New Roman"/>
                <w:color w:val="00000A"/>
                <w:sz w:val="20"/>
                <w:szCs w:val="20"/>
                <w:lang w:eastAsia="zh-CN" w:bidi="hi-IN"/>
              </w:rPr>
              <w:t>on-prescription amphetamines</w:t>
            </w:r>
          </w:p>
        </w:tc>
      </w:tr>
      <w:tr w:rsidR="00A764D9" w14:paraId="3EE13698" w14:textId="77777777" w:rsidTr="006729FA">
        <w:tc>
          <w:tcPr>
            <w:tcW w:w="3114" w:type="dxa"/>
          </w:tcPr>
          <w:p w14:paraId="59799120" w14:textId="018E234A" w:rsidR="008D650C" w:rsidRPr="008D650C" w:rsidRDefault="008D650C" w:rsidP="008D650C">
            <w:pPr>
              <w:widowControl w:val="0"/>
              <w:contextualSpacing/>
              <w:rPr>
                <w:rFonts w:ascii="Times New Roman" w:eastAsia="Arial Unicode MS" w:hAnsi="Times New Roman" w:cs="Times New Roman"/>
                <w:color w:val="00000A"/>
                <w:sz w:val="20"/>
                <w:szCs w:val="20"/>
                <w:lang w:eastAsia="zh-CN" w:bidi="hi-IN"/>
              </w:rPr>
            </w:pP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Never</w:t>
            </w:r>
          </w:p>
        </w:tc>
        <w:tc>
          <w:tcPr>
            <w:tcW w:w="2268" w:type="dxa"/>
          </w:tcPr>
          <w:p w14:paraId="27C15FCE" w14:textId="6570E49D" w:rsidR="008D650C" w:rsidRPr="008D650C" w:rsidRDefault="008D650C" w:rsidP="008D650C">
            <w:pPr>
              <w:widowControl w:val="0"/>
              <w:jc w:val="center"/>
              <w:rPr>
                <w:rFonts w:ascii="Times New Roman" w:eastAsia="Arial Unicode MS" w:hAnsi="Times New Roman" w:cs="Times New Roman"/>
                <w:color w:val="00000A"/>
                <w:sz w:val="20"/>
                <w:szCs w:val="20"/>
                <w:lang w:eastAsia="zh-CN" w:bidi="hi-IN"/>
              </w:rPr>
            </w:pPr>
            <w:r w:rsidRPr="008D650C">
              <w:rPr>
                <w:rFonts w:ascii="Times New Roman" w:eastAsia="Arial Unicode MS" w:hAnsi="Times New Roman" w:cs="Times New Roman"/>
                <w:color w:val="00000A"/>
                <w:sz w:val="20"/>
                <w:szCs w:val="20"/>
                <w:lang w:eastAsia="zh-CN" w:bidi="hi-IN"/>
              </w:rPr>
              <w:t>76</w:t>
            </w: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(91.6)</w:t>
            </w:r>
          </w:p>
        </w:tc>
        <w:tc>
          <w:tcPr>
            <w:tcW w:w="2268" w:type="dxa"/>
          </w:tcPr>
          <w:p w14:paraId="408519E2" w14:textId="0E05A14D" w:rsidR="008D650C" w:rsidRPr="008D650C" w:rsidRDefault="008D650C" w:rsidP="008D650C">
            <w:pPr>
              <w:widowControl w:val="0"/>
              <w:jc w:val="center"/>
              <w:rPr>
                <w:rFonts w:ascii="Times New Roman" w:eastAsia="Arial Unicode MS" w:hAnsi="Times New Roman" w:cs="Times New Roman"/>
                <w:color w:val="00000A"/>
                <w:sz w:val="20"/>
                <w:szCs w:val="20"/>
                <w:lang w:eastAsia="zh-CN" w:bidi="hi-IN"/>
              </w:rPr>
            </w:pPr>
            <w:r w:rsidRPr="008D650C">
              <w:rPr>
                <w:rFonts w:ascii="Times New Roman" w:eastAsia="Arial Unicode MS" w:hAnsi="Times New Roman" w:cs="Times New Roman"/>
                <w:color w:val="00000A"/>
                <w:sz w:val="20"/>
                <w:szCs w:val="20"/>
                <w:lang w:eastAsia="zh-CN" w:bidi="hi-IN"/>
              </w:rPr>
              <w:t>3249</w:t>
            </w: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(97.9)</w:t>
            </w:r>
          </w:p>
        </w:tc>
        <w:tc>
          <w:tcPr>
            <w:tcW w:w="1139" w:type="dxa"/>
          </w:tcPr>
          <w:p w14:paraId="4D3EC7D8" w14:textId="76E98BE1" w:rsidR="008D650C" w:rsidRPr="008D650C" w:rsidRDefault="008D650C" w:rsidP="008D650C">
            <w:pPr>
              <w:jc w:val="center"/>
              <w:rPr>
                <w:rFonts w:ascii="Times New Roman" w:eastAsia="Calibri" w:hAnsi="Times New Roman" w:cs="Times New Roman"/>
                <w:sz w:val="20"/>
                <w:szCs w:val="20"/>
              </w:rPr>
            </w:pPr>
            <w:r w:rsidRPr="008D650C">
              <w:rPr>
                <w:rFonts w:ascii="Times New Roman" w:eastAsia="Calibri" w:hAnsi="Times New Roman" w:cs="Times New Roman"/>
                <w:sz w:val="20"/>
                <w:szCs w:val="20"/>
              </w:rPr>
              <w:t>LR=12.930</w:t>
            </w:r>
          </w:p>
        </w:tc>
        <w:tc>
          <w:tcPr>
            <w:tcW w:w="850" w:type="dxa"/>
            <w:vMerge w:val="restart"/>
            <w:vAlign w:val="center"/>
          </w:tcPr>
          <w:p w14:paraId="7C859403" w14:textId="5E28B8F6" w:rsidR="008D650C" w:rsidRPr="008D650C" w:rsidRDefault="008D650C" w:rsidP="008D650C">
            <w:pPr>
              <w:jc w:val="center"/>
              <w:rPr>
                <w:rFonts w:ascii="Times New Roman" w:eastAsiaTheme="minorEastAsia" w:hAnsi="Times New Roman" w:cs="Times New Roman"/>
                <w:sz w:val="20"/>
                <w:szCs w:val="20"/>
              </w:rPr>
            </w:pPr>
            <w:r w:rsidRPr="008D650C">
              <w:rPr>
                <w:rFonts w:ascii="Times New Roman" w:eastAsia="Arial Unicode MS" w:hAnsi="Times New Roman" w:cs="Times New Roman"/>
                <w:color w:val="00000A"/>
                <w:sz w:val="20"/>
                <w:szCs w:val="20"/>
                <w:lang w:eastAsia="zh-CN" w:bidi="hi-IN"/>
              </w:rPr>
              <w:t>.012</w:t>
            </w:r>
          </w:p>
        </w:tc>
        <w:tc>
          <w:tcPr>
            <w:tcW w:w="1276" w:type="dxa"/>
            <w:vMerge w:val="restart"/>
            <w:vAlign w:val="center"/>
          </w:tcPr>
          <w:p w14:paraId="2B8C4288" w14:textId="396EDCDF" w:rsidR="008D650C" w:rsidRPr="008D650C" w:rsidRDefault="008D650C" w:rsidP="00A520CB">
            <w:pPr>
              <w:rPr>
                <w:rFonts w:ascii="Times New Roman" w:eastAsiaTheme="minorEastAsia" w:hAnsi="Times New Roman" w:cs="Times New Roman"/>
                <w:sz w:val="20"/>
                <w:szCs w:val="20"/>
              </w:rPr>
            </w:pPr>
          </w:p>
        </w:tc>
      </w:tr>
      <w:tr w:rsidR="00A764D9" w14:paraId="08F0B1B9" w14:textId="77777777" w:rsidTr="006729FA">
        <w:tc>
          <w:tcPr>
            <w:tcW w:w="3114" w:type="dxa"/>
          </w:tcPr>
          <w:p w14:paraId="7F722530" w14:textId="70583F9A" w:rsidR="008D650C" w:rsidRPr="008D650C" w:rsidRDefault="008D650C" w:rsidP="008D650C">
            <w:pPr>
              <w:widowControl w:val="0"/>
              <w:contextualSpacing/>
              <w:rPr>
                <w:rFonts w:ascii="Times New Roman" w:eastAsia="Arial Unicode MS" w:hAnsi="Times New Roman" w:cs="Times New Roman"/>
                <w:color w:val="00000A"/>
                <w:sz w:val="20"/>
                <w:szCs w:val="20"/>
                <w:lang w:eastAsia="zh-CN" w:bidi="hi-IN"/>
              </w:rPr>
            </w:pP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In past, not within past 12 months</w:t>
            </w:r>
          </w:p>
        </w:tc>
        <w:tc>
          <w:tcPr>
            <w:tcW w:w="2268" w:type="dxa"/>
          </w:tcPr>
          <w:p w14:paraId="59099168" w14:textId="7CE06A64" w:rsidR="008D650C" w:rsidRPr="008D650C" w:rsidRDefault="008D650C" w:rsidP="008D650C">
            <w:pPr>
              <w:widowControl w:val="0"/>
              <w:jc w:val="center"/>
              <w:rPr>
                <w:rFonts w:ascii="Times New Roman" w:eastAsia="Arial Unicode MS" w:hAnsi="Times New Roman" w:cs="Times New Roman"/>
                <w:color w:val="00000A"/>
                <w:sz w:val="20"/>
                <w:szCs w:val="20"/>
                <w:lang w:eastAsia="zh-CN" w:bidi="hi-IN"/>
              </w:rPr>
            </w:pPr>
            <w:r w:rsidRPr="008D650C">
              <w:rPr>
                <w:rFonts w:ascii="Times New Roman" w:eastAsia="Arial Unicode MS" w:hAnsi="Times New Roman" w:cs="Times New Roman"/>
                <w:color w:val="00000A"/>
                <w:sz w:val="20"/>
                <w:szCs w:val="20"/>
                <w:lang w:eastAsia="zh-CN" w:bidi="hi-IN"/>
              </w:rPr>
              <w:t>3</w:t>
            </w: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(3.6)</w:t>
            </w:r>
          </w:p>
        </w:tc>
        <w:tc>
          <w:tcPr>
            <w:tcW w:w="2268" w:type="dxa"/>
          </w:tcPr>
          <w:p w14:paraId="5F1C1D11" w14:textId="5525E0BE" w:rsidR="008D650C" w:rsidRPr="008D650C" w:rsidRDefault="008D650C" w:rsidP="008D650C">
            <w:pPr>
              <w:widowControl w:val="0"/>
              <w:jc w:val="center"/>
              <w:rPr>
                <w:rFonts w:ascii="Times New Roman" w:eastAsia="Arial Unicode MS" w:hAnsi="Times New Roman" w:cs="Times New Roman"/>
                <w:color w:val="00000A"/>
                <w:sz w:val="20"/>
                <w:szCs w:val="20"/>
                <w:lang w:eastAsia="zh-CN" w:bidi="hi-IN"/>
              </w:rPr>
            </w:pPr>
            <w:r w:rsidRPr="008D650C">
              <w:rPr>
                <w:rFonts w:ascii="Times New Roman" w:eastAsia="Arial Unicode MS" w:hAnsi="Times New Roman" w:cs="Times New Roman"/>
                <w:color w:val="00000A"/>
                <w:sz w:val="20"/>
                <w:szCs w:val="20"/>
                <w:lang w:eastAsia="zh-CN" w:bidi="hi-IN"/>
              </w:rPr>
              <w:t>40</w:t>
            </w: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(1.2)</w:t>
            </w:r>
          </w:p>
        </w:tc>
        <w:tc>
          <w:tcPr>
            <w:tcW w:w="1139" w:type="dxa"/>
          </w:tcPr>
          <w:p w14:paraId="549410A8" w14:textId="5A7413F7" w:rsidR="008D650C" w:rsidRPr="008D650C" w:rsidRDefault="008D650C" w:rsidP="008D650C">
            <w:pPr>
              <w:jc w:val="center"/>
              <w:rPr>
                <w:rFonts w:ascii="Times New Roman" w:eastAsiaTheme="minorEastAsia" w:hAnsi="Times New Roman" w:cs="Times New Roman"/>
                <w:sz w:val="20"/>
                <w:szCs w:val="20"/>
              </w:rPr>
            </w:pPr>
            <w:r w:rsidRPr="008D650C">
              <w:rPr>
                <w:rFonts w:ascii="Times New Roman" w:eastAsia="Calibri" w:hAnsi="Times New Roman" w:cs="Times New Roman"/>
                <w:sz w:val="20"/>
                <w:szCs w:val="20"/>
              </w:rPr>
              <w:t>df=4</w:t>
            </w:r>
          </w:p>
        </w:tc>
        <w:tc>
          <w:tcPr>
            <w:tcW w:w="850" w:type="dxa"/>
            <w:vMerge/>
          </w:tcPr>
          <w:p w14:paraId="4F4FE40F" w14:textId="77777777" w:rsidR="008D650C" w:rsidRPr="008D650C" w:rsidRDefault="008D650C" w:rsidP="004005E4">
            <w:pPr>
              <w:rPr>
                <w:rFonts w:ascii="Times New Roman" w:eastAsiaTheme="minorEastAsia" w:hAnsi="Times New Roman" w:cs="Times New Roman"/>
                <w:sz w:val="20"/>
                <w:szCs w:val="20"/>
              </w:rPr>
            </w:pPr>
          </w:p>
        </w:tc>
        <w:tc>
          <w:tcPr>
            <w:tcW w:w="1276" w:type="dxa"/>
            <w:vMerge/>
          </w:tcPr>
          <w:p w14:paraId="46ECE3EC" w14:textId="77777777" w:rsidR="008D650C" w:rsidRPr="008D650C" w:rsidRDefault="008D650C" w:rsidP="004005E4">
            <w:pPr>
              <w:rPr>
                <w:rFonts w:ascii="Times New Roman" w:eastAsiaTheme="minorEastAsia" w:hAnsi="Times New Roman" w:cs="Times New Roman"/>
                <w:sz w:val="20"/>
                <w:szCs w:val="20"/>
              </w:rPr>
            </w:pPr>
          </w:p>
        </w:tc>
      </w:tr>
      <w:tr w:rsidR="00A764D9" w14:paraId="58F4D530" w14:textId="77777777" w:rsidTr="006729FA">
        <w:tc>
          <w:tcPr>
            <w:tcW w:w="3114" w:type="dxa"/>
          </w:tcPr>
          <w:p w14:paraId="00A03B3D" w14:textId="7F4CFB3D" w:rsidR="008D650C" w:rsidRPr="008D650C" w:rsidRDefault="008D650C" w:rsidP="008D650C">
            <w:pPr>
              <w:widowControl w:val="0"/>
              <w:contextualSpacing/>
              <w:rPr>
                <w:rFonts w:ascii="Times New Roman" w:eastAsia="Arial Unicode MS" w:hAnsi="Times New Roman" w:cs="Times New Roman"/>
                <w:color w:val="00000A"/>
                <w:sz w:val="20"/>
                <w:szCs w:val="20"/>
                <w:lang w:eastAsia="zh-CN" w:bidi="hi-IN"/>
              </w:rPr>
            </w:pP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Rarel</w:t>
            </w:r>
            <w:r>
              <w:rPr>
                <w:rFonts w:ascii="Times New Roman" w:eastAsia="Arial Unicode MS" w:hAnsi="Times New Roman" w:cs="Times New Roman"/>
                <w:color w:val="00000A"/>
                <w:sz w:val="20"/>
                <w:szCs w:val="20"/>
                <w:lang w:eastAsia="zh-CN" w:bidi="hi-IN"/>
              </w:rPr>
              <w:t>y</w:t>
            </w:r>
          </w:p>
        </w:tc>
        <w:tc>
          <w:tcPr>
            <w:tcW w:w="2268" w:type="dxa"/>
          </w:tcPr>
          <w:p w14:paraId="1E0D4A62" w14:textId="69E73338" w:rsidR="008D650C" w:rsidRPr="008D650C" w:rsidRDefault="008D650C" w:rsidP="008D650C">
            <w:pPr>
              <w:widowControl w:val="0"/>
              <w:jc w:val="center"/>
              <w:rPr>
                <w:rFonts w:ascii="Times New Roman" w:eastAsia="Arial Unicode MS" w:hAnsi="Times New Roman" w:cs="Times New Roman"/>
                <w:color w:val="00000A"/>
                <w:sz w:val="20"/>
                <w:szCs w:val="20"/>
                <w:lang w:eastAsia="zh-CN" w:bidi="hi-IN"/>
              </w:rPr>
            </w:pPr>
            <w:r w:rsidRPr="008D650C">
              <w:rPr>
                <w:rFonts w:ascii="Times New Roman" w:eastAsia="Arial Unicode MS" w:hAnsi="Times New Roman" w:cs="Times New Roman"/>
                <w:color w:val="00000A"/>
                <w:sz w:val="20"/>
                <w:szCs w:val="20"/>
                <w:lang w:eastAsia="zh-CN" w:bidi="hi-IN"/>
              </w:rPr>
              <w:t>2</w:t>
            </w: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(2.4)</w:t>
            </w:r>
          </w:p>
        </w:tc>
        <w:tc>
          <w:tcPr>
            <w:tcW w:w="2268" w:type="dxa"/>
          </w:tcPr>
          <w:p w14:paraId="7EEB666B" w14:textId="0CD595D2" w:rsidR="008D650C" w:rsidRPr="008D650C" w:rsidRDefault="008D650C" w:rsidP="008D650C">
            <w:pPr>
              <w:widowControl w:val="0"/>
              <w:jc w:val="center"/>
              <w:rPr>
                <w:rFonts w:ascii="Times New Roman" w:eastAsia="Arial Unicode MS" w:hAnsi="Times New Roman" w:cs="Times New Roman"/>
                <w:color w:val="00000A"/>
                <w:sz w:val="20"/>
                <w:szCs w:val="20"/>
                <w:lang w:eastAsia="zh-CN" w:bidi="hi-IN"/>
              </w:rPr>
            </w:pPr>
            <w:r w:rsidRPr="008D650C">
              <w:rPr>
                <w:rFonts w:ascii="Times New Roman" w:eastAsia="Arial Unicode MS" w:hAnsi="Times New Roman" w:cs="Times New Roman"/>
                <w:color w:val="00000A"/>
                <w:sz w:val="20"/>
                <w:szCs w:val="20"/>
                <w:lang w:eastAsia="zh-CN" w:bidi="hi-IN"/>
              </w:rPr>
              <w:t>20</w:t>
            </w: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(0.6)</w:t>
            </w:r>
          </w:p>
        </w:tc>
        <w:tc>
          <w:tcPr>
            <w:tcW w:w="1139" w:type="dxa"/>
          </w:tcPr>
          <w:p w14:paraId="27C513E4" w14:textId="77777777" w:rsidR="008D650C" w:rsidRPr="008D650C" w:rsidRDefault="008D650C" w:rsidP="004005E4">
            <w:pPr>
              <w:rPr>
                <w:rFonts w:ascii="Times New Roman" w:eastAsiaTheme="minorEastAsia" w:hAnsi="Times New Roman" w:cs="Times New Roman"/>
                <w:sz w:val="20"/>
                <w:szCs w:val="20"/>
              </w:rPr>
            </w:pPr>
          </w:p>
        </w:tc>
        <w:tc>
          <w:tcPr>
            <w:tcW w:w="850" w:type="dxa"/>
            <w:vMerge/>
          </w:tcPr>
          <w:p w14:paraId="4E98DB2F" w14:textId="77777777" w:rsidR="008D650C" w:rsidRPr="008D650C" w:rsidRDefault="008D650C" w:rsidP="004005E4">
            <w:pPr>
              <w:rPr>
                <w:rFonts w:ascii="Times New Roman" w:eastAsiaTheme="minorEastAsia" w:hAnsi="Times New Roman" w:cs="Times New Roman"/>
                <w:sz w:val="20"/>
                <w:szCs w:val="20"/>
              </w:rPr>
            </w:pPr>
          </w:p>
        </w:tc>
        <w:tc>
          <w:tcPr>
            <w:tcW w:w="1276" w:type="dxa"/>
            <w:vMerge/>
          </w:tcPr>
          <w:p w14:paraId="591D6D3E" w14:textId="77777777" w:rsidR="008D650C" w:rsidRPr="008D650C" w:rsidRDefault="008D650C" w:rsidP="004005E4">
            <w:pPr>
              <w:rPr>
                <w:rFonts w:ascii="Times New Roman" w:eastAsiaTheme="minorEastAsia" w:hAnsi="Times New Roman" w:cs="Times New Roman"/>
                <w:sz w:val="20"/>
                <w:szCs w:val="20"/>
              </w:rPr>
            </w:pPr>
          </w:p>
        </w:tc>
      </w:tr>
      <w:tr w:rsidR="00A764D9" w14:paraId="233D59FA" w14:textId="77777777" w:rsidTr="006729FA">
        <w:tc>
          <w:tcPr>
            <w:tcW w:w="3114" w:type="dxa"/>
          </w:tcPr>
          <w:p w14:paraId="0404D6FE" w14:textId="53870B3D" w:rsidR="008D650C" w:rsidRPr="008D650C" w:rsidRDefault="008D650C" w:rsidP="008D650C">
            <w:pPr>
              <w:widowControl w:val="0"/>
              <w:contextualSpacing/>
              <w:rPr>
                <w:rFonts w:ascii="Times New Roman" w:eastAsia="Arial Unicode MS" w:hAnsi="Times New Roman" w:cs="Times New Roman"/>
                <w:color w:val="00000A"/>
                <w:sz w:val="20"/>
                <w:szCs w:val="20"/>
                <w:lang w:eastAsia="zh-CN" w:bidi="hi-IN"/>
              </w:rPr>
            </w:pP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Occasionally</w:t>
            </w:r>
          </w:p>
        </w:tc>
        <w:tc>
          <w:tcPr>
            <w:tcW w:w="2268" w:type="dxa"/>
          </w:tcPr>
          <w:p w14:paraId="48B8765C" w14:textId="0299CF49" w:rsidR="008D650C" w:rsidRPr="008D650C" w:rsidRDefault="008D650C" w:rsidP="008D650C">
            <w:pPr>
              <w:widowControl w:val="0"/>
              <w:jc w:val="center"/>
              <w:rPr>
                <w:rFonts w:ascii="Times New Roman" w:eastAsia="Arial Unicode MS" w:hAnsi="Times New Roman" w:cs="Times New Roman"/>
                <w:color w:val="00000A"/>
                <w:sz w:val="20"/>
                <w:szCs w:val="20"/>
                <w:lang w:eastAsia="zh-CN" w:bidi="hi-IN"/>
              </w:rPr>
            </w:pPr>
            <w:r w:rsidRPr="008D650C">
              <w:rPr>
                <w:rFonts w:ascii="Times New Roman" w:eastAsia="Arial Unicode MS" w:hAnsi="Times New Roman" w:cs="Times New Roman"/>
                <w:color w:val="00000A"/>
                <w:sz w:val="20"/>
                <w:szCs w:val="20"/>
                <w:lang w:eastAsia="zh-CN" w:bidi="hi-IN"/>
              </w:rPr>
              <w:t>2</w:t>
            </w: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(2.4)</w:t>
            </w:r>
          </w:p>
        </w:tc>
        <w:tc>
          <w:tcPr>
            <w:tcW w:w="2268" w:type="dxa"/>
          </w:tcPr>
          <w:p w14:paraId="67A18814" w14:textId="79756867" w:rsidR="008D650C" w:rsidRPr="008D650C" w:rsidRDefault="008D650C" w:rsidP="008D650C">
            <w:pPr>
              <w:widowControl w:val="0"/>
              <w:jc w:val="center"/>
              <w:rPr>
                <w:rFonts w:ascii="Times New Roman" w:eastAsia="Arial Unicode MS" w:hAnsi="Times New Roman" w:cs="Times New Roman"/>
                <w:color w:val="00000A"/>
                <w:sz w:val="20"/>
                <w:szCs w:val="20"/>
                <w:lang w:eastAsia="zh-CN" w:bidi="hi-IN"/>
              </w:rPr>
            </w:pPr>
            <w:r w:rsidRPr="008D650C">
              <w:rPr>
                <w:rFonts w:ascii="Times New Roman" w:eastAsia="Arial Unicode MS" w:hAnsi="Times New Roman" w:cs="Times New Roman"/>
                <w:color w:val="00000A"/>
                <w:sz w:val="20"/>
                <w:szCs w:val="20"/>
                <w:lang w:eastAsia="zh-CN" w:bidi="hi-IN"/>
              </w:rPr>
              <w:t>4</w:t>
            </w: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(0.1)</w:t>
            </w:r>
          </w:p>
        </w:tc>
        <w:tc>
          <w:tcPr>
            <w:tcW w:w="1139" w:type="dxa"/>
          </w:tcPr>
          <w:p w14:paraId="3AEE4D3E" w14:textId="77777777" w:rsidR="008D650C" w:rsidRPr="008D650C" w:rsidRDefault="008D650C" w:rsidP="004005E4">
            <w:pPr>
              <w:rPr>
                <w:rFonts w:ascii="Times New Roman" w:eastAsiaTheme="minorEastAsia" w:hAnsi="Times New Roman" w:cs="Times New Roman"/>
                <w:sz w:val="20"/>
                <w:szCs w:val="20"/>
              </w:rPr>
            </w:pPr>
          </w:p>
        </w:tc>
        <w:tc>
          <w:tcPr>
            <w:tcW w:w="850" w:type="dxa"/>
            <w:vMerge/>
          </w:tcPr>
          <w:p w14:paraId="63162587" w14:textId="77777777" w:rsidR="008D650C" w:rsidRPr="008D650C" w:rsidRDefault="008D650C" w:rsidP="004005E4">
            <w:pPr>
              <w:rPr>
                <w:rFonts w:ascii="Times New Roman" w:eastAsiaTheme="minorEastAsia" w:hAnsi="Times New Roman" w:cs="Times New Roman"/>
                <w:sz w:val="20"/>
                <w:szCs w:val="20"/>
              </w:rPr>
            </w:pPr>
          </w:p>
        </w:tc>
        <w:tc>
          <w:tcPr>
            <w:tcW w:w="1276" w:type="dxa"/>
            <w:vMerge/>
          </w:tcPr>
          <w:p w14:paraId="63AA9C5C" w14:textId="77777777" w:rsidR="008D650C" w:rsidRPr="008D650C" w:rsidRDefault="008D650C" w:rsidP="004005E4">
            <w:pPr>
              <w:rPr>
                <w:rFonts w:ascii="Times New Roman" w:eastAsiaTheme="minorEastAsia" w:hAnsi="Times New Roman" w:cs="Times New Roman"/>
                <w:sz w:val="20"/>
                <w:szCs w:val="20"/>
              </w:rPr>
            </w:pPr>
          </w:p>
        </w:tc>
      </w:tr>
      <w:tr w:rsidR="00A764D9" w14:paraId="6B705845" w14:textId="77777777" w:rsidTr="006729FA">
        <w:tc>
          <w:tcPr>
            <w:tcW w:w="3114" w:type="dxa"/>
          </w:tcPr>
          <w:p w14:paraId="73AEF2E7" w14:textId="48A28488" w:rsidR="008D650C" w:rsidRPr="008D650C" w:rsidRDefault="008D650C" w:rsidP="004005E4">
            <w:pPr>
              <w:rPr>
                <w:rFonts w:ascii="Times New Roman" w:eastAsia="Calibri" w:hAnsi="Times New Roman" w:cs="Times New Roman"/>
                <w:sz w:val="20"/>
                <w:szCs w:val="20"/>
              </w:rPr>
            </w:pP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Daily</w:t>
            </w:r>
          </w:p>
        </w:tc>
        <w:tc>
          <w:tcPr>
            <w:tcW w:w="2268" w:type="dxa"/>
          </w:tcPr>
          <w:p w14:paraId="19A982A7" w14:textId="61B1DAF7" w:rsidR="008D650C" w:rsidRPr="008D650C" w:rsidRDefault="008D650C" w:rsidP="00DB57D6">
            <w:pPr>
              <w:jc w:val="center"/>
              <w:rPr>
                <w:rFonts w:ascii="Times New Roman" w:eastAsia="Calibri" w:hAnsi="Times New Roman" w:cs="Times New Roman"/>
                <w:sz w:val="20"/>
                <w:szCs w:val="20"/>
              </w:rPr>
            </w:pPr>
            <w:r w:rsidRPr="008D650C">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(0.0)</w:t>
            </w:r>
          </w:p>
        </w:tc>
        <w:tc>
          <w:tcPr>
            <w:tcW w:w="2268" w:type="dxa"/>
          </w:tcPr>
          <w:p w14:paraId="17060887" w14:textId="28332BEF" w:rsidR="008D650C" w:rsidRPr="008D650C" w:rsidRDefault="008D650C" w:rsidP="00DB57D6">
            <w:pPr>
              <w:jc w:val="center"/>
              <w:rPr>
                <w:rFonts w:ascii="Times New Roman" w:eastAsia="Calibri" w:hAnsi="Times New Roman" w:cs="Times New Roman"/>
                <w:sz w:val="20"/>
                <w:szCs w:val="20"/>
              </w:rPr>
            </w:pPr>
            <w:r w:rsidRPr="008D650C">
              <w:rPr>
                <w:rFonts w:ascii="Times New Roman" w:eastAsia="Arial Unicode MS" w:hAnsi="Times New Roman" w:cs="Times New Roman"/>
                <w:color w:val="00000A"/>
                <w:sz w:val="20"/>
                <w:szCs w:val="20"/>
                <w:lang w:eastAsia="zh-CN" w:bidi="hi-IN"/>
              </w:rPr>
              <w:t>5</w:t>
            </w:r>
            <w:r>
              <w:rPr>
                <w:rFonts w:ascii="Times New Roman" w:eastAsia="Arial Unicode MS" w:hAnsi="Times New Roman" w:cs="Times New Roman"/>
                <w:color w:val="00000A"/>
                <w:sz w:val="20"/>
                <w:szCs w:val="20"/>
                <w:lang w:eastAsia="zh-CN" w:bidi="hi-IN"/>
              </w:rPr>
              <w:t xml:space="preserve"> </w:t>
            </w:r>
            <w:r w:rsidRPr="008D650C">
              <w:rPr>
                <w:rFonts w:ascii="Times New Roman" w:eastAsia="Arial Unicode MS" w:hAnsi="Times New Roman" w:cs="Times New Roman"/>
                <w:color w:val="00000A"/>
                <w:sz w:val="20"/>
                <w:szCs w:val="20"/>
                <w:lang w:eastAsia="zh-CN" w:bidi="hi-IN"/>
              </w:rPr>
              <w:t>(0.2)</w:t>
            </w:r>
          </w:p>
        </w:tc>
        <w:tc>
          <w:tcPr>
            <w:tcW w:w="1139" w:type="dxa"/>
          </w:tcPr>
          <w:p w14:paraId="5D81DDEF" w14:textId="77777777" w:rsidR="008D650C" w:rsidRPr="008D650C" w:rsidRDefault="008D650C" w:rsidP="004005E4">
            <w:pPr>
              <w:rPr>
                <w:rFonts w:ascii="Times New Roman" w:eastAsiaTheme="minorEastAsia" w:hAnsi="Times New Roman" w:cs="Times New Roman"/>
                <w:sz w:val="20"/>
                <w:szCs w:val="20"/>
              </w:rPr>
            </w:pPr>
          </w:p>
        </w:tc>
        <w:tc>
          <w:tcPr>
            <w:tcW w:w="850" w:type="dxa"/>
            <w:vMerge/>
          </w:tcPr>
          <w:p w14:paraId="5A2C112F" w14:textId="77777777" w:rsidR="008D650C" w:rsidRPr="008D650C" w:rsidRDefault="008D650C" w:rsidP="004005E4">
            <w:pPr>
              <w:rPr>
                <w:rFonts w:ascii="Times New Roman" w:eastAsiaTheme="minorEastAsia" w:hAnsi="Times New Roman" w:cs="Times New Roman"/>
                <w:sz w:val="20"/>
                <w:szCs w:val="20"/>
              </w:rPr>
            </w:pPr>
          </w:p>
        </w:tc>
        <w:tc>
          <w:tcPr>
            <w:tcW w:w="1276" w:type="dxa"/>
            <w:vMerge/>
          </w:tcPr>
          <w:p w14:paraId="679C1F79" w14:textId="77777777" w:rsidR="008D650C" w:rsidRPr="008D650C" w:rsidRDefault="008D650C" w:rsidP="004005E4">
            <w:pPr>
              <w:rPr>
                <w:rFonts w:ascii="Times New Roman" w:eastAsiaTheme="minorEastAsia" w:hAnsi="Times New Roman" w:cs="Times New Roman"/>
                <w:sz w:val="20"/>
                <w:szCs w:val="20"/>
              </w:rPr>
            </w:pPr>
          </w:p>
        </w:tc>
      </w:tr>
      <w:tr w:rsidR="00A764D9" w14:paraId="0E57DFCE" w14:textId="77777777" w:rsidTr="006729FA">
        <w:tc>
          <w:tcPr>
            <w:tcW w:w="10915" w:type="dxa"/>
            <w:gridSpan w:val="6"/>
          </w:tcPr>
          <w:p w14:paraId="27FC1FAC" w14:textId="2AB17F2E" w:rsidR="00A764D9" w:rsidRPr="008D650C" w:rsidRDefault="00380021" w:rsidP="004005E4">
            <w:pPr>
              <w:rPr>
                <w:rFonts w:ascii="Times New Roman" w:eastAsiaTheme="minorEastAsia" w:hAnsi="Times New Roman" w:cs="Times New Roman"/>
                <w:sz w:val="20"/>
                <w:szCs w:val="20"/>
              </w:rPr>
            </w:pPr>
            <w:r>
              <w:rPr>
                <w:rFonts w:ascii="Times New Roman" w:eastAsia="Arial Unicode MS" w:hAnsi="Times New Roman" w:cs="Times New Roman"/>
                <w:color w:val="00000A"/>
                <w:sz w:val="20"/>
                <w:szCs w:val="20"/>
                <w:lang w:eastAsia="zh-CN" w:bidi="hi-IN"/>
              </w:rPr>
              <w:t>C</w:t>
            </w:r>
            <w:r w:rsidR="00A764D9">
              <w:rPr>
                <w:rFonts w:ascii="Times New Roman" w:eastAsia="Arial Unicode MS" w:hAnsi="Times New Roman" w:cs="Times New Roman"/>
                <w:color w:val="00000A"/>
                <w:sz w:val="20"/>
                <w:szCs w:val="20"/>
                <w:lang w:eastAsia="zh-CN" w:bidi="hi-IN"/>
              </w:rPr>
              <w:t>ocaine</w:t>
            </w:r>
          </w:p>
        </w:tc>
      </w:tr>
      <w:tr w:rsidR="00A764D9" w14:paraId="412FA1D7" w14:textId="77777777" w:rsidTr="006729FA">
        <w:tc>
          <w:tcPr>
            <w:tcW w:w="3114" w:type="dxa"/>
          </w:tcPr>
          <w:p w14:paraId="447E6AEC" w14:textId="2CBF7A2B" w:rsidR="00A764D9" w:rsidRPr="00A764D9" w:rsidRDefault="00A764D9" w:rsidP="008D650C">
            <w:pP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 xml:space="preserve">   Never</w:t>
            </w:r>
          </w:p>
        </w:tc>
        <w:tc>
          <w:tcPr>
            <w:tcW w:w="2268" w:type="dxa"/>
          </w:tcPr>
          <w:p w14:paraId="40D8BAB3" w14:textId="1F1538BA" w:rsidR="00A764D9" w:rsidRPr="00A764D9" w:rsidRDefault="00A764D9" w:rsidP="00A764D9">
            <w:pPr>
              <w:widowControl w:val="0"/>
              <w:jc w:val="cente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74</w:t>
            </w:r>
            <w:r>
              <w:rPr>
                <w:rFonts w:ascii="Times New Roman" w:eastAsia="Arial Unicode MS" w:hAnsi="Times New Roman" w:cs="Times New Roman"/>
                <w:color w:val="00000A"/>
                <w:sz w:val="20"/>
                <w:szCs w:val="20"/>
                <w:lang w:eastAsia="zh-CN" w:bidi="hi-IN"/>
              </w:rPr>
              <w:t xml:space="preserve"> </w:t>
            </w:r>
            <w:r w:rsidRPr="00A764D9">
              <w:rPr>
                <w:rFonts w:ascii="Times New Roman" w:eastAsia="Arial Unicode MS" w:hAnsi="Times New Roman" w:cs="Times New Roman"/>
                <w:color w:val="00000A"/>
                <w:sz w:val="20"/>
                <w:szCs w:val="20"/>
                <w:lang w:eastAsia="zh-CN" w:bidi="hi-IN"/>
              </w:rPr>
              <w:t>(89.2)</w:t>
            </w:r>
          </w:p>
        </w:tc>
        <w:tc>
          <w:tcPr>
            <w:tcW w:w="2268" w:type="dxa"/>
          </w:tcPr>
          <w:p w14:paraId="557F2C22" w14:textId="6AD1FBF9" w:rsidR="00A764D9" w:rsidRPr="00A764D9" w:rsidRDefault="00A764D9" w:rsidP="00A764D9">
            <w:pPr>
              <w:widowControl w:val="0"/>
              <w:jc w:val="cente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3051</w:t>
            </w:r>
            <w:r>
              <w:rPr>
                <w:rFonts w:ascii="Times New Roman" w:eastAsia="Arial Unicode MS" w:hAnsi="Times New Roman" w:cs="Times New Roman"/>
                <w:color w:val="00000A"/>
                <w:sz w:val="20"/>
                <w:szCs w:val="20"/>
                <w:lang w:eastAsia="zh-CN" w:bidi="hi-IN"/>
              </w:rPr>
              <w:t xml:space="preserve"> </w:t>
            </w:r>
            <w:r w:rsidRPr="00A764D9">
              <w:rPr>
                <w:rFonts w:ascii="Times New Roman" w:eastAsia="Arial Unicode MS" w:hAnsi="Times New Roman" w:cs="Times New Roman"/>
                <w:color w:val="00000A"/>
                <w:sz w:val="20"/>
                <w:szCs w:val="20"/>
                <w:lang w:eastAsia="zh-CN" w:bidi="hi-IN"/>
              </w:rPr>
              <w:t>(92.3)</w:t>
            </w:r>
          </w:p>
        </w:tc>
        <w:tc>
          <w:tcPr>
            <w:tcW w:w="1139" w:type="dxa"/>
          </w:tcPr>
          <w:p w14:paraId="0ACCFCA8" w14:textId="714E1ABD" w:rsidR="00A764D9" w:rsidRPr="00A764D9" w:rsidRDefault="00A764D9" w:rsidP="00A764D9">
            <w:pPr>
              <w:jc w:val="center"/>
              <w:rPr>
                <w:rFonts w:ascii="Times New Roman" w:eastAsia="Calibri" w:hAnsi="Times New Roman" w:cs="Times New Roman"/>
                <w:sz w:val="20"/>
                <w:szCs w:val="20"/>
              </w:rPr>
            </w:pPr>
            <w:r w:rsidRPr="00A764D9">
              <w:rPr>
                <w:rFonts w:ascii="Times New Roman" w:eastAsia="Calibri" w:hAnsi="Times New Roman" w:cs="Times New Roman"/>
                <w:sz w:val="20"/>
                <w:szCs w:val="20"/>
              </w:rPr>
              <w:t>LR=2.825</w:t>
            </w:r>
          </w:p>
        </w:tc>
        <w:tc>
          <w:tcPr>
            <w:tcW w:w="850" w:type="dxa"/>
            <w:vMerge w:val="restart"/>
            <w:vAlign w:val="center"/>
          </w:tcPr>
          <w:p w14:paraId="75056683" w14:textId="31986AD3" w:rsidR="00A764D9" w:rsidRPr="00A764D9" w:rsidRDefault="00A764D9" w:rsidP="00A764D9">
            <w:pPr>
              <w:jc w:val="center"/>
              <w:rPr>
                <w:rFonts w:ascii="Times New Roman" w:eastAsiaTheme="minorEastAsia" w:hAnsi="Times New Roman" w:cs="Times New Roman"/>
                <w:sz w:val="20"/>
                <w:szCs w:val="20"/>
              </w:rPr>
            </w:pPr>
            <w:r w:rsidRPr="00A764D9">
              <w:rPr>
                <w:rFonts w:ascii="Times New Roman" w:eastAsia="Arial Unicode MS" w:hAnsi="Times New Roman" w:cs="Times New Roman"/>
                <w:color w:val="00000A"/>
                <w:sz w:val="20"/>
                <w:szCs w:val="20"/>
                <w:lang w:eastAsia="zh-CN" w:bidi="hi-IN"/>
              </w:rPr>
              <w:t>.419</w:t>
            </w:r>
          </w:p>
        </w:tc>
        <w:tc>
          <w:tcPr>
            <w:tcW w:w="1276" w:type="dxa"/>
            <w:vMerge w:val="restart"/>
          </w:tcPr>
          <w:p w14:paraId="6B3A933E" w14:textId="77777777" w:rsidR="00A764D9" w:rsidRPr="00A764D9" w:rsidRDefault="00A764D9" w:rsidP="008D650C">
            <w:pPr>
              <w:rPr>
                <w:rFonts w:ascii="Times New Roman" w:eastAsiaTheme="minorEastAsia" w:hAnsi="Times New Roman" w:cs="Times New Roman"/>
                <w:sz w:val="20"/>
                <w:szCs w:val="20"/>
              </w:rPr>
            </w:pPr>
          </w:p>
        </w:tc>
      </w:tr>
      <w:tr w:rsidR="00A764D9" w14:paraId="612D3235" w14:textId="77777777" w:rsidTr="006729FA">
        <w:tc>
          <w:tcPr>
            <w:tcW w:w="3114" w:type="dxa"/>
          </w:tcPr>
          <w:p w14:paraId="63CBB41E" w14:textId="48BE7D77" w:rsidR="00A764D9" w:rsidRPr="00A764D9" w:rsidRDefault="00A764D9" w:rsidP="008D650C">
            <w:pP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 xml:space="preserve">   In past, not within past 12 months</w:t>
            </w:r>
          </w:p>
        </w:tc>
        <w:tc>
          <w:tcPr>
            <w:tcW w:w="2268" w:type="dxa"/>
          </w:tcPr>
          <w:p w14:paraId="18C9DA30" w14:textId="5AAD055D" w:rsidR="00A764D9" w:rsidRPr="00A764D9" w:rsidRDefault="00A764D9" w:rsidP="00A764D9">
            <w:pPr>
              <w:widowControl w:val="0"/>
              <w:jc w:val="cente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5</w:t>
            </w:r>
            <w:r>
              <w:rPr>
                <w:rFonts w:ascii="Times New Roman" w:eastAsia="Arial Unicode MS" w:hAnsi="Times New Roman" w:cs="Times New Roman"/>
                <w:color w:val="00000A"/>
                <w:sz w:val="20"/>
                <w:szCs w:val="20"/>
                <w:lang w:eastAsia="zh-CN" w:bidi="hi-IN"/>
              </w:rPr>
              <w:t xml:space="preserve"> </w:t>
            </w:r>
            <w:r w:rsidRPr="00A764D9">
              <w:rPr>
                <w:rFonts w:ascii="Times New Roman" w:eastAsia="Arial Unicode MS" w:hAnsi="Times New Roman" w:cs="Times New Roman"/>
                <w:color w:val="00000A"/>
                <w:sz w:val="20"/>
                <w:szCs w:val="20"/>
                <w:lang w:eastAsia="zh-CN" w:bidi="hi-IN"/>
              </w:rPr>
              <w:t>(6.0)</w:t>
            </w:r>
          </w:p>
        </w:tc>
        <w:tc>
          <w:tcPr>
            <w:tcW w:w="2268" w:type="dxa"/>
          </w:tcPr>
          <w:p w14:paraId="12C41D83" w14:textId="1A69B6F6" w:rsidR="00A764D9" w:rsidRPr="00A764D9" w:rsidRDefault="00A764D9" w:rsidP="00A764D9">
            <w:pPr>
              <w:widowControl w:val="0"/>
              <w:jc w:val="cente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153</w:t>
            </w:r>
            <w:r>
              <w:rPr>
                <w:rFonts w:ascii="Times New Roman" w:eastAsia="Arial Unicode MS" w:hAnsi="Times New Roman" w:cs="Times New Roman"/>
                <w:color w:val="00000A"/>
                <w:sz w:val="20"/>
                <w:szCs w:val="20"/>
                <w:lang w:eastAsia="zh-CN" w:bidi="hi-IN"/>
              </w:rPr>
              <w:t xml:space="preserve"> </w:t>
            </w:r>
            <w:r w:rsidRPr="00A764D9">
              <w:rPr>
                <w:rFonts w:ascii="Times New Roman" w:eastAsia="Arial Unicode MS" w:hAnsi="Times New Roman" w:cs="Times New Roman"/>
                <w:color w:val="00000A"/>
                <w:sz w:val="20"/>
                <w:szCs w:val="20"/>
                <w:lang w:eastAsia="zh-CN" w:bidi="hi-IN"/>
              </w:rPr>
              <w:t>(4.6)</w:t>
            </w:r>
          </w:p>
        </w:tc>
        <w:tc>
          <w:tcPr>
            <w:tcW w:w="1139" w:type="dxa"/>
          </w:tcPr>
          <w:p w14:paraId="08ACD54D" w14:textId="2C2B1971" w:rsidR="00A764D9" w:rsidRPr="00A764D9" w:rsidRDefault="00A764D9" w:rsidP="00A764D9">
            <w:pPr>
              <w:jc w:val="center"/>
              <w:rPr>
                <w:rFonts w:ascii="Times New Roman" w:eastAsiaTheme="minorEastAsia" w:hAnsi="Times New Roman" w:cs="Times New Roman"/>
                <w:sz w:val="20"/>
                <w:szCs w:val="20"/>
              </w:rPr>
            </w:pPr>
            <w:r w:rsidRPr="00A764D9">
              <w:rPr>
                <w:rFonts w:ascii="Times New Roman" w:eastAsia="Calibri" w:hAnsi="Times New Roman" w:cs="Times New Roman"/>
                <w:sz w:val="20"/>
                <w:szCs w:val="20"/>
              </w:rPr>
              <w:t>df=3</w:t>
            </w:r>
          </w:p>
        </w:tc>
        <w:tc>
          <w:tcPr>
            <w:tcW w:w="850" w:type="dxa"/>
            <w:vMerge/>
          </w:tcPr>
          <w:p w14:paraId="697FB2FA" w14:textId="77777777" w:rsidR="00A764D9" w:rsidRPr="00A764D9" w:rsidRDefault="00A764D9" w:rsidP="008D650C">
            <w:pPr>
              <w:rPr>
                <w:rFonts w:ascii="Times New Roman" w:eastAsiaTheme="minorEastAsia" w:hAnsi="Times New Roman" w:cs="Times New Roman"/>
                <w:sz w:val="20"/>
                <w:szCs w:val="20"/>
              </w:rPr>
            </w:pPr>
          </w:p>
        </w:tc>
        <w:tc>
          <w:tcPr>
            <w:tcW w:w="1276" w:type="dxa"/>
            <w:vMerge/>
          </w:tcPr>
          <w:p w14:paraId="63021003" w14:textId="77777777" w:rsidR="00A764D9" w:rsidRPr="00A764D9" w:rsidRDefault="00A764D9" w:rsidP="008D650C">
            <w:pPr>
              <w:rPr>
                <w:rFonts w:ascii="Times New Roman" w:eastAsiaTheme="minorEastAsia" w:hAnsi="Times New Roman" w:cs="Times New Roman"/>
                <w:sz w:val="20"/>
                <w:szCs w:val="20"/>
              </w:rPr>
            </w:pPr>
          </w:p>
        </w:tc>
      </w:tr>
      <w:tr w:rsidR="00A764D9" w14:paraId="68020B12" w14:textId="77777777" w:rsidTr="006729FA">
        <w:tc>
          <w:tcPr>
            <w:tcW w:w="3114" w:type="dxa"/>
          </w:tcPr>
          <w:p w14:paraId="5765D186" w14:textId="4EE020C3" w:rsidR="00A764D9" w:rsidRPr="00A764D9" w:rsidRDefault="00A764D9" w:rsidP="008D650C">
            <w:pP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 xml:space="preserve">   Rarely</w:t>
            </w:r>
          </w:p>
        </w:tc>
        <w:tc>
          <w:tcPr>
            <w:tcW w:w="2268" w:type="dxa"/>
          </w:tcPr>
          <w:p w14:paraId="7823E2EF" w14:textId="192587F2" w:rsidR="00A764D9" w:rsidRPr="00A764D9" w:rsidRDefault="00A764D9" w:rsidP="00A764D9">
            <w:pPr>
              <w:widowControl w:val="0"/>
              <w:jc w:val="cente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4</w:t>
            </w:r>
            <w:r>
              <w:rPr>
                <w:rFonts w:ascii="Times New Roman" w:eastAsia="Arial Unicode MS" w:hAnsi="Times New Roman" w:cs="Times New Roman"/>
                <w:color w:val="00000A"/>
                <w:sz w:val="20"/>
                <w:szCs w:val="20"/>
                <w:lang w:eastAsia="zh-CN" w:bidi="hi-IN"/>
              </w:rPr>
              <w:t xml:space="preserve"> </w:t>
            </w:r>
            <w:r w:rsidRPr="00A764D9">
              <w:rPr>
                <w:rFonts w:ascii="Times New Roman" w:eastAsia="Arial Unicode MS" w:hAnsi="Times New Roman" w:cs="Times New Roman"/>
                <w:color w:val="00000A"/>
                <w:sz w:val="20"/>
                <w:szCs w:val="20"/>
                <w:lang w:eastAsia="zh-CN" w:bidi="hi-IN"/>
              </w:rPr>
              <w:t>(4.8)</w:t>
            </w:r>
          </w:p>
        </w:tc>
        <w:tc>
          <w:tcPr>
            <w:tcW w:w="2268" w:type="dxa"/>
          </w:tcPr>
          <w:p w14:paraId="13C5E230" w14:textId="6A3FC263" w:rsidR="00A764D9" w:rsidRPr="00A764D9" w:rsidRDefault="00A764D9" w:rsidP="00A764D9">
            <w:pPr>
              <w:widowControl w:val="0"/>
              <w:jc w:val="cente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82</w:t>
            </w:r>
            <w:r>
              <w:rPr>
                <w:rFonts w:ascii="Times New Roman" w:eastAsia="Arial Unicode MS" w:hAnsi="Times New Roman" w:cs="Times New Roman"/>
                <w:color w:val="00000A"/>
                <w:sz w:val="20"/>
                <w:szCs w:val="20"/>
                <w:lang w:eastAsia="zh-CN" w:bidi="hi-IN"/>
              </w:rPr>
              <w:t xml:space="preserve"> </w:t>
            </w:r>
            <w:r w:rsidRPr="00A764D9">
              <w:rPr>
                <w:rFonts w:ascii="Times New Roman" w:eastAsia="Arial Unicode MS" w:hAnsi="Times New Roman" w:cs="Times New Roman"/>
                <w:color w:val="00000A"/>
                <w:sz w:val="20"/>
                <w:szCs w:val="20"/>
                <w:lang w:eastAsia="zh-CN" w:bidi="hi-IN"/>
              </w:rPr>
              <w:t>(2.5)</w:t>
            </w:r>
          </w:p>
        </w:tc>
        <w:tc>
          <w:tcPr>
            <w:tcW w:w="1139" w:type="dxa"/>
          </w:tcPr>
          <w:p w14:paraId="29830C8D" w14:textId="77777777" w:rsidR="00A764D9" w:rsidRPr="00A764D9" w:rsidRDefault="00A764D9" w:rsidP="008D650C">
            <w:pPr>
              <w:rPr>
                <w:rFonts w:ascii="Times New Roman" w:eastAsiaTheme="minorEastAsia" w:hAnsi="Times New Roman" w:cs="Times New Roman"/>
                <w:sz w:val="20"/>
                <w:szCs w:val="20"/>
              </w:rPr>
            </w:pPr>
          </w:p>
        </w:tc>
        <w:tc>
          <w:tcPr>
            <w:tcW w:w="850" w:type="dxa"/>
            <w:vMerge/>
          </w:tcPr>
          <w:p w14:paraId="23855125" w14:textId="77777777" w:rsidR="00A764D9" w:rsidRPr="00A764D9" w:rsidRDefault="00A764D9" w:rsidP="008D650C">
            <w:pPr>
              <w:rPr>
                <w:rFonts w:ascii="Times New Roman" w:eastAsiaTheme="minorEastAsia" w:hAnsi="Times New Roman" w:cs="Times New Roman"/>
                <w:sz w:val="20"/>
                <w:szCs w:val="20"/>
              </w:rPr>
            </w:pPr>
          </w:p>
        </w:tc>
        <w:tc>
          <w:tcPr>
            <w:tcW w:w="1276" w:type="dxa"/>
            <w:vMerge/>
          </w:tcPr>
          <w:p w14:paraId="4C86BCB3" w14:textId="77777777" w:rsidR="00A764D9" w:rsidRPr="00A764D9" w:rsidRDefault="00A764D9" w:rsidP="008D650C">
            <w:pPr>
              <w:rPr>
                <w:rFonts w:ascii="Times New Roman" w:eastAsiaTheme="minorEastAsia" w:hAnsi="Times New Roman" w:cs="Times New Roman"/>
                <w:sz w:val="20"/>
                <w:szCs w:val="20"/>
              </w:rPr>
            </w:pPr>
          </w:p>
        </w:tc>
      </w:tr>
      <w:tr w:rsidR="00A764D9" w14:paraId="09A32B29" w14:textId="77777777" w:rsidTr="006729FA">
        <w:tc>
          <w:tcPr>
            <w:tcW w:w="3114" w:type="dxa"/>
          </w:tcPr>
          <w:p w14:paraId="3ACA1DCD" w14:textId="0755AD36" w:rsidR="00A764D9" w:rsidRPr="00A764D9" w:rsidRDefault="00A764D9" w:rsidP="008D650C">
            <w:pP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 xml:space="preserve">   Occasionally</w:t>
            </w:r>
          </w:p>
        </w:tc>
        <w:tc>
          <w:tcPr>
            <w:tcW w:w="2268" w:type="dxa"/>
          </w:tcPr>
          <w:p w14:paraId="76E622CD" w14:textId="6BBD32FE" w:rsidR="00A764D9" w:rsidRPr="00A764D9" w:rsidRDefault="00A764D9" w:rsidP="00A764D9">
            <w:pPr>
              <w:widowControl w:val="0"/>
              <w:jc w:val="cente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A764D9">
              <w:rPr>
                <w:rFonts w:ascii="Times New Roman" w:eastAsia="Arial Unicode MS" w:hAnsi="Times New Roman" w:cs="Times New Roman"/>
                <w:color w:val="00000A"/>
                <w:sz w:val="20"/>
                <w:szCs w:val="20"/>
                <w:lang w:eastAsia="zh-CN" w:bidi="hi-IN"/>
              </w:rPr>
              <w:t>(0.0)</w:t>
            </w:r>
          </w:p>
        </w:tc>
        <w:tc>
          <w:tcPr>
            <w:tcW w:w="2268" w:type="dxa"/>
          </w:tcPr>
          <w:p w14:paraId="75D210CC" w14:textId="51827BB3" w:rsidR="00A764D9" w:rsidRPr="00A764D9" w:rsidRDefault="00A764D9" w:rsidP="00A764D9">
            <w:pPr>
              <w:widowControl w:val="0"/>
              <w:jc w:val="cente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21</w:t>
            </w:r>
            <w:r>
              <w:rPr>
                <w:rFonts w:ascii="Times New Roman" w:eastAsia="Arial Unicode MS" w:hAnsi="Times New Roman" w:cs="Times New Roman"/>
                <w:color w:val="00000A"/>
                <w:sz w:val="20"/>
                <w:szCs w:val="20"/>
                <w:lang w:eastAsia="zh-CN" w:bidi="hi-IN"/>
              </w:rPr>
              <w:t xml:space="preserve"> </w:t>
            </w:r>
            <w:r w:rsidRPr="00A764D9">
              <w:rPr>
                <w:rFonts w:ascii="Times New Roman" w:eastAsia="Arial Unicode MS" w:hAnsi="Times New Roman" w:cs="Times New Roman"/>
                <w:color w:val="00000A"/>
                <w:sz w:val="20"/>
                <w:szCs w:val="20"/>
                <w:lang w:eastAsia="zh-CN" w:bidi="hi-IN"/>
              </w:rPr>
              <w:t>(0.6)</w:t>
            </w:r>
          </w:p>
        </w:tc>
        <w:tc>
          <w:tcPr>
            <w:tcW w:w="1139" w:type="dxa"/>
          </w:tcPr>
          <w:p w14:paraId="16DB6BE8" w14:textId="77777777" w:rsidR="00A764D9" w:rsidRPr="00A764D9" w:rsidRDefault="00A764D9" w:rsidP="008D650C">
            <w:pPr>
              <w:rPr>
                <w:rFonts w:ascii="Times New Roman" w:eastAsiaTheme="minorEastAsia" w:hAnsi="Times New Roman" w:cs="Times New Roman"/>
                <w:sz w:val="20"/>
                <w:szCs w:val="20"/>
              </w:rPr>
            </w:pPr>
          </w:p>
        </w:tc>
        <w:tc>
          <w:tcPr>
            <w:tcW w:w="850" w:type="dxa"/>
            <w:vMerge/>
          </w:tcPr>
          <w:p w14:paraId="7AC75841" w14:textId="77777777" w:rsidR="00A764D9" w:rsidRPr="00A764D9" w:rsidRDefault="00A764D9" w:rsidP="008D650C">
            <w:pPr>
              <w:rPr>
                <w:rFonts w:ascii="Times New Roman" w:eastAsiaTheme="minorEastAsia" w:hAnsi="Times New Roman" w:cs="Times New Roman"/>
                <w:sz w:val="20"/>
                <w:szCs w:val="20"/>
              </w:rPr>
            </w:pPr>
          </w:p>
        </w:tc>
        <w:tc>
          <w:tcPr>
            <w:tcW w:w="1276" w:type="dxa"/>
            <w:vMerge/>
          </w:tcPr>
          <w:p w14:paraId="4C919F90" w14:textId="77777777" w:rsidR="00A764D9" w:rsidRPr="00A764D9" w:rsidRDefault="00A764D9" w:rsidP="008D650C">
            <w:pPr>
              <w:rPr>
                <w:rFonts w:ascii="Times New Roman" w:eastAsiaTheme="minorEastAsia" w:hAnsi="Times New Roman" w:cs="Times New Roman"/>
                <w:sz w:val="20"/>
                <w:szCs w:val="20"/>
              </w:rPr>
            </w:pPr>
          </w:p>
        </w:tc>
      </w:tr>
      <w:tr w:rsidR="00A764D9" w14:paraId="7B2E1A8F" w14:textId="77777777" w:rsidTr="006729FA">
        <w:tc>
          <w:tcPr>
            <w:tcW w:w="3114" w:type="dxa"/>
          </w:tcPr>
          <w:p w14:paraId="5E1DF47F" w14:textId="7CE2B852" w:rsidR="00A764D9" w:rsidRPr="00A764D9" w:rsidRDefault="00A764D9" w:rsidP="008D650C">
            <w:pP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 xml:space="preserve">   Daily</w:t>
            </w:r>
          </w:p>
        </w:tc>
        <w:tc>
          <w:tcPr>
            <w:tcW w:w="2268" w:type="dxa"/>
          </w:tcPr>
          <w:p w14:paraId="3E3999E8" w14:textId="545A18AF" w:rsidR="00A764D9" w:rsidRPr="00A764D9" w:rsidRDefault="00A764D9" w:rsidP="008D650C">
            <w:pPr>
              <w:jc w:val="cente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A764D9">
              <w:rPr>
                <w:rFonts w:ascii="Times New Roman" w:eastAsia="Arial Unicode MS" w:hAnsi="Times New Roman" w:cs="Times New Roman"/>
                <w:color w:val="00000A"/>
                <w:sz w:val="20"/>
                <w:szCs w:val="20"/>
                <w:lang w:eastAsia="zh-CN" w:bidi="hi-IN"/>
              </w:rPr>
              <w:t>(0.0)</w:t>
            </w:r>
          </w:p>
        </w:tc>
        <w:tc>
          <w:tcPr>
            <w:tcW w:w="2268" w:type="dxa"/>
          </w:tcPr>
          <w:p w14:paraId="42D23717" w14:textId="15D05ABF" w:rsidR="00A764D9" w:rsidRPr="00A764D9" w:rsidRDefault="00A764D9" w:rsidP="008D650C">
            <w:pPr>
              <w:jc w:val="center"/>
              <w:rPr>
                <w:rFonts w:ascii="Times New Roman" w:eastAsia="Arial Unicode MS" w:hAnsi="Times New Roman" w:cs="Times New Roman"/>
                <w:color w:val="00000A"/>
                <w:sz w:val="20"/>
                <w:szCs w:val="20"/>
                <w:lang w:eastAsia="zh-CN" w:bidi="hi-IN"/>
              </w:rPr>
            </w:pPr>
            <w:r w:rsidRPr="00A764D9">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A764D9">
              <w:rPr>
                <w:rFonts w:ascii="Times New Roman" w:eastAsia="Arial Unicode MS" w:hAnsi="Times New Roman" w:cs="Times New Roman"/>
                <w:color w:val="00000A"/>
                <w:sz w:val="20"/>
                <w:szCs w:val="20"/>
                <w:lang w:eastAsia="zh-CN" w:bidi="hi-IN"/>
              </w:rPr>
              <w:t>(0.0)</w:t>
            </w:r>
          </w:p>
        </w:tc>
        <w:tc>
          <w:tcPr>
            <w:tcW w:w="1139" w:type="dxa"/>
          </w:tcPr>
          <w:p w14:paraId="15985715" w14:textId="77777777" w:rsidR="00A764D9" w:rsidRPr="00A764D9" w:rsidRDefault="00A764D9" w:rsidP="008D650C">
            <w:pPr>
              <w:rPr>
                <w:rFonts w:ascii="Times New Roman" w:eastAsiaTheme="minorEastAsia" w:hAnsi="Times New Roman" w:cs="Times New Roman"/>
                <w:sz w:val="20"/>
                <w:szCs w:val="20"/>
              </w:rPr>
            </w:pPr>
          </w:p>
        </w:tc>
        <w:tc>
          <w:tcPr>
            <w:tcW w:w="850" w:type="dxa"/>
            <w:vMerge/>
          </w:tcPr>
          <w:p w14:paraId="10517F6C" w14:textId="77777777" w:rsidR="00A764D9" w:rsidRPr="00A764D9" w:rsidRDefault="00A764D9" w:rsidP="008D650C">
            <w:pPr>
              <w:rPr>
                <w:rFonts w:ascii="Times New Roman" w:eastAsiaTheme="minorEastAsia" w:hAnsi="Times New Roman" w:cs="Times New Roman"/>
                <w:sz w:val="20"/>
                <w:szCs w:val="20"/>
              </w:rPr>
            </w:pPr>
          </w:p>
        </w:tc>
        <w:tc>
          <w:tcPr>
            <w:tcW w:w="1276" w:type="dxa"/>
            <w:vMerge/>
          </w:tcPr>
          <w:p w14:paraId="21920DF4" w14:textId="77777777" w:rsidR="00A764D9" w:rsidRPr="00A764D9" w:rsidRDefault="00A764D9" w:rsidP="008D650C">
            <w:pPr>
              <w:rPr>
                <w:rFonts w:ascii="Times New Roman" w:eastAsiaTheme="minorEastAsia" w:hAnsi="Times New Roman" w:cs="Times New Roman"/>
                <w:sz w:val="20"/>
                <w:szCs w:val="20"/>
              </w:rPr>
            </w:pPr>
          </w:p>
        </w:tc>
      </w:tr>
      <w:tr w:rsidR="00380021" w14:paraId="35D16983" w14:textId="77777777" w:rsidTr="006729FA">
        <w:tc>
          <w:tcPr>
            <w:tcW w:w="10915" w:type="dxa"/>
            <w:gridSpan w:val="6"/>
          </w:tcPr>
          <w:p w14:paraId="2C9045C5" w14:textId="5D06E5F6" w:rsidR="00380021" w:rsidRPr="00A764D9" w:rsidRDefault="00380021" w:rsidP="008D650C">
            <w:pPr>
              <w:rPr>
                <w:rFonts w:ascii="Times New Roman" w:eastAsiaTheme="minorEastAsia" w:hAnsi="Times New Roman" w:cs="Times New Roman"/>
                <w:sz w:val="20"/>
                <w:szCs w:val="20"/>
              </w:rPr>
            </w:pPr>
            <w:r>
              <w:rPr>
                <w:rFonts w:ascii="Times New Roman" w:eastAsia="Arial Unicode MS" w:hAnsi="Times New Roman" w:cs="Times New Roman"/>
                <w:color w:val="00000A"/>
                <w:sz w:val="20"/>
                <w:szCs w:val="20"/>
                <w:lang w:eastAsia="zh-CN" w:bidi="hi-IN"/>
              </w:rPr>
              <w:t>Opiates</w:t>
            </w:r>
          </w:p>
        </w:tc>
      </w:tr>
      <w:tr w:rsidR="00380021" w14:paraId="24B5C60F" w14:textId="77777777" w:rsidTr="006729FA">
        <w:tc>
          <w:tcPr>
            <w:tcW w:w="3114" w:type="dxa"/>
          </w:tcPr>
          <w:p w14:paraId="483218C1" w14:textId="3972AD46" w:rsidR="00380021" w:rsidRPr="00380021" w:rsidRDefault="00380021" w:rsidP="00380021">
            <w:pP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 xml:space="preserve">   Never</w:t>
            </w:r>
          </w:p>
        </w:tc>
        <w:tc>
          <w:tcPr>
            <w:tcW w:w="2268" w:type="dxa"/>
          </w:tcPr>
          <w:p w14:paraId="44EC7436" w14:textId="609BA2D8"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82</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(98.8)</w:t>
            </w:r>
          </w:p>
        </w:tc>
        <w:tc>
          <w:tcPr>
            <w:tcW w:w="2268" w:type="dxa"/>
          </w:tcPr>
          <w:p w14:paraId="3E331C20" w14:textId="547BFA80"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3268</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(98.6)</w:t>
            </w:r>
          </w:p>
        </w:tc>
        <w:tc>
          <w:tcPr>
            <w:tcW w:w="1139" w:type="dxa"/>
          </w:tcPr>
          <w:p w14:paraId="49CACFAA" w14:textId="02713C41" w:rsidR="00380021" w:rsidRPr="00380021" w:rsidRDefault="00380021" w:rsidP="00380021">
            <w:pPr>
              <w:jc w:val="center"/>
              <w:rPr>
                <w:rFonts w:ascii="Times New Roman" w:eastAsia="Calibri" w:hAnsi="Times New Roman" w:cs="Times New Roman"/>
                <w:sz w:val="20"/>
                <w:szCs w:val="20"/>
              </w:rPr>
            </w:pPr>
            <w:r w:rsidRPr="00380021">
              <w:rPr>
                <w:rFonts w:ascii="Times New Roman" w:eastAsia="Calibri" w:hAnsi="Times New Roman" w:cs="Times New Roman"/>
                <w:sz w:val="20"/>
                <w:szCs w:val="20"/>
              </w:rPr>
              <w:t>LR=.717</w:t>
            </w:r>
          </w:p>
        </w:tc>
        <w:tc>
          <w:tcPr>
            <w:tcW w:w="850" w:type="dxa"/>
            <w:vMerge w:val="restart"/>
            <w:vAlign w:val="center"/>
          </w:tcPr>
          <w:p w14:paraId="048D9703" w14:textId="776BD2DD" w:rsidR="00380021" w:rsidRPr="00380021" w:rsidRDefault="00380021" w:rsidP="00380021">
            <w:pPr>
              <w:jc w:val="center"/>
              <w:rPr>
                <w:rFonts w:ascii="Times New Roman" w:eastAsiaTheme="minorEastAsia" w:hAnsi="Times New Roman" w:cs="Times New Roman"/>
                <w:sz w:val="20"/>
                <w:szCs w:val="20"/>
              </w:rPr>
            </w:pPr>
            <w:r w:rsidRPr="00380021">
              <w:rPr>
                <w:rFonts w:ascii="Times New Roman" w:eastAsia="Arial Unicode MS" w:hAnsi="Times New Roman" w:cs="Times New Roman"/>
                <w:color w:val="00000A"/>
                <w:sz w:val="20"/>
                <w:szCs w:val="20"/>
                <w:lang w:eastAsia="zh-CN" w:bidi="hi-IN"/>
              </w:rPr>
              <w:t>.949</w:t>
            </w:r>
          </w:p>
        </w:tc>
        <w:tc>
          <w:tcPr>
            <w:tcW w:w="1276" w:type="dxa"/>
            <w:vMerge w:val="restart"/>
          </w:tcPr>
          <w:p w14:paraId="46E6F0EE" w14:textId="77777777" w:rsidR="00380021" w:rsidRPr="00380021" w:rsidRDefault="00380021" w:rsidP="00380021">
            <w:pPr>
              <w:rPr>
                <w:rFonts w:ascii="Times New Roman" w:eastAsiaTheme="minorEastAsia" w:hAnsi="Times New Roman" w:cs="Times New Roman"/>
                <w:sz w:val="20"/>
                <w:szCs w:val="20"/>
              </w:rPr>
            </w:pPr>
          </w:p>
        </w:tc>
      </w:tr>
      <w:tr w:rsidR="00380021" w14:paraId="02377B96" w14:textId="77777777" w:rsidTr="006729FA">
        <w:tc>
          <w:tcPr>
            <w:tcW w:w="3114" w:type="dxa"/>
          </w:tcPr>
          <w:p w14:paraId="790CD06F" w14:textId="7F6E282C" w:rsidR="00380021" w:rsidRPr="00380021" w:rsidRDefault="00380021" w:rsidP="00380021">
            <w:pP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 xml:space="preserve">   In past, not within past 12 months</w:t>
            </w:r>
          </w:p>
        </w:tc>
        <w:tc>
          <w:tcPr>
            <w:tcW w:w="2268" w:type="dxa"/>
          </w:tcPr>
          <w:p w14:paraId="7BA53C1D" w14:textId="1D2EA6BE"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1</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(1.2)</w:t>
            </w:r>
          </w:p>
        </w:tc>
        <w:tc>
          <w:tcPr>
            <w:tcW w:w="2268" w:type="dxa"/>
          </w:tcPr>
          <w:p w14:paraId="0D00263D" w14:textId="49A8D3B9"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34</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(1.0)</w:t>
            </w:r>
          </w:p>
        </w:tc>
        <w:tc>
          <w:tcPr>
            <w:tcW w:w="1139" w:type="dxa"/>
          </w:tcPr>
          <w:p w14:paraId="59C7B5D2" w14:textId="0BC74939" w:rsidR="00380021" w:rsidRPr="00380021" w:rsidRDefault="00380021" w:rsidP="00380021">
            <w:pPr>
              <w:jc w:val="center"/>
              <w:rPr>
                <w:rFonts w:ascii="Times New Roman" w:eastAsiaTheme="minorEastAsia" w:hAnsi="Times New Roman" w:cs="Times New Roman"/>
                <w:sz w:val="20"/>
                <w:szCs w:val="20"/>
              </w:rPr>
            </w:pPr>
            <w:r w:rsidRPr="00380021">
              <w:rPr>
                <w:rFonts w:ascii="Times New Roman" w:eastAsia="Calibri" w:hAnsi="Times New Roman" w:cs="Times New Roman"/>
                <w:sz w:val="20"/>
                <w:szCs w:val="20"/>
              </w:rPr>
              <w:t>df=4</w:t>
            </w:r>
          </w:p>
        </w:tc>
        <w:tc>
          <w:tcPr>
            <w:tcW w:w="850" w:type="dxa"/>
            <w:vMerge/>
          </w:tcPr>
          <w:p w14:paraId="5D9713F3" w14:textId="77777777" w:rsidR="00380021" w:rsidRPr="00380021" w:rsidRDefault="00380021" w:rsidP="00380021">
            <w:pPr>
              <w:rPr>
                <w:rFonts w:ascii="Times New Roman" w:eastAsiaTheme="minorEastAsia" w:hAnsi="Times New Roman" w:cs="Times New Roman"/>
                <w:sz w:val="20"/>
                <w:szCs w:val="20"/>
              </w:rPr>
            </w:pPr>
          </w:p>
        </w:tc>
        <w:tc>
          <w:tcPr>
            <w:tcW w:w="1276" w:type="dxa"/>
            <w:vMerge/>
          </w:tcPr>
          <w:p w14:paraId="07E5493E" w14:textId="77777777" w:rsidR="00380021" w:rsidRPr="00380021" w:rsidRDefault="00380021" w:rsidP="00380021">
            <w:pPr>
              <w:rPr>
                <w:rFonts w:ascii="Times New Roman" w:eastAsiaTheme="minorEastAsia" w:hAnsi="Times New Roman" w:cs="Times New Roman"/>
                <w:sz w:val="20"/>
                <w:szCs w:val="20"/>
              </w:rPr>
            </w:pPr>
          </w:p>
        </w:tc>
      </w:tr>
      <w:tr w:rsidR="00380021" w14:paraId="68E6D809" w14:textId="77777777" w:rsidTr="006729FA">
        <w:tc>
          <w:tcPr>
            <w:tcW w:w="3114" w:type="dxa"/>
          </w:tcPr>
          <w:p w14:paraId="0403BD58" w14:textId="400826B5" w:rsidR="00380021" w:rsidRPr="00380021" w:rsidRDefault="00380021" w:rsidP="00380021">
            <w:pP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 xml:space="preserve">   Rarely</w:t>
            </w:r>
          </w:p>
        </w:tc>
        <w:tc>
          <w:tcPr>
            <w:tcW w:w="2268" w:type="dxa"/>
          </w:tcPr>
          <w:p w14:paraId="1E8395AA" w14:textId="668ADDAA"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(0.0)</w:t>
            </w:r>
          </w:p>
        </w:tc>
        <w:tc>
          <w:tcPr>
            <w:tcW w:w="2268" w:type="dxa"/>
          </w:tcPr>
          <w:p w14:paraId="3911532E" w14:textId="17CB3AA1"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6</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(0.2)</w:t>
            </w:r>
          </w:p>
        </w:tc>
        <w:tc>
          <w:tcPr>
            <w:tcW w:w="1139" w:type="dxa"/>
          </w:tcPr>
          <w:p w14:paraId="68B0DCEE" w14:textId="77777777" w:rsidR="00380021" w:rsidRPr="00380021" w:rsidRDefault="00380021" w:rsidP="00380021">
            <w:pPr>
              <w:rPr>
                <w:rFonts w:ascii="Times New Roman" w:eastAsiaTheme="minorEastAsia" w:hAnsi="Times New Roman" w:cs="Times New Roman"/>
                <w:sz w:val="20"/>
                <w:szCs w:val="20"/>
              </w:rPr>
            </w:pPr>
          </w:p>
        </w:tc>
        <w:tc>
          <w:tcPr>
            <w:tcW w:w="850" w:type="dxa"/>
            <w:vMerge/>
          </w:tcPr>
          <w:p w14:paraId="641892C4" w14:textId="77777777" w:rsidR="00380021" w:rsidRPr="00380021" w:rsidRDefault="00380021" w:rsidP="00380021">
            <w:pPr>
              <w:rPr>
                <w:rFonts w:ascii="Times New Roman" w:eastAsiaTheme="minorEastAsia" w:hAnsi="Times New Roman" w:cs="Times New Roman"/>
                <w:sz w:val="20"/>
                <w:szCs w:val="20"/>
              </w:rPr>
            </w:pPr>
          </w:p>
        </w:tc>
        <w:tc>
          <w:tcPr>
            <w:tcW w:w="1276" w:type="dxa"/>
            <w:vMerge/>
          </w:tcPr>
          <w:p w14:paraId="1DC35028" w14:textId="77777777" w:rsidR="00380021" w:rsidRPr="00380021" w:rsidRDefault="00380021" w:rsidP="00380021">
            <w:pPr>
              <w:rPr>
                <w:rFonts w:ascii="Times New Roman" w:eastAsiaTheme="minorEastAsia" w:hAnsi="Times New Roman" w:cs="Times New Roman"/>
                <w:sz w:val="20"/>
                <w:szCs w:val="20"/>
              </w:rPr>
            </w:pPr>
          </w:p>
        </w:tc>
      </w:tr>
      <w:tr w:rsidR="00380021" w14:paraId="461D6E12" w14:textId="77777777" w:rsidTr="006729FA">
        <w:tc>
          <w:tcPr>
            <w:tcW w:w="3114" w:type="dxa"/>
          </w:tcPr>
          <w:p w14:paraId="29F0DE6D" w14:textId="13C1B803" w:rsidR="00380021" w:rsidRPr="00380021" w:rsidRDefault="00380021" w:rsidP="00380021">
            <w:pP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 xml:space="preserve">   Occasionally</w:t>
            </w:r>
          </w:p>
        </w:tc>
        <w:tc>
          <w:tcPr>
            <w:tcW w:w="2268" w:type="dxa"/>
          </w:tcPr>
          <w:p w14:paraId="1891CABA" w14:textId="70BC5E91"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(0.0)</w:t>
            </w:r>
          </w:p>
        </w:tc>
        <w:tc>
          <w:tcPr>
            <w:tcW w:w="2268" w:type="dxa"/>
          </w:tcPr>
          <w:p w14:paraId="2C1AEDDB" w14:textId="55242FF3"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3</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(0.1)</w:t>
            </w:r>
          </w:p>
        </w:tc>
        <w:tc>
          <w:tcPr>
            <w:tcW w:w="1139" w:type="dxa"/>
          </w:tcPr>
          <w:p w14:paraId="2023AB73" w14:textId="77777777" w:rsidR="00380021" w:rsidRPr="00380021" w:rsidRDefault="00380021" w:rsidP="00380021">
            <w:pPr>
              <w:rPr>
                <w:rFonts w:ascii="Times New Roman" w:eastAsiaTheme="minorEastAsia" w:hAnsi="Times New Roman" w:cs="Times New Roman"/>
                <w:sz w:val="20"/>
                <w:szCs w:val="20"/>
              </w:rPr>
            </w:pPr>
          </w:p>
        </w:tc>
        <w:tc>
          <w:tcPr>
            <w:tcW w:w="850" w:type="dxa"/>
            <w:vMerge/>
          </w:tcPr>
          <w:p w14:paraId="137519CC" w14:textId="77777777" w:rsidR="00380021" w:rsidRPr="00380021" w:rsidRDefault="00380021" w:rsidP="00380021">
            <w:pPr>
              <w:rPr>
                <w:rFonts w:ascii="Times New Roman" w:eastAsiaTheme="minorEastAsia" w:hAnsi="Times New Roman" w:cs="Times New Roman"/>
                <w:sz w:val="20"/>
                <w:szCs w:val="20"/>
              </w:rPr>
            </w:pPr>
          </w:p>
        </w:tc>
        <w:tc>
          <w:tcPr>
            <w:tcW w:w="1276" w:type="dxa"/>
            <w:vMerge/>
          </w:tcPr>
          <w:p w14:paraId="0E6B515F" w14:textId="77777777" w:rsidR="00380021" w:rsidRPr="00380021" w:rsidRDefault="00380021" w:rsidP="00380021">
            <w:pPr>
              <w:rPr>
                <w:rFonts w:ascii="Times New Roman" w:eastAsiaTheme="minorEastAsia" w:hAnsi="Times New Roman" w:cs="Times New Roman"/>
                <w:sz w:val="20"/>
                <w:szCs w:val="20"/>
              </w:rPr>
            </w:pPr>
          </w:p>
        </w:tc>
      </w:tr>
      <w:tr w:rsidR="00380021" w14:paraId="10EBB35A" w14:textId="77777777" w:rsidTr="006729FA">
        <w:tc>
          <w:tcPr>
            <w:tcW w:w="3114" w:type="dxa"/>
          </w:tcPr>
          <w:p w14:paraId="0E249ADF" w14:textId="09BCFECB" w:rsidR="00380021" w:rsidRPr="00380021" w:rsidRDefault="00380021" w:rsidP="00380021">
            <w:pP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 xml:space="preserve">   Daily</w:t>
            </w:r>
          </w:p>
        </w:tc>
        <w:tc>
          <w:tcPr>
            <w:tcW w:w="2268" w:type="dxa"/>
          </w:tcPr>
          <w:p w14:paraId="2D560E64" w14:textId="68506BDF" w:rsidR="00380021" w:rsidRPr="00380021" w:rsidRDefault="00380021" w:rsidP="00380021">
            <w:pPr>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(0.0)</w:t>
            </w:r>
          </w:p>
        </w:tc>
        <w:tc>
          <w:tcPr>
            <w:tcW w:w="2268" w:type="dxa"/>
          </w:tcPr>
          <w:p w14:paraId="5972E0B4" w14:textId="704727BF" w:rsidR="00380021" w:rsidRPr="00380021" w:rsidRDefault="00380021" w:rsidP="00380021">
            <w:pPr>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5</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(0.2)</w:t>
            </w:r>
          </w:p>
        </w:tc>
        <w:tc>
          <w:tcPr>
            <w:tcW w:w="1139" w:type="dxa"/>
          </w:tcPr>
          <w:p w14:paraId="27233315" w14:textId="77777777" w:rsidR="00380021" w:rsidRPr="00380021" w:rsidRDefault="00380021" w:rsidP="00380021">
            <w:pPr>
              <w:rPr>
                <w:rFonts w:ascii="Times New Roman" w:eastAsiaTheme="minorEastAsia" w:hAnsi="Times New Roman" w:cs="Times New Roman"/>
                <w:sz w:val="20"/>
                <w:szCs w:val="20"/>
              </w:rPr>
            </w:pPr>
          </w:p>
        </w:tc>
        <w:tc>
          <w:tcPr>
            <w:tcW w:w="850" w:type="dxa"/>
            <w:vMerge/>
          </w:tcPr>
          <w:p w14:paraId="0C6B705E" w14:textId="77777777" w:rsidR="00380021" w:rsidRPr="00380021" w:rsidRDefault="00380021" w:rsidP="00380021">
            <w:pPr>
              <w:rPr>
                <w:rFonts w:ascii="Times New Roman" w:eastAsiaTheme="minorEastAsia" w:hAnsi="Times New Roman" w:cs="Times New Roman"/>
                <w:sz w:val="20"/>
                <w:szCs w:val="20"/>
              </w:rPr>
            </w:pPr>
          </w:p>
        </w:tc>
        <w:tc>
          <w:tcPr>
            <w:tcW w:w="1276" w:type="dxa"/>
            <w:vMerge/>
          </w:tcPr>
          <w:p w14:paraId="10C2816C" w14:textId="77777777" w:rsidR="00380021" w:rsidRPr="00380021" w:rsidRDefault="00380021" w:rsidP="00380021">
            <w:pPr>
              <w:rPr>
                <w:rFonts w:ascii="Times New Roman" w:eastAsiaTheme="minorEastAsia" w:hAnsi="Times New Roman" w:cs="Times New Roman"/>
                <w:sz w:val="20"/>
                <w:szCs w:val="20"/>
              </w:rPr>
            </w:pPr>
          </w:p>
        </w:tc>
      </w:tr>
      <w:tr w:rsidR="00380021" w14:paraId="2FAD0154" w14:textId="77777777" w:rsidTr="006729FA">
        <w:tc>
          <w:tcPr>
            <w:tcW w:w="10915" w:type="dxa"/>
            <w:gridSpan w:val="6"/>
          </w:tcPr>
          <w:p w14:paraId="790E2BA3" w14:textId="249F5A53" w:rsidR="00380021" w:rsidRPr="00380021" w:rsidRDefault="00380021" w:rsidP="00380021">
            <w:pPr>
              <w:rPr>
                <w:rFonts w:ascii="Times New Roman" w:eastAsiaTheme="minorEastAsia" w:hAnsi="Times New Roman" w:cs="Times New Roman"/>
                <w:sz w:val="20"/>
                <w:szCs w:val="20"/>
              </w:rPr>
            </w:pPr>
            <w:r w:rsidRPr="00380021">
              <w:rPr>
                <w:rFonts w:ascii="Times New Roman" w:eastAsia="Arial Unicode MS" w:hAnsi="Times New Roman" w:cs="Times New Roman"/>
                <w:color w:val="00000A"/>
                <w:sz w:val="20"/>
                <w:szCs w:val="20"/>
                <w:lang w:eastAsia="zh-CN" w:bidi="hi-IN"/>
              </w:rPr>
              <w:t>Inhalants</w:t>
            </w:r>
          </w:p>
        </w:tc>
      </w:tr>
      <w:tr w:rsidR="00380021" w14:paraId="0A0E852A" w14:textId="77777777" w:rsidTr="006729FA">
        <w:tc>
          <w:tcPr>
            <w:tcW w:w="3114" w:type="dxa"/>
          </w:tcPr>
          <w:p w14:paraId="187BFEB9" w14:textId="006E75B3" w:rsidR="00380021" w:rsidRPr="00380021" w:rsidRDefault="00380021" w:rsidP="00380021">
            <w:pP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 xml:space="preserve">   Never</w:t>
            </w:r>
          </w:p>
        </w:tc>
        <w:tc>
          <w:tcPr>
            <w:tcW w:w="2268" w:type="dxa"/>
          </w:tcPr>
          <w:p w14:paraId="67E7AE8F" w14:textId="3F9A3E86"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80</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(96.4)</w:t>
            </w:r>
          </w:p>
        </w:tc>
        <w:tc>
          <w:tcPr>
            <w:tcW w:w="2268" w:type="dxa"/>
          </w:tcPr>
          <w:p w14:paraId="3E209C5C" w14:textId="6CD5B245"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3264</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(98.6)</w:t>
            </w:r>
          </w:p>
        </w:tc>
        <w:tc>
          <w:tcPr>
            <w:tcW w:w="1139" w:type="dxa"/>
          </w:tcPr>
          <w:p w14:paraId="041B4B4B" w14:textId="3E71CDCC" w:rsidR="00380021" w:rsidRPr="00380021" w:rsidRDefault="00380021" w:rsidP="00380021">
            <w:pPr>
              <w:jc w:val="center"/>
              <w:rPr>
                <w:rFonts w:ascii="Times New Roman" w:eastAsia="Calibri" w:hAnsi="Times New Roman" w:cs="Times New Roman"/>
                <w:sz w:val="20"/>
                <w:szCs w:val="20"/>
              </w:rPr>
            </w:pPr>
            <w:r w:rsidRPr="00380021">
              <w:rPr>
                <w:rFonts w:ascii="Times New Roman" w:eastAsia="Calibri" w:hAnsi="Times New Roman" w:cs="Times New Roman"/>
                <w:sz w:val="20"/>
                <w:szCs w:val="20"/>
              </w:rPr>
              <w:t>LR=5.253</w:t>
            </w:r>
          </w:p>
        </w:tc>
        <w:tc>
          <w:tcPr>
            <w:tcW w:w="850" w:type="dxa"/>
            <w:vMerge w:val="restart"/>
            <w:vAlign w:val="center"/>
          </w:tcPr>
          <w:p w14:paraId="262435DE" w14:textId="2F9667E5" w:rsidR="00380021" w:rsidRPr="00380021" w:rsidRDefault="00380021" w:rsidP="00380021">
            <w:pPr>
              <w:jc w:val="center"/>
              <w:rPr>
                <w:rFonts w:ascii="Times New Roman" w:eastAsiaTheme="minorEastAsia" w:hAnsi="Times New Roman" w:cs="Times New Roman"/>
                <w:sz w:val="20"/>
                <w:szCs w:val="20"/>
              </w:rPr>
            </w:pPr>
            <w:r w:rsidRPr="00380021">
              <w:rPr>
                <w:rFonts w:ascii="Times New Roman" w:eastAsia="Arial Unicode MS" w:hAnsi="Times New Roman" w:cs="Times New Roman"/>
                <w:color w:val="00000A"/>
                <w:sz w:val="20"/>
                <w:szCs w:val="20"/>
                <w:lang w:eastAsia="zh-CN" w:bidi="hi-IN"/>
              </w:rPr>
              <w:t>.154</w:t>
            </w:r>
          </w:p>
        </w:tc>
        <w:tc>
          <w:tcPr>
            <w:tcW w:w="1276" w:type="dxa"/>
            <w:vMerge w:val="restart"/>
          </w:tcPr>
          <w:p w14:paraId="56335346" w14:textId="77777777" w:rsidR="00380021" w:rsidRPr="00380021" w:rsidRDefault="00380021" w:rsidP="00380021">
            <w:pPr>
              <w:rPr>
                <w:rFonts w:ascii="Times New Roman" w:eastAsiaTheme="minorEastAsia" w:hAnsi="Times New Roman" w:cs="Times New Roman"/>
                <w:sz w:val="20"/>
                <w:szCs w:val="20"/>
              </w:rPr>
            </w:pPr>
          </w:p>
        </w:tc>
      </w:tr>
      <w:tr w:rsidR="00380021" w14:paraId="2BAA844F" w14:textId="77777777" w:rsidTr="006729FA">
        <w:tc>
          <w:tcPr>
            <w:tcW w:w="3114" w:type="dxa"/>
          </w:tcPr>
          <w:p w14:paraId="4F3FB8BB" w14:textId="28A60BA0" w:rsidR="00380021" w:rsidRPr="00380021" w:rsidRDefault="00380021" w:rsidP="00380021">
            <w:pP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 xml:space="preserve">   In past, not within past 12 months</w:t>
            </w:r>
          </w:p>
        </w:tc>
        <w:tc>
          <w:tcPr>
            <w:tcW w:w="2268" w:type="dxa"/>
          </w:tcPr>
          <w:p w14:paraId="5A9ECF00" w14:textId="684A49F1"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2</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(2.4)</w:t>
            </w:r>
          </w:p>
        </w:tc>
        <w:tc>
          <w:tcPr>
            <w:tcW w:w="2268" w:type="dxa"/>
          </w:tcPr>
          <w:p w14:paraId="19781083" w14:textId="751D9396"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34</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(1.0)</w:t>
            </w:r>
          </w:p>
        </w:tc>
        <w:tc>
          <w:tcPr>
            <w:tcW w:w="1139" w:type="dxa"/>
          </w:tcPr>
          <w:p w14:paraId="2E1E3F71" w14:textId="68BAF392" w:rsidR="00380021" w:rsidRPr="00380021" w:rsidRDefault="00380021" w:rsidP="00380021">
            <w:pPr>
              <w:jc w:val="center"/>
              <w:rPr>
                <w:rFonts w:ascii="Times New Roman" w:eastAsiaTheme="minorEastAsia" w:hAnsi="Times New Roman" w:cs="Times New Roman"/>
                <w:sz w:val="20"/>
                <w:szCs w:val="20"/>
              </w:rPr>
            </w:pPr>
            <w:r w:rsidRPr="00380021">
              <w:rPr>
                <w:rFonts w:ascii="Times New Roman" w:eastAsia="Calibri" w:hAnsi="Times New Roman" w:cs="Times New Roman"/>
                <w:sz w:val="20"/>
                <w:szCs w:val="20"/>
              </w:rPr>
              <w:t>df=3</w:t>
            </w:r>
          </w:p>
        </w:tc>
        <w:tc>
          <w:tcPr>
            <w:tcW w:w="850" w:type="dxa"/>
            <w:vMerge/>
          </w:tcPr>
          <w:p w14:paraId="5974A153" w14:textId="77777777" w:rsidR="00380021" w:rsidRPr="00380021" w:rsidRDefault="00380021" w:rsidP="00380021">
            <w:pPr>
              <w:rPr>
                <w:rFonts w:ascii="Times New Roman" w:eastAsiaTheme="minorEastAsia" w:hAnsi="Times New Roman" w:cs="Times New Roman"/>
                <w:sz w:val="20"/>
                <w:szCs w:val="20"/>
              </w:rPr>
            </w:pPr>
          </w:p>
        </w:tc>
        <w:tc>
          <w:tcPr>
            <w:tcW w:w="1276" w:type="dxa"/>
            <w:vMerge/>
          </w:tcPr>
          <w:p w14:paraId="6A5DCDBC" w14:textId="77777777" w:rsidR="00380021" w:rsidRPr="00380021" w:rsidRDefault="00380021" w:rsidP="00380021">
            <w:pPr>
              <w:rPr>
                <w:rFonts w:ascii="Times New Roman" w:eastAsiaTheme="minorEastAsia" w:hAnsi="Times New Roman" w:cs="Times New Roman"/>
                <w:sz w:val="20"/>
                <w:szCs w:val="20"/>
              </w:rPr>
            </w:pPr>
          </w:p>
        </w:tc>
      </w:tr>
      <w:tr w:rsidR="00380021" w14:paraId="47308B67" w14:textId="77777777" w:rsidTr="006729FA">
        <w:tc>
          <w:tcPr>
            <w:tcW w:w="3114" w:type="dxa"/>
          </w:tcPr>
          <w:p w14:paraId="73E203F8" w14:textId="0518CA6D" w:rsidR="00380021" w:rsidRPr="00380021" w:rsidRDefault="00380021" w:rsidP="00380021">
            <w:pP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 xml:space="preserve">   Rarely</w:t>
            </w:r>
          </w:p>
        </w:tc>
        <w:tc>
          <w:tcPr>
            <w:tcW w:w="2268" w:type="dxa"/>
          </w:tcPr>
          <w:p w14:paraId="40BF317D" w14:textId="3261D5ED"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(0.0)</w:t>
            </w:r>
          </w:p>
        </w:tc>
        <w:tc>
          <w:tcPr>
            <w:tcW w:w="2268" w:type="dxa"/>
          </w:tcPr>
          <w:p w14:paraId="01DA4D93" w14:textId="5C180093"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6</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(0.2)</w:t>
            </w:r>
          </w:p>
        </w:tc>
        <w:tc>
          <w:tcPr>
            <w:tcW w:w="1139" w:type="dxa"/>
          </w:tcPr>
          <w:p w14:paraId="2EDEA69E" w14:textId="77777777" w:rsidR="00380021" w:rsidRPr="00380021" w:rsidRDefault="00380021" w:rsidP="00380021">
            <w:pPr>
              <w:rPr>
                <w:rFonts w:ascii="Times New Roman" w:eastAsiaTheme="minorEastAsia" w:hAnsi="Times New Roman" w:cs="Times New Roman"/>
                <w:sz w:val="20"/>
                <w:szCs w:val="20"/>
              </w:rPr>
            </w:pPr>
          </w:p>
        </w:tc>
        <w:tc>
          <w:tcPr>
            <w:tcW w:w="850" w:type="dxa"/>
            <w:vMerge/>
          </w:tcPr>
          <w:p w14:paraId="2EAAC74E" w14:textId="77777777" w:rsidR="00380021" w:rsidRPr="00380021" w:rsidRDefault="00380021" w:rsidP="00380021">
            <w:pPr>
              <w:rPr>
                <w:rFonts w:ascii="Times New Roman" w:eastAsiaTheme="minorEastAsia" w:hAnsi="Times New Roman" w:cs="Times New Roman"/>
                <w:sz w:val="20"/>
                <w:szCs w:val="20"/>
              </w:rPr>
            </w:pPr>
          </w:p>
        </w:tc>
        <w:tc>
          <w:tcPr>
            <w:tcW w:w="1276" w:type="dxa"/>
            <w:vMerge/>
          </w:tcPr>
          <w:p w14:paraId="68ACC5E3" w14:textId="77777777" w:rsidR="00380021" w:rsidRPr="00380021" w:rsidRDefault="00380021" w:rsidP="00380021">
            <w:pPr>
              <w:rPr>
                <w:rFonts w:ascii="Times New Roman" w:eastAsiaTheme="minorEastAsia" w:hAnsi="Times New Roman" w:cs="Times New Roman"/>
                <w:sz w:val="20"/>
                <w:szCs w:val="20"/>
              </w:rPr>
            </w:pPr>
          </w:p>
        </w:tc>
      </w:tr>
      <w:tr w:rsidR="00380021" w14:paraId="0728C158" w14:textId="77777777" w:rsidTr="006729FA">
        <w:tc>
          <w:tcPr>
            <w:tcW w:w="3114" w:type="dxa"/>
          </w:tcPr>
          <w:p w14:paraId="3C38AEF8" w14:textId="231A79A6" w:rsidR="00380021" w:rsidRPr="00380021" w:rsidRDefault="00380021" w:rsidP="00380021">
            <w:pP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 xml:space="preserve">   Occasionally</w:t>
            </w:r>
          </w:p>
        </w:tc>
        <w:tc>
          <w:tcPr>
            <w:tcW w:w="2268" w:type="dxa"/>
          </w:tcPr>
          <w:p w14:paraId="659D32AA" w14:textId="2F106A61"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1</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(1.2)</w:t>
            </w:r>
          </w:p>
        </w:tc>
        <w:tc>
          <w:tcPr>
            <w:tcW w:w="2268" w:type="dxa"/>
          </w:tcPr>
          <w:p w14:paraId="5AAD840A" w14:textId="2D6F7B37" w:rsidR="00380021" w:rsidRPr="00380021" w:rsidRDefault="00380021" w:rsidP="00380021">
            <w:pPr>
              <w:widowControl w:val="0"/>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3</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(0.1)</w:t>
            </w:r>
          </w:p>
        </w:tc>
        <w:tc>
          <w:tcPr>
            <w:tcW w:w="1139" w:type="dxa"/>
          </w:tcPr>
          <w:p w14:paraId="4DAF5D22" w14:textId="77777777" w:rsidR="00380021" w:rsidRPr="00380021" w:rsidRDefault="00380021" w:rsidP="00380021">
            <w:pPr>
              <w:rPr>
                <w:rFonts w:ascii="Times New Roman" w:eastAsiaTheme="minorEastAsia" w:hAnsi="Times New Roman" w:cs="Times New Roman"/>
                <w:sz w:val="20"/>
                <w:szCs w:val="20"/>
              </w:rPr>
            </w:pPr>
          </w:p>
        </w:tc>
        <w:tc>
          <w:tcPr>
            <w:tcW w:w="850" w:type="dxa"/>
            <w:vMerge/>
          </w:tcPr>
          <w:p w14:paraId="5B94B199" w14:textId="77777777" w:rsidR="00380021" w:rsidRPr="00380021" w:rsidRDefault="00380021" w:rsidP="00380021">
            <w:pPr>
              <w:rPr>
                <w:rFonts w:ascii="Times New Roman" w:eastAsiaTheme="minorEastAsia" w:hAnsi="Times New Roman" w:cs="Times New Roman"/>
                <w:sz w:val="20"/>
                <w:szCs w:val="20"/>
              </w:rPr>
            </w:pPr>
          </w:p>
        </w:tc>
        <w:tc>
          <w:tcPr>
            <w:tcW w:w="1276" w:type="dxa"/>
            <w:vMerge/>
          </w:tcPr>
          <w:p w14:paraId="726E2906" w14:textId="77777777" w:rsidR="00380021" w:rsidRPr="00380021" w:rsidRDefault="00380021" w:rsidP="00380021">
            <w:pPr>
              <w:rPr>
                <w:rFonts w:ascii="Times New Roman" w:eastAsiaTheme="minorEastAsia" w:hAnsi="Times New Roman" w:cs="Times New Roman"/>
                <w:sz w:val="20"/>
                <w:szCs w:val="20"/>
              </w:rPr>
            </w:pPr>
          </w:p>
        </w:tc>
      </w:tr>
      <w:tr w:rsidR="00380021" w14:paraId="4CC9BC69" w14:textId="77777777" w:rsidTr="006729FA">
        <w:tc>
          <w:tcPr>
            <w:tcW w:w="3114" w:type="dxa"/>
          </w:tcPr>
          <w:p w14:paraId="595D5356" w14:textId="49B9A06C" w:rsidR="00380021" w:rsidRPr="00380021" w:rsidRDefault="00380021" w:rsidP="00380021">
            <w:pP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 xml:space="preserve">   Daily</w:t>
            </w:r>
          </w:p>
        </w:tc>
        <w:tc>
          <w:tcPr>
            <w:tcW w:w="2268" w:type="dxa"/>
          </w:tcPr>
          <w:p w14:paraId="6C52EF51" w14:textId="28D6AFE5" w:rsidR="00380021" w:rsidRPr="00380021" w:rsidRDefault="00380021" w:rsidP="00380021">
            <w:pPr>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(0.0)</w:t>
            </w:r>
          </w:p>
        </w:tc>
        <w:tc>
          <w:tcPr>
            <w:tcW w:w="2268" w:type="dxa"/>
          </w:tcPr>
          <w:p w14:paraId="44B3F7E7" w14:textId="4F269F89" w:rsidR="00380021" w:rsidRPr="00380021" w:rsidRDefault="00380021" w:rsidP="00380021">
            <w:pPr>
              <w:jc w:val="center"/>
              <w:rPr>
                <w:rFonts w:ascii="Times New Roman" w:eastAsia="Arial Unicode MS" w:hAnsi="Times New Roman" w:cs="Times New Roman"/>
                <w:color w:val="00000A"/>
                <w:sz w:val="20"/>
                <w:szCs w:val="20"/>
                <w:lang w:eastAsia="zh-CN" w:bidi="hi-IN"/>
              </w:rPr>
            </w:pPr>
            <w:r w:rsidRPr="00380021">
              <w:rPr>
                <w:rFonts w:ascii="Times New Roman" w:eastAsia="Arial Unicode MS" w:hAnsi="Times New Roman" w:cs="Times New Roman"/>
                <w:color w:val="00000A"/>
                <w:sz w:val="20"/>
                <w:szCs w:val="20"/>
                <w:lang w:eastAsia="zh-CN" w:bidi="hi-IN"/>
              </w:rPr>
              <w:t>5</w:t>
            </w:r>
            <w:r>
              <w:rPr>
                <w:rFonts w:ascii="Times New Roman" w:eastAsia="Arial Unicode MS" w:hAnsi="Times New Roman" w:cs="Times New Roman"/>
                <w:color w:val="00000A"/>
                <w:sz w:val="20"/>
                <w:szCs w:val="20"/>
                <w:lang w:eastAsia="zh-CN" w:bidi="hi-IN"/>
              </w:rPr>
              <w:t xml:space="preserve"> </w:t>
            </w:r>
            <w:r w:rsidRPr="00380021">
              <w:rPr>
                <w:rFonts w:ascii="Times New Roman" w:eastAsia="Arial Unicode MS" w:hAnsi="Times New Roman" w:cs="Times New Roman"/>
                <w:color w:val="00000A"/>
                <w:sz w:val="20"/>
                <w:szCs w:val="20"/>
                <w:lang w:eastAsia="zh-CN" w:bidi="hi-IN"/>
              </w:rPr>
              <w:t>(0.2)</w:t>
            </w:r>
          </w:p>
        </w:tc>
        <w:tc>
          <w:tcPr>
            <w:tcW w:w="1139" w:type="dxa"/>
          </w:tcPr>
          <w:p w14:paraId="473A2DF6" w14:textId="77777777" w:rsidR="00380021" w:rsidRPr="00380021" w:rsidRDefault="00380021" w:rsidP="00380021">
            <w:pPr>
              <w:rPr>
                <w:rFonts w:ascii="Times New Roman" w:eastAsiaTheme="minorEastAsia" w:hAnsi="Times New Roman" w:cs="Times New Roman"/>
                <w:sz w:val="20"/>
                <w:szCs w:val="20"/>
              </w:rPr>
            </w:pPr>
          </w:p>
        </w:tc>
        <w:tc>
          <w:tcPr>
            <w:tcW w:w="850" w:type="dxa"/>
            <w:vMerge/>
          </w:tcPr>
          <w:p w14:paraId="1E02166D" w14:textId="77777777" w:rsidR="00380021" w:rsidRPr="00380021" w:rsidRDefault="00380021" w:rsidP="00380021">
            <w:pPr>
              <w:rPr>
                <w:rFonts w:ascii="Times New Roman" w:eastAsiaTheme="minorEastAsia" w:hAnsi="Times New Roman" w:cs="Times New Roman"/>
                <w:sz w:val="20"/>
                <w:szCs w:val="20"/>
              </w:rPr>
            </w:pPr>
          </w:p>
        </w:tc>
        <w:tc>
          <w:tcPr>
            <w:tcW w:w="1276" w:type="dxa"/>
            <w:vMerge/>
          </w:tcPr>
          <w:p w14:paraId="51232831" w14:textId="77777777" w:rsidR="00380021" w:rsidRPr="00380021" w:rsidRDefault="00380021" w:rsidP="00380021">
            <w:pPr>
              <w:rPr>
                <w:rFonts w:ascii="Times New Roman" w:eastAsiaTheme="minorEastAsia" w:hAnsi="Times New Roman" w:cs="Times New Roman"/>
                <w:sz w:val="20"/>
                <w:szCs w:val="20"/>
              </w:rPr>
            </w:pPr>
          </w:p>
        </w:tc>
      </w:tr>
      <w:tr w:rsidR="00E70F50" w14:paraId="3246A75A" w14:textId="77777777" w:rsidTr="006729FA">
        <w:tc>
          <w:tcPr>
            <w:tcW w:w="10915" w:type="dxa"/>
            <w:gridSpan w:val="6"/>
          </w:tcPr>
          <w:p w14:paraId="1DF099BD" w14:textId="0D337CC0" w:rsidR="00E70F50" w:rsidRPr="00E70F50" w:rsidRDefault="00E70F50" w:rsidP="00380021">
            <w:pPr>
              <w:rPr>
                <w:rFonts w:ascii="Times New Roman" w:eastAsiaTheme="minorEastAsia" w:hAnsi="Times New Roman" w:cs="Times New Roman"/>
                <w:sz w:val="20"/>
                <w:szCs w:val="20"/>
              </w:rPr>
            </w:pPr>
            <w:r w:rsidRPr="00E70F50">
              <w:rPr>
                <w:rFonts w:ascii="Times New Roman" w:eastAsia="Arial Unicode MS" w:hAnsi="Times New Roman" w:cs="Times New Roman"/>
                <w:color w:val="00000A"/>
                <w:sz w:val="20"/>
                <w:szCs w:val="20"/>
                <w:lang w:eastAsia="zh-CN" w:bidi="hi-IN"/>
              </w:rPr>
              <w:t>Sedatives</w:t>
            </w:r>
          </w:p>
        </w:tc>
      </w:tr>
      <w:tr w:rsidR="00E70F50" w14:paraId="0324AF97" w14:textId="77777777" w:rsidTr="006729FA">
        <w:tc>
          <w:tcPr>
            <w:tcW w:w="3114" w:type="dxa"/>
          </w:tcPr>
          <w:p w14:paraId="3B15CEBE" w14:textId="2AC726FA" w:rsidR="00E70F50" w:rsidRPr="00E70F50" w:rsidRDefault="00E70F50" w:rsidP="00E70F50">
            <w:pP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 xml:space="preserve">   Never</w:t>
            </w:r>
          </w:p>
        </w:tc>
        <w:tc>
          <w:tcPr>
            <w:tcW w:w="2268" w:type="dxa"/>
          </w:tcPr>
          <w:p w14:paraId="4EA92E7B" w14:textId="31CE7DF0" w:rsidR="00E70F50" w:rsidRPr="00E70F50" w:rsidRDefault="00E70F50" w:rsidP="00E70F50">
            <w:pPr>
              <w:widowControl w:val="0"/>
              <w:jc w:val="cente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74</w:t>
            </w:r>
            <w:r>
              <w:rPr>
                <w:rFonts w:ascii="Times New Roman" w:eastAsia="Arial Unicode MS" w:hAnsi="Times New Roman" w:cs="Times New Roman"/>
                <w:color w:val="00000A"/>
                <w:sz w:val="20"/>
                <w:szCs w:val="20"/>
                <w:lang w:eastAsia="zh-CN" w:bidi="hi-IN"/>
              </w:rPr>
              <w:t xml:space="preserve"> </w:t>
            </w:r>
            <w:r w:rsidRPr="00E70F50">
              <w:rPr>
                <w:rFonts w:ascii="Times New Roman" w:eastAsia="Arial Unicode MS" w:hAnsi="Times New Roman" w:cs="Times New Roman"/>
                <w:color w:val="00000A"/>
                <w:sz w:val="20"/>
                <w:szCs w:val="20"/>
                <w:lang w:eastAsia="zh-CN" w:bidi="hi-IN"/>
              </w:rPr>
              <w:t>(89.2)</w:t>
            </w:r>
          </w:p>
        </w:tc>
        <w:tc>
          <w:tcPr>
            <w:tcW w:w="2268" w:type="dxa"/>
          </w:tcPr>
          <w:p w14:paraId="4B690E42" w14:textId="08044524" w:rsidR="00E70F50" w:rsidRPr="00E70F50" w:rsidRDefault="00E70F50" w:rsidP="00E70F50">
            <w:pPr>
              <w:widowControl w:val="0"/>
              <w:jc w:val="cente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3163</w:t>
            </w:r>
            <w:r>
              <w:rPr>
                <w:rFonts w:ascii="Times New Roman" w:eastAsia="Arial Unicode MS" w:hAnsi="Times New Roman" w:cs="Times New Roman"/>
                <w:color w:val="00000A"/>
                <w:sz w:val="20"/>
                <w:szCs w:val="20"/>
                <w:lang w:eastAsia="zh-CN" w:bidi="hi-IN"/>
              </w:rPr>
              <w:t xml:space="preserve"> </w:t>
            </w:r>
            <w:r w:rsidRPr="00E70F50">
              <w:rPr>
                <w:rFonts w:ascii="Times New Roman" w:eastAsia="Arial Unicode MS" w:hAnsi="Times New Roman" w:cs="Times New Roman"/>
                <w:color w:val="00000A"/>
                <w:sz w:val="20"/>
                <w:szCs w:val="20"/>
                <w:lang w:eastAsia="zh-CN" w:bidi="hi-IN"/>
              </w:rPr>
              <w:t>(95.4)</w:t>
            </w:r>
          </w:p>
        </w:tc>
        <w:tc>
          <w:tcPr>
            <w:tcW w:w="1139" w:type="dxa"/>
          </w:tcPr>
          <w:p w14:paraId="1854D132" w14:textId="4B86F176" w:rsidR="00E70F50" w:rsidRPr="00E70F50" w:rsidRDefault="00E70F50" w:rsidP="00E70F50">
            <w:pPr>
              <w:jc w:val="center"/>
              <w:rPr>
                <w:rFonts w:ascii="Times New Roman" w:eastAsia="Calibri" w:hAnsi="Times New Roman" w:cs="Times New Roman"/>
                <w:sz w:val="20"/>
                <w:szCs w:val="20"/>
              </w:rPr>
            </w:pPr>
            <w:r w:rsidRPr="00E70F50">
              <w:rPr>
                <w:rFonts w:ascii="Times New Roman" w:eastAsia="Calibri" w:hAnsi="Times New Roman" w:cs="Times New Roman"/>
                <w:sz w:val="20"/>
                <w:szCs w:val="20"/>
              </w:rPr>
              <w:t>LR=6.326</w:t>
            </w:r>
          </w:p>
        </w:tc>
        <w:tc>
          <w:tcPr>
            <w:tcW w:w="850" w:type="dxa"/>
            <w:vMerge w:val="restart"/>
            <w:vAlign w:val="center"/>
          </w:tcPr>
          <w:p w14:paraId="08EA2F21" w14:textId="0A981C80" w:rsidR="00E70F50" w:rsidRPr="00E70F50" w:rsidRDefault="00E70F50" w:rsidP="00E70F50">
            <w:pPr>
              <w:jc w:val="center"/>
              <w:rPr>
                <w:rFonts w:ascii="Times New Roman" w:eastAsiaTheme="minorEastAsia" w:hAnsi="Times New Roman" w:cs="Times New Roman"/>
                <w:sz w:val="20"/>
                <w:szCs w:val="20"/>
              </w:rPr>
            </w:pPr>
            <w:r w:rsidRPr="00E70F50">
              <w:rPr>
                <w:rFonts w:ascii="Times New Roman" w:eastAsia="Arial Unicode MS" w:hAnsi="Times New Roman" w:cs="Times New Roman"/>
                <w:color w:val="00000A"/>
                <w:sz w:val="20"/>
                <w:szCs w:val="20"/>
                <w:lang w:eastAsia="zh-CN" w:bidi="hi-IN"/>
              </w:rPr>
              <w:t>.176</w:t>
            </w:r>
          </w:p>
        </w:tc>
        <w:tc>
          <w:tcPr>
            <w:tcW w:w="1276" w:type="dxa"/>
            <w:vMerge w:val="restart"/>
          </w:tcPr>
          <w:p w14:paraId="1B1EAECD" w14:textId="77777777" w:rsidR="00E70F50" w:rsidRPr="00E70F50" w:rsidRDefault="00E70F50" w:rsidP="00E70F50">
            <w:pPr>
              <w:rPr>
                <w:rFonts w:ascii="Times New Roman" w:eastAsiaTheme="minorEastAsia" w:hAnsi="Times New Roman" w:cs="Times New Roman"/>
                <w:sz w:val="20"/>
                <w:szCs w:val="20"/>
              </w:rPr>
            </w:pPr>
          </w:p>
        </w:tc>
      </w:tr>
      <w:tr w:rsidR="00E70F50" w14:paraId="21A4ECA3" w14:textId="77777777" w:rsidTr="006729FA">
        <w:tc>
          <w:tcPr>
            <w:tcW w:w="3114" w:type="dxa"/>
          </w:tcPr>
          <w:p w14:paraId="1E72A9A1" w14:textId="352F00FD" w:rsidR="00E70F50" w:rsidRPr="00E70F50" w:rsidRDefault="00E70F50" w:rsidP="00E70F50">
            <w:pP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 xml:space="preserve">   In past, not within past 12 months</w:t>
            </w:r>
          </w:p>
        </w:tc>
        <w:tc>
          <w:tcPr>
            <w:tcW w:w="2268" w:type="dxa"/>
          </w:tcPr>
          <w:p w14:paraId="2FE241CF" w14:textId="0E78D3C9" w:rsidR="00E70F50" w:rsidRPr="00E70F50" w:rsidRDefault="00E70F50" w:rsidP="00E70F50">
            <w:pPr>
              <w:widowControl w:val="0"/>
              <w:jc w:val="cente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5</w:t>
            </w:r>
            <w:r>
              <w:rPr>
                <w:rFonts w:ascii="Times New Roman" w:eastAsia="Arial Unicode MS" w:hAnsi="Times New Roman" w:cs="Times New Roman"/>
                <w:color w:val="00000A"/>
                <w:sz w:val="20"/>
                <w:szCs w:val="20"/>
                <w:lang w:eastAsia="zh-CN" w:bidi="hi-IN"/>
              </w:rPr>
              <w:t xml:space="preserve"> </w:t>
            </w:r>
            <w:r w:rsidRPr="00E70F50">
              <w:rPr>
                <w:rFonts w:ascii="Times New Roman" w:eastAsia="Arial Unicode MS" w:hAnsi="Times New Roman" w:cs="Times New Roman"/>
                <w:color w:val="00000A"/>
                <w:sz w:val="20"/>
                <w:szCs w:val="20"/>
                <w:lang w:eastAsia="zh-CN" w:bidi="hi-IN"/>
              </w:rPr>
              <w:t>(6.0)</w:t>
            </w:r>
          </w:p>
        </w:tc>
        <w:tc>
          <w:tcPr>
            <w:tcW w:w="2268" w:type="dxa"/>
          </w:tcPr>
          <w:p w14:paraId="16035E25" w14:textId="54255BCC" w:rsidR="00E70F50" w:rsidRPr="00E70F50" w:rsidRDefault="00E70F50" w:rsidP="00E70F50">
            <w:pPr>
              <w:widowControl w:val="0"/>
              <w:jc w:val="cente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85</w:t>
            </w:r>
            <w:r>
              <w:rPr>
                <w:rFonts w:ascii="Times New Roman" w:eastAsia="Arial Unicode MS" w:hAnsi="Times New Roman" w:cs="Times New Roman"/>
                <w:color w:val="00000A"/>
                <w:sz w:val="20"/>
                <w:szCs w:val="20"/>
                <w:lang w:eastAsia="zh-CN" w:bidi="hi-IN"/>
              </w:rPr>
              <w:t xml:space="preserve"> </w:t>
            </w:r>
            <w:r w:rsidRPr="00E70F50">
              <w:rPr>
                <w:rFonts w:ascii="Times New Roman" w:eastAsia="Arial Unicode MS" w:hAnsi="Times New Roman" w:cs="Times New Roman"/>
                <w:color w:val="00000A"/>
                <w:sz w:val="20"/>
                <w:szCs w:val="20"/>
                <w:lang w:eastAsia="zh-CN" w:bidi="hi-IN"/>
              </w:rPr>
              <w:t>(2.6)</w:t>
            </w:r>
          </w:p>
        </w:tc>
        <w:tc>
          <w:tcPr>
            <w:tcW w:w="1139" w:type="dxa"/>
          </w:tcPr>
          <w:p w14:paraId="1A3F70E9" w14:textId="691C2B4A" w:rsidR="00E70F50" w:rsidRPr="00E70F50" w:rsidRDefault="00E70F50" w:rsidP="00E70F50">
            <w:pPr>
              <w:jc w:val="center"/>
              <w:rPr>
                <w:rFonts w:ascii="Times New Roman" w:eastAsiaTheme="minorEastAsia" w:hAnsi="Times New Roman" w:cs="Times New Roman"/>
                <w:sz w:val="20"/>
                <w:szCs w:val="20"/>
              </w:rPr>
            </w:pPr>
            <w:r w:rsidRPr="00E70F50">
              <w:rPr>
                <w:rFonts w:ascii="Times New Roman" w:eastAsia="Calibri" w:hAnsi="Times New Roman" w:cs="Times New Roman"/>
                <w:sz w:val="20"/>
                <w:szCs w:val="20"/>
              </w:rPr>
              <w:t>df=4</w:t>
            </w:r>
          </w:p>
        </w:tc>
        <w:tc>
          <w:tcPr>
            <w:tcW w:w="850" w:type="dxa"/>
            <w:vMerge/>
          </w:tcPr>
          <w:p w14:paraId="0EDB485B" w14:textId="77777777" w:rsidR="00E70F50" w:rsidRPr="00E70F50" w:rsidRDefault="00E70F50" w:rsidP="00E70F50">
            <w:pPr>
              <w:rPr>
                <w:rFonts w:ascii="Times New Roman" w:eastAsiaTheme="minorEastAsia" w:hAnsi="Times New Roman" w:cs="Times New Roman"/>
                <w:sz w:val="20"/>
                <w:szCs w:val="20"/>
              </w:rPr>
            </w:pPr>
          </w:p>
        </w:tc>
        <w:tc>
          <w:tcPr>
            <w:tcW w:w="1276" w:type="dxa"/>
            <w:vMerge/>
          </w:tcPr>
          <w:p w14:paraId="0D7376E5" w14:textId="77777777" w:rsidR="00E70F50" w:rsidRPr="00E70F50" w:rsidRDefault="00E70F50" w:rsidP="00E70F50">
            <w:pPr>
              <w:rPr>
                <w:rFonts w:ascii="Times New Roman" w:eastAsiaTheme="minorEastAsia" w:hAnsi="Times New Roman" w:cs="Times New Roman"/>
                <w:sz w:val="20"/>
                <w:szCs w:val="20"/>
              </w:rPr>
            </w:pPr>
          </w:p>
        </w:tc>
      </w:tr>
      <w:tr w:rsidR="00E70F50" w14:paraId="7C1D7BC1" w14:textId="77777777" w:rsidTr="006729FA">
        <w:tc>
          <w:tcPr>
            <w:tcW w:w="3114" w:type="dxa"/>
          </w:tcPr>
          <w:p w14:paraId="360E6135" w14:textId="6745BE47" w:rsidR="00E70F50" w:rsidRPr="00E70F50" w:rsidRDefault="00E70F50" w:rsidP="00E70F50">
            <w:pP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 xml:space="preserve">   Rarely</w:t>
            </w:r>
          </w:p>
        </w:tc>
        <w:tc>
          <w:tcPr>
            <w:tcW w:w="2268" w:type="dxa"/>
          </w:tcPr>
          <w:p w14:paraId="60B3FD14" w14:textId="777EE0E2" w:rsidR="00E70F50" w:rsidRPr="00E70F50" w:rsidRDefault="00E70F50" w:rsidP="00E70F50">
            <w:pPr>
              <w:widowControl w:val="0"/>
              <w:jc w:val="cente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3</w:t>
            </w:r>
            <w:r>
              <w:rPr>
                <w:rFonts w:ascii="Times New Roman" w:eastAsia="Arial Unicode MS" w:hAnsi="Times New Roman" w:cs="Times New Roman"/>
                <w:color w:val="00000A"/>
                <w:sz w:val="20"/>
                <w:szCs w:val="20"/>
                <w:lang w:eastAsia="zh-CN" w:bidi="hi-IN"/>
              </w:rPr>
              <w:t xml:space="preserve"> </w:t>
            </w:r>
            <w:r w:rsidRPr="00E70F50">
              <w:rPr>
                <w:rFonts w:ascii="Times New Roman" w:eastAsia="Arial Unicode MS" w:hAnsi="Times New Roman" w:cs="Times New Roman"/>
                <w:color w:val="00000A"/>
                <w:sz w:val="20"/>
                <w:szCs w:val="20"/>
                <w:lang w:eastAsia="zh-CN" w:bidi="hi-IN"/>
              </w:rPr>
              <w:t>(3.6)</w:t>
            </w:r>
          </w:p>
        </w:tc>
        <w:tc>
          <w:tcPr>
            <w:tcW w:w="2268" w:type="dxa"/>
          </w:tcPr>
          <w:p w14:paraId="7400C566" w14:textId="0EDD1EFB" w:rsidR="00E70F50" w:rsidRPr="00E70F50" w:rsidRDefault="00E70F50" w:rsidP="00E70F50">
            <w:pPr>
              <w:widowControl w:val="0"/>
              <w:jc w:val="cente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38</w:t>
            </w:r>
            <w:r>
              <w:rPr>
                <w:rFonts w:ascii="Times New Roman" w:eastAsia="Arial Unicode MS" w:hAnsi="Times New Roman" w:cs="Times New Roman"/>
                <w:color w:val="00000A"/>
                <w:sz w:val="20"/>
                <w:szCs w:val="20"/>
                <w:lang w:eastAsia="zh-CN" w:bidi="hi-IN"/>
              </w:rPr>
              <w:t xml:space="preserve"> </w:t>
            </w:r>
            <w:r w:rsidRPr="00E70F50">
              <w:rPr>
                <w:rFonts w:ascii="Times New Roman" w:eastAsia="Arial Unicode MS" w:hAnsi="Times New Roman" w:cs="Times New Roman"/>
                <w:color w:val="00000A"/>
                <w:sz w:val="20"/>
                <w:szCs w:val="20"/>
                <w:lang w:eastAsia="zh-CN" w:bidi="hi-IN"/>
              </w:rPr>
              <w:t>(1.1)</w:t>
            </w:r>
          </w:p>
        </w:tc>
        <w:tc>
          <w:tcPr>
            <w:tcW w:w="1139" w:type="dxa"/>
          </w:tcPr>
          <w:p w14:paraId="5CA1D1CA" w14:textId="77777777" w:rsidR="00E70F50" w:rsidRPr="00E70F50" w:rsidRDefault="00E70F50" w:rsidP="00E70F50">
            <w:pPr>
              <w:rPr>
                <w:rFonts w:ascii="Times New Roman" w:eastAsiaTheme="minorEastAsia" w:hAnsi="Times New Roman" w:cs="Times New Roman"/>
                <w:sz w:val="20"/>
                <w:szCs w:val="20"/>
              </w:rPr>
            </w:pPr>
          </w:p>
        </w:tc>
        <w:tc>
          <w:tcPr>
            <w:tcW w:w="850" w:type="dxa"/>
            <w:vMerge/>
          </w:tcPr>
          <w:p w14:paraId="46FA1669" w14:textId="77777777" w:rsidR="00E70F50" w:rsidRPr="00E70F50" w:rsidRDefault="00E70F50" w:rsidP="00E70F50">
            <w:pPr>
              <w:rPr>
                <w:rFonts w:ascii="Times New Roman" w:eastAsiaTheme="minorEastAsia" w:hAnsi="Times New Roman" w:cs="Times New Roman"/>
                <w:sz w:val="20"/>
                <w:szCs w:val="20"/>
              </w:rPr>
            </w:pPr>
          </w:p>
        </w:tc>
        <w:tc>
          <w:tcPr>
            <w:tcW w:w="1276" w:type="dxa"/>
            <w:vMerge/>
          </w:tcPr>
          <w:p w14:paraId="033AA6CB" w14:textId="77777777" w:rsidR="00E70F50" w:rsidRPr="00E70F50" w:rsidRDefault="00E70F50" w:rsidP="00E70F50">
            <w:pPr>
              <w:rPr>
                <w:rFonts w:ascii="Times New Roman" w:eastAsiaTheme="minorEastAsia" w:hAnsi="Times New Roman" w:cs="Times New Roman"/>
                <w:sz w:val="20"/>
                <w:szCs w:val="20"/>
              </w:rPr>
            </w:pPr>
          </w:p>
        </w:tc>
      </w:tr>
      <w:tr w:rsidR="00E70F50" w14:paraId="2AA984DF" w14:textId="77777777" w:rsidTr="006729FA">
        <w:tc>
          <w:tcPr>
            <w:tcW w:w="3114" w:type="dxa"/>
          </w:tcPr>
          <w:p w14:paraId="45BEAE3D" w14:textId="79A197DC" w:rsidR="00E70F50" w:rsidRPr="00E70F50" w:rsidRDefault="00E70F50" w:rsidP="00E70F50">
            <w:pP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 xml:space="preserve">   Occasionally</w:t>
            </w:r>
          </w:p>
        </w:tc>
        <w:tc>
          <w:tcPr>
            <w:tcW w:w="2268" w:type="dxa"/>
          </w:tcPr>
          <w:p w14:paraId="3F2F31D4" w14:textId="3F7A754D" w:rsidR="00E70F50" w:rsidRPr="00E70F50" w:rsidRDefault="00E70F50" w:rsidP="00E70F50">
            <w:pPr>
              <w:widowControl w:val="0"/>
              <w:jc w:val="cente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1</w:t>
            </w:r>
            <w:r>
              <w:rPr>
                <w:rFonts w:ascii="Times New Roman" w:eastAsia="Arial Unicode MS" w:hAnsi="Times New Roman" w:cs="Times New Roman"/>
                <w:color w:val="00000A"/>
                <w:sz w:val="20"/>
                <w:szCs w:val="20"/>
                <w:lang w:eastAsia="zh-CN" w:bidi="hi-IN"/>
              </w:rPr>
              <w:t xml:space="preserve"> </w:t>
            </w:r>
            <w:r w:rsidRPr="00E70F50">
              <w:rPr>
                <w:rFonts w:ascii="Times New Roman" w:eastAsia="Arial Unicode MS" w:hAnsi="Times New Roman" w:cs="Times New Roman"/>
                <w:color w:val="00000A"/>
                <w:sz w:val="20"/>
                <w:szCs w:val="20"/>
                <w:lang w:eastAsia="zh-CN" w:bidi="hi-IN"/>
              </w:rPr>
              <w:t>(1.2)</w:t>
            </w:r>
          </w:p>
        </w:tc>
        <w:tc>
          <w:tcPr>
            <w:tcW w:w="2268" w:type="dxa"/>
          </w:tcPr>
          <w:p w14:paraId="1097596D" w14:textId="1D072850" w:rsidR="00E70F50" w:rsidRPr="00E70F50" w:rsidRDefault="00E70F50" w:rsidP="00E70F50">
            <w:pPr>
              <w:widowControl w:val="0"/>
              <w:jc w:val="cente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23</w:t>
            </w:r>
            <w:r>
              <w:rPr>
                <w:rFonts w:ascii="Times New Roman" w:eastAsia="Arial Unicode MS" w:hAnsi="Times New Roman" w:cs="Times New Roman"/>
                <w:color w:val="00000A"/>
                <w:sz w:val="20"/>
                <w:szCs w:val="20"/>
                <w:lang w:eastAsia="zh-CN" w:bidi="hi-IN"/>
              </w:rPr>
              <w:t xml:space="preserve"> </w:t>
            </w:r>
            <w:r w:rsidRPr="00E70F50">
              <w:rPr>
                <w:rFonts w:ascii="Times New Roman" w:eastAsia="Arial Unicode MS" w:hAnsi="Times New Roman" w:cs="Times New Roman"/>
                <w:color w:val="00000A"/>
                <w:sz w:val="20"/>
                <w:szCs w:val="20"/>
                <w:lang w:eastAsia="zh-CN" w:bidi="hi-IN"/>
              </w:rPr>
              <w:t>(0.7)</w:t>
            </w:r>
          </w:p>
        </w:tc>
        <w:tc>
          <w:tcPr>
            <w:tcW w:w="1139" w:type="dxa"/>
          </w:tcPr>
          <w:p w14:paraId="194E620C" w14:textId="77777777" w:rsidR="00E70F50" w:rsidRPr="00E70F50" w:rsidRDefault="00E70F50" w:rsidP="00E70F50">
            <w:pPr>
              <w:rPr>
                <w:rFonts w:ascii="Times New Roman" w:eastAsiaTheme="minorEastAsia" w:hAnsi="Times New Roman" w:cs="Times New Roman"/>
                <w:sz w:val="20"/>
                <w:szCs w:val="20"/>
              </w:rPr>
            </w:pPr>
          </w:p>
        </w:tc>
        <w:tc>
          <w:tcPr>
            <w:tcW w:w="850" w:type="dxa"/>
            <w:vMerge/>
          </w:tcPr>
          <w:p w14:paraId="6F1429B8" w14:textId="77777777" w:rsidR="00E70F50" w:rsidRPr="00E70F50" w:rsidRDefault="00E70F50" w:rsidP="00E70F50">
            <w:pPr>
              <w:rPr>
                <w:rFonts w:ascii="Times New Roman" w:eastAsiaTheme="minorEastAsia" w:hAnsi="Times New Roman" w:cs="Times New Roman"/>
                <w:sz w:val="20"/>
                <w:szCs w:val="20"/>
              </w:rPr>
            </w:pPr>
          </w:p>
        </w:tc>
        <w:tc>
          <w:tcPr>
            <w:tcW w:w="1276" w:type="dxa"/>
            <w:vMerge/>
          </w:tcPr>
          <w:p w14:paraId="73915CFE" w14:textId="77777777" w:rsidR="00E70F50" w:rsidRPr="00E70F50" w:rsidRDefault="00E70F50" w:rsidP="00E70F50">
            <w:pPr>
              <w:rPr>
                <w:rFonts w:ascii="Times New Roman" w:eastAsiaTheme="minorEastAsia" w:hAnsi="Times New Roman" w:cs="Times New Roman"/>
                <w:sz w:val="20"/>
                <w:szCs w:val="20"/>
              </w:rPr>
            </w:pPr>
          </w:p>
        </w:tc>
      </w:tr>
      <w:tr w:rsidR="00E70F50" w14:paraId="70692702" w14:textId="77777777" w:rsidTr="006729FA">
        <w:tc>
          <w:tcPr>
            <w:tcW w:w="3114" w:type="dxa"/>
          </w:tcPr>
          <w:p w14:paraId="437DC129" w14:textId="474BCC9B" w:rsidR="00E70F50" w:rsidRPr="00E70F50" w:rsidRDefault="00E70F50" w:rsidP="00E70F50">
            <w:pP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 xml:space="preserve">   Daily</w:t>
            </w:r>
          </w:p>
        </w:tc>
        <w:tc>
          <w:tcPr>
            <w:tcW w:w="2268" w:type="dxa"/>
          </w:tcPr>
          <w:p w14:paraId="4A680AF3" w14:textId="36A24EA5" w:rsidR="00E70F50" w:rsidRPr="00E70F50" w:rsidRDefault="00E70F50" w:rsidP="00E70F50">
            <w:pPr>
              <w:jc w:val="cente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E70F50">
              <w:rPr>
                <w:rFonts w:ascii="Times New Roman" w:eastAsia="Arial Unicode MS" w:hAnsi="Times New Roman" w:cs="Times New Roman"/>
                <w:color w:val="00000A"/>
                <w:sz w:val="20"/>
                <w:szCs w:val="20"/>
                <w:lang w:eastAsia="zh-CN" w:bidi="hi-IN"/>
              </w:rPr>
              <w:t>(0.0)</w:t>
            </w:r>
          </w:p>
        </w:tc>
        <w:tc>
          <w:tcPr>
            <w:tcW w:w="2268" w:type="dxa"/>
          </w:tcPr>
          <w:p w14:paraId="1478E9F1" w14:textId="0BAFD1A8" w:rsidR="00E70F50" w:rsidRPr="00E70F50" w:rsidRDefault="00E70F50" w:rsidP="00E70F50">
            <w:pPr>
              <w:jc w:val="center"/>
              <w:rPr>
                <w:rFonts w:ascii="Times New Roman" w:eastAsia="Arial Unicode MS" w:hAnsi="Times New Roman" w:cs="Times New Roman"/>
                <w:color w:val="00000A"/>
                <w:sz w:val="20"/>
                <w:szCs w:val="20"/>
                <w:lang w:eastAsia="zh-CN" w:bidi="hi-IN"/>
              </w:rPr>
            </w:pPr>
            <w:r w:rsidRPr="00E70F50">
              <w:rPr>
                <w:rFonts w:ascii="Times New Roman" w:eastAsia="Arial Unicode MS" w:hAnsi="Times New Roman" w:cs="Times New Roman"/>
                <w:color w:val="00000A"/>
                <w:sz w:val="20"/>
                <w:szCs w:val="20"/>
                <w:lang w:eastAsia="zh-CN" w:bidi="hi-IN"/>
              </w:rPr>
              <w:t>7</w:t>
            </w:r>
            <w:r>
              <w:rPr>
                <w:rFonts w:ascii="Times New Roman" w:eastAsia="Arial Unicode MS" w:hAnsi="Times New Roman" w:cs="Times New Roman"/>
                <w:color w:val="00000A"/>
                <w:sz w:val="20"/>
                <w:szCs w:val="20"/>
                <w:lang w:eastAsia="zh-CN" w:bidi="hi-IN"/>
              </w:rPr>
              <w:t xml:space="preserve"> </w:t>
            </w:r>
            <w:r w:rsidRPr="00E70F50">
              <w:rPr>
                <w:rFonts w:ascii="Times New Roman" w:eastAsia="Arial Unicode MS" w:hAnsi="Times New Roman" w:cs="Times New Roman"/>
                <w:color w:val="00000A"/>
                <w:sz w:val="20"/>
                <w:szCs w:val="20"/>
                <w:lang w:eastAsia="zh-CN" w:bidi="hi-IN"/>
              </w:rPr>
              <w:t>(0.2)</w:t>
            </w:r>
          </w:p>
        </w:tc>
        <w:tc>
          <w:tcPr>
            <w:tcW w:w="1139" w:type="dxa"/>
          </w:tcPr>
          <w:p w14:paraId="7DB377F9" w14:textId="77777777" w:rsidR="00E70F50" w:rsidRPr="00E70F50" w:rsidRDefault="00E70F50" w:rsidP="00E70F50">
            <w:pPr>
              <w:rPr>
                <w:rFonts w:ascii="Times New Roman" w:eastAsiaTheme="minorEastAsia" w:hAnsi="Times New Roman" w:cs="Times New Roman"/>
                <w:sz w:val="20"/>
                <w:szCs w:val="20"/>
              </w:rPr>
            </w:pPr>
          </w:p>
        </w:tc>
        <w:tc>
          <w:tcPr>
            <w:tcW w:w="850" w:type="dxa"/>
            <w:vMerge/>
          </w:tcPr>
          <w:p w14:paraId="690E78DA" w14:textId="77777777" w:rsidR="00E70F50" w:rsidRPr="00E70F50" w:rsidRDefault="00E70F50" w:rsidP="00E70F50">
            <w:pPr>
              <w:rPr>
                <w:rFonts w:ascii="Times New Roman" w:eastAsiaTheme="minorEastAsia" w:hAnsi="Times New Roman" w:cs="Times New Roman"/>
                <w:sz w:val="20"/>
                <w:szCs w:val="20"/>
              </w:rPr>
            </w:pPr>
          </w:p>
        </w:tc>
        <w:tc>
          <w:tcPr>
            <w:tcW w:w="1276" w:type="dxa"/>
            <w:vMerge/>
          </w:tcPr>
          <w:p w14:paraId="6B3F2486" w14:textId="77777777" w:rsidR="00E70F50" w:rsidRPr="00E70F50" w:rsidRDefault="00E70F50" w:rsidP="00E70F50">
            <w:pPr>
              <w:rPr>
                <w:rFonts w:ascii="Times New Roman" w:eastAsiaTheme="minorEastAsia" w:hAnsi="Times New Roman" w:cs="Times New Roman"/>
                <w:sz w:val="20"/>
                <w:szCs w:val="20"/>
              </w:rPr>
            </w:pPr>
          </w:p>
        </w:tc>
      </w:tr>
      <w:tr w:rsidR="00E70F50" w14:paraId="63C12390" w14:textId="77777777" w:rsidTr="006729FA">
        <w:tc>
          <w:tcPr>
            <w:tcW w:w="3114" w:type="dxa"/>
          </w:tcPr>
          <w:p w14:paraId="7162B04E" w14:textId="1354246A" w:rsidR="00E70F50" w:rsidRPr="001013DD" w:rsidRDefault="00E70F50" w:rsidP="00E70F50">
            <w:pPr>
              <w:widowControl w:val="0"/>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 xml:space="preserve">Marijuana </w:t>
            </w:r>
          </w:p>
        </w:tc>
        <w:tc>
          <w:tcPr>
            <w:tcW w:w="2268" w:type="dxa"/>
          </w:tcPr>
          <w:p w14:paraId="72128A6F" w14:textId="77777777" w:rsidR="00E70F50" w:rsidRPr="001013DD" w:rsidRDefault="00E70F50" w:rsidP="00E70F50">
            <w:pPr>
              <w:jc w:val="center"/>
              <w:rPr>
                <w:rFonts w:ascii="Times New Roman" w:eastAsia="Arial Unicode MS" w:hAnsi="Times New Roman" w:cs="Times New Roman"/>
                <w:color w:val="00000A"/>
                <w:sz w:val="20"/>
                <w:szCs w:val="20"/>
                <w:lang w:eastAsia="zh-CN" w:bidi="hi-IN"/>
              </w:rPr>
            </w:pPr>
          </w:p>
        </w:tc>
        <w:tc>
          <w:tcPr>
            <w:tcW w:w="2268" w:type="dxa"/>
          </w:tcPr>
          <w:p w14:paraId="4C55A5F5" w14:textId="77777777" w:rsidR="00E70F50" w:rsidRPr="001013DD" w:rsidRDefault="00E70F50" w:rsidP="00E70F50">
            <w:pPr>
              <w:jc w:val="center"/>
              <w:rPr>
                <w:rFonts w:ascii="Times New Roman" w:eastAsia="Arial Unicode MS" w:hAnsi="Times New Roman" w:cs="Times New Roman"/>
                <w:color w:val="00000A"/>
                <w:sz w:val="20"/>
                <w:szCs w:val="20"/>
                <w:lang w:eastAsia="zh-CN" w:bidi="hi-IN"/>
              </w:rPr>
            </w:pPr>
          </w:p>
        </w:tc>
        <w:tc>
          <w:tcPr>
            <w:tcW w:w="1139" w:type="dxa"/>
          </w:tcPr>
          <w:p w14:paraId="0CCC758F" w14:textId="77777777" w:rsidR="00E70F50" w:rsidRPr="001013DD" w:rsidRDefault="00E70F50" w:rsidP="00E70F50">
            <w:pPr>
              <w:rPr>
                <w:rFonts w:ascii="Times New Roman" w:eastAsiaTheme="minorEastAsia" w:hAnsi="Times New Roman" w:cs="Times New Roman"/>
                <w:sz w:val="20"/>
                <w:szCs w:val="20"/>
              </w:rPr>
            </w:pPr>
          </w:p>
        </w:tc>
        <w:tc>
          <w:tcPr>
            <w:tcW w:w="850" w:type="dxa"/>
          </w:tcPr>
          <w:p w14:paraId="1AC6A25A" w14:textId="77777777" w:rsidR="00E70F50" w:rsidRPr="001013DD" w:rsidRDefault="00E70F50" w:rsidP="00E70F50">
            <w:pPr>
              <w:rPr>
                <w:rFonts w:ascii="Times New Roman" w:eastAsiaTheme="minorEastAsia" w:hAnsi="Times New Roman" w:cs="Times New Roman"/>
                <w:sz w:val="20"/>
                <w:szCs w:val="20"/>
              </w:rPr>
            </w:pPr>
          </w:p>
        </w:tc>
        <w:tc>
          <w:tcPr>
            <w:tcW w:w="1276" w:type="dxa"/>
          </w:tcPr>
          <w:p w14:paraId="514F2166" w14:textId="77777777" w:rsidR="00E70F50" w:rsidRPr="001013DD" w:rsidRDefault="00E70F50" w:rsidP="00E70F50">
            <w:pPr>
              <w:rPr>
                <w:rFonts w:ascii="Times New Roman" w:eastAsiaTheme="minorEastAsia" w:hAnsi="Times New Roman" w:cs="Times New Roman"/>
                <w:sz w:val="20"/>
                <w:szCs w:val="20"/>
              </w:rPr>
            </w:pPr>
          </w:p>
        </w:tc>
      </w:tr>
      <w:tr w:rsidR="001013DD" w14:paraId="62107604" w14:textId="77777777" w:rsidTr="006729FA">
        <w:tc>
          <w:tcPr>
            <w:tcW w:w="3114" w:type="dxa"/>
          </w:tcPr>
          <w:p w14:paraId="1F226F4C" w14:textId="177EF2B3" w:rsidR="001013DD" w:rsidRPr="001013DD" w:rsidRDefault="001013DD" w:rsidP="00E70F50">
            <w:pPr>
              <w:widowControl w:val="0"/>
              <w:contextualSpacing/>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lastRenderedPageBreak/>
              <w:t xml:space="preserve">   Never</w:t>
            </w:r>
          </w:p>
        </w:tc>
        <w:tc>
          <w:tcPr>
            <w:tcW w:w="2268" w:type="dxa"/>
          </w:tcPr>
          <w:p w14:paraId="07147195" w14:textId="4C998411"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38</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(45.8)</w:t>
            </w:r>
          </w:p>
        </w:tc>
        <w:tc>
          <w:tcPr>
            <w:tcW w:w="2268" w:type="dxa"/>
          </w:tcPr>
          <w:p w14:paraId="365612BB" w14:textId="2DBDD489"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2034</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(61.1)</w:t>
            </w:r>
          </w:p>
        </w:tc>
        <w:tc>
          <w:tcPr>
            <w:tcW w:w="1139" w:type="dxa"/>
          </w:tcPr>
          <w:p w14:paraId="1F197337" w14:textId="6ED7A426" w:rsidR="001013DD" w:rsidRPr="001013DD" w:rsidRDefault="001013DD" w:rsidP="001013DD">
            <w:pPr>
              <w:jc w:val="center"/>
              <w:rPr>
                <w:rFonts w:ascii="Times New Roman" w:eastAsia="Calibri" w:hAnsi="Times New Roman" w:cs="Times New Roman"/>
                <w:sz w:val="20"/>
                <w:szCs w:val="20"/>
              </w:rPr>
            </w:pPr>
            <w:r w:rsidRPr="001013DD">
              <w:rPr>
                <w:rFonts w:ascii="Times New Roman" w:eastAsia="Calibri" w:hAnsi="Times New Roman" w:cs="Times New Roman"/>
                <w:sz w:val="20"/>
                <w:szCs w:val="20"/>
              </w:rPr>
              <w:t>LR=9.868</w:t>
            </w:r>
          </w:p>
        </w:tc>
        <w:tc>
          <w:tcPr>
            <w:tcW w:w="850" w:type="dxa"/>
            <w:vMerge w:val="restart"/>
            <w:vAlign w:val="center"/>
          </w:tcPr>
          <w:p w14:paraId="2E65D24F" w14:textId="310E58E2" w:rsidR="001013DD" w:rsidRPr="001013DD" w:rsidRDefault="001013DD" w:rsidP="001013DD">
            <w:pPr>
              <w:jc w:val="center"/>
              <w:rPr>
                <w:rFonts w:ascii="Times New Roman" w:eastAsiaTheme="minorEastAsia" w:hAnsi="Times New Roman" w:cs="Times New Roman"/>
                <w:sz w:val="20"/>
                <w:szCs w:val="20"/>
              </w:rPr>
            </w:pPr>
            <w:r w:rsidRPr="001013DD">
              <w:rPr>
                <w:rFonts w:ascii="Times New Roman" w:eastAsia="Arial Unicode MS" w:hAnsi="Times New Roman" w:cs="Times New Roman"/>
                <w:color w:val="00000A"/>
                <w:sz w:val="20"/>
                <w:szCs w:val="20"/>
                <w:lang w:eastAsia="zh-CN" w:bidi="hi-IN"/>
              </w:rPr>
              <w:t>.043</w:t>
            </w:r>
          </w:p>
        </w:tc>
        <w:tc>
          <w:tcPr>
            <w:tcW w:w="1276" w:type="dxa"/>
            <w:vMerge w:val="restart"/>
            <w:vAlign w:val="center"/>
          </w:tcPr>
          <w:p w14:paraId="1341E590" w14:textId="6D1C1919" w:rsidR="001013DD" w:rsidRPr="001013DD" w:rsidRDefault="001013DD" w:rsidP="00A520CB">
            <w:pPr>
              <w:rPr>
                <w:rFonts w:ascii="Times New Roman" w:eastAsiaTheme="minorEastAsia" w:hAnsi="Times New Roman" w:cs="Times New Roman"/>
                <w:sz w:val="20"/>
                <w:szCs w:val="20"/>
              </w:rPr>
            </w:pPr>
          </w:p>
        </w:tc>
      </w:tr>
      <w:tr w:rsidR="001013DD" w14:paraId="640FD564" w14:textId="77777777" w:rsidTr="006729FA">
        <w:tc>
          <w:tcPr>
            <w:tcW w:w="3114" w:type="dxa"/>
          </w:tcPr>
          <w:p w14:paraId="604C6DD2" w14:textId="7C316915" w:rsidR="001013DD" w:rsidRPr="001013DD" w:rsidRDefault="001013DD" w:rsidP="00E70F50">
            <w:pP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 xml:space="preserve">   In past, not within past 12 months</w:t>
            </w:r>
          </w:p>
        </w:tc>
        <w:tc>
          <w:tcPr>
            <w:tcW w:w="2268" w:type="dxa"/>
          </w:tcPr>
          <w:p w14:paraId="6F1DF4F1" w14:textId="22F568FB"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11</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(13.3)</w:t>
            </w:r>
          </w:p>
        </w:tc>
        <w:tc>
          <w:tcPr>
            <w:tcW w:w="2268" w:type="dxa"/>
          </w:tcPr>
          <w:p w14:paraId="6B4AB1B7" w14:textId="2E30ECA5"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359</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(10.8)</w:t>
            </w:r>
          </w:p>
        </w:tc>
        <w:tc>
          <w:tcPr>
            <w:tcW w:w="1139" w:type="dxa"/>
          </w:tcPr>
          <w:p w14:paraId="2B90B68A" w14:textId="35C1B002" w:rsidR="001013DD" w:rsidRPr="001013DD" w:rsidRDefault="001013DD" w:rsidP="001013DD">
            <w:pPr>
              <w:jc w:val="center"/>
              <w:rPr>
                <w:rFonts w:ascii="Times New Roman" w:eastAsiaTheme="minorEastAsia" w:hAnsi="Times New Roman" w:cs="Times New Roman"/>
                <w:sz w:val="20"/>
                <w:szCs w:val="20"/>
              </w:rPr>
            </w:pPr>
            <w:r w:rsidRPr="001013DD">
              <w:rPr>
                <w:rFonts w:ascii="Times New Roman" w:eastAsia="Calibri" w:hAnsi="Times New Roman" w:cs="Times New Roman"/>
                <w:sz w:val="20"/>
                <w:szCs w:val="20"/>
              </w:rPr>
              <w:t>df=4</w:t>
            </w:r>
          </w:p>
        </w:tc>
        <w:tc>
          <w:tcPr>
            <w:tcW w:w="850" w:type="dxa"/>
            <w:vMerge/>
          </w:tcPr>
          <w:p w14:paraId="69B785C0" w14:textId="77777777" w:rsidR="001013DD" w:rsidRPr="001013DD" w:rsidRDefault="001013DD" w:rsidP="00E70F50">
            <w:pPr>
              <w:rPr>
                <w:rFonts w:ascii="Times New Roman" w:eastAsiaTheme="minorEastAsia" w:hAnsi="Times New Roman" w:cs="Times New Roman"/>
                <w:sz w:val="20"/>
                <w:szCs w:val="20"/>
              </w:rPr>
            </w:pPr>
          </w:p>
        </w:tc>
        <w:tc>
          <w:tcPr>
            <w:tcW w:w="1276" w:type="dxa"/>
            <w:vMerge/>
          </w:tcPr>
          <w:p w14:paraId="40930ABD" w14:textId="77777777" w:rsidR="001013DD" w:rsidRPr="001013DD" w:rsidRDefault="001013DD" w:rsidP="00E70F50">
            <w:pPr>
              <w:rPr>
                <w:rFonts w:ascii="Times New Roman" w:eastAsiaTheme="minorEastAsia" w:hAnsi="Times New Roman" w:cs="Times New Roman"/>
                <w:sz w:val="20"/>
                <w:szCs w:val="20"/>
              </w:rPr>
            </w:pPr>
          </w:p>
        </w:tc>
      </w:tr>
      <w:tr w:rsidR="001013DD" w14:paraId="25072465" w14:textId="77777777" w:rsidTr="006729FA">
        <w:tc>
          <w:tcPr>
            <w:tcW w:w="3114" w:type="dxa"/>
          </w:tcPr>
          <w:p w14:paraId="2997C2E8" w14:textId="0E994357" w:rsidR="001013DD" w:rsidRPr="001013DD" w:rsidRDefault="001013DD" w:rsidP="00E70F50">
            <w:pP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 xml:space="preserve">   Rarely</w:t>
            </w:r>
          </w:p>
        </w:tc>
        <w:tc>
          <w:tcPr>
            <w:tcW w:w="2268" w:type="dxa"/>
          </w:tcPr>
          <w:p w14:paraId="3E1D1832" w14:textId="7E8588A6"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20</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(24.1)</w:t>
            </w:r>
          </w:p>
        </w:tc>
        <w:tc>
          <w:tcPr>
            <w:tcW w:w="2268" w:type="dxa"/>
          </w:tcPr>
          <w:p w14:paraId="7D360ECD" w14:textId="7B3D16BA"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442</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(13.3)</w:t>
            </w:r>
          </w:p>
        </w:tc>
        <w:tc>
          <w:tcPr>
            <w:tcW w:w="1139" w:type="dxa"/>
          </w:tcPr>
          <w:p w14:paraId="1DE2CA1B" w14:textId="77777777" w:rsidR="001013DD" w:rsidRPr="001013DD" w:rsidRDefault="001013DD" w:rsidP="00E70F50">
            <w:pPr>
              <w:rPr>
                <w:rFonts w:ascii="Times New Roman" w:eastAsiaTheme="minorEastAsia" w:hAnsi="Times New Roman" w:cs="Times New Roman"/>
                <w:sz w:val="20"/>
                <w:szCs w:val="20"/>
              </w:rPr>
            </w:pPr>
          </w:p>
        </w:tc>
        <w:tc>
          <w:tcPr>
            <w:tcW w:w="850" w:type="dxa"/>
            <w:vMerge/>
          </w:tcPr>
          <w:p w14:paraId="20703C8F" w14:textId="77777777" w:rsidR="001013DD" w:rsidRPr="001013DD" w:rsidRDefault="001013DD" w:rsidP="00E70F50">
            <w:pPr>
              <w:rPr>
                <w:rFonts w:ascii="Times New Roman" w:eastAsiaTheme="minorEastAsia" w:hAnsi="Times New Roman" w:cs="Times New Roman"/>
                <w:sz w:val="20"/>
                <w:szCs w:val="20"/>
              </w:rPr>
            </w:pPr>
          </w:p>
        </w:tc>
        <w:tc>
          <w:tcPr>
            <w:tcW w:w="1276" w:type="dxa"/>
            <w:vMerge/>
          </w:tcPr>
          <w:p w14:paraId="0CD0101F" w14:textId="77777777" w:rsidR="001013DD" w:rsidRPr="001013DD" w:rsidRDefault="001013DD" w:rsidP="00E70F50">
            <w:pPr>
              <w:rPr>
                <w:rFonts w:ascii="Times New Roman" w:eastAsiaTheme="minorEastAsia" w:hAnsi="Times New Roman" w:cs="Times New Roman"/>
                <w:sz w:val="20"/>
                <w:szCs w:val="20"/>
              </w:rPr>
            </w:pPr>
          </w:p>
        </w:tc>
      </w:tr>
      <w:tr w:rsidR="001013DD" w14:paraId="2EFB58CB" w14:textId="77777777" w:rsidTr="006729FA">
        <w:tc>
          <w:tcPr>
            <w:tcW w:w="3114" w:type="dxa"/>
          </w:tcPr>
          <w:p w14:paraId="3B0BAA5F" w14:textId="28B92C0F" w:rsidR="001013DD" w:rsidRPr="001013DD" w:rsidRDefault="001013DD" w:rsidP="00E70F50">
            <w:pP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 xml:space="preserve">   Occasionally</w:t>
            </w:r>
          </w:p>
        </w:tc>
        <w:tc>
          <w:tcPr>
            <w:tcW w:w="2268" w:type="dxa"/>
          </w:tcPr>
          <w:p w14:paraId="4993CB2A" w14:textId="4EDEF76F"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11</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(13.3)</w:t>
            </w:r>
          </w:p>
        </w:tc>
        <w:tc>
          <w:tcPr>
            <w:tcW w:w="2268" w:type="dxa"/>
          </w:tcPr>
          <w:p w14:paraId="45E5DD21" w14:textId="28D289F7"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369</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(11.1)</w:t>
            </w:r>
          </w:p>
        </w:tc>
        <w:tc>
          <w:tcPr>
            <w:tcW w:w="1139" w:type="dxa"/>
          </w:tcPr>
          <w:p w14:paraId="1E6110C9" w14:textId="77777777" w:rsidR="001013DD" w:rsidRPr="001013DD" w:rsidRDefault="001013DD" w:rsidP="00E70F50">
            <w:pPr>
              <w:rPr>
                <w:rFonts w:ascii="Times New Roman" w:eastAsiaTheme="minorEastAsia" w:hAnsi="Times New Roman" w:cs="Times New Roman"/>
                <w:sz w:val="20"/>
                <w:szCs w:val="20"/>
              </w:rPr>
            </w:pPr>
          </w:p>
        </w:tc>
        <w:tc>
          <w:tcPr>
            <w:tcW w:w="850" w:type="dxa"/>
            <w:vMerge/>
          </w:tcPr>
          <w:p w14:paraId="0CCDA1AD" w14:textId="77777777" w:rsidR="001013DD" w:rsidRPr="001013DD" w:rsidRDefault="001013DD" w:rsidP="00E70F50">
            <w:pPr>
              <w:rPr>
                <w:rFonts w:ascii="Times New Roman" w:eastAsiaTheme="minorEastAsia" w:hAnsi="Times New Roman" w:cs="Times New Roman"/>
                <w:sz w:val="20"/>
                <w:szCs w:val="20"/>
              </w:rPr>
            </w:pPr>
          </w:p>
        </w:tc>
        <w:tc>
          <w:tcPr>
            <w:tcW w:w="1276" w:type="dxa"/>
            <w:vMerge/>
          </w:tcPr>
          <w:p w14:paraId="47C0153B" w14:textId="77777777" w:rsidR="001013DD" w:rsidRPr="001013DD" w:rsidRDefault="001013DD" w:rsidP="00E70F50">
            <w:pPr>
              <w:rPr>
                <w:rFonts w:ascii="Times New Roman" w:eastAsiaTheme="minorEastAsia" w:hAnsi="Times New Roman" w:cs="Times New Roman"/>
                <w:sz w:val="20"/>
                <w:szCs w:val="20"/>
              </w:rPr>
            </w:pPr>
          </w:p>
        </w:tc>
      </w:tr>
      <w:tr w:rsidR="001013DD" w14:paraId="3FD0F111" w14:textId="77777777" w:rsidTr="006729FA">
        <w:tc>
          <w:tcPr>
            <w:tcW w:w="3114" w:type="dxa"/>
          </w:tcPr>
          <w:p w14:paraId="21919BAA" w14:textId="62DC11EA" w:rsidR="001013DD" w:rsidRPr="001013DD" w:rsidRDefault="001013DD" w:rsidP="00E70F50">
            <w:pP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 xml:space="preserve">   Daily</w:t>
            </w:r>
          </w:p>
        </w:tc>
        <w:tc>
          <w:tcPr>
            <w:tcW w:w="2268" w:type="dxa"/>
          </w:tcPr>
          <w:p w14:paraId="6A0D823A" w14:textId="30038B0B" w:rsidR="001013DD" w:rsidRPr="001013DD" w:rsidRDefault="001013DD" w:rsidP="00E70F50">
            <w:pPr>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3</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(3.6)</w:t>
            </w:r>
          </w:p>
        </w:tc>
        <w:tc>
          <w:tcPr>
            <w:tcW w:w="2268" w:type="dxa"/>
          </w:tcPr>
          <w:p w14:paraId="2349D120" w14:textId="12F9F553" w:rsidR="001013DD" w:rsidRPr="001013DD" w:rsidRDefault="001013DD" w:rsidP="00E70F50">
            <w:pPr>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123</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(3.7)</w:t>
            </w:r>
          </w:p>
        </w:tc>
        <w:tc>
          <w:tcPr>
            <w:tcW w:w="1139" w:type="dxa"/>
          </w:tcPr>
          <w:p w14:paraId="61E87B3C" w14:textId="77777777" w:rsidR="001013DD" w:rsidRPr="001013DD" w:rsidRDefault="001013DD" w:rsidP="00E70F50">
            <w:pPr>
              <w:rPr>
                <w:rFonts w:ascii="Times New Roman" w:eastAsiaTheme="minorEastAsia" w:hAnsi="Times New Roman" w:cs="Times New Roman"/>
                <w:sz w:val="20"/>
                <w:szCs w:val="20"/>
              </w:rPr>
            </w:pPr>
          </w:p>
        </w:tc>
        <w:tc>
          <w:tcPr>
            <w:tcW w:w="850" w:type="dxa"/>
            <w:vMerge/>
          </w:tcPr>
          <w:p w14:paraId="2ECC98FF" w14:textId="77777777" w:rsidR="001013DD" w:rsidRPr="001013DD" w:rsidRDefault="001013DD" w:rsidP="00E70F50">
            <w:pPr>
              <w:rPr>
                <w:rFonts w:ascii="Times New Roman" w:eastAsiaTheme="minorEastAsia" w:hAnsi="Times New Roman" w:cs="Times New Roman"/>
                <w:sz w:val="20"/>
                <w:szCs w:val="20"/>
              </w:rPr>
            </w:pPr>
          </w:p>
        </w:tc>
        <w:tc>
          <w:tcPr>
            <w:tcW w:w="1276" w:type="dxa"/>
            <w:vMerge/>
          </w:tcPr>
          <w:p w14:paraId="7A162D33" w14:textId="77777777" w:rsidR="001013DD" w:rsidRPr="001013DD" w:rsidRDefault="001013DD" w:rsidP="00E70F50">
            <w:pPr>
              <w:rPr>
                <w:rFonts w:ascii="Times New Roman" w:eastAsiaTheme="minorEastAsia" w:hAnsi="Times New Roman" w:cs="Times New Roman"/>
                <w:sz w:val="20"/>
                <w:szCs w:val="20"/>
              </w:rPr>
            </w:pPr>
          </w:p>
        </w:tc>
      </w:tr>
      <w:tr w:rsidR="001013DD" w14:paraId="34213D75" w14:textId="77777777" w:rsidTr="006729FA">
        <w:tc>
          <w:tcPr>
            <w:tcW w:w="10915" w:type="dxa"/>
            <w:gridSpan w:val="6"/>
          </w:tcPr>
          <w:p w14:paraId="2E37F791" w14:textId="0C0A6D59" w:rsidR="001013DD" w:rsidRPr="001013DD" w:rsidRDefault="001013DD" w:rsidP="00E70F50">
            <w:pPr>
              <w:rPr>
                <w:rFonts w:ascii="Times New Roman" w:eastAsiaTheme="minorEastAsia" w:hAnsi="Times New Roman" w:cs="Times New Roman"/>
                <w:sz w:val="20"/>
                <w:szCs w:val="20"/>
              </w:rPr>
            </w:pPr>
            <w:r w:rsidRPr="001013DD">
              <w:rPr>
                <w:rFonts w:ascii="Times New Roman" w:eastAsia="Arial Unicode MS" w:hAnsi="Times New Roman" w:cs="Times New Roman"/>
                <w:color w:val="00000A"/>
                <w:sz w:val="20"/>
                <w:szCs w:val="20"/>
                <w:lang w:eastAsia="zh-CN" w:bidi="hi-IN"/>
              </w:rPr>
              <w:t xml:space="preserve">Prescription pain medication </w:t>
            </w:r>
          </w:p>
        </w:tc>
      </w:tr>
      <w:tr w:rsidR="001013DD" w14:paraId="61FDABAB" w14:textId="77777777" w:rsidTr="006729FA">
        <w:tc>
          <w:tcPr>
            <w:tcW w:w="3114" w:type="dxa"/>
          </w:tcPr>
          <w:p w14:paraId="16093ECF" w14:textId="5C68FD92" w:rsidR="001013DD" w:rsidRPr="001013DD" w:rsidRDefault="001013DD" w:rsidP="001013DD">
            <w:pP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 xml:space="preserve">   Never</w:t>
            </w:r>
          </w:p>
        </w:tc>
        <w:tc>
          <w:tcPr>
            <w:tcW w:w="2268" w:type="dxa"/>
          </w:tcPr>
          <w:p w14:paraId="7BBB427E" w14:textId="4C0140F7"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75</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(90.4)</w:t>
            </w:r>
          </w:p>
        </w:tc>
        <w:tc>
          <w:tcPr>
            <w:tcW w:w="2268" w:type="dxa"/>
          </w:tcPr>
          <w:p w14:paraId="59F2DDEC" w14:textId="3AFEAA96"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3069</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(92.6)</w:t>
            </w:r>
          </w:p>
        </w:tc>
        <w:tc>
          <w:tcPr>
            <w:tcW w:w="1139" w:type="dxa"/>
          </w:tcPr>
          <w:p w14:paraId="55389434" w14:textId="7F5A5569" w:rsidR="001013DD" w:rsidRPr="001013DD" w:rsidRDefault="001013DD" w:rsidP="001013DD">
            <w:pPr>
              <w:jc w:val="center"/>
              <w:rPr>
                <w:rFonts w:ascii="Times New Roman" w:eastAsia="Calibri" w:hAnsi="Times New Roman" w:cs="Times New Roman"/>
                <w:sz w:val="20"/>
                <w:szCs w:val="20"/>
              </w:rPr>
            </w:pPr>
            <w:r w:rsidRPr="001013DD">
              <w:rPr>
                <w:rFonts w:ascii="Times New Roman" w:eastAsia="Calibri" w:hAnsi="Times New Roman" w:cs="Times New Roman"/>
                <w:sz w:val="20"/>
                <w:szCs w:val="20"/>
              </w:rPr>
              <w:t>LR=2.412</w:t>
            </w:r>
          </w:p>
        </w:tc>
        <w:tc>
          <w:tcPr>
            <w:tcW w:w="850" w:type="dxa"/>
            <w:vMerge w:val="restart"/>
            <w:vAlign w:val="center"/>
          </w:tcPr>
          <w:p w14:paraId="769A7730" w14:textId="1091F61D" w:rsidR="001013DD" w:rsidRPr="001013DD" w:rsidRDefault="001013DD" w:rsidP="001013DD">
            <w:pPr>
              <w:jc w:val="center"/>
              <w:rPr>
                <w:rFonts w:ascii="Times New Roman" w:eastAsiaTheme="minorEastAsia" w:hAnsi="Times New Roman" w:cs="Times New Roman"/>
                <w:sz w:val="20"/>
                <w:szCs w:val="20"/>
              </w:rPr>
            </w:pPr>
            <w:r w:rsidRPr="001013DD">
              <w:rPr>
                <w:rFonts w:ascii="Times New Roman" w:eastAsia="Arial Unicode MS" w:hAnsi="Times New Roman" w:cs="Times New Roman"/>
                <w:color w:val="00000A"/>
                <w:sz w:val="20"/>
                <w:szCs w:val="20"/>
                <w:lang w:eastAsia="zh-CN" w:bidi="hi-IN"/>
              </w:rPr>
              <w:t>.660</w:t>
            </w:r>
          </w:p>
        </w:tc>
        <w:tc>
          <w:tcPr>
            <w:tcW w:w="1276" w:type="dxa"/>
            <w:vMerge w:val="restart"/>
          </w:tcPr>
          <w:p w14:paraId="1EDB66A6" w14:textId="77777777" w:rsidR="001013DD" w:rsidRPr="001013DD" w:rsidRDefault="001013DD" w:rsidP="001013DD">
            <w:pPr>
              <w:rPr>
                <w:rFonts w:ascii="Times New Roman" w:eastAsiaTheme="minorEastAsia" w:hAnsi="Times New Roman" w:cs="Times New Roman"/>
                <w:sz w:val="20"/>
                <w:szCs w:val="20"/>
              </w:rPr>
            </w:pPr>
          </w:p>
        </w:tc>
      </w:tr>
      <w:tr w:rsidR="001013DD" w14:paraId="3C9F2E34" w14:textId="77777777" w:rsidTr="006729FA">
        <w:tc>
          <w:tcPr>
            <w:tcW w:w="3114" w:type="dxa"/>
          </w:tcPr>
          <w:p w14:paraId="48C61467" w14:textId="42D4C226" w:rsidR="001013DD" w:rsidRPr="001013DD" w:rsidRDefault="001013DD" w:rsidP="001013DD">
            <w:pP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 xml:space="preserve">   In past, not within past 12 months</w:t>
            </w:r>
          </w:p>
        </w:tc>
        <w:tc>
          <w:tcPr>
            <w:tcW w:w="2268" w:type="dxa"/>
          </w:tcPr>
          <w:p w14:paraId="7209944C" w14:textId="5D13D822"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5</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(6.0)</w:t>
            </w:r>
          </w:p>
        </w:tc>
        <w:tc>
          <w:tcPr>
            <w:tcW w:w="2268" w:type="dxa"/>
          </w:tcPr>
          <w:p w14:paraId="748B227D" w14:textId="7EA87EED"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177</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(5.3)</w:t>
            </w:r>
          </w:p>
        </w:tc>
        <w:tc>
          <w:tcPr>
            <w:tcW w:w="1139" w:type="dxa"/>
          </w:tcPr>
          <w:p w14:paraId="18B7116B" w14:textId="76584020" w:rsidR="001013DD" w:rsidRPr="001013DD" w:rsidRDefault="001013DD" w:rsidP="001013DD">
            <w:pPr>
              <w:jc w:val="center"/>
              <w:rPr>
                <w:rFonts w:ascii="Times New Roman" w:eastAsiaTheme="minorEastAsia" w:hAnsi="Times New Roman" w:cs="Times New Roman"/>
                <w:sz w:val="20"/>
                <w:szCs w:val="20"/>
              </w:rPr>
            </w:pPr>
            <w:r w:rsidRPr="001013DD">
              <w:rPr>
                <w:rFonts w:ascii="Times New Roman" w:eastAsia="Calibri" w:hAnsi="Times New Roman" w:cs="Times New Roman"/>
                <w:sz w:val="20"/>
                <w:szCs w:val="20"/>
              </w:rPr>
              <w:t>df=4</w:t>
            </w:r>
          </w:p>
        </w:tc>
        <w:tc>
          <w:tcPr>
            <w:tcW w:w="850" w:type="dxa"/>
            <w:vMerge/>
          </w:tcPr>
          <w:p w14:paraId="42240106" w14:textId="77777777" w:rsidR="001013DD" w:rsidRPr="001013DD" w:rsidRDefault="001013DD" w:rsidP="001013DD">
            <w:pPr>
              <w:rPr>
                <w:rFonts w:ascii="Times New Roman" w:eastAsiaTheme="minorEastAsia" w:hAnsi="Times New Roman" w:cs="Times New Roman"/>
                <w:sz w:val="20"/>
                <w:szCs w:val="20"/>
              </w:rPr>
            </w:pPr>
          </w:p>
        </w:tc>
        <w:tc>
          <w:tcPr>
            <w:tcW w:w="1276" w:type="dxa"/>
            <w:vMerge/>
          </w:tcPr>
          <w:p w14:paraId="7A482422" w14:textId="77777777" w:rsidR="001013DD" w:rsidRPr="001013DD" w:rsidRDefault="001013DD" w:rsidP="001013DD">
            <w:pPr>
              <w:rPr>
                <w:rFonts w:ascii="Times New Roman" w:eastAsiaTheme="minorEastAsia" w:hAnsi="Times New Roman" w:cs="Times New Roman"/>
                <w:sz w:val="20"/>
                <w:szCs w:val="20"/>
              </w:rPr>
            </w:pPr>
          </w:p>
        </w:tc>
      </w:tr>
      <w:tr w:rsidR="001013DD" w14:paraId="704EA7F9" w14:textId="77777777" w:rsidTr="006729FA">
        <w:tc>
          <w:tcPr>
            <w:tcW w:w="3114" w:type="dxa"/>
          </w:tcPr>
          <w:p w14:paraId="56BEFDC2" w14:textId="77290C29" w:rsidR="001013DD" w:rsidRPr="001013DD" w:rsidRDefault="001013DD" w:rsidP="001013DD">
            <w:pP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 xml:space="preserve">   Rarely</w:t>
            </w:r>
          </w:p>
        </w:tc>
        <w:tc>
          <w:tcPr>
            <w:tcW w:w="2268" w:type="dxa"/>
          </w:tcPr>
          <w:p w14:paraId="7819ED84" w14:textId="0625FA61"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3</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(3.6)</w:t>
            </w:r>
          </w:p>
        </w:tc>
        <w:tc>
          <w:tcPr>
            <w:tcW w:w="2268" w:type="dxa"/>
          </w:tcPr>
          <w:p w14:paraId="15B9CC54" w14:textId="62DF6E12"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52</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(1.6)</w:t>
            </w:r>
          </w:p>
        </w:tc>
        <w:tc>
          <w:tcPr>
            <w:tcW w:w="1139" w:type="dxa"/>
          </w:tcPr>
          <w:p w14:paraId="13E0713C" w14:textId="77777777" w:rsidR="001013DD" w:rsidRPr="001013DD" w:rsidRDefault="001013DD" w:rsidP="001013DD">
            <w:pPr>
              <w:rPr>
                <w:rFonts w:ascii="Times New Roman" w:eastAsiaTheme="minorEastAsia" w:hAnsi="Times New Roman" w:cs="Times New Roman"/>
                <w:sz w:val="20"/>
                <w:szCs w:val="20"/>
              </w:rPr>
            </w:pPr>
          </w:p>
        </w:tc>
        <w:tc>
          <w:tcPr>
            <w:tcW w:w="850" w:type="dxa"/>
            <w:vMerge/>
          </w:tcPr>
          <w:p w14:paraId="2464BF8C" w14:textId="77777777" w:rsidR="001013DD" w:rsidRPr="001013DD" w:rsidRDefault="001013DD" w:rsidP="001013DD">
            <w:pPr>
              <w:rPr>
                <w:rFonts w:ascii="Times New Roman" w:eastAsiaTheme="minorEastAsia" w:hAnsi="Times New Roman" w:cs="Times New Roman"/>
                <w:sz w:val="20"/>
                <w:szCs w:val="20"/>
              </w:rPr>
            </w:pPr>
          </w:p>
        </w:tc>
        <w:tc>
          <w:tcPr>
            <w:tcW w:w="1276" w:type="dxa"/>
            <w:vMerge/>
          </w:tcPr>
          <w:p w14:paraId="481532E7" w14:textId="77777777" w:rsidR="001013DD" w:rsidRPr="001013DD" w:rsidRDefault="001013DD" w:rsidP="001013DD">
            <w:pPr>
              <w:rPr>
                <w:rFonts w:ascii="Times New Roman" w:eastAsiaTheme="minorEastAsia" w:hAnsi="Times New Roman" w:cs="Times New Roman"/>
                <w:sz w:val="20"/>
                <w:szCs w:val="20"/>
              </w:rPr>
            </w:pPr>
          </w:p>
        </w:tc>
      </w:tr>
      <w:tr w:rsidR="001013DD" w14:paraId="44C02511" w14:textId="77777777" w:rsidTr="006729FA">
        <w:tc>
          <w:tcPr>
            <w:tcW w:w="3114" w:type="dxa"/>
          </w:tcPr>
          <w:p w14:paraId="54100DBC" w14:textId="7CC4715C" w:rsidR="001013DD" w:rsidRPr="001013DD" w:rsidRDefault="001013DD" w:rsidP="001013DD">
            <w:pP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 xml:space="preserve">   Occasionally</w:t>
            </w:r>
          </w:p>
        </w:tc>
        <w:tc>
          <w:tcPr>
            <w:tcW w:w="2268" w:type="dxa"/>
          </w:tcPr>
          <w:p w14:paraId="06EBC103" w14:textId="6B961693"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(0.0)</w:t>
            </w:r>
          </w:p>
        </w:tc>
        <w:tc>
          <w:tcPr>
            <w:tcW w:w="2268" w:type="dxa"/>
          </w:tcPr>
          <w:p w14:paraId="1D585028" w14:textId="5673914D" w:rsidR="001013DD" w:rsidRPr="001013DD" w:rsidRDefault="001013DD" w:rsidP="001013DD">
            <w:pPr>
              <w:widowControl w:val="0"/>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11</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(0.3)</w:t>
            </w:r>
          </w:p>
        </w:tc>
        <w:tc>
          <w:tcPr>
            <w:tcW w:w="1139" w:type="dxa"/>
          </w:tcPr>
          <w:p w14:paraId="6007CD9F" w14:textId="77777777" w:rsidR="001013DD" w:rsidRPr="001013DD" w:rsidRDefault="001013DD" w:rsidP="001013DD">
            <w:pPr>
              <w:rPr>
                <w:rFonts w:ascii="Times New Roman" w:eastAsiaTheme="minorEastAsia" w:hAnsi="Times New Roman" w:cs="Times New Roman"/>
                <w:sz w:val="20"/>
                <w:szCs w:val="20"/>
              </w:rPr>
            </w:pPr>
          </w:p>
        </w:tc>
        <w:tc>
          <w:tcPr>
            <w:tcW w:w="850" w:type="dxa"/>
            <w:vMerge/>
          </w:tcPr>
          <w:p w14:paraId="2668245B" w14:textId="77777777" w:rsidR="001013DD" w:rsidRPr="001013DD" w:rsidRDefault="001013DD" w:rsidP="001013DD">
            <w:pPr>
              <w:rPr>
                <w:rFonts w:ascii="Times New Roman" w:eastAsiaTheme="minorEastAsia" w:hAnsi="Times New Roman" w:cs="Times New Roman"/>
                <w:sz w:val="20"/>
                <w:szCs w:val="20"/>
              </w:rPr>
            </w:pPr>
          </w:p>
        </w:tc>
        <w:tc>
          <w:tcPr>
            <w:tcW w:w="1276" w:type="dxa"/>
            <w:vMerge/>
          </w:tcPr>
          <w:p w14:paraId="04477780" w14:textId="77777777" w:rsidR="001013DD" w:rsidRPr="001013DD" w:rsidRDefault="001013DD" w:rsidP="001013DD">
            <w:pPr>
              <w:rPr>
                <w:rFonts w:ascii="Times New Roman" w:eastAsiaTheme="minorEastAsia" w:hAnsi="Times New Roman" w:cs="Times New Roman"/>
                <w:sz w:val="20"/>
                <w:szCs w:val="20"/>
              </w:rPr>
            </w:pPr>
          </w:p>
        </w:tc>
      </w:tr>
      <w:tr w:rsidR="001013DD" w14:paraId="322D9DC3" w14:textId="77777777" w:rsidTr="006729FA">
        <w:tc>
          <w:tcPr>
            <w:tcW w:w="3114" w:type="dxa"/>
          </w:tcPr>
          <w:p w14:paraId="7840A79B" w14:textId="173DC8FD" w:rsidR="001013DD" w:rsidRPr="001013DD" w:rsidRDefault="001013DD" w:rsidP="001013DD">
            <w:pP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 xml:space="preserve">   Daily</w:t>
            </w:r>
          </w:p>
        </w:tc>
        <w:tc>
          <w:tcPr>
            <w:tcW w:w="2268" w:type="dxa"/>
          </w:tcPr>
          <w:p w14:paraId="636ADFD1" w14:textId="2A9A26B1" w:rsidR="001013DD" w:rsidRPr="001013DD" w:rsidRDefault="001013DD" w:rsidP="001013DD">
            <w:pPr>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0</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(0.0)</w:t>
            </w:r>
          </w:p>
        </w:tc>
        <w:tc>
          <w:tcPr>
            <w:tcW w:w="2268" w:type="dxa"/>
          </w:tcPr>
          <w:p w14:paraId="16192E2B" w14:textId="76CB2778" w:rsidR="001013DD" w:rsidRPr="001013DD" w:rsidRDefault="001013DD" w:rsidP="001013DD">
            <w:pPr>
              <w:jc w:val="center"/>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4</w:t>
            </w:r>
            <w:r>
              <w:rPr>
                <w:rFonts w:ascii="Times New Roman" w:eastAsia="Arial Unicode MS" w:hAnsi="Times New Roman" w:cs="Times New Roman"/>
                <w:color w:val="00000A"/>
                <w:sz w:val="20"/>
                <w:szCs w:val="20"/>
                <w:lang w:eastAsia="zh-CN" w:bidi="hi-IN"/>
              </w:rPr>
              <w:t xml:space="preserve"> </w:t>
            </w:r>
            <w:r w:rsidRPr="001013DD">
              <w:rPr>
                <w:rFonts w:ascii="Times New Roman" w:eastAsia="Arial Unicode MS" w:hAnsi="Times New Roman" w:cs="Times New Roman"/>
                <w:color w:val="00000A"/>
                <w:sz w:val="20"/>
                <w:szCs w:val="20"/>
                <w:lang w:eastAsia="zh-CN" w:bidi="hi-IN"/>
              </w:rPr>
              <w:t>(0.1)</w:t>
            </w:r>
          </w:p>
        </w:tc>
        <w:tc>
          <w:tcPr>
            <w:tcW w:w="1139" w:type="dxa"/>
          </w:tcPr>
          <w:p w14:paraId="5F0CE7E8" w14:textId="77777777" w:rsidR="001013DD" w:rsidRPr="001013DD" w:rsidRDefault="001013DD" w:rsidP="001013DD">
            <w:pPr>
              <w:rPr>
                <w:rFonts w:ascii="Times New Roman" w:eastAsiaTheme="minorEastAsia" w:hAnsi="Times New Roman" w:cs="Times New Roman"/>
                <w:sz w:val="20"/>
                <w:szCs w:val="20"/>
              </w:rPr>
            </w:pPr>
          </w:p>
        </w:tc>
        <w:tc>
          <w:tcPr>
            <w:tcW w:w="850" w:type="dxa"/>
            <w:vMerge/>
          </w:tcPr>
          <w:p w14:paraId="0D29A9A4" w14:textId="77777777" w:rsidR="001013DD" w:rsidRPr="001013DD" w:rsidRDefault="001013DD" w:rsidP="001013DD">
            <w:pPr>
              <w:rPr>
                <w:rFonts w:ascii="Times New Roman" w:eastAsiaTheme="minorEastAsia" w:hAnsi="Times New Roman" w:cs="Times New Roman"/>
                <w:sz w:val="20"/>
                <w:szCs w:val="20"/>
              </w:rPr>
            </w:pPr>
          </w:p>
        </w:tc>
        <w:tc>
          <w:tcPr>
            <w:tcW w:w="1276" w:type="dxa"/>
            <w:vMerge/>
          </w:tcPr>
          <w:p w14:paraId="125DC3CF" w14:textId="77777777" w:rsidR="001013DD" w:rsidRPr="001013DD" w:rsidRDefault="001013DD" w:rsidP="001013DD">
            <w:pPr>
              <w:rPr>
                <w:rFonts w:ascii="Times New Roman" w:eastAsiaTheme="minorEastAsia" w:hAnsi="Times New Roman" w:cs="Times New Roman"/>
                <w:sz w:val="20"/>
                <w:szCs w:val="20"/>
              </w:rPr>
            </w:pPr>
          </w:p>
        </w:tc>
      </w:tr>
      <w:tr w:rsidR="001013DD" w14:paraId="11E4F707" w14:textId="77777777" w:rsidTr="006729FA">
        <w:trPr>
          <w:trHeight w:val="136"/>
        </w:trPr>
        <w:tc>
          <w:tcPr>
            <w:tcW w:w="3114" w:type="dxa"/>
            <w:vMerge w:val="restart"/>
            <w:vAlign w:val="center"/>
          </w:tcPr>
          <w:p w14:paraId="2B495AE9" w14:textId="5D45171A" w:rsidR="001013DD" w:rsidRPr="001013DD" w:rsidRDefault="001013DD" w:rsidP="00183005">
            <w:pPr>
              <w:widowControl w:val="0"/>
              <w:rPr>
                <w:rFonts w:ascii="Times New Roman" w:eastAsia="Arial Unicode MS" w:hAnsi="Times New Roman" w:cs="Times New Roman"/>
                <w:color w:val="00000A"/>
                <w:sz w:val="20"/>
                <w:szCs w:val="20"/>
                <w:lang w:eastAsia="zh-CN" w:bidi="hi-IN"/>
              </w:rPr>
            </w:pPr>
            <w:r w:rsidRPr="001013DD">
              <w:rPr>
                <w:rFonts w:ascii="Times New Roman" w:eastAsia="Arial Unicode MS" w:hAnsi="Times New Roman" w:cs="Times New Roman"/>
                <w:color w:val="00000A"/>
                <w:sz w:val="20"/>
                <w:szCs w:val="20"/>
                <w:lang w:eastAsia="zh-CN" w:bidi="hi-IN"/>
              </w:rPr>
              <w:t>AUDIT score ≥8 (%)</w:t>
            </w:r>
          </w:p>
        </w:tc>
        <w:tc>
          <w:tcPr>
            <w:tcW w:w="2268" w:type="dxa"/>
            <w:vMerge w:val="restart"/>
            <w:vAlign w:val="center"/>
          </w:tcPr>
          <w:p w14:paraId="383153DE" w14:textId="6EA86AE8" w:rsidR="001013DD" w:rsidRPr="001013DD" w:rsidRDefault="001013DD" w:rsidP="00183005">
            <w:pPr>
              <w:jc w:val="center"/>
              <w:rPr>
                <w:rFonts w:ascii="Times New Roman" w:eastAsia="Arial Unicode MS" w:hAnsi="Times New Roman" w:cs="Times New Roman"/>
                <w:color w:val="00000A"/>
                <w:sz w:val="20"/>
                <w:szCs w:val="20"/>
                <w:lang w:eastAsia="zh-CN" w:bidi="hi-IN"/>
              </w:rPr>
            </w:pPr>
            <w:r w:rsidRPr="001013DD">
              <w:rPr>
                <w:rFonts w:ascii="Times New Roman" w:eastAsia="Calibri" w:hAnsi="Times New Roman" w:cs="Times New Roman"/>
                <w:sz w:val="20"/>
                <w:szCs w:val="20"/>
              </w:rPr>
              <w:t>33</w:t>
            </w:r>
            <w:r>
              <w:rPr>
                <w:rFonts w:ascii="Times New Roman" w:eastAsia="Calibri" w:hAnsi="Times New Roman" w:cs="Times New Roman"/>
                <w:sz w:val="20"/>
                <w:szCs w:val="20"/>
              </w:rPr>
              <w:t xml:space="preserve"> </w:t>
            </w:r>
            <w:r w:rsidRPr="001013DD">
              <w:rPr>
                <w:rFonts w:ascii="Times New Roman" w:eastAsia="Calibri" w:hAnsi="Times New Roman" w:cs="Times New Roman"/>
                <w:sz w:val="20"/>
                <w:szCs w:val="20"/>
              </w:rPr>
              <w:t>(39.8)</w:t>
            </w:r>
          </w:p>
        </w:tc>
        <w:tc>
          <w:tcPr>
            <w:tcW w:w="2268" w:type="dxa"/>
            <w:vMerge w:val="restart"/>
            <w:vAlign w:val="center"/>
          </w:tcPr>
          <w:p w14:paraId="576B4077" w14:textId="4E1A4848" w:rsidR="001013DD" w:rsidRPr="001013DD" w:rsidRDefault="001013DD" w:rsidP="00183005">
            <w:pPr>
              <w:jc w:val="center"/>
              <w:rPr>
                <w:rFonts w:ascii="Times New Roman" w:eastAsia="Arial Unicode MS" w:hAnsi="Times New Roman" w:cs="Times New Roman"/>
                <w:color w:val="00000A"/>
                <w:sz w:val="20"/>
                <w:szCs w:val="20"/>
                <w:lang w:eastAsia="zh-CN" w:bidi="hi-IN"/>
              </w:rPr>
            </w:pPr>
            <w:r w:rsidRPr="001013DD">
              <w:rPr>
                <w:rFonts w:ascii="Times New Roman" w:eastAsia="Calibri" w:hAnsi="Times New Roman" w:cs="Times New Roman"/>
                <w:sz w:val="20"/>
                <w:szCs w:val="20"/>
              </w:rPr>
              <w:t>819</w:t>
            </w:r>
            <w:r>
              <w:rPr>
                <w:rFonts w:ascii="Times New Roman" w:eastAsia="Calibri" w:hAnsi="Times New Roman" w:cs="Times New Roman"/>
                <w:sz w:val="20"/>
                <w:szCs w:val="20"/>
              </w:rPr>
              <w:t xml:space="preserve"> </w:t>
            </w:r>
            <w:r w:rsidRPr="001013DD">
              <w:rPr>
                <w:rFonts w:ascii="Times New Roman" w:eastAsia="Calibri" w:hAnsi="Times New Roman" w:cs="Times New Roman"/>
                <w:sz w:val="20"/>
                <w:szCs w:val="20"/>
              </w:rPr>
              <w:t>(24.6)</w:t>
            </w:r>
          </w:p>
        </w:tc>
        <w:tc>
          <w:tcPr>
            <w:tcW w:w="1139" w:type="dxa"/>
          </w:tcPr>
          <w:p w14:paraId="489506BF" w14:textId="7CD39FF1" w:rsidR="001013DD" w:rsidRPr="001013DD" w:rsidRDefault="001013DD" w:rsidP="001013DD">
            <w:pPr>
              <w:jc w:val="center"/>
              <w:rPr>
                <w:rFonts w:ascii="Times New Roman" w:eastAsia="Calibri" w:hAnsi="Times New Roman" w:cs="Times New Roman"/>
                <w:sz w:val="20"/>
                <w:szCs w:val="20"/>
              </w:rPr>
            </w:pPr>
            <w:r w:rsidRPr="001013DD">
              <w:rPr>
                <w:rFonts w:ascii="Times New Roman" w:eastAsia="Calibri" w:hAnsi="Times New Roman" w:cs="Times New Roman"/>
                <w:sz w:val="20"/>
                <w:szCs w:val="20"/>
              </w:rPr>
              <w:t>LR=8.959</w:t>
            </w:r>
          </w:p>
        </w:tc>
        <w:tc>
          <w:tcPr>
            <w:tcW w:w="850" w:type="dxa"/>
            <w:vMerge w:val="restart"/>
            <w:vAlign w:val="center"/>
          </w:tcPr>
          <w:p w14:paraId="1830AE59" w14:textId="67AD6E5B" w:rsidR="001013DD" w:rsidRPr="001013DD" w:rsidRDefault="001013DD" w:rsidP="00183005">
            <w:pPr>
              <w:jc w:val="center"/>
              <w:rPr>
                <w:rFonts w:ascii="Times New Roman" w:eastAsiaTheme="minorEastAsia" w:hAnsi="Times New Roman" w:cs="Times New Roman"/>
                <w:sz w:val="20"/>
                <w:szCs w:val="20"/>
              </w:rPr>
            </w:pPr>
            <w:r w:rsidRPr="001013DD">
              <w:rPr>
                <w:rFonts w:ascii="Times New Roman" w:eastAsia="Calibri" w:hAnsi="Times New Roman" w:cs="Times New Roman"/>
                <w:sz w:val="20"/>
                <w:szCs w:val="20"/>
              </w:rPr>
              <w:t>.003</w:t>
            </w:r>
            <w:r w:rsidR="00623151">
              <w:rPr>
                <w:rFonts w:ascii="Times New Roman" w:eastAsia="Calibri" w:hAnsi="Times New Roman" w:cs="Times New Roman"/>
                <w:sz w:val="20"/>
                <w:szCs w:val="20"/>
              </w:rPr>
              <w:t>*</w:t>
            </w:r>
          </w:p>
        </w:tc>
        <w:tc>
          <w:tcPr>
            <w:tcW w:w="1276" w:type="dxa"/>
            <w:vMerge w:val="restart"/>
            <w:vAlign w:val="center"/>
          </w:tcPr>
          <w:p w14:paraId="1E9D4175" w14:textId="6BBA8C62" w:rsidR="001013DD" w:rsidRPr="001013DD" w:rsidRDefault="001013DD" w:rsidP="00183005">
            <w:pPr>
              <w:jc w:val="center"/>
              <w:rPr>
                <w:rFonts w:ascii="Times New Roman" w:eastAsiaTheme="minorEastAsia" w:hAnsi="Times New Roman" w:cs="Times New Roman"/>
                <w:sz w:val="20"/>
                <w:szCs w:val="20"/>
              </w:rPr>
            </w:pPr>
            <w:r w:rsidRPr="001013DD">
              <w:rPr>
                <w:rFonts w:ascii="Times New Roman" w:eastAsia="Calibri" w:hAnsi="Times New Roman" w:cs="Times New Roman"/>
                <w:sz w:val="20"/>
                <w:szCs w:val="20"/>
              </w:rPr>
              <w:t>.054</w:t>
            </w:r>
          </w:p>
        </w:tc>
      </w:tr>
      <w:tr w:rsidR="006729FA" w14:paraId="1F44788F" w14:textId="77777777" w:rsidTr="006729FA">
        <w:trPr>
          <w:trHeight w:val="136"/>
        </w:trPr>
        <w:tc>
          <w:tcPr>
            <w:tcW w:w="3114" w:type="dxa"/>
            <w:vMerge/>
            <w:vAlign w:val="center"/>
          </w:tcPr>
          <w:p w14:paraId="00B58DC7" w14:textId="77777777" w:rsidR="006729FA" w:rsidRPr="001013DD" w:rsidRDefault="006729FA" w:rsidP="00183005">
            <w:pPr>
              <w:widowControl w:val="0"/>
              <w:rPr>
                <w:rFonts w:ascii="Times New Roman" w:eastAsia="Arial Unicode MS" w:hAnsi="Times New Roman" w:cs="Times New Roman"/>
                <w:color w:val="00000A"/>
                <w:sz w:val="20"/>
                <w:szCs w:val="20"/>
                <w:lang w:eastAsia="zh-CN" w:bidi="hi-IN"/>
              </w:rPr>
            </w:pPr>
          </w:p>
        </w:tc>
        <w:tc>
          <w:tcPr>
            <w:tcW w:w="2268" w:type="dxa"/>
            <w:vMerge/>
            <w:vAlign w:val="center"/>
          </w:tcPr>
          <w:p w14:paraId="500CB03B" w14:textId="77777777" w:rsidR="006729FA" w:rsidRPr="001013DD" w:rsidRDefault="006729FA" w:rsidP="00183005">
            <w:pPr>
              <w:jc w:val="center"/>
              <w:rPr>
                <w:rFonts w:ascii="Times New Roman" w:eastAsia="Calibri" w:hAnsi="Times New Roman" w:cs="Times New Roman"/>
                <w:sz w:val="20"/>
                <w:szCs w:val="20"/>
              </w:rPr>
            </w:pPr>
          </w:p>
        </w:tc>
        <w:tc>
          <w:tcPr>
            <w:tcW w:w="2268" w:type="dxa"/>
            <w:vMerge/>
            <w:vAlign w:val="center"/>
          </w:tcPr>
          <w:p w14:paraId="11D1B655" w14:textId="77777777" w:rsidR="006729FA" w:rsidRPr="001013DD" w:rsidRDefault="006729FA" w:rsidP="00183005">
            <w:pPr>
              <w:jc w:val="center"/>
              <w:rPr>
                <w:rFonts w:ascii="Times New Roman" w:eastAsia="Calibri" w:hAnsi="Times New Roman" w:cs="Times New Roman"/>
                <w:sz w:val="20"/>
                <w:szCs w:val="20"/>
              </w:rPr>
            </w:pPr>
          </w:p>
        </w:tc>
        <w:tc>
          <w:tcPr>
            <w:tcW w:w="1139" w:type="dxa"/>
          </w:tcPr>
          <w:p w14:paraId="354C933A" w14:textId="2CF83DB2" w:rsidR="006729FA" w:rsidRPr="001013DD" w:rsidRDefault="006729FA" w:rsidP="001013DD">
            <w:pPr>
              <w:jc w:val="center"/>
              <w:rPr>
                <w:rFonts w:ascii="Times New Roman" w:eastAsia="Calibri" w:hAnsi="Times New Roman" w:cs="Times New Roman"/>
                <w:sz w:val="20"/>
                <w:szCs w:val="20"/>
              </w:rPr>
            </w:pPr>
            <w:r w:rsidRPr="001013DD">
              <w:rPr>
                <w:rFonts w:ascii="Times New Roman" w:eastAsia="Calibri" w:hAnsi="Times New Roman" w:cs="Times New Roman"/>
                <w:sz w:val="20"/>
                <w:szCs w:val="20"/>
              </w:rPr>
              <w:t>df=1</w:t>
            </w:r>
          </w:p>
        </w:tc>
        <w:tc>
          <w:tcPr>
            <w:tcW w:w="850" w:type="dxa"/>
            <w:vMerge/>
            <w:vAlign w:val="center"/>
          </w:tcPr>
          <w:p w14:paraId="55B8E253" w14:textId="77777777" w:rsidR="006729FA" w:rsidRPr="001013DD" w:rsidRDefault="006729FA" w:rsidP="00183005">
            <w:pPr>
              <w:jc w:val="center"/>
              <w:rPr>
                <w:rFonts w:ascii="Times New Roman" w:eastAsia="Calibri" w:hAnsi="Times New Roman" w:cs="Times New Roman"/>
                <w:sz w:val="20"/>
                <w:szCs w:val="20"/>
              </w:rPr>
            </w:pPr>
          </w:p>
        </w:tc>
        <w:tc>
          <w:tcPr>
            <w:tcW w:w="1276" w:type="dxa"/>
            <w:vMerge/>
            <w:vAlign w:val="center"/>
          </w:tcPr>
          <w:p w14:paraId="30CF6438" w14:textId="77777777" w:rsidR="006729FA" w:rsidRPr="001013DD" w:rsidRDefault="006729FA" w:rsidP="00183005">
            <w:pPr>
              <w:jc w:val="center"/>
              <w:rPr>
                <w:rFonts w:ascii="Times New Roman" w:eastAsia="Calibri" w:hAnsi="Times New Roman" w:cs="Times New Roman"/>
                <w:sz w:val="20"/>
                <w:szCs w:val="20"/>
              </w:rPr>
            </w:pPr>
          </w:p>
        </w:tc>
      </w:tr>
      <w:tr w:rsidR="006729FA" w14:paraId="552B87BA" w14:textId="77777777" w:rsidTr="006729FA">
        <w:trPr>
          <w:trHeight w:val="136"/>
        </w:trPr>
        <w:tc>
          <w:tcPr>
            <w:tcW w:w="3114" w:type="dxa"/>
            <w:vMerge w:val="restart"/>
            <w:vAlign w:val="center"/>
          </w:tcPr>
          <w:p w14:paraId="6B3BA88F" w14:textId="50EA808C" w:rsidR="006729FA" w:rsidRPr="006729FA" w:rsidRDefault="006729FA" w:rsidP="006729FA">
            <w:pPr>
              <w:widowControl w:val="0"/>
              <w:rPr>
                <w:rFonts w:ascii="Times New Roman" w:eastAsia="Arial Unicode MS" w:hAnsi="Times New Roman" w:cs="Times New Roman"/>
                <w:color w:val="00000A"/>
                <w:sz w:val="20"/>
                <w:szCs w:val="20"/>
                <w:lang w:eastAsia="zh-CN" w:bidi="hi-IN"/>
              </w:rPr>
            </w:pPr>
            <w:r w:rsidRPr="006729FA">
              <w:rPr>
                <w:rFonts w:ascii="Times New Roman" w:eastAsia="Arial Unicode MS" w:hAnsi="Times New Roman" w:cs="Times New Roman"/>
                <w:color w:val="00000A"/>
                <w:sz w:val="20"/>
                <w:szCs w:val="20"/>
                <w:lang w:eastAsia="zh-CN" w:bidi="hi-IN"/>
              </w:rPr>
              <w:t>DAST-10 score ≥3 (%)</w:t>
            </w:r>
          </w:p>
        </w:tc>
        <w:tc>
          <w:tcPr>
            <w:tcW w:w="2268" w:type="dxa"/>
            <w:vMerge w:val="restart"/>
            <w:vAlign w:val="center"/>
          </w:tcPr>
          <w:p w14:paraId="6ABE5D20" w14:textId="4F524E1B" w:rsidR="006729FA" w:rsidRPr="006729FA" w:rsidRDefault="006729FA" w:rsidP="006729FA">
            <w:pPr>
              <w:jc w:val="center"/>
              <w:rPr>
                <w:rFonts w:ascii="Times New Roman" w:eastAsia="Calibri" w:hAnsi="Times New Roman" w:cs="Times New Roman"/>
                <w:sz w:val="20"/>
                <w:szCs w:val="20"/>
              </w:rPr>
            </w:pPr>
            <w:r w:rsidRPr="006729FA">
              <w:rPr>
                <w:rFonts w:ascii="Times New Roman" w:eastAsia="Calibri" w:hAnsi="Times New Roman" w:cs="Times New Roman"/>
                <w:sz w:val="20"/>
                <w:szCs w:val="20"/>
              </w:rPr>
              <w:t>10</w:t>
            </w:r>
            <w:r>
              <w:rPr>
                <w:rFonts w:ascii="Times New Roman" w:eastAsia="Calibri" w:hAnsi="Times New Roman" w:cs="Times New Roman"/>
                <w:sz w:val="20"/>
                <w:szCs w:val="20"/>
              </w:rPr>
              <w:t xml:space="preserve"> </w:t>
            </w:r>
            <w:r w:rsidRPr="006729FA">
              <w:rPr>
                <w:rFonts w:ascii="Times New Roman" w:eastAsia="Calibri" w:hAnsi="Times New Roman" w:cs="Times New Roman"/>
                <w:sz w:val="20"/>
                <w:szCs w:val="20"/>
              </w:rPr>
              <w:t>(12.2)</w:t>
            </w:r>
          </w:p>
        </w:tc>
        <w:tc>
          <w:tcPr>
            <w:tcW w:w="2268" w:type="dxa"/>
            <w:vMerge w:val="restart"/>
            <w:vAlign w:val="center"/>
          </w:tcPr>
          <w:p w14:paraId="2407731D" w14:textId="238B3415" w:rsidR="006729FA" w:rsidRPr="006729FA" w:rsidRDefault="006729FA" w:rsidP="006729FA">
            <w:pPr>
              <w:jc w:val="center"/>
              <w:rPr>
                <w:rFonts w:ascii="Times New Roman" w:eastAsia="Calibri" w:hAnsi="Times New Roman" w:cs="Times New Roman"/>
                <w:sz w:val="20"/>
                <w:szCs w:val="20"/>
              </w:rPr>
            </w:pPr>
            <w:r w:rsidRPr="006729FA">
              <w:rPr>
                <w:rFonts w:ascii="Times New Roman" w:eastAsia="Calibri" w:hAnsi="Times New Roman" w:cs="Times New Roman"/>
                <w:sz w:val="20"/>
                <w:szCs w:val="20"/>
              </w:rPr>
              <w:t>273</w:t>
            </w:r>
            <w:r>
              <w:rPr>
                <w:rFonts w:ascii="Times New Roman" w:eastAsia="Calibri" w:hAnsi="Times New Roman" w:cs="Times New Roman"/>
                <w:sz w:val="20"/>
                <w:szCs w:val="20"/>
              </w:rPr>
              <w:t xml:space="preserve"> </w:t>
            </w:r>
            <w:r w:rsidRPr="006729FA">
              <w:rPr>
                <w:rFonts w:ascii="Times New Roman" w:eastAsia="Calibri" w:hAnsi="Times New Roman" w:cs="Times New Roman"/>
                <w:sz w:val="20"/>
                <w:szCs w:val="20"/>
              </w:rPr>
              <w:t>(8.2)</w:t>
            </w:r>
          </w:p>
        </w:tc>
        <w:tc>
          <w:tcPr>
            <w:tcW w:w="1139" w:type="dxa"/>
          </w:tcPr>
          <w:p w14:paraId="4CD7D4E2" w14:textId="22DF2AD1" w:rsidR="006729FA" w:rsidRPr="006729FA" w:rsidRDefault="006729FA" w:rsidP="006729FA">
            <w:pPr>
              <w:jc w:val="center"/>
              <w:rPr>
                <w:rFonts w:ascii="Times New Roman" w:eastAsia="Calibri" w:hAnsi="Times New Roman" w:cs="Times New Roman"/>
                <w:sz w:val="20"/>
                <w:szCs w:val="20"/>
              </w:rPr>
            </w:pPr>
            <w:r w:rsidRPr="006729FA">
              <w:rPr>
                <w:rFonts w:ascii="Times New Roman" w:eastAsia="Calibri" w:hAnsi="Times New Roman" w:cs="Times New Roman"/>
                <w:sz w:val="20"/>
                <w:szCs w:val="20"/>
              </w:rPr>
              <w:t>LR=1.489</w:t>
            </w:r>
          </w:p>
        </w:tc>
        <w:tc>
          <w:tcPr>
            <w:tcW w:w="850" w:type="dxa"/>
            <w:vMerge w:val="restart"/>
            <w:vAlign w:val="center"/>
          </w:tcPr>
          <w:p w14:paraId="0F0EC888" w14:textId="7C908FD3" w:rsidR="006729FA" w:rsidRPr="006729FA" w:rsidRDefault="006729FA" w:rsidP="006729FA">
            <w:pPr>
              <w:jc w:val="center"/>
              <w:rPr>
                <w:rFonts w:ascii="Times New Roman" w:eastAsia="Calibri" w:hAnsi="Times New Roman" w:cs="Times New Roman"/>
                <w:b/>
                <w:bCs/>
                <w:color w:val="00B050"/>
                <w:sz w:val="20"/>
                <w:szCs w:val="20"/>
              </w:rPr>
            </w:pPr>
            <w:r w:rsidRPr="006729FA">
              <w:rPr>
                <w:rFonts w:ascii="Times New Roman" w:eastAsia="Calibri" w:hAnsi="Times New Roman" w:cs="Times New Roman"/>
                <w:sz w:val="20"/>
                <w:szCs w:val="20"/>
              </w:rPr>
              <w:t>.222</w:t>
            </w:r>
          </w:p>
        </w:tc>
        <w:tc>
          <w:tcPr>
            <w:tcW w:w="1276" w:type="dxa"/>
            <w:vMerge w:val="restart"/>
          </w:tcPr>
          <w:p w14:paraId="452FC87F" w14:textId="77777777" w:rsidR="006729FA" w:rsidRPr="006729FA" w:rsidRDefault="006729FA" w:rsidP="001013DD">
            <w:pPr>
              <w:rPr>
                <w:rFonts w:ascii="Times New Roman" w:eastAsia="Calibri" w:hAnsi="Times New Roman" w:cs="Times New Roman"/>
                <w:b/>
                <w:bCs/>
                <w:color w:val="00B050"/>
                <w:sz w:val="20"/>
                <w:szCs w:val="20"/>
              </w:rPr>
            </w:pPr>
          </w:p>
        </w:tc>
      </w:tr>
      <w:tr w:rsidR="006729FA" w14:paraId="03060C03" w14:textId="77777777" w:rsidTr="006729FA">
        <w:trPr>
          <w:trHeight w:val="135"/>
        </w:trPr>
        <w:tc>
          <w:tcPr>
            <w:tcW w:w="3114" w:type="dxa"/>
            <w:vMerge/>
          </w:tcPr>
          <w:p w14:paraId="6421E692" w14:textId="77777777" w:rsidR="006729FA" w:rsidRPr="006729FA" w:rsidRDefault="006729FA" w:rsidP="001013DD">
            <w:pPr>
              <w:widowControl w:val="0"/>
              <w:rPr>
                <w:rFonts w:ascii="Times New Roman" w:eastAsia="Arial Unicode MS" w:hAnsi="Times New Roman" w:cs="Times New Roman"/>
                <w:color w:val="00000A"/>
                <w:sz w:val="20"/>
                <w:szCs w:val="20"/>
                <w:lang w:eastAsia="zh-CN" w:bidi="hi-IN"/>
              </w:rPr>
            </w:pPr>
          </w:p>
        </w:tc>
        <w:tc>
          <w:tcPr>
            <w:tcW w:w="2268" w:type="dxa"/>
            <w:vMerge/>
          </w:tcPr>
          <w:p w14:paraId="03974EBA" w14:textId="77777777" w:rsidR="006729FA" w:rsidRPr="006729FA" w:rsidRDefault="006729FA" w:rsidP="001013DD">
            <w:pPr>
              <w:jc w:val="center"/>
              <w:rPr>
                <w:rFonts w:ascii="Times New Roman" w:eastAsia="Calibri" w:hAnsi="Times New Roman" w:cs="Times New Roman"/>
                <w:sz w:val="20"/>
                <w:szCs w:val="20"/>
              </w:rPr>
            </w:pPr>
          </w:p>
        </w:tc>
        <w:tc>
          <w:tcPr>
            <w:tcW w:w="2268" w:type="dxa"/>
            <w:vMerge/>
          </w:tcPr>
          <w:p w14:paraId="5EB3E752" w14:textId="77777777" w:rsidR="006729FA" w:rsidRPr="006729FA" w:rsidRDefault="006729FA" w:rsidP="001013DD">
            <w:pPr>
              <w:jc w:val="center"/>
              <w:rPr>
                <w:rFonts w:ascii="Times New Roman" w:eastAsia="Calibri" w:hAnsi="Times New Roman" w:cs="Times New Roman"/>
                <w:sz w:val="20"/>
                <w:szCs w:val="20"/>
              </w:rPr>
            </w:pPr>
          </w:p>
        </w:tc>
        <w:tc>
          <w:tcPr>
            <w:tcW w:w="1139" w:type="dxa"/>
          </w:tcPr>
          <w:p w14:paraId="36BE2602" w14:textId="2053E3E1" w:rsidR="006729FA" w:rsidRPr="006729FA" w:rsidRDefault="006729FA" w:rsidP="006729FA">
            <w:pPr>
              <w:jc w:val="center"/>
              <w:rPr>
                <w:rFonts w:ascii="Times New Roman" w:eastAsia="Calibri" w:hAnsi="Times New Roman" w:cs="Times New Roman"/>
                <w:sz w:val="20"/>
                <w:szCs w:val="20"/>
              </w:rPr>
            </w:pPr>
            <w:r w:rsidRPr="006729FA">
              <w:rPr>
                <w:rFonts w:ascii="Times New Roman" w:eastAsia="Calibri" w:hAnsi="Times New Roman" w:cs="Times New Roman"/>
                <w:sz w:val="20"/>
                <w:szCs w:val="20"/>
              </w:rPr>
              <w:t>df=1</w:t>
            </w:r>
          </w:p>
        </w:tc>
        <w:tc>
          <w:tcPr>
            <w:tcW w:w="850" w:type="dxa"/>
            <w:vMerge/>
          </w:tcPr>
          <w:p w14:paraId="37C4DFD0" w14:textId="77777777" w:rsidR="006729FA" w:rsidRPr="006729FA" w:rsidRDefault="006729FA" w:rsidP="001013DD">
            <w:pPr>
              <w:rPr>
                <w:rFonts w:ascii="Times New Roman" w:eastAsia="Calibri" w:hAnsi="Times New Roman" w:cs="Times New Roman"/>
                <w:sz w:val="20"/>
                <w:szCs w:val="20"/>
              </w:rPr>
            </w:pPr>
          </w:p>
        </w:tc>
        <w:tc>
          <w:tcPr>
            <w:tcW w:w="1276" w:type="dxa"/>
            <w:vMerge/>
          </w:tcPr>
          <w:p w14:paraId="16CAF42C" w14:textId="77777777" w:rsidR="006729FA" w:rsidRPr="006729FA" w:rsidRDefault="006729FA" w:rsidP="001013DD">
            <w:pPr>
              <w:rPr>
                <w:rFonts w:ascii="Times New Roman" w:eastAsia="Calibri" w:hAnsi="Times New Roman" w:cs="Times New Roman"/>
                <w:b/>
                <w:bCs/>
                <w:color w:val="00B050"/>
                <w:sz w:val="20"/>
                <w:szCs w:val="20"/>
              </w:rPr>
            </w:pPr>
          </w:p>
        </w:tc>
      </w:tr>
      <w:tr w:rsidR="00242E47" w:rsidRPr="006729FA" w14:paraId="70C8B665" w14:textId="77777777" w:rsidTr="002B45B3">
        <w:trPr>
          <w:trHeight w:val="135"/>
        </w:trPr>
        <w:tc>
          <w:tcPr>
            <w:tcW w:w="10915" w:type="dxa"/>
            <w:gridSpan w:val="6"/>
          </w:tcPr>
          <w:p w14:paraId="62AF0E69" w14:textId="274A5864" w:rsidR="00242E47" w:rsidRPr="006729FA" w:rsidRDefault="00242E47" w:rsidP="001013DD">
            <w:pPr>
              <w:rPr>
                <w:rFonts w:ascii="Times New Roman" w:eastAsia="Calibri" w:hAnsi="Times New Roman" w:cs="Times New Roman"/>
                <w:b/>
                <w:bCs/>
                <w:color w:val="00B050"/>
                <w:sz w:val="20"/>
                <w:szCs w:val="20"/>
              </w:rPr>
            </w:pPr>
            <w:r w:rsidRPr="006729FA">
              <w:rPr>
                <w:rFonts w:ascii="Times New Roman" w:eastAsia="Calibri" w:hAnsi="Times New Roman" w:cs="Times New Roman"/>
                <w:sz w:val="20"/>
                <w:szCs w:val="20"/>
              </w:rPr>
              <w:t xml:space="preserve">Has been treated for drug/alcohol use problems </w:t>
            </w:r>
          </w:p>
        </w:tc>
      </w:tr>
      <w:tr w:rsidR="006729FA" w:rsidRPr="006729FA" w14:paraId="20A82CAE" w14:textId="77777777" w:rsidTr="00623151">
        <w:trPr>
          <w:trHeight w:val="136"/>
        </w:trPr>
        <w:tc>
          <w:tcPr>
            <w:tcW w:w="3114" w:type="dxa"/>
            <w:vMerge w:val="restart"/>
            <w:vAlign w:val="center"/>
          </w:tcPr>
          <w:p w14:paraId="6B62344B" w14:textId="1254FEE3" w:rsidR="006729FA" w:rsidRPr="006729FA" w:rsidRDefault="006729FA" w:rsidP="00623151">
            <w:pPr>
              <w:widowControl w:val="0"/>
              <w:rPr>
                <w:rFonts w:ascii="Times New Roman" w:eastAsia="Arial Unicode MS" w:hAnsi="Times New Roman" w:cs="Times New Roman"/>
                <w:color w:val="00000A"/>
                <w:sz w:val="20"/>
                <w:szCs w:val="20"/>
                <w:lang w:eastAsia="zh-CN" w:bidi="hi-IN"/>
              </w:rPr>
            </w:pPr>
            <w:r w:rsidRPr="006729FA">
              <w:rPr>
                <w:rFonts w:ascii="Times New Roman" w:eastAsia="Calibri" w:hAnsi="Times New Roman" w:cs="Times New Roman"/>
                <w:sz w:val="20"/>
                <w:szCs w:val="20"/>
              </w:rPr>
              <w:t xml:space="preserve">   Yes</w:t>
            </w:r>
          </w:p>
        </w:tc>
        <w:tc>
          <w:tcPr>
            <w:tcW w:w="2268" w:type="dxa"/>
            <w:vMerge w:val="restart"/>
            <w:vAlign w:val="center"/>
          </w:tcPr>
          <w:p w14:paraId="317D13F6" w14:textId="479F63B3" w:rsidR="006729FA" w:rsidRPr="006729FA" w:rsidRDefault="006729FA" w:rsidP="00623151">
            <w:pPr>
              <w:jc w:val="center"/>
              <w:rPr>
                <w:rFonts w:ascii="Times New Roman" w:eastAsia="Calibri" w:hAnsi="Times New Roman" w:cs="Times New Roman"/>
                <w:sz w:val="20"/>
                <w:szCs w:val="20"/>
              </w:rPr>
            </w:pPr>
            <w:r w:rsidRPr="006729FA">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6729FA">
              <w:rPr>
                <w:rFonts w:ascii="Times New Roman" w:eastAsia="Calibri" w:hAnsi="Times New Roman" w:cs="Times New Roman"/>
                <w:sz w:val="20"/>
                <w:szCs w:val="20"/>
              </w:rPr>
              <w:t>(4.8)</w:t>
            </w:r>
          </w:p>
        </w:tc>
        <w:tc>
          <w:tcPr>
            <w:tcW w:w="2268" w:type="dxa"/>
            <w:vMerge w:val="restart"/>
            <w:vAlign w:val="center"/>
          </w:tcPr>
          <w:p w14:paraId="2673A1CE" w14:textId="48C0A511" w:rsidR="006729FA" w:rsidRPr="006729FA" w:rsidRDefault="006729FA" w:rsidP="00623151">
            <w:pPr>
              <w:jc w:val="center"/>
              <w:rPr>
                <w:rFonts w:ascii="Times New Roman" w:eastAsia="Calibri" w:hAnsi="Times New Roman" w:cs="Times New Roman"/>
                <w:sz w:val="20"/>
                <w:szCs w:val="20"/>
              </w:rPr>
            </w:pPr>
            <w:r w:rsidRPr="006729FA">
              <w:rPr>
                <w:rFonts w:ascii="Times New Roman" w:eastAsia="Calibri" w:hAnsi="Times New Roman" w:cs="Times New Roman"/>
                <w:sz w:val="20"/>
                <w:szCs w:val="20"/>
              </w:rPr>
              <w:t>59</w:t>
            </w:r>
            <w:r>
              <w:rPr>
                <w:rFonts w:ascii="Times New Roman" w:eastAsia="Calibri" w:hAnsi="Times New Roman" w:cs="Times New Roman"/>
                <w:sz w:val="20"/>
                <w:szCs w:val="20"/>
              </w:rPr>
              <w:t xml:space="preserve"> </w:t>
            </w:r>
            <w:r w:rsidRPr="006729FA">
              <w:rPr>
                <w:rFonts w:ascii="Times New Roman" w:eastAsia="Calibri" w:hAnsi="Times New Roman" w:cs="Times New Roman"/>
                <w:sz w:val="20"/>
                <w:szCs w:val="20"/>
              </w:rPr>
              <w:t>(1.8)</w:t>
            </w:r>
          </w:p>
        </w:tc>
        <w:tc>
          <w:tcPr>
            <w:tcW w:w="1139" w:type="dxa"/>
          </w:tcPr>
          <w:p w14:paraId="3D1322B8" w14:textId="7F5CE5D6" w:rsidR="006729FA" w:rsidRPr="006729FA" w:rsidRDefault="006729FA" w:rsidP="006729FA">
            <w:pPr>
              <w:jc w:val="center"/>
              <w:rPr>
                <w:rFonts w:ascii="Times New Roman" w:eastAsia="Calibri" w:hAnsi="Times New Roman" w:cs="Times New Roman"/>
                <w:sz w:val="20"/>
                <w:szCs w:val="20"/>
              </w:rPr>
            </w:pPr>
            <w:r w:rsidRPr="006729FA">
              <w:rPr>
                <w:rFonts w:ascii="Times New Roman" w:eastAsia="Calibri" w:hAnsi="Times New Roman" w:cs="Times New Roman"/>
                <w:sz w:val="20"/>
                <w:szCs w:val="20"/>
              </w:rPr>
              <w:t>LR=2.922</w:t>
            </w:r>
          </w:p>
        </w:tc>
        <w:tc>
          <w:tcPr>
            <w:tcW w:w="850" w:type="dxa"/>
            <w:vMerge w:val="restart"/>
            <w:vAlign w:val="center"/>
          </w:tcPr>
          <w:p w14:paraId="2227C03E" w14:textId="5317803C" w:rsidR="006729FA" w:rsidRPr="006729FA" w:rsidRDefault="006729FA" w:rsidP="00623151">
            <w:pPr>
              <w:jc w:val="center"/>
              <w:rPr>
                <w:rFonts w:ascii="Times New Roman" w:eastAsia="Calibri" w:hAnsi="Times New Roman" w:cs="Times New Roman"/>
                <w:sz w:val="20"/>
                <w:szCs w:val="20"/>
              </w:rPr>
            </w:pPr>
            <w:r w:rsidRPr="006729FA">
              <w:rPr>
                <w:rFonts w:ascii="Times New Roman" w:eastAsia="Calibri" w:hAnsi="Times New Roman" w:cs="Times New Roman"/>
                <w:sz w:val="20"/>
                <w:szCs w:val="20"/>
              </w:rPr>
              <w:t>.087</w:t>
            </w:r>
          </w:p>
        </w:tc>
        <w:tc>
          <w:tcPr>
            <w:tcW w:w="1276" w:type="dxa"/>
            <w:vMerge w:val="restart"/>
          </w:tcPr>
          <w:p w14:paraId="6A06C45E" w14:textId="77777777" w:rsidR="006729FA" w:rsidRPr="006729FA" w:rsidRDefault="006729FA" w:rsidP="001013DD">
            <w:pPr>
              <w:rPr>
                <w:rFonts w:ascii="Times New Roman" w:eastAsia="Calibri" w:hAnsi="Times New Roman" w:cs="Times New Roman"/>
                <w:b/>
                <w:bCs/>
                <w:color w:val="00B050"/>
                <w:sz w:val="20"/>
                <w:szCs w:val="20"/>
              </w:rPr>
            </w:pPr>
          </w:p>
        </w:tc>
      </w:tr>
      <w:tr w:rsidR="006729FA" w:rsidRPr="006729FA" w14:paraId="3C1147B7" w14:textId="77777777" w:rsidTr="006729FA">
        <w:trPr>
          <w:trHeight w:val="135"/>
        </w:trPr>
        <w:tc>
          <w:tcPr>
            <w:tcW w:w="3114" w:type="dxa"/>
            <w:vMerge/>
          </w:tcPr>
          <w:p w14:paraId="6090596D" w14:textId="77777777" w:rsidR="006729FA" w:rsidRPr="006729FA" w:rsidRDefault="006729FA" w:rsidP="001013DD">
            <w:pPr>
              <w:widowControl w:val="0"/>
              <w:rPr>
                <w:rFonts w:ascii="Times New Roman" w:eastAsia="Calibri" w:hAnsi="Times New Roman" w:cs="Times New Roman"/>
                <w:sz w:val="20"/>
                <w:szCs w:val="20"/>
              </w:rPr>
            </w:pPr>
          </w:p>
        </w:tc>
        <w:tc>
          <w:tcPr>
            <w:tcW w:w="2268" w:type="dxa"/>
            <w:vMerge/>
          </w:tcPr>
          <w:p w14:paraId="1CC38FC1" w14:textId="77777777" w:rsidR="006729FA" w:rsidRPr="006729FA" w:rsidRDefault="006729FA" w:rsidP="001013DD">
            <w:pPr>
              <w:jc w:val="center"/>
              <w:rPr>
                <w:rFonts w:ascii="Times New Roman" w:eastAsia="Calibri" w:hAnsi="Times New Roman" w:cs="Times New Roman"/>
                <w:sz w:val="20"/>
                <w:szCs w:val="20"/>
              </w:rPr>
            </w:pPr>
          </w:p>
        </w:tc>
        <w:tc>
          <w:tcPr>
            <w:tcW w:w="2268" w:type="dxa"/>
            <w:vMerge/>
          </w:tcPr>
          <w:p w14:paraId="156E9AD6" w14:textId="77777777" w:rsidR="006729FA" w:rsidRPr="006729FA" w:rsidRDefault="006729FA" w:rsidP="001013DD">
            <w:pPr>
              <w:jc w:val="center"/>
              <w:rPr>
                <w:rFonts w:ascii="Times New Roman" w:eastAsia="Calibri" w:hAnsi="Times New Roman" w:cs="Times New Roman"/>
                <w:sz w:val="20"/>
                <w:szCs w:val="20"/>
              </w:rPr>
            </w:pPr>
          </w:p>
        </w:tc>
        <w:tc>
          <w:tcPr>
            <w:tcW w:w="1139" w:type="dxa"/>
          </w:tcPr>
          <w:p w14:paraId="4F36AE4D" w14:textId="29EA4319" w:rsidR="006729FA" w:rsidRPr="006729FA" w:rsidRDefault="006729FA" w:rsidP="006729FA">
            <w:pPr>
              <w:jc w:val="center"/>
              <w:rPr>
                <w:rFonts w:ascii="Times New Roman" w:eastAsia="Calibri" w:hAnsi="Times New Roman" w:cs="Times New Roman"/>
                <w:sz w:val="20"/>
                <w:szCs w:val="20"/>
              </w:rPr>
            </w:pPr>
            <w:r w:rsidRPr="006729FA">
              <w:rPr>
                <w:rFonts w:ascii="Times New Roman" w:eastAsia="Calibri" w:hAnsi="Times New Roman" w:cs="Times New Roman"/>
                <w:sz w:val="20"/>
                <w:szCs w:val="20"/>
              </w:rPr>
              <w:t>df=1</w:t>
            </w:r>
          </w:p>
        </w:tc>
        <w:tc>
          <w:tcPr>
            <w:tcW w:w="850" w:type="dxa"/>
            <w:vMerge/>
          </w:tcPr>
          <w:p w14:paraId="7FC9A067" w14:textId="77777777" w:rsidR="006729FA" w:rsidRPr="006729FA" w:rsidRDefault="006729FA" w:rsidP="001013DD">
            <w:pPr>
              <w:rPr>
                <w:rFonts w:ascii="Times New Roman" w:eastAsia="Calibri" w:hAnsi="Times New Roman" w:cs="Times New Roman"/>
                <w:sz w:val="20"/>
                <w:szCs w:val="20"/>
              </w:rPr>
            </w:pPr>
          </w:p>
        </w:tc>
        <w:tc>
          <w:tcPr>
            <w:tcW w:w="1276" w:type="dxa"/>
            <w:vMerge/>
          </w:tcPr>
          <w:p w14:paraId="751B86DA" w14:textId="77777777" w:rsidR="006729FA" w:rsidRPr="006729FA" w:rsidRDefault="006729FA" w:rsidP="001013DD">
            <w:pPr>
              <w:rPr>
                <w:rFonts w:ascii="Times New Roman" w:eastAsia="Calibri" w:hAnsi="Times New Roman" w:cs="Times New Roman"/>
                <w:b/>
                <w:bCs/>
                <w:color w:val="00B050"/>
                <w:sz w:val="20"/>
                <w:szCs w:val="20"/>
              </w:rPr>
            </w:pPr>
          </w:p>
        </w:tc>
      </w:tr>
    </w:tbl>
    <w:p w14:paraId="097D5E7B" w14:textId="77777777" w:rsidR="00623151" w:rsidRDefault="00623151" w:rsidP="00623151">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All numbers are N (%) unless otherwise stated.</w:t>
      </w:r>
    </w:p>
    <w:p w14:paraId="299E392D" w14:textId="621A0EC9" w:rsidR="00623151" w:rsidRDefault="00623151" w:rsidP="00623151">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w:t>
      </w:r>
      <w:r w:rsidRPr="00153194">
        <w:rPr>
          <w:rFonts w:ascii="Times New Roman" w:eastAsiaTheme="minorEastAsia" w:hAnsi="Times New Roman" w:cs="Times New Roman"/>
          <w:i/>
          <w:iCs/>
          <w:sz w:val="22"/>
          <w:szCs w:val="22"/>
        </w:rPr>
        <w:t>P</w:t>
      </w:r>
      <w:r>
        <w:rPr>
          <w:rFonts w:ascii="Times New Roman" w:eastAsiaTheme="minorEastAsia" w:hAnsi="Times New Roman" w:cs="Times New Roman"/>
          <w:sz w:val="22"/>
          <w:szCs w:val="22"/>
        </w:rPr>
        <w:t xml:space="preserve"> value significant with Bonferroni correction; c</w:t>
      </w:r>
      <w:r w:rsidRPr="00153194">
        <w:rPr>
          <w:rFonts w:ascii="Times New Roman" w:eastAsiaTheme="minorEastAsia" w:hAnsi="Times New Roman" w:cs="Times New Roman"/>
          <w:sz w:val="22"/>
          <w:szCs w:val="22"/>
        </w:rPr>
        <w:t>ritical</w:t>
      </w:r>
      <w:r>
        <w:rPr>
          <w:rFonts w:ascii="Times New Roman" w:eastAsiaTheme="minorEastAsia" w:hAnsi="Times New Roman" w:cs="Times New Roman"/>
          <w:sz w:val="22"/>
          <w:szCs w:val="22"/>
        </w:rPr>
        <w:t xml:space="preserve"> </w:t>
      </w:r>
      <w:r>
        <w:rPr>
          <w:rFonts w:ascii="Times New Roman" w:eastAsiaTheme="minorEastAsia" w:hAnsi="Times New Roman" w:cs="Times New Roman"/>
          <w:i/>
          <w:iCs/>
          <w:sz w:val="22"/>
          <w:szCs w:val="22"/>
        </w:rPr>
        <w:t>P</w:t>
      </w:r>
      <w:r>
        <w:rPr>
          <w:rFonts w:ascii="Times New Roman" w:eastAsiaTheme="minorEastAsia" w:hAnsi="Times New Roman" w:cs="Times New Roman"/>
          <w:sz w:val="22"/>
          <w:szCs w:val="22"/>
        </w:rPr>
        <w:t xml:space="preserve"> = .05/13 = .004.</w:t>
      </w:r>
    </w:p>
    <w:p w14:paraId="1CB62BB5" w14:textId="0EB2B700" w:rsidR="00D83F43" w:rsidRDefault="00D83F43" w:rsidP="00623151">
      <w:pPr>
        <w:rPr>
          <w:rFonts w:ascii="Times New Roman" w:eastAsiaTheme="minorEastAsia" w:hAnsi="Times New Roman" w:cs="Times New Roman"/>
          <w:sz w:val="22"/>
          <w:szCs w:val="22"/>
        </w:rPr>
      </w:pPr>
      <w:r>
        <w:rPr>
          <w:rFonts w:ascii="Times New Roman" w:hAnsi="Times New Roman" w:cs="Times New Roman"/>
          <w:sz w:val="22"/>
          <w:szCs w:val="22"/>
        </w:rPr>
        <w:t xml:space="preserve">AUDIT = </w:t>
      </w:r>
      <w:r w:rsidRPr="00515B26">
        <w:rPr>
          <w:rFonts w:ascii="Times New Roman" w:hAnsi="Times New Roman" w:cs="Times New Roman"/>
          <w:sz w:val="22"/>
          <w:szCs w:val="22"/>
        </w:rPr>
        <w:t>Alcohol Use Disorders Identification Test (AUDIT)</w:t>
      </w:r>
      <w:r>
        <w:rPr>
          <w:rFonts w:ascii="Times New Roman" w:hAnsi="Times New Roman" w:cs="Times New Roman"/>
          <w:sz w:val="22"/>
          <w:szCs w:val="22"/>
          <w:lang w:val="en-US"/>
        </w:rPr>
        <w:t xml:space="preserve">; DAST-10 = </w:t>
      </w:r>
      <w:r w:rsidRPr="00515B26">
        <w:rPr>
          <w:rFonts w:ascii="Times New Roman" w:eastAsiaTheme="minorEastAsia" w:hAnsi="Times New Roman" w:cs="Times New Roman"/>
          <w:sz w:val="22"/>
          <w:szCs w:val="22"/>
        </w:rPr>
        <w:t>Drug Abuse Screening Test</w:t>
      </w:r>
      <w:r>
        <w:rPr>
          <w:rFonts w:ascii="Times New Roman" w:eastAsiaTheme="minorEastAsia" w:hAnsi="Times New Roman" w:cs="Times New Roman"/>
          <w:sz w:val="22"/>
          <w:szCs w:val="22"/>
        </w:rPr>
        <w:t>.</w:t>
      </w:r>
    </w:p>
    <w:p w14:paraId="153E1376" w14:textId="7317AFA2" w:rsidR="00623151" w:rsidRDefault="00623151" w:rsidP="0043693E">
      <w:pPr>
        <w:rPr>
          <w:rFonts w:ascii="Times New Roman" w:eastAsiaTheme="minorEastAsia" w:hAnsi="Times New Roman" w:cs="Times New Roman"/>
          <w:sz w:val="22"/>
          <w:szCs w:val="22"/>
        </w:rPr>
      </w:pPr>
    </w:p>
    <w:p w14:paraId="6EB9DD0C" w14:textId="0A1816F0" w:rsidR="00623151" w:rsidRDefault="00623151" w:rsidP="0043693E">
      <w:pP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Table 3. Impulsive Behaviours and Psychiatric History Based on Binge Eating Disorder</w:t>
      </w:r>
    </w:p>
    <w:tbl>
      <w:tblPr>
        <w:tblStyle w:val="TableGrid"/>
        <w:tblW w:w="0" w:type="auto"/>
        <w:tblLayout w:type="fixed"/>
        <w:tblLook w:val="04A0" w:firstRow="1" w:lastRow="0" w:firstColumn="1" w:lastColumn="0" w:noHBand="0" w:noVBand="1"/>
      </w:tblPr>
      <w:tblGrid>
        <w:gridCol w:w="2325"/>
        <w:gridCol w:w="2325"/>
        <w:gridCol w:w="2325"/>
        <w:gridCol w:w="1139"/>
        <w:gridCol w:w="953"/>
        <w:gridCol w:w="1276"/>
      </w:tblGrid>
      <w:tr w:rsidR="00623151" w14:paraId="1DC076FB" w14:textId="77777777" w:rsidTr="00751469">
        <w:tc>
          <w:tcPr>
            <w:tcW w:w="2325" w:type="dxa"/>
          </w:tcPr>
          <w:p w14:paraId="6A78681F" w14:textId="0675C893" w:rsidR="00623151" w:rsidRDefault="00623151" w:rsidP="00623151">
            <w:pPr>
              <w:rPr>
                <w:rFonts w:ascii="Times New Roman" w:eastAsiaTheme="minorEastAsia" w:hAnsi="Times New Roman" w:cs="Times New Roman"/>
                <w:b/>
                <w:bCs/>
                <w:sz w:val="22"/>
                <w:szCs w:val="22"/>
              </w:rPr>
            </w:pPr>
            <w:r w:rsidRPr="004005E4">
              <w:rPr>
                <w:rFonts w:ascii="Times New Roman" w:eastAsiaTheme="minorEastAsia" w:hAnsi="Times New Roman" w:cs="Times New Roman"/>
                <w:b/>
                <w:bCs/>
                <w:sz w:val="20"/>
                <w:szCs w:val="20"/>
              </w:rPr>
              <w:t>Variable</w:t>
            </w:r>
          </w:p>
        </w:tc>
        <w:tc>
          <w:tcPr>
            <w:tcW w:w="2325" w:type="dxa"/>
          </w:tcPr>
          <w:p w14:paraId="283F5198" w14:textId="6F9C5BAF" w:rsidR="00623151" w:rsidRDefault="00623151" w:rsidP="00623151">
            <w:pPr>
              <w:jc w:val="center"/>
              <w:rPr>
                <w:rFonts w:ascii="Times New Roman" w:eastAsiaTheme="minorEastAsia" w:hAnsi="Times New Roman" w:cs="Times New Roman"/>
                <w:b/>
                <w:bCs/>
                <w:sz w:val="22"/>
                <w:szCs w:val="22"/>
              </w:rPr>
            </w:pPr>
            <w:r w:rsidRPr="004005E4">
              <w:rPr>
                <w:rFonts w:ascii="Times New Roman" w:eastAsiaTheme="minorEastAsia" w:hAnsi="Times New Roman" w:cs="Times New Roman"/>
                <w:b/>
                <w:bCs/>
                <w:sz w:val="20"/>
                <w:szCs w:val="20"/>
              </w:rPr>
              <w:t>Students with current Binge Eating Disorder (n=83)</w:t>
            </w:r>
          </w:p>
        </w:tc>
        <w:tc>
          <w:tcPr>
            <w:tcW w:w="2325" w:type="dxa"/>
          </w:tcPr>
          <w:p w14:paraId="2029F004" w14:textId="5C762FD3" w:rsidR="00623151" w:rsidRDefault="00623151" w:rsidP="00623151">
            <w:pPr>
              <w:jc w:val="center"/>
              <w:rPr>
                <w:rFonts w:ascii="Times New Roman" w:eastAsiaTheme="minorEastAsia" w:hAnsi="Times New Roman" w:cs="Times New Roman"/>
                <w:b/>
                <w:bCs/>
                <w:sz w:val="22"/>
                <w:szCs w:val="22"/>
              </w:rPr>
            </w:pPr>
            <w:r w:rsidRPr="004005E4">
              <w:rPr>
                <w:rFonts w:ascii="Times New Roman" w:eastAsiaTheme="minorEastAsia" w:hAnsi="Times New Roman" w:cs="Times New Roman"/>
                <w:b/>
                <w:bCs/>
                <w:sz w:val="20"/>
                <w:szCs w:val="20"/>
              </w:rPr>
              <w:t>Students without Binge Eating Disorder (n=3332)</w:t>
            </w:r>
          </w:p>
        </w:tc>
        <w:tc>
          <w:tcPr>
            <w:tcW w:w="1139" w:type="dxa"/>
          </w:tcPr>
          <w:p w14:paraId="03E97AFC" w14:textId="3D15972E" w:rsidR="00623151" w:rsidRDefault="00623151" w:rsidP="00623151">
            <w:pPr>
              <w:jc w:val="center"/>
              <w:rPr>
                <w:rFonts w:ascii="Times New Roman" w:eastAsiaTheme="minorEastAsia" w:hAnsi="Times New Roman" w:cs="Times New Roman"/>
                <w:b/>
                <w:bCs/>
                <w:sz w:val="22"/>
                <w:szCs w:val="22"/>
              </w:rPr>
            </w:pPr>
            <w:r w:rsidRPr="004005E4">
              <w:rPr>
                <w:rFonts w:ascii="Times New Roman" w:eastAsiaTheme="minorEastAsia" w:hAnsi="Times New Roman" w:cs="Times New Roman"/>
                <w:b/>
                <w:bCs/>
                <w:sz w:val="20"/>
                <w:szCs w:val="20"/>
              </w:rPr>
              <w:t>Likelihood Ratio</w:t>
            </w:r>
          </w:p>
        </w:tc>
        <w:tc>
          <w:tcPr>
            <w:tcW w:w="953" w:type="dxa"/>
          </w:tcPr>
          <w:p w14:paraId="2F1FCB7F" w14:textId="00559E46" w:rsidR="00623151" w:rsidRDefault="00623151" w:rsidP="00623151">
            <w:pPr>
              <w:jc w:val="center"/>
              <w:rPr>
                <w:rFonts w:ascii="Times New Roman" w:eastAsiaTheme="minorEastAsia" w:hAnsi="Times New Roman" w:cs="Times New Roman"/>
                <w:b/>
                <w:bCs/>
                <w:sz w:val="22"/>
                <w:szCs w:val="22"/>
              </w:rPr>
            </w:pPr>
            <w:r w:rsidRPr="004005E4">
              <w:rPr>
                <w:rFonts w:ascii="Times New Roman" w:eastAsiaTheme="minorEastAsia" w:hAnsi="Times New Roman" w:cs="Times New Roman"/>
                <w:b/>
                <w:bCs/>
                <w:i/>
                <w:iCs/>
                <w:sz w:val="20"/>
                <w:szCs w:val="20"/>
              </w:rPr>
              <w:t>P</w:t>
            </w:r>
            <w:r w:rsidRPr="004005E4">
              <w:rPr>
                <w:rFonts w:ascii="Times New Roman" w:eastAsiaTheme="minorEastAsia" w:hAnsi="Times New Roman" w:cs="Times New Roman"/>
                <w:b/>
                <w:bCs/>
                <w:sz w:val="20"/>
                <w:szCs w:val="20"/>
              </w:rPr>
              <w:t xml:space="preserve"> value</w:t>
            </w:r>
          </w:p>
        </w:tc>
        <w:tc>
          <w:tcPr>
            <w:tcW w:w="1276" w:type="dxa"/>
          </w:tcPr>
          <w:p w14:paraId="71CE9895" w14:textId="6FA59FBF" w:rsidR="00623151" w:rsidRDefault="00623151" w:rsidP="00623151">
            <w:pPr>
              <w:jc w:val="center"/>
              <w:rPr>
                <w:rFonts w:ascii="Times New Roman" w:eastAsiaTheme="minorEastAsia" w:hAnsi="Times New Roman" w:cs="Times New Roman"/>
                <w:b/>
                <w:bCs/>
                <w:sz w:val="22"/>
                <w:szCs w:val="22"/>
              </w:rPr>
            </w:pPr>
            <w:r w:rsidRPr="004005E4">
              <w:rPr>
                <w:rFonts w:ascii="Times New Roman" w:eastAsiaTheme="minorEastAsia" w:hAnsi="Times New Roman" w:cs="Times New Roman"/>
                <w:b/>
                <w:bCs/>
                <w:sz w:val="20"/>
                <w:szCs w:val="20"/>
              </w:rPr>
              <w:t>Effect Size</w:t>
            </w:r>
            <w:r>
              <w:rPr>
                <w:rFonts w:ascii="Times New Roman" w:eastAsiaTheme="minorEastAsia" w:hAnsi="Times New Roman" w:cs="Times New Roman"/>
                <w:b/>
                <w:bCs/>
                <w:sz w:val="20"/>
                <w:szCs w:val="20"/>
              </w:rPr>
              <w:t xml:space="preserve"> </w:t>
            </w:r>
            <w:r w:rsidRPr="004005E4">
              <w:rPr>
                <w:rFonts w:ascii="Times New Roman" w:eastAsiaTheme="minorEastAsia" w:hAnsi="Times New Roman" w:cs="Times New Roman"/>
                <w:b/>
                <w:bCs/>
                <w:sz w:val="20"/>
                <w:szCs w:val="20"/>
              </w:rPr>
              <w:t>Cramer’s V</w:t>
            </w:r>
          </w:p>
        </w:tc>
      </w:tr>
      <w:tr w:rsidR="00623151" w14:paraId="73CDE78A" w14:textId="77777777" w:rsidTr="00751469">
        <w:tc>
          <w:tcPr>
            <w:tcW w:w="10343" w:type="dxa"/>
            <w:gridSpan w:val="6"/>
          </w:tcPr>
          <w:p w14:paraId="296070A3" w14:textId="39068360" w:rsidR="00623151" w:rsidRPr="00F6301B" w:rsidRDefault="00623151" w:rsidP="00623151">
            <w:pPr>
              <w:rPr>
                <w:rFonts w:ascii="Times New Roman" w:eastAsiaTheme="minorEastAsia" w:hAnsi="Times New Roman" w:cs="Times New Roman"/>
                <w:b/>
                <w:bCs/>
                <w:sz w:val="20"/>
                <w:szCs w:val="20"/>
              </w:rPr>
            </w:pPr>
            <w:r w:rsidRPr="00F6301B">
              <w:rPr>
                <w:rFonts w:ascii="Times New Roman" w:eastAsia="Calibri" w:hAnsi="Times New Roman" w:cs="Times New Roman"/>
                <w:sz w:val="20"/>
                <w:szCs w:val="20"/>
              </w:rPr>
              <w:t>Amount of caffeinated soft drinks consumed over the past week</w:t>
            </w:r>
          </w:p>
        </w:tc>
      </w:tr>
      <w:tr w:rsidR="00F6301B" w14:paraId="44CC3361" w14:textId="77777777" w:rsidTr="00751469">
        <w:tc>
          <w:tcPr>
            <w:tcW w:w="2325" w:type="dxa"/>
          </w:tcPr>
          <w:p w14:paraId="3D38A087" w14:textId="18054B29" w:rsidR="00F6301B" w:rsidRPr="00F6301B" w:rsidRDefault="00F6301B" w:rsidP="00623151">
            <w:pPr>
              <w:widowControl w:val="0"/>
              <w:contextualSpacing/>
              <w:rPr>
                <w:rFonts w:ascii="Times New Roman" w:eastAsia="Calibri" w:hAnsi="Times New Roman" w:cs="Times New Roman"/>
                <w:sz w:val="20"/>
                <w:szCs w:val="20"/>
              </w:rPr>
            </w:pPr>
            <w:r w:rsidRPr="00F6301B">
              <w:rPr>
                <w:rFonts w:ascii="Times New Roman" w:eastAsia="Calibri" w:hAnsi="Times New Roman" w:cs="Times New Roman"/>
                <w:sz w:val="20"/>
                <w:szCs w:val="20"/>
              </w:rPr>
              <w:t xml:space="preserve">   Never</w:t>
            </w:r>
          </w:p>
        </w:tc>
        <w:tc>
          <w:tcPr>
            <w:tcW w:w="2325" w:type="dxa"/>
          </w:tcPr>
          <w:p w14:paraId="40733D93" w14:textId="1E677982"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38</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(45.8)</w:t>
            </w:r>
          </w:p>
        </w:tc>
        <w:tc>
          <w:tcPr>
            <w:tcW w:w="2325" w:type="dxa"/>
          </w:tcPr>
          <w:p w14:paraId="200E04C6" w14:textId="46AA08CA"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1605</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(48.2)</w:t>
            </w:r>
          </w:p>
        </w:tc>
        <w:tc>
          <w:tcPr>
            <w:tcW w:w="1139" w:type="dxa"/>
          </w:tcPr>
          <w:p w14:paraId="54D9E7A3" w14:textId="662CBE86"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LR=2.910</w:t>
            </w:r>
          </w:p>
        </w:tc>
        <w:tc>
          <w:tcPr>
            <w:tcW w:w="953" w:type="dxa"/>
            <w:vMerge w:val="restart"/>
            <w:vAlign w:val="center"/>
          </w:tcPr>
          <w:p w14:paraId="46982B89" w14:textId="25F66F29" w:rsidR="00F6301B" w:rsidRPr="00F6301B" w:rsidRDefault="00F6301B" w:rsidP="00F6301B">
            <w:pPr>
              <w:jc w:val="center"/>
              <w:rPr>
                <w:rFonts w:ascii="Times New Roman" w:eastAsiaTheme="minorEastAsia" w:hAnsi="Times New Roman" w:cs="Times New Roman"/>
                <w:b/>
                <w:bCs/>
                <w:sz w:val="20"/>
                <w:szCs w:val="20"/>
              </w:rPr>
            </w:pPr>
            <w:r w:rsidRPr="00F6301B">
              <w:rPr>
                <w:rFonts w:ascii="Times New Roman" w:eastAsia="Calibri" w:hAnsi="Times New Roman" w:cs="Times New Roman"/>
                <w:sz w:val="20"/>
                <w:szCs w:val="20"/>
              </w:rPr>
              <w:t>.714</w:t>
            </w:r>
          </w:p>
        </w:tc>
        <w:tc>
          <w:tcPr>
            <w:tcW w:w="1276" w:type="dxa"/>
            <w:vMerge w:val="restart"/>
          </w:tcPr>
          <w:p w14:paraId="56CB0002" w14:textId="77777777" w:rsidR="00F6301B" w:rsidRPr="00F6301B" w:rsidRDefault="00F6301B" w:rsidP="00623151">
            <w:pPr>
              <w:rPr>
                <w:rFonts w:ascii="Times New Roman" w:eastAsiaTheme="minorEastAsia" w:hAnsi="Times New Roman" w:cs="Times New Roman"/>
                <w:b/>
                <w:bCs/>
                <w:sz w:val="20"/>
                <w:szCs w:val="20"/>
              </w:rPr>
            </w:pPr>
          </w:p>
        </w:tc>
      </w:tr>
      <w:tr w:rsidR="00F6301B" w14:paraId="001B6BF0" w14:textId="77777777" w:rsidTr="00751469">
        <w:tc>
          <w:tcPr>
            <w:tcW w:w="2325" w:type="dxa"/>
          </w:tcPr>
          <w:p w14:paraId="68DBE43B" w14:textId="1565C150" w:rsidR="00F6301B" w:rsidRPr="00F6301B" w:rsidRDefault="00F6301B" w:rsidP="00F6301B">
            <w:pPr>
              <w:widowControl w:val="0"/>
              <w:contextualSpacing/>
              <w:rPr>
                <w:rFonts w:ascii="Times New Roman" w:eastAsia="Calibri" w:hAnsi="Times New Roman" w:cs="Times New Roman"/>
                <w:sz w:val="20"/>
                <w:szCs w:val="20"/>
              </w:rPr>
            </w:pPr>
            <w:r w:rsidRPr="00F6301B">
              <w:rPr>
                <w:rFonts w:ascii="Times New Roman" w:eastAsia="Calibri" w:hAnsi="Times New Roman" w:cs="Times New Roman"/>
                <w:sz w:val="20"/>
                <w:szCs w:val="20"/>
              </w:rPr>
              <w:t xml:space="preserve">   1-2 drinks</w:t>
            </w:r>
          </w:p>
        </w:tc>
        <w:tc>
          <w:tcPr>
            <w:tcW w:w="2325" w:type="dxa"/>
          </w:tcPr>
          <w:p w14:paraId="56CF9D06" w14:textId="594F5A93"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27</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(32.5)</w:t>
            </w:r>
          </w:p>
        </w:tc>
        <w:tc>
          <w:tcPr>
            <w:tcW w:w="2325" w:type="dxa"/>
          </w:tcPr>
          <w:p w14:paraId="75C7D71A" w14:textId="7FE197F1"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1070</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(32.1)</w:t>
            </w:r>
          </w:p>
        </w:tc>
        <w:tc>
          <w:tcPr>
            <w:tcW w:w="1139" w:type="dxa"/>
          </w:tcPr>
          <w:p w14:paraId="0E93FE2E" w14:textId="572B2E34" w:rsidR="00F6301B" w:rsidRPr="00F6301B" w:rsidRDefault="00F6301B" w:rsidP="00F6301B">
            <w:pPr>
              <w:jc w:val="center"/>
              <w:rPr>
                <w:rFonts w:ascii="Times New Roman" w:eastAsiaTheme="minorEastAsia" w:hAnsi="Times New Roman" w:cs="Times New Roman"/>
                <w:b/>
                <w:bCs/>
                <w:sz w:val="20"/>
                <w:szCs w:val="20"/>
              </w:rPr>
            </w:pPr>
            <w:r w:rsidRPr="00F6301B">
              <w:rPr>
                <w:rFonts w:ascii="Times New Roman" w:eastAsia="Calibri" w:hAnsi="Times New Roman" w:cs="Times New Roman"/>
                <w:sz w:val="20"/>
                <w:szCs w:val="20"/>
              </w:rPr>
              <w:t>df=5</w:t>
            </w:r>
          </w:p>
        </w:tc>
        <w:tc>
          <w:tcPr>
            <w:tcW w:w="953" w:type="dxa"/>
            <w:vMerge/>
          </w:tcPr>
          <w:p w14:paraId="5E8AD665" w14:textId="77777777" w:rsidR="00F6301B" w:rsidRPr="00F6301B" w:rsidRDefault="00F6301B" w:rsidP="00623151">
            <w:pPr>
              <w:rPr>
                <w:rFonts w:ascii="Times New Roman" w:eastAsiaTheme="minorEastAsia" w:hAnsi="Times New Roman" w:cs="Times New Roman"/>
                <w:b/>
                <w:bCs/>
                <w:sz w:val="20"/>
                <w:szCs w:val="20"/>
              </w:rPr>
            </w:pPr>
          </w:p>
        </w:tc>
        <w:tc>
          <w:tcPr>
            <w:tcW w:w="1276" w:type="dxa"/>
            <w:vMerge/>
          </w:tcPr>
          <w:p w14:paraId="0F4FB690" w14:textId="77777777" w:rsidR="00F6301B" w:rsidRPr="00F6301B" w:rsidRDefault="00F6301B" w:rsidP="00623151">
            <w:pPr>
              <w:rPr>
                <w:rFonts w:ascii="Times New Roman" w:eastAsiaTheme="minorEastAsia" w:hAnsi="Times New Roman" w:cs="Times New Roman"/>
                <w:b/>
                <w:bCs/>
                <w:sz w:val="20"/>
                <w:szCs w:val="20"/>
              </w:rPr>
            </w:pPr>
          </w:p>
        </w:tc>
      </w:tr>
      <w:tr w:rsidR="00F6301B" w14:paraId="4413785A" w14:textId="77777777" w:rsidTr="00751469">
        <w:tc>
          <w:tcPr>
            <w:tcW w:w="2325" w:type="dxa"/>
          </w:tcPr>
          <w:p w14:paraId="30769796" w14:textId="3E2EB471" w:rsidR="00F6301B" w:rsidRPr="00F6301B" w:rsidRDefault="00F6301B" w:rsidP="00F6301B">
            <w:pPr>
              <w:widowControl w:val="0"/>
              <w:contextualSpacing/>
              <w:rPr>
                <w:rFonts w:ascii="Times New Roman" w:eastAsia="Calibri" w:hAnsi="Times New Roman" w:cs="Times New Roman"/>
                <w:sz w:val="20"/>
                <w:szCs w:val="20"/>
              </w:rPr>
            </w:pPr>
            <w:r w:rsidRPr="00F6301B">
              <w:rPr>
                <w:rFonts w:ascii="Times New Roman" w:eastAsia="Calibri" w:hAnsi="Times New Roman" w:cs="Times New Roman"/>
                <w:sz w:val="20"/>
                <w:szCs w:val="20"/>
              </w:rPr>
              <w:t xml:space="preserve">   3-6 drinks</w:t>
            </w:r>
          </w:p>
        </w:tc>
        <w:tc>
          <w:tcPr>
            <w:tcW w:w="2325" w:type="dxa"/>
          </w:tcPr>
          <w:p w14:paraId="50A2236B" w14:textId="61DBCD73"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(10.8)</w:t>
            </w:r>
          </w:p>
        </w:tc>
        <w:tc>
          <w:tcPr>
            <w:tcW w:w="2325" w:type="dxa"/>
          </w:tcPr>
          <w:p w14:paraId="7735961C" w14:textId="7ED48A43"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430</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(12.9)</w:t>
            </w:r>
          </w:p>
        </w:tc>
        <w:tc>
          <w:tcPr>
            <w:tcW w:w="1139" w:type="dxa"/>
          </w:tcPr>
          <w:p w14:paraId="5DCCB2FF" w14:textId="77777777" w:rsidR="00F6301B" w:rsidRPr="00F6301B" w:rsidRDefault="00F6301B" w:rsidP="00623151">
            <w:pPr>
              <w:rPr>
                <w:rFonts w:ascii="Times New Roman" w:eastAsiaTheme="minorEastAsia" w:hAnsi="Times New Roman" w:cs="Times New Roman"/>
                <w:b/>
                <w:bCs/>
                <w:sz w:val="20"/>
                <w:szCs w:val="20"/>
              </w:rPr>
            </w:pPr>
          </w:p>
        </w:tc>
        <w:tc>
          <w:tcPr>
            <w:tcW w:w="953" w:type="dxa"/>
            <w:vMerge/>
          </w:tcPr>
          <w:p w14:paraId="10FBC02C" w14:textId="77777777" w:rsidR="00F6301B" w:rsidRPr="00F6301B" w:rsidRDefault="00F6301B" w:rsidP="00623151">
            <w:pPr>
              <w:rPr>
                <w:rFonts w:ascii="Times New Roman" w:eastAsiaTheme="minorEastAsia" w:hAnsi="Times New Roman" w:cs="Times New Roman"/>
                <w:b/>
                <w:bCs/>
                <w:sz w:val="20"/>
                <w:szCs w:val="20"/>
              </w:rPr>
            </w:pPr>
          </w:p>
        </w:tc>
        <w:tc>
          <w:tcPr>
            <w:tcW w:w="1276" w:type="dxa"/>
            <w:vMerge/>
          </w:tcPr>
          <w:p w14:paraId="2508222A" w14:textId="77777777" w:rsidR="00F6301B" w:rsidRPr="00F6301B" w:rsidRDefault="00F6301B" w:rsidP="00623151">
            <w:pPr>
              <w:rPr>
                <w:rFonts w:ascii="Times New Roman" w:eastAsiaTheme="minorEastAsia" w:hAnsi="Times New Roman" w:cs="Times New Roman"/>
                <w:b/>
                <w:bCs/>
                <w:sz w:val="20"/>
                <w:szCs w:val="20"/>
              </w:rPr>
            </w:pPr>
          </w:p>
        </w:tc>
      </w:tr>
      <w:tr w:rsidR="00F6301B" w14:paraId="133FC799" w14:textId="77777777" w:rsidTr="00751469">
        <w:tc>
          <w:tcPr>
            <w:tcW w:w="2325" w:type="dxa"/>
          </w:tcPr>
          <w:p w14:paraId="37087D73" w14:textId="5A629ECC" w:rsidR="00F6301B" w:rsidRPr="00F6301B" w:rsidRDefault="00F6301B" w:rsidP="00F6301B">
            <w:pPr>
              <w:widowControl w:val="0"/>
              <w:contextualSpacing/>
              <w:rPr>
                <w:rFonts w:ascii="Times New Roman" w:eastAsia="Calibri" w:hAnsi="Times New Roman" w:cs="Times New Roman"/>
                <w:sz w:val="20"/>
                <w:szCs w:val="20"/>
              </w:rPr>
            </w:pPr>
            <w:r w:rsidRPr="00F6301B">
              <w:rPr>
                <w:rFonts w:ascii="Times New Roman" w:eastAsia="Calibri" w:hAnsi="Times New Roman" w:cs="Times New Roman"/>
                <w:sz w:val="20"/>
                <w:szCs w:val="20"/>
              </w:rPr>
              <w:t xml:space="preserve">   7-12 drinks</w:t>
            </w:r>
          </w:p>
        </w:tc>
        <w:tc>
          <w:tcPr>
            <w:tcW w:w="2325" w:type="dxa"/>
          </w:tcPr>
          <w:p w14:paraId="5BC18583" w14:textId="4F7A27CD"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(6.0)</w:t>
            </w:r>
          </w:p>
        </w:tc>
        <w:tc>
          <w:tcPr>
            <w:tcW w:w="2325" w:type="dxa"/>
          </w:tcPr>
          <w:p w14:paraId="2A2BC78F" w14:textId="21B98750"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149</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(4.5)</w:t>
            </w:r>
          </w:p>
        </w:tc>
        <w:tc>
          <w:tcPr>
            <w:tcW w:w="1139" w:type="dxa"/>
          </w:tcPr>
          <w:p w14:paraId="6C939209" w14:textId="77777777" w:rsidR="00F6301B" w:rsidRPr="00F6301B" w:rsidRDefault="00F6301B" w:rsidP="00623151">
            <w:pPr>
              <w:rPr>
                <w:rFonts w:ascii="Times New Roman" w:eastAsiaTheme="minorEastAsia" w:hAnsi="Times New Roman" w:cs="Times New Roman"/>
                <w:b/>
                <w:bCs/>
                <w:sz w:val="20"/>
                <w:szCs w:val="20"/>
              </w:rPr>
            </w:pPr>
          </w:p>
        </w:tc>
        <w:tc>
          <w:tcPr>
            <w:tcW w:w="953" w:type="dxa"/>
            <w:vMerge/>
          </w:tcPr>
          <w:p w14:paraId="74566258" w14:textId="77777777" w:rsidR="00F6301B" w:rsidRPr="00F6301B" w:rsidRDefault="00F6301B" w:rsidP="00623151">
            <w:pPr>
              <w:rPr>
                <w:rFonts w:ascii="Times New Roman" w:eastAsiaTheme="minorEastAsia" w:hAnsi="Times New Roman" w:cs="Times New Roman"/>
                <w:b/>
                <w:bCs/>
                <w:sz w:val="20"/>
                <w:szCs w:val="20"/>
              </w:rPr>
            </w:pPr>
          </w:p>
        </w:tc>
        <w:tc>
          <w:tcPr>
            <w:tcW w:w="1276" w:type="dxa"/>
            <w:vMerge/>
          </w:tcPr>
          <w:p w14:paraId="3107CC92" w14:textId="77777777" w:rsidR="00F6301B" w:rsidRPr="00F6301B" w:rsidRDefault="00F6301B" w:rsidP="00623151">
            <w:pPr>
              <w:rPr>
                <w:rFonts w:ascii="Times New Roman" w:eastAsiaTheme="minorEastAsia" w:hAnsi="Times New Roman" w:cs="Times New Roman"/>
                <w:b/>
                <w:bCs/>
                <w:sz w:val="20"/>
                <w:szCs w:val="20"/>
              </w:rPr>
            </w:pPr>
          </w:p>
        </w:tc>
      </w:tr>
      <w:tr w:rsidR="00F6301B" w14:paraId="4A7E708D" w14:textId="77777777" w:rsidTr="00751469">
        <w:tc>
          <w:tcPr>
            <w:tcW w:w="2325" w:type="dxa"/>
          </w:tcPr>
          <w:p w14:paraId="10D8E1CC" w14:textId="2F01493F" w:rsidR="00F6301B" w:rsidRPr="00F6301B" w:rsidRDefault="00F6301B" w:rsidP="00F6301B">
            <w:pPr>
              <w:widowControl w:val="0"/>
              <w:contextualSpacing/>
              <w:rPr>
                <w:rFonts w:ascii="Times New Roman" w:eastAsia="Calibri" w:hAnsi="Times New Roman" w:cs="Times New Roman"/>
                <w:sz w:val="20"/>
                <w:szCs w:val="20"/>
              </w:rPr>
            </w:pPr>
            <w:r w:rsidRPr="00F6301B">
              <w:rPr>
                <w:rFonts w:ascii="Times New Roman" w:eastAsia="Calibri" w:hAnsi="Times New Roman" w:cs="Times New Roman"/>
                <w:sz w:val="20"/>
                <w:szCs w:val="20"/>
              </w:rPr>
              <w:t xml:space="preserve">   13-23 drinks</w:t>
            </w:r>
          </w:p>
        </w:tc>
        <w:tc>
          <w:tcPr>
            <w:tcW w:w="2325" w:type="dxa"/>
          </w:tcPr>
          <w:p w14:paraId="6B5AFED6" w14:textId="4B8C37EA"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(2.4)</w:t>
            </w:r>
          </w:p>
        </w:tc>
        <w:tc>
          <w:tcPr>
            <w:tcW w:w="2325" w:type="dxa"/>
          </w:tcPr>
          <w:p w14:paraId="1CEF4CA2" w14:textId="76DE292F"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53</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(1.6)</w:t>
            </w:r>
          </w:p>
        </w:tc>
        <w:tc>
          <w:tcPr>
            <w:tcW w:w="1139" w:type="dxa"/>
          </w:tcPr>
          <w:p w14:paraId="235BA41E" w14:textId="77777777" w:rsidR="00F6301B" w:rsidRPr="00F6301B" w:rsidRDefault="00F6301B" w:rsidP="00623151">
            <w:pPr>
              <w:rPr>
                <w:rFonts w:ascii="Times New Roman" w:eastAsiaTheme="minorEastAsia" w:hAnsi="Times New Roman" w:cs="Times New Roman"/>
                <w:b/>
                <w:bCs/>
                <w:sz w:val="20"/>
                <w:szCs w:val="20"/>
              </w:rPr>
            </w:pPr>
          </w:p>
        </w:tc>
        <w:tc>
          <w:tcPr>
            <w:tcW w:w="953" w:type="dxa"/>
            <w:vMerge/>
          </w:tcPr>
          <w:p w14:paraId="0DB3CE65" w14:textId="77777777" w:rsidR="00F6301B" w:rsidRPr="00F6301B" w:rsidRDefault="00F6301B" w:rsidP="00623151">
            <w:pPr>
              <w:rPr>
                <w:rFonts w:ascii="Times New Roman" w:eastAsiaTheme="minorEastAsia" w:hAnsi="Times New Roman" w:cs="Times New Roman"/>
                <w:b/>
                <w:bCs/>
                <w:sz w:val="20"/>
                <w:szCs w:val="20"/>
              </w:rPr>
            </w:pPr>
          </w:p>
        </w:tc>
        <w:tc>
          <w:tcPr>
            <w:tcW w:w="1276" w:type="dxa"/>
            <w:vMerge/>
          </w:tcPr>
          <w:p w14:paraId="4601B4B5" w14:textId="77777777" w:rsidR="00F6301B" w:rsidRPr="00F6301B" w:rsidRDefault="00F6301B" w:rsidP="00623151">
            <w:pPr>
              <w:rPr>
                <w:rFonts w:ascii="Times New Roman" w:eastAsiaTheme="minorEastAsia" w:hAnsi="Times New Roman" w:cs="Times New Roman"/>
                <w:b/>
                <w:bCs/>
                <w:sz w:val="20"/>
                <w:szCs w:val="20"/>
              </w:rPr>
            </w:pPr>
          </w:p>
        </w:tc>
      </w:tr>
      <w:tr w:rsidR="00F6301B" w14:paraId="54EF5728" w14:textId="77777777" w:rsidTr="00751469">
        <w:tc>
          <w:tcPr>
            <w:tcW w:w="2325" w:type="dxa"/>
          </w:tcPr>
          <w:p w14:paraId="6FB0A12B" w14:textId="3EFE2EAB" w:rsidR="00F6301B" w:rsidRPr="00F6301B" w:rsidRDefault="00F6301B" w:rsidP="00623151">
            <w:pPr>
              <w:rPr>
                <w:rFonts w:ascii="Times New Roman" w:eastAsiaTheme="minorEastAsia" w:hAnsi="Times New Roman" w:cs="Times New Roman"/>
                <w:b/>
                <w:bCs/>
                <w:sz w:val="20"/>
                <w:szCs w:val="20"/>
              </w:rPr>
            </w:pPr>
            <w:r w:rsidRPr="00F6301B">
              <w:rPr>
                <w:rFonts w:ascii="Times New Roman" w:eastAsia="Calibri" w:hAnsi="Times New Roman" w:cs="Times New Roman"/>
                <w:sz w:val="20"/>
                <w:szCs w:val="20"/>
              </w:rPr>
              <w:t xml:space="preserve">   24 or more drinks</w:t>
            </w:r>
          </w:p>
        </w:tc>
        <w:tc>
          <w:tcPr>
            <w:tcW w:w="2325" w:type="dxa"/>
          </w:tcPr>
          <w:p w14:paraId="6623E78E" w14:textId="6A3B1445" w:rsidR="00F6301B" w:rsidRPr="00F6301B" w:rsidRDefault="00F6301B" w:rsidP="00F6301B">
            <w:pPr>
              <w:jc w:val="center"/>
              <w:rPr>
                <w:rFonts w:ascii="Times New Roman" w:eastAsiaTheme="minorEastAsia" w:hAnsi="Times New Roman" w:cs="Times New Roman"/>
                <w:b/>
                <w:bCs/>
                <w:sz w:val="20"/>
                <w:szCs w:val="20"/>
              </w:rPr>
            </w:pPr>
            <w:r w:rsidRPr="00F6301B">
              <w:rPr>
                <w:rFonts w:ascii="Times New Roman" w:eastAsia="Calibri" w:hAnsi="Times New Roman" w:cs="Times New Roman"/>
                <w:sz w:val="20"/>
                <w:szCs w:val="20"/>
              </w:rPr>
              <w:t>2(2.4)</w:t>
            </w:r>
          </w:p>
        </w:tc>
        <w:tc>
          <w:tcPr>
            <w:tcW w:w="2325" w:type="dxa"/>
          </w:tcPr>
          <w:p w14:paraId="0A771306" w14:textId="5BD5AD11" w:rsidR="00F6301B" w:rsidRPr="00F6301B" w:rsidRDefault="00F6301B" w:rsidP="00F6301B">
            <w:pPr>
              <w:jc w:val="center"/>
              <w:rPr>
                <w:rFonts w:ascii="Times New Roman" w:eastAsiaTheme="minorEastAsia" w:hAnsi="Times New Roman" w:cs="Times New Roman"/>
                <w:b/>
                <w:bCs/>
                <w:sz w:val="20"/>
                <w:szCs w:val="20"/>
              </w:rPr>
            </w:pPr>
            <w:r w:rsidRPr="00F6301B">
              <w:rPr>
                <w:rFonts w:ascii="Times New Roman" w:eastAsia="Calibri" w:hAnsi="Times New Roman" w:cs="Times New Roman"/>
                <w:sz w:val="20"/>
                <w:szCs w:val="20"/>
              </w:rPr>
              <w:t>25(0.8)</w:t>
            </w:r>
          </w:p>
        </w:tc>
        <w:tc>
          <w:tcPr>
            <w:tcW w:w="1139" w:type="dxa"/>
          </w:tcPr>
          <w:p w14:paraId="152177E4" w14:textId="77777777" w:rsidR="00F6301B" w:rsidRPr="00F6301B" w:rsidRDefault="00F6301B" w:rsidP="00623151">
            <w:pPr>
              <w:rPr>
                <w:rFonts w:ascii="Times New Roman" w:eastAsiaTheme="minorEastAsia" w:hAnsi="Times New Roman" w:cs="Times New Roman"/>
                <w:b/>
                <w:bCs/>
                <w:sz w:val="20"/>
                <w:szCs w:val="20"/>
              </w:rPr>
            </w:pPr>
          </w:p>
        </w:tc>
        <w:tc>
          <w:tcPr>
            <w:tcW w:w="953" w:type="dxa"/>
            <w:vMerge/>
          </w:tcPr>
          <w:p w14:paraId="40012DD6" w14:textId="77777777" w:rsidR="00F6301B" w:rsidRPr="00F6301B" w:rsidRDefault="00F6301B" w:rsidP="00623151">
            <w:pPr>
              <w:rPr>
                <w:rFonts w:ascii="Times New Roman" w:eastAsiaTheme="minorEastAsia" w:hAnsi="Times New Roman" w:cs="Times New Roman"/>
                <w:b/>
                <w:bCs/>
                <w:sz w:val="20"/>
                <w:szCs w:val="20"/>
              </w:rPr>
            </w:pPr>
          </w:p>
        </w:tc>
        <w:tc>
          <w:tcPr>
            <w:tcW w:w="1276" w:type="dxa"/>
            <w:vMerge/>
          </w:tcPr>
          <w:p w14:paraId="08483394" w14:textId="77777777" w:rsidR="00F6301B" w:rsidRPr="00F6301B" w:rsidRDefault="00F6301B" w:rsidP="00623151">
            <w:pPr>
              <w:rPr>
                <w:rFonts w:ascii="Times New Roman" w:eastAsiaTheme="minorEastAsia" w:hAnsi="Times New Roman" w:cs="Times New Roman"/>
                <w:b/>
                <w:bCs/>
                <w:sz w:val="20"/>
                <w:szCs w:val="20"/>
              </w:rPr>
            </w:pPr>
          </w:p>
        </w:tc>
      </w:tr>
      <w:tr w:rsidR="00F6301B" w14:paraId="6C69B164" w14:textId="77777777" w:rsidTr="00751469">
        <w:tc>
          <w:tcPr>
            <w:tcW w:w="10343" w:type="dxa"/>
            <w:gridSpan w:val="6"/>
          </w:tcPr>
          <w:p w14:paraId="70EDC349" w14:textId="5D283673" w:rsidR="00F6301B" w:rsidRPr="00F6301B" w:rsidRDefault="00F6301B" w:rsidP="00623151">
            <w:pPr>
              <w:rPr>
                <w:rFonts w:ascii="Times New Roman" w:eastAsiaTheme="minorEastAsia" w:hAnsi="Times New Roman" w:cs="Times New Roman"/>
                <w:b/>
                <w:bCs/>
                <w:sz w:val="20"/>
                <w:szCs w:val="20"/>
              </w:rPr>
            </w:pPr>
            <w:r w:rsidRPr="00F6301B">
              <w:rPr>
                <w:rFonts w:ascii="Times New Roman" w:eastAsia="Calibri" w:hAnsi="Times New Roman" w:cs="Times New Roman"/>
                <w:sz w:val="20"/>
                <w:szCs w:val="20"/>
              </w:rPr>
              <w:t>Gambling disorder?</w:t>
            </w:r>
          </w:p>
        </w:tc>
      </w:tr>
      <w:tr w:rsidR="00F6301B" w14:paraId="5950D079" w14:textId="77777777" w:rsidTr="00751469">
        <w:trPr>
          <w:trHeight w:val="136"/>
        </w:trPr>
        <w:tc>
          <w:tcPr>
            <w:tcW w:w="2325" w:type="dxa"/>
            <w:vMerge w:val="restart"/>
            <w:vAlign w:val="center"/>
          </w:tcPr>
          <w:p w14:paraId="68702C22" w14:textId="3AA77BF8" w:rsidR="00F6301B" w:rsidRPr="00F6301B" w:rsidRDefault="00F6301B" w:rsidP="00F6301B">
            <w:pPr>
              <w:rPr>
                <w:rFonts w:ascii="Times New Roman" w:eastAsiaTheme="minorEastAsia" w:hAnsi="Times New Roman" w:cs="Times New Roman"/>
                <w:b/>
                <w:bCs/>
                <w:sz w:val="20"/>
                <w:szCs w:val="20"/>
              </w:rPr>
            </w:pPr>
            <w:r>
              <w:rPr>
                <w:rFonts w:ascii="Times New Roman" w:eastAsia="Calibri" w:hAnsi="Times New Roman" w:cs="Times New Roman"/>
                <w:sz w:val="20"/>
                <w:szCs w:val="20"/>
              </w:rPr>
              <w:lastRenderedPageBreak/>
              <w:t xml:space="preserve">   </w:t>
            </w:r>
            <w:r w:rsidRPr="00F6301B">
              <w:rPr>
                <w:rFonts w:ascii="Times New Roman" w:eastAsia="Calibri" w:hAnsi="Times New Roman" w:cs="Times New Roman"/>
                <w:sz w:val="20"/>
                <w:szCs w:val="20"/>
              </w:rPr>
              <w:t>Positive screen</w:t>
            </w:r>
          </w:p>
        </w:tc>
        <w:tc>
          <w:tcPr>
            <w:tcW w:w="2325" w:type="dxa"/>
            <w:vMerge w:val="restart"/>
            <w:vAlign w:val="center"/>
          </w:tcPr>
          <w:p w14:paraId="325A02B9" w14:textId="464BB22F" w:rsidR="00F6301B" w:rsidRPr="00F6301B" w:rsidRDefault="00F6301B" w:rsidP="00F6301B">
            <w:pPr>
              <w:jc w:val="center"/>
              <w:rPr>
                <w:rFonts w:ascii="Times New Roman" w:eastAsiaTheme="minorEastAsia" w:hAnsi="Times New Roman" w:cs="Times New Roman"/>
                <w:b/>
                <w:bCs/>
                <w:sz w:val="20"/>
                <w:szCs w:val="20"/>
              </w:rPr>
            </w:pPr>
            <w:r w:rsidRPr="00F6301B">
              <w:rPr>
                <w:rFonts w:ascii="Times New Roman" w:eastAsia="Calibri" w:hAnsi="Times New Roman" w:cs="Times New Roman"/>
                <w:sz w:val="20"/>
                <w:szCs w:val="20"/>
              </w:rPr>
              <w:t>0</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(0.0)</w:t>
            </w:r>
          </w:p>
        </w:tc>
        <w:tc>
          <w:tcPr>
            <w:tcW w:w="2325" w:type="dxa"/>
            <w:vMerge w:val="restart"/>
            <w:vAlign w:val="center"/>
          </w:tcPr>
          <w:p w14:paraId="42273C0A" w14:textId="60FF8DCA" w:rsidR="00F6301B" w:rsidRPr="00F6301B" w:rsidRDefault="00F6301B" w:rsidP="00F6301B">
            <w:pPr>
              <w:jc w:val="center"/>
              <w:rPr>
                <w:rFonts w:ascii="Times New Roman" w:eastAsiaTheme="minorEastAsia" w:hAnsi="Times New Roman" w:cs="Times New Roman"/>
                <w:b/>
                <w:bCs/>
                <w:sz w:val="20"/>
                <w:szCs w:val="20"/>
              </w:rPr>
            </w:pPr>
            <w:r w:rsidRPr="00F6301B">
              <w:rPr>
                <w:rFonts w:ascii="Times New Roman" w:eastAsia="Calibri" w:hAnsi="Times New Roman" w:cs="Times New Roman"/>
                <w:sz w:val="20"/>
                <w:szCs w:val="20"/>
              </w:rPr>
              <w:t>14</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(0.4)</w:t>
            </w:r>
          </w:p>
        </w:tc>
        <w:tc>
          <w:tcPr>
            <w:tcW w:w="1139" w:type="dxa"/>
          </w:tcPr>
          <w:p w14:paraId="76371463" w14:textId="5CF45785"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LR=.691</w:t>
            </w:r>
          </w:p>
        </w:tc>
        <w:tc>
          <w:tcPr>
            <w:tcW w:w="953" w:type="dxa"/>
            <w:vMerge w:val="restart"/>
            <w:vAlign w:val="center"/>
          </w:tcPr>
          <w:p w14:paraId="3A16021E" w14:textId="3E9E60B1" w:rsidR="00F6301B" w:rsidRPr="00F6301B" w:rsidRDefault="00F6301B" w:rsidP="00F6301B">
            <w:pPr>
              <w:jc w:val="center"/>
              <w:rPr>
                <w:rFonts w:ascii="Times New Roman" w:eastAsiaTheme="minorEastAsia" w:hAnsi="Times New Roman" w:cs="Times New Roman"/>
                <w:b/>
                <w:bCs/>
                <w:sz w:val="20"/>
                <w:szCs w:val="20"/>
              </w:rPr>
            </w:pPr>
            <w:r w:rsidRPr="00F6301B">
              <w:rPr>
                <w:rFonts w:ascii="Times New Roman" w:eastAsia="Calibri" w:hAnsi="Times New Roman" w:cs="Times New Roman"/>
                <w:sz w:val="20"/>
                <w:szCs w:val="20"/>
              </w:rPr>
              <w:t>.406</w:t>
            </w:r>
          </w:p>
        </w:tc>
        <w:tc>
          <w:tcPr>
            <w:tcW w:w="1276" w:type="dxa"/>
            <w:vMerge w:val="restart"/>
          </w:tcPr>
          <w:p w14:paraId="795BFEF4" w14:textId="77777777" w:rsidR="00F6301B" w:rsidRPr="00F6301B" w:rsidRDefault="00F6301B" w:rsidP="00623151">
            <w:pPr>
              <w:rPr>
                <w:rFonts w:ascii="Times New Roman" w:eastAsiaTheme="minorEastAsia" w:hAnsi="Times New Roman" w:cs="Times New Roman"/>
                <w:b/>
                <w:bCs/>
                <w:sz w:val="20"/>
                <w:szCs w:val="20"/>
              </w:rPr>
            </w:pPr>
          </w:p>
        </w:tc>
      </w:tr>
      <w:tr w:rsidR="00F6301B" w14:paraId="61F483FC" w14:textId="77777777" w:rsidTr="00751469">
        <w:trPr>
          <w:trHeight w:val="135"/>
        </w:trPr>
        <w:tc>
          <w:tcPr>
            <w:tcW w:w="2325" w:type="dxa"/>
            <w:vMerge/>
          </w:tcPr>
          <w:p w14:paraId="351611C2" w14:textId="77777777" w:rsidR="00F6301B" w:rsidRDefault="00F6301B" w:rsidP="00623151">
            <w:pPr>
              <w:rPr>
                <w:rFonts w:ascii="Times New Roman" w:eastAsia="Calibri" w:hAnsi="Times New Roman" w:cs="Times New Roman"/>
                <w:sz w:val="20"/>
                <w:szCs w:val="20"/>
              </w:rPr>
            </w:pPr>
          </w:p>
        </w:tc>
        <w:tc>
          <w:tcPr>
            <w:tcW w:w="2325" w:type="dxa"/>
            <w:vMerge/>
          </w:tcPr>
          <w:p w14:paraId="2AB416EB" w14:textId="77777777" w:rsidR="00F6301B" w:rsidRPr="00F6301B" w:rsidRDefault="00F6301B" w:rsidP="00F6301B">
            <w:pPr>
              <w:jc w:val="center"/>
              <w:rPr>
                <w:rFonts w:ascii="Times New Roman" w:eastAsia="Calibri" w:hAnsi="Times New Roman" w:cs="Times New Roman"/>
                <w:sz w:val="20"/>
                <w:szCs w:val="20"/>
              </w:rPr>
            </w:pPr>
          </w:p>
        </w:tc>
        <w:tc>
          <w:tcPr>
            <w:tcW w:w="2325" w:type="dxa"/>
            <w:vMerge/>
          </w:tcPr>
          <w:p w14:paraId="59E00E3C" w14:textId="77777777" w:rsidR="00F6301B" w:rsidRPr="00F6301B" w:rsidRDefault="00F6301B" w:rsidP="00F6301B">
            <w:pPr>
              <w:jc w:val="center"/>
              <w:rPr>
                <w:rFonts w:ascii="Times New Roman" w:eastAsia="Calibri" w:hAnsi="Times New Roman" w:cs="Times New Roman"/>
                <w:sz w:val="20"/>
                <w:szCs w:val="20"/>
              </w:rPr>
            </w:pPr>
          </w:p>
        </w:tc>
        <w:tc>
          <w:tcPr>
            <w:tcW w:w="1139" w:type="dxa"/>
          </w:tcPr>
          <w:p w14:paraId="038EFDF9" w14:textId="1E32670E"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df=1</w:t>
            </w:r>
          </w:p>
        </w:tc>
        <w:tc>
          <w:tcPr>
            <w:tcW w:w="953" w:type="dxa"/>
            <w:vMerge/>
          </w:tcPr>
          <w:p w14:paraId="1FB1FBB2" w14:textId="77777777" w:rsidR="00F6301B" w:rsidRPr="00F6301B" w:rsidRDefault="00F6301B" w:rsidP="00623151">
            <w:pPr>
              <w:rPr>
                <w:rFonts w:ascii="Times New Roman" w:eastAsia="Calibri" w:hAnsi="Times New Roman" w:cs="Times New Roman"/>
                <w:sz w:val="20"/>
                <w:szCs w:val="20"/>
              </w:rPr>
            </w:pPr>
          </w:p>
        </w:tc>
        <w:tc>
          <w:tcPr>
            <w:tcW w:w="1276" w:type="dxa"/>
            <w:vMerge/>
          </w:tcPr>
          <w:p w14:paraId="0A11A506" w14:textId="77777777" w:rsidR="00F6301B" w:rsidRPr="00F6301B" w:rsidRDefault="00F6301B" w:rsidP="00623151">
            <w:pPr>
              <w:rPr>
                <w:rFonts w:ascii="Times New Roman" w:eastAsiaTheme="minorEastAsia" w:hAnsi="Times New Roman" w:cs="Times New Roman"/>
                <w:b/>
                <w:bCs/>
                <w:sz w:val="20"/>
                <w:szCs w:val="20"/>
              </w:rPr>
            </w:pPr>
          </w:p>
        </w:tc>
      </w:tr>
      <w:tr w:rsidR="00F6301B" w14:paraId="6D8F3429" w14:textId="77777777" w:rsidTr="00751469">
        <w:trPr>
          <w:trHeight w:val="135"/>
        </w:trPr>
        <w:tc>
          <w:tcPr>
            <w:tcW w:w="10343" w:type="dxa"/>
            <w:gridSpan w:val="6"/>
          </w:tcPr>
          <w:p w14:paraId="454119FF" w14:textId="382C16DF" w:rsidR="00F6301B" w:rsidRPr="00F6301B" w:rsidRDefault="00F6301B" w:rsidP="00623151">
            <w:pPr>
              <w:rPr>
                <w:rFonts w:ascii="Times New Roman" w:eastAsia="Calibri" w:hAnsi="Times New Roman" w:cs="Times New Roman"/>
                <w:sz w:val="20"/>
                <w:szCs w:val="20"/>
              </w:rPr>
            </w:pPr>
            <w:r w:rsidRPr="00F6301B">
              <w:rPr>
                <w:rFonts w:ascii="Times New Roman" w:eastAsia="Calibri" w:hAnsi="Times New Roman" w:cs="Times New Roman"/>
                <w:sz w:val="20"/>
                <w:szCs w:val="20"/>
              </w:rPr>
              <w:t xml:space="preserve">Has been treated for psychological/emotional problems </w:t>
            </w:r>
          </w:p>
        </w:tc>
      </w:tr>
      <w:tr w:rsidR="00F6301B" w14:paraId="4BC3F13B" w14:textId="77777777" w:rsidTr="00751469">
        <w:trPr>
          <w:trHeight w:val="136"/>
        </w:trPr>
        <w:tc>
          <w:tcPr>
            <w:tcW w:w="2325" w:type="dxa"/>
            <w:vMerge w:val="restart"/>
            <w:vAlign w:val="center"/>
          </w:tcPr>
          <w:p w14:paraId="41551AEB" w14:textId="3782C75B" w:rsidR="00F6301B" w:rsidRPr="00F6301B" w:rsidRDefault="00F6301B" w:rsidP="00F6301B">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Yes</w:t>
            </w:r>
          </w:p>
        </w:tc>
        <w:tc>
          <w:tcPr>
            <w:tcW w:w="2325" w:type="dxa"/>
            <w:vMerge w:val="restart"/>
            <w:vAlign w:val="center"/>
          </w:tcPr>
          <w:p w14:paraId="78F670ED" w14:textId="0E7649D3"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49</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(59.0)</w:t>
            </w:r>
          </w:p>
        </w:tc>
        <w:tc>
          <w:tcPr>
            <w:tcW w:w="2325" w:type="dxa"/>
            <w:vMerge w:val="restart"/>
            <w:vAlign w:val="center"/>
          </w:tcPr>
          <w:p w14:paraId="21571FD9" w14:textId="6AFACAD6"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968</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(29.1)</w:t>
            </w:r>
          </w:p>
        </w:tc>
        <w:tc>
          <w:tcPr>
            <w:tcW w:w="1139" w:type="dxa"/>
          </w:tcPr>
          <w:p w14:paraId="266D831A" w14:textId="6E8AF81A"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LR=31.228</w:t>
            </w:r>
          </w:p>
        </w:tc>
        <w:tc>
          <w:tcPr>
            <w:tcW w:w="953" w:type="dxa"/>
            <w:vMerge w:val="restart"/>
            <w:vAlign w:val="center"/>
          </w:tcPr>
          <w:p w14:paraId="524B49EC" w14:textId="25F744B4" w:rsidR="00F6301B" w:rsidRPr="00F6301B" w:rsidRDefault="003F3215" w:rsidP="00F6301B">
            <w:pPr>
              <w:jc w:val="center"/>
              <w:rPr>
                <w:rFonts w:ascii="Times New Roman" w:eastAsia="Calibri" w:hAnsi="Times New Roman" w:cs="Times New Roman"/>
                <w:sz w:val="20"/>
                <w:szCs w:val="20"/>
              </w:rPr>
            </w:pPr>
            <w:r>
              <w:rPr>
                <w:rFonts w:ascii="Times New Roman" w:eastAsia="Calibri" w:hAnsi="Times New Roman" w:cs="Times New Roman"/>
                <w:sz w:val="20"/>
                <w:szCs w:val="20"/>
              </w:rPr>
              <w:t>&lt;.</w:t>
            </w:r>
            <w:r w:rsidR="00F6301B"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B629BB">
              <w:rPr>
                <w:rFonts w:ascii="Times New Roman" w:eastAsia="Calibri" w:hAnsi="Times New Roman" w:cs="Times New Roman"/>
                <w:sz w:val="20"/>
                <w:szCs w:val="20"/>
              </w:rPr>
              <w:t>*</w:t>
            </w:r>
          </w:p>
        </w:tc>
        <w:tc>
          <w:tcPr>
            <w:tcW w:w="1276" w:type="dxa"/>
            <w:vMerge w:val="restart"/>
            <w:vAlign w:val="center"/>
          </w:tcPr>
          <w:p w14:paraId="2D5FB588" w14:textId="42510C85" w:rsidR="00F6301B" w:rsidRPr="00F6301B" w:rsidRDefault="00F6301B" w:rsidP="00F6301B">
            <w:pPr>
              <w:jc w:val="center"/>
              <w:rPr>
                <w:rFonts w:ascii="Times New Roman" w:eastAsiaTheme="minorEastAsia" w:hAnsi="Times New Roman" w:cs="Times New Roman"/>
                <w:sz w:val="20"/>
                <w:szCs w:val="20"/>
              </w:rPr>
            </w:pPr>
            <w:r w:rsidRPr="00F6301B">
              <w:rPr>
                <w:rFonts w:ascii="Times New Roman" w:eastAsia="Calibri" w:hAnsi="Times New Roman" w:cs="Times New Roman"/>
                <w:sz w:val="20"/>
                <w:szCs w:val="20"/>
              </w:rPr>
              <w:t>.101</w:t>
            </w:r>
          </w:p>
        </w:tc>
      </w:tr>
      <w:tr w:rsidR="00F6301B" w14:paraId="6D70907A" w14:textId="77777777" w:rsidTr="00751469">
        <w:trPr>
          <w:trHeight w:val="135"/>
        </w:trPr>
        <w:tc>
          <w:tcPr>
            <w:tcW w:w="2325" w:type="dxa"/>
            <w:vMerge/>
          </w:tcPr>
          <w:p w14:paraId="5D28C089" w14:textId="77777777" w:rsidR="00F6301B" w:rsidRPr="00F6301B" w:rsidRDefault="00F6301B" w:rsidP="00623151">
            <w:pPr>
              <w:rPr>
                <w:rFonts w:ascii="Times New Roman" w:eastAsia="Calibri" w:hAnsi="Times New Roman" w:cs="Times New Roman"/>
                <w:sz w:val="20"/>
                <w:szCs w:val="20"/>
              </w:rPr>
            </w:pPr>
          </w:p>
        </w:tc>
        <w:tc>
          <w:tcPr>
            <w:tcW w:w="2325" w:type="dxa"/>
            <w:vMerge/>
          </w:tcPr>
          <w:p w14:paraId="7F6F31A4" w14:textId="77777777" w:rsidR="00F6301B" w:rsidRPr="00F6301B" w:rsidRDefault="00F6301B" w:rsidP="00F6301B">
            <w:pPr>
              <w:jc w:val="center"/>
              <w:rPr>
                <w:rFonts w:ascii="Times New Roman" w:eastAsia="Calibri" w:hAnsi="Times New Roman" w:cs="Times New Roman"/>
                <w:sz w:val="20"/>
                <w:szCs w:val="20"/>
              </w:rPr>
            </w:pPr>
          </w:p>
        </w:tc>
        <w:tc>
          <w:tcPr>
            <w:tcW w:w="2325" w:type="dxa"/>
            <w:vMerge/>
          </w:tcPr>
          <w:p w14:paraId="67D053AA" w14:textId="77777777" w:rsidR="00F6301B" w:rsidRPr="00F6301B" w:rsidRDefault="00F6301B" w:rsidP="00F6301B">
            <w:pPr>
              <w:jc w:val="center"/>
              <w:rPr>
                <w:rFonts w:ascii="Times New Roman" w:eastAsia="Calibri" w:hAnsi="Times New Roman" w:cs="Times New Roman"/>
                <w:sz w:val="20"/>
                <w:szCs w:val="20"/>
              </w:rPr>
            </w:pPr>
          </w:p>
        </w:tc>
        <w:tc>
          <w:tcPr>
            <w:tcW w:w="1139" w:type="dxa"/>
          </w:tcPr>
          <w:p w14:paraId="3E26A0F6" w14:textId="102EE52D"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df=1</w:t>
            </w:r>
          </w:p>
        </w:tc>
        <w:tc>
          <w:tcPr>
            <w:tcW w:w="953" w:type="dxa"/>
            <w:vMerge/>
          </w:tcPr>
          <w:p w14:paraId="6AF9CF09" w14:textId="77777777" w:rsidR="00F6301B" w:rsidRPr="00F6301B" w:rsidRDefault="00F6301B" w:rsidP="00623151">
            <w:pPr>
              <w:rPr>
                <w:rFonts w:ascii="Times New Roman" w:eastAsia="Calibri" w:hAnsi="Times New Roman" w:cs="Times New Roman"/>
                <w:sz w:val="20"/>
                <w:szCs w:val="20"/>
              </w:rPr>
            </w:pPr>
          </w:p>
        </w:tc>
        <w:tc>
          <w:tcPr>
            <w:tcW w:w="1276" w:type="dxa"/>
            <w:vMerge/>
          </w:tcPr>
          <w:p w14:paraId="0C888C07" w14:textId="77777777" w:rsidR="00F6301B" w:rsidRPr="00F6301B" w:rsidRDefault="00F6301B" w:rsidP="00623151">
            <w:pPr>
              <w:rPr>
                <w:rFonts w:ascii="Times New Roman" w:eastAsia="Calibri" w:hAnsi="Times New Roman" w:cs="Times New Roman"/>
                <w:sz w:val="20"/>
                <w:szCs w:val="20"/>
              </w:rPr>
            </w:pPr>
          </w:p>
        </w:tc>
      </w:tr>
      <w:tr w:rsidR="00F6301B" w14:paraId="15501EFA" w14:textId="77777777" w:rsidTr="00751469">
        <w:trPr>
          <w:trHeight w:val="135"/>
        </w:trPr>
        <w:tc>
          <w:tcPr>
            <w:tcW w:w="10343" w:type="dxa"/>
            <w:gridSpan w:val="6"/>
          </w:tcPr>
          <w:p w14:paraId="052C734E" w14:textId="05185B23" w:rsidR="00F6301B" w:rsidRPr="00F6301B" w:rsidRDefault="00F6301B" w:rsidP="00623151">
            <w:pPr>
              <w:rPr>
                <w:rFonts w:ascii="Times New Roman" w:eastAsia="Calibri" w:hAnsi="Times New Roman" w:cs="Times New Roman"/>
                <w:sz w:val="20"/>
                <w:szCs w:val="20"/>
              </w:rPr>
            </w:pPr>
            <w:r w:rsidRPr="00F6301B">
              <w:rPr>
                <w:rFonts w:ascii="Times New Roman" w:eastAsia="Calibri" w:hAnsi="Times New Roman" w:cs="Times New Roman"/>
                <w:sz w:val="20"/>
                <w:szCs w:val="20"/>
              </w:rPr>
              <w:t xml:space="preserve">Currently taking prescribed mental health medication(s) </w:t>
            </w:r>
          </w:p>
        </w:tc>
      </w:tr>
      <w:tr w:rsidR="00F6301B" w14:paraId="23E55AFF" w14:textId="77777777" w:rsidTr="00751469">
        <w:trPr>
          <w:trHeight w:val="136"/>
        </w:trPr>
        <w:tc>
          <w:tcPr>
            <w:tcW w:w="2325" w:type="dxa"/>
            <w:vMerge w:val="restart"/>
            <w:vAlign w:val="center"/>
          </w:tcPr>
          <w:p w14:paraId="3B0D269E" w14:textId="5A7DDDA7" w:rsidR="00F6301B" w:rsidRPr="00F6301B" w:rsidRDefault="00F6301B" w:rsidP="00F6301B">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Yes</w:t>
            </w:r>
          </w:p>
        </w:tc>
        <w:tc>
          <w:tcPr>
            <w:tcW w:w="2325" w:type="dxa"/>
            <w:vMerge w:val="restart"/>
            <w:vAlign w:val="center"/>
          </w:tcPr>
          <w:p w14:paraId="028F5D2F" w14:textId="29AD2935"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29</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(34.9)</w:t>
            </w:r>
          </w:p>
        </w:tc>
        <w:tc>
          <w:tcPr>
            <w:tcW w:w="2325" w:type="dxa"/>
            <w:vMerge w:val="restart"/>
            <w:vAlign w:val="center"/>
          </w:tcPr>
          <w:p w14:paraId="50F6891F" w14:textId="7312B26A"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441</w:t>
            </w:r>
            <w:r>
              <w:rPr>
                <w:rFonts w:ascii="Times New Roman" w:eastAsia="Calibri" w:hAnsi="Times New Roman" w:cs="Times New Roman"/>
                <w:sz w:val="20"/>
                <w:szCs w:val="20"/>
              </w:rPr>
              <w:t xml:space="preserve"> </w:t>
            </w:r>
            <w:r w:rsidRPr="00F6301B">
              <w:rPr>
                <w:rFonts w:ascii="Times New Roman" w:eastAsia="Calibri" w:hAnsi="Times New Roman" w:cs="Times New Roman"/>
                <w:sz w:val="20"/>
                <w:szCs w:val="20"/>
              </w:rPr>
              <w:t>(13.2)</w:t>
            </w:r>
          </w:p>
        </w:tc>
        <w:tc>
          <w:tcPr>
            <w:tcW w:w="1139" w:type="dxa"/>
          </w:tcPr>
          <w:p w14:paraId="1CF75B2F" w14:textId="579B1459"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LR=24.381</w:t>
            </w:r>
          </w:p>
        </w:tc>
        <w:tc>
          <w:tcPr>
            <w:tcW w:w="953" w:type="dxa"/>
            <w:vMerge w:val="restart"/>
            <w:vAlign w:val="center"/>
          </w:tcPr>
          <w:p w14:paraId="5871DA49" w14:textId="4F9FA936" w:rsidR="00F6301B" w:rsidRPr="00F6301B" w:rsidRDefault="003F3215" w:rsidP="00F6301B">
            <w:pPr>
              <w:jc w:val="center"/>
              <w:rPr>
                <w:rFonts w:ascii="Times New Roman" w:eastAsia="Calibri" w:hAnsi="Times New Roman" w:cs="Times New Roman"/>
                <w:sz w:val="20"/>
                <w:szCs w:val="20"/>
              </w:rPr>
            </w:pPr>
            <w:r>
              <w:rPr>
                <w:rFonts w:ascii="Times New Roman" w:eastAsia="Calibri" w:hAnsi="Times New Roman" w:cs="Times New Roman"/>
                <w:sz w:val="20"/>
                <w:szCs w:val="20"/>
              </w:rPr>
              <w:t>&lt;.</w:t>
            </w:r>
            <w:r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B629BB">
              <w:rPr>
                <w:rFonts w:ascii="Times New Roman" w:eastAsia="Calibri" w:hAnsi="Times New Roman" w:cs="Times New Roman"/>
                <w:sz w:val="20"/>
                <w:szCs w:val="20"/>
              </w:rPr>
              <w:t>*</w:t>
            </w:r>
          </w:p>
        </w:tc>
        <w:tc>
          <w:tcPr>
            <w:tcW w:w="1276" w:type="dxa"/>
            <w:vMerge w:val="restart"/>
            <w:vAlign w:val="center"/>
          </w:tcPr>
          <w:p w14:paraId="22D015E9" w14:textId="12892D1F"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.097</w:t>
            </w:r>
          </w:p>
        </w:tc>
      </w:tr>
      <w:tr w:rsidR="00F6301B" w14:paraId="158E547B" w14:textId="77777777" w:rsidTr="00751469">
        <w:trPr>
          <w:trHeight w:val="135"/>
        </w:trPr>
        <w:tc>
          <w:tcPr>
            <w:tcW w:w="2325" w:type="dxa"/>
            <w:vMerge/>
          </w:tcPr>
          <w:p w14:paraId="521C3AE5" w14:textId="77777777" w:rsidR="00F6301B" w:rsidRDefault="00F6301B" w:rsidP="00623151">
            <w:pPr>
              <w:rPr>
                <w:rFonts w:ascii="Times New Roman" w:eastAsia="Calibri" w:hAnsi="Times New Roman" w:cs="Times New Roman"/>
                <w:sz w:val="20"/>
                <w:szCs w:val="20"/>
              </w:rPr>
            </w:pPr>
          </w:p>
        </w:tc>
        <w:tc>
          <w:tcPr>
            <w:tcW w:w="2325" w:type="dxa"/>
            <w:vMerge/>
          </w:tcPr>
          <w:p w14:paraId="200C5768" w14:textId="77777777" w:rsidR="00F6301B" w:rsidRPr="00F6301B" w:rsidRDefault="00F6301B" w:rsidP="00F6301B">
            <w:pPr>
              <w:jc w:val="center"/>
              <w:rPr>
                <w:rFonts w:ascii="Times New Roman" w:eastAsia="Calibri" w:hAnsi="Times New Roman" w:cs="Times New Roman"/>
                <w:sz w:val="20"/>
                <w:szCs w:val="20"/>
              </w:rPr>
            </w:pPr>
          </w:p>
        </w:tc>
        <w:tc>
          <w:tcPr>
            <w:tcW w:w="2325" w:type="dxa"/>
            <w:vMerge/>
          </w:tcPr>
          <w:p w14:paraId="1482000F" w14:textId="77777777" w:rsidR="00F6301B" w:rsidRPr="00F6301B" w:rsidRDefault="00F6301B" w:rsidP="00F6301B">
            <w:pPr>
              <w:jc w:val="center"/>
              <w:rPr>
                <w:rFonts w:ascii="Times New Roman" w:eastAsia="Calibri" w:hAnsi="Times New Roman" w:cs="Times New Roman"/>
                <w:sz w:val="20"/>
                <w:szCs w:val="20"/>
              </w:rPr>
            </w:pPr>
          </w:p>
        </w:tc>
        <w:tc>
          <w:tcPr>
            <w:tcW w:w="1139" w:type="dxa"/>
          </w:tcPr>
          <w:p w14:paraId="5A48F9AB" w14:textId="51CBAFC4" w:rsidR="00F6301B" w:rsidRPr="00F6301B" w:rsidRDefault="00F6301B" w:rsidP="00F6301B">
            <w:pPr>
              <w:jc w:val="center"/>
              <w:rPr>
                <w:rFonts w:ascii="Times New Roman" w:eastAsia="Calibri" w:hAnsi="Times New Roman" w:cs="Times New Roman"/>
                <w:sz w:val="20"/>
                <w:szCs w:val="20"/>
              </w:rPr>
            </w:pPr>
            <w:r w:rsidRPr="00F6301B">
              <w:rPr>
                <w:rFonts w:ascii="Times New Roman" w:eastAsia="Calibri" w:hAnsi="Times New Roman" w:cs="Times New Roman"/>
                <w:sz w:val="20"/>
                <w:szCs w:val="20"/>
              </w:rPr>
              <w:t>df=1</w:t>
            </w:r>
          </w:p>
        </w:tc>
        <w:tc>
          <w:tcPr>
            <w:tcW w:w="953" w:type="dxa"/>
            <w:vMerge/>
          </w:tcPr>
          <w:p w14:paraId="3C9EF421" w14:textId="77777777" w:rsidR="00F6301B" w:rsidRPr="00F6301B" w:rsidRDefault="00F6301B" w:rsidP="00623151">
            <w:pPr>
              <w:rPr>
                <w:rFonts w:ascii="Times New Roman" w:eastAsia="Calibri" w:hAnsi="Times New Roman" w:cs="Times New Roman"/>
                <w:sz w:val="20"/>
                <w:szCs w:val="20"/>
              </w:rPr>
            </w:pPr>
          </w:p>
        </w:tc>
        <w:tc>
          <w:tcPr>
            <w:tcW w:w="1276" w:type="dxa"/>
            <w:vMerge/>
          </w:tcPr>
          <w:p w14:paraId="39087C1E" w14:textId="77777777" w:rsidR="00F6301B" w:rsidRPr="00F6301B" w:rsidRDefault="00F6301B" w:rsidP="00623151">
            <w:pPr>
              <w:rPr>
                <w:rFonts w:ascii="Times New Roman" w:eastAsia="Calibri" w:hAnsi="Times New Roman" w:cs="Times New Roman"/>
                <w:sz w:val="20"/>
                <w:szCs w:val="20"/>
              </w:rPr>
            </w:pPr>
          </w:p>
        </w:tc>
      </w:tr>
      <w:tr w:rsidR="00492000" w14:paraId="7BA22B43" w14:textId="77777777" w:rsidTr="00751469">
        <w:trPr>
          <w:trHeight w:val="135"/>
        </w:trPr>
        <w:tc>
          <w:tcPr>
            <w:tcW w:w="10343" w:type="dxa"/>
            <w:gridSpan w:val="6"/>
            <w:vAlign w:val="center"/>
          </w:tcPr>
          <w:p w14:paraId="6568AC2D" w14:textId="172A44F6" w:rsidR="00492000" w:rsidRPr="00492000" w:rsidRDefault="00492000" w:rsidP="00492000">
            <w:pPr>
              <w:rPr>
                <w:rFonts w:ascii="Times New Roman" w:eastAsia="Calibri" w:hAnsi="Times New Roman" w:cs="Times New Roman"/>
                <w:sz w:val="20"/>
                <w:szCs w:val="20"/>
              </w:rPr>
            </w:pPr>
            <w:r w:rsidRPr="00492000">
              <w:rPr>
                <w:rFonts w:ascii="Times New Roman" w:eastAsia="Calibri" w:hAnsi="Times New Roman" w:cs="Times New Roman"/>
                <w:sz w:val="20"/>
                <w:szCs w:val="20"/>
              </w:rPr>
              <w:t>PHQ-9</w:t>
            </w:r>
            <w:r>
              <w:rPr>
                <w:rFonts w:ascii="Times New Roman" w:eastAsia="Calibri" w:hAnsi="Times New Roman" w:cs="Times New Roman"/>
                <w:sz w:val="20"/>
                <w:szCs w:val="20"/>
              </w:rPr>
              <w:t xml:space="preserve"> total</w:t>
            </w:r>
          </w:p>
        </w:tc>
      </w:tr>
      <w:tr w:rsidR="00492000" w14:paraId="0697D19D" w14:textId="77777777" w:rsidTr="00751469">
        <w:trPr>
          <w:trHeight w:val="136"/>
        </w:trPr>
        <w:tc>
          <w:tcPr>
            <w:tcW w:w="2325" w:type="dxa"/>
            <w:vMerge w:val="restart"/>
            <w:vAlign w:val="center"/>
          </w:tcPr>
          <w:p w14:paraId="2A1F3779" w14:textId="00F786E7" w:rsidR="00492000" w:rsidRPr="00492000" w:rsidRDefault="00492000" w:rsidP="00492000">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 xml:space="preserve">Score </w:t>
            </w:r>
            <w:r w:rsidR="00B629BB">
              <w:rPr>
                <w:rFonts w:ascii="Times New Roman" w:eastAsia="Calibri" w:hAnsi="Times New Roman" w:cs="Times New Roman"/>
                <w:sz w:val="20"/>
                <w:szCs w:val="20"/>
              </w:rPr>
              <w:t>≥</w:t>
            </w:r>
            <w:r>
              <w:rPr>
                <w:rFonts w:ascii="Times New Roman" w:eastAsia="Calibri" w:hAnsi="Times New Roman" w:cs="Times New Roman"/>
                <w:sz w:val="20"/>
                <w:szCs w:val="20"/>
              </w:rPr>
              <w:t>10</w:t>
            </w:r>
          </w:p>
        </w:tc>
        <w:tc>
          <w:tcPr>
            <w:tcW w:w="2325" w:type="dxa"/>
            <w:vMerge w:val="restart"/>
            <w:vAlign w:val="center"/>
          </w:tcPr>
          <w:p w14:paraId="0A9FF0A8" w14:textId="555318AC"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12</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(14.5)</w:t>
            </w:r>
          </w:p>
        </w:tc>
        <w:tc>
          <w:tcPr>
            <w:tcW w:w="2325" w:type="dxa"/>
            <w:vMerge w:val="restart"/>
            <w:vAlign w:val="center"/>
          </w:tcPr>
          <w:p w14:paraId="34E00C63" w14:textId="6FE673E5"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140</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(4.3)</w:t>
            </w:r>
          </w:p>
        </w:tc>
        <w:tc>
          <w:tcPr>
            <w:tcW w:w="1139" w:type="dxa"/>
          </w:tcPr>
          <w:p w14:paraId="12480404" w14:textId="02C9FC38"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LR=12.799</w:t>
            </w:r>
          </w:p>
        </w:tc>
        <w:tc>
          <w:tcPr>
            <w:tcW w:w="953" w:type="dxa"/>
            <w:vMerge w:val="restart"/>
            <w:vAlign w:val="center"/>
          </w:tcPr>
          <w:p w14:paraId="6FCEBCF4" w14:textId="07DA411A" w:rsidR="00492000" w:rsidRPr="00492000" w:rsidRDefault="003F3215" w:rsidP="00492000">
            <w:pPr>
              <w:jc w:val="center"/>
              <w:rPr>
                <w:rFonts w:ascii="Times New Roman" w:eastAsia="Calibri" w:hAnsi="Times New Roman" w:cs="Times New Roman"/>
                <w:sz w:val="20"/>
                <w:szCs w:val="20"/>
              </w:rPr>
            </w:pPr>
            <w:r>
              <w:rPr>
                <w:rFonts w:ascii="Times New Roman" w:eastAsia="Calibri" w:hAnsi="Times New Roman" w:cs="Times New Roman"/>
                <w:sz w:val="20"/>
                <w:szCs w:val="20"/>
              </w:rPr>
              <w:t>&lt;.</w:t>
            </w:r>
            <w:r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B629BB">
              <w:rPr>
                <w:rFonts w:ascii="Times New Roman" w:eastAsia="Calibri" w:hAnsi="Times New Roman" w:cs="Times New Roman"/>
                <w:sz w:val="20"/>
                <w:szCs w:val="20"/>
              </w:rPr>
              <w:t>*</w:t>
            </w:r>
          </w:p>
        </w:tc>
        <w:tc>
          <w:tcPr>
            <w:tcW w:w="1276" w:type="dxa"/>
            <w:vMerge w:val="restart"/>
            <w:vAlign w:val="center"/>
          </w:tcPr>
          <w:p w14:paraId="6933E2FC" w14:textId="4A7F81B0"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.076</w:t>
            </w:r>
          </w:p>
        </w:tc>
      </w:tr>
      <w:tr w:rsidR="00492000" w14:paraId="0513FE5A" w14:textId="77777777" w:rsidTr="00751469">
        <w:trPr>
          <w:trHeight w:val="135"/>
        </w:trPr>
        <w:tc>
          <w:tcPr>
            <w:tcW w:w="2325" w:type="dxa"/>
            <w:vMerge/>
            <w:vAlign w:val="center"/>
          </w:tcPr>
          <w:p w14:paraId="0F8CFA1A" w14:textId="77777777" w:rsidR="00492000" w:rsidRDefault="00492000" w:rsidP="00492000">
            <w:pPr>
              <w:rPr>
                <w:rFonts w:ascii="Times New Roman" w:eastAsia="Calibri" w:hAnsi="Times New Roman" w:cs="Times New Roman"/>
                <w:sz w:val="20"/>
                <w:szCs w:val="20"/>
              </w:rPr>
            </w:pPr>
          </w:p>
        </w:tc>
        <w:tc>
          <w:tcPr>
            <w:tcW w:w="2325" w:type="dxa"/>
            <w:vMerge/>
          </w:tcPr>
          <w:p w14:paraId="2E637171" w14:textId="77777777" w:rsidR="00492000" w:rsidRPr="00492000" w:rsidRDefault="00492000" w:rsidP="00492000">
            <w:pPr>
              <w:jc w:val="center"/>
              <w:rPr>
                <w:rFonts w:ascii="Times New Roman" w:eastAsia="Calibri" w:hAnsi="Times New Roman" w:cs="Times New Roman"/>
                <w:sz w:val="20"/>
                <w:szCs w:val="20"/>
              </w:rPr>
            </w:pPr>
          </w:p>
        </w:tc>
        <w:tc>
          <w:tcPr>
            <w:tcW w:w="2325" w:type="dxa"/>
            <w:vMerge/>
          </w:tcPr>
          <w:p w14:paraId="3803C628" w14:textId="77777777" w:rsidR="00492000" w:rsidRPr="00492000" w:rsidRDefault="00492000" w:rsidP="00492000">
            <w:pPr>
              <w:jc w:val="center"/>
              <w:rPr>
                <w:rFonts w:ascii="Times New Roman" w:eastAsia="Calibri" w:hAnsi="Times New Roman" w:cs="Times New Roman"/>
                <w:sz w:val="20"/>
                <w:szCs w:val="20"/>
              </w:rPr>
            </w:pPr>
          </w:p>
        </w:tc>
        <w:tc>
          <w:tcPr>
            <w:tcW w:w="1139" w:type="dxa"/>
          </w:tcPr>
          <w:p w14:paraId="03D5B8AA" w14:textId="0A4094F3"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df=1</w:t>
            </w:r>
          </w:p>
        </w:tc>
        <w:tc>
          <w:tcPr>
            <w:tcW w:w="953" w:type="dxa"/>
            <w:vMerge/>
          </w:tcPr>
          <w:p w14:paraId="3919F3DA" w14:textId="77777777" w:rsidR="00492000" w:rsidRPr="00492000" w:rsidRDefault="00492000" w:rsidP="00492000">
            <w:pPr>
              <w:jc w:val="center"/>
              <w:rPr>
                <w:rFonts w:ascii="Times New Roman" w:eastAsia="Calibri" w:hAnsi="Times New Roman" w:cs="Times New Roman"/>
                <w:sz w:val="20"/>
                <w:szCs w:val="20"/>
              </w:rPr>
            </w:pPr>
          </w:p>
        </w:tc>
        <w:tc>
          <w:tcPr>
            <w:tcW w:w="1276" w:type="dxa"/>
            <w:vMerge/>
          </w:tcPr>
          <w:p w14:paraId="33ACBE79" w14:textId="77777777" w:rsidR="00492000" w:rsidRPr="00492000" w:rsidRDefault="00492000" w:rsidP="00492000">
            <w:pPr>
              <w:jc w:val="center"/>
              <w:rPr>
                <w:rFonts w:ascii="Times New Roman" w:eastAsia="Calibri" w:hAnsi="Times New Roman" w:cs="Times New Roman"/>
                <w:sz w:val="20"/>
                <w:szCs w:val="20"/>
              </w:rPr>
            </w:pPr>
          </w:p>
        </w:tc>
      </w:tr>
      <w:tr w:rsidR="00000F78" w14:paraId="4241B0E5" w14:textId="77777777" w:rsidTr="002B45B3">
        <w:trPr>
          <w:trHeight w:val="135"/>
        </w:trPr>
        <w:tc>
          <w:tcPr>
            <w:tcW w:w="10343" w:type="dxa"/>
            <w:gridSpan w:val="6"/>
            <w:vAlign w:val="center"/>
          </w:tcPr>
          <w:p w14:paraId="5793200E" w14:textId="5A06F5A7" w:rsidR="00000F78" w:rsidRPr="00492000" w:rsidRDefault="00000F78" w:rsidP="00000F78">
            <w:pPr>
              <w:rPr>
                <w:rFonts w:ascii="Times New Roman" w:eastAsia="Calibri" w:hAnsi="Times New Roman" w:cs="Times New Roman"/>
                <w:sz w:val="20"/>
                <w:szCs w:val="20"/>
              </w:rPr>
            </w:pPr>
            <w:r w:rsidRPr="00492000">
              <w:rPr>
                <w:rFonts w:ascii="Times New Roman" w:eastAsia="Calibri" w:hAnsi="Times New Roman" w:cs="Times New Roman"/>
                <w:sz w:val="20"/>
                <w:szCs w:val="20"/>
              </w:rPr>
              <w:t>PTSD</w:t>
            </w:r>
          </w:p>
        </w:tc>
      </w:tr>
      <w:tr w:rsidR="00492000" w14:paraId="16D079B7" w14:textId="77777777" w:rsidTr="00751469">
        <w:trPr>
          <w:trHeight w:val="136"/>
        </w:trPr>
        <w:tc>
          <w:tcPr>
            <w:tcW w:w="2325" w:type="dxa"/>
            <w:vMerge w:val="restart"/>
            <w:vAlign w:val="center"/>
          </w:tcPr>
          <w:p w14:paraId="404771FF" w14:textId="7278C90C" w:rsidR="00492000" w:rsidRPr="00492000" w:rsidRDefault="00492000" w:rsidP="00492000">
            <w:pPr>
              <w:rPr>
                <w:rFonts w:ascii="Times New Roman" w:eastAsia="Calibri" w:hAnsi="Times New Roman" w:cs="Times New Roman"/>
                <w:sz w:val="20"/>
                <w:szCs w:val="20"/>
              </w:rPr>
            </w:pPr>
            <w:r w:rsidRPr="00492000">
              <w:rPr>
                <w:rFonts w:ascii="Times New Roman" w:eastAsia="Calibri" w:hAnsi="Times New Roman" w:cs="Times New Roman"/>
                <w:sz w:val="20"/>
                <w:szCs w:val="20"/>
              </w:rPr>
              <w:t xml:space="preserve">   Positive screen</w:t>
            </w:r>
          </w:p>
        </w:tc>
        <w:tc>
          <w:tcPr>
            <w:tcW w:w="2325" w:type="dxa"/>
            <w:vMerge w:val="restart"/>
            <w:vAlign w:val="center"/>
          </w:tcPr>
          <w:p w14:paraId="0FED21AD" w14:textId="64FC3A18"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30</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(36.6)</w:t>
            </w:r>
          </w:p>
        </w:tc>
        <w:tc>
          <w:tcPr>
            <w:tcW w:w="2325" w:type="dxa"/>
            <w:vMerge w:val="restart"/>
            <w:vAlign w:val="center"/>
          </w:tcPr>
          <w:p w14:paraId="17319BC1" w14:textId="3B4D8E26"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457</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(13.8)</w:t>
            </w:r>
          </w:p>
        </w:tc>
        <w:tc>
          <w:tcPr>
            <w:tcW w:w="1139" w:type="dxa"/>
          </w:tcPr>
          <w:p w14:paraId="6530ED8A" w14:textId="17E06806"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LR=25.851</w:t>
            </w:r>
          </w:p>
        </w:tc>
        <w:tc>
          <w:tcPr>
            <w:tcW w:w="953" w:type="dxa"/>
            <w:vMerge w:val="restart"/>
            <w:vAlign w:val="center"/>
          </w:tcPr>
          <w:p w14:paraId="2115AA57" w14:textId="346EB5E5" w:rsidR="00492000" w:rsidRPr="00492000" w:rsidRDefault="003F3215" w:rsidP="00492000">
            <w:pPr>
              <w:jc w:val="center"/>
              <w:rPr>
                <w:rFonts w:ascii="Times New Roman" w:eastAsia="Calibri" w:hAnsi="Times New Roman" w:cs="Times New Roman"/>
                <w:sz w:val="20"/>
                <w:szCs w:val="20"/>
              </w:rPr>
            </w:pPr>
            <w:r>
              <w:rPr>
                <w:rFonts w:ascii="Times New Roman" w:eastAsia="Calibri" w:hAnsi="Times New Roman" w:cs="Times New Roman"/>
                <w:sz w:val="20"/>
                <w:szCs w:val="20"/>
              </w:rPr>
              <w:t>&lt;.</w:t>
            </w:r>
            <w:r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B629BB">
              <w:rPr>
                <w:rFonts w:ascii="Times New Roman" w:eastAsia="Calibri" w:hAnsi="Times New Roman" w:cs="Times New Roman"/>
                <w:sz w:val="20"/>
                <w:szCs w:val="20"/>
              </w:rPr>
              <w:t>*</w:t>
            </w:r>
          </w:p>
        </w:tc>
        <w:tc>
          <w:tcPr>
            <w:tcW w:w="1276" w:type="dxa"/>
            <w:vMerge w:val="restart"/>
            <w:vAlign w:val="center"/>
          </w:tcPr>
          <w:p w14:paraId="573491F6" w14:textId="7EFA5783"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.100</w:t>
            </w:r>
          </w:p>
        </w:tc>
      </w:tr>
      <w:tr w:rsidR="00492000" w14:paraId="5F1E51A2" w14:textId="77777777" w:rsidTr="00751469">
        <w:trPr>
          <w:trHeight w:val="135"/>
        </w:trPr>
        <w:tc>
          <w:tcPr>
            <w:tcW w:w="2325" w:type="dxa"/>
            <w:vMerge/>
            <w:vAlign w:val="center"/>
          </w:tcPr>
          <w:p w14:paraId="598AA44B" w14:textId="77777777" w:rsidR="00492000" w:rsidRPr="00492000" w:rsidRDefault="00492000" w:rsidP="00492000">
            <w:pPr>
              <w:rPr>
                <w:rFonts w:ascii="Times New Roman" w:eastAsia="Calibri" w:hAnsi="Times New Roman" w:cs="Times New Roman"/>
                <w:sz w:val="20"/>
                <w:szCs w:val="20"/>
              </w:rPr>
            </w:pPr>
          </w:p>
        </w:tc>
        <w:tc>
          <w:tcPr>
            <w:tcW w:w="2325" w:type="dxa"/>
            <w:vMerge/>
          </w:tcPr>
          <w:p w14:paraId="36CDB07B" w14:textId="77777777" w:rsidR="00492000" w:rsidRPr="00492000" w:rsidRDefault="00492000" w:rsidP="00492000">
            <w:pPr>
              <w:jc w:val="center"/>
              <w:rPr>
                <w:rFonts w:ascii="Times New Roman" w:eastAsia="Calibri" w:hAnsi="Times New Roman" w:cs="Times New Roman"/>
                <w:sz w:val="20"/>
                <w:szCs w:val="20"/>
              </w:rPr>
            </w:pPr>
          </w:p>
        </w:tc>
        <w:tc>
          <w:tcPr>
            <w:tcW w:w="2325" w:type="dxa"/>
            <w:vMerge/>
          </w:tcPr>
          <w:p w14:paraId="0BF8335B" w14:textId="77777777" w:rsidR="00492000" w:rsidRPr="00492000" w:rsidRDefault="00492000" w:rsidP="00492000">
            <w:pPr>
              <w:jc w:val="center"/>
              <w:rPr>
                <w:rFonts w:ascii="Times New Roman" w:eastAsia="Calibri" w:hAnsi="Times New Roman" w:cs="Times New Roman"/>
                <w:sz w:val="20"/>
                <w:szCs w:val="20"/>
              </w:rPr>
            </w:pPr>
          </w:p>
        </w:tc>
        <w:tc>
          <w:tcPr>
            <w:tcW w:w="1139" w:type="dxa"/>
          </w:tcPr>
          <w:p w14:paraId="4BD6E746" w14:textId="35805642"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df=1</w:t>
            </w:r>
          </w:p>
        </w:tc>
        <w:tc>
          <w:tcPr>
            <w:tcW w:w="953" w:type="dxa"/>
            <w:vMerge/>
          </w:tcPr>
          <w:p w14:paraId="0E7351A2" w14:textId="77777777" w:rsidR="00492000" w:rsidRPr="00492000" w:rsidRDefault="00492000" w:rsidP="00492000">
            <w:pPr>
              <w:jc w:val="center"/>
              <w:rPr>
                <w:rFonts w:ascii="Times New Roman" w:eastAsia="Calibri" w:hAnsi="Times New Roman" w:cs="Times New Roman"/>
                <w:sz w:val="20"/>
                <w:szCs w:val="20"/>
              </w:rPr>
            </w:pPr>
          </w:p>
        </w:tc>
        <w:tc>
          <w:tcPr>
            <w:tcW w:w="1276" w:type="dxa"/>
            <w:vMerge/>
          </w:tcPr>
          <w:p w14:paraId="790F6839" w14:textId="77777777" w:rsidR="00492000" w:rsidRPr="00492000" w:rsidRDefault="00492000" w:rsidP="00492000">
            <w:pPr>
              <w:jc w:val="center"/>
              <w:rPr>
                <w:rFonts w:ascii="Times New Roman" w:eastAsia="Calibri" w:hAnsi="Times New Roman" w:cs="Times New Roman"/>
                <w:sz w:val="20"/>
                <w:szCs w:val="20"/>
              </w:rPr>
            </w:pPr>
          </w:p>
        </w:tc>
      </w:tr>
      <w:tr w:rsidR="00492000" w14:paraId="00EEEC23" w14:textId="77777777" w:rsidTr="00751469">
        <w:trPr>
          <w:trHeight w:val="135"/>
        </w:trPr>
        <w:tc>
          <w:tcPr>
            <w:tcW w:w="10343" w:type="dxa"/>
            <w:gridSpan w:val="6"/>
            <w:vAlign w:val="center"/>
          </w:tcPr>
          <w:p w14:paraId="2664B7E1" w14:textId="612CBF39" w:rsidR="00492000" w:rsidRPr="00492000" w:rsidRDefault="00492000" w:rsidP="00492000">
            <w:pPr>
              <w:rPr>
                <w:rFonts w:ascii="Times New Roman" w:eastAsia="Calibri" w:hAnsi="Times New Roman" w:cs="Times New Roman"/>
                <w:sz w:val="20"/>
                <w:szCs w:val="20"/>
              </w:rPr>
            </w:pPr>
            <w:r w:rsidRPr="00492000">
              <w:rPr>
                <w:rFonts w:ascii="Times New Roman" w:eastAsia="Calibri" w:hAnsi="Times New Roman" w:cs="Times New Roman"/>
                <w:sz w:val="20"/>
                <w:szCs w:val="20"/>
              </w:rPr>
              <w:t>GAD-7 total</w:t>
            </w:r>
          </w:p>
        </w:tc>
      </w:tr>
      <w:tr w:rsidR="00492000" w14:paraId="6B2F5AE5" w14:textId="77777777" w:rsidTr="00751469">
        <w:trPr>
          <w:trHeight w:val="135"/>
        </w:trPr>
        <w:tc>
          <w:tcPr>
            <w:tcW w:w="2325" w:type="dxa"/>
            <w:vAlign w:val="center"/>
          </w:tcPr>
          <w:p w14:paraId="310B1D4D" w14:textId="76F5320F" w:rsidR="00492000" w:rsidRPr="00492000" w:rsidRDefault="00492000" w:rsidP="00492000">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No Anxiety (score 0-4)</w:t>
            </w:r>
          </w:p>
        </w:tc>
        <w:tc>
          <w:tcPr>
            <w:tcW w:w="2325" w:type="dxa"/>
          </w:tcPr>
          <w:p w14:paraId="126FDBBB" w14:textId="69B67A50"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26</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(32.1)</w:t>
            </w:r>
          </w:p>
        </w:tc>
        <w:tc>
          <w:tcPr>
            <w:tcW w:w="2325" w:type="dxa"/>
          </w:tcPr>
          <w:p w14:paraId="684D56B8" w14:textId="59BF39FE"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1927</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(58.8)</w:t>
            </w:r>
          </w:p>
        </w:tc>
        <w:tc>
          <w:tcPr>
            <w:tcW w:w="1139" w:type="dxa"/>
          </w:tcPr>
          <w:p w14:paraId="7A04BD1D" w14:textId="5A213D5E"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LR=24.368</w:t>
            </w:r>
          </w:p>
        </w:tc>
        <w:tc>
          <w:tcPr>
            <w:tcW w:w="953" w:type="dxa"/>
            <w:vMerge w:val="restart"/>
            <w:vAlign w:val="center"/>
          </w:tcPr>
          <w:p w14:paraId="22D7ED6F" w14:textId="6CEEE2C6" w:rsidR="00492000" w:rsidRPr="00492000" w:rsidRDefault="003F3215" w:rsidP="00492000">
            <w:pPr>
              <w:jc w:val="center"/>
              <w:rPr>
                <w:rFonts w:ascii="Times New Roman" w:eastAsia="Calibri" w:hAnsi="Times New Roman" w:cs="Times New Roman"/>
                <w:sz w:val="20"/>
                <w:szCs w:val="20"/>
              </w:rPr>
            </w:pPr>
            <w:r>
              <w:rPr>
                <w:rFonts w:ascii="Times New Roman" w:eastAsia="Calibri" w:hAnsi="Times New Roman" w:cs="Times New Roman"/>
                <w:sz w:val="20"/>
                <w:szCs w:val="20"/>
              </w:rPr>
              <w:t>&lt;.</w:t>
            </w:r>
            <w:r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B629BB">
              <w:rPr>
                <w:rFonts w:ascii="Times New Roman" w:eastAsia="Calibri" w:hAnsi="Times New Roman" w:cs="Times New Roman"/>
                <w:sz w:val="20"/>
                <w:szCs w:val="20"/>
              </w:rPr>
              <w:t>*</w:t>
            </w:r>
          </w:p>
        </w:tc>
        <w:tc>
          <w:tcPr>
            <w:tcW w:w="1276" w:type="dxa"/>
            <w:vMerge w:val="restart"/>
            <w:vAlign w:val="center"/>
          </w:tcPr>
          <w:p w14:paraId="50BC8461" w14:textId="14A49E39"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.087</w:t>
            </w:r>
          </w:p>
        </w:tc>
      </w:tr>
      <w:tr w:rsidR="00492000" w14:paraId="2564F6F4" w14:textId="77777777" w:rsidTr="00751469">
        <w:trPr>
          <w:trHeight w:val="135"/>
        </w:trPr>
        <w:tc>
          <w:tcPr>
            <w:tcW w:w="2325" w:type="dxa"/>
            <w:vAlign w:val="center"/>
          </w:tcPr>
          <w:p w14:paraId="3B373408" w14:textId="2580FD56" w:rsidR="00492000" w:rsidRPr="00492000" w:rsidRDefault="00492000" w:rsidP="00492000">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Mild (score 5-9)</w:t>
            </w:r>
          </w:p>
        </w:tc>
        <w:tc>
          <w:tcPr>
            <w:tcW w:w="2325" w:type="dxa"/>
          </w:tcPr>
          <w:p w14:paraId="4FD3EFD8" w14:textId="187F4980"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29</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(35.8)</w:t>
            </w:r>
          </w:p>
        </w:tc>
        <w:tc>
          <w:tcPr>
            <w:tcW w:w="2325" w:type="dxa"/>
          </w:tcPr>
          <w:p w14:paraId="10A5229D" w14:textId="1820A6E8"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782</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(23.9)</w:t>
            </w:r>
          </w:p>
        </w:tc>
        <w:tc>
          <w:tcPr>
            <w:tcW w:w="1139" w:type="dxa"/>
          </w:tcPr>
          <w:p w14:paraId="2A2D9F27" w14:textId="14A9BD20"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df=3</w:t>
            </w:r>
          </w:p>
        </w:tc>
        <w:tc>
          <w:tcPr>
            <w:tcW w:w="953" w:type="dxa"/>
            <w:vMerge/>
          </w:tcPr>
          <w:p w14:paraId="333F64E6" w14:textId="77777777" w:rsidR="00492000" w:rsidRPr="00492000" w:rsidRDefault="00492000" w:rsidP="00492000">
            <w:pPr>
              <w:jc w:val="center"/>
              <w:rPr>
                <w:rFonts w:ascii="Times New Roman" w:eastAsia="Calibri" w:hAnsi="Times New Roman" w:cs="Times New Roman"/>
                <w:sz w:val="20"/>
                <w:szCs w:val="20"/>
              </w:rPr>
            </w:pPr>
          </w:p>
        </w:tc>
        <w:tc>
          <w:tcPr>
            <w:tcW w:w="1276" w:type="dxa"/>
            <w:vMerge/>
          </w:tcPr>
          <w:p w14:paraId="220E9B35" w14:textId="77777777" w:rsidR="00492000" w:rsidRPr="00492000" w:rsidRDefault="00492000" w:rsidP="00492000">
            <w:pPr>
              <w:jc w:val="center"/>
              <w:rPr>
                <w:rFonts w:ascii="Times New Roman" w:eastAsia="Calibri" w:hAnsi="Times New Roman" w:cs="Times New Roman"/>
                <w:sz w:val="20"/>
                <w:szCs w:val="20"/>
              </w:rPr>
            </w:pPr>
          </w:p>
        </w:tc>
      </w:tr>
      <w:tr w:rsidR="00492000" w14:paraId="6B5A7DA3" w14:textId="77777777" w:rsidTr="00751469">
        <w:trPr>
          <w:trHeight w:val="135"/>
        </w:trPr>
        <w:tc>
          <w:tcPr>
            <w:tcW w:w="2325" w:type="dxa"/>
            <w:vAlign w:val="center"/>
          </w:tcPr>
          <w:p w14:paraId="7E90EC70" w14:textId="7AF42EA7" w:rsidR="00492000" w:rsidRPr="00492000" w:rsidRDefault="00492000" w:rsidP="00492000">
            <w:pPr>
              <w:widowControl w:val="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Moderate (score 10-14)</w:t>
            </w:r>
          </w:p>
        </w:tc>
        <w:tc>
          <w:tcPr>
            <w:tcW w:w="2325" w:type="dxa"/>
          </w:tcPr>
          <w:p w14:paraId="18CB6E57" w14:textId="66335F55"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14</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(17.3)</w:t>
            </w:r>
          </w:p>
        </w:tc>
        <w:tc>
          <w:tcPr>
            <w:tcW w:w="2325" w:type="dxa"/>
          </w:tcPr>
          <w:p w14:paraId="4F54B794" w14:textId="37AFDFC2"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358</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(10.9)</w:t>
            </w:r>
          </w:p>
        </w:tc>
        <w:tc>
          <w:tcPr>
            <w:tcW w:w="1139" w:type="dxa"/>
          </w:tcPr>
          <w:p w14:paraId="0013768C" w14:textId="77777777" w:rsidR="00492000" w:rsidRPr="00492000" w:rsidRDefault="00492000" w:rsidP="00492000">
            <w:pPr>
              <w:jc w:val="center"/>
              <w:rPr>
                <w:rFonts w:ascii="Times New Roman" w:eastAsia="Calibri" w:hAnsi="Times New Roman" w:cs="Times New Roman"/>
                <w:sz w:val="20"/>
                <w:szCs w:val="20"/>
              </w:rPr>
            </w:pPr>
          </w:p>
        </w:tc>
        <w:tc>
          <w:tcPr>
            <w:tcW w:w="953" w:type="dxa"/>
            <w:vMerge/>
          </w:tcPr>
          <w:p w14:paraId="05B77ACE" w14:textId="77777777" w:rsidR="00492000" w:rsidRPr="00492000" w:rsidRDefault="00492000" w:rsidP="00492000">
            <w:pPr>
              <w:jc w:val="center"/>
              <w:rPr>
                <w:rFonts w:ascii="Times New Roman" w:eastAsia="Calibri" w:hAnsi="Times New Roman" w:cs="Times New Roman"/>
                <w:sz w:val="20"/>
                <w:szCs w:val="20"/>
              </w:rPr>
            </w:pPr>
          </w:p>
        </w:tc>
        <w:tc>
          <w:tcPr>
            <w:tcW w:w="1276" w:type="dxa"/>
            <w:vMerge/>
          </w:tcPr>
          <w:p w14:paraId="6AEEEF2D" w14:textId="77777777" w:rsidR="00492000" w:rsidRPr="00492000" w:rsidRDefault="00492000" w:rsidP="00492000">
            <w:pPr>
              <w:jc w:val="center"/>
              <w:rPr>
                <w:rFonts w:ascii="Times New Roman" w:eastAsia="Calibri" w:hAnsi="Times New Roman" w:cs="Times New Roman"/>
                <w:sz w:val="20"/>
                <w:szCs w:val="20"/>
              </w:rPr>
            </w:pPr>
          </w:p>
        </w:tc>
      </w:tr>
      <w:tr w:rsidR="00492000" w14:paraId="74780387" w14:textId="77777777" w:rsidTr="00751469">
        <w:trPr>
          <w:trHeight w:val="135"/>
        </w:trPr>
        <w:tc>
          <w:tcPr>
            <w:tcW w:w="2325" w:type="dxa"/>
            <w:vAlign w:val="center"/>
          </w:tcPr>
          <w:p w14:paraId="0B0D71D6" w14:textId="04B9E97D" w:rsidR="00492000" w:rsidRPr="00492000" w:rsidRDefault="00492000" w:rsidP="00492000">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Severe (score 15-21)</w:t>
            </w:r>
          </w:p>
        </w:tc>
        <w:tc>
          <w:tcPr>
            <w:tcW w:w="2325" w:type="dxa"/>
          </w:tcPr>
          <w:p w14:paraId="1DD4E819" w14:textId="5BDD23AF"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12</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(14.8)</w:t>
            </w:r>
          </w:p>
        </w:tc>
        <w:tc>
          <w:tcPr>
            <w:tcW w:w="2325" w:type="dxa"/>
          </w:tcPr>
          <w:p w14:paraId="0BD8DA42" w14:textId="7127E845" w:rsidR="00492000" w:rsidRPr="00492000" w:rsidRDefault="00492000" w:rsidP="00492000">
            <w:pPr>
              <w:jc w:val="center"/>
              <w:rPr>
                <w:rFonts w:ascii="Times New Roman" w:eastAsia="Calibri" w:hAnsi="Times New Roman" w:cs="Times New Roman"/>
                <w:sz w:val="20"/>
                <w:szCs w:val="20"/>
              </w:rPr>
            </w:pPr>
            <w:r w:rsidRPr="00492000">
              <w:rPr>
                <w:rFonts w:ascii="Times New Roman" w:eastAsia="Calibri" w:hAnsi="Times New Roman" w:cs="Times New Roman"/>
                <w:sz w:val="20"/>
                <w:szCs w:val="20"/>
              </w:rPr>
              <w:t>210</w:t>
            </w:r>
            <w:r>
              <w:rPr>
                <w:rFonts w:ascii="Times New Roman" w:eastAsia="Calibri" w:hAnsi="Times New Roman" w:cs="Times New Roman"/>
                <w:sz w:val="20"/>
                <w:szCs w:val="20"/>
              </w:rPr>
              <w:t xml:space="preserve"> </w:t>
            </w:r>
            <w:r w:rsidRPr="00492000">
              <w:rPr>
                <w:rFonts w:ascii="Times New Roman" w:eastAsia="Calibri" w:hAnsi="Times New Roman" w:cs="Times New Roman"/>
                <w:sz w:val="20"/>
                <w:szCs w:val="20"/>
              </w:rPr>
              <w:t>(6.4)</w:t>
            </w:r>
          </w:p>
        </w:tc>
        <w:tc>
          <w:tcPr>
            <w:tcW w:w="1139" w:type="dxa"/>
          </w:tcPr>
          <w:p w14:paraId="1939BAEB" w14:textId="77777777" w:rsidR="00492000" w:rsidRPr="00492000" w:rsidRDefault="00492000" w:rsidP="00492000">
            <w:pPr>
              <w:jc w:val="center"/>
              <w:rPr>
                <w:rFonts w:ascii="Times New Roman" w:eastAsia="Calibri" w:hAnsi="Times New Roman" w:cs="Times New Roman"/>
                <w:sz w:val="20"/>
                <w:szCs w:val="20"/>
              </w:rPr>
            </w:pPr>
          </w:p>
        </w:tc>
        <w:tc>
          <w:tcPr>
            <w:tcW w:w="953" w:type="dxa"/>
            <w:vMerge/>
          </w:tcPr>
          <w:p w14:paraId="56C491E7" w14:textId="77777777" w:rsidR="00492000" w:rsidRPr="00492000" w:rsidRDefault="00492000" w:rsidP="00492000">
            <w:pPr>
              <w:jc w:val="center"/>
              <w:rPr>
                <w:rFonts w:ascii="Times New Roman" w:eastAsia="Calibri" w:hAnsi="Times New Roman" w:cs="Times New Roman"/>
                <w:sz w:val="20"/>
                <w:szCs w:val="20"/>
              </w:rPr>
            </w:pPr>
          </w:p>
        </w:tc>
        <w:tc>
          <w:tcPr>
            <w:tcW w:w="1276" w:type="dxa"/>
            <w:vMerge/>
          </w:tcPr>
          <w:p w14:paraId="4E1E1E2A" w14:textId="77777777" w:rsidR="00492000" w:rsidRPr="00492000" w:rsidRDefault="00492000" w:rsidP="00492000">
            <w:pPr>
              <w:jc w:val="center"/>
              <w:rPr>
                <w:rFonts w:ascii="Times New Roman" w:eastAsia="Calibri" w:hAnsi="Times New Roman" w:cs="Times New Roman"/>
                <w:sz w:val="20"/>
                <w:szCs w:val="20"/>
              </w:rPr>
            </w:pPr>
          </w:p>
        </w:tc>
      </w:tr>
      <w:tr w:rsidR="002C7FC3" w14:paraId="5BA4ADD1" w14:textId="77777777" w:rsidTr="00751469">
        <w:trPr>
          <w:trHeight w:val="135"/>
        </w:trPr>
        <w:tc>
          <w:tcPr>
            <w:tcW w:w="10343" w:type="dxa"/>
            <w:gridSpan w:val="6"/>
            <w:vAlign w:val="center"/>
          </w:tcPr>
          <w:p w14:paraId="2C0BCC2D" w14:textId="685C8BA2" w:rsidR="002C7FC3" w:rsidRPr="002C7FC3" w:rsidRDefault="002C7FC3" w:rsidP="002C7FC3">
            <w:pPr>
              <w:rPr>
                <w:rFonts w:ascii="Times New Roman" w:eastAsia="Calibri" w:hAnsi="Times New Roman" w:cs="Times New Roman"/>
                <w:sz w:val="20"/>
                <w:szCs w:val="20"/>
              </w:rPr>
            </w:pPr>
            <w:r w:rsidRPr="002C7FC3">
              <w:rPr>
                <w:rFonts w:ascii="Times New Roman" w:eastAsia="Calibri" w:hAnsi="Times New Roman" w:cs="Times New Roman"/>
                <w:sz w:val="20"/>
                <w:szCs w:val="20"/>
              </w:rPr>
              <w:t xml:space="preserve">ADHD </w:t>
            </w:r>
          </w:p>
        </w:tc>
      </w:tr>
      <w:tr w:rsidR="002C7FC3" w14:paraId="56E15EA6" w14:textId="77777777" w:rsidTr="00751469">
        <w:trPr>
          <w:trHeight w:val="136"/>
        </w:trPr>
        <w:tc>
          <w:tcPr>
            <w:tcW w:w="2325" w:type="dxa"/>
            <w:vMerge w:val="restart"/>
            <w:vAlign w:val="center"/>
          </w:tcPr>
          <w:p w14:paraId="6A662EA9" w14:textId="2778DBC1" w:rsidR="002C7FC3" w:rsidRPr="002C7FC3" w:rsidRDefault="002C7FC3" w:rsidP="00492000">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C7FC3">
              <w:rPr>
                <w:rFonts w:ascii="Times New Roman" w:eastAsia="Calibri" w:hAnsi="Times New Roman" w:cs="Times New Roman"/>
                <w:sz w:val="20"/>
                <w:szCs w:val="20"/>
              </w:rPr>
              <w:t>Positive screen</w:t>
            </w:r>
          </w:p>
        </w:tc>
        <w:tc>
          <w:tcPr>
            <w:tcW w:w="2325" w:type="dxa"/>
            <w:vMerge w:val="restart"/>
            <w:vAlign w:val="center"/>
          </w:tcPr>
          <w:p w14:paraId="6D18EA46" w14:textId="1521B0B0" w:rsidR="002C7FC3" w:rsidRPr="002C7FC3" w:rsidRDefault="002C7FC3" w:rsidP="002C7FC3">
            <w:pPr>
              <w:jc w:val="center"/>
              <w:rPr>
                <w:rFonts w:ascii="Times New Roman" w:eastAsia="Calibri" w:hAnsi="Times New Roman" w:cs="Times New Roman"/>
                <w:sz w:val="20"/>
                <w:szCs w:val="20"/>
              </w:rPr>
            </w:pPr>
            <w:r w:rsidRPr="002C7FC3">
              <w:rPr>
                <w:rFonts w:ascii="Times New Roman" w:eastAsia="Calibri" w:hAnsi="Times New Roman" w:cs="Times New Roman"/>
                <w:sz w:val="20"/>
                <w:szCs w:val="20"/>
              </w:rPr>
              <w:t>31</w:t>
            </w:r>
            <w:r>
              <w:rPr>
                <w:rFonts w:ascii="Times New Roman" w:eastAsia="Calibri" w:hAnsi="Times New Roman" w:cs="Times New Roman"/>
                <w:sz w:val="20"/>
                <w:szCs w:val="20"/>
              </w:rPr>
              <w:t xml:space="preserve"> </w:t>
            </w:r>
            <w:r w:rsidRPr="002C7FC3">
              <w:rPr>
                <w:rFonts w:ascii="Times New Roman" w:eastAsia="Calibri" w:hAnsi="Times New Roman" w:cs="Times New Roman"/>
                <w:sz w:val="20"/>
                <w:szCs w:val="20"/>
              </w:rPr>
              <w:t>(37.3)</w:t>
            </w:r>
          </w:p>
        </w:tc>
        <w:tc>
          <w:tcPr>
            <w:tcW w:w="2325" w:type="dxa"/>
            <w:vMerge w:val="restart"/>
            <w:vAlign w:val="center"/>
          </w:tcPr>
          <w:p w14:paraId="6FE07A4F" w14:textId="48841745" w:rsidR="002C7FC3" w:rsidRPr="002C7FC3" w:rsidRDefault="002C7FC3" w:rsidP="002C7FC3">
            <w:pPr>
              <w:jc w:val="center"/>
              <w:rPr>
                <w:rFonts w:ascii="Times New Roman" w:eastAsia="Calibri" w:hAnsi="Times New Roman" w:cs="Times New Roman"/>
                <w:sz w:val="20"/>
                <w:szCs w:val="20"/>
              </w:rPr>
            </w:pPr>
            <w:r w:rsidRPr="002C7FC3">
              <w:rPr>
                <w:rFonts w:ascii="Times New Roman" w:eastAsia="Calibri" w:hAnsi="Times New Roman" w:cs="Times New Roman"/>
                <w:sz w:val="20"/>
                <w:szCs w:val="20"/>
              </w:rPr>
              <w:t>560</w:t>
            </w:r>
            <w:r>
              <w:rPr>
                <w:rFonts w:ascii="Times New Roman" w:eastAsia="Calibri" w:hAnsi="Times New Roman" w:cs="Times New Roman"/>
                <w:sz w:val="20"/>
                <w:szCs w:val="20"/>
              </w:rPr>
              <w:t xml:space="preserve"> </w:t>
            </w:r>
            <w:r w:rsidRPr="002C7FC3">
              <w:rPr>
                <w:rFonts w:ascii="Times New Roman" w:eastAsia="Calibri" w:hAnsi="Times New Roman" w:cs="Times New Roman"/>
                <w:sz w:val="20"/>
                <w:szCs w:val="20"/>
              </w:rPr>
              <w:t>(17.0)</w:t>
            </w:r>
          </w:p>
        </w:tc>
        <w:tc>
          <w:tcPr>
            <w:tcW w:w="1139" w:type="dxa"/>
          </w:tcPr>
          <w:p w14:paraId="11C124B5" w14:textId="0E8811DB" w:rsidR="002C7FC3" w:rsidRPr="002C7FC3" w:rsidRDefault="002C7FC3" w:rsidP="002C7FC3">
            <w:pPr>
              <w:jc w:val="center"/>
              <w:rPr>
                <w:rFonts w:ascii="Times New Roman" w:eastAsia="Calibri" w:hAnsi="Times New Roman" w:cs="Times New Roman"/>
                <w:sz w:val="20"/>
                <w:szCs w:val="20"/>
              </w:rPr>
            </w:pPr>
            <w:r w:rsidRPr="002C7FC3">
              <w:rPr>
                <w:rFonts w:ascii="Times New Roman" w:eastAsia="Calibri" w:hAnsi="Times New Roman" w:cs="Times New Roman"/>
                <w:sz w:val="20"/>
                <w:szCs w:val="20"/>
              </w:rPr>
              <w:t>LR=18.953</w:t>
            </w:r>
          </w:p>
        </w:tc>
        <w:tc>
          <w:tcPr>
            <w:tcW w:w="953" w:type="dxa"/>
            <w:vMerge w:val="restart"/>
            <w:vAlign w:val="center"/>
          </w:tcPr>
          <w:p w14:paraId="39A9FEE8" w14:textId="5072C44F" w:rsidR="002C7FC3" w:rsidRPr="002C7FC3" w:rsidRDefault="003F3215" w:rsidP="002C7FC3">
            <w:pPr>
              <w:jc w:val="center"/>
              <w:rPr>
                <w:rFonts w:ascii="Times New Roman" w:eastAsia="Calibri" w:hAnsi="Times New Roman" w:cs="Times New Roman"/>
                <w:sz w:val="20"/>
                <w:szCs w:val="20"/>
              </w:rPr>
            </w:pPr>
            <w:r>
              <w:rPr>
                <w:rFonts w:ascii="Times New Roman" w:eastAsia="Calibri" w:hAnsi="Times New Roman" w:cs="Times New Roman"/>
                <w:sz w:val="20"/>
                <w:szCs w:val="20"/>
              </w:rPr>
              <w:t>&lt;.</w:t>
            </w:r>
            <w:r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B629BB">
              <w:rPr>
                <w:rFonts w:ascii="Times New Roman" w:eastAsia="Calibri" w:hAnsi="Times New Roman" w:cs="Times New Roman"/>
                <w:sz w:val="20"/>
                <w:szCs w:val="20"/>
              </w:rPr>
              <w:t>*</w:t>
            </w:r>
          </w:p>
        </w:tc>
        <w:tc>
          <w:tcPr>
            <w:tcW w:w="1276" w:type="dxa"/>
            <w:vMerge w:val="restart"/>
            <w:vAlign w:val="center"/>
          </w:tcPr>
          <w:p w14:paraId="49A4EB3D" w14:textId="6A939ACC" w:rsidR="002C7FC3" w:rsidRPr="002C7FC3" w:rsidRDefault="002C7FC3" w:rsidP="002C7FC3">
            <w:pPr>
              <w:jc w:val="center"/>
              <w:rPr>
                <w:rFonts w:ascii="Times New Roman" w:eastAsia="Calibri" w:hAnsi="Times New Roman" w:cs="Times New Roman"/>
                <w:sz w:val="20"/>
                <w:szCs w:val="20"/>
              </w:rPr>
            </w:pPr>
            <w:r w:rsidRPr="002C7FC3">
              <w:rPr>
                <w:rFonts w:ascii="Times New Roman" w:eastAsia="Calibri" w:hAnsi="Times New Roman" w:cs="Times New Roman"/>
                <w:sz w:val="20"/>
                <w:szCs w:val="20"/>
              </w:rPr>
              <w:t>.083</w:t>
            </w:r>
          </w:p>
        </w:tc>
      </w:tr>
      <w:tr w:rsidR="002C7FC3" w14:paraId="208E4913" w14:textId="77777777" w:rsidTr="00751469">
        <w:trPr>
          <w:trHeight w:val="135"/>
        </w:trPr>
        <w:tc>
          <w:tcPr>
            <w:tcW w:w="2325" w:type="dxa"/>
            <w:vMerge/>
            <w:vAlign w:val="center"/>
          </w:tcPr>
          <w:p w14:paraId="61A16971" w14:textId="77777777" w:rsidR="002C7FC3" w:rsidRDefault="002C7FC3" w:rsidP="00492000">
            <w:pPr>
              <w:rPr>
                <w:rFonts w:ascii="Times New Roman" w:eastAsia="Calibri" w:hAnsi="Times New Roman" w:cs="Times New Roman"/>
                <w:sz w:val="20"/>
                <w:szCs w:val="20"/>
              </w:rPr>
            </w:pPr>
          </w:p>
        </w:tc>
        <w:tc>
          <w:tcPr>
            <w:tcW w:w="2325" w:type="dxa"/>
            <w:vMerge/>
          </w:tcPr>
          <w:p w14:paraId="085702B9" w14:textId="77777777" w:rsidR="002C7FC3" w:rsidRPr="002C7FC3" w:rsidRDefault="002C7FC3" w:rsidP="00492000">
            <w:pPr>
              <w:jc w:val="center"/>
              <w:rPr>
                <w:rFonts w:ascii="Times New Roman" w:eastAsia="Calibri" w:hAnsi="Times New Roman" w:cs="Times New Roman"/>
                <w:sz w:val="20"/>
                <w:szCs w:val="20"/>
              </w:rPr>
            </w:pPr>
          </w:p>
        </w:tc>
        <w:tc>
          <w:tcPr>
            <w:tcW w:w="2325" w:type="dxa"/>
            <w:vMerge/>
          </w:tcPr>
          <w:p w14:paraId="0D10318D" w14:textId="77777777" w:rsidR="002C7FC3" w:rsidRPr="002C7FC3" w:rsidRDefault="002C7FC3" w:rsidP="00492000">
            <w:pPr>
              <w:jc w:val="center"/>
              <w:rPr>
                <w:rFonts w:ascii="Times New Roman" w:eastAsia="Calibri" w:hAnsi="Times New Roman" w:cs="Times New Roman"/>
                <w:sz w:val="20"/>
                <w:szCs w:val="20"/>
              </w:rPr>
            </w:pPr>
          </w:p>
        </w:tc>
        <w:tc>
          <w:tcPr>
            <w:tcW w:w="1139" w:type="dxa"/>
          </w:tcPr>
          <w:p w14:paraId="4149A67E" w14:textId="481035EB" w:rsidR="002C7FC3" w:rsidRPr="002C7FC3" w:rsidRDefault="002C7FC3" w:rsidP="002C7FC3">
            <w:pPr>
              <w:jc w:val="center"/>
              <w:rPr>
                <w:rFonts w:ascii="Times New Roman" w:eastAsia="Calibri" w:hAnsi="Times New Roman" w:cs="Times New Roman"/>
                <w:sz w:val="20"/>
                <w:szCs w:val="20"/>
              </w:rPr>
            </w:pPr>
            <w:r w:rsidRPr="002C7FC3">
              <w:rPr>
                <w:rFonts w:ascii="Times New Roman" w:eastAsia="Calibri" w:hAnsi="Times New Roman" w:cs="Times New Roman"/>
                <w:sz w:val="20"/>
                <w:szCs w:val="20"/>
              </w:rPr>
              <w:t>df=1</w:t>
            </w:r>
          </w:p>
        </w:tc>
        <w:tc>
          <w:tcPr>
            <w:tcW w:w="953" w:type="dxa"/>
            <w:vMerge/>
          </w:tcPr>
          <w:p w14:paraId="4185196C" w14:textId="77777777" w:rsidR="002C7FC3" w:rsidRPr="002C7FC3" w:rsidRDefault="002C7FC3" w:rsidP="00492000">
            <w:pPr>
              <w:jc w:val="center"/>
              <w:rPr>
                <w:rFonts w:ascii="Times New Roman" w:eastAsia="Calibri" w:hAnsi="Times New Roman" w:cs="Times New Roman"/>
                <w:b/>
                <w:bCs/>
                <w:color w:val="00B050"/>
                <w:sz w:val="20"/>
                <w:szCs w:val="20"/>
              </w:rPr>
            </w:pPr>
          </w:p>
        </w:tc>
        <w:tc>
          <w:tcPr>
            <w:tcW w:w="1276" w:type="dxa"/>
            <w:vMerge/>
          </w:tcPr>
          <w:p w14:paraId="2A2D226C" w14:textId="77777777" w:rsidR="002C7FC3" w:rsidRPr="002C7FC3" w:rsidRDefault="002C7FC3" w:rsidP="00492000">
            <w:pPr>
              <w:jc w:val="center"/>
              <w:rPr>
                <w:rFonts w:ascii="Times New Roman" w:eastAsia="Calibri" w:hAnsi="Times New Roman" w:cs="Times New Roman"/>
                <w:b/>
                <w:bCs/>
                <w:color w:val="00B050"/>
                <w:sz w:val="20"/>
                <w:szCs w:val="20"/>
              </w:rPr>
            </w:pPr>
          </w:p>
        </w:tc>
      </w:tr>
      <w:tr w:rsidR="00B629BB" w14:paraId="280D6528" w14:textId="77777777" w:rsidTr="00751469">
        <w:trPr>
          <w:trHeight w:val="135"/>
        </w:trPr>
        <w:tc>
          <w:tcPr>
            <w:tcW w:w="10343" w:type="dxa"/>
            <w:gridSpan w:val="6"/>
            <w:vAlign w:val="center"/>
          </w:tcPr>
          <w:p w14:paraId="73AF52EE" w14:textId="2F156D1A" w:rsidR="00B629BB" w:rsidRPr="00B629BB" w:rsidRDefault="00B629BB" w:rsidP="00B629BB">
            <w:pPr>
              <w:rPr>
                <w:rFonts w:ascii="Times New Roman" w:eastAsia="Calibri" w:hAnsi="Times New Roman" w:cs="Times New Roman"/>
                <w:sz w:val="20"/>
                <w:szCs w:val="20"/>
              </w:rPr>
            </w:pPr>
            <w:r w:rsidRPr="00B629BB">
              <w:rPr>
                <w:rFonts w:ascii="Times New Roman" w:eastAsia="Calibri" w:hAnsi="Times New Roman" w:cs="Times New Roman"/>
                <w:sz w:val="20"/>
                <w:szCs w:val="20"/>
              </w:rPr>
              <w:t>RSES total</w:t>
            </w:r>
          </w:p>
        </w:tc>
      </w:tr>
      <w:tr w:rsidR="00B629BB" w14:paraId="736D929F" w14:textId="77777777" w:rsidTr="00751469">
        <w:trPr>
          <w:trHeight w:val="136"/>
        </w:trPr>
        <w:tc>
          <w:tcPr>
            <w:tcW w:w="2325" w:type="dxa"/>
            <w:vMerge w:val="restart"/>
            <w:vAlign w:val="center"/>
          </w:tcPr>
          <w:p w14:paraId="275E6245" w14:textId="3D5BA098" w:rsidR="00B629BB" w:rsidRDefault="00B629BB" w:rsidP="00492000">
            <w:pPr>
              <w:rPr>
                <w:rFonts w:ascii="Times New Roman" w:eastAsia="Calibri" w:hAnsi="Times New Roman" w:cs="Times New Roman"/>
                <w:sz w:val="20"/>
                <w:szCs w:val="20"/>
              </w:rPr>
            </w:pPr>
            <w:r>
              <w:rPr>
                <w:rFonts w:ascii="Times New Roman" w:eastAsia="Calibri" w:hAnsi="Times New Roman" w:cs="Times New Roman"/>
                <w:sz w:val="20"/>
                <w:szCs w:val="20"/>
              </w:rPr>
              <w:t xml:space="preserve">   Score </w:t>
            </w:r>
            <w:r w:rsidR="00A520CB">
              <w:rPr>
                <w:rFonts w:ascii="Times New Roman" w:eastAsia="Calibri" w:hAnsi="Times New Roman" w:cs="Times New Roman"/>
                <w:sz w:val="20"/>
                <w:szCs w:val="20"/>
              </w:rPr>
              <w:t>≥</w:t>
            </w:r>
            <w:r>
              <w:rPr>
                <w:rFonts w:ascii="Times New Roman" w:eastAsia="Calibri" w:hAnsi="Times New Roman" w:cs="Times New Roman"/>
                <w:sz w:val="20"/>
                <w:szCs w:val="20"/>
              </w:rPr>
              <w:t>15</w:t>
            </w:r>
          </w:p>
        </w:tc>
        <w:tc>
          <w:tcPr>
            <w:tcW w:w="2325" w:type="dxa"/>
            <w:vMerge w:val="restart"/>
            <w:vAlign w:val="center"/>
          </w:tcPr>
          <w:p w14:paraId="6AECC32F" w14:textId="5095C882" w:rsidR="00B629BB" w:rsidRPr="00B629BB" w:rsidRDefault="00B629BB" w:rsidP="00B629BB">
            <w:pPr>
              <w:jc w:val="center"/>
              <w:rPr>
                <w:rFonts w:ascii="Times New Roman" w:eastAsia="Calibri" w:hAnsi="Times New Roman" w:cs="Times New Roman"/>
                <w:sz w:val="20"/>
                <w:szCs w:val="20"/>
              </w:rPr>
            </w:pPr>
            <w:r w:rsidRPr="00B629BB">
              <w:rPr>
                <w:rFonts w:ascii="Times New Roman" w:eastAsia="Calibri" w:hAnsi="Times New Roman" w:cs="Times New Roman"/>
                <w:sz w:val="20"/>
                <w:szCs w:val="20"/>
              </w:rPr>
              <w:t>41 (51.2)</w:t>
            </w:r>
          </w:p>
        </w:tc>
        <w:tc>
          <w:tcPr>
            <w:tcW w:w="2325" w:type="dxa"/>
            <w:vMerge w:val="restart"/>
            <w:vAlign w:val="center"/>
          </w:tcPr>
          <w:p w14:paraId="1808E547" w14:textId="14E3C370" w:rsidR="00B629BB" w:rsidRPr="00B629BB" w:rsidRDefault="00B629BB" w:rsidP="00B629BB">
            <w:pPr>
              <w:jc w:val="center"/>
              <w:rPr>
                <w:rFonts w:ascii="Times New Roman" w:eastAsia="Calibri" w:hAnsi="Times New Roman" w:cs="Times New Roman"/>
                <w:sz w:val="20"/>
                <w:szCs w:val="20"/>
              </w:rPr>
            </w:pPr>
            <w:r w:rsidRPr="00B629BB">
              <w:rPr>
                <w:rFonts w:ascii="Times New Roman" w:eastAsia="Calibri" w:hAnsi="Times New Roman" w:cs="Times New Roman"/>
                <w:sz w:val="20"/>
                <w:szCs w:val="20"/>
              </w:rPr>
              <w:t>2797</w:t>
            </w:r>
            <w:r w:rsidR="002412AF">
              <w:rPr>
                <w:rFonts w:ascii="Times New Roman" w:eastAsia="Calibri" w:hAnsi="Times New Roman" w:cs="Times New Roman"/>
                <w:sz w:val="20"/>
                <w:szCs w:val="20"/>
              </w:rPr>
              <w:t xml:space="preserve"> </w:t>
            </w:r>
            <w:r w:rsidRPr="00B629BB">
              <w:rPr>
                <w:rFonts w:ascii="Times New Roman" w:eastAsia="Calibri" w:hAnsi="Times New Roman" w:cs="Times New Roman"/>
                <w:sz w:val="20"/>
                <w:szCs w:val="20"/>
              </w:rPr>
              <w:t>(86.1)</w:t>
            </w:r>
          </w:p>
        </w:tc>
        <w:tc>
          <w:tcPr>
            <w:tcW w:w="1139" w:type="dxa"/>
          </w:tcPr>
          <w:p w14:paraId="28508A5E" w14:textId="7AF87DFE" w:rsidR="00B629BB" w:rsidRPr="00B629BB" w:rsidRDefault="00B629BB" w:rsidP="00B629BB">
            <w:pPr>
              <w:jc w:val="center"/>
              <w:rPr>
                <w:rFonts w:ascii="Times New Roman" w:eastAsia="Calibri" w:hAnsi="Times New Roman" w:cs="Times New Roman"/>
                <w:sz w:val="20"/>
                <w:szCs w:val="20"/>
              </w:rPr>
            </w:pPr>
            <w:r w:rsidRPr="00B629BB">
              <w:rPr>
                <w:rFonts w:ascii="Times New Roman" w:eastAsia="Calibri" w:hAnsi="Times New Roman" w:cs="Times New Roman"/>
                <w:sz w:val="20"/>
                <w:szCs w:val="20"/>
              </w:rPr>
              <w:t>LR=53.479</w:t>
            </w:r>
          </w:p>
        </w:tc>
        <w:tc>
          <w:tcPr>
            <w:tcW w:w="953" w:type="dxa"/>
            <w:vMerge w:val="restart"/>
            <w:vAlign w:val="center"/>
          </w:tcPr>
          <w:p w14:paraId="34D90D1E" w14:textId="3F25E700" w:rsidR="00B629BB" w:rsidRPr="00B629BB" w:rsidRDefault="003F3215" w:rsidP="00B629BB">
            <w:pPr>
              <w:jc w:val="center"/>
              <w:rPr>
                <w:rFonts w:ascii="Times New Roman" w:eastAsia="Calibri" w:hAnsi="Times New Roman" w:cs="Times New Roman"/>
                <w:sz w:val="20"/>
                <w:szCs w:val="20"/>
              </w:rPr>
            </w:pPr>
            <w:r>
              <w:rPr>
                <w:rFonts w:ascii="Times New Roman" w:eastAsia="Calibri" w:hAnsi="Times New Roman" w:cs="Times New Roman"/>
                <w:sz w:val="20"/>
                <w:szCs w:val="20"/>
              </w:rPr>
              <w:t>&lt;.</w:t>
            </w:r>
            <w:r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B629BB">
              <w:rPr>
                <w:rFonts w:ascii="Times New Roman" w:eastAsia="Calibri" w:hAnsi="Times New Roman" w:cs="Times New Roman"/>
                <w:sz w:val="20"/>
                <w:szCs w:val="20"/>
              </w:rPr>
              <w:t>*</w:t>
            </w:r>
          </w:p>
        </w:tc>
        <w:tc>
          <w:tcPr>
            <w:tcW w:w="1276" w:type="dxa"/>
            <w:vMerge w:val="restart"/>
            <w:vAlign w:val="center"/>
          </w:tcPr>
          <w:p w14:paraId="05D910FE" w14:textId="6F27452D" w:rsidR="00B629BB" w:rsidRPr="00B629BB" w:rsidRDefault="00B629BB" w:rsidP="00B629BB">
            <w:pPr>
              <w:jc w:val="center"/>
              <w:rPr>
                <w:rFonts w:ascii="Times New Roman" w:eastAsia="Calibri" w:hAnsi="Times New Roman" w:cs="Times New Roman"/>
                <w:sz w:val="20"/>
                <w:szCs w:val="20"/>
              </w:rPr>
            </w:pPr>
            <w:r w:rsidRPr="00B629BB">
              <w:rPr>
                <w:rFonts w:ascii="Times New Roman" w:eastAsia="Calibri" w:hAnsi="Times New Roman" w:cs="Times New Roman"/>
                <w:sz w:val="20"/>
                <w:szCs w:val="20"/>
              </w:rPr>
              <w:t>.151</w:t>
            </w:r>
          </w:p>
        </w:tc>
      </w:tr>
      <w:tr w:rsidR="00B629BB" w14:paraId="0A4267C2" w14:textId="77777777" w:rsidTr="00751469">
        <w:trPr>
          <w:trHeight w:val="135"/>
        </w:trPr>
        <w:tc>
          <w:tcPr>
            <w:tcW w:w="2325" w:type="dxa"/>
            <w:vMerge/>
            <w:vAlign w:val="center"/>
          </w:tcPr>
          <w:p w14:paraId="7819F85A" w14:textId="77777777" w:rsidR="00B629BB" w:rsidRDefault="00B629BB" w:rsidP="00492000">
            <w:pPr>
              <w:rPr>
                <w:rFonts w:ascii="Times New Roman" w:eastAsia="Calibri" w:hAnsi="Times New Roman" w:cs="Times New Roman"/>
                <w:sz w:val="20"/>
                <w:szCs w:val="20"/>
              </w:rPr>
            </w:pPr>
          </w:p>
        </w:tc>
        <w:tc>
          <w:tcPr>
            <w:tcW w:w="2325" w:type="dxa"/>
            <w:vMerge/>
          </w:tcPr>
          <w:p w14:paraId="17599008" w14:textId="77777777" w:rsidR="00B629BB" w:rsidRPr="00B629BB" w:rsidRDefault="00B629BB" w:rsidP="00492000">
            <w:pPr>
              <w:jc w:val="center"/>
              <w:rPr>
                <w:rFonts w:ascii="Times New Roman" w:eastAsia="Calibri" w:hAnsi="Times New Roman" w:cs="Times New Roman"/>
                <w:sz w:val="20"/>
                <w:szCs w:val="20"/>
              </w:rPr>
            </w:pPr>
          </w:p>
        </w:tc>
        <w:tc>
          <w:tcPr>
            <w:tcW w:w="2325" w:type="dxa"/>
            <w:vMerge/>
          </w:tcPr>
          <w:p w14:paraId="61F735C8" w14:textId="77777777" w:rsidR="00B629BB" w:rsidRPr="00B629BB" w:rsidRDefault="00B629BB" w:rsidP="00492000">
            <w:pPr>
              <w:jc w:val="center"/>
              <w:rPr>
                <w:rFonts w:ascii="Times New Roman" w:eastAsia="Calibri" w:hAnsi="Times New Roman" w:cs="Times New Roman"/>
                <w:sz w:val="20"/>
                <w:szCs w:val="20"/>
              </w:rPr>
            </w:pPr>
          </w:p>
        </w:tc>
        <w:tc>
          <w:tcPr>
            <w:tcW w:w="1139" w:type="dxa"/>
          </w:tcPr>
          <w:p w14:paraId="63D7204E" w14:textId="36D743F5" w:rsidR="00B629BB" w:rsidRPr="00B629BB" w:rsidRDefault="00B629BB" w:rsidP="00B629BB">
            <w:pPr>
              <w:jc w:val="center"/>
              <w:rPr>
                <w:rFonts w:ascii="Times New Roman" w:eastAsia="Calibri" w:hAnsi="Times New Roman" w:cs="Times New Roman"/>
                <w:sz w:val="20"/>
                <w:szCs w:val="20"/>
              </w:rPr>
            </w:pPr>
            <w:r w:rsidRPr="00B629BB">
              <w:rPr>
                <w:rFonts w:ascii="Times New Roman" w:eastAsia="Calibri" w:hAnsi="Times New Roman" w:cs="Times New Roman"/>
                <w:sz w:val="20"/>
                <w:szCs w:val="20"/>
              </w:rPr>
              <w:t>df=1</w:t>
            </w:r>
          </w:p>
        </w:tc>
        <w:tc>
          <w:tcPr>
            <w:tcW w:w="953" w:type="dxa"/>
            <w:vMerge/>
          </w:tcPr>
          <w:p w14:paraId="4EFF4AB1" w14:textId="77777777" w:rsidR="00B629BB" w:rsidRPr="00B629BB" w:rsidRDefault="00B629BB" w:rsidP="00492000">
            <w:pPr>
              <w:jc w:val="center"/>
              <w:rPr>
                <w:rFonts w:ascii="Times New Roman" w:eastAsia="Calibri" w:hAnsi="Times New Roman" w:cs="Times New Roman"/>
                <w:sz w:val="20"/>
                <w:szCs w:val="20"/>
              </w:rPr>
            </w:pPr>
          </w:p>
        </w:tc>
        <w:tc>
          <w:tcPr>
            <w:tcW w:w="1276" w:type="dxa"/>
            <w:vMerge/>
          </w:tcPr>
          <w:p w14:paraId="32E159E5" w14:textId="77777777" w:rsidR="00B629BB" w:rsidRPr="00B629BB" w:rsidRDefault="00B629BB" w:rsidP="00492000">
            <w:pPr>
              <w:jc w:val="center"/>
              <w:rPr>
                <w:rFonts w:ascii="Times New Roman" w:eastAsia="Calibri" w:hAnsi="Times New Roman" w:cs="Times New Roman"/>
                <w:sz w:val="20"/>
                <w:szCs w:val="20"/>
              </w:rPr>
            </w:pPr>
          </w:p>
        </w:tc>
      </w:tr>
    </w:tbl>
    <w:p w14:paraId="2E908D63" w14:textId="77777777" w:rsidR="00B629BB" w:rsidRDefault="00B629BB" w:rsidP="00B629BB">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All numbers are N (%) unless otherwise stated.</w:t>
      </w:r>
    </w:p>
    <w:p w14:paraId="0978C7C6" w14:textId="64D748FF" w:rsidR="00B629BB" w:rsidRDefault="00B629BB" w:rsidP="00B629BB">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w:t>
      </w:r>
      <w:r w:rsidRPr="00153194">
        <w:rPr>
          <w:rFonts w:ascii="Times New Roman" w:eastAsiaTheme="minorEastAsia" w:hAnsi="Times New Roman" w:cs="Times New Roman"/>
          <w:i/>
          <w:iCs/>
          <w:sz w:val="22"/>
          <w:szCs w:val="22"/>
        </w:rPr>
        <w:t>P</w:t>
      </w:r>
      <w:r>
        <w:rPr>
          <w:rFonts w:ascii="Times New Roman" w:eastAsiaTheme="minorEastAsia" w:hAnsi="Times New Roman" w:cs="Times New Roman"/>
          <w:sz w:val="22"/>
          <w:szCs w:val="22"/>
        </w:rPr>
        <w:t xml:space="preserve"> value significant with Bonferroni correction; c</w:t>
      </w:r>
      <w:r w:rsidRPr="00153194">
        <w:rPr>
          <w:rFonts w:ascii="Times New Roman" w:eastAsiaTheme="minorEastAsia" w:hAnsi="Times New Roman" w:cs="Times New Roman"/>
          <w:sz w:val="22"/>
          <w:szCs w:val="22"/>
        </w:rPr>
        <w:t>ritical</w:t>
      </w:r>
      <w:r>
        <w:rPr>
          <w:rFonts w:ascii="Times New Roman" w:eastAsiaTheme="minorEastAsia" w:hAnsi="Times New Roman" w:cs="Times New Roman"/>
          <w:sz w:val="22"/>
          <w:szCs w:val="22"/>
        </w:rPr>
        <w:t xml:space="preserve"> </w:t>
      </w:r>
      <w:r>
        <w:rPr>
          <w:rFonts w:ascii="Times New Roman" w:eastAsiaTheme="minorEastAsia" w:hAnsi="Times New Roman" w:cs="Times New Roman"/>
          <w:i/>
          <w:iCs/>
          <w:sz w:val="22"/>
          <w:szCs w:val="22"/>
        </w:rPr>
        <w:t>P</w:t>
      </w:r>
      <w:r>
        <w:rPr>
          <w:rFonts w:ascii="Times New Roman" w:eastAsiaTheme="minorEastAsia" w:hAnsi="Times New Roman" w:cs="Times New Roman"/>
          <w:sz w:val="22"/>
          <w:szCs w:val="22"/>
        </w:rPr>
        <w:t xml:space="preserve"> = .05/9 = .006.</w:t>
      </w:r>
    </w:p>
    <w:p w14:paraId="32184C1C" w14:textId="342673EA" w:rsidR="00000F78" w:rsidRDefault="00000F78" w:rsidP="00B629BB">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ADHD = </w:t>
      </w:r>
      <w:r>
        <w:rPr>
          <w:rFonts w:ascii="Times New Roman" w:eastAsiaTheme="minorEastAsia" w:hAnsi="Times New Roman" w:cs="Times New Roman"/>
          <w:sz w:val="22"/>
          <w:szCs w:val="22"/>
          <w:lang w:val="en-US"/>
        </w:rPr>
        <w:t>A</w:t>
      </w:r>
      <w:r w:rsidRPr="00985AD6">
        <w:rPr>
          <w:rFonts w:ascii="Times New Roman" w:eastAsiaTheme="minorEastAsia" w:hAnsi="Times New Roman" w:cs="Times New Roman"/>
          <w:sz w:val="22"/>
          <w:szCs w:val="22"/>
          <w:lang w:val="en-US"/>
        </w:rPr>
        <w:t>ttention-</w:t>
      </w:r>
      <w:r>
        <w:rPr>
          <w:rFonts w:ascii="Times New Roman" w:eastAsiaTheme="minorEastAsia" w:hAnsi="Times New Roman" w:cs="Times New Roman"/>
          <w:sz w:val="22"/>
          <w:szCs w:val="22"/>
          <w:lang w:val="en-US"/>
        </w:rPr>
        <w:t>D</w:t>
      </w:r>
      <w:r w:rsidRPr="00985AD6">
        <w:rPr>
          <w:rFonts w:ascii="Times New Roman" w:eastAsiaTheme="minorEastAsia" w:hAnsi="Times New Roman" w:cs="Times New Roman"/>
          <w:sz w:val="22"/>
          <w:szCs w:val="22"/>
          <w:lang w:val="en-US"/>
        </w:rPr>
        <w:t>eficit/</w:t>
      </w:r>
      <w:r>
        <w:rPr>
          <w:rFonts w:ascii="Times New Roman" w:eastAsiaTheme="minorEastAsia" w:hAnsi="Times New Roman" w:cs="Times New Roman"/>
          <w:sz w:val="22"/>
          <w:szCs w:val="22"/>
          <w:lang w:val="en-US"/>
        </w:rPr>
        <w:t>H</w:t>
      </w:r>
      <w:r w:rsidRPr="00985AD6">
        <w:rPr>
          <w:rFonts w:ascii="Times New Roman" w:eastAsiaTheme="minorEastAsia" w:hAnsi="Times New Roman" w:cs="Times New Roman"/>
          <w:sz w:val="22"/>
          <w:szCs w:val="22"/>
          <w:lang w:val="en-US"/>
        </w:rPr>
        <w:t xml:space="preserve">yperactivity </w:t>
      </w:r>
      <w:r>
        <w:rPr>
          <w:rFonts w:ascii="Times New Roman" w:eastAsiaTheme="minorEastAsia" w:hAnsi="Times New Roman" w:cs="Times New Roman"/>
          <w:sz w:val="22"/>
          <w:szCs w:val="22"/>
          <w:lang w:val="en-US"/>
        </w:rPr>
        <w:t>D</w:t>
      </w:r>
      <w:r w:rsidRPr="00985AD6">
        <w:rPr>
          <w:rFonts w:ascii="Times New Roman" w:eastAsiaTheme="minorEastAsia" w:hAnsi="Times New Roman" w:cs="Times New Roman"/>
          <w:sz w:val="22"/>
          <w:szCs w:val="22"/>
          <w:lang w:val="en-US"/>
        </w:rPr>
        <w:t>isorder</w:t>
      </w:r>
      <w:r>
        <w:rPr>
          <w:rFonts w:ascii="Times New Roman" w:eastAsiaTheme="minorEastAsia" w:hAnsi="Times New Roman" w:cs="Times New Roman"/>
          <w:sz w:val="22"/>
          <w:szCs w:val="22"/>
        </w:rPr>
        <w:t xml:space="preserve">; </w:t>
      </w:r>
      <w:r w:rsidRPr="00515B26">
        <w:rPr>
          <w:rFonts w:ascii="Times New Roman" w:eastAsiaTheme="minorEastAsia" w:hAnsi="Times New Roman" w:cs="Times New Roman"/>
          <w:sz w:val="22"/>
          <w:szCs w:val="22"/>
        </w:rPr>
        <w:t>GAD-7</w:t>
      </w:r>
      <w:r>
        <w:rPr>
          <w:rFonts w:ascii="Times New Roman" w:eastAsiaTheme="minorEastAsia" w:hAnsi="Times New Roman" w:cs="Times New Roman"/>
          <w:sz w:val="22"/>
          <w:szCs w:val="22"/>
        </w:rPr>
        <w:t xml:space="preserve"> = </w:t>
      </w:r>
      <w:r w:rsidRPr="00515B26">
        <w:rPr>
          <w:rFonts w:ascii="Times New Roman" w:eastAsiaTheme="minorEastAsia" w:hAnsi="Times New Roman" w:cs="Times New Roman"/>
          <w:sz w:val="22"/>
          <w:szCs w:val="22"/>
        </w:rPr>
        <w:t>Generalized Anxiety Disorder 7</w:t>
      </w:r>
      <w:r>
        <w:rPr>
          <w:rFonts w:ascii="Times New Roman" w:eastAsiaTheme="minorEastAsia" w:hAnsi="Times New Roman" w:cs="Times New Roman"/>
          <w:sz w:val="22"/>
          <w:szCs w:val="22"/>
        </w:rPr>
        <w:t xml:space="preserve">; PHQ-9 = </w:t>
      </w:r>
      <w:r w:rsidRPr="00515B26">
        <w:rPr>
          <w:rFonts w:ascii="Times New Roman" w:eastAsiaTheme="minorEastAsia" w:hAnsi="Times New Roman" w:cs="Times New Roman"/>
          <w:sz w:val="22"/>
          <w:szCs w:val="22"/>
        </w:rPr>
        <w:t>Patient Health Questionnaire</w:t>
      </w:r>
      <w:r>
        <w:rPr>
          <w:rFonts w:ascii="Times New Roman" w:eastAsiaTheme="minorEastAsia" w:hAnsi="Times New Roman" w:cs="Times New Roman"/>
          <w:sz w:val="22"/>
          <w:szCs w:val="22"/>
        </w:rPr>
        <w:t xml:space="preserve">; PTSD = </w:t>
      </w:r>
      <w:r>
        <w:rPr>
          <w:rFonts w:ascii="Times New Roman" w:eastAsiaTheme="minorEastAsia" w:hAnsi="Times New Roman" w:cs="Times New Roman"/>
          <w:sz w:val="22"/>
          <w:szCs w:val="22"/>
          <w:lang w:val="en-US"/>
        </w:rPr>
        <w:t>P</w:t>
      </w:r>
      <w:r w:rsidRPr="00985AD6">
        <w:rPr>
          <w:rFonts w:ascii="Times New Roman" w:eastAsiaTheme="minorEastAsia" w:hAnsi="Times New Roman" w:cs="Times New Roman"/>
          <w:sz w:val="22"/>
          <w:szCs w:val="22"/>
          <w:lang w:val="en-US"/>
        </w:rPr>
        <w:t>ost-</w:t>
      </w:r>
      <w:r>
        <w:rPr>
          <w:rFonts w:ascii="Times New Roman" w:eastAsiaTheme="minorEastAsia" w:hAnsi="Times New Roman" w:cs="Times New Roman"/>
          <w:sz w:val="22"/>
          <w:szCs w:val="22"/>
          <w:lang w:val="en-US"/>
        </w:rPr>
        <w:t>T</w:t>
      </w:r>
      <w:r w:rsidRPr="00985AD6">
        <w:rPr>
          <w:rFonts w:ascii="Times New Roman" w:eastAsiaTheme="minorEastAsia" w:hAnsi="Times New Roman" w:cs="Times New Roman"/>
          <w:sz w:val="22"/>
          <w:szCs w:val="22"/>
          <w:lang w:val="en-US"/>
        </w:rPr>
        <w:t xml:space="preserve">raumatic </w:t>
      </w:r>
      <w:r>
        <w:rPr>
          <w:rFonts w:ascii="Times New Roman" w:eastAsiaTheme="minorEastAsia" w:hAnsi="Times New Roman" w:cs="Times New Roman"/>
          <w:sz w:val="22"/>
          <w:szCs w:val="22"/>
          <w:lang w:val="en-US"/>
        </w:rPr>
        <w:t>S</w:t>
      </w:r>
      <w:r w:rsidRPr="00985AD6">
        <w:rPr>
          <w:rFonts w:ascii="Times New Roman" w:eastAsiaTheme="minorEastAsia" w:hAnsi="Times New Roman" w:cs="Times New Roman"/>
          <w:sz w:val="22"/>
          <w:szCs w:val="22"/>
          <w:lang w:val="en-US"/>
        </w:rPr>
        <w:t xml:space="preserve">tress </w:t>
      </w:r>
      <w:r>
        <w:rPr>
          <w:rFonts w:ascii="Times New Roman" w:eastAsiaTheme="minorEastAsia" w:hAnsi="Times New Roman" w:cs="Times New Roman"/>
          <w:sz w:val="22"/>
          <w:szCs w:val="22"/>
          <w:lang w:val="en-US"/>
        </w:rPr>
        <w:t>D</w:t>
      </w:r>
      <w:r w:rsidRPr="00985AD6">
        <w:rPr>
          <w:rFonts w:ascii="Times New Roman" w:eastAsiaTheme="minorEastAsia" w:hAnsi="Times New Roman" w:cs="Times New Roman"/>
          <w:sz w:val="22"/>
          <w:szCs w:val="22"/>
          <w:lang w:val="en-US"/>
        </w:rPr>
        <w:t>isorder</w:t>
      </w:r>
      <w:r>
        <w:rPr>
          <w:rFonts w:ascii="Times New Roman" w:eastAsiaTheme="minorEastAsia" w:hAnsi="Times New Roman" w:cs="Times New Roman"/>
          <w:sz w:val="22"/>
          <w:szCs w:val="22"/>
          <w:lang w:val="en-US"/>
        </w:rPr>
        <w:t xml:space="preserve">; RSES = </w:t>
      </w:r>
      <w:r w:rsidRPr="00515B26">
        <w:rPr>
          <w:rFonts w:ascii="Times New Roman" w:eastAsiaTheme="minorEastAsia" w:hAnsi="Times New Roman" w:cs="Times New Roman"/>
          <w:sz w:val="22"/>
          <w:szCs w:val="22"/>
        </w:rPr>
        <w:t>Rosenberg Self-Esteem Scale</w:t>
      </w:r>
      <w:r>
        <w:rPr>
          <w:rFonts w:ascii="Times New Roman" w:eastAsiaTheme="minorEastAsia" w:hAnsi="Times New Roman" w:cs="Times New Roman"/>
          <w:sz w:val="22"/>
          <w:szCs w:val="22"/>
        </w:rPr>
        <w:t>.</w:t>
      </w:r>
    </w:p>
    <w:p w14:paraId="37F03FF5" w14:textId="77777777" w:rsidR="00000F78" w:rsidRDefault="00000F78" w:rsidP="00B629BB">
      <w:pPr>
        <w:rPr>
          <w:rFonts w:ascii="Times New Roman" w:eastAsiaTheme="minorEastAsia" w:hAnsi="Times New Roman" w:cs="Times New Roman"/>
          <w:sz w:val="22"/>
          <w:szCs w:val="22"/>
        </w:rPr>
      </w:pPr>
    </w:p>
    <w:p w14:paraId="0918B675" w14:textId="4239A15D" w:rsidR="00C44D65" w:rsidRPr="00C44D65" w:rsidRDefault="00C44D65" w:rsidP="00B629BB">
      <w:pPr>
        <w:rPr>
          <w:rFonts w:ascii="Times New Roman" w:eastAsiaTheme="minorEastAsia" w:hAnsi="Times New Roman" w:cs="Times New Roman"/>
          <w:b/>
          <w:bCs/>
          <w:sz w:val="22"/>
          <w:szCs w:val="22"/>
        </w:rPr>
      </w:pPr>
      <w:r>
        <w:rPr>
          <w:rFonts w:ascii="Times New Roman" w:eastAsiaTheme="minorEastAsia" w:hAnsi="Times New Roman" w:cs="Times New Roman"/>
          <w:b/>
          <w:bCs/>
          <w:sz w:val="22"/>
          <w:szCs w:val="22"/>
        </w:rPr>
        <w:t xml:space="preserve">Table 4. </w:t>
      </w:r>
      <w:r w:rsidR="007F444A">
        <w:rPr>
          <w:rFonts w:ascii="Times New Roman" w:eastAsiaTheme="minorEastAsia" w:hAnsi="Times New Roman" w:cs="Times New Roman"/>
          <w:b/>
          <w:bCs/>
          <w:sz w:val="22"/>
          <w:szCs w:val="22"/>
        </w:rPr>
        <w:t>Impulsivity and Compulsivity Based on Binge Eating Disorder</w:t>
      </w:r>
    </w:p>
    <w:tbl>
      <w:tblPr>
        <w:tblStyle w:val="TableGrid"/>
        <w:tblW w:w="0" w:type="auto"/>
        <w:tblLook w:val="04A0" w:firstRow="1" w:lastRow="0" w:firstColumn="1" w:lastColumn="0" w:noHBand="0" w:noVBand="1"/>
      </w:tblPr>
      <w:tblGrid>
        <w:gridCol w:w="2545"/>
        <w:gridCol w:w="2267"/>
        <w:gridCol w:w="2159"/>
        <w:gridCol w:w="1674"/>
        <w:gridCol w:w="848"/>
        <w:gridCol w:w="1275"/>
      </w:tblGrid>
      <w:tr w:rsidR="00751469" w14:paraId="17FD7691" w14:textId="77777777" w:rsidTr="00000F78">
        <w:trPr>
          <w:tblHeader/>
        </w:trPr>
        <w:tc>
          <w:tcPr>
            <w:tcW w:w="2545" w:type="dxa"/>
          </w:tcPr>
          <w:p w14:paraId="62FB0DC3" w14:textId="09BE027A" w:rsidR="00751469" w:rsidRDefault="00751469" w:rsidP="00751469">
            <w:pPr>
              <w:rPr>
                <w:rFonts w:ascii="Times New Roman" w:eastAsiaTheme="minorEastAsia" w:hAnsi="Times New Roman" w:cs="Times New Roman"/>
                <w:sz w:val="22"/>
                <w:szCs w:val="22"/>
              </w:rPr>
            </w:pPr>
            <w:r w:rsidRPr="004005E4">
              <w:rPr>
                <w:rFonts w:ascii="Times New Roman" w:eastAsiaTheme="minorEastAsia" w:hAnsi="Times New Roman" w:cs="Times New Roman"/>
                <w:b/>
                <w:bCs/>
                <w:sz w:val="20"/>
                <w:szCs w:val="20"/>
              </w:rPr>
              <w:t>Variable</w:t>
            </w:r>
          </w:p>
        </w:tc>
        <w:tc>
          <w:tcPr>
            <w:tcW w:w="2267" w:type="dxa"/>
          </w:tcPr>
          <w:p w14:paraId="544BD39F" w14:textId="5971C6E1" w:rsidR="00751469" w:rsidRDefault="00751469" w:rsidP="00751469">
            <w:pPr>
              <w:jc w:val="center"/>
              <w:rPr>
                <w:rFonts w:ascii="Times New Roman" w:eastAsiaTheme="minorEastAsia" w:hAnsi="Times New Roman" w:cs="Times New Roman"/>
                <w:sz w:val="22"/>
                <w:szCs w:val="22"/>
              </w:rPr>
            </w:pPr>
            <w:r w:rsidRPr="004005E4">
              <w:rPr>
                <w:rFonts w:ascii="Times New Roman" w:eastAsiaTheme="minorEastAsia" w:hAnsi="Times New Roman" w:cs="Times New Roman"/>
                <w:b/>
                <w:bCs/>
                <w:sz w:val="20"/>
                <w:szCs w:val="20"/>
              </w:rPr>
              <w:t>Students with current Binge Eating Disorder (n=83)</w:t>
            </w:r>
          </w:p>
        </w:tc>
        <w:tc>
          <w:tcPr>
            <w:tcW w:w="2159" w:type="dxa"/>
          </w:tcPr>
          <w:p w14:paraId="7C02562C" w14:textId="7CE7874B" w:rsidR="00751469" w:rsidRDefault="00751469" w:rsidP="00751469">
            <w:pPr>
              <w:jc w:val="center"/>
              <w:rPr>
                <w:rFonts w:ascii="Times New Roman" w:eastAsiaTheme="minorEastAsia" w:hAnsi="Times New Roman" w:cs="Times New Roman"/>
                <w:sz w:val="22"/>
                <w:szCs w:val="22"/>
              </w:rPr>
            </w:pPr>
            <w:r w:rsidRPr="004005E4">
              <w:rPr>
                <w:rFonts w:ascii="Times New Roman" w:eastAsiaTheme="minorEastAsia" w:hAnsi="Times New Roman" w:cs="Times New Roman"/>
                <w:b/>
                <w:bCs/>
                <w:sz w:val="20"/>
                <w:szCs w:val="20"/>
              </w:rPr>
              <w:t>Students without Binge Eating Disorder (n=3332)</w:t>
            </w:r>
          </w:p>
        </w:tc>
        <w:tc>
          <w:tcPr>
            <w:tcW w:w="1674" w:type="dxa"/>
          </w:tcPr>
          <w:p w14:paraId="00B0C6E8" w14:textId="1A21D219" w:rsidR="00751469" w:rsidRDefault="00751469" w:rsidP="00751469">
            <w:pPr>
              <w:jc w:val="center"/>
              <w:rPr>
                <w:rFonts w:ascii="Times New Roman" w:eastAsiaTheme="minorEastAsia" w:hAnsi="Times New Roman" w:cs="Times New Roman"/>
                <w:sz w:val="22"/>
                <w:szCs w:val="22"/>
              </w:rPr>
            </w:pPr>
            <w:r>
              <w:rPr>
                <w:rFonts w:ascii="Times New Roman" w:eastAsiaTheme="minorEastAsia" w:hAnsi="Times New Roman" w:cs="Times New Roman"/>
                <w:b/>
                <w:bCs/>
                <w:sz w:val="20"/>
                <w:szCs w:val="20"/>
              </w:rPr>
              <w:t>ANOVA</w:t>
            </w:r>
          </w:p>
        </w:tc>
        <w:tc>
          <w:tcPr>
            <w:tcW w:w="848" w:type="dxa"/>
          </w:tcPr>
          <w:p w14:paraId="18CB5B92" w14:textId="428896E4" w:rsidR="00751469" w:rsidRDefault="00751469" w:rsidP="00751469">
            <w:pPr>
              <w:jc w:val="center"/>
              <w:rPr>
                <w:rFonts w:ascii="Times New Roman" w:eastAsiaTheme="minorEastAsia" w:hAnsi="Times New Roman" w:cs="Times New Roman"/>
                <w:sz w:val="22"/>
                <w:szCs w:val="22"/>
              </w:rPr>
            </w:pPr>
            <w:r w:rsidRPr="004005E4">
              <w:rPr>
                <w:rFonts w:ascii="Times New Roman" w:eastAsiaTheme="minorEastAsia" w:hAnsi="Times New Roman" w:cs="Times New Roman"/>
                <w:b/>
                <w:bCs/>
                <w:i/>
                <w:iCs/>
                <w:sz w:val="20"/>
                <w:szCs w:val="20"/>
              </w:rPr>
              <w:t>P</w:t>
            </w:r>
            <w:r w:rsidRPr="004005E4">
              <w:rPr>
                <w:rFonts w:ascii="Times New Roman" w:eastAsiaTheme="minorEastAsia" w:hAnsi="Times New Roman" w:cs="Times New Roman"/>
                <w:b/>
                <w:bCs/>
                <w:sz w:val="20"/>
                <w:szCs w:val="20"/>
              </w:rPr>
              <w:t xml:space="preserve"> value</w:t>
            </w:r>
          </w:p>
        </w:tc>
        <w:tc>
          <w:tcPr>
            <w:tcW w:w="1275" w:type="dxa"/>
          </w:tcPr>
          <w:p w14:paraId="4C84A6BD" w14:textId="4988F972" w:rsidR="00751469" w:rsidRDefault="00751469" w:rsidP="00751469">
            <w:pPr>
              <w:jc w:val="center"/>
              <w:rPr>
                <w:rFonts w:ascii="Times New Roman" w:eastAsiaTheme="minorEastAsia" w:hAnsi="Times New Roman" w:cs="Times New Roman"/>
                <w:sz w:val="22"/>
                <w:szCs w:val="22"/>
              </w:rPr>
            </w:pPr>
            <w:r w:rsidRPr="004005E4">
              <w:rPr>
                <w:rFonts w:ascii="Times New Roman" w:eastAsiaTheme="minorEastAsia" w:hAnsi="Times New Roman" w:cs="Times New Roman"/>
                <w:b/>
                <w:bCs/>
                <w:sz w:val="20"/>
                <w:szCs w:val="20"/>
              </w:rPr>
              <w:t>Effect Size</w:t>
            </w:r>
            <w:r>
              <w:rPr>
                <w:rFonts w:ascii="Times New Roman" w:eastAsiaTheme="minorEastAsia" w:hAnsi="Times New Roman" w:cs="Times New Roman"/>
                <w:b/>
                <w:bCs/>
                <w:sz w:val="20"/>
                <w:szCs w:val="20"/>
              </w:rPr>
              <w:t xml:space="preserve"> </w:t>
            </w:r>
            <w:r w:rsidRPr="004005E4">
              <w:rPr>
                <w:rFonts w:ascii="Times New Roman" w:eastAsiaTheme="minorEastAsia" w:hAnsi="Times New Roman" w:cs="Times New Roman"/>
                <w:b/>
                <w:bCs/>
                <w:sz w:val="20"/>
                <w:szCs w:val="20"/>
              </w:rPr>
              <w:t>C</w:t>
            </w:r>
            <w:r>
              <w:rPr>
                <w:rFonts w:ascii="Times New Roman" w:eastAsiaTheme="minorEastAsia" w:hAnsi="Times New Roman" w:cs="Times New Roman"/>
                <w:b/>
                <w:bCs/>
                <w:sz w:val="20"/>
                <w:szCs w:val="20"/>
              </w:rPr>
              <w:t>ohen’s D</w:t>
            </w:r>
          </w:p>
        </w:tc>
      </w:tr>
      <w:tr w:rsidR="00751469" w14:paraId="69FCFAE3" w14:textId="77777777" w:rsidTr="00C44D65">
        <w:tc>
          <w:tcPr>
            <w:tcW w:w="2545" w:type="dxa"/>
          </w:tcPr>
          <w:p w14:paraId="71BA68FF" w14:textId="51ECFB3F" w:rsidR="00751469" w:rsidRPr="00C44D65" w:rsidRDefault="00C44D65" w:rsidP="00751469">
            <w:pPr>
              <w:rPr>
                <w:rFonts w:ascii="Times New Roman" w:eastAsiaTheme="minorEastAsia" w:hAnsi="Times New Roman" w:cs="Times New Roman"/>
                <w:sz w:val="20"/>
                <w:szCs w:val="20"/>
              </w:rPr>
            </w:pPr>
            <w:r w:rsidRPr="00C44D65">
              <w:rPr>
                <w:rFonts w:ascii="Times New Roman" w:eastAsiaTheme="minorEastAsia" w:hAnsi="Times New Roman" w:cs="Times New Roman"/>
                <w:sz w:val="20"/>
                <w:szCs w:val="20"/>
              </w:rPr>
              <w:t>CHI-T total</w:t>
            </w:r>
          </w:p>
        </w:tc>
        <w:tc>
          <w:tcPr>
            <w:tcW w:w="2267" w:type="dxa"/>
          </w:tcPr>
          <w:p w14:paraId="175AF40D" w14:textId="2E0CDF9D" w:rsidR="00751469" w:rsidRPr="00C44D65" w:rsidRDefault="00C44D65" w:rsidP="00C44D65">
            <w:pPr>
              <w:jc w:val="center"/>
              <w:rPr>
                <w:rFonts w:ascii="Times New Roman" w:eastAsiaTheme="minorEastAsia" w:hAnsi="Times New Roman" w:cs="Times New Roman"/>
                <w:sz w:val="20"/>
                <w:szCs w:val="20"/>
              </w:rPr>
            </w:pPr>
            <w:r w:rsidRPr="00C44D65">
              <w:rPr>
                <w:rFonts w:ascii="Times New Roman" w:eastAsia="Arial Unicode MS" w:hAnsi="Times New Roman" w:cs="Times New Roman"/>
                <w:sz w:val="20"/>
                <w:szCs w:val="20"/>
                <w:lang w:eastAsia="zh-CN" w:bidi="hi-IN"/>
              </w:rPr>
              <w:t>17.92</w:t>
            </w:r>
            <w:r>
              <w:rPr>
                <w:rFonts w:ascii="Times New Roman" w:eastAsia="Arial Unicode MS" w:hAnsi="Times New Roman" w:cs="Times New Roman"/>
                <w:sz w:val="20"/>
                <w:szCs w:val="20"/>
                <w:lang w:eastAsia="zh-CN" w:bidi="hi-IN"/>
              </w:rPr>
              <w:t xml:space="preserve"> </w:t>
            </w:r>
            <w:r w:rsidRPr="00C44D65">
              <w:rPr>
                <w:rFonts w:ascii="Times New Roman" w:eastAsia="Arial Unicode MS" w:hAnsi="Times New Roman" w:cs="Times New Roman"/>
                <w:sz w:val="20"/>
                <w:szCs w:val="20"/>
                <w:lang w:eastAsia="zh-CN" w:bidi="hi-IN"/>
              </w:rPr>
              <w:t>(14.9)</w:t>
            </w:r>
          </w:p>
        </w:tc>
        <w:tc>
          <w:tcPr>
            <w:tcW w:w="2159" w:type="dxa"/>
          </w:tcPr>
          <w:p w14:paraId="1751627A" w14:textId="3EEB63CD" w:rsidR="00751469" w:rsidRPr="00C44D65" w:rsidRDefault="00C44D65" w:rsidP="00C44D65">
            <w:pPr>
              <w:jc w:val="center"/>
              <w:rPr>
                <w:rFonts w:ascii="Times New Roman" w:eastAsiaTheme="minorEastAsia" w:hAnsi="Times New Roman" w:cs="Times New Roman"/>
                <w:sz w:val="20"/>
                <w:szCs w:val="20"/>
              </w:rPr>
            </w:pPr>
            <w:r w:rsidRPr="00C44D65">
              <w:rPr>
                <w:rFonts w:ascii="Times New Roman" w:eastAsia="Arial Unicode MS" w:hAnsi="Times New Roman" w:cs="Times New Roman"/>
                <w:sz w:val="20"/>
                <w:szCs w:val="20"/>
                <w:lang w:eastAsia="zh-CN" w:bidi="hi-IN"/>
              </w:rPr>
              <w:t>9.09</w:t>
            </w:r>
            <w:r>
              <w:rPr>
                <w:rFonts w:ascii="Times New Roman" w:eastAsia="Arial Unicode MS" w:hAnsi="Times New Roman" w:cs="Times New Roman"/>
                <w:sz w:val="20"/>
                <w:szCs w:val="20"/>
                <w:lang w:eastAsia="zh-CN" w:bidi="hi-IN"/>
              </w:rPr>
              <w:t xml:space="preserve"> </w:t>
            </w:r>
            <w:r w:rsidRPr="00C44D65">
              <w:rPr>
                <w:rFonts w:ascii="Times New Roman" w:eastAsia="Arial Unicode MS" w:hAnsi="Times New Roman" w:cs="Times New Roman"/>
                <w:sz w:val="20"/>
                <w:szCs w:val="20"/>
                <w:lang w:eastAsia="zh-CN" w:bidi="hi-IN"/>
              </w:rPr>
              <w:t>(13.4)</w:t>
            </w:r>
          </w:p>
        </w:tc>
        <w:tc>
          <w:tcPr>
            <w:tcW w:w="1674" w:type="dxa"/>
          </w:tcPr>
          <w:p w14:paraId="283BAE4D" w14:textId="76394E11" w:rsidR="00751469" w:rsidRPr="00C44D65" w:rsidRDefault="00C44D65" w:rsidP="00C44D65">
            <w:pPr>
              <w:jc w:val="center"/>
              <w:rPr>
                <w:rFonts w:ascii="Times New Roman" w:eastAsiaTheme="minorEastAsia" w:hAnsi="Times New Roman" w:cs="Times New Roman"/>
                <w:sz w:val="20"/>
                <w:szCs w:val="20"/>
              </w:rPr>
            </w:pPr>
            <w:proofErr w:type="gramStart"/>
            <w:r w:rsidRPr="00C44D65">
              <w:rPr>
                <w:rFonts w:ascii="Times New Roman" w:eastAsia="Arial Unicode MS" w:hAnsi="Times New Roman" w:cs="Times New Roman"/>
                <w:sz w:val="20"/>
                <w:szCs w:val="20"/>
                <w:lang w:eastAsia="zh-CN" w:bidi="hi-IN"/>
              </w:rPr>
              <w:t>F(</w:t>
            </w:r>
            <w:proofErr w:type="gramEnd"/>
            <w:r w:rsidRPr="00C44D65">
              <w:rPr>
                <w:rFonts w:ascii="Times New Roman" w:eastAsia="Arial Unicode MS" w:hAnsi="Times New Roman" w:cs="Times New Roman"/>
                <w:sz w:val="20"/>
                <w:szCs w:val="20"/>
                <w:lang w:eastAsia="zh-CN" w:bidi="hi-IN"/>
              </w:rPr>
              <w:t>1,3384)=34.49</w:t>
            </w:r>
          </w:p>
        </w:tc>
        <w:tc>
          <w:tcPr>
            <w:tcW w:w="848" w:type="dxa"/>
          </w:tcPr>
          <w:p w14:paraId="149A7A7F" w14:textId="4263865F" w:rsidR="00751469" w:rsidRPr="00C44D65" w:rsidRDefault="003F3215" w:rsidP="00C44D65">
            <w:pPr>
              <w:jc w:val="center"/>
              <w:rPr>
                <w:rFonts w:ascii="Times New Roman" w:eastAsiaTheme="minorEastAsia" w:hAnsi="Times New Roman" w:cs="Times New Roman"/>
                <w:sz w:val="20"/>
                <w:szCs w:val="20"/>
              </w:rPr>
            </w:pPr>
            <w:r>
              <w:rPr>
                <w:rFonts w:ascii="Times New Roman" w:eastAsia="Calibri" w:hAnsi="Times New Roman" w:cs="Times New Roman"/>
                <w:sz w:val="20"/>
                <w:szCs w:val="20"/>
              </w:rPr>
              <w:t>&lt;.</w:t>
            </w:r>
            <w:r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C44D65">
              <w:rPr>
                <w:rFonts w:ascii="Times New Roman" w:eastAsia="Arial Unicode MS" w:hAnsi="Times New Roman" w:cs="Times New Roman"/>
                <w:sz w:val="20"/>
                <w:szCs w:val="20"/>
                <w:lang w:eastAsia="zh-CN" w:bidi="hi-IN"/>
              </w:rPr>
              <w:t>*</w:t>
            </w:r>
          </w:p>
        </w:tc>
        <w:tc>
          <w:tcPr>
            <w:tcW w:w="1275" w:type="dxa"/>
          </w:tcPr>
          <w:p w14:paraId="055A084C" w14:textId="0C9022ED" w:rsidR="00751469" w:rsidRPr="00C44D65" w:rsidRDefault="00C44D65" w:rsidP="00C44D65">
            <w:pPr>
              <w:jc w:val="center"/>
              <w:rPr>
                <w:rFonts w:ascii="Times New Roman" w:eastAsiaTheme="minorEastAsia" w:hAnsi="Times New Roman" w:cs="Times New Roman"/>
                <w:sz w:val="20"/>
                <w:szCs w:val="20"/>
              </w:rPr>
            </w:pPr>
            <w:r w:rsidRPr="00C44D65">
              <w:rPr>
                <w:rFonts w:ascii="Times New Roman" w:eastAsia="Arial Unicode MS" w:hAnsi="Times New Roman" w:cs="Times New Roman"/>
                <w:sz w:val="20"/>
                <w:szCs w:val="20"/>
                <w:lang w:eastAsia="zh-CN" w:bidi="hi-IN"/>
              </w:rPr>
              <w:t>.656</w:t>
            </w:r>
          </w:p>
        </w:tc>
      </w:tr>
      <w:tr w:rsidR="00751469" w14:paraId="4400D042" w14:textId="77777777" w:rsidTr="00C44D65">
        <w:tc>
          <w:tcPr>
            <w:tcW w:w="2545" w:type="dxa"/>
          </w:tcPr>
          <w:p w14:paraId="2931C7E8" w14:textId="7EAFFFFA" w:rsidR="00751469" w:rsidRPr="00C44D65" w:rsidRDefault="00C44D65" w:rsidP="00751469">
            <w:pPr>
              <w:rPr>
                <w:rFonts w:ascii="Times New Roman" w:eastAsiaTheme="minorEastAsia" w:hAnsi="Times New Roman" w:cs="Times New Roman"/>
                <w:sz w:val="20"/>
                <w:szCs w:val="20"/>
              </w:rPr>
            </w:pPr>
            <w:r w:rsidRPr="00C44D65">
              <w:rPr>
                <w:rFonts w:ascii="Times New Roman" w:eastAsiaTheme="minorEastAsia" w:hAnsi="Times New Roman" w:cs="Times New Roman"/>
                <w:sz w:val="20"/>
                <w:szCs w:val="20"/>
              </w:rPr>
              <w:t>BIS-11 total</w:t>
            </w:r>
          </w:p>
        </w:tc>
        <w:tc>
          <w:tcPr>
            <w:tcW w:w="2267" w:type="dxa"/>
          </w:tcPr>
          <w:p w14:paraId="75CEE944" w14:textId="79D07F85" w:rsidR="00751469" w:rsidRPr="00C44D65" w:rsidRDefault="00C44D65" w:rsidP="00C44D65">
            <w:pPr>
              <w:widowControl w:val="0"/>
              <w:jc w:val="center"/>
              <w:rPr>
                <w:rFonts w:ascii="Times New Roman" w:eastAsia="Arial Unicode MS" w:hAnsi="Times New Roman" w:cs="Times New Roman"/>
                <w:sz w:val="20"/>
                <w:szCs w:val="20"/>
                <w:lang w:eastAsia="zh-CN" w:bidi="hi-IN"/>
              </w:rPr>
            </w:pPr>
            <w:r w:rsidRPr="00C44D65">
              <w:rPr>
                <w:rFonts w:ascii="Times New Roman" w:eastAsia="Arial Unicode MS" w:hAnsi="Times New Roman" w:cs="Times New Roman"/>
                <w:sz w:val="20"/>
                <w:szCs w:val="20"/>
                <w:lang w:eastAsia="zh-CN" w:bidi="hi-IN"/>
              </w:rPr>
              <w:t>65.98</w:t>
            </w:r>
            <w:r>
              <w:rPr>
                <w:rFonts w:ascii="Times New Roman" w:eastAsia="Arial Unicode MS" w:hAnsi="Times New Roman" w:cs="Times New Roman"/>
                <w:sz w:val="20"/>
                <w:szCs w:val="20"/>
                <w:lang w:eastAsia="zh-CN" w:bidi="hi-IN"/>
              </w:rPr>
              <w:t xml:space="preserve"> </w:t>
            </w:r>
            <w:r w:rsidRPr="00C44D65">
              <w:rPr>
                <w:rFonts w:ascii="Times New Roman" w:eastAsia="Arial Unicode MS" w:hAnsi="Times New Roman" w:cs="Times New Roman"/>
                <w:sz w:val="20"/>
                <w:szCs w:val="20"/>
                <w:lang w:eastAsia="zh-CN" w:bidi="hi-IN"/>
              </w:rPr>
              <w:t>(11.2)</w:t>
            </w:r>
          </w:p>
        </w:tc>
        <w:tc>
          <w:tcPr>
            <w:tcW w:w="2159" w:type="dxa"/>
          </w:tcPr>
          <w:p w14:paraId="1DD7DBAD" w14:textId="4EB91950" w:rsidR="00751469" w:rsidRPr="00C44D65" w:rsidRDefault="00C44D65" w:rsidP="00C44D65">
            <w:pPr>
              <w:jc w:val="center"/>
              <w:rPr>
                <w:rFonts w:ascii="Times New Roman" w:eastAsiaTheme="minorEastAsia" w:hAnsi="Times New Roman" w:cs="Times New Roman"/>
                <w:sz w:val="20"/>
                <w:szCs w:val="20"/>
              </w:rPr>
            </w:pPr>
            <w:r w:rsidRPr="00C44D65">
              <w:rPr>
                <w:rFonts w:ascii="Times New Roman" w:eastAsia="Arial Unicode MS" w:hAnsi="Times New Roman" w:cs="Times New Roman"/>
                <w:sz w:val="20"/>
                <w:szCs w:val="20"/>
                <w:lang w:eastAsia="zh-CN" w:bidi="hi-IN"/>
              </w:rPr>
              <w:t>59.27</w:t>
            </w:r>
            <w:r>
              <w:rPr>
                <w:rFonts w:ascii="Times New Roman" w:eastAsia="Arial Unicode MS" w:hAnsi="Times New Roman" w:cs="Times New Roman"/>
                <w:sz w:val="20"/>
                <w:szCs w:val="20"/>
                <w:lang w:eastAsia="zh-CN" w:bidi="hi-IN"/>
              </w:rPr>
              <w:t xml:space="preserve"> </w:t>
            </w:r>
            <w:r w:rsidRPr="00C44D65">
              <w:rPr>
                <w:rFonts w:ascii="Times New Roman" w:eastAsia="Arial Unicode MS" w:hAnsi="Times New Roman" w:cs="Times New Roman"/>
                <w:sz w:val="20"/>
                <w:szCs w:val="20"/>
                <w:lang w:eastAsia="zh-CN" w:bidi="hi-IN"/>
              </w:rPr>
              <w:t>(10.1)</w:t>
            </w:r>
          </w:p>
        </w:tc>
        <w:tc>
          <w:tcPr>
            <w:tcW w:w="1674" w:type="dxa"/>
          </w:tcPr>
          <w:p w14:paraId="7D134CFE" w14:textId="67607A2D" w:rsidR="00751469" w:rsidRPr="00C44D65" w:rsidRDefault="00C44D65" w:rsidP="00C44D65">
            <w:pPr>
              <w:widowControl w:val="0"/>
              <w:jc w:val="center"/>
              <w:rPr>
                <w:rFonts w:ascii="Times New Roman" w:eastAsia="Arial Unicode MS" w:hAnsi="Times New Roman" w:cs="Times New Roman"/>
                <w:sz w:val="20"/>
                <w:szCs w:val="20"/>
                <w:lang w:eastAsia="zh-CN" w:bidi="hi-IN"/>
              </w:rPr>
            </w:pPr>
            <w:proofErr w:type="gramStart"/>
            <w:r w:rsidRPr="00C44D65">
              <w:rPr>
                <w:rFonts w:ascii="Times New Roman" w:eastAsia="Arial Unicode MS" w:hAnsi="Times New Roman" w:cs="Times New Roman"/>
                <w:sz w:val="20"/>
                <w:szCs w:val="20"/>
                <w:lang w:eastAsia="zh-CN" w:bidi="hi-IN"/>
              </w:rPr>
              <w:t>F(</w:t>
            </w:r>
            <w:proofErr w:type="gramEnd"/>
            <w:r w:rsidRPr="00C44D65">
              <w:rPr>
                <w:rFonts w:ascii="Times New Roman" w:eastAsia="Arial Unicode MS" w:hAnsi="Times New Roman" w:cs="Times New Roman"/>
                <w:sz w:val="20"/>
                <w:szCs w:val="20"/>
                <w:lang w:eastAsia="zh-CN" w:bidi="hi-IN"/>
              </w:rPr>
              <w:t>1,3195)=34.486</w:t>
            </w:r>
          </w:p>
        </w:tc>
        <w:tc>
          <w:tcPr>
            <w:tcW w:w="848" w:type="dxa"/>
          </w:tcPr>
          <w:p w14:paraId="687DA19C" w14:textId="0AA9C081" w:rsidR="00751469" w:rsidRPr="00C44D65" w:rsidRDefault="003F3215" w:rsidP="00C44D65">
            <w:pPr>
              <w:widowControl w:val="0"/>
              <w:jc w:val="center"/>
              <w:rPr>
                <w:rFonts w:ascii="Times New Roman" w:eastAsia="Arial Unicode MS" w:hAnsi="Times New Roman" w:cs="Times New Roman"/>
                <w:sz w:val="20"/>
                <w:szCs w:val="20"/>
                <w:lang w:eastAsia="zh-CN" w:bidi="hi-IN"/>
              </w:rPr>
            </w:pPr>
            <w:r>
              <w:rPr>
                <w:rFonts w:ascii="Times New Roman" w:eastAsia="Calibri" w:hAnsi="Times New Roman" w:cs="Times New Roman"/>
                <w:sz w:val="20"/>
                <w:szCs w:val="20"/>
              </w:rPr>
              <w:t>&lt;.</w:t>
            </w:r>
            <w:r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C44D65">
              <w:rPr>
                <w:rFonts w:ascii="Times New Roman" w:eastAsia="Arial Unicode MS" w:hAnsi="Times New Roman" w:cs="Times New Roman"/>
                <w:sz w:val="20"/>
                <w:szCs w:val="20"/>
                <w:lang w:eastAsia="zh-CN" w:bidi="hi-IN"/>
              </w:rPr>
              <w:t>*</w:t>
            </w:r>
          </w:p>
        </w:tc>
        <w:tc>
          <w:tcPr>
            <w:tcW w:w="1275" w:type="dxa"/>
          </w:tcPr>
          <w:p w14:paraId="36ADC8E5" w14:textId="4520DEC6" w:rsidR="00751469" w:rsidRPr="00C44D65" w:rsidRDefault="00C44D65" w:rsidP="00C44D65">
            <w:pPr>
              <w:widowControl w:val="0"/>
              <w:jc w:val="center"/>
              <w:rPr>
                <w:rFonts w:ascii="Times New Roman" w:eastAsia="Arial Unicode MS" w:hAnsi="Times New Roman" w:cs="Times New Roman"/>
                <w:sz w:val="20"/>
                <w:szCs w:val="20"/>
                <w:lang w:eastAsia="zh-CN" w:bidi="hi-IN"/>
              </w:rPr>
            </w:pPr>
            <w:r w:rsidRPr="00C44D65">
              <w:rPr>
                <w:rFonts w:ascii="Times New Roman" w:eastAsia="Arial Unicode MS" w:hAnsi="Times New Roman" w:cs="Times New Roman"/>
                <w:sz w:val="20"/>
                <w:szCs w:val="20"/>
                <w:lang w:eastAsia="zh-CN" w:bidi="hi-IN"/>
              </w:rPr>
              <w:t>.660</w:t>
            </w:r>
          </w:p>
        </w:tc>
      </w:tr>
      <w:tr w:rsidR="00751469" w14:paraId="41157529" w14:textId="77777777" w:rsidTr="00C44D65">
        <w:tc>
          <w:tcPr>
            <w:tcW w:w="2545" w:type="dxa"/>
          </w:tcPr>
          <w:p w14:paraId="6E42505C" w14:textId="0720E3B3" w:rsidR="00751469" w:rsidRPr="00C44D65" w:rsidRDefault="00C44D65" w:rsidP="00751469">
            <w:pPr>
              <w:rPr>
                <w:rFonts w:ascii="Times New Roman" w:eastAsiaTheme="minorEastAsia" w:hAnsi="Times New Roman" w:cs="Times New Roman"/>
                <w:sz w:val="20"/>
                <w:szCs w:val="20"/>
              </w:rPr>
            </w:pPr>
            <w:r w:rsidRPr="00C44D65">
              <w:rPr>
                <w:rFonts w:ascii="Times New Roman" w:eastAsiaTheme="minorEastAsia" w:hAnsi="Times New Roman" w:cs="Times New Roman"/>
                <w:sz w:val="20"/>
                <w:szCs w:val="20"/>
              </w:rPr>
              <w:t>Attentional impulsiveness</w:t>
            </w:r>
          </w:p>
        </w:tc>
        <w:tc>
          <w:tcPr>
            <w:tcW w:w="2267" w:type="dxa"/>
          </w:tcPr>
          <w:p w14:paraId="0111D834" w14:textId="747C8857" w:rsidR="00751469" w:rsidRPr="00C44D65" w:rsidRDefault="00C44D65" w:rsidP="00C44D65">
            <w:pPr>
              <w:widowControl w:val="0"/>
              <w:jc w:val="center"/>
              <w:rPr>
                <w:rFonts w:ascii="Times New Roman" w:eastAsia="Arial Unicode MS" w:hAnsi="Times New Roman" w:cs="Times New Roman"/>
                <w:sz w:val="20"/>
                <w:szCs w:val="20"/>
                <w:lang w:eastAsia="zh-CN" w:bidi="hi-IN"/>
              </w:rPr>
            </w:pPr>
            <w:r w:rsidRPr="00C44D65">
              <w:rPr>
                <w:rFonts w:ascii="Times New Roman" w:eastAsia="Arial Unicode MS" w:hAnsi="Times New Roman" w:cs="Times New Roman"/>
                <w:sz w:val="20"/>
                <w:szCs w:val="20"/>
                <w:lang w:eastAsia="zh-CN" w:bidi="hi-IN"/>
              </w:rPr>
              <w:t>18.84</w:t>
            </w:r>
            <w:r>
              <w:rPr>
                <w:rFonts w:ascii="Times New Roman" w:eastAsia="Arial Unicode MS" w:hAnsi="Times New Roman" w:cs="Times New Roman"/>
                <w:sz w:val="20"/>
                <w:szCs w:val="20"/>
                <w:lang w:eastAsia="zh-CN" w:bidi="hi-IN"/>
              </w:rPr>
              <w:t xml:space="preserve"> </w:t>
            </w:r>
            <w:r w:rsidRPr="00C44D65">
              <w:rPr>
                <w:rFonts w:ascii="Times New Roman" w:eastAsia="Arial Unicode MS" w:hAnsi="Times New Roman" w:cs="Times New Roman"/>
                <w:sz w:val="20"/>
                <w:szCs w:val="20"/>
                <w:lang w:eastAsia="zh-CN" w:bidi="hi-IN"/>
              </w:rPr>
              <w:t>(4.5)</w:t>
            </w:r>
          </w:p>
        </w:tc>
        <w:tc>
          <w:tcPr>
            <w:tcW w:w="2159" w:type="dxa"/>
          </w:tcPr>
          <w:p w14:paraId="24A00342" w14:textId="688772DB" w:rsidR="00751469" w:rsidRPr="00C44D65" w:rsidRDefault="00C44D65" w:rsidP="00C44D65">
            <w:pPr>
              <w:jc w:val="center"/>
              <w:rPr>
                <w:rFonts w:ascii="Times New Roman" w:eastAsiaTheme="minorEastAsia" w:hAnsi="Times New Roman" w:cs="Times New Roman"/>
                <w:sz w:val="20"/>
                <w:szCs w:val="20"/>
              </w:rPr>
            </w:pPr>
            <w:r w:rsidRPr="00C44D65">
              <w:rPr>
                <w:rFonts w:ascii="Times New Roman" w:eastAsia="Arial Unicode MS" w:hAnsi="Times New Roman" w:cs="Times New Roman"/>
                <w:sz w:val="20"/>
                <w:szCs w:val="20"/>
                <w:lang w:eastAsia="zh-CN" w:bidi="hi-IN"/>
              </w:rPr>
              <w:t>16.14</w:t>
            </w:r>
            <w:r>
              <w:rPr>
                <w:rFonts w:ascii="Times New Roman" w:eastAsia="Arial Unicode MS" w:hAnsi="Times New Roman" w:cs="Times New Roman"/>
                <w:sz w:val="20"/>
                <w:szCs w:val="20"/>
                <w:lang w:eastAsia="zh-CN" w:bidi="hi-IN"/>
              </w:rPr>
              <w:t xml:space="preserve"> </w:t>
            </w:r>
            <w:r w:rsidRPr="00C44D65">
              <w:rPr>
                <w:rFonts w:ascii="Times New Roman" w:eastAsia="Arial Unicode MS" w:hAnsi="Times New Roman" w:cs="Times New Roman"/>
                <w:sz w:val="20"/>
                <w:szCs w:val="20"/>
                <w:lang w:eastAsia="zh-CN" w:bidi="hi-IN"/>
              </w:rPr>
              <w:t>(3.9)</w:t>
            </w:r>
          </w:p>
        </w:tc>
        <w:tc>
          <w:tcPr>
            <w:tcW w:w="1674" w:type="dxa"/>
          </w:tcPr>
          <w:p w14:paraId="29A9AF94" w14:textId="2F4E2223" w:rsidR="00751469" w:rsidRPr="00C44D65" w:rsidRDefault="00C44D65" w:rsidP="00C44D65">
            <w:pPr>
              <w:widowControl w:val="0"/>
              <w:jc w:val="center"/>
              <w:rPr>
                <w:rFonts w:ascii="Times New Roman" w:eastAsia="Arial Unicode MS" w:hAnsi="Times New Roman" w:cs="Times New Roman"/>
                <w:sz w:val="20"/>
                <w:szCs w:val="20"/>
                <w:lang w:eastAsia="zh-CN" w:bidi="hi-IN"/>
              </w:rPr>
            </w:pPr>
            <w:proofErr w:type="gramStart"/>
            <w:r w:rsidRPr="00C44D65">
              <w:rPr>
                <w:rFonts w:ascii="Times New Roman" w:eastAsia="Arial Unicode MS" w:hAnsi="Times New Roman" w:cs="Times New Roman"/>
                <w:sz w:val="20"/>
                <w:szCs w:val="20"/>
                <w:lang w:eastAsia="zh-CN" w:bidi="hi-IN"/>
              </w:rPr>
              <w:t>F(</w:t>
            </w:r>
            <w:proofErr w:type="gramEnd"/>
            <w:r w:rsidRPr="00C44D65">
              <w:rPr>
                <w:rFonts w:ascii="Times New Roman" w:eastAsia="Arial Unicode MS" w:hAnsi="Times New Roman" w:cs="Times New Roman"/>
                <w:sz w:val="20"/>
                <w:szCs w:val="20"/>
                <w:lang w:eastAsia="zh-CN" w:bidi="hi-IN"/>
              </w:rPr>
              <w:t>1,3288)=37.706</w:t>
            </w:r>
          </w:p>
        </w:tc>
        <w:tc>
          <w:tcPr>
            <w:tcW w:w="848" w:type="dxa"/>
          </w:tcPr>
          <w:p w14:paraId="6DC1935F" w14:textId="291141FC" w:rsidR="00751469" w:rsidRPr="00C44D65" w:rsidRDefault="003F3215" w:rsidP="00C44D65">
            <w:pPr>
              <w:widowControl w:val="0"/>
              <w:jc w:val="center"/>
              <w:rPr>
                <w:rFonts w:ascii="Times New Roman" w:eastAsia="Arial Unicode MS" w:hAnsi="Times New Roman" w:cs="Times New Roman"/>
                <w:sz w:val="20"/>
                <w:szCs w:val="20"/>
                <w:lang w:eastAsia="zh-CN" w:bidi="hi-IN"/>
              </w:rPr>
            </w:pPr>
            <w:r>
              <w:rPr>
                <w:rFonts w:ascii="Times New Roman" w:eastAsia="Calibri" w:hAnsi="Times New Roman" w:cs="Times New Roman"/>
                <w:sz w:val="20"/>
                <w:szCs w:val="20"/>
              </w:rPr>
              <w:t>&lt;.</w:t>
            </w:r>
            <w:r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C44D65">
              <w:rPr>
                <w:rFonts w:ascii="Times New Roman" w:eastAsia="Arial Unicode MS" w:hAnsi="Times New Roman" w:cs="Times New Roman"/>
                <w:sz w:val="20"/>
                <w:szCs w:val="20"/>
                <w:lang w:eastAsia="zh-CN" w:bidi="hi-IN"/>
              </w:rPr>
              <w:t>*</w:t>
            </w:r>
          </w:p>
        </w:tc>
        <w:tc>
          <w:tcPr>
            <w:tcW w:w="1275" w:type="dxa"/>
          </w:tcPr>
          <w:p w14:paraId="363F9A76" w14:textId="4FCBF95F" w:rsidR="00751469" w:rsidRPr="00C44D65" w:rsidRDefault="00C44D65" w:rsidP="00C44D65">
            <w:pPr>
              <w:widowControl w:val="0"/>
              <w:jc w:val="center"/>
              <w:rPr>
                <w:rFonts w:ascii="Times New Roman" w:eastAsia="Arial Unicode MS" w:hAnsi="Times New Roman" w:cs="Times New Roman"/>
                <w:sz w:val="20"/>
                <w:szCs w:val="20"/>
                <w:lang w:eastAsia="zh-CN" w:bidi="hi-IN"/>
              </w:rPr>
            </w:pPr>
            <w:r w:rsidRPr="00C44D65">
              <w:rPr>
                <w:rFonts w:ascii="Times New Roman" w:eastAsia="Arial Unicode MS" w:hAnsi="Times New Roman" w:cs="Times New Roman"/>
                <w:sz w:val="20"/>
                <w:szCs w:val="20"/>
                <w:lang w:eastAsia="zh-CN" w:bidi="hi-IN"/>
              </w:rPr>
              <w:t>.683</w:t>
            </w:r>
          </w:p>
        </w:tc>
      </w:tr>
      <w:tr w:rsidR="00751469" w14:paraId="1C62727F" w14:textId="77777777" w:rsidTr="00C44D65">
        <w:tc>
          <w:tcPr>
            <w:tcW w:w="2545" w:type="dxa"/>
          </w:tcPr>
          <w:p w14:paraId="6F3C8CFE" w14:textId="76CCCE99" w:rsidR="00751469" w:rsidRPr="00C44D65" w:rsidRDefault="00C44D65" w:rsidP="00751469">
            <w:pPr>
              <w:rPr>
                <w:rFonts w:ascii="Times New Roman" w:eastAsiaTheme="minorEastAsia" w:hAnsi="Times New Roman" w:cs="Times New Roman"/>
                <w:sz w:val="20"/>
                <w:szCs w:val="20"/>
              </w:rPr>
            </w:pPr>
            <w:r w:rsidRPr="00C44D65">
              <w:rPr>
                <w:rFonts w:ascii="Times New Roman" w:eastAsiaTheme="minorEastAsia" w:hAnsi="Times New Roman" w:cs="Times New Roman"/>
                <w:sz w:val="20"/>
                <w:szCs w:val="20"/>
              </w:rPr>
              <w:lastRenderedPageBreak/>
              <w:t>Non-planning impulsiveness</w:t>
            </w:r>
          </w:p>
        </w:tc>
        <w:tc>
          <w:tcPr>
            <w:tcW w:w="2267" w:type="dxa"/>
          </w:tcPr>
          <w:p w14:paraId="00F9EA15" w14:textId="003ED5B4" w:rsidR="00751469" w:rsidRPr="00C44D65" w:rsidRDefault="00C44D65" w:rsidP="00C44D65">
            <w:pPr>
              <w:widowControl w:val="0"/>
              <w:jc w:val="center"/>
              <w:rPr>
                <w:rFonts w:ascii="Times New Roman" w:eastAsia="Arial Unicode MS" w:hAnsi="Times New Roman" w:cs="Times New Roman"/>
                <w:sz w:val="20"/>
                <w:szCs w:val="20"/>
                <w:lang w:eastAsia="zh-CN" w:bidi="hi-IN"/>
              </w:rPr>
            </w:pPr>
            <w:r w:rsidRPr="00C44D65">
              <w:rPr>
                <w:rFonts w:ascii="Times New Roman" w:eastAsia="Arial Unicode MS" w:hAnsi="Times New Roman" w:cs="Times New Roman"/>
                <w:sz w:val="20"/>
                <w:szCs w:val="20"/>
                <w:lang w:eastAsia="zh-CN" w:bidi="hi-IN"/>
              </w:rPr>
              <w:t>25.51</w:t>
            </w:r>
            <w:r>
              <w:rPr>
                <w:rFonts w:ascii="Times New Roman" w:eastAsia="Arial Unicode MS" w:hAnsi="Times New Roman" w:cs="Times New Roman"/>
                <w:sz w:val="20"/>
                <w:szCs w:val="20"/>
                <w:lang w:eastAsia="zh-CN" w:bidi="hi-IN"/>
              </w:rPr>
              <w:t xml:space="preserve"> </w:t>
            </w:r>
            <w:r w:rsidRPr="00C44D65">
              <w:rPr>
                <w:rFonts w:ascii="Times New Roman" w:eastAsia="Arial Unicode MS" w:hAnsi="Times New Roman" w:cs="Times New Roman"/>
                <w:sz w:val="20"/>
                <w:szCs w:val="20"/>
                <w:lang w:eastAsia="zh-CN" w:bidi="hi-IN"/>
              </w:rPr>
              <w:t>(4.6)</w:t>
            </w:r>
          </w:p>
        </w:tc>
        <w:tc>
          <w:tcPr>
            <w:tcW w:w="2159" w:type="dxa"/>
          </w:tcPr>
          <w:p w14:paraId="0E95DA35" w14:textId="5D9B9977" w:rsidR="00751469" w:rsidRPr="00C44D65" w:rsidRDefault="00C44D65" w:rsidP="00C44D65">
            <w:pPr>
              <w:widowControl w:val="0"/>
              <w:jc w:val="center"/>
              <w:rPr>
                <w:rFonts w:ascii="Times New Roman" w:eastAsia="Arial Unicode MS" w:hAnsi="Times New Roman" w:cs="Times New Roman"/>
                <w:sz w:val="20"/>
                <w:szCs w:val="20"/>
                <w:lang w:eastAsia="zh-CN" w:bidi="hi-IN"/>
              </w:rPr>
            </w:pPr>
            <w:r w:rsidRPr="00C44D65">
              <w:rPr>
                <w:rFonts w:ascii="Times New Roman" w:eastAsia="Arial Unicode MS" w:hAnsi="Times New Roman" w:cs="Times New Roman"/>
                <w:sz w:val="20"/>
                <w:szCs w:val="20"/>
                <w:lang w:eastAsia="zh-CN" w:bidi="hi-IN"/>
              </w:rPr>
              <w:t>22.87</w:t>
            </w:r>
            <w:r>
              <w:rPr>
                <w:rFonts w:ascii="Times New Roman" w:eastAsia="Arial Unicode MS" w:hAnsi="Times New Roman" w:cs="Times New Roman"/>
                <w:sz w:val="20"/>
                <w:szCs w:val="20"/>
                <w:lang w:eastAsia="zh-CN" w:bidi="hi-IN"/>
              </w:rPr>
              <w:t xml:space="preserve"> </w:t>
            </w:r>
            <w:r w:rsidRPr="00C44D65">
              <w:rPr>
                <w:rFonts w:ascii="Times New Roman" w:eastAsia="Arial Unicode MS" w:hAnsi="Times New Roman" w:cs="Times New Roman"/>
                <w:sz w:val="20"/>
                <w:szCs w:val="20"/>
                <w:lang w:eastAsia="zh-CN" w:bidi="hi-IN"/>
              </w:rPr>
              <w:t>(4.7)</w:t>
            </w:r>
          </w:p>
        </w:tc>
        <w:tc>
          <w:tcPr>
            <w:tcW w:w="1674" w:type="dxa"/>
          </w:tcPr>
          <w:p w14:paraId="25E0EE09" w14:textId="355B4C13" w:rsidR="00751469" w:rsidRPr="00C44D65" w:rsidRDefault="00C44D65" w:rsidP="00C44D65">
            <w:pPr>
              <w:widowControl w:val="0"/>
              <w:jc w:val="center"/>
              <w:rPr>
                <w:rFonts w:ascii="Times New Roman" w:eastAsia="Arial Unicode MS" w:hAnsi="Times New Roman" w:cs="Times New Roman"/>
                <w:sz w:val="20"/>
                <w:szCs w:val="20"/>
                <w:lang w:eastAsia="zh-CN" w:bidi="hi-IN"/>
              </w:rPr>
            </w:pPr>
            <w:proofErr w:type="gramStart"/>
            <w:r w:rsidRPr="00C44D65">
              <w:rPr>
                <w:rFonts w:ascii="Times New Roman" w:eastAsia="Arial Unicode MS" w:hAnsi="Times New Roman" w:cs="Times New Roman"/>
                <w:sz w:val="20"/>
                <w:szCs w:val="20"/>
                <w:lang w:eastAsia="zh-CN" w:bidi="hi-IN"/>
              </w:rPr>
              <w:t>F(</w:t>
            </w:r>
            <w:proofErr w:type="gramEnd"/>
            <w:r w:rsidRPr="00C44D65">
              <w:rPr>
                <w:rFonts w:ascii="Times New Roman" w:eastAsia="Arial Unicode MS" w:hAnsi="Times New Roman" w:cs="Times New Roman"/>
                <w:sz w:val="20"/>
                <w:szCs w:val="20"/>
                <w:lang w:eastAsia="zh-CN" w:bidi="hi-IN"/>
              </w:rPr>
              <w:t>1,3282)=24.855</w:t>
            </w:r>
          </w:p>
        </w:tc>
        <w:tc>
          <w:tcPr>
            <w:tcW w:w="848" w:type="dxa"/>
          </w:tcPr>
          <w:p w14:paraId="411898E3" w14:textId="79D73F53" w:rsidR="00751469" w:rsidRPr="00C44D65" w:rsidRDefault="003F3215" w:rsidP="00C44D65">
            <w:pPr>
              <w:widowControl w:val="0"/>
              <w:jc w:val="center"/>
              <w:rPr>
                <w:rFonts w:ascii="Times New Roman" w:eastAsia="Arial Unicode MS" w:hAnsi="Times New Roman" w:cs="Times New Roman"/>
                <w:sz w:val="20"/>
                <w:szCs w:val="20"/>
                <w:lang w:eastAsia="zh-CN" w:bidi="hi-IN"/>
              </w:rPr>
            </w:pPr>
            <w:r>
              <w:rPr>
                <w:rFonts w:ascii="Times New Roman" w:eastAsia="Calibri" w:hAnsi="Times New Roman" w:cs="Times New Roman"/>
                <w:sz w:val="20"/>
                <w:szCs w:val="20"/>
              </w:rPr>
              <w:t>&lt;.</w:t>
            </w:r>
            <w:r w:rsidRPr="00F6301B">
              <w:rPr>
                <w:rFonts w:ascii="Times New Roman" w:eastAsia="Calibri" w:hAnsi="Times New Roman" w:cs="Times New Roman"/>
                <w:sz w:val="20"/>
                <w:szCs w:val="20"/>
              </w:rPr>
              <w:t>00</w:t>
            </w:r>
            <w:r>
              <w:rPr>
                <w:rFonts w:ascii="Times New Roman" w:eastAsia="Calibri" w:hAnsi="Times New Roman" w:cs="Times New Roman"/>
                <w:sz w:val="20"/>
                <w:szCs w:val="20"/>
              </w:rPr>
              <w:t>1</w:t>
            </w:r>
            <w:r w:rsidR="00C44D65">
              <w:rPr>
                <w:rFonts w:ascii="Times New Roman" w:eastAsia="Arial Unicode MS" w:hAnsi="Times New Roman" w:cs="Times New Roman"/>
                <w:sz w:val="20"/>
                <w:szCs w:val="20"/>
                <w:lang w:eastAsia="zh-CN" w:bidi="hi-IN"/>
              </w:rPr>
              <w:t>*</w:t>
            </w:r>
          </w:p>
        </w:tc>
        <w:tc>
          <w:tcPr>
            <w:tcW w:w="1275" w:type="dxa"/>
          </w:tcPr>
          <w:p w14:paraId="67AE14D7" w14:textId="41EE9966" w:rsidR="00751469" w:rsidRPr="00C44D65" w:rsidRDefault="00C44D65" w:rsidP="00C44D65">
            <w:pPr>
              <w:widowControl w:val="0"/>
              <w:jc w:val="center"/>
              <w:rPr>
                <w:rFonts w:ascii="Times New Roman" w:eastAsia="Arial Unicode MS" w:hAnsi="Times New Roman" w:cs="Times New Roman"/>
                <w:sz w:val="20"/>
                <w:szCs w:val="20"/>
                <w:lang w:eastAsia="zh-CN" w:bidi="hi-IN"/>
              </w:rPr>
            </w:pPr>
            <w:r w:rsidRPr="00C44D65">
              <w:rPr>
                <w:rFonts w:ascii="Times New Roman" w:eastAsia="Arial Unicode MS" w:hAnsi="Times New Roman" w:cs="Times New Roman"/>
                <w:sz w:val="20"/>
                <w:szCs w:val="20"/>
                <w:lang w:eastAsia="zh-CN" w:bidi="hi-IN"/>
              </w:rPr>
              <w:t>.558</w:t>
            </w:r>
          </w:p>
        </w:tc>
      </w:tr>
      <w:tr w:rsidR="00751469" w14:paraId="77DB441B" w14:textId="77777777" w:rsidTr="00C44D65">
        <w:tc>
          <w:tcPr>
            <w:tcW w:w="2545" w:type="dxa"/>
          </w:tcPr>
          <w:p w14:paraId="07CF2551" w14:textId="0645322C" w:rsidR="00751469" w:rsidRPr="00C44D65" w:rsidRDefault="00C44D65" w:rsidP="00751469">
            <w:pPr>
              <w:rPr>
                <w:rFonts w:ascii="Times New Roman" w:eastAsiaTheme="minorEastAsia" w:hAnsi="Times New Roman" w:cs="Times New Roman"/>
                <w:sz w:val="20"/>
                <w:szCs w:val="20"/>
              </w:rPr>
            </w:pPr>
            <w:r w:rsidRPr="00C44D65">
              <w:rPr>
                <w:rFonts w:ascii="Times New Roman" w:eastAsiaTheme="minorEastAsia" w:hAnsi="Times New Roman" w:cs="Times New Roman"/>
                <w:sz w:val="20"/>
                <w:szCs w:val="20"/>
              </w:rPr>
              <w:t>Motor impulsiveness</w:t>
            </w:r>
          </w:p>
        </w:tc>
        <w:tc>
          <w:tcPr>
            <w:tcW w:w="2267" w:type="dxa"/>
          </w:tcPr>
          <w:p w14:paraId="30D74A3A" w14:textId="797FA4EF" w:rsidR="00751469" w:rsidRPr="00C44D65" w:rsidRDefault="00C44D65" w:rsidP="00C44D65">
            <w:pPr>
              <w:jc w:val="center"/>
              <w:rPr>
                <w:rFonts w:ascii="Times New Roman" w:eastAsiaTheme="minorEastAsia" w:hAnsi="Times New Roman" w:cs="Times New Roman"/>
                <w:sz w:val="20"/>
                <w:szCs w:val="20"/>
              </w:rPr>
            </w:pPr>
            <w:r w:rsidRPr="00C44D65">
              <w:rPr>
                <w:rFonts w:ascii="Times New Roman" w:eastAsia="Arial Unicode MS" w:hAnsi="Times New Roman" w:cs="Times New Roman"/>
                <w:sz w:val="20"/>
                <w:szCs w:val="20"/>
                <w:lang w:eastAsia="zh-CN" w:bidi="hi-IN"/>
              </w:rPr>
              <w:t>21.77</w:t>
            </w:r>
            <w:r>
              <w:rPr>
                <w:rFonts w:ascii="Times New Roman" w:eastAsia="Arial Unicode MS" w:hAnsi="Times New Roman" w:cs="Times New Roman"/>
                <w:sz w:val="20"/>
                <w:szCs w:val="20"/>
                <w:lang w:eastAsia="zh-CN" w:bidi="hi-IN"/>
              </w:rPr>
              <w:t xml:space="preserve"> </w:t>
            </w:r>
            <w:r w:rsidRPr="00C44D65">
              <w:rPr>
                <w:rFonts w:ascii="Times New Roman" w:eastAsia="Arial Unicode MS" w:hAnsi="Times New Roman" w:cs="Times New Roman"/>
                <w:sz w:val="20"/>
                <w:szCs w:val="20"/>
                <w:lang w:eastAsia="zh-CN" w:bidi="hi-IN"/>
              </w:rPr>
              <w:t>(4.3)</w:t>
            </w:r>
          </w:p>
        </w:tc>
        <w:tc>
          <w:tcPr>
            <w:tcW w:w="2159" w:type="dxa"/>
          </w:tcPr>
          <w:p w14:paraId="4E475695" w14:textId="30E75E95" w:rsidR="00751469" w:rsidRPr="00C44D65" w:rsidRDefault="00C44D65" w:rsidP="00C44D65">
            <w:pPr>
              <w:jc w:val="center"/>
              <w:rPr>
                <w:rFonts w:ascii="Times New Roman" w:eastAsiaTheme="minorEastAsia" w:hAnsi="Times New Roman" w:cs="Times New Roman"/>
                <w:sz w:val="20"/>
                <w:szCs w:val="20"/>
              </w:rPr>
            </w:pPr>
            <w:r w:rsidRPr="00C44D65">
              <w:rPr>
                <w:rFonts w:ascii="Times New Roman" w:eastAsia="Arial Unicode MS" w:hAnsi="Times New Roman" w:cs="Times New Roman"/>
                <w:sz w:val="20"/>
                <w:szCs w:val="20"/>
                <w:lang w:eastAsia="zh-CN" w:bidi="hi-IN"/>
              </w:rPr>
              <w:t>20.29</w:t>
            </w:r>
            <w:r>
              <w:rPr>
                <w:rFonts w:ascii="Times New Roman" w:eastAsia="Arial Unicode MS" w:hAnsi="Times New Roman" w:cs="Times New Roman"/>
                <w:sz w:val="20"/>
                <w:szCs w:val="20"/>
                <w:lang w:eastAsia="zh-CN" w:bidi="hi-IN"/>
              </w:rPr>
              <w:t xml:space="preserve"> </w:t>
            </w:r>
            <w:r w:rsidRPr="00C44D65">
              <w:rPr>
                <w:rFonts w:ascii="Times New Roman" w:eastAsia="Arial Unicode MS" w:hAnsi="Times New Roman" w:cs="Times New Roman"/>
                <w:sz w:val="20"/>
                <w:szCs w:val="20"/>
                <w:lang w:eastAsia="zh-CN" w:bidi="hi-IN"/>
              </w:rPr>
              <w:t>(3.9)</w:t>
            </w:r>
          </w:p>
        </w:tc>
        <w:tc>
          <w:tcPr>
            <w:tcW w:w="1674" w:type="dxa"/>
          </w:tcPr>
          <w:p w14:paraId="21D15EDC" w14:textId="2310352A" w:rsidR="00751469" w:rsidRPr="00C44D65" w:rsidRDefault="00C44D65" w:rsidP="00C44D65">
            <w:pPr>
              <w:jc w:val="center"/>
              <w:rPr>
                <w:rFonts w:ascii="Times New Roman" w:eastAsiaTheme="minorEastAsia" w:hAnsi="Times New Roman" w:cs="Times New Roman"/>
                <w:sz w:val="20"/>
                <w:szCs w:val="20"/>
              </w:rPr>
            </w:pPr>
            <w:proofErr w:type="gramStart"/>
            <w:r w:rsidRPr="00C44D65">
              <w:rPr>
                <w:rFonts w:ascii="Times New Roman" w:eastAsia="Arial Unicode MS" w:hAnsi="Times New Roman" w:cs="Times New Roman"/>
                <w:sz w:val="20"/>
                <w:szCs w:val="20"/>
                <w:lang w:eastAsia="zh-CN" w:bidi="hi-IN"/>
              </w:rPr>
              <w:t>F(</w:t>
            </w:r>
            <w:proofErr w:type="gramEnd"/>
            <w:r w:rsidRPr="00C44D65">
              <w:rPr>
                <w:rFonts w:ascii="Times New Roman" w:eastAsia="Arial Unicode MS" w:hAnsi="Times New Roman" w:cs="Times New Roman"/>
                <w:sz w:val="20"/>
                <w:szCs w:val="20"/>
                <w:lang w:eastAsia="zh-CN" w:bidi="hi-IN"/>
              </w:rPr>
              <w:t>1,3296)=11.113</w:t>
            </w:r>
          </w:p>
        </w:tc>
        <w:tc>
          <w:tcPr>
            <w:tcW w:w="848" w:type="dxa"/>
          </w:tcPr>
          <w:p w14:paraId="7830D165" w14:textId="53AF558B" w:rsidR="00751469" w:rsidRPr="00C44D65" w:rsidRDefault="00C44D65" w:rsidP="00C44D65">
            <w:pPr>
              <w:jc w:val="center"/>
              <w:rPr>
                <w:rFonts w:ascii="Times New Roman" w:eastAsiaTheme="minorEastAsia" w:hAnsi="Times New Roman" w:cs="Times New Roman"/>
                <w:sz w:val="20"/>
                <w:szCs w:val="20"/>
              </w:rPr>
            </w:pPr>
            <w:r w:rsidRPr="00C44D65">
              <w:rPr>
                <w:rFonts w:ascii="Times New Roman" w:eastAsia="Arial Unicode MS" w:hAnsi="Times New Roman" w:cs="Times New Roman"/>
                <w:sz w:val="20"/>
                <w:szCs w:val="20"/>
                <w:lang w:eastAsia="zh-CN" w:bidi="hi-IN"/>
              </w:rPr>
              <w:t>.001</w:t>
            </w:r>
            <w:r>
              <w:rPr>
                <w:rFonts w:ascii="Times New Roman" w:eastAsia="Arial Unicode MS" w:hAnsi="Times New Roman" w:cs="Times New Roman"/>
                <w:sz w:val="20"/>
                <w:szCs w:val="20"/>
                <w:lang w:eastAsia="zh-CN" w:bidi="hi-IN"/>
              </w:rPr>
              <w:t>*</w:t>
            </w:r>
          </w:p>
        </w:tc>
        <w:tc>
          <w:tcPr>
            <w:tcW w:w="1275" w:type="dxa"/>
          </w:tcPr>
          <w:p w14:paraId="03DE07BB" w14:textId="215AD716" w:rsidR="00751469" w:rsidRPr="00C44D65" w:rsidRDefault="00C44D65" w:rsidP="00C44D65">
            <w:pPr>
              <w:jc w:val="center"/>
              <w:rPr>
                <w:rFonts w:ascii="Times New Roman" w:eastAsiaTheme="minorEastAsia" w:hAnsi="Times New Roman" w:cs="Times New Roman"/>
                <w:sz w:val="20"/>
                <w:szCs w:val="20"/>
              </w:rPr>
            </w:pPr>
            <w:r w:rsidRPr="00C44D65">
              <w:rPr>
                <w:rFonts w:ascii="Times New Roman" w:eastAsia="Arial Unicode MS" w:hAnsi="Times New Roman" w:cs="Times New Roman"/>
                <w:sz w:val="20"/>
                <w:szCs w:val="20"/>
                <w:lang w:eastAsia="zh-CN" w:bidi="hi-IN"/>
              </w:rPr>
              <w:t>.378</w:t>
            </w:r>
          </w:p>
        </w:tc>
      </w:tr>
    </w:tbl>
    <w:p w14:paraId="5467B9E7" w14:textId="49E7AC14" w:rsidR="00751469" w:rsidRDefault="00C44D65" w:rsidP="00B629BB">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Data refer to mean and (standard deviation).</w:t>
      </w:r>
    </w:p>
    <w:p w14:paraId="57C16583" w14:textId="1C882A05" w:rsidR="00C44D65" w:rsidRPr="00C44D65" w:rsidRDefault="00C44D65" w:rsidP="00B629BB">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w:t>
      </w:r>
      <w:r w:rsidRPr="00520D2C">
        <w:rPr>
          <w:rFonts w:ascii="Times New Roman" w:eastAsiaTheme="minorEastAsia" w:hAnsi="Times New Roman" w:cs="Times New Roman"/>
          <w:i/>
          <w:iCs/>
          <w:sz w:val="22"/>
          <w:szCs w:val="22"/>
        </w:rPr>
        <w:t>P</w:t>
      </w:r>
      <w:r>
        <w:rPr>
          <w:rFonts w:ascii="Times New Roman" w:eastAsiaTheme="minorEastAsia" w:hAnsi="Times New Roman" w:cs="Times New Roman"/>
          <w:sz w:val="22"/>
          <w:szCs w:val="22"/>
        </w:rPr>
        <w:t xml:space="preserve"> value significant with Bonferroni correction; critical </w:t>
      </w:r>
      <w:r>
        <w:rPr>
          <w:rFonts w:ascii="Times New Roman" w:eastAsiaTheme="minorEastAsia" w:hAnsi="Times New Roman" w:cs="Times New Roman"/>
          <w:i/>
          <w:iCs/>
          <w:sz w:val="22"/>
          <w:szCs w:val="22"/>
        </w:rPr>
        <w:t>P</w:t>
      </w:r>
      <w:r>
        <w:rPr>
          <w:rFonts w:ascii="Times New Roman" w:eastAsiaTheme="minorEastAsia" w:hAnsi="Times New Roman" w:cs="Times New Roman"/>
          <w:sz w:val="22"/>
          <w:szCs w:val="22"/>
        </w:rPr>
        <w:t xml:space="preserve"> = .05/5 = .01.</w:t>
      </w:r>
    </w:p>
    <w:p w14:paraId="42952020" w14:textId="03F790E4" w:rsidR="00000F78" w:rsidRPr="00623151" w:rsidRDefault="00000F78" w:rsidP="0043693E">
      <w:pPr>
        <w:rPr>
          <w:rFonts w:ascii="Times New Roman" w:eastAsiaTheme="minorEastAsia" w:hAnsi="Times New Roman" w:cs="Times New Roman"/>
          <w:b/>
          <w:bCs/>
          <w:sz w:val="22"/>
          <w:szCs w:val="22"/>
        </w:rPr>
      </w:pPr>
      <w:r w:rsidRPr="00000F78">
        <w:rPr>
          <w:rFonts w:ascii="Times New Roman" w:eastAsiaTheme="minorEastAsia" w:hAnsi="Times New Roman" w:cs="Times New Roman"/>
          <w:sz w:val="22"/>
          <w:szCs w:val="22"/>
        </w:rPr>
        <w:t>BIS-11 = Barratt</w:t>
      </w:r>
      <w:r w:rsidRPr="00515B26">
        <w:rPr>
          <w:rFonts w:ascii="Times New Roman" w:eastAsiaTheme="minorEastAsia" w:hAnsi="Times New Roman" w:cs="Times New Roman"/>
          <w:sz w:val="22"/>
          <w:szCs w:val="22"/>
        </w:rPr>
        <w:t xml:space="preserve"> Impulsiveness Scale, Version 1</w:t>
      </w:r>
      <w:r>
        <w:rPr>
          <w:rFonts w:ascii="Times New Roman" w:eastAsiaTheme="minorEastAsia" w:hAnsi="Times New Roman" w:cs="Times New Roman"/>
          <w:sz w:val="22"/>
          <w:szCs w:val="22"/>
        </w:rPr>
        <w:t xml:space="preserve">1; CHI-T = </w:t>
      </w:r>
      <w:r w:rsidRPr="00515B26">
        <w:rPr>
          <w:rFonts w:ascii="Times New Roman" w:eastAsiaTheme="minorEastAsia" w:hAnsi="Times New Roman" w:cs="Times New Roman"/>
          <w:sz w:val="22"/>
          <w:szCs w:val="22"/>
        </w:rPr>
        <w:t>Cambridge-Chicago Compulsivity Trait Scale</w:t>
      </w:r>
      <w:r>
        <w:rPr>
          <w:rFonts w:ascii="Times New Roman" w:eastAsiaTheme="minorEastAsia" w:hAnsi="Times New Roman" w:cs="Times New Roman"/>
          <w:sz w:val="22"/>
          <w:szCs w:val="22"/>
        </w:rPr>
        <w:t>.</w:t>
      </w:r>
    </w:p>
    <w:sectPr w:rsidR="00000F78" w:rsidRPr="00623151" w:rsidSect="0043693E">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0C34D" w14:textId="77777777" w:rsidR="00C07F1A" w:rsidRDefault="00C07F1A" w:rsidP="0058300D">
      <w:r>
        <w:separator/>
      </w:r>
    </w:p>
  </w:endnote>
  <w:endnote w:type="continuationSeparator" w:id="0">
    <w:p w14:paraId="5C62A28B" w14:textId="77777777" w:rsidR="00C07F1A" w:rsidRDefault="00C07F1A" w:rsidP="0058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4696038"/>
      <w:docPartObj>
        <w:docPartGallery w:val="Page Numbers (Bottom of Page)"/>
        <w:docPartUnique/>
      </w:docPartObj>
    </w:sdtPr>
    <w:sdtEndPr>
      <w:rPr>
        <w:rStyle w:val="PageNumber"/>
      </w:rPr>
    </w:sdtEndPr>
    <w:sdtContent>
      <w:p w14:paraId="39544B98" w14:textId="74EA4BD1" w:rsidR="00B014A5" w:rsidRDefault="00B014A5" w:rsidP="000569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7A6BC" w14:textId="77777777" w:rsidR="00B014A5" w:rsidRDefault="00B014A5" w:rsidP="005830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8627020"/>
      <w:docPartObj>
        <w:docPartGallery w:val="Page Numbers (Bottom of Page)"/>
        <w:docPartUnique/>
      </w:docPartObj>
    </w:sdtPr>
    <w:sdtEndPr>
      <w:rPr>
        <w:rStyle w:val="PageNumber"/>
      </w:rPr>
    </w:sdtEndPr>
    <w:sdtContent>
      <w:p w14:paraId="33BE03A3" w14:textId="59333D2E" w:rsidR="00B014A5" w:rsidRDefault="00B014A5" w:rsidP="000569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0138">
          <w:rPr>
            <w:rStyle w:val="PageNumber"/>
            <w:noProof/>
          </w:rPr>
          <w:t>11</w:t>
        </w:r>
        <w:r>
          <w:rPr>
            <w:rStyle w:val="PageNumber"/>
          </w:rPr>
          <w:fldChar w:fldCharType="end"/>
        </w:r>
      </w:p>
    </w:sdtContent>
  </w:sdt>
  <w:p w14:paraId="64EB58E4" w14:textId="77777777" w:rsidR="00B014A5" w:rsidRDefault="00B014A5" w:rsidP="005830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524EA" w14:textId="77777777" w:rsidR="00C07F1A" w:rsidRDefault="00C07F1A" w:rsidP="0058300D">
      <w:r>
        <w:separator/>
      </w:r>
    </w:p>
  </w:footnote>
  <w:footnote w:type="continuationSeparator" w:id="0">
    <w:p w14:paraId="11758AFE" w14:textId="77777777" w:rsidR="00C07F1A" w:rsidRDefault="00C07F1A" w:rsidP="0058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612"/>
    <w:multiLevelType w:val="hybridMultilevel"/>
    <w:tmpl w:val="17EE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823"/>
    <w:multiLevelType w:val="hybridMultilevel"/>
    <w:tmpl w:val="AF40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767A5"/>
    <w:multiLevelType w:val="hybridMultilevel"/>
    <w:tmpl w:val="6048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7DB0"/>
    <w:multiLevelType w:val="hybridMultilevel"/>
    <w:tmpl w:val="62C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F2D7C"/>
    <w:multiLevelType w:val="hybridMultilevel"/>
    <w:tmpl w:val="B50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04631"/>
    <w:multiLevelType w:val="hybridMultilevel"/>
    <w:tmpl w:val="AB50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64877"/>
    <w:multiLevelType w:val="hybridMultilevel"/>
    <w:tmpl w:val="8F3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85BA2"/>
    <w:multiLevelType w:val="hybridMultilevel"/>
    <w:tmpl w:val="605A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82893"/>
    <w:multiLevelType w:val="hybridMultilevel"/>
    <w:tmpl w:val="FBC2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A3898"/>
    <w:multiLevelType w:val="hybridMultilevel"/>
    <w:tmpl w:val="D82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92F28"/>
    <w:multiLevelType w:val="hybridMultilevel"/>
    <w:tmpl w:val="7EC4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F4B5B"/>
    <w:multiLevelType w:val="hybridMultilevel"/>
    <w:tmpl w:val="546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807D7"/>
    <w:multiLevelType w:val="hybridMultilevel"/>
    <w:tmpl w:val="3D38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114D5"/>
    <w:multiLevelType w:val="hybridMultilevel"/>
    <w:tmpl w:val="784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A106F"/>
    <w:multiLevelType w:val="hybridMultilevel"/>
    <w:tmpl w:val="D940E5F0"/>
    <w:lvl w:ilvl="0" w:tplc="C73E1916">
      <w:start w:val="1074"/>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322114"/>
    <w:multiLevelType w:val="hybridMultilevel"/>
    <w:tmpl w:val="CE46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2"/>
  </w:num>
  <w:num w:numId="5">
    <w:abstractNumId w:val="7"/>
  </w:num>
  <w:num w:numId="6">
    <w:abstractNumId w:val="0"/>
  </w:num>
  <w:num w:numId="7">
    <w:abstractNumId w:val="14"/>
  </w:num>
  <w:num w:numId="8">
    <w:abstractNumId w:val="9"/>
  </w:num>
  <w:num w:numId="9">
    <w:abstractNumId w:val="11"/>
  </w:num>
  <w:num w:numId="10">
    <w:abstractNumId w:val="10"/>
  </w:num>
  <w:num w:numId="11">
    <w:abstractNumId w:val="6"/>
  </w:num>
  <w:num w:numId="12">
    <w:abstractNumId w:val="13"/>
  </w:num>
  <w:num w:numId="13">
    <w:abstractNumId w:val="15"/>
  </w:num>
  <w:num w:numId="14">
    <w:abstractNumId w:val="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0D"/>
    <w:rsid w:val="00000F78"/>
    <w:rsid w:val="00011884"/>
    <w:rsid w:val="0003793A"/>
    <w:rsid w:val="00050DAB"/>
    <w:rsid w:val="0005695C"/>
    <w:rsid w:val="00057AB9"/>
    <w:rsid w:val="00062EAE"/>
    <w:rsid w:val="0006556A"/>
    <w:rsid w:val="000668CE"/>
    <w:rsid w:val="000707CF"/>
    <w:rsid w:val="00072311"/>
    <w:rsid w:val="00075C34"/>
    <w:rsid w:val="00076CC6"/>
    <w:rsid w:val="00076F70"/>
    <w:rsid w:val="00096250"/>
    <w:rsid w:val="000A12BB"/>
    <w:rsid w:val="000A1FFA"/>
    <w:rsid w:val="000B6647"/>
    <w:rsid w:val="000C1033"/>
    <w:rsid w:val="000C5846"/>
    <w:rsid w:val="000D0767"/>
    <w:rsid w:val="000D5B3A"/>
    <w:rsid w:val="000E36D0"/>
    <w:rsid w:val="000E3C66"/>
    <w:rsid w:val="000E6B9F"/>
    <w:rsid w:val="000F5122"/>
    <w:rsid w:val="000F5260"/>
    <w:rsid w:val="000F6AF3"/>
    <w:rsid w:val="001013DD"/>
    <w:rsid w:val="00106E23"/>
    <w:rsid w:val="00107B6C"/>
    <w:rsid w:val="00110FEE"/>
    <w:rsid w:val="00120E02"/>
    <w:rsid w:val="00123CC0"/>
    <w:rsid w:val="001251B3"/>
    <w:rsid w:val="00130312"/>
    <w:rsid w:val="0013064E"/>
    <w:rsid w:val="00134B39"/>
    <w:rsid w:val="00136FFE"/>
    <w:rsid w:val="00137FF6"/>
    <w:rsid w:val="00140A96"/>
    <w:rsid w:val="00150E24"/>
    <w:rsid w:val="00153194"/>
    <w:rsid w:val="00180787"/>
    <w:rsid w:val="00182E60"/>
    <w:rsid w:val="00183005"/>
    <w:rsid w:val="00192E3A"/>
    <w:rsid w:val="001A12F0"/>
    <w:rsid w:val="001A3DA7"/>
    <w:rsid w:val="001E1C08"/>
    <w:rsid w:val="001E3EE1"/>
    <w:rsid w:val="001F1C01"/>
    <w:rsid w:val="001F7293"/>
    <w:rsid w:val="001F777D"/>
    <w:rsid w:val="002067C1"/>
    <w:rsid w:val="00226318"/>
    <w:rsid w:val="002412AF"/>
    <w:rsid w:val="002423FB"/>
    <w:rsid w:val="00242E47"/>
    <w:rsid w:val="00255A3C"/>
    <w:rsid w:val="002621AC"/>
    <w:rsid w:val="0026614F"/>
    <w:rsid w:val="002666F0"/>
    <w:rsid w:val="00271853"/>
    <w:rsid w:val="00272257"/>
    <w:rsid w:val="00272583"/>
    <w:rsid w:val="002775D8"/>
    <w:rsid w:val="00281623"/>
    <w:rsid w:val="00284F0E"/>
    <w:rsid w:val="002930B7"/>
    <w:rsid w:val="00294753"/>
    <w:rsid w:val="002964FB"/>
    <w:rsid w:val="002968CC"/>
    <w:rsid w:val="00297B99"/>
    <w:rsid w:val="002A56CA"/>
    <w:rsid w:val="002A7EFC"/>
    <w:rsid w:val="002B45B3"/>
    <w:rsid w:val="002B53E8"/>
    <w:rsid w:val="002C7FC3"/>
    <w:rsid w:val="002D3F2F"/>
    <w:rsid w:val="002E4D8F"/>
    <w:rsid w:val="002E74E0"/>
    <w:rsid w:val="003047FF"/>
    <w:rsid w:val="00317E04"/>
    <w:rsid w:val="00321551"/>
    <w:rsid w:val="00322E52"/>
    <w:rsid w:val="003264C0"/>
    <w:rsid w:val="003335FB"/>
    <w:rsid w:val="00340A22"/>
    <w:rsid w:val="003424D5"/>
    <w:rsid w:val="003477F2"/>
    <w:rsid w:val="00353AD6"/>
    <w:rsid w:val="00356E77"/>
    <w:rsid w:val="00360699"/>
    <w:rsid w:val="00361A01"/>
    <w:rsid w:val="00364792"/>
    <w:rsid w:val="003655BC"/>
    <w:rsid w:val="00366E6E"/>
    <w:rsid w:val="00380021"/>
    <w:rsid w:val="00381285"/>
    <w:rsid w:val="003850EC"/>
    <w:rsid w:val="0038580E"/>
    <w:rsid w:val="003915FA"/>
    <w:rsid w:val="00393DD1"/>
    <w:rsid w:val="0039707E"/>
    <w:rsid w:val="003A40D2"/>
    <w:rsid w:val="003A4E92"/>
    <w:rsid w:val="003C2979"/>
    <w:rsid w:val="003C375B"/>
    <w:rsid w:val="003C6182"/>
    <w:rsid w:val="003C68C4"/>
    <w:rsid w:val="003D1EC0"/>
    <w:rsid w:val="003E307F"/>
    <w:rsid w:val="003F3215"/>
    <w:rsid w:val="003F6EAB"/>
    <w:rsid w:val="004005E4"/>
    <w:rsid w:val="00401DD3"/>
    <w:rsid w:val="00411D1F"/>
    <w:rsid w:val="00413C41"/>
    <w:rsid w:val="004265C4"/>
    <w:rsid w:val="004275BA"/>
    <w:rsid w:val="0043693E"/>
    <w:rsid w:val="00436AB1"/>
    <w:rsid w:val="00440D63"/>
    <w:rsid w:val="00444710"/>
    <w:rsid w:val="00446487"/>
    <w:rsid w:val="00451B6F"/>
    <w:rsid w:val="00460085"/>
    <w:rsid w:val="004600A6"/>
    <w:rsid w:val="00461D24"/>
    <w:rsid w:val="00462151"/>
    <w:rsid w:val="00464766"/>
    <w:rsid w:val="0046585A"/>
    <w:rsid w:val="00470589"/>
    <w:rsid w:val="0048517F"/>
    <w:rsid w:val="004877BB"/>
    <w:rsid w:val="0049130B"/>
    <w:rsid w:val="00492000"/>
    <w:rsid w:val="004940E9"/>
    <w:rsid w:val="004A140F"/>
    <w:rsid w:val="004A4BA9"/>
    <w:rsid w:val="004A4D02"/>
    <w:rsid w:val="004A65B1"/>
    <w:rsid w:val="004A75B6"/>
    <w:rsid w:val="004B1554"/>
    <w:rsid w:val="004B617D"/>
    <w:rsid w:val="004B7FA8"/>
    <w:rsid w:val="004C3192"/>
    <w:rsid w:val="004C5A38"/>
    <w:rsid w:val="004D4F0E"/>
    <w:rsid w:val="004D7411"/>
    <w:rsid w:val="004E6E97"/>
    <w:rsid w:val="004F024C"/>
    <w:rsid w:val="00500E3C"/>
    <w:rsid w:val="00515B26"/>
    <w:rsid w:val="00517BE8"/>
    <w:rsid w:val="00520D2C"/>
    <w:rsid w:val="005254C9"/>
    <w:rsid w:val="00526974"/>
    <w:rsid w:val="0053116F"/>
    <w:rsid w:val="005368C7"/>
    <w:rsid w:val="0054280E"/>
    <w:rsid w:val="00545ADD"/>
    <w:rsid w:val="00546BC0"/>
    <w:rsid w:val="00557F91"/>
    <w:rsid w:val="0056767E"/>
    <w:rsid w:val="00575D9E"/>
    <w:rsid w:val="00582268"/>
    <w:rsid w:val="0058300D"/>
    <w:rsid w:val="005847B2"/>
    <w:rsid w:val="00595840"/>
    <w:rsid w:val="005A3C0D"/>
    <w:rsid w:val="005A3DBD"/>
    <w:rsid w:val="005B2703"/>
    <w:rsid w:val="005B2F9C"/>
    <w:rsid w:val="005B6D5D"/>
    <w:rsid w:val="005C62A4"/>
    <w:rsid w:val="005E0802"/>
    <w:rsid w:val="005F2661"/>
    <w:rsid w:val="005F44FA"/>
    <w:rsid w:val="00616AB9"/>
    <w:rsid w:val="006178F2"/>
    <w:rsid w:val="006216F1"/>
    <w:rsid w:val="00623151"/>
    <w:rsid w:val="00623ECE"/>
    <w:rsid w:val="00625192"/>
    <w:rsid w:val="006260A8"/>
    <w:rsid w:val="00626785"/>
    <w:rsid w:val="00637D2F"/>
    <w:rsid w:val="0064309E"/>
    <w:rsid w:val="006528EE"/>
    <w:rsid w:val="00657922"/>
    <w:rsid w:val="00657D66"/>
    <w:rsid w:val="00662A50"/>
    <w:rsid w:val="00665350"/>
    <w:rsid w:val="00670E72"/>
    <w:rsid w:val="006729FA"/>
    <w:rsid w:val="00675370"/>
    <w:rsid w:val="00683686"/>
    <w:rsid w:val="00684B91"/>
    <w:rsid w:val="00691C9D"/>
    <w:rsid w:val="00696F7B"/>
    <w:rsid w:val="006A3EB9"/>
    <w:rsid w:val="006A6243"/>
    <w:rsid w:val="006C7480"/>
    <w:rsid w:val="006C7756"/>
    <w:rsid w:val="006D0967"/>
    <w:rsid w:val="006D2254"/>
    <w:rsid w:val="006D4B37"/>
    <w:rsid w:val="00712BD5"/>
    <w:rsid w:val="00713BE9"/>
    <w:rsid w:val="00716B6E"/>
    <w:rsid w:val="00724B46"/>
    <w:rsid w:val="00726866"/>
    <w:rsid w:val="00732891"/>
    <w:rsid w:val="00733367"/>
    <w:rsid w:val="00737FCA"/>
    <w:rsid w:val="00742C92"/>
    <w:rsid w:val="00745082"/>
    <w:rsid w:val="0074554B"/>
    <w:rsid w:val="00751469"/>
    <w:rsid w:val="00757676"/>
    <w:rsid w:val="007620A3"/>
    <w:rsid w:val="0077014A"/>
    <w:rsid w:val="007934DE"/>
    <w:rsid w:val="007A7B2C"/>
    <w:rsid w:val="007B0C0D"/>
    <w:rsid w:val="007D5667"/>
    <w:rsid w:val="007D6429"/>
    <w:rsid w:val="007D6516"/>
    <w:rsid w:val="007E1725"/>
    <w:rsid w:val="007F146E"/>
    <w:rsid w:val="007F1E82"/>
    <w:rsid w:val="007F444A"/>
    <w:rsid w:val="007F79C6"/>
    <w:rsid w:val="00804783"/>
    <w:rsid w:val="00820F11"/>
    <w:rsid w:val="0082220E"/>
    <w:rsid w:val="0082606F"/>
    <w:rsid w:val="00847C78"/>
    <w:rsid w:val="00855AA8"/>
    <w:rsid w:val="00856D22"/>
    <w:rsid w:val="00857F94"/>
    <w:rsid w:val="00874521"/>
    <w:rsid w:val="00886392"/>
    <w:rsid w:val="00890E98"/>
    <w:rsid w:val="008B7260"/>
    <w:rsid w:val="008C2F4B"/>
    <w:rsid w:val="008D5F87"/>
    <w:rsid w:val="008D650C"/>
    <w:rsid w:val="00900D30"/>
    <w:rsid w:val="00904FBB"/>
    <w:rsid w:val="00906B56"/>
    <w:rsid w:val="00910431"/>
    <w:rsid w:val="009152A2"/>
    <w:rsid w:val="00921697"/>
    <w:rsid w:val="00925E20"/>
    <w:rsid w:val="00927E97"/>
    <w:rsid w:val="00934FAD"/>
    <w:rsid w:val="00935BDD"/>
    <w:rsid w:val="0093704A"/>
    <w:rsid w:val="0094688E"/>
    <w:rsid w:val="00952F23"/>
    <w:rsid w:val="00954A01"/>
    <w:rsid w:val="00956ED0"/>
    <w:rsid w:val="00965C56"/>
    <w:rsid w:val="009756BF"/>
    <w:rsid w:val="0098023B"/>
    <w:rsid w:val="009826E9"/>
    <w:rsid w:val="00985AD6"/>
    <w:rsid w:val="009944A1"/>
    <w:rsid w:val="009976F2"/>
    <w:rsid w:val="009B06D5"/>
    <w:rsid w:val="009B0960"/>
    <w:rsid w:val="009B198E"/>
    <w:rsid w:val="009C30BB"/>
    <w:rsid w:val="009D3460"/>
    <w:rsid w:val="009D3EB3"/>
    <w:rsid w:val="009D58D2"/>
    <w:rsid w:val="009E302B"/>
    <w:rsid w:val="009E3F10"/>
    <w:rsid w:val="009F3CDD"/>
    <w:rsid w:val="00A11980"/>
    <w:rsid w:val="00A146E1"/>
    <w:rsid w:val="00A15494"/>
    <w:rsid w:val="00A15818"/>
    <w:rsid w:val="00A1654A"/>
    <w:rsid w:val="00A16E28"/>
    <w:rsid w:val="00A17273"/>
    <w:rsid w:val="00A2143F"/>
    <w:rsid w:val="00A25486"/>
    <w:rsid w:val="00A31AD3"/>
    <w:rsid w:val="00A32C67"/>
    <w:rsid w:val="00A34926"/>
    <w:rsid w:val="00A44B96"/>
    <w:rsid w:val="00A46982"/>
    <w:rsid w:val="00A46D31"/>
    <w:rsid w:val="00A5057A"/>
    <w:rsid w:val="00A520CB"/>
    <w:rsid w:val="00A54A7B"/>
    <w:rsid w:val="00A55AF7"/>
    <w:rsid w:val="00A560B8"/>
    <w:rsid w:val="00A62111"/>
    <w:rsid w:val="00A653D5"/>
    <w:rsid w:val="00A764D9"/>
    <w:rsid w:val="00A817E2"/>
    <w:rsid w:val="00A831DA"/>
    <w:rsid w:val="00A90150"/>
    <w:rsid w:val="00A918B9"/>
    <w:rsid w:val="00A9339A"/>
    <w:rsid w:val="00AA7FAA"/>
    <w:rsid w:val="00AB08CB"/>
    <w:rsid w:val="00AB7F07"/>
    <w:rsid w:val="00AD1463"/>
    <w:rsid w:val="00AD1A88"/>
    <w:rsid w:val="00AE0111"/>
    <w:rsid w:val="00AF0D54"/>
    <w:rsid w:val="00AF47F7"/>
    <w:rsid w:val="00B014A5"/>
    <w:rsid w:val="00B051F8"/>
    <w:rsid w:val="00B2640B"/>
    <w:rsid w:val="00B33FB2"/>
    <w:rsid w:val="00B44D0B"/>
    <w:rsid w:val="00B53C59"/>
    <w:rsid w:val="00B629BB"/>
    <w:rsid w:val="00B63BE2"/>
    <w:rsid w:val="00B71D5F"/>
    <w:rsid w:val="00B86C56"/>
    <w:rsid w:val="00B96492"/>
    <w:rsid w:val="00B972C8"/>
    <w:rsid w:val="00BA066D"/>
    <w:rsid w:val="00BA6B88"/>
    <w:rsid w:val="00BA79F9"/>
    <w:rsid w:val="00BB32E3"/>
    <w:rsid w:val="00BB365F"/>
    <w:rsid w:val="00BB3B4B"/>
    <w:rsid w:val="00BC5D93"/>
    <w:rsid w:val="00BD36B9"/>
    <w:rsid w:val="00BD5927"/>
    <w:rsid w:val="00BD6B79"/>
    <w:rsid w:val="00BE689D"/>
    <w:rsid w:val="00C00C6F"/>
    <w:rsid w:val="00C02C5F"/>
    <w:rsid w:val="00C07F1A"/>
    <w:rsid w:val="00C144F5"/>
    <w:rsid w:val="00C3398D"/>
    <w:rsid w:val="00C33EF1"/>
    <w:rsid w:val="00C349B8"/>
    <w:rsid w:val="00C436FE"/>
    <w:rsid w:val="00C44D65"/>
    <w:rsid w:val="00C45011"/>
    <w:rsid w:val="00C630EE"/>
    <w:rsid w:val="00C72E3C"/>
    <w:rsid w:val="00C74035"/>
    <w:rsid w:val="00C80827"/>
    <w:rsid w:val="00C80CF8"/>
    <w:rsid w:val="00C941D2"/>
    <w:rsid w:val="00C94494"/>
    <w:rsid w:val="00C97A4E"/>
    <w:rsid w:val="00C97F1C"/>
    <w:rsid w:val="00CA231E"/>
    <w:rsid w:val="00CD5F1F"/>
    <w:rsid w:val="00CE434B"/>
    <w:rsid w:val="00CE439A"/>
    <w:rsid w:val="00CE6DF6"/>
    <w:rsid w:val="00D00F1A"/>
    <w:rsid w:val="00D027CE"/>
    <w:rsid w:val="00D03F0A"/>
    <w:rsid w:val="00D06DD3"/>
    <w:rsid w:val="00D1002A"/>
    <w:rsid w:val="00D11B17"/>
    <w:rsid w:val="00D25AB4"/>
    <w:rsid w:val="00D31B1B"/>
    <w:rsid w:val="00D35CC3"/>
    <w:rsid w:val="00D42AEA"/>
    <w:rsid w:val="00D43D65"/>
    <w:rsid w:val="00D50730"/>
    <w:rsid w:val="00D63C7B"/>
    <w:rsid w:val="00D6432F"/>
    <w:rsid w:val="00D65CAD"/>
    <w:rsid w:val="00D66881"/>
    <w:rsid w:val="00D71940"/>
    <w:rsid w:val="00D80C0B"/>
    <w:rsid w:val="00D81809"/>
    <w:rsid w:val="00D83F43"/>
    <w:rsid w:val="00DA0585"/>
    <w:rsid w:val="00DA40D8"/>
    <w:rsid w:val="00DB15D6"/>
    <w:rsid w:val="00DB57D6"/>
    <w:rsid w:val="00DB66AB"/>
    <w:rsid w:val="00DD615E"/>
    <w:rsid w:val="00DD73A4"/>
    <w:rsid w:val="00DE2295"/>
    <w:rsid w:val="00DE2F36"/>
    <w:rsid w:val="00DE2FC8"/>
    <w:rsid w:val="00DF3090"/>
    <w:rsid w:val="00E00801"/>
    <w:rsid w:val="00E12781"/>
    <w:rsid w:val="00E139C1"/>
    <w:rsid w:val="00E162E7"/>
    <w:rsid w:val="00E2548E"/>
    <w:rsid w:val="00E26F22"/>
    <w:rsid w:val="00E30077"/>
    <w:rsid w:val="00E31A12"/>
    <w:rsid w:val="00E32C23"/>
    <w:rsid w:val="00E343B9"/>
    <w:rsid w:val="00E4064B"/>
    <w:rsid w:val="00E53D62"/>
    <w:rsid w:val="00E564C4"/>
    <w:rsid w:val="00E56550"/>
    <w:rsid w:val="00E61BCA"/>
    <w:rsid w:val="00E70F50"/>
    <w:rsid w:val="00E80584"/>
    <w:rsid w:val="00E8746F"/>
    <w:rsid w:val="00E954F0"/>
    <w:rsid w:val="00E96CA6"/>
    <w:rsid w:val="00E97DA6"/>
    <w:rsid w:val="00EB1311"/>
    <w:rsid w:val="00EB587E"/>
    <w:rsid w:val="00EB5A1F"/>
    <w:rsid w:val="00ED365C"/>
    <w:rsid w:val="00ED5393"/>
    <w:rsid w:val="00EE016E"/>
    <w:rsid w:val="00EE5BA3"/>
    <w:rsid w:val="00EF0CDB"/>
    <w:rsid w:val="00EF59CE"/>
    <w:rsid w:val="00F0119D"/>
    <w:rsid w:val="00F03E25"/>
    <w:rsid w:val="00F0640A"/>
    <w:rsid w:val="00F12317"/>
    <w:rsid w:val="00F12E1E"/>
    <w:rsid w:val="00F30138"/>
    <w:rsid w:val="00F33C57"/>
    <w:rsid w:val="00F347CE"/>
    <w:rsid w:val="00F3685D"/>
    <w:rsid w:val="00F37F73"/>
    <w:rsid w:val="00F43878"/>
    <w:rsid w:val="00F44ED6"/>
    <w:rsid w:val="00F45998"/>
    <w:rsid w:val="00F47733"/>
    <w:rsid w:val="00F6301B"/>
    <w:rsid w:val="00F65926"/>
    <w:rsid w:val="00F7017C"/>
    <w:rsid w:val="00F72D63"/>
    <w:rsid w:val="00F7507A"/>
    <w:rsid w:val="00F75FFF"/>
    <w:rsid w:val="00F960C6"/>
    <w:rsid w:val="00FC3637"/>
    <w:rsid w:val="00FC3D50"/>
    <w:rsid w:val="00FD126B"/>
    <w:rsid w:val="00FD1785"/>
    <w:rsid w:val="00FD333A"/>
    <w:rsid w:val="00FD4C62"/>
    <w:rsid w:val="00FD4E89"/>
    <w:rsid w:val="00FF3C27"/>
    <w:rsid w:val="00FF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0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8300D"/>
  </w:style>
  <w:style w:type="paragraph" w:styleId="Footer">
    <w:name w:val="footer"/>
    <w:basedOn w:val="Normal"/>
    <w:link w:val="FooterChar"/>
    <w:uiPriority w:val="99"/>
    <w:unhideWhenUsed/>
    <w:rsid w:val="0058300D"/>
    <w:pPr>
      <w:tabs>
        <w:tab w:val="center" w:pos="4513"/>
        <w:tab w:val="right" w:pos="9026"/>
      </w:tabs>
    </w:pPr>
  </w:style>
  <w:style w:type="character" w:customStyle="1" w:styleId="FooterChar">
    <w:name w:val="Footer Char"/>
    <w:basedOn w:val="DefaultParagraphFont"/>
    <w:link w:val="Footer"/>
    <w:uiPriority w:val="99"/>
    <w:rsid w:val="0058300D"/>
  </w:style>
  <w:style w:type="character" w:styleId="PageNumber">
    <w:name w:val="page number"/>
    <w:basedOn w:val="DefaultParagraphFont"/>
    <w:uiPriority w:val="99"/>
    <w:semiHidden/>
    <w:unhideWhenUsed/>
    <w:rsid w:val="0058300D"/>
  </w:style>
  <w:style w:type="character" w:styleId="PlaceholderText">
    <w:name w:val="Placeholder Text"/>
    <w:basedOn w:val="DefaultParagraphFont"/>
    <w:uiPriority w:val="99"/>
    <w:semiHidden/>
    <w:rsid w:val="00657D66"/>
    <w:rPr>
      <w:color w:val="808080"/>
    </w:rPr>
  </w:style>
  <w:style w:type="character" w:styleId="CommentReference">
    <w:name w:val="annotation reference"/>
    <w:basedOn w:val="DefaultParagraphFont"/>
    <w:uiPriority w:val="99"/>
    <w:semiHidden/>
    <w:unhideWhenUsed/>
    <w:rsid w:val="007934DE"/>
    <w:rPr>
      <w:sz w:val="16"/>
      <w:szCs w:val="16"/>
    </w:rPr>
  </w:style>
  <w:style w:type="paragraph" w:styleId="CommentText">
    <w:name w:val="annotation text"/>
    <w:basedOn w:val="Normal"/>
    <w:link w:val="CommentTextChar"/>
    <w:uiPriority w:val="99"/>
    <w:semiHidden/>
    <w:unhideWhenUsed/>
    <w:rsid w:val="007934DE"/>
    <w:rPr>
      <w:sz w:val="20"/>
      <w:szCs w:val="20"/>
    </w:rPr>
  </w:style>
  <w:style w:type="character" w:customStyle="1" w:styleId="CommentTextChar">
    <w:name w:val="Comment Text Char"/>
    <w:basedOn w:val="DefaultParagraphFont"/>
    <w:link w:val="CommentText"/>
    <w:uiPriority w:val="99"/>
    <w:semiHidden/>
    <w:rsid w:val="007934DE"/>
    <w:rPr>
      <w:sz w:val="20"/>
      <w:szCs w:val="20"/>
    </w:rPr>
  </w:style>
  <w:style w:type="paragraph" w:styleId="CommentSubject">
    <w:name w:val="annotation subject"/>
    <w:basedOn w:val="CommentText"/>
    <w:next w:val="CommentText"/>
    <w:link w:val="CommentSubjectChar"/>
    <w:uiPriority w:val="99"/>
    <w:semiHidden/>
    <w:unhideWhenUsed/>
    <w:rsid w:val="007934DE"/>
    <w:rPr>
      <w:b/>
      <w:bCs/>
    </w:rPr>
  </w:style>
  <w:style w:type="character" w:customStyle="1" w:styleId="CommentSubjectChar">
    <w:name w:val="Comment Subject Char"/>
    <w:basedOn w:val="CommentTextChar"/>
    <w:link w:val="CommentSubject"/>
    <w:uiPriority w:val="99"/>
    <w:semiHidden/>
    <w:rsid w:val="007934DE"/>
    <w:rPr>
      <w:b/>
      <w:bCs/>
      <w:sz w:val="20"/>
      <w:szCs w:val="20"/>
    </w:rPr>
  </w:style>
  <w:style w:type="table" w:customStyle="1" w:styleId="TableGrid3">
    <w:name w:val="Table Grid3"/>
    <w:basedOn w:val="TableNormal"/>
    <w:next w:val="TableGrid"/>
    <w:uiPriority w:val="59"/>
    <w:rsid w:val="0043693E"/>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43693E"/>
    <w:rPr>
      <w:rFonts w:eastAsia="SimSu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693E"/>
    <w:rPr>
      <w:rFonts w:eastAsia="SimSu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D54"/>
    <w:pPr>
      <w:ind w:left="720"/>
      <w:contextualSpacing/>
    </w:pPr>
  </w:style>
  <w:style w:type="table" w:customStyle="1" w:styleId="TableGrid111">
    <w:name w:val="Table Grid111"/>
    <w:basedOn w:val="TableNormal"/>
    <w:next w:val="TableGrid"/>
    <w:uiPriority w:val="59"/>
    <w:rsid w:val="00623151"/>
    <w:rPr>
      <w:rFonts w:eastAsia="SimSu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75146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7CE"/>
    <w:rPr>
      <w:rFonts w:ascii="Segoe UI" w:hAnsi="Segoe UI" w:cs="Segoe UI"/>
      <w:sz w:val="18"/>
      <w:szCs w:val="18"/>
    </w:rPr>
  </w:style>
  <w:style w:type="paragraph" w:styleId="Revision">
    <w:name w:val="Revision"/>
    <w:hidden/>
    <w:uiPriority w:val="99"/>
    <w:semiHidden/>
    <w:rsid w:val="000C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D9B382-BA6C-44E4-8275-228402FE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37593</Words>
  <Characters>214282</Characters>
  <Application>Microsoft Office Word</Application>
  <DocSecurity>4</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2021-09-27T14:48:00Z</dcterms:created>
  <dcterms:modified xsi:type="dcterms:W3CDTF">2021-09-27T14:48:00Z</dcterms:modified>
  <cp:category/>
</cp:coreProperties>
</file>