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8B45D" w14:textId="77777777" w:rsidR="00BA078D" w:rsidRPr="005342FA" w:rsidRDefault="00BA078D" w:rsidP="00BA078D">
      <w:pPr>
        <w:pStyle w:val="Authornames"/>
        <w:jc w:val="center"/>
        <w:rPr>
          <w:b/>
          <w:sz w:val="24"/>
        </w:rPr>
      </w:pPr>
      <w:r w:rsidRPr="005342FA">
        <w:rPr>
          <w:b/>
          <w:sz w:val="24"/>
        </w:rPr>
        <w:t xml:space="preserve">Selective depletion of </w:t>
      </w:r>
      <w:proofErr w:type="spellStart"/>
      <w:r w:rsidRPr="005342FA">
        <w:rPr>
          <w:b/>
          <w:sz w:val="24"/>
        </w:rPr>
        <w:t>radiolabeled</w:t>
      </w:r>
      <w:proofErr w:type="spellEnd"/>
      <w:r w:rsidRPr="005342FA">
        <w:rPr>
          <w:b/>
          <w:sz w:val="24"/>
        </w:rPr>
        <w:t xml:space="preserve"> HER2-specific antibody for contrast improvement during PET</w:t>
      </w:r>
    </w:p>
    <w:p w14:paraId="3C0846F0" w14:textId="77777777" w:rsidR="00BA078D" w:rsidRPr="005342FA" w:rsidRDefault="00BA078D" w:rsidP="009914A5">
      <w:pPr>
        <w:pStyle w:val="Authornames"/>
        <w:rPr>
          <w:b/>
          <w:sz w:val="24"/>
        </w:rPr>
      </w:pPr>
    </w:p>
    <w:p w14:paraId="7D7D9847" w14:textId="3A4C36E7" w:rsidR="00BA078D" w:rsidRPr="005342FA" w:rsidRDefault="00BA078D" w:rsidP="009914A5">
      <w:pPr>
        <w:pStyle w:val="Authornames"/>
        <w:rPr>
          <w:sz w:val="24"/>
        </w:rPr>
      </w:pPr>
      <w:r w:rsidRPr="005342FA">
        <w:rPr>
          <w:sz w:val="24"/>
        </w:rPr>
        <w:t xml:space="preserve">Priyanka </w:t>
      </w:r>
      <w:proofErr w:type="spellStart"/>
      <w:proofErr w:type="gramStart"/>
      <w:r w:rsidRPr="005342FA">
        <w:rPr>
          <w:sz w:val="24"/>
        </w:rPr>
        <w:t>Khare</w:t>
      </w:r>
      <w:r w:rsidR="00B77041" w:rsidRPr="005342FA">
        <w:rPr>
          <w:color w:val="000000"/>
          <w:sz w:val="24"/>
          <w:vertAlign w:val="superscript"/>
        </w:rPr>
        <w:t>a,</w:t>
      </w:r>
      <w:r w:rsidR="00B77041" w:rsidRPr="005342FA">
        <w:rPr>
          <w:rFonts w:hint="eastAsia"/>
          <w:color w:val="000000"/>
          <w:sz w:val="24"/>
          <w:vertAlign w:val="superscript"/>
          <w:lang w:eastAsia="zh-CN"/>
        </w:rPr>
        <w:t>f</w:t>
      </w:r>
      <w:proofErr w:type="spellEnd"/>
      <w:proofErr w:type="gramEnd"/>
      <w:r w:rsidRPr="005342FA">
        <w:rPr>
          <w:sz w:val="24"/>
        </w:rPr>
        <w:t xml:space="preserve">, Wei </w:t>
      </w:r>
      <w:proofErr w:type="spellStart"/>
      <w:r w:rsidRPr="005342FA">
        <w:rPr>
          <w:sz w:val="24"/>
        </w:rPr>
        <w:t>Sun</w:t>
      </w:r>
      <w:r w:rsidR="00B77041" w:rsidRPr="005342FA">
        <w:rPr>
          <w:color w:val="000000"/>
          <w:sz w:val="24"/>
          <w:vertAlign w:val="superscript"/>
        </w:rPr>
        <w:t>a,</w:t>
      </w:r>
      <w:r w:rsidR="00B77041" w:rsidRPr="005342FA">
        <w:rPr>
          <w:rFonts w:hint="eastAsia"/>
          <w:color w:val="000000"/>
          <w:sz w:val="24"/>
          <w:vertAlign w:val="superscript"/>
          <w:lang w:eastAsia="zh-CN"/>
        </w:rPr>
        <w:t>f</w:t>
      </w:r>
      <w:proofErr w:type="spellEnd"/>
      <w:r w:rsidRPr="005342FA">
        <w:rPr>
          <w:sz w:val="24"/>
        </w:rPr>
        <w:t xml:space="preserve">, </w:t>
      </w:r>
      <w:proofErr w:type="spellStart"/>
      <w:r w:rsidRPr="005342FA">
        <w:rPr>
          <w:sz w:val="24"/>
        </w:rPr>
        <w:t>Sreevidhya</w:t>
      </w:r>
      <w:proofErr w:type="spellEnd"/>
      <w:r w:rsidRPr="005342FA">
        <w:rPr>
          <w:sz w:val="24"/>
        </w:rPr>
        <w:t xml:space="preserve"> </w:t>
      </w:r>
      <w:proofErr w:type="spellStart"/>
      <w:r w:rsidRPr="005342FA">
        <w:rPr>
          <w:sz w:val="24"/>
        </w:rPr>
        <w:t>Ramakrishnan</w:t>
      </w:r>
      <w:r w:rsidRPr="005342FA">
        <w:rPr>
          <w:sz w:val="24"/>
          <w:vertAlign w:val="superscript"/>
        </w:rPr>
        <w:t>a,b</w:t>
      </w:r>
      <w:proofErr w:type="spellEnd"/>
      <w:r w:rsidRPr="005342FA">
        <w:rPr>
          <w:sz w:val="24"/>
        </w:rPr>
        <w:t xml:space="preserve">, </w:t>
      </w:r>
      <w:proofErr w:type="spellStart"/>
      <w:r w:rsidR="005342FA">
        <w:rPr>
          <w:sz w:val="24"/>
        </w:rPr>
        <w:t>Rafal</w:t>
      </w:r>
      <w:proofErr w:type="spellEnd"/>
      <w:r w:rsidR="005342FA">
        <w:rPr>
          <w:sz w:val="24"/>
        </w:rPr>
        <w:t xml:space="preserve"> </w:t>
      </w:r>
      <w:proofErr w:type="spellStart"/>
      <w:r w:rsidR="005342FA">
        <w:rPr>
          <w:sz w:val="24"/>
        </w:rPr>
        <w:t>Swiercz</w:t>
      </w:r>
      <w:r w:rsidR="004E5C9B">
        <w:rPr>
          <w:sz w:val="24"/>
          <w:vertAlign w:val="superscript"/>
        </w:rPr>
        <w:t>a,c</w:t>
      </w:r>
      <w:proofErr w:type="spellEnd"/>
      <w:r w:rsidR="005342FA">
        <w:rPr>
          <w:sz w:val="24"/>
        </w:rPr>
        <w:t xml:space="preserve">, </w:t>
      </w:r>
      <w:r w:rsidRPr="005342FA">
        <w:rPr>
          <w:sz w:val="24"/>
        </w:rPr>
        <w:t xml:space="preserve">Guiyang </w:t>
      </w:r>
      <w:proofErr w:type="spellStart"/>
      <w:r w:rsidRPr="005342FA">
        <w:rPr>
          <w:sz w:val="24"/>
        </w:rPr>
        <w:t>Hao</w:t>
      </w:r>
      <w:r w:rsidR="005342FA">
        <w:rPr>
          <w:sz w:val="24"/>
          <w:vertAlign w:val="superscript"/>
        </w:rPr>
        <w:t>d</w:t>
      </w:r>
      <w:proofErr w:type="spellEnd"/>
      <w:r w:rsidRPr="005342FA">
        <w:rPr>
          <w:sz w:val="24"/>
        </w:rPr>
        <w:t xml:space="preserve">, </w:t>
      </w:r>
      <w:proofErr w:type="spellStart"/>
      <w:r w:rsidRPr="005342FA">
        <w:rPr>
          <w:sz w:val="24"/>
        </w:rPr>
        <w:t>Su</w:t>
      </w:r>
      <w:proofErr w:type="spellEnd"/>
      <w:r w:rsidRPr="005342FA">
        <w:rPr>
          <w:sz w:val="24"/>
        </w:rPr>
        <w:t>-Tang Lo</w:t>
      </w:r>
      <w:r w:rsidR="005342FA">
        <w:rPr>
          <w:sz w:val="24"/>
          <w:vertAlign w:val="superscript"/>
        </w:rPr>
        <w:t>d</w:t>
      </w:r>
      <w:r w:rsidRPr="005342FA">
        <w:rPr>
          <w:sz w:val="24"/>
        </w:rPr>
        <w:t xml:space="preserve">, </w:t>
      </w:r>
      <w:proofErr w:type="spellStart"/>
      <w:r w:rsidRPr="005342FA">
        <w:rPr>
          <w:sz w:val="24"/>
        </w:rPr>
        <w:t>Kien</w:t>
      </w:r>
      <w:proofErr w:type="spellEnd"/>
      <w:r w:rsidRPr="005342FA">
        <w:rPr>
          <w:sz w:val="24"/>
        </w:rPr>
        <w:t xml:space="preserve"> </w:t>
      </w:r>
      <w:proofErr w:type="spellStart"/>
      <w:r w:rsidRPr="005342FA">
        <w:rPr>
          <w:sz w:val="24"/>
        </w:rPr>
        <w:t>Nham</w:t>
      </w:r>
      <w:r w:rsidR="005342FA">
        <w:rPr>
          <w:sz w:val="24"/>
          <w:vertAlign w:val="superscript"/>
        </w:rPr>
        <w:t>d</w:t>
      </w:r>
      <w:proofErr w:type="spellEnd"/>
      <w:r w:rsidRPr="005342FA">
        <w:rPr>
          <w:sz w:val="24"/>
        </w:rPr>
        <w:t xml:space="preserve">, </w:t>
      </w:r>
      <w:proofErr w:type="spellStart"/>
      <w:r w:rsidRPr="005342FA">
        <w:rPr>
          <w:sz w:val="24"/>
        </w:rPr>
        <w:t>Xiankai</w:t>
      </w:r>
      <w:proofErr w:type="spellEnd"/>
      <w:r w:rsidRPr="005342FA">
        <w:rPr>
          <w:sz w:val="24"/>
        </w:rPr>
        <w:t xml:space="preserve"> </w:t>
      </w:r>
      <w:proofErr w:type="spellStart"/>
      <w:r w:rsidRPr="005342FA">
        <w:rPr>
          <w:sz w:val="24"/>
        </w:rPr>
        <w:t>Sun</w:t>
      </w:r>
      <w:r w:rsidR="005342FA">
        <w:rPr>
          <w:sz w:val="24"/>
          <w:vertAlign w:val="superscript"/>
        </w:rPr>
        <w:t>d</w:t>
      </w:r>
      <w:proofErr w:type="spellEnd"/>
      <w:r w:rsidRPr="005342FA">
        <w:rPr>
          <w:sz w:val="24"/>
        </w:rPr>
        <w:t xml:space="preserve">, </w:t>
      </w:r>
      <w:proofErr w:type="spellStart"/>
      <w:r w:rsidRPr="005342FA">
        <w:rPr>
          <w:sz w:val="24"/>
        </w:rPr>
        <w:t>Raimund</w:t>
      </w:r>
      <w:proofErr w:type="spellEnd"/>
      <w:r w:rsidRPr="005342FA">
        <w:rPr>
          <w:sz w:val="24"/>
        </w:rPr>
        <w:t xml:space="preserve"> J. </w:t>
      </w:r>
      <w:proofErr w:type="spellStart"/>
      <w:r w:rsidRPr="005342FA">
        <w:rPr>
          <w:sz w:val="24"/>
        </w:rPr>
        <w:t>Ober</w:t>
      </w:r>
      <w:r w:rsidRPr="005342FA">
        <w:rPr>
          <w:sz w:val="24"/>
          <w:vertAlign w:val="superscript"/>
        </w:rPr>
        <w:t>a,b,</w:t>
      </w:r>
      <w:r w:rsidR="005342FA">
        <w:rPr>
          <w:sz w:val="24"/>
          <w:vertAlign w:val="superscript"/>
        </w:rPr>
        <w:t>c</w:t>
      </w:r>
      <w:proofErr w:type="spellEnd"/>
      <w:r w:rsidR="00B77041" w:rsidRPr="005342FA">
        <w:rPr>
          <w:sz w:val="24"/>
          <w:vertAlign w:val="superscript"/>
        </w:rPr>
        <w:t>,</w:t>
      </w:r>
      <w:r w:rsidR="00B77041" w:rsidRPr="005342FA">
        <w:rPr>
          <w:sz w:val="24"/>
        </w:rPr>
        <w:t>*</w:t>
      </w:r>
      <w:r w:rsidRPr="005342FA">
        <w:rPr>
          <w:sz w:val="24"/>
          <w:vertAlign w:val="superscript"/>
        </w:rPr>
        <w:t xml:space="preserve"> </w:t>
      </w:r>
      <w:r w:rsidRPr="005342FA">
        <w:rPr>
          <w:sz w:val="24"/>
        </w:rPr>
        <w:t xml:space="preserve">and E. Sally </w:t>
      </w:r>
      <w:proofErr w:type="spellStart"/>
      <w:r w:rsidRPr="005342FA">
        <w:rPr>
          <w:sz w:val="24"/>
        </w:rPr>
        <w:t>Ward</w:t>
      </w:r>
      <w:r w:rsidRPr="005342FA">
        <w:rPr>
          <w:sz w:val="24"/>
          <w:vertAlign w:val="superscript"/>
        </w:rPr>
        <w:t>a,</w:t>
      </w:r>
      <w:r w:rsidR="005342FA">
        <w:rPr>
          <w:sz w:val="24"/>
          <w:vertAlign w:val="superscript"/>
        </w:rPr>
        <w:t>c</w:t>
      </w:r>
      <w:r w:rsidRPr="005342FA">
        <w:rPr>
          <w:sz w:val="24"/>
          <w:vertAlign w:val="superscript"/>
        </w:rPr>
        <w:t>,e</w:t>
      </w:r>
      <w:proofErr w:type="spellEnd"/>
      <w:r w:rsidR="00B77041" w:rsidRPr="005342FA">
        <w:rPr>
          <w:sz w:val="24"/>
          <w:vertAlign w:val="superscript"/>
        </w:rPr>
        <w:t>,</w:t>
      </w:r>
      <w:r w:rsidR="00B77041" w:rsidRPr="005342FA">
        <w:rPr>
          <w:sz w:val="24"/>
        </w:rPr>
        <w:t>*</w:t>
      </w:r>
    </w:p>
    <w:p w14:paraId="2412C802" w14:textId="13DCA15F" w:rsidR="00BA078D" w:rsidRPr="005342FA" w:rsidRDefault="00BA078D" w:rsidP="00BA078D">
      <w:pPr>
        <w:pStyle w:val="Affiliation"/>
      </w:pPr>
      <w:proofErr w:type="spellStart"/>
      <w:r w:rsidRPr="005342FA">
        <w:rPr>
          <w:vertAlign w:val="superscript"/>
        </w:rPr>
        <w:t>a</w:t>
      </w:r>
      <w:r w:rsidRPr="005342FA">
        <w:t>Department</w:t>
      </w:r>
      <w:proofErr w:type="spellEnd"/>
      <w:r w:rsidRPr="005342FA">
        <w:t xml:space="preserve"> of Molecular and Cellular Medicine, Texas A&amp;M University Health Science </w:t>
      </w:r>
      <w:proofErr w:type="spellStart"/>
      <w:r w:rsidRPr="005342FA">
        <w:t>Center</w:t>
      </w:r>
      <w:proofErr w:type="spellEnd"/>
      <w:r w:rsidRPr="005342FA">
        <w:t>, 469 Joe H. Reynolds Medical Sciences Building, 1114 TAMU, College Station, Texas, 77843, USA.</w:t>
      </w:r>
    </w:p>
    <w:p w14:paraId="7F8FBAC8" w14:textId="77777777" w:rsidR="00BA078D" w:rsidRPr="005342FA" w:rsidRDefault="00BA078D" w:rsidP="00BA078D">
      <w:pPr>
        <w:pStyle w:val="Affiliation"/>
      </w:pPr>
      <w:proofErr w:type="spellStart"/>
      <w:r w:rsidRPr="005342FA">
        <w:rPr>
          <w:vertAlign w:val="superscript"/>
        </w:rPr>
        <w:t>b</w:t>
      </w:r>
      <w:r w:rsidRPr="005342FA">
        <w:t>Department</w:t>
      </w:r>
      <w:proofErr w:type="spellEnd"/>
      <w:r w:rsidRPr="005342FA">
        <w:t xml:space="preserve"> of Biomedical Engineering, Texas A&amp;M University, 5045 Emerging Technologies Building, 3120 TAMU, College Station, Texas, 77843, USA.</w:t>
      </w:r>
    </w:p>
    <w:p w14:paraId="63D096BC" w14:textId="4CCD85C7" w:rsidR="00BA078D" w:rsidRDefault="0004379F" w:rsidP="00BA078D">
      <w:pPr>
        <w:pStyle w:val="Affiliation"/>
      </w:pPr>
      <w:proofErr w:type="spellStart"/>
      <w:r>
        <w:rPr>
          <w:vertAlign w:val="superscript"/>
        </w:rPr>
        <w:t>c</w:t>
      </w:r>
      <w:r w:rsidR="00BA078D" w:rsidRPr="005342FA">
        <w:t>Cancer</w:t>
      </w:r>
      <w:proofErr w:type="spellEnd"/>
      <w:r w:rsidR="00BA078D" w:rsidRPr="005342FA">
        <w:t xml:space="preserve"> Sciences Unit, Centre for Cancer Immunology, Faculty of Medicine, University of Southampton, Southampton, UK.</w:t>
      </w:r>
    </w:p>
    <w:p w14:paraId="0392072D" w14:textId="2A8FD3EB" w:rsidR="0004379F" w:rsidRPr="005342FA" w:rsidRDefault="0004379F" w:rsidP="00BA078D">
      <w:pPr>
        <w:pStyle w:val="Affiliation"/>
      </w:pPr>
      <w:proofErr w:type="spellStart"/>
      <w:r>
        <w:rPr>
          <w:vertAlign w:val="superscript"/>
        </w:rPr>
        <w:t>d</w:t>
      </w:r>
      <w:r w:rsidRPr="005342FA">
        <w:t>Department</w:t>
      </w:r>
      <w:proofErr w:type="spellEnd"/>
      <w:r w:rsidRPr="005342FA">
        <w:t xml:space="preserve"> of Radiology, University of Texas Southwestern Medical </w:t>
      </w:r>
      <w:proofErr w:type="spellStart"/>
      <w:r w:rsidRPr="005342FA">
        <w:t>Center</w:t>
      </w:r>
      <w:proofErr w:type="spellEnd"/>
      <w:r w:rsidRPr="005342FA">
        <w:t>, 5323 Harry Hines Blvd., Dallas, Texas 75390, USA.</w:t>
      </w:r>
    </w:p>
    <w:p w14:paraId="5A270471" w14:textId="0E37F5C8" w:rsidR="00BA078D" w:rsidRPr="005342FA" w:rsidRDefault="00BA078D" w:rsidP="00BA078D">
      <w:pPr>
        <w:pStyle w:val="Affiliation"/>
      </w:pPr>
      <w:proofErr w:type="spellStart"/>
      <w:r w:rsidRPr="005342FA">
        <w:rPr>
          <w:vertAlign w:val="superscript"/>
        </w:rPr>
        <w:t>e</w:t>
      </w:r>
      <w:r w:rsidRPr="005342FA">
        <w:t>Department</w:t>
      </w:r>
      <w:proofErr w:type="spellEnd"/>
      <w:r w:rsidRPr="005342FA">
        <w:t xml:space="preserve"> of Microbial Pathogenesis and Immunology, Texas A&amp;M University Health Science </w:t>
      </w:r>
      <w:proofErr w:type="spellStart"/>
      <w:r w:rsidRPr="005342FA">
        <w:t>Center</w:t>
      </w:r>
      <w:proofErr w:type="spellEnd"/>
      <w:r w:rsidRPr="005342FA">
        <w:t>, 3107 Medical Research &amp; Education Building, 8447 State Highway 47, Bryan, Texas, 77807, USA.</w:t>
      </w:r>
    </w:p>
    <w:p w14:paraId="25E24E5A" w14:textId="3572BFE1" w:rsidR="00BA078D" w:rsidRPr="005342FA" w:rsidRDefault="00B77041" w:rsidP="00BA078D">
      <w:pPr>
        <w:pStyle w:val="Affiliation"/>
      </w:pPr>
      <w:r w:rsidRPr="005342FA">
        <w:rPr>
          <w:vertAlign w:val="superscript"/>
        </w:rPr>
        <w:t>f</w:t>
      </w:r>
      <w:r w:rsidR="00BA078D" w:rsidRPr="005342FA">
        <w:rPr>
          <w:vertAlign w:val="superscript"/>
        </w:rPr>
        <w:t xml:space="preserve"> </w:t>
      </w:r>
      <w:r w:rsidR="00BA078D" w:rsidRPr="005342FA">
        <w:t xml:space="preserve">Priyanka </w:t>
      </w:r>
      <w:proofErr w:type="spellStart"/>
      <w:r w:rsidR="00BA078D" w:rsidRPr="005342FA">
        <w:t>Khare</w:t>
      </w:r>
      <w:proofErr w:type="spellEnd"/>
      <w:r w:rsidR="00BA078D" w:rsidRPr="005342FA">
        <w:t xml:space="preserve"> and Wei Sun contributed equally to this study.</w:t>
      </w:r>
    </w:p>
    <w:p w14:paraId="75E48A5D" w14:textId="77777777" w:rsidR="00BA078D" w:rsidRPr="005342FA" w:rsidRDefault="00BA078D" w:rsidP="00BA078D">
      <w:pPr>
        <w:pStyle w:val="Affiliation"/>
      </w:pPr>
    </w:p>
    <w:p w14:paraId="16A25592" w14:textId="65F7FD6E" w:rsidR="00997B0F" w:rsidRPr="005342FA" w:rsidRDefault="00B77041" w:rsidP="00BA078D">
      <w:pPr>
        <w:pStyle w:val="Affiliation"/>
      </w:pPr>
      <w:r w:rsidRPr="005342FA">
        <w:t>*</w:t>
      </w:r>
      <w:r w:rsidR="00BA078D" w:rsidRPr="005342FA">
        <w:t>Corresponding authors: Correspondence should be addressed to R.J.O (R.Ober@soton.ac.uk) or E.S.W. (E.S.Ward@soton.ac.uk)</w:t>
      </w:r>
    </w:p>
    <w:p w14:paraId="11609DF6" w14:textId="77777777" w:rsidR="00BA078D" w:rsidRPr="005342FA" w:rsidRDefault="00BA078D" w:rsidP="00BA078D">
      <w:pPr>
        <w:pStyle w:val="Correspondencedetails"/>
      </w:pPr>
    </w:p>
    <w:p w14:paraId="72083403" w14:textId="77777777" w:rsidR="00BA078D" w:rsidRPr="005342FA" w:rsidRDefault="00BA078D" w:rsidP="00BA078D">
      <w:pPr>
        <w:pStyle w:val="Correspondencedetails"/>
      </w:pPr>
    </w:p>
    <w:p w14:paraId="6E9C1392" w14:textId="7ED8B5E2" w:rsidR="00C246C5" w:rsidRPr="005342FA" w:rsidRDefault="00C14585" w:rsidP="009B24B5">
      <w:pPr>
        <w:pStyle w:val="Articletitle"/>
        <w:rPr>
          <w:sz w:val="24"/>
        </w:rPr>
      </w:pPr>
      <w:r w:rsidRPr="005342FA">
        <w:rPr>
          <w:sz w:val="24"/>
        </w:rPr>
        <w:br w:type="page"/>
      </w:r>
      <w:r w:rsidR="00E73606" w:rsidRPr="005342FA">
        <w:rPr>
          <w:sz w:val="24"/>
        </w:rPr>
        <w:lastRenderedPageBreak/>
        <w:t xml:space="preserve">Selective depletion of </w:t>
      </w:r>
      <w:proofErr w:type="spellStart"/>
      <w:r w:rsidR="00E73606" w:rsidRPr="005342FA">
        <w:rPr>
          <w:sz w:val="24"/>
        </w:rPr>
        <w:t>radiolabeled</w:t>
      </w:r>
      <w:proofErr w:type="spellEnd"/>
      <w:r w:rsidR="00E73606" w:rsidRPr="005342FA">
        <w:rPr>
          <w:sz w:val="24"/>
        </w:rPr>
        <w:t xml:space="preserve"> HER2-specific antibody for contrast improvement during PET</w:t>
      </w:r>
    </w:p>
    <w:p w14:paraId="74A7A83E" w14:textId="5DE69962" w:rsidR="00266354" w:rsidRPr="005342FA" w:rsidRDefault="00E73606" w:rsidP="00E73606">
      <w:pPr>
        <w:pStyle w:val="Abstract"/>
        <w:rPr>
          <w:sz w:val="24"/>
        </w:rPr>
      </w:pPr>
      <w:r w:rsidRPr="005342FA">
        <w:rPr>
          <w:sz w:val="24"/>
        </w:rPr>
        <w:t xml:space="preserve">The prolonged </w:t>
      </w:r>
      <w:r w:rsidRPr="0098203E">
        <w:rPr>
          <w:i/>
          <w:iCs/>
          <w:sz w:val="24"/>
        </w:rPr>
        <w:t xml:space="preserve">in vivo </w:t>
      </w:r>
      <w:r w:rsidRPr="005342FA">
        <w:rPr>
          <w:sz w:val="24"/>
        </w:rPr>
        <w:t xml:space="preserve">persistence of antibodies results in high background and poor contrast during their use as molecular imaging agents for positron emission tomography (PET). We have recently described a class of engineered Fc fusion proteins that selectively deplete antigen-specific antibodies without affecting the levels of antibodies of other specificities. In the current study, we demonstrate that these Fc fusions (called </w:t>
      </w:r>
      <w:proofErr w:type="spellStart"/>
      <w:r w:rsidRPr="005342FA">
        <w:rPr>
          <w:sz w:val="24"/>
        </w:rPr>
        <w:t>Seldegs</w:t>
      </w:r>
      <w:proofErr w:type="spellEnd"/>
      <w:r w:rsidRPr="005342FA">
        <w:rPr>
          <w:sz w:val="24"/>
        </w:rPr>
        <w:t xml:space="preserve">, for selective degradation) can be used to clear circulating, </w:t>
      </w:r>
      <w:proofErr w:type="spellStart"/>
      <w:r w:rsidRPr="005342FA">
        <w:rPr>
          <w:sz w:val="24"/>
        </w:rPr>
        <w:t>radiolabeled</w:t>
      </w:r>
      <w:proofErr w:type="spellEnd"/>
      <w:r w:rsidRPr="005342FA">
        <w:rPr>
          <w:sz w:val="24"/>
        </w:rPr>
        <w:t xml:space="preserve"> HER2-specific antibody during diagnostic imaging of HER2-positive </w:t>
      </w:r>
      <w:proofErr w:type="spellStart"/>
      <w:r w:rsidRPr="005342FA">
        <w:rPr>
          <w:sz w:val="24"/>
        </w:rPr>
        <w:t>tumors</w:t>
      </w:r>
      <w:proofErr w:type="spellEnd"/>
      <w:r w:rsidRPr="005342FA">
        <w:rPr>
          <w:sz w:val="24"/>
        </w:rPr>
        <w:t xml:space="preserve"> in mice. The analyses show that </w:t>
      </w:r>
      <w:proofErr w:type="spellStart"/>
      <w:r w:rsidRPr="005342FA">
        <w:rPr>
          <w:sz w:val="24"/>
        </w:rPr>
        <w:t>Seldegs</w:t>
      </w:r>
      <w:proofErr w:type="spellEnd"/>
      <w:r w:rsidRPr="005342FA">
        <w:rPr>
          <w:sz w:val="24"/>
        </w:rPr>
        <w:t xml:space="preserve"> have considerable promise for the reduction of </w:t>
      </w:r>
      <w:proofErr w:type="gramStart"/>
      <w:r w:rsidRPr="005342FA">
        <w:rPr>
          <w:sz w:val="24"/>
        </w:rPr>
        <w:t>whole body</w:t>
      </w:r>
      <w:proofErr w:type="gramEnd"/>
      <w:r w:rsidRPr="005342FA">
        <w:rPr>
          <w:sz w:val="24"/>
        </w:rPr>
        <w:t xml:space="preserve"> exposure to radiolabel and improvement of contrast during PET.</w:t>
      </w:r>
    </w:p>
    <w:p w14:paraId="5EEE5B6A" w14:textId="0230E38E" w:rsidR="0020415E" w:rsidRPr="005342FA" w:rsidRDefault="00997B0F" w:rsidP="00F30DFF">
      <w:pPr>
        <w:pStyle w:val="Keywords"/>
        <w:rPr>
          <w:sz w:val="24"/>
        </w:rPr>
      </w:pPr>
      <w:r w:rsidRPr="005342FA">
        <w:rPr>
          <w:sz w:val="24"/>
        </w:rPr>
        <w:t xml:space="preserve">Keywords: </w:t>
      </w:r>
      <w:r w:rsidR="005C3B21" w:rsidRPr="005342FA">
        <w:rPr>
          <w:sz w:val="24"/>
        </w:rPr>
        <w:t>engineered Fc fusions</w:t>
      </w:r>
      <w:r w:rsidRPr="005342FA">
        <w:rPr>
          <w:sz w:val="24"/>
        </w:rPr>
        <w:t xml:space="preserve">; </w:t>
      </w:r>
      <w:r w:rsidR="005C3B21" w:rsidRPr="005342FA">
        <w:rPr>
          <w:sz w:val="24"/>
        </w:rPr>
        <w:t>PET</w:t>
      </w:r>
      <w:r w:rsidRPr="005342FA">
        <w:rPr>
          <w:sz w:val="24"/>
        </w:rPr>
        <w:t xml:space="preserve">; </w:t>
      </w:r>
      <w:r w:rsidR="005C3B21" w:rsidRPr="005342FA">
        <w:rPr>
          <w:sz w:val="24"/>
        </w:rPr>
        <w:t>HER2</w:t>
      </w:r>
    </w:p>
    <w:p w14:paraId="33BBBD65" w14:textId="77777777" w:rsidR="008F63B1" w:rsidRPr="005342FA" w:rsidRDefault="008F63B1">
      <w:pPr>
        <w:spacing w:line="240" w:lineRule="auto"/>
      </w:pPr>
      <w:r w:rsidRPr="005342FA">
        <w:br w:type="page"/>
      </w:r>
    </w:p>
    <w:p w14:paraId="445DA289" w14:textId="77777777" w:rsidR="008F63B1" w:rsidRPr="005342FA" w:rsidRDefault="008F63B1" w:rsidP="008F63B1">
      <w:pPr>
        <w:rPr>
          <w:b/>
          <w:bCs/>
        </w:rPr>
      </w:pPr>
      <w:r w:rsidRPr="005342FA">
        <w:rPr>
          <w:b/>
          <w:bCs/>
        </w:rPr>
        <w:lastRenderedPageBreak/>
        <w:t>Introduction</w:t>
      </w:r>
    </w:p>
    <w:p w14:paraId="57312940" w14:textId="0FEB4C2E" w:rsidR="008F63B1" w:rsidRPr="005342FA" w:rsidRDefault="008F63B1" w:rsidP="008F63B1">
      <w:r w:rsidRPr="005342FA">
        <w:t xml:space="preserve">The use of engineering approaches to generate antibodies of high affinity and specificity for target has led to an expansion of interest in using these agents as diagnostic and </w:t>
      </w:r>
      <w:proofErr w:type="spellStart"/>
      <w:r w:rsidRPr="005342FA">
        <w:t>theranostic</w:t>
      </w:r>
      <w:proofErr w:type="spellEnd"/>
      <w:r w:rsidRPr="005342FA">
        <w:t xml:space="preserve"> imaging agents. However, antibodies of the IgG class are endowed with long </w:t>
      </w:r>
      <w:r w:rsidRPr="005342FA">
        <w:rPr>
          <w:i/>
          <w:iCs/>
        </w:rPr>
        <w:t>in vivo</w:t>
      </w:r>
      <w:r w:rsidRPr="005342FA">
        <w:t xml:space="preserve"> persistence due to their ability to bind to the receptor, FcR</w:t>
      </w:r>
      <w:r w:rsidR="002E408A">
        <w:t>n.</w:t>
      </w:r>
      <w:r w:rsidR="00A92560" w:rsidRPr="00A92560">
        <w:rPr>
          <w:vertAlign w:val="superscript"/>
        </w:rPr>
        <w:t>1</w:t>
      </w:r>
      <w:r w:rsidRPr="005342FA">
        <w:t xml:space="preserve"> This longevity results in high background, poor contrast and, if </w:t>
      </w:r>
      <w:proofErr w:type="spellStart"/>
      <w:r w:rsidRPr="005342FA">
        <w:t>radiolabeled</w:t>
      </w:r>
      <w:proofErr w:type="spellEnd"/>
      <w:r w:rsidRPr="005342FA">
        <w:t xml:space="preserve"> for detection using positron emission tomography (PET), potential radiation damage to normal tissu</w:t>
      </w:r>
      <w:r w:rsidR="00A92560">
        <w:t>e.</w:t>
      </w:r>
      <w:r w:rsidR="00A92560" w:rsidRPr="00A92560">
        <w:rPr>
          <w:vertAlign w:val="superscript"/>
        </w:rPr>
        <w:t>2-4</w:t>
      </w:r>
      <w:r w:rsidRPr="005342FA">
        <w:t xml:space="preserve">  The current study is directed towards overcoming these limitations by using a novel approach to selectively clear target-specific antibody that is not </w:t>
      </w:r>
      <w:proofErr w:type="spellStart"/>
      <w:r w:rsidRPr="005342FA">
        <w:t>tumor</w:t>
      </w:r>
      <w:proofErr w:type="spellEnd"/>
      <w:r w:rsidRPr="005342FA">
        <w:t xml:space="preserve">-bound during PET. </w:t>
      </w:r>
    </w:p>
    <w:p w14:paraId="14086108" w14:textId="77777777" w:rsidR="008F63B1" w:rsidRPr="005342FA" w:rsidRDefault="008F63B1" w:rsidP="008F63B1"/>
    <w:p w14:paraId="207F2F26" w14:textId="4F156F01" w:rsidR="008F63B1" w:rsidRPr="005342FA" w:rsidRDefault="008F63B1" w:rsidP="008F63B1">
      <w:r w:rsidRPr="005342FA">
        <w:t>We have recently developed engineered antigen-Fc fusion proteins that selectively clear antigen (target)-specific antibodies without affecting the levels of endogenous antibodies of other specificities</w:t>
      </w:r>
      <w:r w:rsidR="00A92560">
        <w:t>.</w:t>
      </w:r>
      <w:r w:rsidR="00A92560" w:rsidRPr="00A92560">
        <w:rPr>
          <w:vertAlign w:val="superscript"/>
        </w:rPr>
        <w:t>5</w:t>
      </w:r>
      <w:r w:rsidRPr="00A92560">
        <w:rPr>
          <w:vertAlign w:val="superscript"/>
        </w:rPr>
        <w:t xml:space="preserve"> </w:t>
      </w:r>
      <w:r w:rsidRPr="005342FA">
        <w:t xml:space="preserve">These engineered fusion proteins, named </w:t>
      </w:r>
      <w:proofErr w:type="spellStart"/>
      <w:r w:rsidRPr="005342FA">
        <w:t>Seldegs</w:t>
      </w:r>
      <w:proofErr w:type="spellEnd"/>
      <w:r w:rsidRPr="005342FA">
        <w:t xml:space="preserve"> (for </w:t>
      </w:r>
      <w:r w:rsidRPr="005342FA">
        <w:rPr>
          <w:i/>
          <w:iCs/>
        </w:rPr>
        <w:t>sel</w:t>
      </w:r>
      <w:r w:rsidRPr="005342FA">
        <w:t xml:space="preserve">ective </w:t>
      </w:r>
      <w:r w:rsidRPr="005342FA">
        <w:rPr>
          <w:i/>
          <w:iCs/>
        </w:rPr>
        <w:t>deg</w:t>
      </w:r>
      <w:r w:rsidRPr="005342FA">
        <w:t xml:space="preserve">radation), comprise an antigen component that is fused to an Fc-based targeting component. The targeting component is engineered to bind to the internalizing receptor, </w:t>
      </w:r>
      <w:proofErr w:type="spellStart"/>
      <w:r w:rsidRPr="005342FA">
        <w:t>FcRn</w:t>
      </w:r>
      <w:proofErr w:type="spellEnd"/>
      <w:r w:rsidRPr="005342FA">
        <w:t>, with substantially increased affinity at near neutral and acidic pH, whereas the antigen component captures antigen-specific antibodies</w:t>
      </w:r>
      <w:r w:rsidR="00A92560">
        <w:t>.</w:t>
      </w:r>
      <w:r w:rsidR="00A92560" w:rsidRPr="00A92560">
        <w:rPr>
          <w:vertAlign w:val="superscript"/>
        </w:rPr>
        <w:t>5,</w:t>
      </w:r>
      <w:proofErr w:type="gramStart"/>
      <w:r w:rsidR="00A92560" w:rsidRPr="00A92560">
        <w:rPr>
          <w:vertAlign w:val="superscript"/>
        </w:rPr>
        <w:t>6</w:t>
      </w:r>
      <w:r w:rsidRPr="005342FA">
        <w:t xml:space="preserve">  </w:t>
      </w:r>
      <w:r w:rsidR="00A91D98" w:rsidRPr="005342FA">
        <w:rPr>
          <w:highlight w:val="yellow"/>
        </w:rPr>
        <w:t>The</w:t>
      </w:r>
      <w:proofErr w:type="gramEnd"/>
      <w:r w:rsidR="00A91D98" w:rsidRPr="005342FA">
        <w:rPr>
          <w:highlight w:val="yellow"/>
        </w:rPr>
        <w:t xml:space="preserve"> antibodies </w:t>
      </w:r>
      <w:r w:rsidR="000A163D">
        <w:rPr>
          <w:highlight w:val="yellow"/>
        </w:rPr>
        <w:t xml:space="preserve">that bind to the antigen component </w:t>
      </w:r>
      <w:r w:rsidR="00A91D98" w:rsidRPr="005342FA">
        <w:rPr>
          <w:highlight w:val="yellow"/>
        </w:rPr>
        <w:t xml:space="preserve">are bivalent, and therefore to minimize the formation of multivalent immune complexes, </w:t>
      </w:r>
      <w:proofErr w:type="spellStart"/>
      <w:r w:rsidR="00A91D98" w:rsidRPr="005342FA">
        <w:rPr>
          <w:highlight w:val="yellow"/>
        </w:rPr>
        <w:t>Seldegs</w:t>
      </w:r>
      <w:proofErr w:type="spellEnd"/>
      <w:r w:rsidR="00A91D98" w:rsidRPr="005342FA">
        <w:rPr>
          <w:highlight w:val="yellow"/>
        </w:rPr>
        <w:t xml:space="preserve"> are engineered with knobs-into-holes mutations</w:t>
      </w:r>
      <w:r w:rsidR="00A92560" w:rsidRPr="00A92560">
        <w:rPr>
          <w:highlight w:val="yellow"/>
          <w:vertAlign w:val="superscript"/>
        </w:rPr>
        <w:t>7</w:t>
      </w:r>
      <w:r w:rsidR="00A92560">
        <w:rPr>
          <w:highlight w:val="yellow"/>
        </w:rPr>
        <w:t xml:space="preserve"> </w:t>
      </w:r>
      <w:r w:rsidR="00A91D98" w:rsidRPr="005342FA">
        <w:rPr>
          <w:highlight w:val="yellow"/>
        </w:rPr>
        <w:t xml:space="preserve">to display the antigen as a monomer. The Fc is also engineered with mutations to substantially reduce or ablate interactions with </w:t>
      </w:r>
      <w:proofErr w:type="spellStart"/>
      <w:r w:rsidR="00A91D98" w:rsidRPr="005342FA">
        <w:rPr>
          <w:highlight w:val="yellow"/>
        </w:rPr>
        <w:t>Fc</w:t>
      </w:r>
      <w:r w:rsidR="00A91D98" w:rsidRPr="005342FA">
        <w:rPr>
          <w:rFonts w:ascii="Symbol" w:hAnsi="Symbol"/>
          <w:highlight w:val="yellow"/>
        </w:rPr>
        <w:t>g</w:t>
      </w:r>
      <w:r w:rsidR="00A91D98" w:rsidRPr="005342FA">
        <w:rPr>
          <w:highlight w:val="yellow"/>
        </w:rPr>
        <w:t>Rs</w:t>
      </w:r>
      <w:proofErr w:type="spellEnd"/>
      <w:r w:rsidR="00A91D98" w:rsidRPr="005342FA">
        <w:rPr>
          <w:highlight w:val="yellow"/>
        </w:rPr>
        <w:t xml:space="preserve"> or complement</w:t>
      </w:r>
      <w:r w:rsidR="00A92560">
        <w:rPr>
          <w:highlight w:val="yellow"/>
        </w:rPr>
        <w:t>.</w:t>
      </w:r>
      <w:r w:rsidR="00A92560" w:rsidRPr="00A92560">
        <w:rPr>
          <w:highlight w:val="yellow"/>
          <w:vertAlign w:val="superscript"/>
        </w:rPr>
        <w:t>8</w:t>
      </w:r>
      <w:r w:rsidR="00A91D98" w:rsidRPr="005342FA">
        <w:rPr>
          <w:highlight w:val="yellow"/>
        </w:rPr>
        <w:t xml:space="preserve"> </w:t>
      </w:r>
      <w:r w:rsidRPr="005342FA">
        <w:rPr>
          <w:highlight w:val="yellow"/>
        </w:rPr>
        <w:t>Th</w:t>
      </w:r>
      <w:r w:rsidR="00A91D98" w:rsidRPr="005342FA">
        <w:rPr>
          <w:highlight w:val="yellow"/>
        </w:rPr>
        <w:t>e high affinity</w:t>
      </w:r>
      <w:r w:rsidRPr="005342FA">
        <w:rPr>
          <w:highlight w:val="yellow"/>
        </w:rPr>
        <w:t xml:space="preserve"> binding </w:t>
      </w:r>
      <w:r w:rsidR="00DA2509" w:rsidRPr="005342FA">
        <w:rPr>
          <w:highlight w:val="yellow"/>
        </w:rPr>
        <w:t xml:space="preserve">of </w:t>
      </w:r>
      <w:proofErr w:type="spellStart"/>
      <w:r w:rsidR="00DA2509" w:rsidRPr="00035893">
        <w:rPr>
          <w:highlight w:val="yellow"/>
        </w:rPr>
        <w:t>Seldeg</w:t>
      </w:r>
      <w:r w:rsidR="00035893" w:rsidRPr="00035893">
        <w:rPr>
          <w:highlight w:val="yellow"/>
        </w:rPr>
        <w:t>s</w:t>
      </w:r>
      <w:proofErr w:type="spellEnd"/>
      <w:r w:rsidR="00035893" w:rsidRPr="00035893">
        <w:rPr>
          <w:highlight w:val="yellow"/>
        </w:rPr>
        <w:t xml:space="preserve"> to </w:t>
      </w:r>
      <w:proofErr w:type="spellStart"/>
      <w:r w:rsidR="00035893" w:rsidRPr="00035893">
        <w:rPr>
          <w:highlight w:val="yellow"/>
        </w:rPr>
        <w:t>FcRn</w:t>
      </w:r>
      <w:proofErr w:type="spellEnd"/>
      <w:r w:rsidRPr="005342FA">
        <w:t xml:space="preserve"> leads to the rapid internalization of antibody-</w:t>
      </w:r>
      <w:proofErr w:type="spellStart"/>
      <w:r w:rsidRPr="005342FA">
        <w:t>Seldeg</w:t>
      </w:r>
      <w:proofErr w:type="spellEnd"/>
      <w:r w:rsidRPr="005342FA">
        <w:t xml:space="preserve"> complexes into </w:t>
      </w:r>
      <w:proofErr w:type="spellStart"/>
      <w:r w:rsidRPr="005342FA">
        <w:t>FcRn</w:t>
      </w:r>
      <w:proofErr w:type="spellEnd"/>
      <w:r w:rsidRPr="005342FA">
        <w:t>-expressing cells followed by their lysosomal degradation</w:t>
      </w:r>
      <w:r w:rsidR="00A92560">
        <w:t>.</w:t>
      </w:r>
      <w:r w:rsidR="00A92560">
        <w:rPr>
          <w:vertAlign w:val="superscript"/>
        </w:rPr>
        <w:t>5</w:t>
      </w:r>
      <w:r w:rsidRPr="005342FA">
        <w:t xml:space="preserve"> </w:t>
      </w:r>
      <w:r w:rsidRPr="005342FA">
        <w:lastRenderedPageBreak/>
        <w:t xml:space="preserve">Consequently, following injection into mice, </w:t>
      </w:r>
      <w:proofErr w:type="spellStart"/>
      <w:r w:rsidRPr="005342FA">
        <w:t>Seldeg</w:t>
      </w:r>
      <w:proofErr w:type="spellEnd"/>
      <w:r w:rsidRPr="005342FA">
        <w:t xml:space="preserve"> delivery results in the selective depletion of antigen-specific antibodies.</w:t>
      </w:r>
      <w:r w:rsidR="00A92560" w:rsidRPr="00A92560">
        <w:rPr>
          <w:vertAlign w:val="superscript"/>
        </w:rPr>
        <w:t>5</w:t>
      </w:r>
    </w:p>
    <w:p w14:paraId="4A4083F8" w14:textId="77777777" w:rsidR="008F63B1" w:rsidRPr="005342FA" w:rsidRDefault="008F63B1" w:rsidP="008F63B1"/>
    <w:p w14:paraId="28139FA8" w14:textId="02EC6FC6" w:rsidR="008F63B1" w:rsidRPr="005342FA" w:rsidRDefault="008F63B1" w:rsidP="008F63B1">
      <w:r w:rsidRPr="005342FA">
        <w:t xml:space="preserve">Our recent studies have demonstrated that specifically designed </w:t>
      </w:r>
      <w:proofErr w:type="spellStart"/>
      <w:r w:rsidRPr="005342FA">
        <w:t>Seldegs</w:t>
      </w:r>
      <w:proofErr w:type="spellEnd"/>
      <w:r w:rsidRPr="005342FA">
        <w:t xml:space="preserve"> can be used to deplete antibodies specific for the autoantigen, myelin oligodendrocyte glycoprotein (MOG), and the </w:t>
      </w:r>
      <w:proofErr w:type="spellStart"/>
      <w:r w:rsidRPr="005342FA">
        <w:t>tumor</w:t>
      </w:r>
      <w:proofErr w:type="spellEnd"/>
      <w:r w:rsidRPr="005342FA">
        <w:t xml:space="preserve"> target HER</w:t>
      </w:r>
      <w:r w:rsidR="00A92560">
        <w:t>2.</w:t>
      </w:r>
      <w:r w:rsidR="00A92560" w:rsidRPr="00A92560">
        <w:rPr>
          <w:vertAlign w:val="superscript"/>
        </w:rPr>
        <w:t>5,9</w:t>
      </w:r>
      <w:r w:rsidRPr="005342FA">
        <w:t xml:space="preserve"> In addition, we have shown that the depletion of MOG-specific antibodies results in the amelioration of antibody-mediated disease in mice.</w:t>
      </w:r>
      <w:r w:rsidR="00A92560" w:rsidRPr="00A92560">
        <w:rPr>
          <w:vertAlign w:val="superscript"/>
        </w:rPr>
        <w:t>9</w:t>
      </w:r>
      <w:r w:rsidRPr="005342FA">
        <w:t xml:space="preserve"> However, the efficacy of </w:t>
      </w:r>
      <w:proofErr w:type="spellStart"/>
      <w:r w:rsidRPr="005342FA">
        <w:t>Seldegs</w:t>
      </w:r>
      <w:proofErr w:type="spellEnd"/>
      <w:r w:rsidRPr="005342FA">
        <w:t xml:space="preserve"> in reducing background and enhancing contrast during PET analyses in </w:t>
      </w:r>
      <w:proofErr w:type="spellStart"/>
      <w:r w:rsidRPr="005342FA">
        <w:t>tumor</w:t>
      </w:r>
      <w:proofErr w:type="spellEnd"/>
      <w:r w:rsidRPr="005342FA">
        <w:t xml:space="preserve">-bearing mice has not been investigated. In the current study, we describe a strategy using a </w:t>
      </w:r>
      <w:proofErr w:type="spellStart"/>
      <w:r w:rsidRPr="005342FA">
        <w:t>Seldeg</w:t>
      </w:r>
      <w:proofErr w:type="spellEnd"/>
      <w:r w:rsidRPr="005342FA">
        <w:t xml:space="preserve"> that targets HER2-specific antibodies such as pertuzumab</w:t>
      </w:r>
      <w:r w:rsidR="00A92560" w:rsidRPr="00A92560">
        <w:rPr>
          <w:vertAlign w:val="superscript"/>
        </w:rPr>
        <w:t>10</w:t>
      </w:r>
      <w:r w:rsidR="00A92560">
        <w:t xml:space="preserve"> </w:t>
      </w:r>
      <w:r w:rsidRPr="005342FA">
        <w:t xml:space="preserve">to substantially improve contrast during PET. </w:t>
      </w:r>
      <w:r w:rsidRPr="005342FA">
        <w:br w:type="page"/>
      </w:r>
    </w:p>
    <w:p w14:paraId="13E0AC5A" w14:textId="77777777" w:rsidR="008F63B1" w:rsidRPr="005342FA" w:rsidRDefault="008F63B1" w:rsidP="008F63B1">
      <w:pPr>
        <w:spacing w:after="160" w:line="259" w:lineRule="auto"/>
      </w:pPr>
      <w:r w:rsidRPr="005342FA">
        <w:rPr>
          <w:b/>
          <w:bCs/>
        </w:rPr>
        <w:lastRenderedPageBreak/>
        <w:t>Results</w:t>
      </w:r>
    </w:p>
    <w:p w14:paraId="2D40B4A4" w14:textId="055DDDCE" w:rsidR="008F63B1" w:rsidRPr="005342FA" w:rsidRDefault="008F63B1" w:rsidP="008F63B1">
      <w:r w:rsidRPr="005342FA">
        <w:t xml:space="preserve">The design of </w:t>
      </w:r>
      <w:proofErr w:type="spellStart"/>
      <w:r w:rsidRPr="005342FA">
        <w:t>Seldegs</w:t>
      </w:r>
      <w:proofErr w:type="spellEnd"/>
      <w:r w:rsidRPr="005342FA">
        <w:t xml:space="preserve"> and their analysis</w:t>
      </w:r>
      <w:r w:rsidR="00F97452">
        <w:t xml:space="preserve"> </w:t>
      </w:r>
      <w:r w:rsidRPr="005342FA">
        <w:t xml:space="preserve">following purification are shown in Figure 1. For use as a control for the </w:t>
      </w:r>
      <w:proofErr w:type="spellStart"/>
      <w:r w:rsidRPr="005342FA">
        <w:t>Seldeg</w:t>
      </w:r>
      <w:proofErr w:type="spellEnd"/>
      <w:r w:rsidRPr="005342FA">
        <w:t xml:space="preserve"> targeting HER2-specific antibodies (HER2-Seldeg), a </w:t>
      </w:r>
      <w:proofErr w:type="spellStart"/>
      <w:r w:rsidRPr="005342FA">
        <w:t>Seldeg</w:t>
      </w:r>
      <w:proofErr w:type="spellEnd"/>
      <w:r w:rsidRPr="005342FA">
        <w:t xml:space="preserve"> in which extracellular domains I-IV of HER2 were replaced with the extracellular domain of MOG (MOG-</w:t>
      </w:r>
      <w:proofErr w:type="spellStart"/>
      <w:r w:rsidRPr="005342FA">
        <w:t>Seldeg</w:t>
      </w:r>
      <w:proofErr w:type="spellEnd"/>
      <w:r w:rsidRPr="005342FA">
        <w:t>) was produced</w:t>
      </w:r>
      <w:r w:rsidR="007B6FC1">
        <w:t xml:space="preserve"> </w:t>
      </w:r>
      <w:r w:rsidR="007B6FC1" w:rsidRPr="00C52DDD">
        <w:rPr>
          <w:highlight w:val="yellow"/>
        </w:rPr>
        <w:t>(Figure 1a)</w:t>
      </w:r>
      <w:r w:rsidRPr="00C52DDD">
        <w:rPr>
          <w:highlight w:val="yellow"/>
        </w:rPr>
        <w:t xml:space="preserve">. </w:t>
      </w:r>
      <w:r w:rsidR="00F97452" w:rsidRPr="00C52DDD">
        <w:rPr>
          <w:highlight w:val="yellow"/>
        </w:rPr>
        <w:t>SDS</w:t>
      </w:r>
      <w:r w:rsidR="00F97452" w:rsidRPr="00F97452">
        <w:rPr>
          <w:highlight w:val="yellow"/>
        </w:rPr>
        <w:t>-PAGE and HPLC analyses indicated that HER2-Seldeg and MOG-</w:t>
      </w:r>
      <w:proofErr w:type="spellStart"/>
      <w:r w:rsidR="00F97452" w:rsidRPr="00F97452">
        <w:rPr>
          <w:highlight w:val="yellow"/>
        </w:rPr>
        <w:t>Seldeg</w:t>
      </w:r>
      <w:proofErr w:type="spellEnd"/>
      <w:r w:rsidR="00F97452" w:rsidRPr="00F97452">
        <w:rPr>
          <w:highlight w:val="yellow"/>
        </w:rPr>
        <w:t xml:space="preserve"> </w:t>
      </w:r>
      <w:r w:rsidR="0040401A">
        <w:rPr>
          <w:highlight w:val="yellow"/>
        </w:rPr>
        <w:t>were</w:t>
      </w:r>
      <w:r w:rsidR="00F97452" w:rsidRPr="00F97452">
        <w:rPr>
          <w:highlight w:val="yellow"/>
        </w:rPr>
        <w:t xml:space="preserve"> heter</w:t>
      </w:r>
      <w:r w:rsidR="0040401A">
        <w:rPr>
          <w:highlight w:val="yellow"/>
        </w:rPr>
        <w:t>o</w:t>
      </w:r>
      <w:r w:rsidR="00F97452" w:rsidRPr="00F97452">
        <w:rPr>
          <w:highlight w:val="yellow"/>
        </w:rPr>
        <w:t>dimeric (Fig</w:t>
      </w:r>
      <w:r w:rsidR="00035893">
        <w:rPr>
          <w:highlight w:val="yellow"/>
        </w:rPr>
        <w:t>ure</w:t>
      </w:r>
      <w:r w:rsidR="00F97452" w:rsidRPr="00F97452">
        <w:rPr>
          <w:highlight w:val="yellow"/>
        </w:rPr>
        <w:t xml:space="preserve"> 1b, non-reducing conditions) and free of aggregates (Fig</w:t>
      </w:r>
      <w:r w:rsidR="00035893">
        <w:rPr>
          <w:highlight w:val="yellow"/>
        </w:rPr>
        <w:t>ure</w:t>
      </w:r>
      <w:r w:rsidR="00F97452" w:rsidRPr="00F97452">
        <w:rPr>
          <w:highlight w:val="yellow"/>
        </w:rPr>
        <w:t xml:space="preserve"> 1c). </w:t>
      </w:r>
      <w:r w:rsidR="005F406C" w:rsidRPr="00F97452">
        <w:rPr>
          <w:highlight w:val="yellow"/>
        </w:rPr>
        <w:t xml:space="preserve">The </w:t>
      </w:r>
      <w:r w:rsidR="005F406C" w:rsidRPr="005342FA">
        <w:rPr>
          <w:highlight w:val="yellow"/>
        </w:rPr>
        <w:t xml:space="preserve">interactions of HER2-Seldeg with mouse </w:t>
      </w:r>
      <w:proofErr w:type="spellStart"/>
      <w:r w:rsidR="005F406C" w:rsidRPr="005342FA">
        <w:rPr>
          <w:highlight w:val="yellow"/>
        </w:rPr>
        <w:t>FcRn</w:t>
      </w:r>
      <w:proofErr w:type="spellEnd"/>
      <w:r w:rsidR="005F406C" w:rsidRPr="005342FA">
        <w:rPr>
          <w:highlight w:val="yellow"/>
        </w:rPr>
        <w:t xml:space="preserve"> and </w:t>
      </w:r>
      <w:r w:rsidR="00C52DDD">
        <w:rPr>
          <w:highlight w:val="yellow"/>
        </w:rPr>
        <w:t xml:space="preserve">the </w:t>
      </w:r>
      <w:r w:rsidR="005F406C" w:rsidRPr="005342FA">
        <w:rPr>
          <w:highlight w:val="yellow"/>
        </w:rPr>
        <w:t>HER2-specific antibody, pertuzumab,</w:t>
      </w:r>
      <w:r w:rsidR="000E0690" w:rsidRPr="000E0690">
        <w:rPr>
          <w:highlight w:val="yellow"/>
          <w:vertAlign w:val="superscript"/>
        </w:rPr>
        <w:t>10</w:t>
      </w:r>
      <w:r w:rsidR="005F406C" w:rsidRPr="005342FA">
        <w:rPr>
          <w:highlight w:val="yellow"/>
        </w:rPr>
        <w:t xml:space="preserve"> were characterised using SPR (</w:t>
      </w:r>
      <w:proofErr w:type="spellStart"/>
      <w:r w:rsidR="005F406C" w:rsidRPr="005342FA">
        <w:rPr>
          <w:highlight w:val="yellow"/>
        </w:rPr>
        <w:t>BIAcore</w:t>
      </w:r>
      <w:proofErr w:type="spellEnd"/>
      <w:r w:rsidR="005F406C" w:rsidRPr="005342FA">
        <w:rPr>
          <w:highlight w:val="yellow"/>
        </w:rPr>
        <w:t xml:space="preserve">) and resulted in equilibrium dissociation constants </w:t>
      </w:r>
      <w:r w:rsidR="00844E1B" w:rsidRPr="005342FA">
        <w:rPr>
          <w:highlight w:val="yellow"/>
        </w:rPr>
        <w:t>(K</w:t>
      </w:r>
      <w:r w:rsidR="00844E1B" w:rsidRPr="00797650">
        <w:rPr>
          <w:highlight w:val="yellow"/>
          <w:vertAlign w:val="subscript"/>
        </w:rPr>
        <w:t>D</w:t>
      </w:r>
      <w:r w:rsidR="00844E1B" w:rsidRPr="005342FA">
        <w:rPr>
          <w:highlight w:val="yellow"/>
        </w:rPr>
        <w:t xml:space="preserve">s) </w:t>
      </w:r>
      <w:r w:rsidR="005F406C" w:rsidRPr="005342FA">
        <w:rPr>
          <w:highlight w:val="yellow"/>
        </w:rPr>
        <w:t xml:space="preserve">at pH 7.4 of </w:t>
      </w:r>
      <w:r w:rsidR="00BF45E7">
        <w:rPr>
          <w:highlight w:val="yellow"/>
        </w:rPr>
        <w:t>15.6</w:t>
      </w:r>
      <w:r w:rsidR="005F406C" w:rsidRPr="005342FA">
        <w:rPr>
          <w:highlight w:val="yellow"/>
        </w:rPr>
        <w:t xml:space="preserve"> </w:t>
      </w:r>
      <w:proofErr w:type="spellStart"/>
      <w:r w:rsidR="005F406C" w:rsidRPr="005342FA">
        <w:rPr>
          <w:highlight w:val="yellow"/>
        </w:rPr>
        <w:t>nM</w:t>
      </w:r>
      <w:proofErr w:type="spellEnd"/>
      <w:r w:rsidR="005F406C" w:rsidRPr="005342FA">
        <w:rPr>
          <w:highlight w:val="yellow"/>
        </w:rPr>
        <w:t xml:space="preserve"> and </w:t>
      </w:r>
      <w:r w:rsidR="00BF45E7">
        <w:rPr>
          <w:highlight w:val="yellow"/>
        </w:rPr>
        <w:t xml:space="preserve">17.5 </w:t>
      </w:r>
      <w:proofErr w:type="spellStart"/>
      <w:r w:rsidR="00BF45E7">
        <w:rPr>
          <w:highlight w:val="yellow"/>
        </w:rPr>
        <w:t>nM</w:t>
      </w:r>
      <w:proofErr w:type="spellEnd"/>
      <w:r w:rsidR="005F406C" w:rsidRPr="005342FA">
        <w:rPr>
          <w:highlight w:val="yellow"/>
        </w:rPr>
        <w:t xml:space="preserve"> for mouse </w:t>
      </w:r>
      <w:proofErr w:type="spellStart"/>
      <w:r w:rsidR="005F406C" w:rsidRPr="005342FA">
        <w:rPr>
          <w:highlight w:val="yellow"/>
        </w:rPr>
        <w:t>FcRn</w:t>
      </w:r>
      <w:proofErr w:type="spellEnd"/>
      <w:r w:rsidR="005F406C" w:rsidRPr="005342FA">
        <w:rPr>
          <w:highlight w:val="yellow"/>
        </w:rPr>
        <w:t xml:space="preserve"> and </w:t>
      </w:r>
      <w:proofErr w:type="spellStart"/>
      <w:r w:rsidR="005F406C" w:rsidRPr="005342FA">
        <w:rPr>
          <w:highlight w:val="yellow"/>
        </w:rPr>
        <w:t>pertuzumab</w:t>
      </w:r>
      <w:proofErr w:type="spellEnd"/>
      <w:r w:rsidR="005F406C" w:rsidRPr="005342FA">
        <w:rPr>
          <w:highlight w:val="yellow"/>
        </w:rPr>
        <w:t>, respectively</w:t>
      </w:r>
      <w:r w:rsidR="007E0B74">
        <w:rPr>
          <w:highlight w:val="yellow"/>
        </w:rPr>
        <w:t xml:space="preserve"> (Supplementa</w:t>
      </w:r>
      <w:r w:rsidR="0043702F">
        <w:rPr>
          <w:highlight w:val="yellow"/>
        </w:rPr>
        <w:t>ry</w:t>
      </w:r>
      <w:r w:rsidR="007E0B74">
        <w:rPr>
          <w:highlight w:val="yellow"/>
        </w:rPr>
        <w:t xml:space="preserve"> Fig</w:t>
      </w:r>
      <w:r w:rsidR="00035893">
        <w:rPr>
          <w:highlight w:val="yellow"/>
        </w:rPr>
        <w:t xml:space="preserve">ure </w:t>
      </w:r>
      <w:r w:rsidR="007E0B74">
        <w:rPr>
          <w:highlight w:val="yellow"/>
        </w:rPr>
        <w:t>1</w:t>
      </w:r>
      <w:proofErr w:type="gramStart"/>
      <w:r w:rsidR="007E0B74">
        <w:rPr>
          <w:highlight w:val="yellow"/>
        </w:rPr>
        <w:t>a,b</w:t>
      </w:r>
      <w:proofErr w:type="gramEnd"/>
      <w:r w:rsidR="007E0B74">
        <w:rPr>
          <w:highlight w:val="yellow"/>
        </w:rPr>
        <w:t>)</w:t>
      </w:r>
      <w:r w:rsidR="005F406C" w:rsidRPr="005342FA">
        <w:rPr>
          <w:highlight w:val="yellow"/>
        </w:rPr>
        <w:t>. In addition</w:t>
      </w:r>
      <w:r w:rsidR="00844E1B" w:rsidRPr="005342FA">
        <w:rPr>
          <w:highlight w:val="yellow"/>
        </w:rPr>
        <w:t xml:space="preserve">, </w:t>
      </w:r>
      <w:r w:rsidR="005F406C" w:rsidRPr="005342FA">
        <w:rPr>
          <w:highlight w:val="yellow"/>
        </w:rPr>
        <w:t>the K</w:t>
      </w:r>
      <w:r w:rsidR="005F406C" w:rsidRPr="00797650">
        <w:rPr>
          <w:highlight w:val="yellow"/>
          <w:vertAlign w:val="subscript"/>
        </w:rPr>
        <w:t>D</w:t>
      </w:r>
      <w:r w:rsidR="005F406C" w:rsidRPr="005342FA">
        <w:rPr>
          <w:highlight w:val="yellow"/>
        </w:rPr>
        <w:t xml:space="preserve"> of the interaction </w:t>
      </w:r>
      <w:r w:rsidR="00DE3E36">
        <w:rPr>
          <w:highlight w:val="yellow"/>
        </w:rPr>
        <w:t>of</w:t>
      </w:r>
      <w:r w:rsidR="005F406C" w:rsidRPr="005342FA">
        <w:rPr>
          <w:highlight w:val="yellow"/>
        </w:rPr>
        <w:t xml:space="preserve"> HER2-Seldeg with mouse </w:t>
      </w:r>
      <w:proofErr w:type="spellStart"/>
      <w:r w:rsidR="005F406C" w:rsidRPr="005342FA">
        <w:rPr>
          <w:highlight w:val="yellow"/>
        </w:rPr>
        <w:t>FcRn</w:t>
      </w:r>
      <w:proofErr w:type="spellEnd"/>
      <w:r w:rsidR="005F406C" w:rsidRPr="005342FA">
        <w:rPr>
          <w:highlight w:val="yellow"/>
        </w:rPr>
        <w:t xml:space="preserve"> at pH 6.0</w:t>
      </w:r>
      <w:r w:rsidR="007E0B74">
        <w:rPr>
          <w:highlight w:val="yellow"/>
        </w:rPr>
        <w:t xml:space="preserve"> </w:t>
      </w:r>
      <w:r w:rsidR="00BE6FA0">
        <w:rPr>
          <w:highlight w:val="yellow"/>
        </w:rPr>
        <w:t xml:space="preserve">was 5.1 </w:t>
      </w:r>
      <w:proofErr w:type="spellStart"/>
      <w:r w:rsidR="00BE6FA0">
        <w:rPr>
          <w:highlight w:val="yellow"/>
        </w:rPr>
        <w:t>nM</w:t>
      </w:r>
      <w:proofErr w:type="spellEnd"/>
      <w:r w:rsidR="00BE6FA0">
        <w:rPr>
          <w:highlight w:val="yellow"/>
        </w:rPr>
        <w:t xml:space="preserve"> </w:t>
      </w:r>
      <w:r w:rsidR="007E0B74">
        <w:rPr>
          <w:highlight w:val="yellow"/>
        </w:rPr>
        <w:t>(Supplementa</w:t>
      </w:r>
      <w:r w:rsidR="0043702F">
        <w:rPr>
          <w:highlight w:val="yellow"/>
        </w:rPr>
        <w:t>ry</w:t>
      </w:r>
      <w:r w:rsidR="007E0B74">
        <w:rPr>
          <w:highlight w:val="yellow"/>
        </w:rPr>
        <w:t xml:space="preserve"> Fig</w:t>
      </w:r>
      <w:r w:rsidR="00035893">
        <w:rPr>
          <w:highlight w:val="yellow"/>
        </w:rPr>
        <w:t>ure</w:t>
      </w:r>
      <w:r w:rsidR="007E0B74">
        <w:rPr>
          <w:highlight w:val="yellow"/>
        </w:rPr>
        <w:t xml:space="preserve"> 1c)</w:t>
      </w:r>
      <w:r w:rsidR="005F406C" w:rsidRPr="005342FA">
        <w:rPr>
          <w:highlight w:val="yellow"/>
        </w:rPr>
        <w:t>.</w:t>
      </w:r>
      <w:r w:rsidR="008D1B73">
        <w:rPr>
          <w:highlight w:val="yellow"/>
        </w:rPr>
        <w:t xml:space="preserve"> This behaviour is consistent with earlier studies demonstrating that the </w:t>
      </w:r>
      <w:proofErr w:type="spellStart"/>
      <w:r w:rsidR="008D1B73">
        <w:rPr>
          <w:highlight w:val="yellow"/>
        </w:rPr>
        <w:t>FcRn</w:t>
      </w:r>
      <w:proofErr w:type="spellEnd"/>
      <w:r w:rsidR="008D1B73">
        <w:rPr>
          <w:highlight w:val="yellow"/>
        </w:rPr>
        <w:t xml:space="preserve">-enhancing mutations (‘MST-HN’) that are present in the Fc fragment of </w:t>
      </w:r>
      <w:proofErr w:type="spellStart"/>
      <w:r w:rsidR="008D1B73">
        <w:rPr>
          <w:highlight w:val="yellow"/>
        </w:rPr>
        <w:t>Seldegs</w:t>
      </w:r>
      <w:proofErr w:type="spellEnd"/>
      <w:r w:rsidR="008D1B73">
        <w:rPr>
          <w:highlight w:val="yellow"/>
        </w:rPr>
        <w:t xml:space="preserve"> lead to substantial increases in binding to mouse FcRn.</w:t>
      </w:r>
      <w:r w:rsidR="000E0690" w:rsidRPr="000E0690">
        <w:rPr>
          <w:highlight w:val="yellow"/>
          <w:vertAlign w:val="superscript"/>
        </w:rPr>
        <w:t>5,11</w:t>
      </w:r>
      <w:r w:rsidR="008D1B73">
        <w:rPr>
          <w:highlight w:val="yellow"/>
        </w:rPr>
        <w:t xml:space="preserve"> </w:t>
      </w:r>
      <w:r w:rsidRPr="005342FA">
        <w:t>In earlier studies, both HER2- and MOG-</w:t>
      </w:r>
      <w:proofErr w:type="spellStart"/>
      <w:r w:rsidRPr="005342FA">
        <w:t>Seldegs</w:t>
      </w:r>
      <w:proofErr w:type="spellEnd"/>
      <w:r w:rsidRPr="005342FA">
        <w:t xml:space="preserve"> have been shown to deplete antigen-specific antibody levels, whilst not affecting the levels of endogenous IgG, in mice</w:t>
      </w:r>
      <w:r w:rsidR="000E0690">
        <w:t>.</w:t>
      </w:r>
      <w:r w:rsidR="000E0690" w:rsidRPr="000E0690">
        <w:rPr>
          <w:vertAlign w:val="superscript"/>
        </w:rPr>
        <w:t>5</w:t>
      </w:r>
    </w:p>
    <w:p w14:paraId="265EB70B" w14:textId="77777777" w:rsidR="008F63B1" w:rsidRPr="005342FA" w:rsidRDefault="008F63B1" w:rsidP="008F63B1"/>
    <w:p w14:paraId="2F2B7772" w14:textId="3F970CA7" w:rsidR="0088692A" w:rsidRPr="005342FA" w:rsidRDefault="008F63B1" w:rsidP="0088692A">
      <w:pPr>
        <w:rPr>
          <w:color w:val="00B050"/>
        </w:rPr>
      </w:pPr>
      <w:r w:rsidRPr="005342FA">
        <w:t xml:space="preserve">To </w:t>
      </w:r>
      <w:proofErr w:type="spellStart"/>
      <w:r w:rsidRPr="005342FA">
        <w:t>analyze</w:t>
      </w:r>
      <w:proofErr w:type="spellEnd"/>
      <w:r w:rsidRPr="005342FA">
        <w:t xml:space="preserve"> the ability of the HER2-Seldeg to improve contrast during diagnostic imaging, mice were implanted with the HER2-overexpressing </w:t>
      </w:r>
      <w:proofErr w:type="spellStart"/>
      <w:r w:rsidRPr="005342FA">
        <w:t>tumor</w:t>
      </w:r>
      <w:proofErr w:type="spellEnd"/>
      <w:r w:rsidRPr="005342FA">
        <w:t xml:space="preserve"> cell line, HCC1954. Following 7</w:t>
      </w:r>
      <w:r w:rsidRPr="005342FA">
        <w:rPr>
          <w:color w:val="FF0000"/>
        </w:rPr>
        <w:t xml:space="preserve"> </w:t>
      </w:r>
      <w:r w:rsidRPr="005342FA">
        <w:t xml:space="preserve">days, </w:t>
      </w:r>
      <w:proofErr w:type="spellStart"/>
      <w:r w:rsidRPr="005342FA">
        <w:t>tumor</w:t>
      </w:r>
      <w:proofErr w:type="spellEnd"/>
      <w:r w:rsidRPr="005342FA">
        <w:t xml:space="preserve">-bearing mice were injected with </w:t>
      </w:r>
      <w:r w:rsidRPr="005342FA">
        <w:rPr>
          <w:vertAlign w:val="superscript"/>
        </w:rPr>
        <w:t>124</w:t>
      </w:r>
      <w:r w:rsidRPr="005342FA">
        <w:t xml:space="preserve">I-labeled </w:t>
      </w:r>
      <w:proofErr w:type="spellStart"/>
      <w:r w:rsidRPr="005342FA">
        <w:t>pertuzumab</w:t>
      </w:r>
      <w:proofErr w:type="spellEnd"/>
      <w:r w:rsidRPr="005342FA">
        <w:t>. The mice were imaged using PET at 4-6 h post-injection. HER2-Seldeg or controls (MOG-</w:t>
      </w:r>
      <w:proofErr w:type="spellStart"/>
      <w:r w:rsidRPr="005342FA">
        <w:t>Seldeg</w:t>
      </w:r>
      <w:proofErr w:type="spellEnd"/>
      <w:r w:rsidRPr="005342FA">
        <w:t xml:space="preserve"> or PBS vehicle) were delivered in mice (n = 3 mice per treatment group) at 24 h post-</w:t>
      </w:r>
      <w:proofErr w:type="spellStart"/>
      <w:r w:rsidRPr="005342FA">
        <w:t>pertuzumab</w:t>
      </w:r>
      <w:proofErr w:type="spellEnd"/>
      <w:r w:rsidRPr="005342FA">
        <w:t xml:space="preserve"> injection. Delivery of the HER2-Seldeg resulted in a substantial decrease in whole body levels of radiolabel compared with that </w:t>
      </w:r>
      <w:r w:rsidRPr="005342FA">
        <w:lastRenderedPageBreak/>
        <w:t xml:space="preserve">in control groups </w:t>
      </w:r>
      <w:r w:rsidR="00FA2A7A" w:rsidRPr="00FA2A7A">
        <w:rPr>
          <w:highlight w:val="yellow"/>
        </w:rPr>
        <w:t>at 20 h post-</w:t>
      </w:r>
      <w:proofErr w:type="spellStart"/>
      <w:r w:rsidR="00FA2A7A" w:rsidRPr="00FA2A7A">
        <w:rPr>
          <w:highlight w:val="yellow"/>
        </w:rPr>
        <w:t>Seldeg</w:t>
      </w:r>
      <w:proofErr w:type="spellEnd"/>
      <w:r w:rsidR="00FA2A7A" w:rsidRPr="00FA2A7A">
        <w:rPr>
          <w:highlight w:val="yellow"/>
        </w:rPr>
        <w:t xml:space="preserve"> delivery</w:t>
      </w:r>
      <w:r w:rsidR="00FA2A7A">
        <w:t xml:space="preserve"> </w:t>
      </w:r>
      <w:r w:rsidRPr="005342FA">
        <w:t>(Figure 2a). Mice were imaged using PET at 6 or 20 h post-</w:t>
      </w:r>
      <w:proofErr w:type="spellStart"/>
      <w:r w:rsidRPr="005342FA">
        <w:t>Seldeg</w:t>
      </w:r>
      <w:proofErr w:type="spellEnd"/>
      <w:r w:rsidRPr="005342FA">
        <w:t xml:space="preserve"> injection (Figure 2b; Supplementa</w:t>
      </w:r>
      <w:r w:rsidR="0043702F">
        <w:t>ry</w:t>
      </w:r>
      <w:r w:rsidRPr="005342FA">
        <w:t xml:space="preserve"> Videos 1-6). The delivery of HER2-Seldeg </w:t>
      </w:r>
      <w:r w:rsidR="00A74E8C">
        <w:t xml:space="preserve">led to </w:t>
      </w:r>
      <w:proofErr w:type="gramStart"/>
      <w:r w:rsidRPr="005342FA">
        <w:t>2.5-3 fold</w:t>
      </w:r>
      <w:proofErr w:type="gramEnd"/>
      <w:r w:rsidRPr="005342FA">
        <w:t xml:space="preserve"> higher contrast for the </w:t>
      </w:r>
      <w:proofErr w:type="spellStart"/>
      <w:r w:rsidRPr="005342FA">
        <w:t>radiolabeled</w:t>
      </w:r>
      <w:proofErr w:type="spellEnd"/>
      <w:r w:rsidRPr="005342FA">
        <w:t xml:space="preserve"> </w:t>
      </w:r>
      <w:proofErr w:type="spellStart"/>
      <w:r w:rsidRPr="005342FA">
        <w:t>pertuzumab</w:t>
      </w:r>
      <w:proofErr w:type="spellEnd"/>
      <w:r w:rsidRPr="005342FA">
        <w:t xml:space="preserve"> compared with that in control groups (Figure 3; Supplementa</w:t>
      </w:r>
      <w:r w:rsidR="0043702F">
        <w:t>ry</w:t>
      </w:r>
      <w:r w:rsidRPr="005342FA">
        <w:t xml:space="preserve"> Fig</w:t>
      </w:r>
      <w:r w:rsidR="00004A4B" w:rsidRPr="005342FA">
        <w:t>ure</w:t>
      </w:r>
      <w:r w:rsidRPr="005342FA">
        <w:t xml:space="preserve"> </w:t>
      </w:r>
      <w:r w:rsidR="00035893">
        <w:t>2</w:t>
      </w:r>
      <w:r w:rsidRPr="005342FA">
        <w:t>). In addition, and consistent with our earlier biodistribution studies,</w:t>
      </w:r>
      <w:r w:rsidR="000E0690" w:rsidRPr="000E0690">
        <w:rPr>
          <w:vertAlign w:val="superscript"/>
        </w:rPr>
        <w:t>9</w:t>
      </w:r>
      <w:r w:rsidRPr="005342FA">
        <w:t xml:space="preserve"> </w:t>
      </w:r>
      <w:proofErr w:type="spellStart"/>
      <w:r w:rsidRPr="005342FA">
        <w:t>Seldeg</w:t>
      </w:r>
      <w:proofErr w:type="spellEnd"/>
      <w:r w:rsidRPr="005342FA">
        <w:t xml:space="preserve"> injection resulted in the delivery of targeted antibody to the liver (Figure 2b).  In an additional experiment, we observed that although imaging mice at 6 or 8 h post-</w:t>
      </w:r>
      <w:proofErr w:type="spellStart"/>
      <w:r w:rsidRPr="005342FA">
        <w:t>Seldeg</w:t>
      </w:r>
      <w:proofErr w:type="spellEnd"/>
      <w:r w:rsidRPr="005342FA">
        <w:t xml:space="preserve"> delivery </w:t>
      </w:r>
      <w:r w:rsidR="003D217A">
        <w:t xml:space="preserve">led to </w:t>
      </w:r>
      <w:r w:rsidRPr="005342FA">
        <w:t xml:space="preserve">similar contrast measures, analyses at 3 h </w:t>
      </w:r>
      <w:r w:rsidR="004D1014">
        <w:t xml:space="preserve">resulted in </w:t>
      </w:r>
      <w:r w:rsidRPr="005342FA">
        <w:t xml:space="preserve">~2 fold lower contrast </w:t>
      </w:r>
      <w:r w:rsidRPr="005342FA">
        <w:rPr>
          <w:color w:val="000000" w:themeColor="text1"/>
        </w:rPr>
        <w:t>(n = 4 mice, treated with HER2-Seldeg), indicating that by comparison with 6-8 h</w:t>
      </w:r>
      <w:r w:rsidR="00035893">
        <w:rPr>
          <w:color w:val="000000" w:themeColor="text1"/>
        </w:rPr>
        <w:t xml:space="preserve"> </w:t>
      </w:r>
      <w:r w:rsidR="00035893" w:rsidRPr="00035893">
        <w:rPr>
          <w:color w:val="000000" w:themeColor="text1"/>
          <w:highlight w:val="yellow"/>
        </w:rPr>
        <w:t>(Figure 3)</w:t>
      </w:r>
      <w:r w:rsidRPr="005342FA">
        <w:rPr>
          <w:color w:val="000000" w:themeColor="text1"/>
        </w:rPr>
        <w:t xml:space="preserve">, </w:t>
      </w:r>
      <w:proofErr w:type="spellStart"/>
      <w:r w:rsidRPr="005342FA">
        <w:rPr>
          <w:color w:val="000000" w:themeColor="text1"/>
        </w:rPr>
        <w:t>Seldeg</w:t>
      </w:r>
      <w:proofErr w:type="spellEnd"/>
      <w:r w:rsidRPr="005342FA">
        <w:rPr>
          <w:color w:val="000000" w:themeColor="text1"/>
        </w:rPr>
        <w:t xml:space="preserve"> treatment for 3 h is suboptimal for contrast improvement</w:t>
      </w:r>
      <w:r w:rsidR="000A163D">
        <w:rPr>
          <w:color w:val="000000" w:themeColor="text1"/>
        </w:rPr>
        <w:t>.</w:t>
      </w:r>
    </w:p>
    <w:p w14:paraId="1AA0F511" w14:textId="31920A1C" w:rsidR="008F63B1" w:rsidRPr="005342FA" w:rsidRDefault="008F63B1" w:rsidP="008F63B1">
      <w:pPr>
        <w:rPr>
          <w:color w:val="00B050"/>
        </w:rPr>
      </w:pPr>
    </w:p>
    <w:p w14:paraId="5C0D9AF8" w14:textId="77777777" w:rsidR="00751BED" w:rsidRPr="005342FA" w:rsidRDefault="00751BED">
      <w:pPr>
        <w:spacing w:line="240" w:lineRule="auto"/>
        <w:rPr>
          <w:b/>
          <w:bCs/>
        </w:rPr>
      </w:pPr>
      <w:r w:rsidRPr="005342FA">
        <w:rPr>
          <w:b/>
          <w:bCs/>
        </w:rPr>
        <w:br w:type="page"/>
      </w:r>
    </w:p>
    <w:p w14:paraId="158D3C64" w14:textId="59EC5F37" w:rsidR="00751BED" w:rsidRPr="006274DE" w:rsidRDefault="00751BED" w:rsidP="00751BED">
      <w:pPr>
        <w:rPr>
          <w:b/>
          <w:bCs/>
          <w:highlight w:val="yellow"/>
        </w:rPr>
      </w:pPr>
      <w:r w:rsidRPr="006274DE">
        <w:rPr>
          <w:b/>
          <w:bCs/>
          <w:highlight w:val="yellow"/>
        </w:rPr>
        <w:lastRenderedPageBreak/>
        <w:t>Discussion</w:t>
      </w:r>
    </w:p>
    <w:p w14:paraId="66527F53" w14:textId="6A9CCB73" w:rsidR="00751BED" w:rsidRPr="006274DE" w:rsidRDefault="00751BED" w:rsidP="00751BED">
      <w:pPr>
        <w:rPr>
          <w:highlight w:val="yellow"/>
        </w:rPr>
      </w:pPr>
      <w:r w:rsidRPr="006274DE">
        <w:rPr>
          <w:highlight w:val="yellow"/>
        </w:rPr>
        <w:t xml:space="preserve">In the current study we have demonstrated that engineered antigen-Fc fusions with the ability to selectively degrade antigen-specific antibodies can be used to improve contrast during the use of </w:t>
      </w:r>
      <w:proofErr w:type="spellStart"/>
      <w:r w:rsidRPr="006274DE">
        <w:rPr>
          <w:highlight w:val="yellow"/>
        </w:rPr>
        <w:t>radiolabeled</w:t>
      </w:r>
      <w:proofErr w:type="spellEnd"/>
      <w:r w:rsidRPr="006274DE">
        <w:rPr>
          <w:highlight w:val="yellow"/>
        </w:rPr>
        <w:t xml:space="preserve"> HER2-specific antibody, </w:t>
      </w:r>
      <w:proofErr w:type="spellStart"/>
      <w:r w:rsidRPr="006274DE">
        <w:rPr>
          <w:highlight w:val="yellow"/>
        </w:rPr>
        <w:t>pertuzumab</w:t>
      </w:r>
      <w:proofErr w:type="spellEnd"/>
      <w:r w:rsidRPr="006274DE">
        <w:rPr>
          <w:highlight w:val="yellow"/>
        </w:rPr>
        <w:t xml:space="preserve">, to image HER2-positive </w:t>
      </w:r>
      <w:proofErr w:type="spellStart"/>
      <w:r w:rsidRPr="006274DE">
        <w:rPr>
          <w:highlight w:val="yellow"/>
        </w:rPr>
        <w:t>tumors</w:t>
      </w:r>
      <w:proofErr w:type="spellEnd"/>
      <w:r w:rsidRPr="006274DE">
        <w:rPr>
          <w:highlight w:val="yellow"/>
        </w:rPr>
        <w:t>. This novel approach is expected to be broadly applicable, using appropriately engineered antigen-Fc fusions, to imaging with antibodies or other molecular agents specific for different (</w:t>
      </w:r>
      <w:proofErr w:type="spellStart"/>
      <w:r w:rsidRPr="006274DE">
        <w:rPr>
          <w:highlight w:val="yellow"/>
        </w:rPr>
        <w:t>tumor</w:t>
      </w:r>
      <w:proofErr w:type="spellEnd"/>
      <w:r w:rsidRPr="006274DE">
        <w:rPr>
          <w:highlight w:val="yellow"/>
        </w:rPr>
        <w:t xml:space="preserve">) targets. Importantly, through their ability to bind and internalize antibodies with a particular specificity into lysosomes in cells, </w:t>
      </w:r>
      <w:proofErr w:type="spellStart"/>
      <w:r w:rsidRPr="006274DE">
        <w:rPr>
          <w:highlight w:val="yellow"/>
        </w:rPr>
        <w:t>Seldegs</w:t>
      </w:r>
      <w:proofErr w:type="spellEnd"/>
      <w:r w:rsidRPr="006274DE">
        <w:rPr>
          <w:highlight w:val="yellow"/>
        </w:rPr>
        <w:t xml:space="preserve"> do not affect the levels of endogenous, protective antibodies</w:t>
      </w:r>
      <w:r w:rsidR="007044A4">
        <w:rPr>
          <w:highlight w:val="yellow"/>
        </w:rPr>
        <w:t>.</w:t>
      </w:r>
      <w:r w:rsidR="007044A4" w:rsidRPr="007044A4">
        <w:rPr>
          <w:highlight w:val="yellow"/>
          <w:vertAlign w:val="superscript"/>
        </w:rPr>
        <w:t>5</w:t>
      </w:r>
      <w:r w:rsidRPr="006274DE">
        <w:rPr>
          <w:highlight w:val="yellow"/>
        </w:rPr>
        <w:t xml:space="preserve"> </w:t>
      </w:r>
    </w:p>
    <w:p w14:paraId="05EB84EF" w14:textId="77777777" w:rsidR="00751BED" w:rsidRPr="006274DE" w:rsidRDefault="00751BED" w:rsidP="00751BED">
      <w:pPr>
        <w:rPr>
          <w:highlight w:val="yellow"/>
        </w:rPr>
      </w:pPr>
    </w:p>
    <w:p w14:paraId="375784AA" w14:textId="1DE31BF1" w:rsidR="00751BED" w:rsidRPr="006274DE" w:rsidRDefault="00751BED" w:rsidP="00751BED">
      <w:pPr>
        <w:rPr>
          <w:highlight w:val="yellow"/>
        </w:rPr>
      </w:pPr>
      <w:r w:rsidRPr="006274DE">
        <w:rPr>
          <w:highlight w:val="yellow"/>
        </w:rPr>
        <w:t xml:space="preserve">When used as imaging agents, the prolonged </w:t>
      </w:r>
      <w:r w:rsidRPr="006274DE">
        <w:rPr>
          <w:i/>
          <w:iCs/>
          <w:highlight w:val="yellow"/>
        </w:rPr>
        <w:t>in vivo</w:t>
      </w:r>
      <w:r w:rsidRPr="006274DE">
        <w:rPr>
          <w:highlight w:val="yellow"/>
        </w:rPr>
        <w:t xml:space="preserve"> persistence of antibodies necessitates intervals of up to 7 days between the delivery of </w:t>
      </w:r>
      <w:proofErr w:type="spellStart"/>
      <w:r w:rsidRPr="006274DE">
        <w:rPr>
          <w:highlight w:val="yellow"/>
        </w:rPr>
        <w:t>radiolabeled</w:t>
      </w:r>
      <w:proofErr w:type="spellEnd"/>
      <w:r w:rsidRPr="006274DE">
        <w:rPr>
          <w:highlight w:val="yellow"/>
        </w:rPr>
        <w:t xml:space="preserve"> antibody and PET (or other imaging modality).</w:t>
      </w:r>
      <w:r w:rsidR="007044A4" w:rsidRPr="007044A4">
        <w:rPr>
          <w:highlight w:val="yellow"/>
          <w:vertAlign w:val="superscript"/>
        </w:rPr>
        <w:t>12,13</w:t>
      </w:r>
      <w:r w:rsidRPr="006274DE">
        <w:rPr>
          <w:highlight w:val="yellow"/>
        </w:rPr>
        <w:t xml:space="preserve"> This wait time can lead to undesirable exposure of normal tissue to radiation. </w:t>
      </w:r>
      <w:proofErr w:type="spellStart"/>
      <w:r w:rsidRPr="006274DE">
        <w:rPr>
          <w:highlight w:val="yellow"/>
        </w:rPr>
        <w:t>Pretargeting</w:t>
      </w:r>
      <w:proofErr w:type="spellEnd"/>
      <w:r w:rsidRPr="006274DE">
        <w:rPr>
          <w:highlight w:val="yellow"/>
        </w:rPr>
        <w:t xml:space="preserve">, involving the delivery of </w:t>
      </w:r>
      <w:proofErr w:type="spellStart"/>
      <w:r w:rsidRPr="006274DE">
        <w:rPr>
          <w:highlight w:val="yellow"/>
        </w:rPr>
        <w:t>unlabeled</w:t>
      </w:r>
      <w:proofErr w:type="spellEnd"/>
      <w:r w:rsidRPr="006274DE">
        <w:rPr>
          <w:highlight w:val="yellow"/>
        </w:rPr>
        <w:t xml:space="preserve">, derivatized antibody followed by injection of </w:t>
      </w:r>
      <w:proofErr w:type="spellStart"/>
      <w:r w:rsidRPr="006274DE">
        <w:rPr>
          <w:highlight w:val="yellow"/>
        </w:rPr>
        <w:t>radiolabeled</w:t>
      </w:r>
      <w:proofErr w:type="spellEnd"/>
      <w:r w:rsidRPr="006274DE">
        <w:rPr>
          <w:highlight w:val="yellow"/>
        </w:rPr>
        <w:t xml:space="preserve"> PET probe that is designed to conjugate to the antibody, has been developed as an approach to overcome this problem</w:t>
      </w:r>
      <w:r w:rsidR="007044A4">
        <w:rPr>
          <w:highlight w:val="yellow"/>
        </w:rPr>
        <w:t>.</w:t>
      </w:r>
      <w:r w:rsidR="007044A4" w:rsidRPr="007044A4">
        <w:rPr>
          <w:highlight w:val="yellow"/>
          <w:vertAlign w:val="superscript"/>
        </w:rPr>
        <w:t>14,15</w:t>
      </w:r>
      <w:r w:rsidRPr="006274DE">
        <w:rPr>
          <w:highlight w:val="yellow"/>
        </w:rPr>
        <w:t xml:space="preserve"> Shortcomings of </w:t>
      </w:r>
      <w:proofErr w:type="spellStart"/>
      <w:r w:rsidRPr="006274DE">
        <w:rPr>
          <w:highlight w:val="yellow"/>
        </w:rPr>
        <w:t>pretargeting</w:t>
      </w:r>
      <w:proofErr w:type="spellEnd"/>
      <w:r w:rsidRPr="006274DE">
        <w:rPr>
          <w:highlight w:val="yellow"/>
        </w:rPr>
        <w:t xml:space="preserve"> are the need for wait times for unbound, long-lived antibody to clear and the use of high levels of radiolabel. The application of </w:t>
      </w:r>
      <w:proofErr w:type="spellStart"/>
      <w:r w:rsidRPr="006274DE">
        <w:rPr>
          <w:highlight w:val="yellow"/>
        </w:rPr>
        <w:t>Seldegs</w:t>
      </w:r>
      <w:proofErr w:type="spellEnd"/>
      <w:r w:rsidRPr="006274DE">
        <w:rPr>
          <w:highlight w:val="yellow"/>
        </w:rPr>
        <w:t xml:space="preserve"> is expected to enable the exposure time to radiolabel to be substantially shortened due to the ability of these Fc fusions to deplete targeted antibody levels in the circulation within several hours of delivery</w:t>
      </w:r>
      <w:r w:rsidR="007044A4">
        <w:rPr>
          <w:highlight w:val="yellow"/>
        </w:rPr>
        <w:t>.</w:t>
      </w:r>
      <w:r w:rsidR="007044A4" w:rsidRPr="007044A4">
        <w:rPr>
          <w:highlight w:val="yellow"/>
          <w:vertAlign w:val="superscript"/>
        </w:rPr>
        <w:t>5</w:t>
      </w:r>
      <w:r w:rsidRPr="006274DE">
        <w:rPr>
          <w:highlight w:val="yellow"/>
        </w:rPr>
        <w:t xml:space="preserve"> In this context, although the use of antibody fragments with considerably reduced </w:t>
      </w:r>
      <w:r w:rsidRPr="006274DE">
        <w:rPr>
          <w:i/>
          <w:iCs/>
          <w:highlight w:val="yellow"/>
        </w:rPr>
        <w:t>in vivo</w:t>
      </w:r>
      <w:r w:rsidRPr="006274DE">
        <w:rPr>
          <w:highlight w:val="yellow"/>
        </w:rPr>
        <w:t xml:space="preserve"> half-lives can be used to reduce radiation exposure times,</w:t>
      </w:r>
      <w:r w:rsidR="007044A4" w:rsidRPr="007044A4">
        <w:rPr>
          <w:highlight w:val="yellow"/>
          <w:vertAlign w:val="superscript"/>
        </w:rPr>
        <w:t>16,17</w:t>
      </w:r>
      <w:r w:rsidRPr="006274DE">
        <w:rPr>
          <w:highlight w:val="yellow"/>
        </w:rPr>
        <w:t xml:space="preserve"> the short half-life of the imaging agent can limit the levels that accumulate in the </w:t>
      </w:r>
      <w:proofErr w:type="spellStart"/>
      <w:r w:rsidRPr="006274DE">
        <w:rPr>
          <w:highlight w:val="yellow"/>
        </w:rPr>
        <w:t>tumor</w:t>
      </w:r>
      <w:proofErr w:type="spellEnd"/>
      <w:r w:rsidRPr="006274DE">
        <w:rPr>
          <w:highlight w:val="yellow"/>
        </w:rPr>
        <w:t xml:space="preserve">. Alternatively, high dose intravenous immunoglobulin (IVIG), which acts as a competitor with endogenous IgG for binding to the salvage receptor, </w:t>
      </w:r>
      <w:proofErr w:type="spellStart"/>
      <w:r w:rsidRPr="006274DE">
        <w:rPr>
          <w:highlight w:val="yellow"/>
        </w:rPr>
        <w:t>FcRn</w:t>
      </w:r>
      <w:proofErr w:type="spellEnd"/>
      <w:r w:rsidRPr="006274DE">
        <w:rPr>
          <w:highlight w:val="yellow"/>
        </w:rPr>
        <w:t xml:space="preserve">, has been </w:t>
      </w:r>
      <w:r w:rsidRPr="006274DE">
        <w:rPr>
          <w:highlight w:val="yellow"/>
        </w:rPr>
        <w:lastRenderedPageBreak/>
        <w:t xml:space="preserve">used to clear background during imaging with </w:t>
      </w:r>
      <w:proofErr w:type="spellStart"/>
      <w:r w:rsidRPr="006274DE">
        <w:rPr>
          <w:highlight w:val="yellow"/>
        </w:rPr>
        <w:t>labeled</w:t>
      </w:r>
      <w:proofErr w:type="spellEnd"/>
      <w:r w:rsidRPr="006274DE">
        <w:rPr>
          <w:highlight w:val="yellow"/>
        </w:rPr>
        <w:t xml:space="preserve"> antibodies</w:t>
      </w:r>
      <w:r w:rsidR="007044A4">
        <w:rPr>
          <w:highlight w:val="yellow"/>
        </w:rPr>
        <w:t>.</w:t>
      </w:r>
      <w:r w:rsidR="007044A4" w:rsidRPr="007044A4">
        <w:rPr>
          <w:highlight w:val="yellow"/>
          <w:vertAlign w:val="superscript"/>
        </w:rPr>
        <w:t>3,12</w:t>
      </w:r>
      <w:r w:rsidRPr="006274DE">
        <w:rPr>
          <w:highlight w:val="yellow"/>
        </w:rPr>
        <w:t xml:space="preserve"> In addition to reducing </w:t>
      </w:r>
      <w:proofErr w:type="spellStart"/>
      <w:r w:rsidRPr="006274DE">
        <w:rPr>
          <w:highlight w:val="yellow"/>
        </w:rPr>
        <w:t>radiolabeled</w:t>
      </w:r>
      <w:proofErr w:type="spellEnd"/>
      <w:r w:rsidRPr="006274DE">
        <w:rPr>
          <w:highlight w:val="yellow"/>
        </w:rPr>
        <w:t xml:space="preserve"> antibody levels, this </w:t>
      </w:r>
      <w:r w:rsidR="002953F0">
        <w:rPr>
          <w:highlight w:val="yellow"/>
        </w:rPr>
        <w:t xml:space="preserve">can </w:t>
      </w:r>
      <w:r w:rsidRPr="006274DE">
        <w:rPr>
          <w:highlight w:val="yellow"/>
        </w:rPr>
        <w:t xml:space="preserve">result in decreases in endogenous antibody (IgG) levels for up to several weeks due to the pharmacokinetic </w:t>
      </w:r>
      <w:proofErr w:type="spellStart"/>
      <w:r w:rsidRPr="006274DE">
        <w:rPr>
          <w:highlight w:val="yellow"/>
        </w:rPr>
        <w:t>behavior</w:t>
      </w:r>
      <w:proofErr w:type="spellEnd"/>
      <w:r w:rsidRPr="006274DE">
        <w:rPr>
          <w:highlight w:val="yellow"/>
        </w:rPr>
        <w:t xml:space="preserve"> of IVIG.</w:t>
      </w:r>
      <w:r w:rsidR="007044A4" w:rsidRPr="007044A4">
        <w:rPr>
          <w:highlight w:val="yellow"/>
          <w:vertAlign w:val="superscript"/>
        </w:rPr>
        <w:t>18,19</w:t>
      </w:r>
      <w:r w:rsidRPr="006274DE">
        <w:rPr>
          <w:highlight w:val="yellow"/>
        </w:rPr>
        <w:t xml:space="preserve"> </w:t>
      </w:r>
      <w:r w:rsidR="005B506F">
        <w:rPr>
          <w:highlight w:val="yellow"/>
        </w:rPr>
        <w:t xml:space="preserve">Alternatively, an </w:t>
      </w:r>
      <w:r w:rsidRPr="006274DE">
        <w:rPr>
          <w:highlight w:val="yellow"/>
        </w:rPr>
        <w:t xml:space="preserve">engineered, high affinity antagonist of </w:t>
      </w:r>
      <w:proofErr w:type="spellStart"/>
      <w:r w:rsidRPr="006274DE">
        <w:rPr>
          <w:highlight w:val="yellow"/>
        </w:rPr>
        <w:t>FcRn</w:t>
      </w:r>
      <w:proofErr w:type="spellEnd"/>
      <w:r w:rsidRPr="006274DE">
        <w:rPr>
          <w:highlight w:val="yellow"/>
        </w:rPr>
        <w:t xml:space="preserve"> with relatively short </w:t>
      </w:r>
      <w:r w:rsidRPr="006274DE">
        <w:rPr>
          <w:i/>
          <w:iCs/>
          <w:highlight w:val="yellow"/>
        </w:rPr>
        <w:t>in vivo</w:t>
      </w:r>
      <w:r w:rsidRPr="006274DE">
        <w:rPr>
          <w:highlight w:val="yellow"/>
        </w:rPr>
        <w:t xml:space="preserve"> persistence </w:t>
      </w:r>
      <w:r w:rsidR="005B506F">
        <w:rPr>
          <w:highlight w:val="yellow"/>
        </w:rPr>
        <w:t xml:space="preserve">has been used </w:t>
      </w:r>
      <w:r w:rsidRPr="006274DE">
        <w:rPr>
          <w:highlight w:val="yellow"/>
        </w:rPr>
        <w:t>to enhance PET contrast,</w:t>
      </w:r>
      <w:r w:rsidR="002953F0" w:rsidRPr="002953F0">
        <w:rPr>
          <w:highlight w:val="yellow"/>
          <w:vertAlign w:val="superscript"/>
        </w:rPr>
        <w:t xml:space="preserve"> </w:t>
      </w:r>
      <w:r w:rsidR="002953F0" w:rsidRPr="007044A4">
        <w:rPr>
          <w:highlight w:val="yellow"/>
          <w:vertAlign w:val="superscript"/>
        </w:rPr>
        <w:t>20,21</w:t>
      </w:r>
      <w:r w:rsidRPr="006274DE">
        <w:rPr>
          <w:highlight w:val="yellow"/>
        </w:rPr>
        <w:t xml:space="preserve"> </w:t>
      </w:r>
      <w:r w:rsidR="005B506F">
        <w:rPr>
          <w:highlight w:val="yellow"/>
        </w:rPr>
        <w:t xml:space="preserve">but </w:t>
      </w:r>
      <w:r w:rsidRPr="006274DE">
        <w:rPr>
          <w:highlight w:val="yellow"/>
        </w:rPr>
        <w:t xml:space="preserve">this approach also results in the lowering of </w:t>
      </w:r>
      <w:proofErr w:type="spellStart"/>
      <w:r w:rsidRPr="006274DE">
        <w:rPr>
          <w:highlight w:val="yellow"/>
        </w:rPr>
        <w:t>IgGs</w:t>
      </w:r>
      <w:proofErr w:type="spellEnd"/>
      <w:r w:rsidRPr="006274DE">
        <w:rPr>
          <w:highlight w:val="yellow"/>
        </w:rPr>
        <w:t xml:space="preserve"> independent of their specificity</w:t>
      </w:r>
      <w:r w:rsidR="007044A4">
        <w:rPr>
          <w:highlight w:val="yellow"/>
        </w:rPr>
        <w:t>.</w:t>
      </w:r>
      <w:r w:rsidRPr="006274DE">
        <w:rPr>
          <w:highlight w:val="yellow"/>
        </w:rPr>
        <w:t xml:space="preserve"> </w:t>
      </w:r>
    </w:p>
    <w:p w14:paraId="33893E4F" w14:textId="77777777" w:rsidR="00751BED" w:rsidRPr="006274DE" w:rsidRDefault="00751BED" w:rsidP="00751BED">
      <w:pPr>
        <w:rPr>
          <w:highlight w:val="yellow"/>
        </w:rPr>
      </w:pPr>
    </w:p>
    <w:p w14:paraId="33281A4B" w14:textId="77777777" w:rsidR="00751BED" w:rsidRPr="005342FA" w:rsidRDefault="00751BED" w:rsidP="00751BED">
      <w:r w:rsidRPr="006274DE">
        <w:rPr>
          <w:highlight w:val="yellow"/>
        </w:rPr>
        <w:t xml:space="preserve">In summary, </w:t>
      </w:r>
      <w:proofErr w:type="spellStart"/>
      <w:r w:rsidRPr="006274DE">
        <w:rPr>
          <w:highlight w:val="yellow"/>
        </w:rPr>
        <w:t>Seldegs</w:t>
      </w:r>
      <w:proofErr w:type="spellEnd"/>
      <w:r w:rsidRPr="006274DE">
        <w:rPr>
          <w:highlight w:val="yellow"/>
        </w:rPr>
        <w:t xml:space="preserve"> have the potential to provide an alternative, highly specific strategy to improve contrast and reduce background during diagnostic imaging. Further, the utility of </w:t>
      </w:r>
      <w:proofErr w:type="spellStart"/>
      <w:r w:rsidRPr="006274DE">
        <w:rPr>
          <w:highlight w:val="yellow"/>
        </w:rPr>
        <w:t>Seldegs</w:t>
      </w:r>
      <w:proofErr w:type="spellEnd"/>
      <w:r w:rsidRPr="006274DE">
        <w:rPr>
          <w:highlight w:val="yellow"/>
        </w:rPr>
        <w:t xml:space="preserve"> not only has relevance to the effective use of antibodies in imaging, but also to other classes of molecular diagnostics for which the regulated clearance of circulating agent is desirable.</w:t>
      </w:r>
      <w:r w:rsidRPr="005342FA">
        <w:t xml:space="preserve">  </w:t>
      </w:r>
    </w:p>
    <w:p w14:paraId="3A9DFC7F" w14:textId="77777777" w:rsidR="00751BED" w:rsidRPr="005342FA" w:rsidRDefault="00751BED">
      <w:pPr>
        <w:spacing w:line="240" w:lineRule="auto"/>
        <w:rPr>
          <w:b/>
          <w:bCs/>
        </w:rPr>
      </w:pPr>
      <w:r w:rsidRPr="005342FA">
        <w:rPr>
          <w:b/>
          <w:bCs/>
        </w:rPr>
        <w:br w:type="page"/>
      </w:r>
    </w:p>
    <w:p w14:paraId="331BD7F0" w14:textId="580E60A2" w:rsidR="008F63B1" w:rsidRPr="005342FA" w:rsidRDefault="008F63B1" w:rsidP="008F63B1">
      <w:pPr>
        <w:rPr>
          <w:b/>
          <w:bCs/>
        </w:rPr>
      </w:pPr>
      <w:r w:rsidRPr="005342FA">
        <w:rPr>
          <w:b/>
          <w:bCs/>
        </w:rPr>
        <w:lastRenderedPageBreak/>
        <w:t>Materials and Methods</w:t>
      </w:r>
    </w:p>
    <w:p w14:paraId="4E37D8D8" w14:textId="77777777" w:rsidR="008F63B1" w:rsidRPr="005342FA" w:rsidRDefault="008F63B1" w:rsidP="008F63B1">
      <w:pPr>
        <w:rPr>
          <w:b/>
          <w:bCs/>
          <w:i/>
          <w:iCs/>
        </w:rPr>
      </w:pPr>
      <w:r w:rsidRPr="005342FA">
        <w:rPr>
          <w:b/>
          <w:bCs/>
          <w:i/>
          <w:iCs/>
        </w:rPr>
        <w:t xml:space="preserve">Antibodies and </w:t>
      </w:r>
      <w:proofErr w:type="spellStart"/>
      <w:r w:rsidRPr="005342FA">
        <w:rPr>
          <w:b/>
          <w:bCs/>
          <w:i/>
          <w:iCs/>
        </w:rPr>
        <w:t>radiolabeling</w:t>
      </w:r>
      <w:proofErr w:type="spellEnd"/>
    </w:p>
    <w:p w14:paraId="4F86BB52" w14:textId="02358E99" w:rsidR="008F63B1" w:rsidRPr="005342FA" w:rsidRDefault="008F63B1" w:rsidP="008F63B1">
      <w:r w:rsidRPr="005342FA">
        <w:t>Pertuzumab</w:t>
      </w:r>
      <w:r w:rsidR="007044A4" w:rsidRPr="007044A4">
        <w:rPr>
          <w:vertAlign w:val="superscript"/>
        </w:rPr>
        <w:t>10</w:t>
      </w:r>
      <w:r w:rsidRPr="005342FA">
        <w:t xml:space="preserve"> was obtained from the UT Southwestern Medical </w:t>
      </w:r>
      <w:proofErr w:type="spellStart"/>
      <w:r w:rsidRPr="005342FA">
        <w:t>Center</w:t>
      </w:r>
      <w:proofErr w:type="spellEnd"/>
      <w:r w:rsidRPr="005342FA">
        <w:t xml:space="preserve"> Pharmacy (University of Texas Southwestern</w:t>
      </w:r>
      <w:r w:rsidR="0098203E">
        <w:t xml:space="preserve"> Medical </w:t>
      </w:r>
      <w:proofErr w:type="spellStart"/>
      <w:r w:rsidR="0098203E">
        <w:t>Center</w:t>
      </w:r>
      <w:proofErr w:type="spellEnd"/>
      <w:r w:rsidR="0098203E">
        <w:t>, Dallas, TX</w:t>
      </w:r>
      <w:r w:rsidRPr="005342FA">
        <w:t xml:space="preserve">) and was </w:t>
      </w:r>
      <w:proofErr w:type="spellStart"/>
      <w:r w:rsidRPr="005342FA">
        <w:t>labeled</w:t>
      </w:r>
      <w:proofErr w:type="spellEnd"/>
      <w:r w:rsidRPr="005342FA">
        <w:t xml:space="preserve"> with </w:t>
      </w:r>
      <w:r w:rsidRPr="005342FA">
        <w:rPr>
          <w:vertAlign w:val="superscript"/>
        </w:rPr>
        <w:t>124</w:t>
      </w:r>
      <w:r w:rsidRPr="005342FA">
        <w:t xml:space="preserve">I (PerkinElmer) using the </w:t>
      </w:r>
      <w:proofErr w:type="spellStart"/>
      <w:r w:rsidRPr="005342FA">
        <w:t>Iodogen</w:t>
      </w:r>
      <w:proofErr w:type="spellEnd"/>
      <w:r w:rsidRPr="005342FA">
        <w:t xml:space="preserve"> reagent in pre-coated tubes (Pierce)</w:t>
      </w:r>
      <w:r w:rsidR="0098203E">
        <w:t>.</w:t>
      </w:r>
      <w:r w:rsidR="0098203E" w:rsidRPr="0098203E">
        <w:rPr>
          <w:vertAlign w:val="superscript"/>
        </w:rPr>
        <w:t>11</w:t>
      </w:r>
      <w:r w:rsidRPr="005342FA">
        <w:t xml:space="preserve"> </w:t>
      </w:r>
      <w:r w:rsidRPr="005342FA">
        <w:rPr>
          <w:rFonts w:cstheme="minorHAnsi"/>
        </w:rPr>
        <w:t xml:space="preserve">The </w:t>
      </w:r>
      <w:r w:rsidRPr="005342FA">
        <w:t>Na</w:t>
      </w:r>
      <w:r w:rsidRPr="005342FA">
        <w:rPr>
          <w:vertAlign w:val="superscript"/>
        </w:rPr>
        <w:t>124</w:t>
      </w:r>
      <w:r w:rsidRPr="005342FA">
        <w:t xml:space="preserve">I </w:t>
      </w:r>
      <w:r w:rsidRPr="005342FA">
        <w:rPr>
          <w:rFonts w:cstheme="minorHAnsi"/>
        </w:rPr>
        <w:t>(369 µ</w:t>
      </w:r>
      <w:r w:rsidRPr="005342FA">
        <w:t xml:space="preserve">Ci; 13.65 MBq; PerkinElmer) solution was firstly mixed with </w:t>
      </w:r>
      <w:proofErr w:type="spellStart"/>
      <w:r w:rsidRPr="005342FA">
        <w:rPr>
          <w:rFonts w:cstheme="minorHAnsi"/>
        </w:rPr>
        <w:t>Na</w:t>
      </w:r>
      <w:r w:rsidRPr="005342FA">
        <w:rPr>
          <w:vertAlign w:val="superscript"/>
        </w:rPr>
        <w:t>nat</w:t>
      </w:r>
      <w:r w:rsidRPr="005342FA">
        <w:rPr>
          <w:rFonts w:cstheme="minorHAnsi"/>
        </w:rPr>
        <w:t>I</w:t>
      </w:r>
      <w:proofErr w:type="spellEnd"/>
      <w:r w:rsidRPr="005342FA">
        <w:rPr>
          <w:rFonts w:cstheme="minorHAnsi"/>
        </w:rPr>
        <w:t xml:space="preserve"> </w:t>
      </w:r>
      <w:r w:rsidRPr="005342FA">
        <w:t xml:space="preserve">(667 </w:t>
      </w:r>
      <w:proofErr w:type="spellStart"/>
      <w:r w:rsidRPr="005342FA">
        <w:t>pmol</w:t>
      </w:r>
      <w:proofErr w:type="spellEnd"/>
      <w:r w:rsidRPr="005342FA">
        <w:t xml:space="preserve">, 0.1 </w:t>
      </w:r>
      <w:r w:rsidRPr="005342FA">
        <w:rPr>
          <w:rFonts w:cstheme="minorHAnsi"/>
        </w:rPr>
        <w:t>µg, 10 µ</w:t>
      </w:r>
      <w:r w:rsidRPr="005342FA">
        <w:t xml:space="preserve">l) </w:t>
      </w:r>
      <w:r w:rsidRPr="005342FA">
        <w:rPr>
          <w:rFonts w:cstheme="minorHAnsi"/>
        </w:rPr>
        <w:t>solution and then added to</w:t>
      </w:r>
      <w:r w:rsidRPr="005342FA">
        <w:t xml:space="preserve"> each </w:t>
      </w:r>
      <w:proofErr w:type="spellStart"/>
      <w:r w:rsidRPr="005342FA">
        <w:t>Iodogen</w:t>
      </w:r>
      <w:proofErr w:type="spellEnd"/>
      <w:r w:rsidRPr="005342FA">
        <w:t xml:space="preserve"> tube containing ~246 </w:t>
      </w:r>
      <w:r w:rsidRPr="005342FA">
        <w:rPr>
          <w:rFonts w:cstheme="minorHAnsi"/>
        </w:rPr>
        <w:t>µ</w:t>
      </w:r>
      <w:r w:rsidRPr="005342FA">
        <w:t xml:space="preserve">g </w:t>
      </w:r>
      <w:proofErr w:type="spellStart"/>
      <w:r w:rsidRPr="005342FA">
        <w:t>pertuzumab</w:t>
      </w:r>
      <w:proofErr w:type="spellEnd"/>
      <w:r w:rsidRPr="005342FA">
        <w:t xml:space="preserve"> in phosphate buffered saline (PBS). The iodination reaction was carried out for 15 min at room temperature. At the end of the reaction, the product solution was mixed with 10 µl of 10 mg/ml L-ascorbic acid solution in a 5 ml tube to reduce radiolysis of the </w:t>
      </w:r>
      <w:proofErr w:type="spellStart"/>
      <w:r w:rsidRPr="005342FA">
        <w:t>radiolabeled</w:t>
      </w:r>
      <w:proofErr w:type="spellEnd"/>
      <w:r w:rsidRPr="005342FA">
        <w:t xml:space="preserve"> antibody,</w:t>
      </w:r>
      <w:r w:rsidR="007044A4" w:rsidRPr="007044A4">
        <w:rPr>
          <w:vertAlign w:val="superscript"/>
        </w:rPr>
        <w:t>22</w:t>
      </w:r>
      <w:r w:rsidRPr="005342FA">
        <w:t xml:space="preserve"> and </w:t>
      </w:r>
      <w:proofErr w:type="spellStart"/>
      <w:r w:rsidRPr="005342FA">
        <w:t>radiolabeled</w:t>
      </w:r>
      <w:proofErr w:type="spellEnd"/>
      <w:r w:rsidRPr="005342FA">
        <w:t xml:space="preserve"> </w:t>
      </w:r>
      <w:proofErr w:type="spellStart"/>
      <w:r w:rsidRPr="005342FA">
        <w:t>pertuzumab</w:t>
      </w:r>
      <w:proofErr w:type="spellEnd"/>
      <w:r w:rsidRPr="005342FA">
        <w:t xml:space="preserve"> was isolated using a 10 </w:t>
      </w:r>
      <w:proofErr w:type="spellStart"/>
      <w:r w:rsidRPr="005342FA">
        <w:t>kDa</w:t>
      </w:r>
      <w:proofErr w:type="spellEnd"/>
      <w:r w:rsidRPr="005342FA">
        <w:t xml:space="preserve"> </w:t>
      </w:r>
      <w:proofErr w:type="spellStart"/>
      <w:r w:rsidRPr="005342FA">
        <w:t>Amicon</w:t>
      </w:r>
      <w:proofErr w:type="spellEnd"/>
      <w:r w:rsidRPr="005342FA">
        <w:t xml:space="preserve"> Ultra-4 centrifugal filter unit (Millipore Sigma). </w:t>
      </w:r>
      <w:proofErr w:type="spellStart"/>
      <w:r w:rsidRPr="005342FA">
        <w:t>Radiolabeled</w:t>
      </w:r>
      <w:proofErr w:type="spellEnd"/>
      <w:r w:rsidRPr="005342FA">
        <w:t xml:space="preserve"> </w:t>
      </w:r>
      <w:proofErr w:type="spellStart"/>
      <w:r w:rsidRPr="005342FA">
        <w:t>pertuzumab</w:t>
      </w:r>
      <w:proofErr w:type="spellEnd"/>
      <w:r w:rsidRPr="005342FA">
        <w:t xml:space="preserve"> was </w:t>
      </w:r>
      <w:proofErr w:type="spellStart"/>
      <w:r w:rsidRPr="005342FA">
        <w:t>analyzed</w:t>
      </w:r>
      <w:proofErr w:type="spellEnd"/>
      <w:r w:rsidRPr="005342FA">
        <w:t xml:space="preserve"> using instant thin layer chromatography medium (</w:t>
      </w:r>
      <w:proofErr w:type="spellStart"/>
      <w:r w:rsidRPr="005342FA">
        <w:t>iTLC</w:t>
      </w:r>
      <w:proofErr w:type="spellEnd"/>
      <w:r w:rsidRPr="005342FA">
        <w:t xml:space="preserve">) and PBS as the developing solution, and the radiochemical purity of the </w:t>
      </w:r>
      <w:r w:rsidRPr="005342FA">
        <w:rPr>
          <w:vertAlign w:val="superscript"/>
        </w:rPr>
        <w:t>124</w:t>
      </w:r>
      <w:r w:rsidRPr="005342FA">
        <w:t xml:space="preserve">I-labeled </w:t>
      </w:r>
      <w:proofErr w:type="spellStart"/>
      <w:r w:rsidRPr="005342FA">
        <w:t>pertuzumab</w:t>
      </w:r>
      <w:proofErr w:type="spellEnd"/>
      <w:r w:rsidRPr="005342FA">
        <w:t xml:space="preserve"> was over 95%. </w:t>
      </w:r>
    </w:p>
    <w:p w14:paraId="7ECD255B" w14:textId="77777777" w:rsidR="008F63B1" w:rsidRPr="005342FA" w:rsidRDefault="008F63B1" w:rsidP="008F63B1"/>
    <w:p w14:paraId="1F1F1BD5" w14:textId="6A727D15" w:rsidR="008F63B1" w:rsidRPr="005342FA" w:rsidRDefault="008F63B1" w:rsidP="008F63B1">
      <w:pPr>
        <w:rPr>
          <w:b/>
          <w:bCs/>
          <w:i/>
          <w:iCs/>
        </w:rPr>
      </w:pPr>
      <w:r w:rsidRPr="005342FA">
        <w:rPr>
          <w:b/>
          <w:bCs/>
          <w:i/>
          <w:iCs/>
        </w:rPr>
        <w:t xml:space="preserve">Expression and purification of </w:t>
      </w:r>
      <w:proofErr w:type="spellStart"/>
      <w:r w:rsidRPr="005342FA">
        <w:rPr>
          <w:b/>
          <w:bCs/>
          <w:i/>
          <w:iCs/>
        </w:rPr>
        <w:t>Seldegs</w:t>
      </w:r>
      <w:proofErr w:type="spellEnd"/>
      <w:r w:rsidR="006E2B2D" w:rsidRPr="005342FA">
        <w:rPr>
          <w:b/>
          <w:bCs/>
          <w:i/>
          <w:iCs/>
        </w:rPr>
        <w:t xml:space="preserve"> </w:t>
      </w:r>
    </w:p>
    <w:p w14:paraId="077B72F4" w14:textId="6B11CA43" w:rsidR="008F63B1" w:rsidRDefault="008F63B1" w:rsidP="008F63B1">
      <w:r w:rsidRPr="005342FA">
        <w:t>Expression constructs encoding heterodimeric HER2-Seldeg or MOG-Seldeg</w:t>
      </w:r>
      <w:r w:rsidR="00035893" w:rsidRPr="00035893">
        <w:rPr>
          <w:vertAlign w:val="superscript"/>
        </w:rPr>
        <w:t>5</w:t>
      </w:r>
      <w:r w:rsidRPr="00035893">
        <w:rPr>
          <w:vertAlign w:val="superscript"/>
        </w:rPr>
        <w:t xml:space="preserve"> </w:t>
      </w:r>
      <w:r w:rsidRPr="005342FA">
        <w:t xml:space="preserve">were transiently transfected into HEK-293F </w:t>
      </w:r>
      <w:r w:rsidR="00BF7AE2" w:rsidRPr="005342FA">
        <w:t xml:space="preserve">cells </w:t>
      </w:r>
      <w:r w:rsidRPr="005342FA">
        <w:t xml:space="preserve">(Life Technologies) using Gibco Expi293 expression system kits (Life Technologies). </w:t>
      </w:r>
      <w:r w:rsidR="00F24F49" w:rsidRPr="00BE6664">
        <w:rPr>
          <w:highlight w:val="yellow"/>
        </w:rPr>
        <w:t xml:space="preserve">These heterodimeric constructs contain the following mutations in the </w:t>
      </w:r>
      <w:r w:rsidR="00E540B8">
        <w:rPr>
          <w:highlight w:val="yellow"/>
        </w:rPr>
        <w:t xml:space="preserve">two </w:t>
      </w:r>
      <w:r w:rsidR="00F24F49" w:rsidRPr="00BE6664">
        <w:rPr>
          <w:highlight w:val="yellow"/>
        </w:rPr>
        <w:t xml:space="preserve">constituent </w:t>
      </w:r>
      <w:r w:rsidR="00882B8B">
        <w:rPr>
          <w:highlight w:val="yellow"/>
        </w:rPr>
        <w:t xml:space="preserve">(human IgG1-derived) </w:t>
      </w:r>
      <w:r w:rsidR="00F24F49" w:rsidRPr="00BE6664">
        <w:rPr>
          <w:highlight w:val="yellow"/>
        </w:rPr>
        <w:t xml:space="preserve">Fc fragments: </w:t>
      </w:r>
      <w:proofErr w:type="spellStart"/>
      <w:r w:rsidR="00F24F49" w:rsidRPr="00BE6664">
        <w:rPr>
          <w:highlight w:val="yellow"/>
        </w:rPr>
        <w:t>FcRn</w:t>
      </w:r>
      <w:proofErr w:type="spellEnd"/>
      <w:r w:rsidR="00F24F49" w:rsidRPr="00BE6664">
        <w:rPr>
          <w:highlight w:val="yellow"/>
        </w:rPr>
        <w:t>-enhancing (</w:t>
      </w:r>
      <w:r w:rsidR="00A76364">
        <w:rPr>
          <w:highlight w:val="yellow"/>
        </w:rPr>
        <w:t xml:space="preserve">MST-HN = </w:t>
      </w:r>
      <w:r w:rsidR="00E540B8">
        <w:rPr>
          <w:highlight w:val="yellow"/>
        </w:rPr>
        <w:t>M252Y/S254T/T256E/H433K/N434F</w:t>
      </w:r>
      <w:r w:rsidR="007044A4" w:rsidRPr="007044A4">
        <w:rPr>
          <w:highlight w:val="yellow"/>
          <w:vertAlign w:val="superscript"/>
        </w:rPr>
        <w:t>11</w:t>
      </w:r>
      <w:r w:rsidR="00F24F49" w:rsidRPr="00BE6664">
        <w:rPr>
          <w:highlight w:val="yellow"/>
        </w:rPr>
        <w:t xml:space="preserve">) and </w:t>
      </w:r>
      <w:proofErr w:type="spellStart"/>
      <w:r w:rsidR="00F24F49" w:rsidRPr="00BE6664">
        <w:rPr>
          <w:highlight w:val="yellow"/>
        </w:rPr>
        <w:t>Fc</w:t>
      </w:r>
      <w:r w:rsidR="00F24F49" w:rsidRPr="00E540B8">
        <w:rPr>
          <w:rFonts w:ascii="Symbol" w:hAnsi="Symbol"/>
          <w:highlight w:val="yellow"/>
        </w:rPr>
        <w:t>g</w:t>
      </w:r>
      <w:r w:rsidR="00F24F49" w:rsidRPr="00BE6664">
        <w:rPr>
          <w:highlight w:val="yellow"/>
        </w:rPr>
        <w:t>R</w:t>
      </w:r>
      <w:proofErr w:type="spellEnd"/>
      <w:r w:rsidR="00F24F49" w:rsidRPr="00BE6664">
        <w:rPr>
          <w:highlight w:val="yellow"/>
        </w:rPr>
        <w:t>/complement C1q ablating mutations</w:t>
      </w:r>
      <w:r w:rsidR="00E540B8">
        <w:rPr>
          <w:highlight w:val="yellow"/>
        </w:rPr>
        <w:t xml:space="preserve"> (G236R/L328R</w:t>
      </w:r>
      <w:r w:rsidR="007044A4" w:rsidRPr="007044A4">
        <w:rPr>
          <w:highlight w:val="yellow"/>
          <w:vertAlign w:val="superscript"/>
        </w:rPr>
        <w:t>8</w:t>
      </w:r>
      <w:r w:rsidR="00E540B8">
        <w:rPr>
          <w:highlight w:val="yellow"/>
        </w:rPr>
        <w:t>)</w:t>
      </w:r>
      <w:r w:rsidR="00F24F49" w:rsidRPr="00BE6664">
        <w:rPr>
          <w:highlight w:val="yellow"/>
        </w:rPr>
        <w:t xml:space="preserve">. </w:t>
      </w:r>
      <w:r w:rsidR="00D20F7E">
        <w:rPr>
          <w:highlight w:val="yellow"/>
        </w:rPr>
        <w:t xml:space="preserve">The </w:t>
      </w:r>
      <w:r w:rsidR="00F24F49" w:rsidRPr="00BE6664">
        <w:rPr>
          <w:highlight w:val="yellow"/>
        </w:rPr>
        <w:t xml:space="preserve">Fc </w:t>
      </w:r>
      <w:r w:rsidR="00BE6664" w:rsidRPr="00BE6664">
        <w:rPr>
          <w:highlight w:val="yellow"/>
        </w:rPr>
        <w:t>fragment</w:t>
      </w:r>
      <w:r w:rsidR="00D20F7E">
        <w:rPr>
          <w:highlight w:val="yellow"/>
        </w:rPr>
        <w:t xml:space="preserve"> and antigen-Fc fragment</w:t>
      </w:r>
      <w:r w:rsidR="00BE6664">
        <w:rPr>
          <w:highlight w:val="yellow"/>
        </w:rPr>
        <w:t xml:space="preserve"> </w:t>
      </w:r>
      <w:r w:rsidR="00DE3E36">
        <w:rPr>
          <w:highlight w:val="yellow"/>
        </w:rPr>
        <w:t xml:space="preserve">also </w:t>
      </w:r>
      <w:r w:rsidR="00F24F49" w:rsidRPr="00BE6664">
        <w:rPr>
          <w:highlight w:val="yellow"/>
        </w:rPr>
        <w:t>contain knobs</w:t>
      </w:r>
      <w:r w:rsidR="00D20F7E">
        <w:rPr>
          <w:highlight w:val="yellow"/>
        </w:rPr>
        <w:t>-into-</w:t>
      </w:r>
      <w:r w:rsidR="00F24F49" w:rsidRPr="00BE6664">
        <w:rPr>
          <w:highlight w:val="yellow"/>
        </w:rPr>
        <w:t>holes</w:t>
      </w:r>
      <w:r w:rsidR="00D20F7E">
        <w:rPr>
          <w:highlight w:val="yellow"/>
        </w:rPr>
        <w:t xml:space="preserve"> </w:t>
      </w:r>
      <w:r w:rsidR="00F24F49" w:rsidRPr="00BE6664">
        <w:rPr>
          <w:highlight w:val="yellow"/>
        </w:rPr>
        <w:t xml:space="preserve">mutations </w:t>
      </w:r>
      <w:r w:rsidR="00D20F7E">
        <w:rPr>
          <w:highlight w:val="yellow"/>
        </w:rPr>
        <w:t>(S364H/F405A and Y349T/T394F</w:t>
      </w:r>
      <w:r w:rsidR="00035893">
        <w:rPr>
          <w:highlight w:val="yellow"/>
        </w:rPr>
        <w:t>,</w:t>
      </w:r>
      <w:r w:rsidR="007044A4" w:rsidRPr="007044A4">
        <w:rPr>
          <w:highlight w:val="yellow"/>
          <w:vertAlign w:val="superscript"/>
        </w:rPr>
        <w:t>7</w:t>
      </w:r>
      <w:r w:rsidR="00D20F7E">
        <w:rPr>
          <w:highlight w:val="yellow"/>
        </w:rPr>
        <w:t xml:space="preserve"> respectively) </w:t>
      </w:r>
      <w:r w:rsidR="00F24F49" w:rsidRPr="00BE6664">
        <w:rPr>
          <w:highlight w:val="yellow"/>
        </w:rPr>
        <w:t>to drive heterodimer formation.</w:t>
      </w:r>
      <w:r w:rsidR="00F24F49">
        <w:t xml:space="preserve"> </w:t>
      </w:r>
      <w:r w:rsidRPr="005342FA">
        <w:t xml:space="preserve">Recombinant proteins were purified from </w:t>
      </w:r>
      <w:r w:rsidRPr="005342FA">
        <w:lastRenderedPageBreak/>
        <w:t xml:space="preserve">culture supernatants using protein A-Sepharose followed </w:t>
      </w:r>
      <w:r w:rsidR="0040401A">
        <w:t xml:space="preserve">by </w:t>
      </w:r>
      <w:r w:rsidRPr="005342FA">
        <w:t>size exclusion chromatography (</w:t>
      </w:r>
      <w:proofErr w:type="spellStart"/>
      <w:r w:rsidRPr="005342FA">
        <w:t>Hiload</w:t>
      </w:r>
      <w:proofErr w:type="spellEnd"/>
      <w:r w:rsidRPr="005342FA">
        <w:t xml:space="preserve"> 16/600 </w:t>
      </w:r>
      <w:proofErr w:type="spellStart"/>
      <w:r w:rsidRPr="005342FA">
        <w:t>Superdex</w:t>
      </w:r>
      <w:proofErr w:type="spellEnd"/>
      <w:r w:rsidRPr="005342FA">
        <w:t xml:space="preserve"> 200 gel filtration column; GE Healthcare)</w:t>
      </w:r>
      <w:r w:rsidR="00E14D29">
        <w:t xml:space="preserve"> </w:t>
      </w:r>
      <w:r w:rsidR="00E14D29" w:rsidRPr="00E14D29">
        <w:rPr>
          <w:highlight w:val="yellow"/>
        </w:rPr>
        <w:t xml:space="preserve">in yields of </w:t>
      </w:r>
      <w:r w:rsidR="000F7ADC">
        <w:rPr>
          <w:highlight w:val="yellow"/>
        </w:rPr>
        <w:t>~</w:t>
      </w:r>
      <w:r w:rsidR="00E14D29" w:rsidRPr="00E14D29">
        <w:rPr>
          <w:highlight w:val="yellow"/>
        </w:rPr>
        <w:t>1</w:t>
      </w:r>
      <w:r w:rsidR="000F7ADC">
        <w:rPr>
          <w:highlight w:val="yellow"/>
        </w:rPr>
        <w:t>7</w:t>
      </w:r>
      <w:r w:rsidR="00E14D29" w:rsidRPr="00E14D29">
        <w:rPr>
          <w:highlight w:val="yellow"/>
        </w:rPr>
        <w:t xml:space="preserve"> mg/</w:t>
      </w:r>
      <w:proofErr w:type="spellStart"/>
      <w:r w:rsidR="00E14D29" w:rsidRPr="00E14D29">
        <w:rPr>
          <w:highlight w:val="yellow"/>
        </w:rPr>
        <w:t>lit</w:t>
      </w:r>
      <w:r w:rsidR="0040401A">
        <w:rPr>
          <w:highlight w:val="yellow"/>
        </w:rPr>
        <w:t>er</w:t>
      </w:r>
      <w:proofErr w:type="spellEnd"/>
      <w:r w:rsidR="00E14D29" w:rsidRPr="00E14D29">
        <w:rPr>
          <w:highlight w:val="yellow"/>
        </w:rPr>
        <w:t xml:space="preserve"> culture (HER2-Seldeg) and </w:t>
      </w:r>
      <w:r w:rsidR="000F7ADC">
        <w:rPr>
          <w:highlight w:val="yellow"/>
        </w:rPr>
        <w:t>~</w:t>
      </w:r>
      <w:r w:rsidR="00E14D29" w:rsidRPr="00E14D29">
        <w:rPr>
          <w:highlight w:val="yellow"/>
        </w:rPr>
        <w:t>133 mg/</w:t>
      </w:r>
      <w:proofErr w:type="spellStart"/>
      <w:r w:rsidR="00E14D29" w:rsidRPr="00E14D29">
        <w:rPr>
          <w:highlight w:val="yellow"/>
        </w:rPr>
        <w:t>lit</w:t>
      </w:r>
      <w:r w:rsidR="0040401A">
        <w:rPr>
          <w:highlight w:val="yellow"/>
        </w:rPr>
        <w:t>er</w:t>
      </w:r>
      <w:proofErr w:type="spellEnd"/>
      <w:r w:rsidR="00E14D29" w:rsidRPr="00E14D29">
        <w:rPr>
          <w:highlight w:val="yellow"/>
        </w:rPr>
        <w:t xml:space="preserve"> culture (MOG-</w:t>
      </w:r>
      <w:proofErr w:type="spellStart"/>
      <w:r w:rsidR="00E14D29" w:rsidRPr="00E14D29">
        <w:rPr>
          <w:highlight w:val="yellow"/>
        </w:rPr>
        <w:t>Seldeg</w:t>
      </w:r>
      <w:proofErr w:type="spellEnd"/>
      <w:r w:rsidR="00E14D29" w:rsidRPr="00E14D29">
        <w:rPr>
          <w:highlight w:val="yellow"/>
        </w:rPr>
        <w:t>)</w:t>
      </w:r>
      <w:r w:rsidRPr="00E14D29">
        <w:rPr>
          <w:highlight w:val="yellow"/>
        </w:rPr>
        <w:t>.</w:t>
      </w:r>
      <w:r w:rsidRPr="005342FA">
        <w:t xml:space="preserve"> Purified proteins were </w:t>
      </w:r>
      <w:proofErr w:type="spellStart"/>
      <w:r w:rsidRPr="005342FA">
        <w:t>analyzed</w:t>
      </w:r>
      <w:proofErr w:type="spellEnd"/>
      <w:r w:rsidRPr="005342FA">
        <w:t xml:space="preserve"> using a </w:t>
      </w:r>
      <w:bookmarkStart w:id="0" w:name="_Hlk62582717"/>
      <w:r w:rsidRPr="005342FA">
        <w:t xml:space="preserve">Phenomenex </w:t>
      </w:r>
      <w:proofErr w:type="spellStart"/>
      <w:r w:rsidRPr="005342FA">
        <w:t>Yarra</w:t>
      </w:r>
      <w:proofErr w:type="spellEnd"/>
      <w:r w:rsidRPr="005342FA">
        <w:t xml:space="preserve"> 3 µm SEC-3000 column (Phenomenex, 00H-4513-K0). </w:t>
      </w:r>
    </w:p>
    <w:p w14:paraId="1BBE42EA" w14:textId="77777777" w:rsidR="00BF266A" w:rsidRPr="005342FA" w:rsidRDefault="00BF266A" w:rsidP="008F63B1"/>
    <w:p w14:paraId="1E9D3761" w14:textId="2FB3964C" w:rsidR="006E2B2D" w:rsidRPr="005342FA" w:rsidRDefault="006E2B2D" w:rsidP="003F3B3A">
      <w:pPr>
        <w:rPr>
          <w:b/>
          <w:bCs/>
          <w:i/>
          <w:iCs/>
          <w:highlight w:val="yellow"/>
        </w:rPr>
      </w:pPr>
      <w:r w:rsidRPr="005342FA">
        <w:rPr>
          <w:b/>
          <w:bCs/>
          <w:i/>
          <w:iCs/>
          <w:highlight w:val="yellow"/>
        </w:rPr>
        <w:t>Binding analyses</w:t>
      </w:r>
    </w:p>
    <w:p w14:paraId="25F5B370" w14:textId="51958513" w:rsidR="008F63B1" w:rsidRPr="005342FA" w:rsidRDefault="008F63B1" w:rsidP="003F3B3A">
      <w:pPr>
        <w:pStyle w:val="SecondLevelSubheading"/>
        <w:jc w:val="left"/>
        <w:rPr>
          <w:bCs w:val="0"/>
          <w:i w:val="0"/>
          <w:iCs w:val="0"/>
          <w:color w:val="auto"/>
        </w:rPr>
      </w:pPr>
      <w:bookmarkStart w:id="1" w:name="_Ref51929487"/>
      <w:bookmarkStart w:id="2" w:name="_Toc52194216"/>
      <w:bookmarkEnd w:id="0"/>
      <w:r w:rsidRPr="005342FA">
        <w:rPr>
          <w:bCs w:val="0"/>
          <w:i w:val="0"/>
          <w:iCs w:val="0"/>
          <w:color w:val="auto"/>
          <w:highlight w:val="yellow"/>
        </w:rPr>
        <w:t xml:space="preserve"> </w:t>
      </w:r>
      <w:r w:rsidR="002A13D0" w:rsidRPr="005342FA">
        <w:rPr>
          <w:bCs w:val="0"/>
          <w:i w:val="0"/>
          <w:iCs w:val="0"/>
          <w:color w:val="auto"/>
          <w:highlight w:val="yellow"/>
        </w:rPr>
        <w:t xml:space="preserve">Surface plasmon resonance experiments were performed using a </w:t>
      </w:r>
      <w:proofErr w:type="spellStart"/>
      <w:r w:rsidR="002A13D0" w:rsidRPr="005342FA">
        <w:rPr>
          <w:bCs w:val="0"/>
          <w:i w:val="0"/>
          <w:iCs w:val="0"/>
          <w:color w:val="auto"/>
          <w:highlight w:val="yellow"/>
        </w:rPr>
        <w:t>BIAcore</w:t>
      </w:r>
      <w:proofErr w:type="spellEnd"/>
      <w:r w:rsidR="002A13D0" w:rsidRPr="005342FA">
        <w:rPr>
          <w:bCs w:val="0"/>
          <w:i w:val="0"/>
          <w:iCs w:val="0"/>
          <w:color w:val="auto"/>
          <w:highlight w:val="yellow"/>
        </w:rPr>
        <w:t xml:space="preserve"> T200 (GE Healthcare). To analyze the interactions of HER2-Seldeg with mouse </w:t>
      </w:r>
      <w:proofErr w:type="spellStart"/>
      <w:r w:rsidR="002A13D0" w:rsidRPr="005342FA">
        <w:rPr>
          <w:bCs w:val="0"/>
          <w:i w:val="0"/>
          <w:iCs w:val="0"/>
          <w:color w:val="auto"/>
          <w:highlight w:val="yellow"/>
        </w:rPr>
        <w:t>FcRn</w:t>
      </w:r>
      <w:proofErr w:type="spellEnd"/>
      <w:r w:rsidR="002A13D0" w:rsidRPr="005342FA">
        <w:rPr>
          <w:bCs w:val="0"/>
          <w:i w:val="0"/>
          <w:iCs w:val="0"/>
          <w:color w:val="auto"/>
          <w:highlight w:val="yellow"/>
        </w:rPr>
        <w:t xml:space="preserve"> and </w:t>
      </w:r>
      <w:proofErr w:type="spellStart"/>
      <w:r w:rsidR="002A13D0" w:rsidRPr="005342FA">
        <w:rPr>
          <w:bCs w:val="0"/>
          <w:i w:val="0"/>
          <w:iCs w:val="0"/>
          <w:color w:val="auto"/>
          <w:highlight w:val="yellow"/>
        </w:rPr>
        <w:t>pertuzumab</w:t>
      </w:r>
      <w:proofErr w:type="spellEnd"/>
      <w:r w:rsidR="00233DAE">
        <w:rPr>
          <w:bCs w:val="0"/>
          <w:i w:val="0"/>
          <w:iCs w:val="0"/>
          <w:color w:val="auto"/>
          <w:highlight w:val="yellow"/>
        </w:rPr>
        <w:t xml:space="preserve"> (clinical grade)</w:t>
      </w:r>
      <w:r w:rsidR="002A13D0" w:rsidRPr="005342FA">
        <w:rPr>
          <w:bCs w:val="0"/>
          <w:i w:val="0"/>
          <w:iCs w:val="0"/>
          <w:color w:val="auto"/>
          <w:highlight w:val="yellow"/>
        </w:rPr>
        <w:t xml:space="preserve">, recombinant mouse </w:t>
      </w:r>
      <w:proofErr w:type="spellStart"/>
      <w:r w:rsidR="002A13D0" w:rsidRPr="005342FA">
        <w:rPr>
          <w:bCs w:val="0"/>
          <w:i w:val="0"/>
          <w:iCs w:val="0"/>
          <w:color w:val="auto"/>
          <w:highlight w:val="yellow"/>
        </w:rPr>
        <w:t>FcRn</w:t>
      </w:r>
      <w:proofErr w:type="spellEnd"/>
      <w:r w:rsidR="002A13D0" w:rsidRPr="005342FA">
        <w:rPr>
          <w:bCs w:val="0"/>
          <w:i w:val="0"/>
          <w:iCs w:val="0"/>
          <w:color w:val="auto"/>
          <w:highlight w:val="yellow"/>
        </w:rPr>
        <w:t xml:space="preserve"> (generously provided by Dr. Richard </w:t>
      </w:r>
      <w:proofErr w:type="spellStart"/>
      <w:r w:rsidR="002A13D0" w:rsidRPr="005342FA">
        <w:rPr>
          <w:bCs w:val="0"/>
          <w:i w:val="0"/>
          <w:iCs w:val="0"/>
          <w:color w:val="auto"/>
          <w:highlight w:val="yellow"/>
        </w:rPr>
        <w:t>Stopforth</w:t>
      </w:r>
      <w:proofErr w:type="spellEnd"/>
      <w:r w:rsidR="002A13D0" w:rsidRPr="005342FA">
        <w:rPr>
          <w:bCs w:val="0"/>
          <w:i w:val="0"/>
          <w:iCs w:val="0"/>
          <w:color w:val="auto"/>
          <w:highlight w:val="yellow"/>
        </w:rPr>
        <w:t xml:space="preserve">, University of Southampton) or </w:t>
      </w:r>
      <w:proofErr w:type="spellStart"/>
      <w:r w:rsidR="002A13D0" w:rsidRPr="005342FA">
        <w:rPr>
          <w:bCs w:val="0"/>
          <w:i w:val="0"/>
          <w:iCs w:val="0"/>
          <w:color w:val="auto"/>
          <w:highlight w:val="yellow"/>
        </w:rPr>
        <w:t>pertuzumab</w:t>
      </w:r>
      <w:proofErr w:type="spellEnd"/>
      <w:r w:rsidR="002A13D0" w:rsidRPr="005342FA">
        <w:rPr>
          <w:bCs w:val="0"/>
          <w:i w:val="0"/>
          <w:iCs w:val="0"/>
          <w:color w:val="auto"/>
          <w:highlight w:val="yellow"/>
        </w:rPr>
        <w:t xml:space="preserve"> were immobilized on flow cells of a CM5 chip using amine coupling chemistry. The coupling densities were 672</w:t>
      </w:r>
      <w:r w:rsidR="0098203E">
        <w:rPr>
          <w:bCs w:val="0"/>
          <w:i w:val="0"/>
          <w:iCs w:val="0"/>
          <w:color w:val="auto"/>
          <w:highlight w:val="yellow"/>
        </w:rPr>
        <w:t>.8</w:t>
      </w:r>
      <w:r w:rsidR="002A13D0" w:rsidRPr="005342FA">
        <w:rPr>
          <w:bCs w:val="0"/>
          <w:i w:val="0"/>
          <w:iCs w:val="0"/>
          <w:color w:val="auto"/>
          <w:highlight w:val="yellow"/>
        </w:rPr>
        <w:t xml:space="preserve"> </w:t>
      </w:r>
      <w:r w:rsidR="005C083F" w:rsidRPr="005342FA">
        <w:rPr>
          <w:bCs w:val="0"/>
          <w:i w:val="0"/>
          <w:iCs w:val="0"/>
          <w:color w:val="auto"/>
          <w:highlight w:val="yellow"/>
        </w:rPr>
        <w:t xml:space="preserve">RU (mouse </w:t>
      </w:r>
      <w:proofErr w:type="spellStart"/>
      <w:r w:rsidR="005C083F" w:rsidRPr="005342FA">
        <w:rPr>
          <w:bCs w:val="0"/>
          <w:i w:val="0"/>
          <w:iCs w:val="0"/>
          <w:color w:val="auto"/>
          <w:highlight w:val="yellow"/>
        </w:rPr>
        <w:t>FcRn</w:t>
      </w:r>
      <w:proofErr w:type="spellEnd"/>
      <w:r w:rsidR="005C083F" w:rsidRPr="005342FA">
        <w:rPr>
          <w:bCs w:val="0"/>
          <w:i w:val="0"/>
          <w:iCs w:val="0"/>
          <w:color w:val="auto"/>
          <w:highlight w:val="yellow"/>
        </w:rPr>
        <w:t>) and 57</w:t>
      </w:r>
      <w:r w:rsidR="0098203E">
        <w:rPr>
          <w:bCs w:val="0"/>
          <w:i w:val="0"/>
          <w:iCs w:val="0"/>
          <w:color w:val="auto"/>
          <w:highlight w:val="yellow"/>
        </w:rPr>
        <w:t>2.6</w:t>
      </w:r>
      <w:r w:rsidR="005C083F" w:rsidRPr="005342FA">
        <w:rPr>
          <w:bCs w:val="0"/>
          <w:i w:val="0"/>
          <w:iCs w:val="0"/>
          <w:color w:val="auto"/>
          <w:highlight w:val="yellow"/>
        </w:rPr>
        <w:t xml:space="preserve"> RU (</w:t>
      </w:r>
      <w:proofErr w:type="spellStart"/>
      <w:r w:rsidR="005C083F" w:rsidRPr="005342FA">
        <w:rPr>
          <w:bCs w:val="0"/>
          <w:i w:val="0"/>
          <w:iCs w:val="0"/>
          <w:color w:val="auto"/>
          <w:highlight w:val="yellow"/>
        </w:rPr>
        <w:t>pertuzumab</w:t>
      </w:r>
      <w:proofErr w:type="spellEnd"/>
      <w:r w:rsidR="005C083F" w:rsidRPr="005342FA">
        <w:rPr>
          <w:bCs w:val="0"/>
          <w:i w:val="0"/>
          <w:iCs w:val="0"/>
          <w:color w:val="auto"/>
          <w:highlight w:val="yellow"/>
        </w:rPr>
        <w:t xml:space="preserve">). HER2-Seldeg was injected </w:t>
      </w:r>
      <w:r w:rsidR="0057668B" w:rsidRPr="005342FA">
        <w:rPr>
          <w:bCs w:val="0"/>
          <w:i w:val="0"/>
          <w:iCs w:val="0"/>
          <w:color w:val="auto"/>
          <w:highlight w:val="yellow"/>
        </w:rPr>
        <w:t xml:space="preserve">(350 </w:t>
      </w:r>
      <w:r w:rsidR="0057668B" w:rsidRPr="005342FA">
        <w:rPr>
          <w:rFonts w:ascii="Symbol" w:hAnsi="Symbol"/>
          <w:bCs w:val="0"/>
          <w:i w:val="0"/>
          <w:iCs w:val="0"/>
          <w:color w:val="auto"/>
          <w:highlight w:val="yellow"/>
        </w:rPr>
        <w:t>m</w:t>
      </w:r>
      <w:r w:rsidR="0057668B" w:rsidRPr="005342FA">
        <w:rPr>
          <w:bCs w:val="0"/>
          <w:i w:val="0"/>
          <w:iCs w:val="0"/>
          <w:color w:val="auto"/>
          <w:highlight w:val="yellow"/>
        </w:rPr>
        <w:t xml:space="preserve">l/injection) </w:t>
      </w:r>
      <w:r w:rsidR="005C083F" w:rsidRPr="005342FA">
        <w:rPr>
          <w:bCs w:val="0"/>
          <w:i w:val="0"/>
          <w:iCs w:val="0"/>
          <w:color w:val="auto"/>
          <w:highlight w:val="yellow"/>
        </w:rPr>
        <w:t xml:space="preserve">at different concentrations in duplicate or triplicate injections </w:t>
      </w:r>
      <w:r w:rsidR="00DE3E36">
        <w:rPr>
          <w:bCs w:val="0"/>
          <w:i w:val="0"/>
          <w:iCs w:val="0"/>
          <w:color w:val="auto"/>
          <w:highlight w:val="yellow"/>
        </w:rPr>
        <w:t>at 25</w:t>
      </w:r>
      <w:r w:rsidR="00DE3E36" w:rsidRPr="00DE3E36">
        <w:rPr>
          <w:bCs w:val="0"/>
          <w:i w:val="0"/>
          <w:iCs w:val="0"/>
          <w:color w:val="auto"/>
          <w:highlight w:val="yellow"/>
          <w:vertAlign w:val="superscript"/>
        </w:rPr>
        <w:t>o</w:t>
      </w:r>
      <w:r w:rsidR="00DE3E36">
        <w:rPr>
          <w:bCs w:val="0"/>
          <w:i w:val="0"/>
          <w:iCs w:val="0"/>
          <w:color w:val="auto"/>
          <w:highlight w:val="yellow"/>
        </w:rPr>
        <w:t xml:space="preserve">C </w:t>
      </w:r>
      <w:r w:rsidR="0057668B" w:rsidRPr="005342FA">
        <w:rPr>
          <w:bCs w:val="0"/>
          <w:i w:val="0"/>
          <w:iCs w:val="0"/>
          <w:color w:val="auto"/>
          <w:highlight w:val="yellow"/>
        </w:rPr>
        <w:t xml:space="preserve">using programmed methods </w:t>
      </w:r>
      <w:r w:rsidR="005C083F" w:rsidRPr="005342FA">
        <w:rPr>
          <w:bCs w:val="0"/>
          <w:i w:val="0"/>
          <w:iCs w:val="0"/>
          <w:color w:val="auto"/>
          <w:highlight w:val="yellow"/>
        </w:rPr>
        <w:t xml:space="preserve">at a flow rate of 10 </w:t>
      </w:r>
      <w:r w:rsidR="005C083F" w:rsidRPr="005342FA">
        <w:rPr>
          <w:rFonts w:ascii="Symbol" w:hAnsi="Symbol"/>
          <w:bCs w:val="0"/>
          <w:i w:val="0"/>
          <w:iCs w:val="0"/>
          <w:color w:val="auto"/>
          <w:highlight w:val="yellow"/>
        </w:rPr>
        <w:t>m</w:t>
      </w:r>
      <w:r w:rsidR="005C083F" w:rsidRPr="005342FA">
        <w:rPr>
          <w:bCs w:val="0"/>
          <w:i w:val="0"/>
          <w:iCs w:val="0"/>
          <w:color w:val="auto"/>
          <w:highlight w:val="yellow"/>
        </w:rPr>
        <w:t>l/min in DPBS (Lonza; pH 7.4 or adjusted to pH 6.0) plus 0.1% v/v Tween 20.</w:t>
      </w:r>
      <w:r w:rsidR="0057668B" w:rsidRPr="005342FA">
        <w:rPr>
          <w:bCs w:val="0"/>
          <w:i w:val="0"/>
          <w:iCs w:val="0"/>
          <w:color w:val="auto"/>
          <w:highlight w:val="yellow"/>
        </w:rPr>
        <w:t xml:space="preserve"> Flow cells were regenerated at the end of each cycle using </w:t>
      </w:r>
      <w:bookmarkStart w:id="3" w:name="_Hlk78399144"/>
      <w:r w:rsidR="0057668B" w:rsidRPr="005342FA">
        <w:rPr>
          <w:bCs w:val="0"/>
          <w:i w:val="0"/>
          <w:iCs w:val="0"/>
          <w:color w:val="auto"/>
          <w:highlight w:val="yellow"/>
        </w:rPr>
        <w:t>0.1 M NaHCO</w:t>
      </w:r>
      <w:r w:rsidR="0057668B" w:rsidRPr="005342FA">
        <w:rPr>
          <w:bCs w:val="0"/>
          <w:i w:val="0"/>
          <w:iCs w:val="0"/>
          <w:color w:val="auto"/>
          <w:highlight w:val="yellow"/>
          <w:vertAlign w:val="subscript"/>
        </w:rPr>
        <w:t>3</w:t>
      </w:r>
      <w:r w:rsidR="0057668B" w:rsidRPr="005342FA">
        <w:rPr>
          <w:bCs w:val="0"/>
          <w:i w:val="0"/>
          <w:iCs w:val="0"/>
          <w:color w:val="auto"/>
          <w:highlight w:val="yellow"/>
        </w:rPr>
        <w:t xml:space="preserve">/0.15 M NaCl pH 9 (mouse </w:t>
      </w:r>
      <w:proofErr w:type="spellStart"/>
      <w:r w:rsidR="0057668B" w:rsidRPr="005342FA">
        <w:rPr>
          <w:bCs w:val="0"/>
          <w:i w:val="0"/>
          <w:iCs w:val="0"/>
          <w:color w:val="auto"/>
          <w:highlight w:val="yellow"/>
        </w:rPr>
        <w:t>FcRn</w:t>
      </w:r>
      <w:proofErr w:type="spellEnd"/>
      <w:r w:rsidR="0057668B" w:rsidRPr="005342FA">
        <w:rPr>
          <w:bCs w:val="0"/>
          <w:i w:val="0"/>
          <w:iCs w:val="0"/>
          <w:color w:val="auto"/>
          <w:highlight w:val="yellow"/>
        </w:rPr>
        <w:t>) or 0.1 M glycine/1 M NaCl/10% v/v glycerol pH 2.0 (</w:t>
      </w:r>
      <w:proofErr w:type="spellStart"/>
      <w:r w:rsidR="0057668B" w:rsidRPr="005342FA">
        <w:rPr>
          <w:bCs w:val="0"/>
          <w:i w:val="0"/>
          <w:iCs w:val="0"/>
          <w:color w:val="auto"/>
          <w:highlight w:val="yellow"/>
        </w:rPr>
        <w:t>pertuzumab</w:t>
      </w:r>
      <w:proofErr w:type="spellEnd"/>
      <w:r w:rsidR="0057668B" w:rsidRPr="005342FA">
        <w:rPr>
          <w:bCs w:val="0"/>
          <w:i w:val="0"/>
          <w:iCs w:val="0"/>
          <w:color w:val="auto"/>
          <w:highlight w:val="yellow"/>
        </w:rPr>
        <w:t xml:space="preserve">).  </w:t>
      </w:r>
      <w:bookmarkEnd w:id="3"/>
      <w:r w:rsidR="0057668B" w:rsidRPr="005342FA">
        <w:rPr>
          <w:bCs w:val="0"/>
          <w:i w:val="0"/>
          <w:iCs w:val="0"/>
          <w:color w:val="auto"/>
          <w:highlight w:val="yellow"/>
        </w:rPr>
        <w:t>Equilibrium dissociation constants (K</w:t>
      </w:r>
      <w:r w:rsidR="0057668B" w:rsidRPr="00D20F7E">
        <w:rPr>
          <w:bCs w:val="0"/>
          <w:i w:val="0"/>
          <w:iCs w:val="0"/>
          <w:color w:val="auto"/>
          <w:highlight w:val="yellow"/>
          <w:vertAlign w:val="subscript"/>
        </w:rPr>
        <w:t>D</w:t>
      </w:r>
      <w:r w:rsidR="0057668B" w:rsidRPr="005342FA">
        <w:rPr>
          <w:bCs w:val="0"/>
          <w:i w:val="0"/>
          <w:iCs w:val="0"/>
          <w:color w:val="auto"/>
          <w:highlight w:val="yellow"/>
        </w:rPr>
        <w:t>s) were estimated using custom-written software and a 1:1 interaction model</w:t>
      </w:r>
      <w:r w:rsidR="00BA5356">
        <w:rPr>
          <w:bCs w:val="0"/>
          <w:i w:val="0"/>
          <w:iCs w:val="0"/>
          <w:color w:val="auto"/>
          <w:highlight w:val="yellow"/>
        </w:rPr>
        <w:t>,</w:t>
      </w:r>
      <w:r w:rsidR="007044A4" w:rsidRPr="007044A4">
        <w:rPr>
          <w:bCs w:val="0"/>
          <w:i w:val="0"/>
          <w:iCs w:val="0"/>
          <w:color w:val="auto"/>
          <w:highlight w:val="yellow"/>
          <w:vertAlign w:val="superscript"/>
        </w:rPr>
        <w:t>23</w:t>
      </w:r>
      <w:r w:rsidR="00DE3E36">
        <w:rPr>
          <w:bCs w:val="0"/>
          <w:i w:val="0"/>
          <w:iCs w:val="0"/>
          <w:color w:val="auto"/>
          <w:highlight w:val="yellow"/>
        </w:rPr>
        <w:t xml:space="preserve"> leading to apparent K</w:t>
      </w:r>
      <w:r w:rsidR="00DE3E36" w:rsidRPr="00DE3E36">
        <w:rPr>
          <w:bCs w:val="0"/>
          <w:i w:val="0"/>
          <w:iCs w:val="0"/>
          <w:color w:val="auto"/>
          <w:highlight w:val="yellow"/>
          <w:vertAlign w:val="subscript"/>
        </w:rPr>
        <w:t>D</w:t>
      </w:r>
      <w:r w:rsidR="00DE3E36">
        <w:rPr>
          <w:bCs w:val="0"/>
          <w:i w:val="0"/>
          <w:iCs w:val="0"/>
          <w:color w:val="auto"/>
          <w:highlight w:val="yellow"/>
        </w:rPr>
        <w:t xml:space="preserve">s for the mouse </w:t>
      </w:r>
      <w:proofErr w:type="spellStart"/>
      <w:proofErr w:type="gramStart"/>
      <w:r w:rsidR="00DE3E36">
        <w:rPr>
          <w:bCs w:val="0"/>
          <w:i w:val="0"/>
          <w:iCs w:val="0"/>
          <w:color w:val="auto"/>
          <w:highlight w:val="yellow"/>
        </w:rPr>
        <w:t>FcRn:Seldeg</w:t>
      </w:r>
      <w:proofErr w:type="spellEnd"/>
      <w:proofErr w:type="gramEnd"/>
      <w:r w:rsidR="00DE3E36">
        <w:rPr>
          <w:bCs w:val="0"/>
          <w:i w:val="0"/>
          <w:iCs w:val="0"/>
          <w:color w:val="auto"/>
          <w:highlight w:val="yellow"/>
        </w:rPr>
        <w:t xml:space="preserve"> interactions</w:t>
      </w:r>
      <w:r w:rsidR="00BA5356">
        <w:rPr>
          <w:bCs w:val="0"/>
          <w:i w:val="0"/>
          <w:iCs w:val="0"/>
          <w:color w:val="auto"/>
          <w:highlight w:val="yellow"/>
        </w:rPr>
        <w:t xml:space="preserve"> which are bivalent</w:t>
      </w:r>
      <w:r w:rsidR="00DE3E36">
        <w:rPr>
          <w:bCs w:val="0"/>
          <w:i w:val="0"/>
          <w:iCs w:val="0"/>
          <w:color w:val="auto"/>
          <w:highlight w:val="yellow"/>
        </w:rPr>
        <w:t xml:space="preserve">. </w:t>
      </w:r>
    </w:p>
    <w:p w14:paraId="3E6753B4" w14:textId="77777777" w:rsidR="0057668B" w:rsidRPr="005342FA" w:rsidRDefault="0057668B" w:rsidP="003F3B3A">
      <w:pPr>
        <w:pStyle w:val="SecondLevelSubheading"/>
        <w:jc w:val="left"/>
        <w:rPr>
          <w:bCs w:val="0"/>
          <w:i w:val="0"/>
          <w:iCs w:val="0"/>
          <w:color w:val="auto"/>
        </w:rPr>
      </w:pPr>
    </w:p>
    <w:p w14:paraId="5DF19D63" w14:textId="77777777" w:rsidR="008F63B1" w:rsidRPr="005342FA" w:rsidRDefault="008F63B1" w:rsidP="003F3B3A">
      <w:pPr>
        <w:pStyle w:val="SecondLevelSubheading"/>
        <w:jc w:val="left"/>
        <w:rPr>
          <w:b/>
          <w:color w:val="auto"/>
        </w:rPr>
      </w:pPr>
      <w:r w:rsidRPr="005342FA">
        <w:rPr>
          <w:b/>
          <w:color w:val="auto"/>
        </w:rPr>
        <w:t>Mice and tumor implantation</w:t>
      </w:r>
      <w:bookmarkEnd w:id="1"/>
      <w:bookmarkEnd w:id="2"/>
    </w:p>
    <w:p w14:paraId="192FC6AB" w14:textId="6B575D89" w:rsidR="008F63B1" w:rsidRPr="005342FA" w:rsidRDefault="008F63B1" w:rsidP="008F63B1">
      <w:r w:rsidRPr="005342FA">
        <w:t xml:space="preserve">All animal experiments described in this study were approved by the Texas A&amp;M University </w:t>
      </w:r>
      <w:proofErr w:type="gramStart"/>
      <w:r w:rsidRPr="005342FA">
        <w:t>and  UT</w:t>
      </w:r>
      <w:proofErr w:type="gramEnd"/>
      <w:r w:rsidRPr="005342FA">
        <w:t xml:space="preserve"> Southwestern Medical </w:t>
      </w:r>
      <w:proofErr w:type="spellStart"/>
      <w:r w:rsidRPr="005342FA">
        <w:t>Center</w:t>
      </w:r>
      <w:proofErr w:type="spellEnd"/>
      <w:r w:rsidRPr="005342FA">
        <w:t xml:space="preserve"> Institutional Animal Care and Use Committees. Experiments were carried out in </w:t>
      </w:r>
      <w:proofErr w:type="gramStart"/>
      <w:r w:rsidRPr="005342FA">
        <w:t>8-10 week-old</w:t>
      </w:r>
      <w:proofErr w:type="gramEnd"/>
      <w:r w:rsidRPr="005342FA">
        <w:t xml:space="preserve"> SCID BALB/c female </w:t>
      </w:r>
      <w:r w:rsidRPr="005342FA">
        <w:lastRenderedPageBreak/>
        <w:t xml:space="preserve">mice (Jackson Laboratory) that were bred in a pathogen-free facility at Texas A&amp;M University. To implant </w:t>
      </w:r>
      <w:proofErr w:type="spellStart"/>
      <w:r w:rsidRPr="005342FA">
        <w:t>tumor</w:t>
      </w:r>
      <w:proofErr w:type="spellEnd"/>
      <w:r w:rsidRPr="005342FA">
        <w:t xml:space="preserve"> xenografts, HCC1954 cells (0.5 x 10</w:t>
      </w:r>
      <w:r w:rsidRPr="005342FA">
        <w:rPr>
          <w:vertAlign w:val="superscript"/>
        </w:rPr>
        <w:t>6</w:t>
      </w:r>
      <w:r w:rsidRPr="005342FA">
        <w:t xml:space="preserve"> cells/mouse) suspended in 0.1 mL of RPMI-1640/Matrigel (Corning Inc.) (1:1 ratio of </w:t>
      </w:r>
      <w:proofErr w:type="spellStart"/>
      <w:r w:rsidRPr="005342FA">
        <w:t>medium:Matrigel</w:t>
      </w:r>
      <w:proofErr w:type="spellEnd"/>
      <w:r w:rsidRPr="005342FA">
        <w:t>) were injected into mammary fat pad number 3 of each mouse using a 22-gauge needle as described previously.</w:t>
      </w:r>
      <w:r w:rsidR="007044A4" w:rsidRPr="007044A4">
        <w:rPr>
          <w:vertAlign w:val="superscript"/>
        </w:rPr>
        <w:t>20</w:t>
      </w:r>
      <w:r w:rsidRPr="005342FA">
        <w:t xml:space="preserve"> </w:t>
      </w:r>
      <w:bookmarkStart w:id="4" w:name="_Ref51976510"/>
      <w:bookmarkStart w:id="5" w:name="_Toc52194217"/>
      <w:proofErr w:type="spellStart"/>
      <w:r w:rsidRPr="005342FA">
        <w:t>Tumor</w:t>
      </w:r>
      <w:proofErr w:type="spellEnd"/>
      <w:r w:rsidRPr="005342FA">
        <w:t xml:space="preserve">-implanted mice were shipped to UT Southwestern Medical </w:t>
      </w:r>
      <w:proofErr w:type="spellStart"/>
      <w:r w:rsidRPr="005342FA">
        <w:t>Center</w:t>
      </w:r>
      <w:proofErr w:type="spellEnd"/>
      <w:r w:rsidRPr="005342FA">
        <w:t xml:space="preserve"> for use in PET experiments.</w:t>
      </w:r>
    </w:p>
    <w:p w14:paraId="58E55095" w14:textId="77777777" w:rsidR="008F63B1" w:rsidRPr="005342FA" w:rsidRDefault="008F63B1" w:rsidP="008F63B1"/>
    <w:bookmarkEnd w:id="4"/>
    <w:bookmarkEnd w:id="5"/>
    <w:p w14:paraId="70514263" w14:textId="780BCC30" w:rsidR="008F63B1" w:rsidRPr="005342FA" w:rsidRDefault="008F63B1" w:rsidP="008F63B1">
      <w:pPr>
        <w:rPr>
          <w:b/>
          <w:bCs/>
          <w:i/>
          <w:iCs/>
        </w:rPr>
      </w:pPr>
      <w:proofErr w:type="spellStart"/>
      <w:r w:rsidRPr="005342FA">
        <w:rPr>
          <w:b/>
          <w:bCs/>
          <w:i/>
          <w:iCs/>
        </w:rPr>
        <w:t>Seldeg</w:t>
      </w:r>
      <w:proofErr w:type="spellEnd"/>
      <w:r w:rsidRPr="005342FA">
        <w:rPr>
          <w:b/>
          <w:bCs/>
          <w:i/>
          <w:iCs/>
        </w:rPr>
        <w:t xml:space="preserve"> treatment in mice</w:t>
      </w:r>
    </w:p>
    <w:p w14:paraId="786CBD22" w14:textId="193372EE" w:rsidR="008F63B1" w:rsidRPr="005342FA" w:rsidRDefault="008F63B1" w:rsidP="008F63B1">
      <w:r w:rsidRPr="005342FA">
        <w:t xml:space="preserve">Seven days following </w:t>
      </w:r>
      <w:proofErr w:type="spellStart"/>
      <w:r w:rsidRPr="005342FA">
        <w:t>tumor</w:t>
      </w:r>
      <w:proofErr w:type="spellEnd"/>
      <w:r w:rsidRPr="005342FA">
        <w:t xml:space="preserve"> implantation, when </w:t>
      </w:r>
      <w:proofErr w:type="spellStart"/>
      <w:r w:rsidRPr="005342FA">
        <w:t>tumors</w:t>
      </w:r>
      <w:proofErr w:type="spellEnd"/>
      <w:r w:rsidRPr="005342FA">
        <w:t xml:space="preserve"> were approximately ~175-300 mm</w:t>
      </w:r>
      <w:r w:rsidRPr="005342FA">
        <w:rPr>
          <w:vertAlign w:val="superscript"/>
        </w:rPr>
        <w:t xml:space="preserve">3 </w:t>
      </w:r>
      <w:r w:rsidRPr="005342FA">
        <w:t xml:space="preserve">in volume, mice were divided into groups (numbers of mice per group are indicated in the Results) and injected intravenously with </w:t>
      </w:r>
      <w:r w:rsidRPr="005342FA">
        <w:rPr>
          <w:vertAlign w:val="superscript"/>
        </w:rPr>
        <w:t>124</w:t>
      </w:r>
      <w:r w:rsidRPr="005342FA">
        <w:t xml:space="preserve">I-labeled </w:t>
      </w:r>
      <w:proofErr w:type="spellStart"/>
      <w:r w:rsidRPr="005342FA">
        <w:t>pertuzumab</w:t>
      </w:r>
      <w:proofErr w:type="spellEnd"/>
      <w:r w:rsidRPr="005342FA">
        <w:t xml:space="preserve">. Thyroid uptake of </w:t>
      </w:r>
      <w:proofErr w:type="spellStart"/>
      <w:r w:rsidRPr="005342FA">
        <w:t>radiolabeled</w:t>
      </w:r>
      <w:proofErr w:type="spellEnd"/>
      <w:r w:rsidRPr="005342FA">
        <w:t xml:space="preserve"> iodine was reduced by adding </w:t>
      </w:r>
      <w:proofErr w:type="spellStart"/>
      <w:r w:rsidRPr="005342FA">
        <w:t>Lugol</w:t>
      </w:r>
      <w:proofErr w:type="spellEnd"/>
      <w:r w:rsidRPr="005342FA">
        <w:t xml:space="preserve"> solution to drinking water 48 h before the injection of </w:t>
      </w:r>
      <w:proofErr w:type="spellStart"/>
      <w:r w:rsidRPr="005342FA">
        <w:t>radiolabeled</w:t>
      </w:r>
      <w:proofErr w:type="spellEnd"/>
      <w:r w:rsidRPr="005342FA">
        <w:t xml:space="preserve"> proteins. To block stomach uptake of </w:t>
      </w:r>
      <w:proofErr w:type="spellStart"/>
      <w:r w:rsidRPr="005342FA">
        <w:t>radiolabeled</w:t>
      </w:r>
      <w:proofErr w:type="spellEnd"/>
      <w:r w:rsidRPr="005342FA">
        <w:t xml:space="preserve"> iodine, mice underwent gastric lavage using 1.5 mg potassium perchlorate in 0.2 ml PBS</w:t>
      </w:r>
      <w:r w:rsidR="00BF7AE2" w:rsidRPr="005342FA">
        <w:t xml:space="preserve">, 30 </w:t>
      </w:r>
      <w:r w:rsidRPr="005342FA">
        <w:t xml:space="preserve">min before injection of </w:t>
      </w:r>
      <w:proofErr w:type="spellStart"/>
      <w:r w:rsidRPr="005342FA">
        <w:t>radiolabeled</w:t>
      </w:r>
      <w:proofErr w:type="spellEnd"/>
      <w:r w:rsidRPr="005342FA">
        <w:t xml:space="preserve"> (</w:t>
      </w:r>
      <w:r w:rsidRPr="005342FA">
        <w:rPr>
          <w:vertAlign w:val="superscript"/>
        </w:rPr>
        <w:t>124</w:t>
      </w:r>
      <w:r w:rsidRPr="005342FA">
        <w:t xml:space="preserve">I-labeled) antibody (2.96-3.33 MBq, 60 µg antibody/mouse in a volume of 100 </w:t>
      </w:r>
      <w:r w:rsidRPr="005342FA">
        <w:rPr>
          <w:rFonts w:ascii="Symbol" w:hAnsi="Symbol"/>
        </w:rPr>
        <w:t></w:t>
      </w:r>
      <w:r w:rsidRPr="005342FA">
        <w:t xml:space="preserve">l via tail vein injection). Mice were injected intravenously with 51 </w:t>
      </w:r>
      <w:r w:rsidRPr="005342FA">
        <w:rPr>
          <w:rFonts w:ascii="Symbol" w:hAnsi="Symbol"/>
        </w:rPr>
        <w:t></w:t>
      </w:r>
      <w:r w:rsidRPr="005342FA">
        <w:t xml:space="preserve">g HER2-Seldeg, 31 </w:t>
      </w:r>
      <w:r w:rsidRPr="005342FA">
        <w:rPr>
          <w:rFonts w:ascii="Symbol" w:hAnsi="Symbol"/>
        </w:rPr>
        <w:t></w:t>
      </w:r>
      <w:r w:rsidRPr="005342FA">
        <w:t>g MOG-</w:t>
      </w:r>
      <w:proofErr w:type="spellStart"/>
      <w:r w:rsidRPr="005342FA">
        <w:t>Seldeg</w:t>
      </w:r>
      <w:proofErr w:type="spellEnd"/>
      <w:r w:rsidRPr="005342FA">
        <w:t xml:space="preserve">, or vehicle (PBS), 24 h after injection of </w:t>
      </w:r>
      <w:proofErr w:type="spellStart"/>
      <w:r w:rsidRPr="005342FA">
        <w:t>radiolabeled</w:t>
      </w:r>
      <w:proofErr w:type="spellEnd"/>
      <w:r w:rsidRPr="005342FA">
        <w:t xml:space="preserve"> </w:t>
      </w:r>
      <w:proofErr w:type="spellStart"/>
      <w:r w:rsidRPr="005342FA">
        <w:t>pertuzumab</w:t>
      </w:r>
      <w:proofErr w:type="spellEnd"/>
      <w:r w:rsidRPr="005342FA">
        <w:t xml:space="preserve">. These </w:t>
      </w:r>
      <w:proofErr w:type="spellStart"/>
      <w:r w:rsidRPr="005342FA">
        <w:t>Seldeg</w:t>
      </w:r>
      <w:proofErr w:type="spellEnd"/>
      <w:r w:rsidRPr="005342FA">
        <w:t xml:space="preserve"> doses are equimolar with the injected dose of </w:t>
      </w:r>
      <w:proofErr w:type="spellStart"/>
      <w:r w:rsidRPr="005342FA">
        <w:t>pertuzumab</w:t>
      </w:r>
      <w:proofErr w:type="spellEnd"/>
      <w:r w:rsidRPr="005342FA">
        <w:t>. CT and PET images were acquired at the indicated times.</w:t>
      </w:r>
    </w:p>
    <w:p w14:paraId="7EA0B437" w14:textId="77777777" w:rsidR="008F63B1" w:rsidRPr="005342FA" w:rsidRDefault="008F63B1" w:rsidP="008F63B1">
      <w:pPr>
        <w:pStyle w:val="SecondLevelSubheading"/>
        <w:jc w:val="both"/>
        <w:rPr>
          <w:b/>
          <w:i w:val="0"/>
          <w:iCs w:val="0"/>
          <w:color w:val="auto"/>
        </w:rPr>
      </w:pPr>
    </w:p>
    <w:p w14:paraId="762E8D5A" w14:textId="77777777" w:rsidR="008F63B1" w:rsidRPr="005342FA" w:rsidRDefault="008F63B1" w:rsidP="008F63B1">
      <w:pPr>
        <w:pStyle w:val="SecondLevelSubheading"/>
        <w:jc w:val="both"/>
        <w:rPr>
          <w:b/>
          <w:color w:val="auto"/>
        </w:rPr>
      </w:pPr>
      <w:r w:rsidRPr="005342FA">
        <w:rPr>
          <w:b/>
          <w:color w:val="auto"/>
        </w:rPr>
        <w:t xml:space="preserve">Image acquisition </w:t>
      </w:r>
    </w:p>
    <w:p w14:paraId="72F19AC5" w14:textId="628B04FA" w:rsidR="008F63B1" w:rsidRPr="005342FA" w:rsidRDefault="008F63B1" w:rsidP="008F63B1">
      <w:pPr>
        <w:shd w:val="clear" w:color="auto" w:fill="FFFFFF"/>
      </w:pPr>
      <w:r w:rsidRPr="005342FA">
        <w:rPr>
          <w:bdr w:val="none" w:sz="0" w:space="0" w:color="auto" w:frame="1"/>
        </w:rPr>
        <w:t xml:space="preserve">Imaging of mice was performed using a Siemens </w:t>
      </w:r>
      <w:proofErr w:type="spellStart"/>
      <w:r w:rsidRPr="005342FA">
        <w:rPr>
          <w:bdr w:val="none" w:sz="0" w:space="0" w:color="auto" w:frame="1"/>
        </w:rPr>
        <w:t>Inveon</w:t>
      </w:r>
      <w:proofErr w:type="spellEnd"/>
      <w:r w:rsidRPr="005342FA">
        <w:rPr>
          <w:bdr w:val="none" w:sz="0" w:space="0" w:color="auto" w:frame="1"/>
        </w:rPr>
        <w:t xml:space="preserve"> PET-CT Multimodality System (Siemens Medical Solutions, Inc., Knoxville, TN) with an intrinsic spatial resolution of 1.5 mm</w:t>
      </w:r>
      <w:r w:rsidR="003242DC">
        <w:rPr>
          <w:bdr w:val="none" w:sz="0" w:space="0" w:color="auto" w:frame="1"/>
        </w:rPr>
        <w:t xml:space="preserve"> for PET</w:t>
      </w:r>
      <w:r w:rsidRPr="005342FA">
        <w:rPr>
          <w:bdr w:val="none" w:sz="0" w:space="0" w:color="auto" w:frame="1"/>
        </w:rPr>
        <w:t xml:space="preserve">.  The CT images were acquired </w:t>
      </w:r>
      <w:r w:rsidR="003242DC">
        <w:rPr>
          <w:bdr w:val="none" w:sz="0" w:space="0" w:color="auto" w:frame="1"/>
        </w:rPr>
        <w:t>with</w:t>
      </w:r>
      <w:r w:rsidRPr="005342FA">
        <w:rPr>
          <w:bdr w:val="none" w:sz="0" w:space="0" w:color="auto" w:frame="1"/>
        </w:rPr>
        <w:t xml:space="preserve"> 180 projections over </w:t>
      </w:r>
      <w:r w:rsidRPr="005342FA">
        <w:rPr>
          <w:bdr w:val="none" w:sz="0" w:space="0" w:color="auto" w:frame="1"/>
        </w:rPr>
        <w:lastRenderedPageBreak/>
        <w:t xml:space="preserve">a full </w:t>
      </w:r>
      <w:r w:rsidR="003242DC">
        <w:rPr>
          <w:bdr w:val="none" w:sz="0" w:space="0" w:color="auto" w:frame="1"/>
        </w:rPr>
        <w:t xml:space="preserve">360 degree rotation at a voltage of </w:t>
      </w:r>
      <w:r w:rsidRPr="005342FA">
        <w:rPr>
          <w:bdr w:val="none" w:sz="0" w:space="0" w:color="auto" w:frame="1"/>
        </w:rPr>
        <w:t xml:space="preserve">80 kV, current of 500 µA, exposure time of 140 </w:t>
      </w:r>
      <w:proofErr w:type="spellStart"/>
      <w:r w:rsidRPr="005342FA">
        <w:rPr>
          <w:bdr w:val="none" w:sz="0" w:space="0" w:color="auto" w:frame="1"/>
        </w:rPr>
        <w:t>ms</w:t>
      </w:r>
      <w:proofErr w:type="spellEnd"/>
      <w:r w:rsidR="003242DC">
        <w:rPr>
          <w:bdr w:val="none" w:sz="0" w:space="0" w:color="auto" w:frame="1"/>
        </w:rPr>
        <w:t xml:space="preserve"> per projection</w:t>
      </w:r>
      <w:r w:rsidRPr="005342FA">
        <w:rPr>
          <w:bdr w:val="none" w:sz="0" w:space="0" w:color="auto" w:frame="1"/>
        </w:rPr>
        <w:t xml:space="preserve">, and binning </w:t>
      </w:r>
      <w:r w:rsidR="003242DC">
        <w:rPr>
          <w:bdr w:val="none" w:sz="0" w:space="0" w:color="auto" w:frame="1"/>
        </w:rPr>
        <w:t>factor</w:t>
      </w:r>
      <w:r w:rsidRPr="005342FA">
        <w:rPr>
          <w:bdr w:val="none" w:sz="0" w:space="0" w:color="auto" w:frame="1"/>
        </w:rPr>
        <w:t xml:space="preserve"> of 4. The CT images were reconstructed using COBRA reconstruction software (</w:t>
      </w:r>
      <w:proofErr w:type="spellStart"/>
      <w:r w:rsidRPr="005342FA">
        <w:rPr>
          <w:bdr w:val="none" w:sz="0" w:space="0" w:color="auto" w:frame="1"/>
        </w:rPr>
        <w:t>Exxim</w:t>
      </w:r>
      <w:proofErr w:type="spellEnd"/>
      <w:r w:rsidRPr="005342FA">
        <w:rPr>
          <w:bdr w:val="none" w:sz="0" w:space="0" w:color="auto" w:frame="1"/>
        </w:rPr>
        <w:t xml:space="preserve"> Computing Corp.) with a </w:t>
      </w:r>
      <w:proofErr w:type="spellStart"/>
      <w:r w:rsidRPr="005342FA">
        <w:rPr>
          <w:bdr w:val="none" w:sz="0" w:space="0" w:color="auto" w:frame="1"/>
        </w:rPr>
        <w:t>downsampling</w:t>
      </w:r>
      <w:proofErr w:type="spellEnd"/>
      <w:r w:rsidRPr="005342FA">
        <w:rPr>
          <w:bdr w:val="none" w:sz="0" w:space="0" w:color="auto" w:frame="1"/>
        </w:rPr>
        <w:t xml:space="preserve"> factor of 2. The reconstruction profile for CT was set to interpolate bilinearly using a </w:t>
      </w:r>
      <w:proofErr w:type="spellStart"/>
      <w:r w:rsidRPr="005342FA">
        <w:rPr>
          <w:bdr w:val="none" w:sz="0" w:space="0" w:color="auto" w:frame="1"/>
        </w:rPr>
        <w:t>Shepp</w:t>
      </w:r>
      <w:proofErr w:type="spellEnd"/>
      <w:r w:rsidRPr="005342FA">
        <w:rPr>
          <w:bdr w:val="none" w:sz="0" w:space="0" w:color="auto" w:frame="1"/>
        </w:rPr>
        <w:t xml:space="preserve">-Logan filter. PET was carried out immediately following CT data acquisition, and PET images were acquired for 20 min with the acquisition energy window set to 350-650 keV for </w:t>
      </w:r>
      <w:r w:rsidRPr="005342FA">
        <w:rPr>
          <w:bdr w:val="none" w:sz="0" w:space="0" w:color="auto" w:frame="1"/>
          <w:vertAlign w:val="superscript"/>
        </w:rPr>
        <w:t>124</w:t>
      </w:r>
      <w:r w:rsidRPr="005342FA">
        <w:rPr>
          <w:bdr w:val="none" w:sz="0" w:space="0" w:color="auto" w:frame="1"/>
        </w:rPr>
        <w:t xml:space="preserve">I.  PET images were reconstructed with a 3D Ordered-Subset Expectation Maximization followed by Maximum a Posteriori (OSEM3D/MAP) algorithm using the Siemens </w:t>
      </w:r>
      <w:proofErr w:type="spellStart"/>
      <w:r w:rsidRPr="005342FA">
        <w:rPr>
          <w:bdr w:val="none" w:sz="0" w:space="0" w:color="auto" w:frame="1"/>
        </w:rPr>
        <w:t>Inveon</w:t>
      </w:r>
      <w:proofErr w:type="spellEnd"/>
      <w:r w:rsidRPr="005342FA">
        <w:rPr>
          <w:bdr w:val="none" w:sz="0" w:space="0" w:color="auto" w:frame="1"/>
        </w:rPr>
        <w:t xml:space="preserve"> Acquisition Workplace (Siemens Medical Solutions, Inc.).</w:t>
      </w:r>
    </w:p>
    <w:p w14:paraId="39CB791E" w14:textId="77777777" w:rsidR="008F63B1" w:rsidRPr="005342FA" w:rsidRDefault="008F63B1" w:rsidP="008F63B1">
      <w:pPr>
        <w:rPr>
          <w:strike/>
        </w:rPr>
      </w:pPr>
    </w:p>
    <w:p w14:paraId="4DF24FFC" w14:textId="77777777" w:rsidR="008F63B1" w:rsidRPr="005342FA" w:rsidRDefault="008F63B1" w:rsidP="008F63B1">
      <w:pPr>
        <w:rPr>
          <w:b/>
          <w:bCs/>
          <w:i/>
          <w:iCs/>
        </w:rPr>
      </w:pPr>
      <w:r w:rsidRPr="005342FA">
        <w:rPr>
          <w:b/>
          <w:bCs/>
          <w:i/>
          <w:iCs/>
        </w:rPr>
        <w:t>Image analysis</w:t>
      </w:r>
    </w:p>
    <w:p w14:paraId="63F35973" w14:textId="3C629150" w:rsidR="008F63B1" w:rsidRPr="005342FA" w:rsidRDefault="008F63B1" w:rsidP="008F63B1">
      <w:r w:rsidRPr="005342FA">
        <w:t>PET and CT images were registered in the AMIDE software package.</w:t>
      </w:r>
      <w:r w:rsidR="00C24F9E" w:rsidRPr="00C24F9E">
        <w:rPr>
          <w:vertAlign w:val="superscript"/>
        </w:rPr>
        <w:t>24</w:t>
      </w:r>
      <w:r w:rsidRPr="005342FA">
        <w:t xml:space="preserve"> Linear intensity adjustments with a zero-minimum threshold were applied to display the PET images. The maximum thresholds were adjusted equally across all three groups and time points. For measuring the contrast, two ellipsoidal regions of interest (ROIs) were defined manually. One ROI encompassed the </w:t>
      </w:r>
      <w:proofErr w:type="spellStart"/>
      <w:r w:rsidRPr="005342FA">
        <w:t>tumor</w:t>
      </w:r>
      <w:proofErr w:type="spellEnd"/>
      <w:r w:rsidRPr="005342FA">
        <w:t xml:space="preserve"> in all planes. A second ROI was defined in the thorax area to measure the background intensity. The mean background intensity and the mean </w:t>
      </w:r>
      <w:proofErr w:type="spellStart"/>
      <w:r w:rsidRPr="005342FA">
        <w:t>tumor</w:t>
      </w:r>
      <w:proofErr w:type="spellEnd"/>
      <w:r w:rsidRPr="005342FA">
        <w:t xml:space="preserve"> intensity were calculated by taking the average of the intensity of the voxels within both the ROIs. This was carried out for each mouse. The dimensionless Contrast Measure (CM) is defined as: </w:t>
      </w:r>
    </w:p>
    <w:p w14:paraId="09BB87FE" w14:textId="77777777" w:rsidR="008F63B1" w:rsidRPr="005342FA" w:rsidRDefault="008F63B1" w:rsidP="008F63B1">
      <w:pPr>
        <w:rPr>
          <w:vertAlign w:val="subscript"/>
        </w:rPr>
      </w:pPr>
      <m:oMathPara>
        <m:oMath>
          <m:r>
            <m:rPr>
              <m:nor/>
            </m:rPr>
            <w:rPr>
              <w:rFonts w:ascii="Cambria Math" w:hAnsi="Cambria Math"/>
            </w:rPr>
            <m:t>CM =(I</m:t>
          </m:r>
          <m:r>
            <m:rPr>
              <m:nor/>
            </m:rPr>
            <w:rPr>
              <w:rFonts w:ascii="Cambria Math" w:hAnsi="Cambria Math"/>
              <w:vertAlign w:val="subscript"/>
            </w:rPr>
            <m:t>T</m:t>
          </m:r>
          <m:r>
            <m:rPr>
              <m:nor/>
            </m:rPr>
            <w:rPr>
              <w:rFonts w:ascii="Cambria Math" w:hAnsi="Cambria Math"/>
            </w:rPr>
            <m:t>-I</m:t>
          </m:r>
          <m:r>
            <m:rPr>
              <m:nor/>
            </m:rPr>
            <w:rPr>
              <w:rFonts w:ascii="Cambria Math" w:hAnsi="Cambria Math"/>
              <w:vertAlign w:val="subscript"/>
            </w:rPr>
            <m:t>B</m:t>
          </m:r>
          <m:r>
            <m:rPr>
              <m:nor/>
            </m:rPr>
            <w:rPr>
              <w:rFonts w:ascii="Cambria Math" w:hAnsi="Cambria Math"/>
            </w:rPr>
            <m:t>)/ I</m:t>
          </m:r>
          <m:r>
            <m:rPr>
              <m:nor/>
            </m:rPr>
            <w:rPr>
              <w:rFonts w:ascii="Cambria Math" w:hAnsi="Cambria Math"/>
              <w:vertAlign w:val="subscript"/>
            </w:rPr>
            <m:t>B</m:t>
          </m:r>
        </m:oMath>
      </m:oMathPara>
    </w:p>
    <w:p w14:paraId="7A5CCE5F" w14:textId="77777777" w:rsidR="008F63B1" w:rsidRPr="005342FA" w:rsidRDefault="008F63B1" w:rsidP="008F63B1"/>
    <w:p w14:paraId="55660E11" w14:textId="1568F248" w:rsidR="008F63B1" w:rsidRDefault="008F63B1" w:rsidP="008F63B1">
      <w:r w:rsidRPr="005342FA">
        <w:lastRenderedPageBreak/>
        <w:t>where I</w:t>
      </w:r>
      <w:r w:rsidRPr="005342FA">
        <w:rPr>
          <w:vertAlign w:val="subscript"/>
        </w:rPr>
        <w:t>T</w:t>
      </w:r>
      <w:r w:rsidRPr="005342FA">
        <w:t xml:space="preserve"> and I</w:t>
      </w:r>
      <w:r w:rsidRPr="005342FA">
        <w:rPr>
          <w:vertAlign w:val="subscript"/>
        </w:rPr>
        <w:t>B</w:t>
      </w:r>
      <w:r w:rsidRPr="005342FA">
        <w:t xml:space="preserve"> denote the mean </w:t>
      </w:r>
      <w:proofErr w:type="spellStart"/>
      <w:r w:rsidRPr="005342FA">
        <w:t>tumor</w:t>
      </w:r>
      <w:proofErr w:type="spellEnd"/>
      <w:r w:rsidRPr="005342FA">
        <w:t xml:space="preserve"> intensity and the mean background intensity, respectively. 3D animal images were generated using the 3D volume rendering tool available in the AMIDE software.</w:t>
      </w:r>
    </w:p>
    <w:p w14:paraId="343C8B49" w14:textId="77777777" w:rsidR="0030128E" w:rsidRDefault="0030128E" w:rsidP="008F63B1">
      <w:pPr>
        <w:pStyle w:val="SecondLevelSubheading"/>
        <w:jc w:val="both"/>
        <w:rPr>
          <w:b/>
          <w:color w:val="auto"/>
        </w:rPr>
      </w:pPr>
      <w:bookmarkStart w:id="6" w:name="_Toc52194220"/>
    </w:p>
    <w:p w14:paraId="13489436" w14:textId="3C26B6B8" w:rsidR="008F63B1" w:rsidRPr="005342FA" w:rsidRDefault="008F63B1" w:rsidP="008F63B1">
      <w:pPr>
        <w:pStyle w:val="SecondLevelSubheading"/>
        <w:jc w:val="both"/>
        <w:rPr>
          <w:b/>
          <w:color w:val="auto"/>
        </w:rPr>
      </w:pPr>
      <w:r w:rsidRPr="005342FA">
        <w:rPr>
          <w:b/>
          <w:color w:val="auto"/>
        </w:rPr>
        <w:t>Statistic</w:t>
      </w:r>
      <w:bookmarkEnd w:id="6"/>
      <w:r w:rsidRPr="005342FA">
        <w:rPr>
          <w:b/>
          <w:color w:val="auto"/>
        </w:rPr>
        <w:t>al analyses</w:t>
      </w:r>
    </w:p>
    <w:p w14:paraId="626A8E7E" w14:textId="77777777" w:rsidR="008F63B1" w:rsidRPr="005342FA" w:rsidRDefault="008F63B1" w:rsidP="008F63B1">
      <w:r w:rsidRPr="005342FA">
        <w:t xml:space="preserve">Tests for statistical significance between treatment groups were performed using one-way analysis of variance (ANOVA) with Tukey’s multiple comparison test and plotted in GraphPad Prism, V6.0 (GraphPad Software). p values less than 0.05 </w:t>
      </w:r>
      <w:proofErr w:type="gramStart"/>
      <w:r w:rsidRPr="005342FA">
        <w:t>were considered to be</w:t>
      </w:r>
      <w:proofErr w:type="gramEnd"/>
      <w:r w:rsidRPr="005342FA">
        <w:t xml:space="preserve"> significant.</w:t>
      </w:r>
    </w:p>
    <w:p w14:paraId="2CE95E6D" w14:textId="77777777" w:rsidR="008F63B1" w:rsidRPr="005342FA" w:rsidRDefault="008F63B1" w:rsidP="008F63B1"/>
    <w:p w14:paraId="0FD84F98" w14:textId="77777777" w:rsidR="008F63B1" w:rsidRPr="005342FA" w:rsidRDefault="008F63B1" w:rsidP="008F63B1">
      <w:pPr>
        <w:spacing w:after="160" w:line="259" w:lineRule="auto"/>
      </w:pPr>
      <w:r w:rsidRPr="005342FA">
        <w:br w:type="page"/>
      </w:r>
    </w:p>
    <w:p w14:paraId="78724572" w14:textId="77777777" w:rsidR="008F63B1" w:rsidRPr="005342FA" w:rsidRDefault="008F63B1" w:rsidP="008F63B1">
      <w:pPr>
        <w:rPr>
          <w:b/>
          <w:bCs/>
        </w:rPr>
      </w:pPr>
      <w:r w:rsidRPr="005342FA">
        <w:rPr>
          <w:b/>
          <w:bCs/>
        </w:rPr>
        <w:lastRenderedPageBreak/>
        <w:t>Data availability</w:t>
      </w:r>
    </w:p>
    <w:p w14:paraId="52DF0E57" w14:textId="0800EA80" w:rsidR="008F63B1" w:rsidRPr="005342FA" w:rsidRDefault="008F63B1" w:rsidP="008F63B1">
      <w:r w:rsidRPr="005342FA">
        <w:t>The data that supports the findings in this study are available upon request from the corresponding author</w:t>
      </w:r>
      <w:r w:rsidR="005E0E19">
        <w:t>s</w:t>
      </w:r>
      <w:r w:rsidRPr="005342FA">
        <w:t>.</w:t>
      </w:r>
    </w:p>
    <w:p w14:paraId="5235F70C" w14:textId="77777777" w:rsidR="008F63B1" w:rsidRPr="005342FA" w:rsidRDefault="008F63B1" w:rsidP="008F63B1"/>
    <w:p w14:paraId="7B536039" w14:textId="77777777" w:rsidR="008F63B1" w:rsidRPr="005342FA" w:rsidRDefault="008F63B1" w:rsidP="008F63B1">
      <w:pPr>
        <w:rPr>
          <w:b/>
          <w:bCs/>
        </w:rPr>
      </w:pPr>
      <w:r w:rsidRPr="005342FA">
        <w:rPr>
          <w:b/>
          <w:bCs/>
        </w:rPr>
        <w:t>Code availability</w:t>
      </w:r>
    </w:p>
    <w:p w14:paraId="489F54E1" w14:textId="77777777" w:rsidR="008F63B1" w:rsidRPr="005342FA" w:rsidRDefault="008F63B1" w:rsidP="008F63B1">
      <w:r w:rsidRPr="005342FA">
        <w:t xml:space="preserve">Software used to </w:t>
      </w:r>
      <w:proofErr w:type="spellStart"/>
      <w:r w:rsidRPr="005342FA">
        <w:t>analyze</w:t>
      </w:r>
      <w:proofErr w:type="spellEnd"/>
      <w:r w:rsidRPr="005342FA">
        <w:t xml:space="preserve"> the PET data is available upon request.</w:t>
      </w:r>
    </w:p>
    <w:p w14:paraId="2388246A" w14:textId="77777777" w:rsidR="008F63B1" w:rsidRPr="005342FA" w:rsidRDefault="008F63B1" w:rsidP="008F63B1"/>
    <w:p w14:paraId="38E9C6D5" w14:textId="77777777" w:rsidR="008F63B1" w:rsidRPr="005342FA" w:rsidRDefault="008F63B1" w:rsidP="008F63B1">
      <w:r w:rsidRPr="005342FA">
        <w:rPr>
          <w:b/>
          <w:bCs/>
        </w:rPr>
        <w:t>Acknowledgements</w:t>
      </w:r>
    </w:p>
    <w:p w14:paraId="7B7DA86D" w14:textId="4CF84FC3" w:rsidR="008F63B1" w:rsidRPr="005342FA" w:rsidRDefault="008F63B1" w:rsidP="008F63B1">
      <w:r w:rsidRPr="005342FA">
        <w:t xml:space="preserve">We thank </w:t>
      </w:r>
      <w:proofErr w:type="spellStart"/>
      <w:r w:rsidRPr="005342FA">
        <w:t>Drs.</w:t>
      </w:r>
      <w:proofErr w:type="spellEnd"/>
      <w:r w:rsidRPr="005342FA">
        <w:t xml:space="preserve"> John Minna and Kenneth Huffman (UT Southwestern Medical </w:t>
      </w:r>
      <w:proofErr w:type="spellStart"/>
      <w:r w:rsidRPr="005342FA">
        <w:t>Center</w:t>
      </w:r>
      <w:proofErr w:type="spellEnd"/>
      <w:r w:rsidRPr="005342FA">
        <w:t xml:space="preserve">) for providing the HCC1954 breast cancer cell line. We are grateful to </w:t>
      </w:r>
      <w:proofErr w:type="spellStart"/>
      <w:r w:rsidRPr="005342FA">
        <w:t>Drs.</w:t>
      </w:r>
      <w:proofErr w:type="spellEnd"/>
      <w:r w:rsidRPr="005342FA">
        <w:t xml:space="preserve"> Siva </w:t>
      </w:r>
      <w:proofErr w:type="spellStart"/>
      <w:r w:rsidRPr="005342FA">
        <w:t>Devanaboyin</w:t>
      </w:r>
      <w:r w:rsidR="00EA3D9E">
        <w:t>a</w:t>
      </w:r>
      <w:proofErr w:type="spellEnd"/>
      <w:r w:rsidR="00EA3D9E">
        <w:t xml:space="preserve"> and </w:t>
      </w:r>
      <w:proofErr w:type="spellStart"/>
      <w:r w:rsidRPr="005342FA">
        <w:t>Dilip</w:t>
      </w:r>
      <w:proofErr w:type="spellEnd"/>
      <w:r w:rsidRPr="005342FA">
        <w:t xml:space="preserve"> </w:t>
      </w:r>
      <w:proofErr w:type="spellStart"/>
      <w:r w:rsidRPr="005342FA">
        <w:t>Challa</w:t>
      </w:r>
      <w:proofErr w:type="spellEnd"/>
      <w:r w:rsidRPr="005342FA">
        <w:t xml:space="preserve"> for their assistance. </w:t>
      </w:r>
      <w:r w:rsidR="00141021" w:rsidRPr="005342FA">
        <w:t xml:space="preserve">We also thank </w:t>
      </w:r>
      <w:proofErr w:type="spellStart"/>
      <w:r w:rsidR="00141021" w:rsidRPr="005342FA">
        <w:t>Dr.</w:t>
      </w:r>
      <w:proofErr w:type="spellEnd"/>
      <w:r w:rsidR="00141021" w:rsidRPr="005342FA">
        <w:t xml:space="preserve"> Richard </w:t>
      </w:r>
      <w:proofErr w:type="spellStart"/>
      <w:r w:rsidR="00141021" w:rsidRPr="005342FA">
        <w:t>Stopforth</w:t>
      </w:r>
      <w:proofErr w:type="spellEnd"/>
      <w:r w:rsidR="00141021" w:rsidRPr="005342FA">
        <w:t xml:space="preserve"> for providing recombinant mouse </w:t>
      </w:r>
      <w:proofErr w:type="spellStart"/>
      <w:r w:rsidR="00141021" w:rsidRPr="005342FA">
        <w:t>FcRn</w:t>
      </w:r>
      <w:proofErr w:type="spellEnd"/>
      <w:r w:rsidR="00141021" w:rsidRPr="005342FA">
        <w:t xml:space="preserve"> for use in SPR experiments.</w:t>
      </w:r>
    </w:p>
    <w:p w14:paraId="1EB34FA4" w14:textId="77777777" w:rsidR="008F63B1" w:rsidRPr="005342FA" w:rsidRDefault="008F63B1" w:rsidP="008F63B1"/>
    <w:p w14:paraId="16E1513A" w14:textId="48AA9014" w:rsidR="00050B3D" w:rsidRPr="005342FA" w:rsidRDefault="00050B3D" w:rsidP="008F63B1">
      <w:pPr>
        <w:rPr>
          <w:b/>
          <w:bCs/>
        </w:rPr>
      </w:pPr>
      <w:r w:rsidRPr="005342FA">
        <w:rPr>
          <w:b/>
          <w:bCs/>
        </w:rPr>
        <w:t>Disclosure</w:t>
      </w:r>
    </w:p>
    <w:p w14:paraId="5F774261" w14:textId="63799F26" w:rsidR="00050B3D" w:rsidRPr="005342FA" w:rsidRDefault="00050B3D" w:rsidP="00050B3D">
      <w:r w:rsidRPr="005342FA">
        <w:t xml:space="preserve">This work was supported in part by the Cancer Prevention and Research Institute of Texas (RP160051). E.S.W. and R.J.O. are co-inventors on a pending patent describing </w:t>
      </w:r>
      <w:proofErr w:type="spellStart"/>
      <w:r w:rsidRPr="005342FA">
        <w:t>Seldegs</w:t>
      </w:r>
      <w:proofErr w:type="spellEnd"/>
      <w:r w:rsidRPr="005342FA">
        <w:t xml:space="preserve">. E.S.W. and R.J.O. may receive royalties from patents owned by the UK Medical Research Council, UT Southwestern Medical </w:t>
      </w:r>
      <w:proofErr w:type="spellStart"/>
      <w:r w:rsidRPr="005342FA">
        <w:t>Center</w:t>
      </w:r>
      <w:proofErr w:type="spellEnd"/>
      <w:r w:rsidRPr="005342FA">
        <w:t xml:space="preserve"> and Texas A&amp;M University. E.S.W. and R.J.O. have a financial interest in </w:t>
      </w:r>
      <w:proofErr w:type="spellStart"/>
      <w:r w:rsidRPr="005342FA">
        <w:t>argenx</w:t>
      </w:r>
      <w:proofErr w:type="spellEnd"/>
      <w:r w:rsidRPr="005342FA">
        <w:t xml:space="preserve">, </w:t>
      </w:r>
      <w:proofErr w:type="spellStart"/>
      <w:r w:rsidRPr="005342FA">
        <w:t>Astero</w:t>
      </w:r>
      <w:proofErr w:type="spellEnd"/>
      <w:r w:rsidRPr="005342FA">
        <w:t xml:space="preserve"> Biopharma LLC, </w:t>
      </w:r>
      <w:proofErr w:type="spellStart"/>
      <w:r w:rsidRPr="005342FA">
        <w:t>Astero</w:t>
      </w:r>
      <w:proofErr w:type="spellEnd"/>
      <w:r w:rsidRPr="005342FA">
        <w:t xml:space="preserve"> </w:t>
      </w:r>
      <w:proofErr w:type="spellStart"/>
      <w:r w:rsidRPr="005342FA">
        <w:t>Erado</w:t>
      </w:r>
      <w:proofErr w:type="spellEnd"/>
      <w:r w:rsidRPr="005342FA">
        <w:t xml:space="preserve"> </w:t>
      </w:r>
      <w:proofErr w:type="gramStart"/>
      <w:r w:rsidRPr="005342FA">
        <w:t>Inc</w:t>
      </w:r>
      <w:r w:rsidR="00A2299B">
        <w:t>.</w:t>
      </w:r>
      <w:proofErr w:type="gramEnd"/>
      <w:r w:rsidRPr="005342FA">
        <w:t xml:space="preserve"> and </w:t>
      </w:r>
      <w:proofErr w:type="spellStart"/>
      <w:r w:rsidRPr="005342FA">
        <w:t>Astero</w:t>
      </w:r>
      <w:proofErr w:type="spellEnd"/>
      <w:r w:rsidRPr="005342FA">
        <w:t xml:space="preserve"> Technologies LLC. P.K., W.S., S.R., </w:t>
      </w:r>
      <w:r w:rsidR="00655F89">
        <w:t xml:space="preserve">R.S., </w:t>
      </w:r>
      <w:r w:rsidRPr="005342FA">
        <w:t>G.H., S.L., K.N. and X.S. do not have any disclosures.</w:t>
      </w:r>
    </w:p>
    <w:p w14:paraId="6E51C0A9" w14:textId="77777777" w:rsidR="00C24F9E" w:rsidRDefault="00C24F9E" w:rsidP="008F63B1">
      <w:pPr>
        <w:rPr>
          <w:b/>
          <w:bCs/>
        </w:rPr>
      </w:pPr>
    </w:p>
    <w:p w14:paraId="557AFDCD" w14:textId="4533C678" w:rsidR="008F63B1" w:rsidRPr="005342FA" w:rsidRDefault="008F63B1" w:rsidP="008F63B1">
      <w:pPr>
        <w:rPr>
          <w:b/>
          <w:bCs/>
        </w:rPr>
      </w:pPr>
      <w:r w:rsidRPr="005342FA">
        <w:rPr>
          <w:b/>
          <w:bCs/>
        </w:rPr>
        <w:t>Author contributions</w:t>
      </w:r>
    </w:p>
    <w:p w14:paraId="6A678114" w14:textId="1566DBB3" w:rsidR="008F63B1" w:rsidRPr="005342FA" w:rsidRDefault="008F63B1" w:rsidP="008F63B1">
      <w:r w:rsidRPr="005342FA">
        <w:t xml:space="preserve">P.K, W.S. and E.S.W. designed the experiments. P.K., W.S., </w:t>
      </w:r>
      <w:r w:rsidR="00C24F9E">
        <w:t xml:space="preserve">R.S, </w:t>
      </w:r>
      <w:r w:rsidRPr="005342FA">
        <w:t xml:space="preserve">G.H., S-T.L., K.N. performed the experiments. P.K., W.S., S.R., </w:t>
      </w:r>
      <w:r w:rsidR="00C24F9E">
        <w:t xml:space="preserve">R.S., </w:t>
      </w:r>
      <w:r w:rsidRPr="005342FA">
        <w:t xml:space="preserve">R.J.O. and E.S.W. </w:t>
      </w:r>
      <w:proofErr w:type="spellStart"/>
      <w:r w:rsidRPr="005342FA">
        <w:t>analyzed</w:t>
      </w:r>
      <w:proofErr w:type="spellEnd"/>
      <w:r w:rsidRPr="005342FA">
        <w:t xml:space="preserve"> the data.  </w:t>
      </w:r>
      <w:r w:rsidRPr="005342FA">
        <w:lastRenderedPageBreak/>
        <w:t>P.K., W.S., G.H., R.J.O. and E.S.W. wrote the manuscript that was edited by all other authors.</w:t>
      </w:r>
    </w:p>
    <w:p w14:paraId="1FCFD3C7" w14:textId="77777777" w:rsidR="008F63B1" w:rsidRPr="005342FA" w:rsidRDefault="008F63B1" w:rsidP="008F63B1"/>
    <w:p w14:paraId="02FC4845" w14:textId="77777777" w:rsidR="008F63B1" w:rsidRPr="005342FA" w:rsidRDefault="008F63B1" w:rsidP="008F63B1">
      <w:pPr>
        <w:spacing w:after="160" w:line="259" w:lineRule="auto"/>
        <w:rPr>
          <w:b/>
          <w:bCs/>
        </w:rPr>
      </w:pPr>
      <w:r w:rsidRPr="005342FA">
        <w:rPr>
          <w:b/>
          <w:bCs/>
        </w:rPr>
        <w:br w:type="page"/>
      </w:r>
    </w:p>
    <w:p w14:paraId="236D43C7" w14:textId="77777777" w:rsidR="008F63B1" w:rsidRPr="005342FA" w:rsidRDefault="008F63B1" w:rsidP="008F63B1">
      <w:pPr>
        <w:rPr>
          <w:b/>
          <w:bCs/>
        </w:rPr>
      </w:pPr>
      <w:r w:rsidRPr="005342FA">
        <w:rPr>
          <w:b/>
          <w:bCs/>
        </w:rPr>
        <w:lastRenderedPageBreak/>
        <w:t>Abbreviations</w:t>
      </w:r>
    </w:p>
    <w:p w14:paraId="31CDF26D" w14:textId="77777777" w:rsidR="008F63B1" w:rsidRPr="005342FA" w:rsidRDefault="008F63B1" w:rsidP="008F63B1">
      <w:r w:rsidRPr="005342FA">
        <w:t>CT, computed tomography</w:t>
      </w:r>
    </w:p>
    <w:p w14:paraId="44DA14DE" w14:textId="77777777" w:rsidR="008F63B1" w:rsidRPr="005342FA" w:rsidRDefault="008F63B1" w:rsidP="008F63B1">
      <w:r w:rsidRPr="005342FA">
        <w:t>HER2, human epidermal growth factor receptor 2</w:t>
      </w:r>
    </w:p>
    <w:p w14:paraId="7D5F573F" w14:textId="77777777" w:rsidR="008F63B1" w:rsidRPr="005342FA" w:rsidRDefault="008F63B1" w:rsidP="008F63B1">
      <w:r w:rsidRPr="005342FA">
        <w:t>IVIG, intravenous immunoglobulin</w:t>
      </w:r>
    </w:p>
    <w:p w14:paraId="4DA2FA7B" w14:textId="77777777" w:rsidR="008F63B1" w:rsidRPr="005342FA" w:rsidRDefault="008F63B1" w:rsidP="008F63B1">
      <w:r w:rsidRPr="005342FA">
        <w:t>MOG, myelin oligodendrocyte glycoprotein</w:t>
      </w:r>
    </w:p>
    <w:p w14:paraId="00701E6C" w14:textId="77777777" w:rsidR="008F63B1" w:rsidRPr="005342FA" w:rsidRDefault="008F63B1" w:rsidP="008F63B1">
      <w:r w:rsidRPr="005342FA">
        <w:t>PET, positron emission tomography</w:t>
      </w:r>
    </w:p>
    <w:p w14:paraId="684BD1A0" w14:textId="77777777" w:rsidR="008F63B1" w:rsidRPr="005342FA" w:rsidRDefault="008F63B1" w:rsidP="008F63B1"/>
    <w:p w14:paraId="3FB5D067" w14:textId="77777777" w:rsidR="008F63B1" w:rsidRPr="005342FA" w:rsidRDefault="008F63B1" w:rsidP="008F63B1">
      <w:pPr>
        <w:rPr>
          <w:b/>
          <w:bCs/>
        </w:rPr>
      </w:pPr>
      <w:r w:rsidRPr="005342FA">
        <w:rPr>
          <w:b/>
          <w:bCs/>
        </w:rPr>
        <w:br w:type="page"/>
      </w:r>
    </w:p>
    <w:p w14:paraId="00CCB8C8" w14:textId="77777777" w:rsidR="00E4166A" w:rsidRPr="005342FA" w:rsidRDefault="00E4166A" w:rsidP="00C52DDD">
      <w:pPr>
        <w:pStyle w:val="EndNoteBibliography"/>
        <w:spacing w:line="480" w:lineRule="auto"/>
        <w:ind w:firstLine="0"/>
        <w:rPr>
          <w:b/>
          <w:bCs/>
        </w:rPr>
      </w:pPr>
      <w:r w:rsidRPr="005342FA">
        <w:rPr>
          <w:b/>
          <w:bCs/>
        </w:rPr>
        <w:lastRenderedPageBreak/>
        <w:t>References</w:t>
      </w:r>
    </w:p>
    <w:p w14:paraId="48D99032" w14:textId="29CE4677" w:rsidR="00E4166A" w:rsidRPr="00DE3E36" w:rsidRDefault="00E4166A" w:rsidP="00C52DDD">
      <w:pPr>
        <w:pStyle w:val="EndNoteBibliography"/>
        <w:spacing w:line="480" w:lineRule="auto"/>
        <w:ind w:firstLine="0"/>
        <w:jc w:val="left"/>
      </w:pPr>
      <w:r w:rsidRPr="005342FA">
        <w:fldChar w:fldCharType="begin"/>
      </w:r>
      <w:r w:rsidRPr="005342FA">
        <w:rPr>
          <w:lang w:val="de-DE"/>
        </w:rPr>
        <w:instrText xml:space="preserve"> ADDIN EN.REFLIST </w:instrText>
      </w:r>
      <w:r w:rsidRPr="005342FA">
        <w:fldChar w:fldCharType="separate"/>
      </w:r>
      <w:r w:rsidRPr="00DE3E36">
        <w:rPr>
          <w:b/>
        </w:rPr>
        <w:t>1.</w:t>
      </w:r>
      <w:r w:rsidRPr="00DE3E36">
        <w:tab/>
        <w:t>Ward ES</w:t>
      </w:r>
      <w:r w:rsidR="00C52DDD">
        <w:t xml:space="preserve">, </w:t>
      </w:r>
      <w:r w:rsidRPr="00DE3E36">
        <w:t xml:space="preserve">Ober RJ. Multitasking by exploitation of intracellular transport functions: the many faces of FcRn. </w:t>
      </w:r>
      <w:r w:rsidRPr="00DE3E36">
        <w:rPr>
          <w:i/>
        </w:rPr>
        <w:t>Adv Immunol</w:t>
      </w:r>
      <w:r w:rsidRPr="00DE3E36">
        <w:t xml:space="preserve">. 2009;103:77-115. </w:t>
      </w:r>
      <w:hyperlink r:id="rId8" w:history="1">
        <w:r w:rsidRPr="00DE3E36">
          <w:rPr>
            <w:rStyle w:val="Hyperlink"/>
          </w:rPr>
          <w:t>http://dx.doi.org/10.1016/S0065-2776(09)03004-1</w:t>
        </w:r>
      </w:hyperlink>
      <w:r w:rsidRPr="00DE3E36">
        <w:t>. PMCID: PMC4485553.</w:t>
      </w:r>
    </w:p>
    <w:p w14:paraId="5D7DA934" w14:textId="5C6DE912" w:rsidR="00E4166A" w:rsidRPr="00DE3E36" w:rsidRDefault="00E4166A" w:rsidP="00C52DDD">
      <w:pPr>
        <w:pStyle w:val="EndNoteBibliography"/>
        <w:spacing w:line="480" w:lineRule="auto"/>
        <w:ind w:firstLine="0"/>
        <w:jc w:val="left"/>
      </w:pPr>
      <w:r w:rsidRPr="00DE3E36">
        <w:rPr>
          <w:b/>
        </w:rPr>
        <w:t>2.</w:t>
      </w:r>
      <w:r w:rsidRPr="00DE3E36">
        <w:tab/>
        <w:t>Goldstein R, Sosabowski J, Vigor K, Chester K</w:t>
      </w:r>
      <w:r w:rsidR="00C52DDD">
        <w:t xml:space="preserve">, </w:t>
      </w:r>
      <w:r w:rsidRPr="00DE3E36">
        <w:t xml:space="preserve">Meyer T. Developments in single photon emission computed tomography and PET-based HER2 molecular imaging for breast cancer. </w:t>
      </w:r>
      <w:r w:rsidRPr="00DE3E36">
        <w:rPr>
          <w:i/>
        </w:rPr>
        <w:t>Expert Rev Anticancer Ther</w:t>
      </w:r>
      <w:r w:rsidRPr="00DE3E36">
        <w:t xml:space="preserve">. 2013;13(3):359-73. </w:t>
      </w:r>
      <w:hyperlink r:id="rId9" w:history="1">
        <w:r w:rsidRPr="00DE3E36">
          <w:rPr>
            <w:rStyle w:val="Hyperlink"/>
          </w:rPr>
          <w:t>http://dx.doi.org/10.1586/era.13.11</w:t>
        </w:r>
      </w:hyperlink>
      <w:r w:rsidRPr="00DE3E36">
        <w:t>.</w:t>
      </w:r>
    </w:p>
    <w:p w14:paraId="38D1096E" w14:textId="37F7F56F" w:rsidR="00E4166A" w:rsidRPr="00DE3E36" w:rsidRDefault="00E4166A" w:rsidP="00C52DDD">
      <w:pPr>
        <w:pStyle w:val="EndNoteBibliography"/>
        <w:spacing w:line="480" w:lineRule="auto"/>
        <w:ind w:firstLine="0"/>
        <w:jc w:val="left"/>
      </w:pPr>
      <w:r w:rsidRPr="00DE3E36">
        <w:rPr>
          <w:b/>
        </w:rPr>
        <w:t>3.</w:t>
      </w:r>
      <w:r w:rsidRPr="00DE3E36">
        <w:tab/>
        <w:t>Jaggi JS, Carrasquillo JA, Seshan SV, Zanzonico P, Henke E, Nagel A, Schwartz J, Beattie B, Kappel BJ, Chattopadhyay D</w:t>
      </w:r>
      <w:r w:rsidR="00C52DDD">
        <w:t xml:space="preserve"> et al</w:t>
      </w:r>
      <w:r w:rsidRPr="00DE3E36">
        <w:t xml:space="preserve">. Improved tumor imaging and therapy via i.v. IgG-mediated time-sequential modulation of neonatal Fc receptor. </w:t>
      </w:r>
      <w:r w:rsidRPr="00DE3E36">
        <w:rPr>
          <w:i/>
        </w:rPr>
        <w:t>J Clin Invest</w:t>
      </w:r>
      <w:r w:rsidRPr="00DE3E36">
        <w:t xml:space="preserve">. 2007;117(9):2422-30. </w:t>
      </w:r>
      <w:hyperlink r:id="rId10" w:history="1">
        <w:r w:rsidRPr="00DE3E36">
          <w:rPr>
            <w:rStyle w:val="Hyperlink"/>
          </w:rPr>
          <w:t>http://dx.doi.org/10.1172/JCI32226</w:t>
        </w:r>
      </w:hyperlink>
      <w:r w:rsidRPr="00DE3E36">
        <w:t>. PMCID: PMC1950462.</w:t>
      </w:r>
    </w:p>
    <w:p w14:paraId="46639D1F" w14:textId="77777777" w:rsidR="00E4166A" w:rsidRPr="00DE3E36" w:rsidRDefault="00E4166A" w:rsidP="00C52DDD">
      <w:pPr>
        <w:pStyle w:val="EndNoteBibliography"/>
        <w:spacing w:line="480" w:lineRule="auto"/>
        <w:ind w:firstLine="0"/>
        <w:jc w:val="left"/>
      </w:pPr>
      <w:r w:rsidRPr="00DE3E36">
        <w:rPr>
          <w:b/>
        </w:rPr>
        <w:t>4.</w:t>
      </w:r>
      <w:r w:rsidRPr="00DE3E36">
        <w:tab/>
        <w:t xml:space="preserve">Wu AM. Engineered antibodies for molecular imaging of cancer. </w:t>
      </w:r>
      <w:r w:rsidRPr="00DE3E36">
        <w:rPr>
          <w:i/>
        </w:rPr>
        <w:t>Methods</w:t>
      </w:r>
      <w:r w:rsidRPr="00DE3E36">
        <w:t xml:space="preserve">. 2014;65(1):139-47. </w:t>
      </w:r>
      <w:hyperlink r:id="rId11" w:history="1">
        <w:r w:rsidRPr="00DE3E36">
          <w:rPr>
            <w:rStyle w:val="Hyperlink"/>
          </w:rPr>
          <w:t>http://dx.doi.org/10.1016/j.ymeth.2013.09.015</w:t>
        </w:r>
      </w:hyperlink>
      <w:r w:rsidRPr="00DE3E36">
        <w:t>. PMCID: PMC3947235.</w:t>
      </w:r>
    </w:p>
    <w:p w14:paraId="768F9822" w14:textId="74849082" w:rsidR="00E4166A" w:rsidRPr="00DE3E36" w:rsidRDefault="00E4166A" w:rsidP="00C52DDD">
      <w:pPr>
        <w:pStyle w:val="EndNoteBibliography"/>
        <w:spacing w:line="480" w:lineRule="auto"/>
        <w:ind w:firstLine="0"/>
        <w:jc w:val="left"/>
      </w:pPr>
      <w:r w:rsidRPr="00DE3E36">
        <w:rPr>
          <w:b/>
        </w:rPr>
        <w:t>5.</w:t>
      </w:r>
      <w:r w:rsidRPr="00DE3E36">
        <w:tab/>
        <w:t>Devanaboyina SC, Khare P, Challa DK, Ober RJ</w:t>
      </w:r>
      <w:r w:rsidR="00C52DDD">
        <w:t xml:space="preserve">, </w:t>
      </w:r>
      <w:r w:rsidRPr="00DE3E36">
        <w:t xml:space="preserve">Ward ES. Engineered clearing agents for the selective depletion of antigen-specific antibodies. </w:t>
      </w:r>
      <w:r w:rsidRPr="00DE3E36">
        <w:rPr>
          <w:i/>
        </w:rPr>
        <w:t>Nat Commun</w:t>
      </w:r>
      <w:r w:rsidRPr="00DE3E36">
        <w:t xml:space="preserve">. 2017;8:15314. </w:t>
      </w:r>
      <w:hyperlink r:id="rId12" w:history="1">
        <w:r w:rsidRPr="00DE3E36">
          <w:rPr>
            <w:rStyle w:val="Hyperlink"/>
          </w:rPr>
          <w:t>http://dx.doi.org/10.1038/ncomms15314</w:t>
        </w:r>
      </w:hyperlink>
      <w:r w:rsidRPr="00DE3E36">
        <w:t>.</w:t>
      </w:r>
    </w:p>
    <w:p w14:paraId="7DCC4370" w14:textId="519A8052" w:rsidR="00E4166A" w:rsidRPr="00DE3E36" w:rsidRDefault="00E4166A" w:rsidP="00C52DDD">
      <w:pPr>
        <w:pStyle w:val="EndNoteBibliography"/>
        <w:spacing w:line="480" w:lineRule="auto"/>
        <w:ind w:firstLine="0"/>
        <w:jc w:val="left"/>
      </w:pPr>
      <w:r w:rsidRPr="00DE3E36">
        <w:rPr>
          <w:b/>
        </w:rPr>
        <w:t>6.</w:t>
      </w:r>
      <w:r w:rsidRPr="00DE3E36">
        <w:tab/>
        <w:t>Ward ES</w:t>
      </w:r>
      <w:r w:rsidR="00C52DDD">
        <w:t xml:space="preserve">, </w:t>
      </w:r>
      <w:r w:rsidRPr="00DE3E36">
        <w:t xml:space="preserve">Ober RJ. Targeting FcRn to generate antibody-based therapeutics. </w:t>
      </w:r>
      <w:r w:rsidRPr="00DE3E36">
        <w:rPr>
          <w:i/>
        </w:rPr>
        <w:t>Trends Pharmacol Sci</w:t>
      </w:r>
      <w:r w:rsidRPr="00DE3E36">
        <w:t xml:space="preserve">. 2018;39(10):892-904. </w:t>
      </w:r>
      <w:hyperlink r:id="rId13" w:history="1">
        <w:r w:rsidRPr="00DE3E36">
          <w:rPr>
            <w:rStyle w:val="Hyperlink"/>
          </w:rPr>
          <w:t>http://dx.doi.org/10.1016/j.tips.2018.07.007</w:t>
        </w:r>
      </w:hyperlink>
      <w:r w:rsidRPr="00DE3E36">
        <w:t>. PMCID: PMCPMC6169532.</w:t>
      </w:r>
    </w:p>
    <w:p w14:paraId="20441FE4" w14:textId="5ECF6CA4" w:rsidR="00E4166A" w:rsidRPr="00DE3E36" w:rsidRDefault="00E4166A" w:rsidP="00C52DDD">
      <w:pPr>
        <w:pStyle w:val="EndNoteBibliography"/>
        <w:spacing w:line="480" w:lineRule="auto"/>
        <w:ind w:firstLine="0"/>
        <w:jc w:val="left"/>
      </w:pPr>
      <w:r w:rsidRPr="00DE3E36">
        <w:rPr>
          <w:b/>
        </w:rPr>
        <w:t>7.</w:t>
      </w:r>
      <w:r w:rsidRPr="00DE3E36">
        <w:tab/>
        <w:t>Moore GL, Bautista C, Pong E, Nguyen DH, Jacinto J, Eivazi A, Muchhal US, Karki S, Chu SY</w:t>
      </w:r>
      <w:r w:rsidR="00C52DDD">
        <w:t xml:space="preserve">, </w:t>
      </w:r>
      <w:r w:rsidRPr="00DE3E36">
        <w:t xml:space="preserve">Lazar GA. A novel bispecific antibody format enables simultaneous </w:t>
      </w:r>
      <w:r w:rsidRPr="00DE3E36">
        <w:lastRenderedPageBreak/>
        <w:t xml:space="preserve">bivalent and monovalent co-engagement of distinct target antigens. </w:t>
      </w:r>
      <w:r w:rsidRPr="00DE3E36">
        <w:rPr>
          <w:i/>
        </w:rPr>
        <w:t>MAbs</w:t>
      </w:r>
      <w:r w:rsidRPr="00DE3E36">
        <w:t xml:space="preserve">. 2011;3(6):546-57. </w:t>
      </w:r>
      <w:hyperlink r:id="rId14" w:history="1">
        <w:r w:rsidRPr="00DE3E36">
          <w:rPr>
            <w:rStyle w:val="Hyperlink"/>
          </w:rPr>
          <w:t>http://dx.doi.org/10.4161/mabs.3.6.18123</w:t>
        </w:r>
      </w:hyperlink>
      <w:r w:rsidRPr="00DE3E36">
        <w:t>. PMCID: PMC3242841.</w:t>
      </w:r>
    </w:p>
    <w:p w14:paraId="70883F92" w14:textId="28223472" w:rsidR="00E4166A" w:rsidRPr="00DE3E36" w:rsidRDefault="00E4166A" w:rsidP="00C52DDD">
      <w:pPr>
        <w:pStyle w:val="EndNoteBibliography"/>
        <w:spacing w:line="480" w:lineRule="auto"/>
        <w:ind w:firstLine="0"/>
        <w:jc w:val="left"/>
      </w:pPr>
      <w:r w:rsidRPr="00DE3E36">
        <w:rPr>
          <w:b/>
        </w:rPr>
        <w:t>8.</w:t>
      </w:r>
      <w:r w:rsidRPr="00DE3E36">
        <w:tab/>
        <w:t>Chu SY, Horton HM, Pong E, Leung IW, Chen H, Nguyen DH, Bautista C, Muchhal US, Bernett MJ, Moore GL</w:t>
      </w:r>
      <w:r w:rsidR="00C52DDD">
        <w:t xml:space="preserve"> et al</w:t>
      </w:r>
      <w:r w:rsidRPr="00DE3E36">
        <w:t xml:space="preserve">. Reduction of total IgE by targeted coengagement of IgE B-cell receptor and FcgammaRIIb with Fc-engineered antibody. </w:t>
      </w:r>
      <w:r w:rsidRPr="00DE3E36">
        <w:rPr>
          <w:i/>
        </w:rPr>
        <w:t>J Allergy Clin Immunol</w:t>
      </w:r>
      <w:r w:rsidRPr="00DE3E36">
        <w:t xml:space="preserve">. 2012;129(4):1102-15. </w:t>
      </w:r>
      <w:hyperlink r:id="rId15" w:history="1">
        <w:r w:rsidRPr="00DE3E36">
          <w:rPr>
            <w:rStyle w:val="Hyperlink"/>
          </w:rPr>
          <w:t>http://dx.doi.org/10.1016/j.jaci.2011.11.029</w:t>
        </w:r>
      </w:hyperlink>
      <w:r w:rsidRPr="00DE3E36">
        <w:t>.</w:t>
      </w:r>
    </w:p>
    <w:p w14:paraId="35FBCAC3" w14:textId="0F72858B" w:rsidR="00E4166A" w:rsidRPr="00DE3E36" w:rsidRDefault="00E4166A" w:rsidP="00C52DDD">
      <w:pPr>
        <w:pStyle w:val="EndNoteBibliography"/>
        <w:spacing w:line="480" w:lineRule="auto"/>
        <w:ind w:firstLine="0"/>
        <w:jc w:val="left"/>
      </w:pPr>
      <w:r w:rsidRPr="00DE3E36">
        <w:rPr>
          <w:b/>
        </w:rPr>
        <w:t>9.</w:t>
      </w:r>
      <w:r w:rsidRPr="00DE3E36">
        <w:tab/>
        <w:t>Sun W, Khare P, Wang X, Challa DK, Greenberg BM, Ober RJ</w:t>
      </w:r>
      <w:r w:rsidR="00C52DDD">
        <w:t xml:space="preserve">, </w:t>
      </w:r>
      <w:r w:rsidRPr="00DE3E36">
        <w:t xml:space="preserve">Ward ES. Selective depletion of antigen-specific antibodies for the treatment of demyelinating disease. </w:t>
      </w:r>
      <w:r w:rsidRPr="00DE3E36">
        <w:rPr>
          <w:i/>
        </w:rPr>
        <w:t>Mol Ther</w:t>
      </w:r>
      <w:r w:rsidRPr="00DE3E36">
        <w:t xml:space="preserve">. 2020. </w:t>
      </w:r>
      <w:hyperlink r:id="rId16" w:history="1">
        <w:r w:rsidRPr="00DE3E36">
          <w:rPr>
            <w:rStyle w:val="Hyperlink"/>
          </w:rPr>
          <w:t>http://dx.doi.org/10.1016/j.ymthe.2020.11.017</w:t>
        </w:r>
      </w:hyperlink>
      <w:r w:rsidRPr="00DE3E36">
        <w:t>.</w:t>
      </w:r>
    </w:p>
    <w:p w14:paraId="179E6519" w14:textId="6EBFB331" w:rsidR="00E4166A" w:rsidRPr="00DE3E36" w:rsidRDefault="00E4166A" w:rsidP="00C52DDD">
      <w:pPr>
        <w:pStyle w:val="EndNoteBibliography"/>
        <w:spacing w:line="480" w:lineRule="auto"/>
        <w:ind w:firstLine="0"/>
        <w:jc w:val="left"/>
      </w:pPr>
      <w:r w:rsidRPr="00DE3E36">
        <w:rPr>
          <w:b/>
        </w:rPr>
        <w:t>10.</w:t>
      </w:r>
      <w:r w:rsidRPr="00DE3E36">
        <w:tab/>
        <w:t>Franklin MC, Carey KD, Vajdos FF, Leahy DJ, de Vos AM</w:t>
      </w:r>
      <w:r w:rsidR="00C52DDD">
        <w:t xml:space="preserve">, </w:t>
      </w:r>
      <w:r w:rsidRPr="00DE3E36">
        <w:t xml:space="preserve">Sliwkowski MX. Insights into ErbB signaling from the structure of the ErbB2-pertuzumab complex. </w:t>
      </w:r>
      <w:r w:rsidRPr="00DE3E36">
        <w:rPr>
          <w:i/>
        </w:rPr>
        <w:t>Cancer Cell</w:t>
      </w:r>
      <w:r w:rsidRPr="00DE3E36">
        <w:t xml:space="preserve">. 2004;5(4):317-28. </w:t>
      </w:r>
      <w:hyperlink r:id="rId17" w:history="1">
        <w:r w:rsidRPr="00DE3E36">
          <w:rPr>
            <w:rStyle w:val="Hyperlink"/>
          </w:rPr>
          <w:t>http://dx.doi.org/10.1016/S1535-6108(04)00083-2</w:t>
        </w:r>
      </w:hyperlink>
      <w:r w:rsidRPr="00DE3E36">
        <w:t>.</w:t>
      </w:r>
    </w:p>
    <w:p w14:paraId="329923C9" w14:textId="31B2D18F" w:rsidR="00E4166A" w:rsidRPr="00DE3E36" w:rsidRDefault="00E4166A" w:rsidP="00C52DDD">
      <w:pPr>
        <w:pStyle w:val="EndNoteBibliography"/>
        <w:spacing w:line="480" w:lineRule="auto"/>
        <w:ind w:firstLine="0"/>
        <w:jc w:val="left"/>
      </w:pPr>
      <w:r w:rsidRPr="00DE3E36">
        <w:rPr>
          <w:b/>
        </w:rPr>
        <w:t>11.</w:t>
      </w:r>
      <w:r w:rsidRPr="00DE3E36">
        <w:tab/>
        <w:t>Vaccaro C, Zhou J, Ober R</w:t>
      </w:r>
      <w:r w:rsidR="00C52DDD">
        <w:t xml:space="preserve">J, </w:t>
      </w:r>
      <w:r w:rsidRPr="00DE3E36">
        <w:t xml:space="preserve">Ward ES. Engineering the Fc region of immunoglobulin G to modulate </w:t>
      </w:r>
      <w:r w:rsidRPr="006C646B">
        <w:rPr>
          <w:i/>
          <w:iCs/>
        </w:rPr>
        <w:t>in vivo</w:t>
      </w:r>
      <w:r w:rsidRPr="00DE3E36">
        <w:t xml:space="preserve"> antibody levels. </w:t>
      </w:r>
      <w:r w:rsidRPr="00DE3E36">
        <w:rPr>
          <w:i/>
        </w:rPr>
        <w:t>Nat Biotechnol</w:t>
      </w:r>
      <w:r w:rsidRPr="00DE3E36">
        <w:t xml:space="preserve">. 2005;23(10):1283-8. </w:t>
      </w:r>
      <w:hyperlink r:id="rId18" w:history="1">
        <w:r w:rsidRPr="00DE3E36">
          <w:rPr>
            <w:rStyle w:val="Hyperlink"/>
          </w:rPr>
          <w:t>http://dx.doi.org/10.1038/nbt1143</w:t>
        </w:r>
      </w:hyperlink>
      <w:r w:rsidRPr="00DE3E36">
        <w:t>.</w:t>
      </w:r>
    </w:p>
    <w:p w14:paraId="37FE963C" w14:textId="61D49267" w:rsidR="00E4166A" w:rsidRPr="00DE3E36" w:rsidRDefault="00E4166A" w:rsidP="00C52DDD">
      <w:pPr>
        <w:pStyle w:val="EndNoteBibliography"/>
        <w:spacing w:line="480" w:lineRule="auto"/>
        <w:ind w:firstLine="0"/>
        <w:jc w:val="left"/>
      </w:pPr>
      <w:r w:rsidRPr="00DE3E36">
        <w:rPr>
          <w:b/>
        </w:rPr>
        <w:t>12.</w:t>
      </w:r>
      <w:r w:rsidRPr="00DE3E36">
        <w:tab/>
        <w:t>Carrasquillo JA, Pandit-Taskar N, O'Donoghue JA, Humm JL, Zanzonico P, Smith-Jones PM, Divgi CR, Pryma DA, Ruan S, Kemeny NE</w:t>
      </w:r>
      <w:r w:rsidR="00C52DDD">
        <w:t xml:space="preserve"> et al</w:t>
      </w:r>
      <w:r w:rsidRPr="00DE3E36">
        <w:t xml:space="preserve">. (124)I-huA33 antibody PET of colorectal cancer. </w:t>
      </w:r>
      <w:r w:rsidRPr="00DE3E36">
        <w:rPr>
          <w:i/>
        </w:rPr>
        <w:t>J Nucl Med</w:t>
      </w:r>
      <w:r w:rsidRPr="00DE3E36">
        <w:t xml:space="preserve">. 2011;52(8):1173-80. </w:t>
      </w:r>
      <w:hyperlink r:id="rId19" w:history="1">
        <w:r w:rsidRPr="00DE3E36">
          <w:rPr>
            <w:rStyle w:val="Hyperlink"/>
          </w:rPr>
          <w:t>http://dx.doi.org/10.2967/jnumed.110.086165</w:t>
        </w:r>
      </w:hyperlink>
      <w:r w:rsidRPr="00DE3E36">
        <w:t>. PMCID: PMC3394182.</w:t>
      </w:r>
    </w:p>
    <w:p w14:paraId="3CD648D3" w14:textId="71D95E56" w:rsidR="00E4166A" w:rsidRPr="00DE3E36" w:rsidRDefault="00E4166A" w:rsidP="00C52DDD">
      <w:pPr>
        <w:pStyle w:val="EndNoteBibliography"/>
        <w:spacing w:line="480" w:lineRule="auto"/>
        <w:ind w:firstLine="0"/>
        <w:jc w:val="left"/>
      </w:pPr>
      <w:r w:rsidRPr="00DE3E36">
        <w:rPr>
          <w:b/>
        </w:rPr>
        <w:t>13.</w:t>
      </w:r>
      <w:r w:rsidRPr="00DE3E36">
        <w:tab/>
        <w:t>Knowles SM</w:t>
      </w:r>
      <w:r w:rsidR="00C52DDD">
        <w:t xml:space="preserve">, </w:t>
      </w:r>
      <w:r w:rsidRPr="00DE3E36">
        <w:t xml:space="preserve">Wu AM. Advances in immuno-positron emission tomography: antibodies for molecular imaging in oncology. </w:t>
      </w:r>
      <w:r w:rsidRPr="00DE3E36">
        <w:rPr>
          <w:i/>
        </w:rPr>
        <w:t>J Clin Oncol</w:t>
      </w:r>
      <w:r w:rsidRPr="00DE3E36">
        <w:t xml:space="preserve">. 2012;30(31):3884-92. </w:t>
      </w:r>
      <w:hyperlink r:id="rId20" w:history="1">
        <w:r w:rsidRPr="00DE3E36">
          <w:rPr>
            <w:rStyle w:val="Hyperlink"/>
          </w:rPr>
          <w:t>http://dx.doi.org/10.1200/jco.2012.42.4887</w:t>
        </w:r>
      </w:hyperlink>
      <w:r w:rsidRPr="00DE3E36">
        <w:t>. PMCID: PMC3478579.</w:t>
      </w:r>
    </w:p>
    <w:p w14:paraId="03B49601" w14:textId="504C0C28" w:rsidR="00E4166A" w:rsidRPr="00DE3E36" w:rsidRDefault="00E4166A" w:rsidP="00C52DDD">
      <w:pPr>
        <w:pStyle w:val="EndNoteBibliography"/>
        <w:spacing w:line="480" w:lineRule="auto"/>
        <w:ind w:firstLine="0"/>
        <w:jc w:val="left"/>
      </w:pPr>
      <w:r w:rsidRPr="00DE3E36">
        <w:rPr>
          <w:b/>
        </w:rPr>
        <w:lastRenderedPageBreak/>
        <w:t>14.</w:t>
      </w:r>
      <w:r w:rsidRPr="00DE3E36">
        <w:tab/>
        <w:t>Rossin R, Verkerk PR, van den Bosch SM, Vulders RC, Verel I, Lub J</w:t>
      </w:r>
      <w:r w:rsidR="00C52DDD">
        <w:t>,</w:t>
      </w:r>
      <w:r w:rsidRPr="00DE3E36">
        <w:t xml:space="preserve"> Robillard MS. In vivo chemistry for pretargeted tumor imaging in live mice. </w:t>
      </w:r>
      <w:r w:rsidRPr="00DE3E36">
        <w:rPr>
          <w:i/>
        </w:rPr>
        <w:t>Angew Chem Int Ed Engl</w:t>
      </w:r>
      <w:r w:rsidRPr="00DE3E36">
        <w:t xml:space="preserve">. 2010;49(19):3375-8. </w:t>
      </w:r>
      <w:hyperlink r:id="rId21" w:history="1">
        <w:r w:rsidRPr="00DE3E36">
          <w:rPr>
            <w:rStyle w:val="Hyperlink"/>
          </w:rPr>
          <w:t>http://dx.doi.org/10.1002/anie.200906294</w:t>
        </w:r>
      </w:hyperlink>
      <w:r w:rsidRPr="00DE3E36">
        <w:t>.</w:t>
      </w:r>
    </w:p>
    <w:p w14:paraId="41EB658D" w14:textId="7DBC95EB" w:rsidR="00E4166A" w:rsidRPr="00DE3E36" w:rsidRDefault="00E4166A" w:rsidP="00C52DDD">
      <w:pPr>
        <w:pStyle w:val="EndNoteBibliography"/>
        <w:spacing w:line="480" w:lineRule="auto"/>
        <w:ind w:firstLine="0"/>
        <w:jc w:val="left"/>
      </w:pPr>
      <w:r w:rsidRPr="00DE3E36">
        <w:rPr>
          <w:b/>
        </w:rPr>
        <w:t>15.</w:t>
      </w:r>
      <w:r w:rsidRPr="00DE3E36">
        <w:tab/>
        <w:t>Billaud EMF, Belderbos S, Cleeren F, Maes W, Van de Wouwer M, Koole M, Verbruggen A, Himmelreich U, Geukens N</w:t>
      </w:r>
      <w:r w:rsidR="00C52DDD">
        <w:t xml:space="preserve">, </w:t>
      </w:r>
      <w:r w:rsidRPr="00DE3E36">
        <w:t xml:space="preserve">Bormans G. Pretargeted PET </w:t>
      </w:r>
      <w:r w:rsidR="00726E81">
        <w:t>i</w:t>
      </w:r>
      <w:r w:rsidRPr="00DE3E36">
        <w:t xml:space="preserve">maging </w:t>
      </w:r>
      <w:r w:rsidR="00726E81">
        <w:t>u</w:t>
      </w:r>
      <w:r w:rsidRPr="00DE3E36">
        <w:t xml:space="preserve">sing a </w:t>
      </w:r>
      <w:r w:rsidR="00804A97">
        <w:t>b</w:t>
      </w:r>
      <w:r w:rsidRPr="00DE3E36">
        <w:t>ioorthogonal (18)F-</w:t>
      </w:r>
      <w:r w:rsidR="00804A97">
        <w:t>l</w:t>
      </w:r>
      <w:r w:rsidRPr="00DE3E36">
        <w:t>abeled trans-</w:t>
      </w:r>
      <w:r w:rsidR="00804A97">
        <w:t>c</w:t>
      </w:r>
      <w:r w:rsidRPr="00DE3E36">
        <w:t xml:space="preserve">yclooctene in an </w:t>
      </w:r>
      <w:r w:rsidR="00804A97">
        <w:t>o</w:t>
      </w:r>
      <w:r w:rsidRPr="00DE3E36">
        <w:t xml:space="preserve">varian </w:t>
      </w:r>
      <w:r w:rsidR="00804A97">
        <w:t>c</w:t>
      </w:r>
      <w:r w:rsidRPr="00DE3E36">
        <w:t xml:space="preserve">arcinoma </w:t>
      </w:r>
      <w:r w:rsidR="00804A97">
        <w:t>m</w:t>
      </w:r>
      <w:r w:rsidRPr="00DE3E36">
        <w:t xml:space="preserve">odel. </w:t>
      </w:r>
      <w:r w:rsidRPr="00DE3E36">
        <w:rPr>
          <w:i/>
        </w:rPr>
        <w:t>Bioconjug Chem</w:t>
      </w:r>
      <w:r w:rsidRPr="00DE3E36">
        <w:t xml:space="preserve">. 2017;28(12):2915-20. </w:t>
      </w:r>
      <w:hyperlink r:id="rId22" w:history="1">
        <w:r w:rsidRPr="00DE3E36">
          <w:rPr>
            <w:rStyle w:val="Hyperlink"/>
          </w:rPr>
          <w:t>http://dx.doi.org/10.1021/acs.bioconjchem.7b00635</w:t>
        </w:r>
      </w:hyperlink>
      <w:r w:rsidRPr="00DE3E36">
        <w:t>.</w:t>
      </w:r>
    </w:p>
    <w:p w14:paraId="7EA3AD1B" w14:textId="2C7FCF73" w:rsidR="00E4166A" w:rsidRPr="00DE3E36" w:rsidRDefault="00E4166A" w:rsidP="00C52DDD">
      <w:pPr>
        <w:pStyle w:val="EndNoteBibliography"/>
        <w:spacing w:line="480" w:lineRule="auto"/>
        <w:ind w:firstLine="0"/>
        <w:jc w:val="left"/>
      </w:pPr>
      <w:r w:rsidRPr="00DE3E36">
        <w:rPr>
          <w:b/>
        </w:rPr>
        <w:t>16.</w:t>
      </w:r>
      <w:r w:rsidRPr="00DE3E36">
        <w:tab/>
        <w:t>Olafsen T, Betting D, Kenanova VE, Salazar FB, Clarke P, Said J, Raubitschek AA, Timmerman JM</w:t>
      </w:r>
      <w:r w:rsidR="00C52DDD">
        <w:t xml:space="preserve">, </w:t>
      </w:r>
      <w:r w:rsidRPr="00DE3E36">
        <w:t xml:space="preserve">Wu AM. Recombinant anti-CD20 antibody fragments for small-animal PET imaging of B-cell lymphomas. </w:t>
      </w:r>
      <w:r w:rsidRPr="00DE3E36">
        <w:rPr>
          <w:i/>
        </w:rPr>
        <w:t>J Nucl Med</w:t>
      </w:r>
      <w:r w:rsidRPr="00DE3E36">
        <w:t xml:space="preserve">. 2009;50(9):1500-8. </w:t>
      </w:r>
      <w:hyperlink r:id="rId23" w:history="1">
        <w:r w:rsidRPr="00DE3E36">
          <w:rPr>
            <w:rStyle w:val="Hyperlink"/>
          </w:rPr>
          <w:t>http://dx.doi.org/10.2967/jnumed.108.060426</w:t>
        </w:r>
      </w:hyperlink>
      <w:r w:rsidRPr="00DE3E36">
        <w:t>. PMCID: PMC2852538.</w:t>
      </w:r>
    </w:p>
    <w:p w14:paraId="6834F1AC" w14:textId="3321A1F1" w:rsidR="00E4166A" w:rsidRPr="00DE3E36" w:rsidRDefault="00E4166A" w:rsidP="00C52DDD">
      <w:pPr>
        <w:pStyle w:val="EndNoteBibliography"/>
        <w:spacing w:line="480" w:lineRule="auto"/>
        <w:ind w:firstLine="0"/>
        <w:jc w:val="left"/>
      </w:pPr>
      <w:r w:rsidRPr="00DE3E36">
        <w:rPr>
          <w:b/>
        </w:rPr>
        <w:t>17.</w:t>
      </w:r>
      <w:r w:rsidRPr="00DE3E36">
        <w:tab/>
        <w:t>Knowles SM, Zettlitz KA, Tavare R, Rochefort MM, Salazar FB, Stout DB, Yazaki PJ, Reiter RE</w:t>
      </w:r>
      <w:r w:rsidR="00C52DDD">
        <w:t xml:space="preserve">, </w:t>
      </w:r>
      <w:r w:rsidRPr="00DE3E36">
        <w:t xml:space="preserve">Wu AM. Quantitative immunoPET of prostate cancer xenografts with 89Zr- and 124I-labeled anti-PSCA A11 minibody. </w:t>
      </w:r>
      <w:r w:rsidRPr="00DE3E36">
        <w:rPr>
          <w:i/>
        </w:rPr>
        <w:t>J Nucl Med</w:t>
      </w:r>
      <w:r w:rsidRPr="00DE3E36">
        <w:t xml:space="preserve">. 2014;55(3):452-9. </w:t>
      </w:r>
      <w:hyperlink r:id="rId24" w:history="1">
        <w:r w:rsidRPr="00DE3E36">
          <w:rPr>
            <w:rStyle w:val="Hyperlink"/>
          </w:rPr>
          <w:t>http://dx.doi.org/10.2967/jnumed.113.120873</w:t>
        </w:r>
      </w:hyperlink>
      <w:r w:rsidRPr="00DE3E36">
        <w:t>. PMCID: PMC4052832.</w:t>
      </w:r>
    </w:p>
    <w:p w14:paraId="52283FE8" w14:textId="11864883" w:rsidR="00E4166A" w:rsidRPr="00DE3E36" w:rsidRDefault="00E4166A" w:rsidP="00C52DDD">
      <w:pPr>
        <w:pStyle w:val="EndNoteBibliography"/>
        <w:spacing w:line="480" w:lineRule="auto"/>
        <w:ind w:firstLine="0"/>
        <w:jc w:val="left"/>
      </w:pPr>
      <w:r w:rsidRPr="00DE3E36">
        <w:rPr>
          <w:b/>
        </w:rPr>
        <w:t>18.</w:t>
      </w:r>
      <w:r w:rsidRPr="00DE3E36">
        <w:tab/>
        <w:t>Stangel M</w:t>
      </w:r>
      <w:r w:rsidR="00C52DDD">
        <w:t xml:space="preserve">, </w:t>
      </w:r>
      <w:r w:rsidRPr="00DE3E36">
        <w:t xml:space="preserve">Pul R. Basic principles of intravenous immunoglobulin (IVIg) treatment. </w:t>
      </w:r>
      <w:r w:rsidRPr="00DE3E36">
        <w:rPr>
          <w:i/>
        </w:rPr>
        <w:t>J Neurol</w:t>
      </w:r>
      <w:r w:rsidRPr="00DE3E36">
        <w:t xml:space="preserve">. 2006;253 Suppl 5:v18-v24. </w:t>
      </w:r>
      <w:hyperlink r:id="rId25" w:history="1">
        <w:r w:rsidRPr="00DE3E36">
          <w:rPr>
            <w:rStyle w:val="Hyperlink"/>
          </w:rPr>
          <w:t>http://dx.doi.org/10.1007/s00415-006-5003-1</w:t>
        </w:r>
      </w:hyperlink>
      <w:r w:rsidRPr="00DE3E36">
        <w:t>.</w:t>
      </w:r>
    </w:p>
    <w:p w14:paraId="6D287AC0" w14:textId="77777777" w:rsidR="00E4166A" w:rsidRPr="00DE3E36" w:rsidRDefault="00E4166A" w:rsidP="00C52DDD">
      <w:pPr>
        <w:pStyle w:val="EndNoteBibliography"/>
        <w:spacing w:line="480" w:lineRule="auto"/>
        <w:ind w:firstLine="0"/>
        <w:jc w:val="left"/>
      </w:pPr>
      <w:r w:rsidRPr="00DE3E36">
        <w:rPr>
          <w:b/>
        </w:rPr>
        <w:t>19.</w:t>
      </w:r>
      <w:r w:rsidRPr="00DE3E36">
        <w:tab/>
        <w:t xml:space="preserve">Clynes R. Protective mechanisms of IVIG. </w:t>
      </w:r>
      <w:r w:rsidRPr="00DE3E36">
        <w:rPr>
          <w:i/>
        </w:rPr>
        <w:t>Curr Opin Immunol</w:t>
      </w:r>
      <w:r w:rsidRPr="00DE3E36">
        <w:t xml:space="preserve">. 2007;19(6):646-51. </w:t>
      </w:r>
      <w:hyperlink r:id="rId26" w:history="1">
        <w:r w:rsidRPr="00DE3E36">
          <w:rPr>
            <w:rStyle w:val="Hyperlink"/>
          </w:rPr>
          <w:t>http://dx.doi.org/10.1016/j.coi.2007.09.004</w:t>
        </w:r>
      </w:hyperlink>
      <w:r w:rsidRPr="00DE3E36">
        <w:t>.</w:t>
      </w:r>
    </w:p>
    <w:p w14:paraId="44F9FEED" w14:textId="5372D521" w:rsidR="00E4166A" w:rsidRPr="00DE3E36" w:rsidRDefault="00E4166A" w:rsidP="00C52DDD">
      <w:pPr>
        <w:pStyle w:val="EndNoteBibliography"/>
        <w:spacing w:line="480" w:lineRule="auto"/>
        <w:ind w:firstLine="0"/>
        <w:jc w:val="left"/>
      </w:pPr>
      <w:r w:rsidRPr="00DE3E36">
        <w:rPr>
          <w:b/>
        </w:rPr>
        <w:t>20.</w:t>
      </w:r>
      <w:r w:rsidRPr="00DE3E36">
        <w:tab/>
        <w:t>Swiercz R, Chiguru S, Tahmasbi A, Ramezani SM, Hao GY, Challa DK, Lewis MA, Kulkarni PV, Sun X</w:t>
      </w:r>
      <w:r w:rsidR="00E66040">
        <w:t xml:space="preserve"> </w:t>
      </w:r>
      <w:r w:rsidR="00C52DDD">
        <w:t>et al</w:t>
      </w:r>
      <w:r w:rsidRPr="00DE3E36">
        <w:t xml:space="preserve">. Use of Fc-engineered antibodies as clearing agents to increase contrast during PET. </w:t>
      </w:r>
      <w:r w:rsidRPr="00DE3E36">
        <w:rPr>
          <w:i/>
        </w:rPr>
        <w:t>J Nucl Med</w:t>
      </w:r>
      <w:r w:rsidRPr="00DE3E36">
        <w:t xml:space="preserve">. 2014;55(7):1204-7. </w:t>
      </w:r>
      <w:hyperlink r:id="rId27" w:history="1">
        <w:r w:rsidRPr="00DE3E36">
          <w:rPr>
            <w:rStyle w:val="Hyperlink"/>
          </w:rPr>
          <w:t>http://dx.doi.org/10.2967/jnumed.113.136481</w:t>
        </w:r>
      </w:hyperlink>
      <w:r w:rsidRPr="00DE3E36">
        <w:t>. PMCID: PMC4519079.</w:t>
      </w:r>
    </w:p>
    <w:p w14:paraId="45B5A895" w14:textId="5CA46D50" w:rsidR="00E4166A" w:rsidRPr="00DE3E36" w:rsidRDefault="00E4166A" w:rsidP="00C52DDD">
      <w:pPr>
        <w:pStyle w:val="EndNoteBibliography"/>
        <w:spacing w:line="480" w:lineRule="auto"/>
        <w:ind w:firstLine="0"/>
        <w:jc w:val="left"/>
      </w:pPr>
      <w:r w:rsidRPr="00DE3E36">
        <w:rPr>
          <w:b/>
        </w:rPr>
        <w:lastRenderedPageBreak/>
        <w:t>21.</w:t>
      </w:r>
      <w:r w:rsidRPr="00DE3E36">
        <w:tab/>
        <w:t>Ulrichts P, Guglietta A, Dreier T, van Bragt T, Hanssens V, Hofman E, Vankerckhoven B, Verheesen P, Ongenae N, Lykhopiy V</w:t>
      </w:r>
      <w:r w:rsidR="00C52DDD">
        <w:t xml:space="preserve"> et al</w:t>
      </w:r>
      <w:r w:rsidRPr="00DE3E36">
        <w:t xml:space="preserve">. Neonatal Fc receptor antagonist efgartigimod safely and sustainably reduces IgGs in humans. </w:t>
      </w:r>
      <w:r w:rsidRPr="00DE3E36">
        <w:rPr>
          <w:i/>
        </w:rPr>
        <w:t>J Clin Invest</w:t>
      </w:r>
      <w:r w:rsidRPr="00DE3E36">
        <w:t xml:space="preserve">. 2018;128:4372-86. </w:t>
      </w:r>
      <w:hyperlink r:id="rId28" w:history="1">
        <w:r w:rsidRPr="00DE3E36">
          <w:rPr>
            <w:rStyle w:val="Hyperlink"/>
          </w:rPr>
          <w:t>http://dx.doi.org/10.1172/JCI97911</w:t>
        </w:r>
      </w:hyperlink>
      <w:r w:rsidRPr="00DE3E36">
        <w:t>.</w:t>
      </w:r>
    </w:p>
    <w:p w14:paraId="651137D7" w14:textId="2012F164" w:rsidR="00E4166A" w:rsidRPr="00DE3E36" w:rsidRDefault="00E4166A" w:rsidP="00C52DDD">
      <w:pPr>
        <w:pStyle w:val="EndNoteBibliography"/>
        <w:spacing w:line="480" w:lineRule="auto"/>
        <w:ind w:firstLine="0"/>
        <w:jc w:val="left"/>
      </w:pPr>
      <w:r w:rsidRPr="00DE3E36">
        <w:rPr>
          <w:b/>
        </w:rPr>
        <w:t>22.</w:t>
      </w:r>
      <w:r w:rsidRPr="00DE3E36">
        <w:tab/>
        <w:t>Tijink BM, Perk LR, Budde M, Stigter-van Walsum M, Visser GW, Kloet RW, Dinkelborg LM, Leemans CR, Neri D</w:t>
      </w:r>
      <w:r w:rsidR="00C52DDD">
        <w:t xml:space="preserve">, </w:t>
      </w:r>
      <w:r w:rsidRPr="00DE3E36">
        <w:t xml:space="preserve">van Dongen GA. (124)I-L19-SIP for immuno-PET imaging of tumour vasculature and guidance of (131)I-L19-SIP radioimmunotherapy. </w:t>
      </w:r>
      <w:r w:rsidRPr="00DE3E36">
        <w:rPr>
          <w:i/>
        </w:rPr>
        <w:t>Eur J Nucl Med Mol Imaging</w:t>
      </w:r>
      <w:r w:rsidRPr="00DE3E36">
        <w:t xml:space="preserve">. 2009;36(8):1235-44. </w:t>
      </w:r>
      <w:hyperlink r:id="rId29" w:history="1">
        <w:r w:rsidRPr="00DE3E36">
          <w:rPr>
            <w:rStyle w:val="Hyperlink"/>
          </w:rPr>
          <w:t>http://dx.doi.org/10.1007/s00259-009-1096-y</w:t>
        </w:r>
      </w:hyperlink>
      <w:r w:rsidRPr="00DE3E36">
        <w:t>. PMCID: PMCPMC2709218.</w:t>
      </w:r>
    </w:p>
    <w:p w14:paraId="60981988" w14:textId="7A797AF5" w:rsidR="00E4166A" w:rsidRPr="00DE3E36" w:rsidRDefault="00E4166A" w:rsidP="00C52DDD">
      <w:pPr>
        <w:pStyle w:val="EndNoteBibliography"/>
        <w:spacing w:line="480" w:lineRule="auto"/>
        <w:ind w:firstLine="0"/>
        <w:jc w:val="left"/>
      </w:pPr>
      <w:r w:rsidRPr="00DE3E36">
        <w:rPr>
          <w:b/>
        </w:rPr>
        <w:t>23.</w:t>
      </w:r>
      <w:r w:rsidRPr="00DE3E36">
        <w:tab/>
        <w:t>Zhou J, Mateos F, Ober RJ</w:t>
      </w:r>
      <w:r w:rsidR="00C52DDD">
        <w:t xml:space="preserve">, </w:t>
      </w:r>
      <w:r w:rsidRPr="00DE3E36">
        <w:t xml:space="preserve">Ward ES. Conferring the binding properties of the mouse MHC class I-related receptor, FcRn, onto the human ortholog by sequential rounds of site-directed mutagenesis. </w:t>
      </w:r>
      <w:r w:rsidRPr="00DE3E36">
        <w:rPr>
          <w:i/>
        </w:rPr>
        <w:t>J Mol Biol</w:t>
      </w:r>
      <w:r w:rsidRPr="00DE3E36">
        <w:t xml:space="preserve">. 2005;345(5):1071-81. </w:t>
      </w:r>
      <w:hyperlink r:id="rId30" w:history="1">
        <w:r w:rsidRPr="00DE3E36">
          <w:rPr>
            <w:rStyle w:val="Hyperlink"/>
          </w:rPr>
          <w:t>http://dx.doi.org/10.1016/j.jmb.2004.11.014</w:t>
        </w:r>
      </w:hyperlink>
      <w:r w:rsidRPr="00DE3E36">
        <w:t>.</w:t>
      </w:r>
    </w:p>
    <w:p w14:paraId="46185BDC" w14:textId="30B5C25C" w:rsidR="00E4166A" w:rsidRPr="00DE3E36" w:rsidRDefault="00E4166A" w:rsidP="00C52DDD">
      <w:pPr>
        <w:pStyle w:val="EndNoteBibliography"/>
        <w:spacing w:line="480" w:lineRule="auto"/>
        <w:ind w:firstLine="0"/>
        <w:jc w:val="left"/>
      </w:pPr>
      <w:r w:rsidRPr="00DE3E36">
        <w:rPr>
          <w:b/>
        </w:rPr>
        <w:t>24.</w:t>
      </w:r>
      <w:r w:rsidRPr="00DE3E36">
        <w:tab/>
        <w:t>Loening AM</w:t>
      </w:r>
      <w:r w:rsidR="00C52DDD">
        <w:t xml:space="preserve">, </w:t>
      </w:r>
      <w:r w:rsidRPr="00DE3E36">
        <w:t xml:space="preserve">Gambhir SS. AMIDE: a free software tool for multimodality medical image analysis. </w:t>
      </w:r>
      <w:r w:rsidRPr="00DE3E36">
        <w:rPr>
          <w:i/>
        </w:rPr>
        <w:t>Mol Imaging</w:t>
      </w:r>
      <w:r w:rsidRPr="00DE3E36">
        <w:t>. 2003;2(3):131-7.</w:t>
      </w:r>
    </w:p>
    <w:p w14:paraId="106948AE" w14:textId="2F88DE84" w:rsidR="008F63B1" w:rsidRPr="005342FA" w:rsidRDefault="00E4166A" w:rsidP="00C52DDD">
      <w:r w:rsidRPr="005342FA">
        <w:fldChar w:fldCharType="end"/>
      </w:r>
    </w:p>
    <w:p w14:paraId="3215FA4D" w14:textId="77777777" w:rsidR="008F63B1" w:rsidRPr="005342FA" w:rsidRDefault="008F63B1" w:rsidP="003F3B3A"/>
    <w:p w14:paraId="10303391" w14:textId="77777777" w:rsidR="008F63B1" w:rsidRPr="005342FA" w:rsidRDefault="008F63B1" w:rsidP="003F3B3A"/>
    <w:p w14:paraId="2839BA5A" w14:textId="77777777" w:rsidR="00BE6FA0" w:rsidRDefault="00BE6FA0" w:rsidP="003F3B3A">
      <w:pPr>
        <w:spacing w:after="160" w:line="259" w:lineRule="auto"/>
      </w:pPr>
    </w:p>
    <w:p w14:paraId="2F08ABE2" w14:textId="77777777" w:rsidR="008754F3" w:rsidRDefault="008754F3" w:rsidP="008F63B1">
      <w:pPr>
        <w:spacing w:after="160" w:line="259" w:lineRule="auto"/>
        <w:rPr>
          <w:b/>
          <w:bCs/>
        </w:rPr>
      </w:pPr>
    </w:p>
    <w:p w14:paraId="5291B689" w14:textId="77777777" w:rsidR="008754F3" w:rsidRDefault="008754F3" w:rsidP="008F63B1">
      <w:pPr>
        <w:spacing w:after="160" w:line="259" w:lineRule="auto"/>
        <w:rPr>
          <w:b/>
          <w:bCs/>
        </w:rPr>
      </w:pPr>
    </w:p>
    <w:p w14:paraId="1ADDE774" w14:textId="77777777" w:rsidR="008754F3" w:rsidRDefault="008754F3" w:rsidP="008F63B1">
      <w:pPr>
        <w:spacing w:after="160" w:line="259" w:lineRule="auto"/>
        <w:rPr>
          <w:b/>
          <w:bCs/>
        </w:rPr>
      </w:pPr>
    </w:p>
    <w:p w14:paraId="311DBD43" w14:textId="77777777" w:rsidR="008754F3" w:rsidRDefault="008754F3" w:rsidP="008F63B1">
      <w:pPr>
        <w:spacing w:after="160" w:line="259" w:lineRule="auto"/>
        <w:rPr>
          <w:b/>
          <w:bCs/>
        </w:rPr>
      </w:pPr>
    </w:p>
    <w:p w14:paraId="5D281186" w14:textId="77777777" w:rsidR="008754F3" w:rsidRDefault="008754F3" w:rsidP="008F63B1">
      <w:pPr>
        <w:spacing w:after="160" w:line="259" w:lineRule="auto"/>
        <w:rPr>
          <w:b/>
          <w:bCs/>
        </w:rPr>
      </w:pPr>
    </w:p>
    <w:p w14:paraId="388C7DB6" w14:textId="77777777" w:rsidR="00C52DDD" w:rsidRDefault="00C52DDD">
      <w:pPr>
        <w:spacing w:line="240" w:lineRule="auto"/>
        <w:rPr>
          <w:b/>
          <w:bCs/>
        </w:rPr>
      </w:pPr>
      <w:r>
        <w:rPr>
          <w:b/>
          <w:bCs/>
        </w:rPr>
        <w:br w:type="page"/>
      </w:r>
    </w:p>
    <w:p w14:paraId="0E96AACB" w14:textId="00863ADA" w:rsidR="008F63B1" w:rsidRPr="00BE6FA0" w:rsidRDefault="008F63B1" w:rsidP="008F63B1">
      <w:pPr>
        <w:spacing w:after="160" w:line="259" w:lineRule="auto"/>
        <w:rPr>
          <w:b/>
          <w:bCs/>
        </w:rPr>
      </w:pPr>
      <w:r w:rsidRPr="005342FA">
        <w:rPr>
          <w:b/>
          <w:bCs/>
        </w:rPr>
        <w:lastRenderedPageBreak/>
        <w:t>Figure Legends</w:t>
      </w:r>
    </w:p>
    <w:p w14:paraId="4522EABD" w14:textId="02073216" w:rsidR="008F63B1" w:rsidRPr="005342FA" w:rsidRDefault="008F63B1" w:rsidP="008F63B1">
      <w:r w:rsidRPr="005342FA">
        <w:rPr>
          <w:rFonts w:eastAsiaTheme="minorEastAsia"/>
          <w:b/>
          <w:lang w:eastAsia="zh-CN"/>
        </w:rPr>
        <w:t xml:space="preserve">Figure 1. </w:t>
      </w:r>
      <w:r w:rsidRPr="005342FA">
        <w:rPr>
          <w:rFonts w:eastAsiaTheme="minorEastAsia"/>
          <w:bCs/>
          <w:lang w:eastAsia="zh-CN"/>
        </w:rPr>
        <w:t xml:space="preserve">Design and size exclusion analyses of </w:t>
      </w:r>
      <w:proofErr w:type="spellStart"/>
      <w:r w:rsidRPr="005342FA">
        <w:rPr>
          <w:rFonts w:eastAsiaTheme="minorEastAsia"/>
          <w:bCs/>
          <w:lang w:eastAsia="zh-CN"/>
        </w:rPr>
        <w:t>Seldegs</w:t>
      </w:r>
      <w:proofErr w:type="spellEnd"/>
      <w:r w:rsidRPr="005342FA">
        <w:rPr>
          <w:rFonts w:eastAsiaTheme="minorEastAsia"/>
          <w:lang w:eastAsia="zh-CN"/>
        </w:rPr>
        <w:t>. (a) Schematic representation of the design of the Fc fusion proteins. HER2-Seldeg and MOG-</w:t>
      </w:r>
      <w:proofErr w:type="spellStart"/>
      <w:r w:rsidRPr="005342FA">
        <w:rPr>
          <w:rFonts w:eastAsiaTheme="minorEastAsia"/>
          <w:lang w:eastAsia="zh-CN"/>
        </w:rPr>
        <w:t>Seldeg</w:t>
      </w:r>
      <w:proofErr w:type="spellEnd"/>
      <w:r w:rsidRPr="005342FA">
        <w:rPr>
          <w:rFonts w:eastAsiaTheme="minorEastAsia"/>
          <w:lang w:eastAsia="zh-CN"/>
        </w:rPr>
        <w:t xml:space="preserve"> consist of domains I-IV of HER2 and th</w:t>
      </w:r>
      <w:r w:rsidR="00865F14">
        <w:rPr>
          <w:rFonts w:eastAsiaTheme="minorEastAsia"/>
          <w:lang w:eastAsia="zh-CN"/>
        </w:rPr>
        <w:t>e extracellular</w:t>
      </w:r>
      <w:r w:rsidRPr="005342FA">
        <w:rPr>
          <w:rFonts w:eastAsiaTheme="minorEastAsia"/>
          <w:lang w:eastAsia="zh-CN"/>
        </w:rPr>
        <w:t xml:space="preserve"> domain of MOG, respectively, fused to a heterodimeric</w:t>
      </w:r>
      <w:r w:rsidR="009336D8">
        <w:rPr>
          <w:rFonts w:eastAsiaTheme="minorEastAsia"/>
          <w:lang w:eastAsia="zh-CN"/>
        </w:rPr>
        <w:t xml:space="preserve">, </w:t>
      </w:r>
      <w:r w:rsidR="009336D8" w:rsidRPr="009336D8">
        <w:rPr>
          <w:rFonts w:eastAsiaTheme="minorEastAsia"/>
          <w:highlight w:val="yellow"/>
          <w:lang w:eastAsia="zh-CN"/>
        </w:rPr>
        <w:t>human IgG1-derived</w:t>
      </w:r>
      <w:r w:rsidRPr="005342FA">
        <w:rPr>
          <w:rFonts w:eastAsiaTheme="minorEastAsia"/>
          <w:lang w:eastAsia="zh-CN"/>
        </w:rPr>
        <w:t xml:space="preserve"> Fc fragment.</w:t>
      </w:r>
      <w:r w:rsidR="007A3923" w:rsidRPr="007A3923">
        <w:rPr>
          <w:rFonts w:eastAsiaTheme="minorEastAsia"/>
          <w:vertAlign w:val="superscript"/>
          <w:lang w:eastAsia="zh-CN"/>
        </w:rPr>
        <w:t>5</w:t>
      </w:r>
      <w:r w:rsidRPr="005342FA">
        <w:rPr>
          <w:rFonts w:eastAsiaTheme="minorEastAsia"/>
          <w:lang w:eastAsia="zh-CN"/>
        </w:rPr>
        <w:t xml:space="preserve"> </w:t>
      </w:r>
      <w:r w:rsidR="007A3923" w:rsidRPr="007A3923">
        <w:rPr>
          <w:rFonts w:eastAsiaTheme="minorEastAsia"/>
          <w:highlight w:val="yellow"/>
          <w:lang w:eastAsia="zh-CN"/>
        </w:rPr>
        <w:t xml:space="preserve">The mutations to ablate </w:t>
      </w:r>
      <w:proofErr w:type="spellStart"/>
      <w:r w:rsidR="007A3923" w:rsidRPr="007A3923">
        <w:rPr>
          <w:rFonts w:eastAsiaTheme="minorEastAsia"/>
          <w:highlight w:val="yellow"/>
          <w:lang w:eastAsia="zh-CN"/>
        </w:rPr>
        <w:t>Fc</w:t>
      </w:r>
      <w:r w:rsidR="007A3923" w:rsidRPr="007A3923">
        <w:rPr>
          <w:rFonts w:ascii="Symbol" w:eastAsiaTheme="minorEastAsia" w:hAnsi="Symbol"/>
          <w:highlight w:val="yellow"/>
          <w:lang w:eastAsia="zh-CN"/>
        </w:rPr>
        <w:t>g</w:t>
      </w:r>
      <w:r w:rsidR="007A3923" w:rsidRPr="007A3923">
        <w:rPr>
          <w:rFonts w:eastAsiaTheme="minorEastAsia"/>
          <w:highlight w:val="yellow"/>
          <w:lang w:eastAsia="zh-CN"/>
        </w:rPr>
        <w:t>R</w:t>
      </w:r>
      <w:proofErr w:type="spellEnd"/>
      <w:r w:rsidR="007A3923" w:rsidRPr="007A3923">
        <w:rPr>
          <w:rFonts w:eastAsiaTheme="minorEastAsia"/>
          <w:highlight w:val="yellow"/>
          <w:lang w:eastAsia="zh-CN"/>
        </w:rPr>
        <w:t xml:space="preserve"> binding,</w:t>
      </w:r>
      <w:r w:rsidR="00006BF5" w:rsidRPr="00006BF5">
        <w:rPr>
          <w:rFonts w:eastAsiaTheme="minorEastAsia"/>
          <w:highlight w:val="yellow"/>
          <w:vertAlign w:val="superscript"/>
          <w:lang w:eastAsia="zh-CN"/>
        </w:rPr>
        <w:t>8</w:t>
      </w:r>
      <w:r w:rsidR="007A3923" w:rsidRPr="007A3923">
        <w:rPr>
          <w:rFonts w:eastAsiaTheme="minorEastAsia"/>
          <w:highlight w:val="yellow"/>
          <w:lang w:eastAsia="zh-CN"/>
        </w:rPr>
        <w:t xml:space="preserve"> enhance </w:t>
      </w:r>
      <w:proofErr w:type="spellStart"/>
      <w:r w:rsidR="007A3923" w:rsidRPr="007A3923">
        <w:rPr>
          <w:rFonts w:eastAsiaTheme="minorEastAsia"/>
          <w:highlight w:val="yellow"/>
          <w:lang w:eastAsia="zh-CN"/>
        </w:rPr>
        <w:t>FcRn</w:t>
      </w:r>
      <w:proofErr w:type="spellEnd"/>
      <w:r w:rsidR="007A3923" w:rsidRPr="007A3923">
        <w:rPr>
          <w:rFonts w:eastAsiaTheme="minorEastAsia"/>
          <w:highlight w:val="yellow"/>
          <w:lang w:eastAsia="zh-CN"/>
        </w:rPr>
        <w:t xml:space="preserve"> binding</w:t>
      </w:r>
      <w:r w:rsidR="00006BF5" w:rsidRPr="00006BF5">
        <w:rPr>
          <w:rFonts w:eastAsiaTheme="minorEastAsia"/>
          <w:highlight w:val="yellow"/>
          <w:vertAlign w:val="superscript"/>
          <w:lang w:eastAsia="zh-CN"/>
        </w:rPr>
        <w:t>11</w:t>
      </w:r>
      <w:r w:rsidR="007A3923" w:rsidRPr="007A3923">
        <w:rPr>
          <w:rFonts w:eastAsiaTheme="minorEastAsia"/>
          <w:highlight w:val="yellow"/>
          <w:lang w:eastAsia="zh-CN"/>
        </w:rPr>
        <w:t xml:space="preserve"> and drive heterodimer formation (knobs-into-holes</w:t>
      </w:r>
      <w:r w:rsidR="007A3923">
        <w:rPr>
          <w:rFonts w:eastAsiaTheme="minorEastAsia"/>
          <w:highlight w:val="yellow"/>
          <w:lang w:eastAsia="zh-CN"/>
        </w:rPr>
        <w:t xml:space="preserve"> mutations that differ on each Fc fragment</w:t>
      </w:r>
      <w:r w:rsidR="007714E2" w:rsidRPr="007714E2">
        <w:rPr>
          <w:rFonts w:eastAsiaTheme="minorEastAsia"/>
          <w:highlight w:val="yellow"/>
          <w:vertAlign w:val="superscript"/>
          <w:lang w:eastAsia="zh-CN"/>
        </w:rPr>
        <w:t>7</w:t>
      </w:r>
      <w:r w:rsidR="007A3923" w:rsidRPr="007A3923">
        <w:rPr>
          <w:rFonts w:eastAsiaTheme="minorEastAsia"/>
          <w:highlight w:val="yellow"/>
          <w:lang w:eastAsia="zh-CN"/>
        </w:rPr>
        <w:t xml:space="preserve">) are </w:t>
      </w:r>
      <w:r w:rsidR="007A3923" w:rsidRPr="003D217A">
        <w:rPr>
          <w:rFonts w:eastAsiaTheme="minorEastAsia"/>
          <w:highlight w:val="yellow"/>
          <w:lang w:eastAsia="zh-CN"/>
        </w:rPr>
        <w:t xml:space="preserve">shown. </w:t>
      </w:r>
      <w:r w:rsidRPr="003D217A">
        <w:rPr>
          <w:rFonts w:eastAsiaTheme="minorEastAsia"/>
          <w:highlight w:val="yellow"/>
          <w:lang w:eastAsia="zh-CN"/>
        </w:rPr>
        <w:t>An</w:t>
      </w:r>
      <w:r w:rsidRPr="00DE3E36">
        <w:rPr>
          <w:rFonts w:eastAsiaTheme="minorEastAsia"/>
          <w:highlight w:val="yellow"/>
          <w:lang w:eastAsia="zh-CN"/>
        </w:rPr>
        <w:t xml:space="preserve">alyses of the purified </w:t>
      </w:r>
      <w:proofErr w:type="spellStart"/>
      <w:r w:rsidRPr="00DE3E36">
        <w:rPr>
          <w:rFonts w:eastAsiaTheme="minorEastAsia"/>
          <w:highlight w:val="yellow"/>
          <w:lang w:eastAsia="zh-CN"/>
        </w:rPr>
        <w:t>Seldegs</w:t>
      </w:r>
      <w:proofErr w:type="spellEnd"/>
      <w:r w:rsidRPr="00DE3E36">
        <w:rPr>
          <w:rFonts w:eastAsiaTheme="minorEastAsia"/>
          <w:highlight w:val="yellow"/>
          <w:lang w:eastAsia="zh-CN"/>
        </w:rPr>
        <w:t xml:space="preserve"> using </w:t>
      </w:r>
      <w:r w:rsidR="00DE3E36" w:rsidRPr="00DE3E36">
        <w:rPr>
          <w:rFonts w:eastAsiaTheme="minorEastAsia"/>
          <w:highlight w:val="yellow"/>
          <w:lang w:eastAsia="zh-CN"/>
        </w:rPr>
        <w:t>SDS-PAGE (run under reducing and non-reduc</w:t>
      </w:r>
      <w:r w:rsidR="009963B0">
        <w:rPr>
          <w:rFonts w:eastAsiaTheme="minorEastAsia"/>
          <w:highlight w:val="yellow"/>
          <w:lang w:eastAsia="zh-CN"/>
        </w:rPr>
        <w:t>ing</w:t>
      </w:r>
      <w:r w:rsidR="00DE3E36" w:rsidRPr="00DE3E36">
        <w:rPr>
          <w:rFonts w:eastAsiaTheme="minorEastAsia"/>
          <w:highlight w:val="yellow"/>
          <w:lang w:eastAsia="zh-CN"/>
        </w:rPr>
        <w:t xml:space="preserve"> </w:t>
      </w:r>
      <w:r w:rsidR="00DE3E36" w:rsidRPr="009963B0">
        <w:rPr>
          <w:rFonts w:eastAsiaTheme="minorEastAsia"/>
          <w:highlight w:val="yellow"/>
          <w:lang w:eastAsia="zh-CN"/>
        </w:rPr>
        <w:t>conditions</w:t>
      </w:r>
      <w:r w:rsidR="009963B0" w:rsidRPr="009963B0">
        <w:rPr>
          <w:rFonts w:eastAsiaTheme="minorEastAsia"/>
          <w:highlight w:val="yellow"/>
          <w:lang w:eastAsia="zh-CN"/>
        </w:rPr>
        <w:t>)</w:t>
      </w:r>
      <w:r w:rsidR="00DE3E36" w:rsidRPr="009963B0">
        <w:rPr>
          <w:rFonts w:eastAsiaTheme="minorEastAsia"/>
          <w:highlight w:val="yellow"/>
          <w:lang w:eastAsia="zh-CN"/>
        </w:rPr>
        <w:t xml:space="preserve"> (b)</w:t>
      </w:r>
      <w:r w:rsidR="00DE3E36">
        <w:rPr>
          <w:rFonts w:eastAsiaTheme="minorEastAsia"/>
          <w:lang w:eastAsia="zh-CN"/>
        </w:rPr>
        <w:t xml:space="preserve"> and </w:t>
      </w:r>
      <w:r w:rsidRPr="005342FA">
        <w:rPr>
          <w:rFonts w:eastAsiaTheme="minorEastAsia"/>
          <w:lang w:eastAsia="zh-CN"/>
        </w:rPr>
        <w:t xml:space="preserve">a </w:t>
      </w:r>
      <w:r w:rsidRPr="005342FA">
        <w:t xml:space="preserve">Phenomenex </w:t>
      </w:r>
      <w:proofErr w:type="spellStart"/>
      <w:r w:rsidRPr="005342FA">
        <w:t>Yarra</w:t>
      </w:r>
      <w:proofErr w:type="spellEnd"/>
      <w:r w:rsidRPr="005342FA">
        <w:t xml:space="preserve"> 3 µm SEC-3000 column (Phenomenex, 00H-4513-K0)</w:t>
      </w:r>
      <w:r w:rsidR="00DE3E36">
        <w:t xml:space="preserve"> (c). </w:t>
      </w:r>
      <w:r w:rsidR="00DE3E36" w:rsidRPr="00DE3E36">
        <w:rPr>
          <w:highlight w:val="yellow"/>
        </w:rPr>
        <w:t xml:space="preserve">For (b), </w:t>
      </w:r>
      <w:r w:rsidR="00BE6FA0">
        <w:rPr>
          <w:highlight w:val="yellow"/>
        </w:rPr>
        <w:t xml:space="preserve">the </w:t>
      </w:r>
      <w:r w:rsidR="00DE3E36" w:rsidRPr="00DE3E36">
        <w:rPr>
          <w:highlight w:val="yellow"/>
        </w:rPr>
        <w:t xml:space="preserve">sizes of molecular weight (Mr) standards are shown in </w:t>
      </w:r>
      <w:proofErr w:type="spellStart"/>
      <w:r w:rsidR="00DE3E36" w:rsidRPr="00DE3E36">
        <w:rPr>
          <w:highlight w:val="yellow"/>
        </w:rPr>
        <w:t>kDa</w:t>
      </w:r>
      <w:proofErr w:type="spellEnd"/>
      <w:r w:rsidR="00DE3E36" w:rsidRPr="00DE3E36">
        <w:rPr>
          <w:highlight w:val="yellow"/>
        </w:rPr>
        <w:t xml:space="preserve"> on the left margin.</w:t>
      </w:r>
      <w:r w:rsidRPr="005342FA">
        <w:t xml:space="preserve"> </w:t>
      </w:r>
    </w:p>
    <w:p w14:paraId="679428F4" w14:textId="77777777" w:rsidR="008F63B1" w:rsidRPr="005342FA" w:rsidRDefault="008F63B1" w:rsidP="008F63B1"/>
    <w:p w14:paraId="39F3FFBE" w14:textId="26B3FD85" w:rsidR="008F63B1" w:rsidRPr="005342FA" w:rsidRDefault="008F63B1" w:rsidP="008F63B1">
      <w:pPr>
        <w:pStyle w:val="Caption"/>
        <w:spacing w:line="480" w:lineRule="auto"/>
        <w:ind w:firstLine="0"/>
        <w:rPr>
          <w:b w:val="0"/>
          <w:bCs w:val="0"/>
          <w:szCs w:val="24"/>
        </w:rPr>
      </w:pPr>
      <w:bookmarkStart w:id="7" w:name="_Toc59466013"/>
      <w:r w:rsidRPr="005342FA">
        <w:rPr>
          <w:szCs w:val="24"/>
        </w:rPr>
        <w:t xml:space="preserve">Figure 2. </w:t>
      </w:r>
      <w:bookmarkEnd w:id="7"/>
      <w:r w:rsidRPr="005342FA">
        <w:rPr>
          <w:b w:val="0"/>
          <w:bCs w:val="0"/>
          <w:szCs w:val="24"/>
        </w:rPr>
        <w:t xml:space="preserve">Effect of delivery of HER2-Seldeg following injection of radiolabeled </w:t>
      </w:r>
      <w:proofErr w:type="spellStart"/>
      <w:r w:rsidRPr="005342FA">
        <w:rPr>
          <w:b w:val="0"/>
          <w:bCs w:val="0"/>
          <w:szCs w:val="24"/>
        </w:rPr>
        <w:t>pertuzumab</w:t>
      </w:r>
      <w:proofErr w:type="spellEnd"/>
      <w:r w:rsidRPr="005342FA">
        <w:rPr>
          <w:b w:val="0"/>
          <w:bCs w:val="0"/>
          <w:szCs w:val="24"/>
        </w:rPr>
        <w:t xml:space="preserve"> into tumor-bearing mice. </w:t>
      </w:r>
      <w:proofErr w:type="gramStart"/>
      <w:r w:rsidRPr="005342FA">
        <w:rPr>
          <w:b w:val="0"/>
          <w:bCs w:val="0"/>
          <w:szCs w:val="24"/>
        </w:rPr>
        <w:t>Twenty</w:t>
      </w:r>
      <w:r w:rsidR="00EF760E">
        <w:rPr>
          <w:b w:val="0"/>
          <w:bCs w:val="0"/>
          <w:szCs w:val="24"/>
        </w:rPr>
        <w:t xml:space="preserve"> </w:t>
      </w:r>
      <w:r w:rsidRPr="005342FA">
        <w:rPr>
          <w:b w:val="0"/>
          <w:bCs w:val="0"/>
          <w:szCs w:val="24"/>
        </w:rPr>
        <w:t>four</w:t>
      </w:r>
      <w:proofErr w:type="gramEnd"/>
      <w:r w:rsidRPr="005342FA">
        <w:rPr>
          <w:b w:val="0"/>
          <w:bCs w:val="0"/>
          <w:szCs w:val="24"/>
        </w:rPr>
        <w:t xml:space="preserve"> hours following intravenous injection of </w:t>
      </w:r>
      <w:r w:rsidRPr="005342FA">
        <w:rPr>
          <w:b w:val="0"/>
          <w:bCs w:val="0"/>
          <w:szCs w:val="24"/>
          <w:vertAlign w:val="superscript"/>
        </w:rPr>
        <w:t>124</w:t>
      </w:r>
      <w:r w:rsidRPr="005342FA">
        <w:rPr>
          <w:b w:val="0"/>
          <w:bCs w:val="0"/>
          <w:szCs w:val="24"/>
        </w:rPr>
        <w:t>I-pertuzumab, mice (n = 3 mice/group) were intravenously injected with 51 µg</w:t>
      </w:r>
      <w:r w:rsidRPr="005342FA">
        <w:rPr>
          <w:b w:val="0"/>
          <w:bCs w:val="0"/>
          <w:color w:val="FF0000"/>
          <w:szCs w:val="24"/>
        </w:rPr>
        <w:t xml:space="preserve"> </w:t>
      </w:r>
      <w:r w:rsidRPr="005342FA">
        <w:rPr>
          <w:b w:val="0"/>
          <w:bCs w:val="0"/>
          <w:szCs w:val="24"/>
        </w:rPr>
        <w:t>of HER2-Seldeg, 31 µg of MOG-</w:t>
      </w:r>
      <w:proofErr w:type="spellStart"/>
      <w:r w:rsidRPr="005342FA">
        <w:rPr>
          <w:b w:val="0"/>
          <w:bCs w:val="0"/>
          <w:szCs w:val="24"/>
        </w:rPr>
        <w:t>Seldeg</w:t>
      </w:r>
      <w:proofErr w:type="spellEnd"/>
      <w:r w:rsidRPr="005342FA">
        <w:rPr>
          <w:b w:val="0"/>
          <w:bCs w:val="0"/>
          <w:szCs w:val="24"/>
        </w:rPr>
        <w:t xml:space="preserve"> or PBS vehicle. </w:t>
      </w:r>
      <w:proofErr w:type="spellStart"/>
      <w:r w:rsidRPr="005342FA">
        <w:rPr>
          <w:b w:val="0"/>
          <w:bCs w:val="0"/>
          <w:szCs w:val="24"/>
        </w:rPr>
        <w:t>Seldeg</w:t>
      </w:r>
      <w:proofErr w:type="spellEnd"/>
      <w:r w:rsidRPr="005342FA">
        <w:rPr>
          <w:b w:val="0"/>
          <w:bCs w:val="0"/>
          <w:szCs w:val="24"/>
        </w:rPr>
        <w:t xml:space="preserve"> amounts were equimolar with the amount of injected </w:t>
      </w:r>
      <w:proofErr w:type="spellStart"/>
      <w:r w:rsidRPr="005342FA">
        <w:rPr>
          <w:b w:val="0"/>
          <w:bCs w:val="0"/>
          <w:szCs w:val="24"/>
        </w:rPr>
        <w:t>pertuzumab</w:t>
      </w:r>
      <w:proofErr w:type="spellEnd"/>
      <w:r w:rsidRPr="005342FA">
        <w:rPr>
          <w:b w:val="0"/>
          <w:bCs w:val="0"/>
          <w:szCs w:val="24"/>
        </w:rPr>
        <w:t xml:space="preserve">. (a) Whole body counts immediately following radiolabeled </w:t>
      </w:r>
      <w:proofErr w:type="spellStart"/>
      <w:r w:rsidRPr="005342FA">
        <w:rPr>
          <w:b w:val="0"/>
          <w:bCs w:val="0"/>
          <w:szCs w:val="24"/>
        </w:rPr>
        <w:t>pertuzumab</w:t>
      </w:r>
      <w:proofErr w:type="spellEnd"/>
      <w:r w:rsidRPr="005342FA">
        <w:rPr>
          <w:b w:val="0"/>
          <w:bCs w:val="0"/>
          <w:szCs w:val="24"/>
        </w:rPr>
        <w:t xml:space="preserve"> injection and 44 h later (20 h post-</w:t>
      </w:r>
      <w:proofErr w:type="spellStart"/>
      <w:r w:rsidRPr="005342FA">
        <w:rPr>
          <w:b w:val="0"/>
          <w:bCs w:val="0"/>
          <w:szCs w:val="24"/>
        </w:rPr>
        <w:t>Seldeg</w:t>
      </w:r>
      <w:proofErr w:type="spellEnd"/>
      <w:r w:rsidRPr="005342FA">
        <w:rPr>
          <w:b w:val="0"/>
          <w:bCs w:val="0"/>
          <w:szCs w:val="24"/>
        </w:rPr>
        <w:t xml:space="preserve"> delivery) are shown, with data normalized to the injected dose.  Error bars indicate SD </w:t>
      </w:r>
      <w:r w:rsidR="00586418">
        <w:rPr>
          <w:b w:val="0"/>
          <w:bCs w:val="0"/>
          <w:szCs w:val="24"/>
        </w:rPr>
        <w:t xml:space="preserve">and </w:t>
      </w:r>
      <w:r w:rsidR="00586418" w:rsidRPr="00586418">
        <w:rPr>
          <w:b w:val="0"/>
          <w:bCs w:val="0"/>
          <w:i/>
          <w:iCs/>
          <w:szCs w:val="24"/>
        </w:rPr>
        <w:t>p</w:t>
      </w:r>
      <w:r w:rsidR="00586418">
        <w:rPr>
          <w:b w:val="0"/>
          <w:bCs w:val="0"/>
          <w:szCs w:val="24"/>
        </w:rPr>
        <w:t xml:space="preserve"> values for </w:t>
      </w:r>
      <w:r w:rsidRPr="005342FA">
        <w:rPr>
          <w:b w:val="0"/>
          <w:bCs w:val="0"/>
          <w:szCs w:val="24"/>
        </w:rPr>
        <w:t>significant differences for HER2-Seldeg</w:t>
      </w:r>
      <w:r w:rsidR="00542AF1">
        <w:rPr>
          <w:b w:val="0"/>
          <w:bCs w:val="0"/>
          <w:szCs w:val="24"/>
        </w:rPr>
        <w:t xml:space="preserve"> </w:t>
      </w:r>
      <w:r w:rsidRPr="005342FA">
        <w:rPr>
          <w:b w:val="0"/>
          <w:bCs w:val="0"/>
          <w:szCs w:val="24"/>
        </w:rPr>
        <w:t xml:space="preserve">treatment groups vs. control groups are </w:t>
      </w:r>
      <w:r w:rsidR="00586418">
        <w:rPr>
          <w:b w:val="0"/>
          <w:bCs w:val="0"/>
          <w:szCs w:val="24"/>
        </w:rPr>
        <w:t>shown</w:t>
      </w:r>
      <w:r w:rsidRPr="005342FA">
        <w:rPr>
          <w:b w:val="0"/>
          <w:bCs w:val="0"/>
          <w:szCs w:val="24"/>
        </w:rPr>
        <w:t xml:space="preserve"> (one-way ANOVA and Tukey's multiple comparison test). (b) PET/CT images acquired at 4-6, 30, and 44 h after injection of radiolabeled </w:t>
      </w:r>
      <w:proofErr w:type="spellStart"/>
      <w:r w:rsidRPr="005342FA">
        <w:rPr>
          <w:b w:val="0"/>
          <w:bCs w:val="0"/>
          <w:szCs w:val="24"/>
        </w:rPr>
        <w:t>pertuzumab</w:t>
      </w:r>
      <w:proofErr w:type="spellEnd"/>
      <w:r w:rsidRPr="005342FA">
        <w:rPr>
          <w:b w:val="0"/>
          <w:bCs w:val="0"/>
          <w:szCs w:val="24"/>
        </w:rPr>
        <w:t xml:space="preserve">. The time points correspond to 18-20 hours prior to, and 6 and 20 following, delivery of </w:t>
      </w:r>
      <w:proofErr w:type="spellStart"/>
      <w:r w:rsidRPr="005342FA">
        <w:rPr>
          <w:b w:val="0"/>
          <w:bCs w:val="0"/>
          <w:szCs w:val="24"/>
        </w:rPr>
        <w:t>Seldeg</w:t>
      </w:r>
      <w:proofErr w:type="spellEnd"/>
      <w:r w:rsidRPr="005342FA">
        <w:rPr>
          <w:b w:val="0"/>
          <w:bCs w:val="0"/>
          <w:szCs w:val="24"/>
        </w:rPr>
        <w:t xml:space="preserve">, respectively. Data for one representative mouse per treatment group is shown, with linear scale bars. Data shown are representative of two independent experiments (n = 3 mice per treatment group in each experiment). </w:t>
      </w:r>
    </w:p>
    <w:p w14:paraId="60A6F377" w14:textId="77777777" w:rsidR="008F63B1" w:rsidRPr="005342FA" w:rsidRDefault="008F63B1" w:rsidP="008F63B1">
      <w:pPr>
        <w:pStyle w:val="Caption"/>
        <w:spacing w:line="480" w:lineRule="auto"/>
        <w:ind w:firstLine="0"/>
        <w:rPr>
          <w:szCs w:val="24"/>
        </w:rPr>
      </w:pPr>
    </w:p>
    <w:p w14:paraId="7FD6F518" w14:textId="67371999" w:rsidR="008F63B1" w:rsidRPr="005342FA" w:rsidRDefault="008F63B1" w:rsidP="008F63B1">
      <w:pPr>
        <w:pStyle w:val="Caption"/>
        <w:spacing w:line="480" w:lineRule="auto"/>
        <w:ind w:firstLine="0"/>
        <w:rPr>
          <w:b w:val="0"/>
          <w:bCs w:val="0"/>
          <w:szCs w:val="24"/>
        </w:rPr>
      </w:pPr>
      <w:r w:rsidRPr="005342FA">
        <w:rPr>
          <w:szCs w:val="24"/>
        </w:rPr>
        <w:t xml:space="preserve">Figure 3. </w:t>
      </w:r>
      <w:r w:rsidRPr="005342FA">
        <w:rPr>
          <w:b w:val="0"/>
          <w:bCs w:val="0"/>
          <w:szCs w:val="24"/>
        </w:rPr>
        <w:t xml:space="preserve">Effect of delivery of </w:t>
      </w:r>
      <w:proofErr w:type="spellStart"/>
      <w:r w:rsidRPr="005342FA">
        <w:rPr>
          <w:b w:val="0"/>
          <w:bCs w:val="0"/>
          <w:szCs w:val="24"/>
        </w:rPr>
        <w:t>Seldeg</w:t>
      </w:r>
      <w:proofErr w:type="spellEnd"/>
      <w:r w:rsidRPr="005342FA">
        <w:rPr>
          <w:b w:val="0"/>
          <w:bCs w:val="0"/>
          <w:szCs w:val="24"/>
        </w:rPr>
        <w:t xml:space="preserve"> on PET contrast. Tumor-bearing mice were treated as in Figure 2. Contrast measures were determined at 4-6, 30, and 44 h after injection of radiolabeled </w:t>
      </w:r>
      <w:proofErr w:type="spellStart"/>
      <w:r w:rsidRPr="005342FA">
        <w:rPr>
          <w:b w:val="0"/>
          <w:bCs w:val="0"/>
          <w:szCs w:val="24"/>
        </w:rPr>
        <w:t>pertuzumab</w:t>
      </w:r>
      <w:proofErr w:type="spellEnd"/>
      <w:r w:rsidRPr="005342FA">
        <w:rPr>
          <w:b w:val="0"/>
          <w:bCs w:val="0"/>
          <w:szCs w:val="24"/>
        </w:rPr>
        <w:t xml:space="preserve">. These time points correspond to 18-20 h prior to, and 6 and 20 h following, </w:t>
      </w:r>
      <w:proofErr w:type="spellStart"/>
      <w:r w:rsidRPr="005342FA">
        <w:rPr>
          <w:b w:val="0"/>
          <w:bCs w:val="0"/>
          <w:szCs w:val="24"/>
        </w:rPr>
        <w:t>Seldeg</w:t>
      </w:r>
      <w:proofErr w:type="spellEnd"/>
      <w:r w:rsidRPr="005342FA">
        <w:rPr>
          <w:b w:val="0"/>
          <w:bCs w:val="0"/>
          <w:szCs w:val="24"/>
        </w:rPr>
        <w:t xml:space="preserve"> delivery, respectively. </w:t>
      </w:r>
      <w:r w:rsidR="00586418" w:rsidRPr="005342FA">
        <w:rPr>
          <w:b w:val="0"/>
          <w:bCs w:val="0"/>
          <w:szCs w:val="24"/>
        </w:rPr>
        <w:t xml:space="preserve">Error bars indicate SD </w:t>
      </w:r>
      <w:r w:rsidR="00586418">
        <w:rPr>
          <w:b w:val="0"/>
          <w:bCs w:val="0"/>
          <w:szCs w:val="24"/>
        </w:rPr>
        <w:t xml:space="preserve">and </w:t>
      </w:r>
      <w:r w:rsidR="00586418" w:rsidRPr="00586418">
        <w:rPr>
          <w:b w:val="0"/>
          <w:bCs w:val="0"/>
          <w:i/>
          <w:iCs/>
          <w:szCs w:val="24"/>
        </w:rPr>
        <w:t>p</w:t>
      </w:r>
      <w:r w:rsidR="00586418">
        <w:rPr>
          <w:b w:val="0"/>
          <w:bCs w:val="0"/>
          <w:szCs w:val="24"/>
        </w:rPr>
        <w:t xml:space="preserve"> values for </w:t>
      </w:r>
      <w:r w:rsidR="00586418" w:rsidRPr="005342FA">
        <w:rPr>
          <w:b w:val="0"/>
          <w:bCs w:val="0"/>
          <w:szCs w:val="24"/>
        </w:rPr>
        <w:t>significant differences for HER2</w:t>
      </w:r>
      <w:r w:rsidR="00542AF1">
        <w:rPr>
          <w:b w:val="0"/>
          <w:bCs w:val="0"/>
          <w:szCs w:val="24"/>
        </w:rPr>
        <w:t>-</w:t>
      </w:r>
      <w:r w:rsidR="00586418" w:rsidRPr="005342FA">
        <w:rPr>
          <w:b w:val="0"/>
          <w:bCs w:val="0"/>
          <w:szCs w:val="24"/>
        </w:rPr>
        <w:t>Seldeg</w:t>
      </w:r>
      <w:r w:rsidR="00542AF1">
        <w:rPr>
          <w:b w:val="0"/>
          <w:bCs w:val="0"/>
          <w:szCs w:val="24"/>
        </w:rPr>
        <w:t xml:space="preserve"> </w:t>
      </w:r>
      <w:r w:rsidR="00586418" w:rsidRPr="005342FA">
        <w:rPr>
          <w:b w:val="0"/>
          <w:bCs w:val="0"/>
          <w:szCs w:val="24"/>
        </w:rPr>
        <w:t xml:space="preserve">treatment groups vs. control groups are </w:t>
      </w:r>
      <w:r w:rsidR="00586418">
        <w:rPr>
          <w:b w:val="0"/>
          <w:bCs w:val="0"/>
          <w:szCs w:val="24"/>
        </w:rPr>
        <w:t>shown</w:t>
      </w:r>
      <w:r w:rsidR="00586418" w:rsidRPr="005342FA">
        <w:rPr>
          <w:b w:val="0"/>
          <w:bCs w:val="0"/>
          <w:szCs w:val="24"/>
        </w:rPr>
        <w:t xml:space="preserve"> </w:t>
      </w:r>
      <w:r w:rsidRPr="005342FA">
        <w:rPr>
          <w:b w:val="0"/>
          <w:bCs w:val="0"/>
          <w:szCs w:val="24"/>
        </w:rPr>
        <w:t xml:space="preserve">(one-way ANOVA and Tukey's multiple comparison test). Data shown are representative of two independent experiments (n = 3 mice per treatment group in each experiment). </w:t>
      </w:r>
    </w:p>
    <w:p w14:paraId="0A39857E" w14:textId="2D672F38" w:rsidR="00FE4713" w:rsidRPr="005342FA" w:rsidRDefault="00FE4713" w:rsidP="0080308E">
      <w:pPr>
        <w:pStyle w:val="Figurecaption"/>
        <w:rPr>
          <w:lang w:val="en-US"/>
        </w:rPr>
      </w:pPr>
    </w:p>
    <w:sectPr w:rsidR="00FE4713" w:rsidRPr="005342FA" w:rsidSect="00074B81">
      <w:headerReference w:type="even" r:id="rId31"/>
      <w:headerReference w:type="default" r:id="rId32"/>
      <w:footerReference w:type="even" r:id="rId33"/>
      <w:footerReference w:type="default" r:id="rId34"/>
      <w:headerReference w:type="first" r:id="rId35"/>
      <w:footerReference w:type="first" r:id="rId36"/>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285DC" w14:textId="77777777" w:rsidR="00365A0F" w:rsidRDefault="00365A0F" w:rsidP="00AF2C92">
      <w:r>
        <w:separator/>
      </w:r>
    </w:p>
  </w:endnote>
  <w:endnote w:type="continuationSeparator" w:id="0">
    <w:p w14:paraId="03E7D9DC" w14:textId="77777777" w:rsidR="00365A0F" w:rsidRDefault="00365A0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ECE1" w14:textId="77777777" w:rsidR="005E4338" w:rsidRDefault="005E4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838060"/>
      <w:docPartObj>
        <w:docPartGallery w:val="Page Numbers (Bottom of Page)"/>
        <w:docPartUnique/>
      </w:docPartObj>
    </w:sdtPr>
    <w:sdtEndPr>
      <w:rPr>
        <w:noProof/>
      </w:rPr>
    </w:sdtEndPr>
    <w:sdtContent>
      <w:p w14:paraId="0C916192" w14:textId="2CD48AD2" w:rsidR="005E4338" w:rsidRDefault="005E43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E83386" w14:textId="77777777" w:rsidR="005E4338" w:rsidRDefault="005E4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6578" w14:textId="77777777" w:rsidR="005E4338" w:rsidRDefault="005E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DFAD" w14:textId="77777777" w:rsidR="00365A0F" w:rsidRDefault="00365A0F" w:rsidP="00AF2C92">
      <w:r>
        <w:separator/>
      </w:r>
    </w:p>
  </w:footnote>
  <w:footnote w:type="continuationSeparator" w:id="0">
    <w:p w14:paraId="74098D92" w14:textId="77777777" w:rsidR="00365A0F" w:rsidRDefault="00365A0F"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3934" w14:textId="77777777" w:rsidR="005E4338" w:rsidRDefault="005E4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F29C" w14:textId="77777777" w:rsidR="005E4338" w:rsidRDefault="005E4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4732" w14:textId="77777777" w:rsidR="005E4338" w:rsidRDefault="005E4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3A2CB0"/>
    <w:multiLevelType w:val="multilevel"/>
    <w:tmpl w:val="58066644"/>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4"/>
  </w:num>
  <w:num w:numId="16">
    <w:abstractNumId w:val="17"/>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3"/>
  </w:num>
  <w:num w:numId="30">
    <w:abstractNumId w:val="2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IH Custom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zexard6seswwez2prvsp5fvwswatvts5az&quot;&gt;SallyLocalDesktop204ZooFcrnNew Copy-Converted&lt;record-ids&gt;&lt;item&gt;977&lt;/item&gt;&lt;item&gt;991&lt;/item&gt;&lt;item&gt;1624&lt;/item&gt;&lt;item&gt;2069&lt;/item&gt;&lt;item&gt;2261&lt;/item&gt;&lt;item&gt;2328&lt;/item&gt;&lt;item&gt;2461&lt;/item&gt;&lt;item&gt;2799&lt;/item&gt;&lt;item&gt;2915&lt;/item&gt;&lt;item&gt;2924&lt;/item&gt;&lt;item&gt;2958&lt;/item&gt;&lt;item&gt;2983&lt;/item&gt;&lt;item&gt;3170&lt;/item&gt;&lt;item&gt;3268&lt;/item&gt;&lt;item&gt;3303&lt;/item&gt;&lt;item&gt;3342&lt;/item&gt;&lt;item&gt;3720&lt;/item&gt;&lt;item&gt;4000&lt;/item&gt;&lt;item&gt;4083&lt;/item&gt;&lt;item&gt;4103&lt;/item&gt;&lt;item&gt;4442&lt;/item&gt;&lt;item&gt;4452&lt;/item&gt;&lt;/record-ids&gt;&lt;/item&gt;&lt;/Libraries&gt;"/>
  </w:docVars>
  <w:rsids>
    <w:rsidRoot w:val="00BA078D"/>
    <w:rsid w:val="00001899"/>
    <w:rsid w:val="000049AD"/>
    <w:rsid w:val="00004A4B"/>
    <w:rsid w:val="0000681B"/>
    <w:rsid w:val="00006BF5"/>
    <w:rsid w:val="000133C0"/>
    <w:rsid w:val="00014C4E"/>
    <w:rsid w:val="00017107"/>
    <w:rsid w:val="000202E2"/>
    <w:rsid w:val="00022441"/>
    <w:rsid w:val="0002261E"/>
    <w:rsid w:val="00024839"/>
    <w:rsid w:val="00026871"/>
    <w:rsid w:val="00035893"/>
    <w:rsid w:val="00037A98"/>
    <w:rsid w:val="000427FB"/>
    <w:rsid w:val="0004379F"/>
    <w:rsid w:val="0004455E"/>
    <w:rsid w:val="00047CB5"/>
    <w:rsid w:val="00050B3D"/>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163D"/>
    <w:rsid w:val="000A4428"/>
    <w:rsid w:val="000A6D40"/>
    <w:rsid w:val="000A7BC3"/>
    <w:rsid w:val="000B1661"/>
    <w:rsid w:val="000B1F0B"/>
    <w:rsid w:val="000B2E88"/>
    <w:rsid w:val="000B4603"/>
    <w:rsid w:val="000C09BE"/>
    <w:rsid w:val="000C1380"/>
    <w:rsid w:val="000C554F"/>
    <w:rsid w:val="000C5AC3"/>
    <w:rsid w:val="000D0DC5"/>
    <w:rsid w:val="000D15FF"/>
    <w:rsid w:val="000D28DF"/>
    <w:rsid w:val="000D488B"/>
    <w:rsid w:val="000D68DF"/>
    <w:rsid w:val="000E0690"/>
    <w:rsid w:val="000E138D"/>
    <w:rsid w:val="000E187A"/>
    <w:rsid w:val="000E2D61"/>
    <w:rsid w:val="000E450E"/>
    <w:rsid w:val="000E6259"/>
    <w:rsid w:val="000F4677"/>
    <w:rsid w:val="000F5BE0"/>
    <w:rsid w:val="000F7ADC"/>
    <w:rsid w:val="00100587"/>
    <w:rsid w:val="0010284E"/>
    <w:rsid w:val="00103122"/>
    <w:rsid w:val="0010336A"/>
    <w:rsid w:val="001050F1"/>
    <w:rsid w:val="00105AEA"/>
    <w:rsid w:val="00106DAF"/>
    <w:rsid w:val="00114ABE"/>
    <w:rsid w:val="00116023"/>
    <w:rsid w:val="0011616C"/>
    <w:rsid w:val="00134455"/>
    <w:rsid w:val="00134A51"/>
    <w:rsid w:val="00140727"/>
    <w:rsid w:val="00141021"/>
    <w:rsid w:val="00160628"/>
    <w:rsid w:val="00161344"/>
    <w:rsid w:val="00162195"/>
    <w:rsid w:val="0016322A"/>
    <w:rsid w:val="00163841"/>
    <w:rsid w:val="00165A21"/>
    <w:rsid w:val="001705CE"/>
    <w:rsid w:val="0017714B"/>
    <w:rsid w:val="001804DF"/>
    <w:rsid w:val="00181A4E"/>
    <w:rsid w:val="00181BDC"/>
    <w:rsid w:val="00181DB0"/>
    <w:rsid w:val="001829E3"/>
    <w:rsid w:val="001924C0"/>
    <w:rsid w:val="0019731E"/>
    <w:rsid w:val="001A09FE"/>
    <w:rsid w:val="001A67C9"/>
    <w:rsid w:val="001A69DE"/>
    <w:rsid w:val="001A713C"/>
    <w:rsid w:val="001B1C7C"/>
    <w:rsid w:val="001B36A4"/>
    <w:rsid w:val="001B398F"/>
    <w:rsid w:val="001B46C6"/>
    <w:rsid w:val="001B4B48"/>
    <w:rsid w:val="001B4D1F"/>
    <w:rsid w:val="001B7681"/>
    <w:rsid w:val="001B7CAE"/>
    <w:rsid w:val="001C0772"/>
    <w:rsid w:val="001C0D4F"/>
    <w:rsid w:val="001C1BA3"/>
    <w:rsid w:val="001C1DEC"/>
    <w:rsid w:val="001C5736"/>
    <w:rsid w:val="001D0111"/>
    <w:rsid w:val="001D647F"/>
    <w:rsid w:val="001D6857"/>
    <w:rsid w:val="001E0572"/>
    <w:rsid w:val="001E0A67"/>
    <w:rsid w:val="001E1028"/>
    <w:rsid w:val="001E14E2"/>
    <w:rsid w:val="001E6302"/>
    <w:rsid w:val="001E76B6"/>
    <w:rsid w:val="001E7DCB"/>
    <w:rsid w:val="001F3411"/>
    <w:rsid w:val="001F4287"/>
    <w:rsid w:val="001F4DBA"/>
    <w:rsid w:val="002022C8"/>
    <w:rsid w:val="0020415E"/>
    <w:rsid w:val="00204FF4"/>
    <w:rsid w:val="0021056E"/>
    <w:rsid w:val="0021075D"/>
    <w:rsid w:val="0021165A"/>
    <w:rsid w:val="00211BC9"/>
    <w:rsid w:val="0021503E"/>
    <w:rsid w:val="0021620C"/>
    <w:rsid w:val="00216E78"/>
    <w:rsid w:val="00217275"/>
    <w:rsid w:val="002211DD"/>
    <w:rsid w:val="00233DAE"/>
    <w:rsid w:val="00236F4B"/>
    <w:rsid w:val="00242B0D"/>
    <w:rsid w:val="0024344E"/>
    <w:rsid w:val="002467C6"/>
    <w:rsid w:val="0024692A"/>
    <w:rsid w:val="00252BBA"/>
    <w:rsid w:val="00253123"/>
    <w:rsid w:val="00264001"/>
    <w:rsid w:val="00266354"/>
    <w:rsid w:val="00267A18"/>
    <w:rsid w:val="00273462"/>
    <w:rsid w:val="0027395B"/>
    <w:rsid w:val="00275854"/>
    <w:rsid w:val="00283B41"/>
    <w:rsid w:val="00285F28"/>
    <w:rsid w:val="00286398"/>
    <w:rsid w:val="002953F0"/>
    <w:rsid w:val="002A13D0"/>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408A"/>
    <w:rsid w:val="002E7434"/>
    <w:rsid w:val="002E7F3A"/>
    <w:rsid w:val="002F4EDB"/>
    <w:rsid w:val="002F6054"/>
    <w:rsid w:val="0030128E"/>
    <w:rsid w:val="00310E13"/>
    <w:rsid w:val="00315713"/>
    <w:rsid w:val="0031686C"/>
    <w:rsid w:val="00316FE0"/>
    <w:rsid w:val="003204D2"/>
    <w:rsid w:val="003242DC"/>
    <w:rsid w:val="0032605E"/>
    <w:rsid w:val="003275D1"/>
    <w:rsid w:val="00330B2A"/>
    <w:rsid w:val="00331E17"/>
    <w:rsid w:val="00333063"/>
    <w:rsid w:val="0033590B"/>
    <w:rsid w:val="003408E3"/>
    <w:rsid w:val="00343480"/>
    <w:rsid w:val="00345E89"/>
    <w:rsid w:val="003522A1"/>
    <w:rsid w:val="0035254B"/>
    <w:rsid w:val="00353555"/>
    <w:rsid w:val="003545EE"/>
    <w:rsid w:val="003565D4"/>
    <w:rsid w:val="003602AB"/>
    <w:rsid w:val="003607FB"/>
    <w:rsid w:val="00360FD5"/>
    <w:rsid w:val="0036340D"/>
    <w:rsid w:val="003634A5"/>
    <w:rsid w:val="00365A0F"/>
    <w:rsid w:val="00366868"/>
    <w:rsid w:val="00367506"/>
    <w:rsid w:val="00370085"/>
    <w:rsid w:val="003744A7"/>
    <w:rsid w:val="00376235"/>
    <w:rsid w:val="00381FB6"/>
    <w:rsid w:val="003836D3"/>
    <w:rsid w:val="00383A52"/>
    <w:rsid w:val="00391652"/>
    <w:rsid w:val="00391F20"/>
    <w:rsid w:val="0039507F"/>
    <w:rsid w:val="003A1260"/>
    <w:rsid w:val="003A295F"/>
    <w:rsid w:val="003A41DD"/>
    <w:rsid w:val="003A7033"/>
    <w:rsid w:val="003B47FE"/>
    <w:rsid w:val="003B5673"/>
    <w:rsid w:val="003B6287"/>
    <w:rsid w:val="003B62C9"/>
    <w:rsid w:val="003C3505"/>
    <w:rsid w:val="003C7176"/>
    <w:rsid w:val="003D0929"/>
    <w:rsid w:val="003D217A"/>
    <w:rsid w:val="003D4729"/>
    <w:rsid w:val="003D7DD6"/>
    <w:rsid w:val="003E5AAF"/>
    <w:rsid w:val="003E600D"/>
    <w:rsid w:val="003E64DF"/>
    <w:rsid w:val="003E6A5D"/>
    <w:rsid w:val="003F193A"/>
    <w:rsid w:val="003F3B3A"/>
    <w:rsid w:val="003F4207"/>
    <w:rsid w:val="003F5C46"/>
    <w:rsid w:val="003F6A03"/>
    <w:rsid w:val="003F7CBB"/>
    <w:rsid w:val="003F7D34"/>
    <w:rsid w:val="0040401A"/>
    <w:rsid w:val="00412C8E"/>
    <w:rsid w:val="0041518D"/>
    <w:rsid w:val="0042221D"/>
    <w:rsid w:val="00424DD3"/>
    <w:rsid w:val="004269C5"/>
    <w:rsid w:val="004272E7"/>
    <w:rsid w:val="00435939"/>
    <w:rsid w:val="0043702F"/>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014"/>
    <w:rsid w:val="004D1220"/>
    <w:rsid w:val="004D14B3"/>
    <w:rsid w:val="004D1529"/>
    <w:rsid w:val="004D2253"/>
    <w:rsid w:val="004D5514"/>
    <w:rsid w:val="004D56C3"/>
    <w:rsid w:val="004D7FB8"/>
    <w:rsid w:val="004E0338"/>
    <w:rsid w:val="004E3377"/>
    <w:rsid w:val="004E4FF3"/>
    <w:rsid w:val="004E56A8"/>
    <w:rsid w:val="004E5C9B"/>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2FA"/>
    <w:rsid w:val="00534ECC"/>
    <w:rsid w:val="0053720D"/>
    <w:rsid w:val="00537A2E"/>
    <w:rsid w:val="00540EF5"/>
    <w:rsid w:val="00541BF3"/>
    <w:rsid w:val="00541CD3"/>
    <w:rsid w:val="00542AF1"/>
    <w:rsid w:val="005476FA"/>
    <w:rsid w:val="0055595E"/>
    <w:rsid w:val="00557988"/>
    <w:rsid w:val="00561C71"/>
    <w:rsid w:val="00562C49"/>
    <w:rsid w:val="00562DEF"/>
    <w:rsid w:val="0056321A"/>
    <w:rsid w:val="00563A35"/>
    <w:rsid w:val="00566596"/>
    <w:rsid w:val="005741E9"/>
    <w:rsid w:val="005748CF"/>
    <w:rsid w:val="0057668B"/>
    <w:rsid w:val="00584270"/>
    <w:rsid w:val="00584738"/>
    <w:rsid w:val="00586418"/>
    <w:rsid w:val="005920B0"/>
    <w:rsid w:val="0059380D"/>
    <w:rsid w:val="00595A8F"/>
    <w:rsid w:val="005977C2"/>
    <w:rsid w:val="00597BF2"/>
    <w:rsid w:val="005A1F54"/>
    <w:rsid w:val="005A3020"/>
    <w:rsid w:val="005B134E"/>
    <w:rsid w:val="005B2039"/>
    <w:rsid w:val="005B344F"/>
    <w:rsid w:val="005B3FBA"/>
    <w:rsid w:val="005B4A1D"/>
    <w:rsid w:val="005B506F"/>
    <w:rsid w:val="005B674D"/>
    <w:rsid w:val="005C056D"/>
    <w:rsid w:val="005C083F"/>
    <w:rsid w:val="005C0CBE"/>
    <w:rsid w:val="005C1FCF"/>
    <w:rsid w:val="005C3B21"/>
    <w:rsid w:val="005C3F41"/>
    <w:rsid w:val="005D1885"/>
    <w:rsid w:val="005D2F22"/>
    <w:rsid w:val="005D4A38"/>
    <w:rsid w:val="005E0E19"/>
    <w:rsid w:val="005E2EEA"/>
    <w:rsid w:val="005E3708"/>
    <w:rsid w:val="005E3CCD"/>
    <w:rsid w:val="005E3D6B"/>
    <w:rsid w:val="005E4338"/>
    <w:rsid w:val="005E5B55"/>
    <w:rsid w:val="005E5E4A"/>
    <w:rsid w:val="005E693D"/>
    <w:rsid w:val="005E75BF"/>
    <w:rsid w:val="005F406C"/>
    <w:rsid w:val="005F57BA"/>
    <w:rsid w:val="005F61E6"/>
    <w:rsid w:val="005F6C45"/>
    <w:rsid w:val="00605A69"/>
    <w:rsid w:val="00606C54"/>
    <w:rsid w:val="00614375"/>
    <w:rsid w:val="00615B0A"/>
    <w:rsid w:val="006168CF"/>
    <w:rsid w:val="0062011B"/>
    <w:rsid w:val="006212B8"/>
    <w:rsid w:val="00626DE0"/>
    <w:rsid w:val="006274DE"/>
    <w:rsid w:val="00630901"/>
    <w:rsid w:val="00631F8E"/>
    <w:rsid w:val="00636EE9"/>
    <w:rsid w:val="00640950"/>
    <w:rsid w:val="00641AE7"/>
    <w:rsid w:val="00642629"/>
    <w:rsid w:val="00647424"/>
    <w:rsid w:val="0064782B"/>
    <w:rsid w:val="0065293D"/>
    <w:rsid w:val="00653EFC"/>
    <w:rsid w:val="00654021"/>
    <w:rsid w:val="00655F89"/>
    <w:rsid w:val="00661045"/>
    <w:rsid w:val="00666DA8"/>
    <w:rsid w:val="00671057"/>
    <w:rsid w:val="00675AAF"/>
    <w:rsid w:val="00680003"/>
    <w:rsid w:val="0068031A"/>
    <w:rsid w:val="00681B2F"/>
    <w:rsid w:val="0068335F"/>
    <w:rsid w:val="00687217"/>
    <w:rsid w:val="00693302"/>
    <w:rsid w:val="0069640B"/>
    <w:rsid w:val="006A1B83"/>
    <w:rsid w:val="006A21CD"/>
    <w:rsid w:val="006A5918"/>
    <w:rsid w:val="006A5D82"/>
    <w:rsid w:val="006A7B8B"/>
    <w:rsid w:val="006B21B2"/>
    <w:rsid w:val="006B34AC"/>
    <w:rsid w:val="006B4A4A"/>
    <w:rsid w:val="006C19B2"/>
    <w:rsid w:val="006C4409"/>
    <w:rsid w:val="006C5BB8"/>
    <w:rsid w:val="006C646B"/>
    <w:rsid w:val="006C6936"/>
    <w:rsid w:val="006C7B01"/>
    <w:rsid w:val="006D0835"/>
    <w:rsid w:val="006D0FE8"/>
    <w:rsid w:val="006D4B2B"/>
    <w:rsid w:val="006D4F3C"/>
    <w:rsid w:val="006D5C66"/>
    <w:rsid w:val="006D7002"/>
    <w:rsid w:val="006E1B3C"/>
    <w:rsid w:val="006E23FB"/>
    <w:rsid w:val="006E2B2D"/>
    <w:rsid w:val="006E325A"/>
    <w:rsid w:val="006E33EC"/>
    <w:rsid w:val="006E3802"/>
    <w:rsid w:val="006E6C02"/>
    <w:rsid w:val="006F231A"/>
    <w:rsid w:val="006F3597"/>
    <w:rsid w:val="006F6B55"/>
    <w:rsid w:val="006F788D"/>
    <w:rsid w:val="006F78E1"/>
    <w:rsid w:val="00701072"/>
    <w:rsid w:val="00702054"/>
    <w:rsid w:val="007035A4"/>
    <w:rsid w:val="007044A4"/>
    <w:rsid w:val="00711799"/>
    <w:rsid w:val="00712B78"/>
    <w:rsid w:val="0071393B"/>
    <w:rsid w:val="00713EE2"/>
    <w:rsid w:val="007177FC"/>
    <w:rsid w:val="00720C5E"/>
    <w:rsid w:val="00721701"/>
    <w:rsid w:val="00725F2A"/>
    <w:rsid w:val="00726E81"/>
    <w:rsid w:val="00731835"/>
    <w:rsid w:val="007341F8"/>
    <w:rsid w:val="00734372"/>
    <w:rsid w:val="00734EB8"/>
    <w:rsid w:val="00735F8B"/>
    <w:rsid w:val="0074090B"/>
    <w:rsid w:val="00742D1F"/>
    <w:rsid w:val="00743EBA"/>
    <w:rsid w:val="00744C8E"/>
    <w:rsid w:val="0074707E"/>
    <w:rsid w:val="00747ABA"/>
    <w:rsid w:val="00750A73"/>
    <w:rsid w:val="007516DC"/>
    <w:rsid w:val="00751BED"/>
    <w:rsid w:val="00752E58"/>
    <w:rsid w:val="00754B80"/>
    <w:rsid w:val="00761918"/>
    <w:rsid w:val="00762F03"/>
    <w:rsid w:val="0076413B"/>
    <w:rsid w:val="007648AE"/>
    <w:rsid w:val="00764BF8"/>
    <w:rsid w:val="0076514D"/>
    <w:rsid w:val="007714E2"/>
    <w:rsid w:val="00773D59"/>
    <w:rsid w:val="00781003"/>
    <w:rsid w:val="0078507C"/>
    <w:rsid w:val="007911FD"/>
    <w:rsid w:val="00793029"/>
    <w:rsid w:val="00793930"/>
    <w:rsid w:val="00793DD1"/>
    <w:rsid w:val="00794FEC"/>
    <w:rsid w:val="00797650"/>
    <w:rsid w:val="007A003E"/>
    <w:rsid w:val="007A1965"/>
    <w:rsid w:val="007A2ED1"/>
    <w:rsid w:val="007A3923"/>
    <w:rsid w:val="007A4BE6"/>
    <w:rsid w:val="007A6019"/>
    <w:rsid w:val="007B0DC6"/>
    <w:rsid w:val="007B1094"/>
    <w:rsid w:val="007B1762"/>
    <w:rsid w:val="007B3320"/>
    <w:rsid w:val="007B6FC1"/>
    <w:rsid w:val="007C301F"/>
    <w:rsid w:val="007C40F3"/>
    <w:rsid w:val="007C4540"/>
    <w:rsid w:val="007C65AF"/>
    <w:rsid w:val="007D135D"/>
    <w:rsid w:val="007D730F"/>
    <w:rsid w:val="007D7CD8"/>
    <w:rsid w:val="007E0B74"/>
    <w:rsid w:val="007E3AA7"/>
    <w:rsid w:val="007F737D"/>
    <w:rsid w:val="0080308E"/>
    <w:rsid w:val="00804A97"/>
    <w:rsid w:val="00805303"/>
    <w:rsid w:val="00806705"/>
    <w:rsid w:val="00806738"/>
    <w:rsid w:val="008216D5"/>
    <w:rsid w:val="008249CE"/>
    <w:rsid w:val="00831A50"/>
    <w:rsid w:val="00831B3C"/>
    <w:rsid w:val="00831C89"/>
    <w:rsid w:val="00832114"/>
    <w:rsid w:val="00834C46"/>
    <w:rsid w:val="0084093E"/>
    <w:rsid w:val="00841CE1"/>
    <w:rsid w:val="008424FA"/>
    <w:rsid w:val="00844BE5"/>
    <w:rsid w:val="00844E1B"/>
    <w:rsid w:val="008473D8"/>
    <w:rsid w:val="008528DC"/>
    <w:rsid w:val="00852B8C"/>
    <w:rsid w:val="00854981"/>
    <w:rsid w:val="0085568F"/>
    <w:rsid w:val="00862F08"/>
    <w:rsid w:val="00864B2E"/>
    <w:rsid w:val="00865488"/>
    <w:rsid w:val="00865963"/>
    <w:rsid w:val="00865F14"/>
    <w:rsid w:val="00871C1D"/>
    <w:rsid w:val="0087450E"/>
    <w:rsid w:val="008754F3"/>
    <w:rsid w:val="00875A82"/>
    <w:rsid w:val="00876CA3"/>
    <w:rsid w:val="008772FE"/>
    <w:rsid w:val="008775F1"/>
    <w:rsid w:val="008821AE"/>
    <w:rsid w:val="00882B8B"/>
    <w:rsid w:val="00883D3A"/>
    <w:rsid w:val="008854F7"/>
    <w:rsid w:val="00885A9D"/>
    <w:rsid w:val="0088692A"/>
    <w:rsid w:val="00887395"/>
    <w:rsid w:val="00891696"/>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1B73"/>
    <w:rsid w:val="008D357D"/>
    <w:rsid w:val="008D435A"/>
    <w:rsid w:val="008E387B"/>
    <w:rsid w:val="008E6087"/>
    <w:rsid w:val="008E671F"/>
    <w:rsid w:val="008E758D"/>
    <w:rsid w:val="008F10A7"/>
    <w:rsid w:val="008F63B1"/>
    <w:rsid w:val="008F755D"/>
    <w:rsid w:val="008F7A39"/>
    <w:rsid w:val="009021E8"/>
    <w:rsid w:val="00904677"/>
    <w:rsid w:val="00905EE2"/>
    <w:rsid w:val="00911440"/>
    <w:rsid w:val="00911712"/>
    <w:rsid w:val="00911B27"/>
    <w:rsid w:val="009170BE"/>
    <w:rsid w:val="00920B55"/>
    <w:rsid w:val="009262C9"/>
    <w:rsid w:val="00930EB9"/>
    <w:rsid w:val="0093330B"/>
    <w:rsid w:val="009336D8"/>
    <w:rsid w:val="00933DC7"/>
    <w:rsid w:val="009418F4"/>
    <w:rsid w:val="0094196A"/>
    <w:rsid w:val="00942BBC"/>
    <w:rsid w:val="00944180"/>
    <w:rsid w:val="00944AA0"/>
    <w:rsid w:val="00947DA2"/>
    <w:rsid w:val="00951177"/>
    <w:rsid w:val="009673E8"/>
    <w:rsid w:val="00974DB8"/>
    <w:rsid w:val="00980661"/>
    <w:rsid w:val="0098093B"/>
    <w:rsid w:val="009818D8"/>
    <w:rsid w:val="0098203E"/>
    <w:rsid w:val="009876D4"/>
    <w:rsid w:val="009914A5"/>
    <w:rsid w:val="0099548E"/>
    <w:rsid w:val="009963B0"/>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53A3"/>
    <w:rsid w:val="009F7052"/>
    <w:rsid w:val="00A02668"/>
    <w:rsid w:val="00A02801"/>
    <w:rsid w:val="00A06A39"/>
    <w:rsid w:val="00A07F58"/>
    <w:rsid w:val="00A131CB"/>
    <w:rsid w:val="00A14847"/>
    <w:rsid w:val="00A16D6D"/>
    <w:rsid w:val="00A21383"/>
    <w:rsid w:val="00A2199F"/>
    <w:rsid w:val="00A21B31"/>
    <w:rsid w:val="00A2299B"/>
    <w:rsid w:val="00A2360E"/>
    <w:rsid w:val="00A25073"/>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67F0F"/>
    <w:rsid w:val="00A71361"/>
    <w:rsid w:val="00A746E2"/>
    <w:rsid w:val="00A74E8C"/>
    <w:rsid w:val="00A76364"/>
    <w:rsid w:val="00A81FF2"/>
    <w:rsid w:val="00A83904"/>
    <w:rsid w:val="00A90A79"/>
    <w:rsid w:val="00A91239"/>
    <w:rsid w:val="00A91D98"/>
    <w:rsid w:val="00A92560"/>
    <w:rsid w:val="00A96B30"/>
    <w:rsid w:val="00AA442D"/>
    <w:rsid w:val="00AA59B5"/>
    <w:rsid w:val="00AA7777"/>
    <w:rsid w:val="00AA7B84"/>
    <w:rsid w:val="00AC0B4C"/>
    <w:rsid w:val="00AC1164"/>
    <w:rsid w:val="00AC2296"/>
    <w:rsid w:val="00AC2754"/>
    <w:rsid w:val="00AC48B0"/>
    <w:rsid w:val="00AC4ACD"/>
    <w:rsid w:val="00AC5DFB"/>
    <w:rsid w:val="00AD13DC"/>
    <w:rsid w:val="00AD1B7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5ADE"/>
    <w:rsid w:val="00B66810"/>
    <w:rsid w:val="00B72BE3"/>
    <w:rsid w:val="00B73B80"/>
    <w:rsid w:val="00B7603B"/>
    <w:rsid w:val="00B77041"/>
    <w:rsid w:val="00B770C7"/>
    <w:rsid w:val="00B80F26"/>
    <w:rsid w:val="00B822BD"/>
    <w:rsid w:val="00B842F4"/>
    <w:rsid w:val="00B91A7B"/>
    <w:rsid w:val="00B929DD"/>
    <w:rsid w:val="00B93AF6"/>
    <w:rsid w:val="00B95405"/>
    <w:rsid w:val="00B963F1"/>
    <w:rsid w:val="00BA020A"/>
    <w:rsid w:val="00BA078D"/>
    <w:rsid w:val="00BA5356"/>
    <w:rsid w:val="00BA684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E6664"/>
    <w:rsid w:val="00BE6FA0"/>
    <w:rsid w:val="00BF266A"/>
    <w:rsid w:val="00BF45E7"/>
    <w:rsid w:val="00BF4849"/>
    <w:rsid w:val="00BF4EA7"/>
    <w:rsid w:val="00BF5C49"/>
    <w:rsid w:val="00BF6525"/>
    <w:rsid w:val="00BF7AE2"/>
    <w:rsid w:val="00C00EDB"/>
    <w:rsid w:val="00C02863"/>
    <w:rsid w:val="00C0383A"/>
    <w:rsid w:val="00C047D4"/>
    <w:rsid w:val="00C067FF"/>
    <w:rsid w:val="00C12862"/>
    <w:rsid w:val="00C13D28"/>
    <w:rsid w:val="00C14585"/>
    <w:rsid w:val="00C157E5"/>
    <w:rsid w:val="00C165A0"/>
    <w:rsid w:val="00C20724"/>
    <w:rsid w:val="00C216CE"/>
    <w:rsid w:val="00C2184F"/>
    <w:rsid w:val="00C22A78"/>
    <w:rsid w:val="00C23C7E"/>
    <w:rsid w:val="00C246C5"/>
    <w:rsid w:val="00C24F9E"/>
    <w:rsid w:val="00C25A82"/>
    <w:rsid w:val="00C30A2A"/>
    <w:rsid w:val="00C33993"/>
    <w:rsid w:val="00C33CE4"/>
    <w:rsid w:val="00C4069E"/>
    <w:rsid w:val="00C41ADC"/>
    <w:rsid w:val="00C44149"/>
    <w:rsid w:val="00C44410"/>
    <w:rsid w:val="00C44A15"/>
    <w:rsid w:val="00C4630A"/>
    <w:rsid w:val="00C523F0"/>
    <w:rsid w:val="00C526D2"/>
    <w:rsid w:val="00C52DDD"/>
    <w:rsid w:val="00C53A91"/>
    <w:rsid w:val="00C5794E"/>
    <w:rsid w:val="00C60968"/>
    <w:rsid w:val="00C60F9E"/>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1A01"/>
    <w:rsid w:val="00CF2F4F"/>
    <w:rsid w:val="00CF536D"/>
    <w:rsid w:val="00D02E9D"/>
    <w:rsid w:val="00D10CB8"/>
    <w:rsid w:val="00D12806"/>
    <w:rsid w:val="00D12D44"/>
    <w:rsid w:val="00D13DCA"/>
    <w:rsid w:val="00D15018"/>
    <w:rsid w:val="00D158AC"/>
    <w:rsid w:val="00D1694C"/>
    <w:rsid w:val="00D20F5E"/>
    <w:rsid w:val="00D20F7E"/>
    <w:rsid w:val="00D23B76"/>
    <w:rsid w:val="00D24B4A"/>
    <w:rsid w:val="00D379A3"/>
    <w:rsid w:val="00D45FF3"/>
    <w:rsid w:val="00D512CF"/>
    <w:rsid w:val="00D52226"/>
    <w:rsid w:val="00D528B9"/>
    <w:rsid w:val="00D53186"/>
    <w:rsid w:val="00D54417"/>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2B49"/>
    <w:rsid w:val="00D95A68"/>
    <w:rsid w:val="00DA17C7"/>
    <w:rsid w:val="00DA2509"/>
    <w:rsid w:val="00DA6A9A"/>
    <w:rsid w:val="00DB0A54"/>
    <w:rsid w:val="00DB1EFD"/>
    <w:rsid w:val="00DB3EAF"/>
    <w:rsid w:val="00DB3FD4"/>
    <w:rsid w:val="00DB46C6"/>
    <w:rsid w:val="00DC3203"/>
    <w:rsid w:val="00DC3C99"/>
    <w:rsid w:val="00DC52F5"/>
    <w:rsid w:val="00DC5FD0"/>
    <w:rsid w:val="00DD0354"/>
    <w:rsid w:val="00DD27D7"/>
    <w:rsid w:val="00DD458C"/>
    <w:rsid w:val="00DD72E9"/>
    <w:rsid w:val="00DD7605"/>
    <w:rsid w:val="00DE2020"/>
    <w:rsid w:val="00DE3476"/>
    <w:rsid w:val="00DE3E36"/>
    <w:rsid w:val="00DE7BEA"/>
    <w:rsid w:val="00DF4743"/>
    <w:rsid w:val="00DF47E8"/>
    <w:rsid w:val="00DF5B84"/>
    <w:rsid w:val="00DF6D5B"/>
    <w:rsid w:val="00DF771B"/>
    <w:rsid w:val="00DF7B40"/>
    <w:rsid w:val="00DF7EE2"/>
    <w:rsid w:val="00E01BAA"/>
    <w:rsid w:val="00E0282A"/>
    <w:rsid w:val="00E02F9B"/>
    <w:rsid w:val="00E07E14"/>
    <w:rsid w:val="00E14D29"/>
    <w:rsid w:val="00E14F94"/>
    <w:rsid w:val="00E17336"/>
    <w:rsid w:val="00E17D15"/>
    <w:rsid w:val="00E2039B"/>
    <w:rsid w:val="00E22B95"/>
    <w:rsid w:val="00E30331"/>
    <w:rsid w:val="00E30BB8"/>
    <w:rsid w:val="00E31F9C"/>
    <w:rsid w:val="00E40488"/>
    <w:rsid w:val="00E4166A"/>
    <w:rsid w:val="00E4433C"/>
    <w:rsid w:val="00E50367"/>
    <w:rsid w:val="00E51ABA"/>
    <w:rsid w:val="00E524CB"/>
    <w:rsid w:val="00E540B8"/>
    <w:rsid w:val="00E64D58"/>
    <w:rsid w:val="00E65456"/>
    <w:rsid w:val="00E65A91"/>
    <w:rsid w:val="00E66040"/>
    <w:rsid w:val="00E66188"/>
    <w:rsid w:val="00E664FB"/>
    <w:rsid w:val="00E672F0"/>
    <w:rsid w:val="00E70373"/>
    <w:rsid w:val="00E72E40"/>
    <w:rsid w:val="00E73606"/>
    <w:rsid w:val="00E73665"/>
    <w:rsid w:val="00E73999"/>
    <w:rsid w:val="00E73BDC"/>
    <w:rsid w:val="00E73E9E"/>
    <w:rsid w:val="00E81660"/>
    <w:rsid w:val="00E854FE"/>
    <w:rsid w:val="00E906CC"/>
    <w:rsid w:val="00E939A0"/>
    <w:rsid w:val="00E97E4E"/>
    <w:rsid w:val="00E97F96"/>
    <w:rsid w:val="00EA1CC2"/>
    <w:rsid w:val="00EA2D76"/>
    <w:rsid w:val="00EA3D9E"/>
    <w:rsid w:val="00EA4644"/>
    <w:rsid w:val="00EA758A"/>
    <w:rsid w:val="00EB096F"/>
    <w:rsid w:val="00EB199F"/>
    <w:rsid w:val="00EB21A4"/>
    <w:rsid w:val="00EB27C4"/>
    <w:rsid w:val="00EB5387"/>
    <w:rsid w:val="00EB5C10"/>
    <w:rsid w:val="00EB7322"/>
    <w:rsid w:val="00EC0FE9"/>
    <w:rsid w:val="00EC198B"/>
    <w:rsid w:val="00EC1C52"/>
    <w:rsid w:val="00EC426D"/>
    <w:rsid w:val="00EC571B"/>
    <w:rsid w:val="00EC57D7"/>
    <w:rsid w:val="00EC6385"/>
    <w:rsid w:val="00ED1DE9"/>
    <w:rsid w:val="00ED23D4"/>
    <w:rsid w:val="00ED5E0B"/>
    <w:rsid w:val="00EE37B6"/>
    <w:rsid w:val="00EF0F45"/>
    <w:rsid w:val="00EF6358"/>
    <w:rsid w:val="00EF7463"/>
    <w:rsid w:val="00EF760E"/>
    <w:rsid w:val="00EF7971"/>
    <w:rsid w:val="00F002EF"/>
    <w:rsid w:val="00F01EE9"/>
    <w:rsid w:val="00F04900"/>
    <w:rsid w:val="00F065A4"/>
    <w:rsid w:val="00F126B9"/>
    <w:rsid w:val="00F12715"/>
    <w:rsid w:val="00F127FD"/>
    <w:rsid w:val="00F144D5"/>
    <w:rsid w:val="00F146F0"/>
    <w:rsid w:val="00F15039"/>
    <w:rsid w:val="00F20FF3"/>
    <w:rsid w:val="00F2190B"/>
    <w:rsid w:val="00F228B5"/>
    <w:rsid w:val="00F2389C"/>
    <w:rsid w:val="00F24F49"/>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D16"/>
    <w:rsid w:val="00F87FA3"/>
    <w:rsid w:val="00F93D8C"/>
    <w:rsid w:val="00F97452"/>
    <w:rsid w:val="00FA2A7A"/>
    <w:rsid w:val="00FA3102"/>
    <w:rsid w:val="00FA48D4"/>
    <w:rsid w:val="00FA54FA"/>
    <w:rsid w:val="00FA6D39"/>
    <w:rsid w:val="00FB1A6F"/>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91C09"/>
  <w14:defaultImageDpi w14:val="330"/>
  <w15:docId w15:val="{0DC7A6E2-2E7D-468B-812B-466E173B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customStyle="1" w:styleId="FirstLevelSubheading">
    <w:name w:val="First Level Subheading"/>
    <w:basedOn w:val="Normal"/>
    <w:qFormat/>
    <w:rsid w:val="008F63B1"/>
    <w:pPr>
      <w:autoSpaceDE w:val="0"/>
      <w:autoSpaceDN w:val="0"/>
      <w:adjustRightInd w:val="0"/>
      <w:jc w:val="center"/>
      <w:outlineLvl w:val="1"/>
    </w:pPr>
    <w:rPr>
      <w:rFonts w:eastAsia="Times New Roman"/>
      <w:b/>
      <w:bCs/>
      <w:color w:val="000000"/>
      <w:lang w:val="en-US" w:eastAsia="en-US"/>
    </w:rPr>
  </w:style>
  <w:style w:type="paragraph" w:customStyle="1" w:styleId="SecondLevelSubheading">
    <w:name w:val="Second Level Subheading"/>
    <w:basedOn w:val="Normal"/>
    <w:link w:val="SecondLevelSubheadingChar"/>
    <w:qFormat/>
    <w:rsid w:val="008F63B1"/>
    <w:pPr>
      <w:autoSpaceDE w:val="0"/>
      <w:autoSpaceDN w:val="0"/>
      <w:adjustRightInd w:val="0"/>
      <w:jc w:val="center"/>
      <w:outlineLvl w:val="2"/>
    </w:pPr>
    <w:rPr>
      <w:rFonts w:eastAsia="Times New Roman"/>
      <w:bCs/>
      <w:i/>
      <w:iCs/>
      <w:color w:val="000000"/>
      <w:lang w:val="en-US" w:eastAsia="en-US"/>
    </w:rPr>
  </w:style>
  <w:style w:type="paragraph" w:customStyle="1" w:styleId="ThirdLevelSubheading">
    <w:name w:val="Third Level Subheading"/>
    <w:basedOn w:val="Normal"/>
    <w:qFormat/>
    <w:rsid w:val="008F63B1"/>
    <w:pPr>
      <w:autoSpaceDE w:val="0"/>
      <w:autoSpaceDN w:val="0"/>
      <w:adjustRightInd w:val="0"/>
      <w:jc w:val="both"/>
      <w:outlineLvl w:val="3"/>
    </w:pPr>
    <w:rPr>
      <w:rFonts w:eastAsia="Times New Roman"/>
      <w:b/>
      <w:iCs/>
      <w:color w:val="000000"/>
      <w:lang w:val="en-US" w:eastAsia="en-US"/>
    </w:rPr>
  </w:style>
  <w:style w:type="character" w:customStyle="1" w:styleId="SecondLevelSubheadingChar">
    <w:name w:val="Second Level Subheading Char"/>
    <w:basedOn w:val="DefaultParagraphFont"/>
    <w:link w:val="SecondLevelSubheading"/>
    <w:rsid w:val="008F63B1"/>
    <w:rPr>
      <w:rFonts w:eastAsia="Times New Roman"/>
      <w:bCs/>
      <w:i/>
      <w:iCs/>
      <w:color w:val="000000"/>
      <w:sz w:val="24"/>
      <w:szCs w:val="24"/>
      <w:lang w:val="en-US" w:eastAsia="en-US"/>
    </w:rPr>
  </w:style>
  <w:style w:type="paragraph" w:customStyle="1" w:styleId="FourthLevelSubheading">
    <w:name w:val="Fourth Level Subheading"/>
    <w:basedOn w:val="Normal"/>
    <w:qFormat/>
    <w:rsid w:val="008F63B1"/>
    <w:pPr>
      <w:jc w:val="both"/>
      <w:outlineLvl w:val="4"/>
    </w:pPr>
    <w:rPr>
      <w:rFonts w:eastAsia="Times New Roman"/>
      <w:i/>
      <w:lang w:val="en-US" w:eastAsia="en-US"/>
    </w:rPr>
  </w:style>
  <w:style w:type="paragraph" w:customStyle="1" w:styleId="FifthLevelSubeading">
    <w:name w:val="Fifth Level Subeading"/>
    <w:basedOn w:val="Normal"/>
    <w:qFormat/>
    <w:rsid w:val="008F63B1"/>
    <w:pPr>
      <w:jc w:val="both"/>
      <w:outlineLvl w:val="5"/>
    </w:pPr>
    <w:rPr>
      <w:rFonts w:eastAsia="Times New Roman"/>
      <w:u w:val="single"/>
      <w:lang w:val="en-US" w:eastAsia="en-US"/>
    </w:rPr>
  </w:style>
  <w:style w:type="paragraph" w:customStyle="1" w:styleId="EndNoteBibliography">
    <w:name w:val="EndNote Bibliography"/>
    <w:basedOn w:val="Normal"/>
    <w:link w:val="EndNoteBibliographyChar"/>
    <w:rsid w:val="008F63B1"/>
    <w:pPr>
      <w:spacing w:line="240" w:lineRule="auto"/>
      <w:ind w:firstLine="720"/>
      <w:jc w:val="both"/>
    </w:pPr>
    <w:rPr>
      <w:rFonts w:eastAsia="Times New Roman"/>
      <w:noProof/>
      <w:lang w:val="en-US" w:eastAsia="en-US"/>
    </w:rPr>
  </w:style>
  <w:style w:type="character" w:customStyle="1" w:styleId="EndNoteBibliographyChar">
    <w:name w:val="EndNote Bibliography Char"/>
    <w:basedOn w:val="DefaultParagraphFont"/>
    <w:link w:val="EndNoteBibliography"/>
    <w:rsid w:val="008F63B1"/>
    <w:rPr>
      <w:rFonts w:eastAsia="Times New Roman"/>
      <w:noProof/>
      <w:sz w:val="24"/>
      <w:szCs w:val="24"/>
      <w:lang w:val="en-US" w:eastAsia="en-US"/>
    </w:rPr>
  </w:style>
  <w:style w:type="character" w:styleId="Hyperlink">
    <w:name w:val="Hyperlink"/>
    <w:basedOn w:val="DefaultParagraphFont"/>
    <w:uiPriority w:val="99"/>
    <w:unhideWhenUsed/>
    <w:rsid w:val="008F63B1"/>
    <w:rPr>
      <w:color w:val="0000FF" w:themeColor="hyperlink"/>
      <w:u w:val="single"/>
    </w:rPr>
  </w:style>
  <w:style w:type="paragraph" w:styleId="Caption">
    <w:name w:val="caption"/>
    <w:aliases w:val="Figure Caption"/>
    <w:basedOn w:val="Normal"/>
    <w:next w:val="Normal"/>
    <w:unhideWhenUsed/>
    <w:qFormat/>
    <w:rsid w:val="008F63B1"/>
    <w:pPr>
      <w:spacing w:line="240" w:lineRule="auto"/>
      <w:ind w:firstLine="720"/>
      <w:jc w:val="both"/>
    </w:pPr>
    <w:rPr>
      <w:rFonts w:eastAsia="Times New Roman"/>
      <w:b/>
      <w:bCs/>
      <w:szCs w:val="18"/>
      <w:lang w:val="en-US" w:eastAsia="en-US"/>
    </w:rPr>
  </w:style>
  <w:style w:type="paragraph" w:customStyle="1" w:styleId="EndNoteBibliographyTitle">
    <w:name w:val="EndNote Bibliography Title"/>
    <w:basedOn w:val="Normal"/>
    <w:link w:val="EndNoteBibliographyTitleChar"/>
    <w:rsid w:val="00DA2509"/>
    <w:pPr>
      <w:jc w:val="center"/>
    </w:pPr>
    <w:rPr>
      <w:noProof/>
    </w:rPr>
  </w:style>
  <w:style w:type="character" w:customStyle="1" w:styleId="EndNoteBibliographyTitleChar">
    <w:name w:val="EndNote Bibliography Title Char"/>
    <w:basedOn w:val="DefaultParagraphFont"/>
    <w:link w:val="EndNoteBibliographyTitle"/>
    <w:rsid w:val="00DA2509"/>
    <w:rPr>
      <w:noProof/>
      <w:sz w:val="24"/>
      <w:szCs w:val="24"/>
    </w:rPr>
  </w:style>
  <w:style w:type="character" w:styleId="UnresolvedMention">
    <w:name w:val="Unresolved Mention"/>
    <w:basedOn w:val="DefaultParagraphFont"/>
    <w:uiPriority w:val="99"/>
    <w:semiHidden/>
    <w:unhideWhenUsed/>
    <w:rsid w:val="00DA2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16/j.tips.2018.07.007" TargetMode="External"/><Relationship Id="rId18" Type="http://schemas.openxmlformats.org/officeDocument/2006/relationships/hyperlink" Target="http://dx.doi.org/10.1038/nbt1143" TargetMode="External"/><Relationship Id="rId26" Type="http://schemas.openxmlformats.org/officeDocument/2006/relationships/hyperlink" Target="http://dx.doi.org/10.1016/j.coi.2007.09.004" TargetMode="External"/><Relationship Id="rId21" Type="http://schemas.openxmlformats.org/officeDocument/2006/relationships/hyperlink" Target="http://dx.doi.org/10.1002/anie.200906294"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x.doi.org/10.1038/ncomms15314" TargetMode="External"/><Relationship Id="rId17" Type="http://schemas.openxmlformats.org/officeDocument/2006/relationships/hyperlink" Target="http://dx.doi.org/10.1016/S1535-6108(04)00083-2" TargetMode="External"/><Relationship Id="rId25" Type="http://schemas.openxmlformats.org/officeDocument/2006/relationships/hyperlink" Target="http://dx.doi.org/10.1007/s00415-006-5003-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016/j.ymthe.2020.11.017" TargetMode="External"/><Relationship Id="rId20" Type="http://schemas.openxmlformats.org/officeDocument/2006/relationships/hyperlink" Target="http://dx.doi.org/10.1200/jco.2012.42.4887" TargetMode="External"/><Relationship Id="rId29" Type="http://schemas.openxmlformats.org/officeDocument/2006/relationships/hyperlink" Target="http://dx.doi.org/10.1007/s00259-009-1096-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ymeth.2013.09.015" TargetMode="External"/><Relationship Id="rId24" Type="http://schemas.openxmlformats.org/officeDocument/2006/relationships/hyperlink" Target="http://dx.doi.org/10.2967/jnumed.113.12087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016/j.jaci.2011.11.029" TargetMode="External"/><Relationship Id="rId23" Type="http://schemas.openxmlformats.org/officeDocument/2006/relationships/hyperlink" Target="http://dx.doi.org/10.2967/jnumed.108.060426" TargetMode="External"/><Relationship Id="rId28" Type="http://schemas.openxmlformats.org/officeDocument/2006/relationships/hyperlink" Target="http://dx.doi.org/10.1172/JCI97911" TargetMode="External"/><Relationship Id="rId36" Type="http://schemas.openxmlformats.org/officeDocument/2006/relationships/footer" Target="footer3.xml"/><Relationship Id="rId10" Type="http://schemas.openxmlformats.org/officeDocument/2006/relationships/hyperlink" Target="http://dx.doi.org/10.1172/JCI32226" TargetMode="External"/><Relationship Id="rId19" Type="http://schemas.openxmlformats.org/officeDocument/2006/relationships/hyperlink" Target="http://dx.doi.org/10.2967/jnumed.110.08616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586/era.13.11" TargetMode="External"/><Relationship Id="rId14" Type="http://schemas.openxmlformats.org/officeDocument/2006/relationships/hyperlink" Target="http://dx.doi.org/10.4161/mabs.3.6.18123" TargetMode="External"/><Relationship Id="rId22" Type="http://schemas.openxmlformats.org/officeDocument/2006/relationships/hyperlink" Target="http://dx.doi.org/10.1021/acs.bioconjchem.7b00635" TargetMode="External"/><Relationship Id="rId27" Type="http://schemas.openxmlformats.org/officeDocument/2006/relationships/hyperlink" Target="http://dx.doi.org/10.2967/jnumed.113.136481" TargetMode="External"/><Relationship Id="rId30" Type="http://schemas.openxmlformats.org/officeDocument/2006/relationships/hyperlink" Target="http://dx.doi.org/10.1016/j.jmb.2004.11.014" TargetMode="External"/><Relationship Id="rId35" Type="http://schemas.openxmlformats.org/officeDocument/2006/relationships/header" Target="header3.xml"/><Relationship Id="rId8" Type="http://schemas.openxmlformats.org/officeDocument/2006/relationships/hyperlink" Target="http://dx.doi.org/10.1016/S0065-2776(09)03004-1"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wa\Desktop\mAb\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8</TotalTime>
  <Pages>22</Pages>
  <Words>4292</Words>
  <Characters>24467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28702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Wei Sun</dc:creator>
  <cp:lastModifiedBy>Sally Ward</cp:lastModifiedBy>
  <cp:revision>7</cp:revision>
  <cp:lastPrinted>2021-08-20T16:53:00Z</cp:lastPrinted>
  <dcterms:created xsi:type="dcterms:W3CDTF">2021-08-13T18:15:00Z</dcterms:created>
  <dcterms:modified xsi:type="dcterms:W3CDTF">2021-08-20T16:55:00Z</dcterms:modified>
</cp:coreProperties>
</file>